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AD0DB">
      <w:pPr>
        <w:jc w:val="left"/>
        <w:rPr>
          <w:rFonts w:ascii="黑体" w:hAnsi="宋体" w:eastAsia="黑体"/>
          <w:b/>
          <w:color w:val="000000" w:themeColor="text1"/>
          <w:sz w:val="84"/>
          <w:szCs w:val="84"/>
          <w:highlight w:val="none"/>
          <w14:textFill>
            <w14:solidFill>
              <w14:schemeClr w14:val="tx1"/>
            </w14:solidFill>
          </w14:textFill>
        </w:rPr>
      </w:pPr>
    </w:p>
    <w:p w14:paraId="5AFA21E2">
      <w:pPr>
        <w:jc w:val="center"/>
        <w:rPr>
          <w:rFonts w:ascii="宋体" w:hAnsi="宋体"/>
          <w:color w:val="000000" w:themeColor="text1"/>
          <w:sz w:val="84"/>
          <w:szCs w:val="84"/>
          <w:highlight w:val="none"/>
          <w14:textFill>
            <w14:solidFill>
              <w14:schemeClr w14:val="tx1"/>
            </w14:solidFill>
          </w14:textFill>
        </w:rPr>
      </w:pPr>
      <w:r>
        <w:rPr>
          <w:rFonts w:hint="eastAsia" w:ascii="黑体" w:hAnsi="宋体" w:eastAsia="黑体"/>
          <w:color w:val="000000" w:themeColor="text1"/>
          <w:sz w:val="84"/>
          <w:szCs w:val="84"/>
          <w:highlight w:val="none"/>
          <w14:textFill>
            <w14:solidFill>
              <w14:schemeClr w14:val="tx1"/>
            </w14:solidFill>
          </w14:textFill>
        </w:rPr>
        <w:t>竞争性磋商文件</w:t>
      </w:r>
    </w:p>
    <w:p w14:paraId="17232EBD">
      <w:pPr>
        <w:jc w:val="left"/>
        <w:rPr>
          <w:rFonts w:ascii="宋体" w:hAnsi="宋体"/>
          <w:color w:val="000000" w:themeColor="text1"/>
          <w:sz w:val="32"/>
          <w:highlight w:val="none"/>
          <w14:textFill>
            <w14:solidFill>
              <w14:schemeClr w14:val="tx1"/>
            </w14:solidFill>
          </w14:textFill>
        </w:rPr>
      </w:pPr>
    </w:p>
    <w:p w14:paraId="51DC78C9">
      <w:pPr>
        <w:ind w:firstLine="1760" w:firstLineChars="400"/>
        <w:jc w:val="left"/>
        <w:rPr>
          <w:rFonts w:ascii="宋体" w:hAnsi="宋体"/>
          <w:color w:val="000000" w:themeColor="text1"/>
          <w:sz w:val="44"/>
          <w:highlight w:val="none"/>
          <w14:textFill>
            <w14:solidFill>
              <w14:schemeClr w14:val="tx1"/>
            </w14:solidFill>
          </w14:textFill>
        </w:rPr>
      </w:pPr>
    </w:p>
    <w:p w14:paraId="0E863DAA">
      <w:pPr>
        <w:ind w:firstLine="1760" w:firstLineChars="400"/>
        <w:jc w:val="left"/>
        <w:rPr>
          <w:rFonts w:ascii="宋体" w:hAnsi="宋体"/>
          <w:color w:val="000000" w:themeColor="text1"/>
          <w:sz w:val="44"/>
          <w:highlight w:val="none"/>
          <w14:textFill>
            <w14:solidFill>
              <w14:schemeClr w14:val="tx1"/>
            </w14:solidFill>
          </w14:textFill>
        </w:rPr>
      </w:pPr>
    </w:p>
    <w:p w14:paraId="07421FBC">
      <w:pPr>
        <w:ind w:firstLine="1760" w:firstLineChars="400"/>
        <w:jc w:val="left"/>
        <w:rPr>
          <w:rFonts w:ascii="宋体" w:hAnsi="宋体"/>
          <w:color w:val="000000" w:themeColor="text1"/>
          <w:sz w:val="44"/>
          <w:highlight w:val="none"/>
          <w14:textFill>
            <w14:solidFill>
              <w14:schemeClr w14:val="tx1"/>
            </w14:solidFill>
          </w14:textFill>
        </w:rPr>
      </w:pPr>
    </w:p>
    <w:p w14:paraId="2D4CB437">
      <w:pPr>
        <w:ind w:firstLine="1760" w:firstLineChars="400"/>
        <w:jc w:val="left"/>
        <w:rPr>
          <w:rFonts w:ascii="黑体" w:hAnsi="宋体" w:eastAsia="黑体"/>
          <w:color w:val="000000" w:themeColor="text1"/>
          <w:sz w:val="44"/>
          <w:highlight w:val="none"/>
          <w14:textFill>
            <w14:solidFill>
              <w14:schemeClr w14:val="tx1"/>
            </w14:solidFill>
          </w14:textFill>
        </w:rPr>
      </w:pPr>
    </w:p>
    <w:p w14:paraId="26FB5217">
      <w:pPr>
        <w:spacing w:line="480" w:lineRule="auto"/>
        <w:jc w:val="left"/>
        <w:rPr>
          <w:rFonts w:hint="eastAsia" w:ascii="黑体" w:hAnsi="宋体" w:eastAsia="黑体"/>
          <w:color w:val="000000" w:themeColor="text1"/>
          <w:sz w:val="44"/>
          <w:highlight w:val="none"/>
          <w:lang w:eastAsia="zh-CN"/>
          <w14:textFill>
            <w14:solidFill>
              <w14:schemeClr w14:val="tx1"/>
            </w14:solidFill>
          </w14:textFill>
        </w:rPr>
      </w:pPr>
      <w:bookmarkStart w:id="0" w:name="_Hlt460313659"/>
      <w:bookmarkEnd w:id="0"/>
      <w:bookmarkStart w:id="1" w:name="_Hlt460313661"/>
      <w:bookmarkEnd w:id="1"/>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2122805</wp:posOffset>
                </wp:positionH>
                <wp:positionV relativeFrom="paragraph">
                  <wp:posOffset>358775</wp:posOffset>
                </wp:positionV>
                <wp:extent cx="4108450" cy="1266825"/>
                <wp:effectExtent l="0" t="0" r="0" b="0"/>
                <wp:wrapNone/>
                <wp:docPr id="1" name="矩形 17"/>
                <wp:cNvGraphicFramePr/>
                <a:graphic xmlns:a="http://schemas.openxmlformats.org/drawingml/2006/main">
                  <a:graphicData uri="http://schemas.microsoft.com/office/word/2010/wordprocessingShape">
                    <wps:wsp>
                      <wps:cNvSpPr/>
                      <wps:spPr>
                        <a:xfrm>
                          <a:off x="0" y="0"/>
                          <a:ext cx="4108450" cy="829945"/>
                        </a:xfrm>
                        <a:prstGeom prst="rect">
                          <a:avLst/>
                        </a:prstGeom>
                        <a:noFill/>
                        <a:ln>
                          <a:noFill/>
                        </a:ln>
                        <a:effectLst/>
                      </wps:spPr>
                      <wps:txbx>
                        <w:txbxContent>
                          <w:p w14:paraId="58EB2012">
                            <w:pPr>
                              <w:rPr>
                                <w:rFonts w:hint="eastAsia" w:ascii="黑体" w:hAnsi="宋体" w:eastAsia="黑体"/>
                                <w:color w:val="000000"/>
                                <w:sz w:val="44"/>
                                <w:lang w:eastAsia="zh-CN"/>
                              </w:rPr>
                            </w:pPr>
                            <w:r>
                              <w:rPr>
                                <w:rFonts w:hint="eastAsia" w:ascii="黑体" w:hAnsi="宋体" w:eastAsia="黑体"/>
                                <w:color w:val="000000"/>
                                <w:sz w:val="44"/>
                                <w:lang w:eastAsia="zh-CN"/>
                              </w:rPr>
                              <w:t>2026年园区VOCs站运维服务项目</w:t>
                            </w:r>
                          </w:p>
                        </w:txbxContent>
                      </wps:txbx>
                      <wps:bodyPr wrap="square" upright="1"/>
                    </wps:wsp>
                  </a:graphicData>
                </a:graphic>
              </wp:anchor>
            </w:drawing>
          </mc:Choice>
          <mc:Fallback>
            <w:pict>
              <v:rect id="矩形 17" o:spid="_x0000_s1026" o:spt="1" style="position:absolute;left:0pt;margin-left:167.15pt;margin-top:28.25pt;height:99.75pt;width:323.5pt;z-index:251659264;mso-width-relative:page;mso-height-relative:page;" filled="f" stroked="f" coordsize="21600,21600" o:gfxdata="UEsDBAoAAAAAAIdO4kAAAAAAAAAAAAAAAAAEAAAAZHJzL1BLAwQUAAAACACHTuJASZCTTNwAAAAK&#10;AQAADwAAAGRycy9kb3ducmV2LnhtbE2PwU7DMAyG70i8Q2QkLoglXWm1laY7TEJMCGmiYztnjWkr&#10;Gqdrsna8PdkJjrY//f7+fHUxHRtxcK0lCdFMAEOqrG6plvC5e3lcAHNekVadJZTwgw5Wxe1NrjJt&#10;J/rAsfQ1CyHkMiWh8b7POHdVg0a5me2Rwu3LDkb5MA4114OaQrjp+FyIlBvVUvjQqB7XDVbf5dlI&#10;mKrteNi9v/Ltw2Fj6bQ5rcv9m5T3d5F4Bubx4v9guOoHdSiC09GeSTvWSYjjpzigEpI0ARaA5SIK&#10;i6OEeZIK4EXO/1cofgFQSwMEFAAAAAgAh07iQEomjj+yAQAAXgMAAA4AAABkcnMvZTJvRG9jLnht&#10;bK1TS27bMBDdF+gdCO5rSYbTOoLlbIx0U7QB0h6ApkYWAfGTGdqST1Ogux6ixyl6jQ4l1U3TTRbZ&#10;UMMZ8s17b6jNzWA7cQIk410li0UuBTjta+MOlfzy+fbNWgqKytWq8w4qeQaSN9vXrzZ9KGHpW9/V&#10;gIJBHJV9qGQbYyizjHQLVtHCB3BcbDxaFXmLh6xG1TO67bJlnr/Neo91QK+BiLO7qShnRHwOoG8a&#10;o2Hn9dGCixMqQqciS6LWBJLbkW3TgI6fmoYgiq6SrDSOKzfheJ/WbLtR5QFVaI2eKajnUHiiySrj&#10;uOkFaqeiEkc0/0FZo9GTb+JCe5tNQkZHWEWRP/HmvlUBRi1sNYWL6fRysPrj6Q6FqfklSOGU5YH/&#10;+vr9549voniXzOkDlXzmPtzhvCMOk9KhQZu+rEEMo6Hni6EwRKE5uSry9eqKvdZcWy+vr1dXCTT7&#10;ezsgxffgrUhBJZEHNvqoTh8oTkf/HEnNnL81Xcd5VXbunwRjThkYpz7fTvQnwimKw36YVex9fWbh&#10;PU++kvRwVAhSHAOaQ8s0ipFlusK2j3znJ5Lm+njP8ePfYv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ZCTTNwAAAAKAQAADwAAAAAAAAABACAAAAAiAAAAZHJzL2Rvd25yZXYueG1sUEsBAhQAFAAA&#10;AAgAh07iQEomjj+yAQAAXgMAAA4AAAAAAAAAAQAgAAAAKwEAAGRycy9lMm9Eb2MueG1sUEsFBgAA&#10;AAAGAAYAWQEAAE8FAAAAAA==&#10;">
                <v:fill on="f" focussize="0,0"/>
                <v:stroke on="f"/>
                <v:imagedata o:title=""/>
                <o:lock v:ext="edit" aspectratio="f"/>
                <v:textbox>
                  <w:txbxContent>
                    <w:p w14:paraId="58EB2012">
                      <w:pPr>
                        <w:rPr>
                          <w:rFonts w:hint="eastAsia" w:ascii="黑体" w:hAnsi="宋体" w:eastAsia="黑体"/>
                          <w:color w:val="000000"/>
                          <w:sz w:val="44"/>
                          <w:lang w:eastAsia="zh-CN"/>
                        </w:rPr>
                      </w:pPr>
                      <w:r>
                        <w:rPr>
                          <w:rFonts w:hint="eastAsia" w:ascii="黑体" w:hAnsi="宋体" w:eastAsia="黑体"/>
                          <w:color w:val="000000"/>
                          <w:sz w:val="44"/>
                          <w:lang w:eastAsia="zh-CN"/>
                        </w:rPr>
                        <w:t>2026年园区VOCs站运维服务项目</w:t>
                      </w:r>
                    </w:p>
                  </w:txbxContent>
                </v:textbox>
              </v:rect>
            </w:pict>
          </mc:Fallback>
        </mc:AlternateContent>
      </w:r>
      <w:r>
        <w:rPr>
          <w:rFonts w:hint="eastAsia" w:ascii="黑体" w:hAnsi="宋体" w:eastAsia="黑体"/>
          <w:color w:val="000000" w:themeColor="text1"/>
          <w:sz w:val="44"/>
          <w:highlight w:val="none"/>
          <w14:textFill>
            <w14:solidFill>
              <w14:schemeClr w14:val="tx1"/>
            </w14:solidFill>
          </w14:textFill>
        </w:rPr>
        <w:tab/>
      </w:r>
      <w:r>
        <w:rPr>
          <w:rFonts w:hint="eastAsia" w:ascii="黑体" w:hAnsi="宋体" w:eastAsia="黑体"/>
          <w:color w:val="000000" w:themeColor="text1"/>
          <w:sz w:val="44"/>
          <w:highlight w:val="none"/>
          <w14:textFill>
            <w14:solidFill>
              <w14:schemeClr w14:val="tx1"/>
            </w14:solidFill>
          </w14:textFill>
        </w:rPr>
        <w:tab/>
      </w:r>
      <w:r>
        <w:rPr>
          <w:rFonts w:hint="eastAsia" w:ascii="黑体" w:hAnsi="宋体" w:eastAsia="黑体"/>
          <w:color w:val="000000" w:themeColor="text1"/>
          <w:sz w:val="44"/>
          <w:highlight w:val="none"/>
          <w14:textFill>
            <w14:solidFill>
              <w14:schemeClr w14:val="tx1"/>
            </w14:solidFill>
          </w14:textFill>
        </w:rPr>
        <w:tab/>
      </w:r>
      <w:r>
        <w:rPr>
          <w:rFonts w:hint="eastAsia" w:ascii="黑体" w:hAnsi="宋体" w:eastAsia="黑体"/>
          <w:color w:val="000000" w:themeColor="text1"/>
          <w:sz w:val="44"/>
          <w:highlight w:val="none"/>
          <w14:textFill>
            <w14:solidFill>
              <w14:schemeClr w14:val="tx1"/>
            </w14:solidFill>
          </w14:textFill>
        </w:rPr>
        <w:t>项目编号：</w:t>
      </w:r>
      <w:r>
        <w:rPr>
          <w:rFonts w:hint="eastAsia" w:ascii="黑体" w:hAnsi="宋体" w:eastAsia="黑体"/>
          <w:color w:val="000000" w:themeColor="text1"/>
          <w:sz w:val="44"/>
          <w:highlight w:val="none"/>
          <w:lang w:eastAsia="zh-CN"/>
          <w14:textFill>
            <w14:solidFill>
              <w14:schemeClr w14:val="tx1"/>
            </w14:solidFill>
          </w14:textFill>
        </w:rPr>
        <w:t>NJMT-CG2026-09</w:t>
      </w:r>
    </w:p>
    <w:p w14:paraId="41C0948A">
      <w:pPr>
        <w:spacing w:line="480" w:lineRule="auto"/>
        <w:jc w:val="left"/>
        <w:rPr>
          <w:rFonts w:ascii="黑体" w:hAnsi="宋体" w:eastAsia="黑体"/>
          <w:color w:val="000000" w:themeColor="text1"/>
          <w:sz w:val="44"/>
          <w:highlight w:val="none"/>
          <w14:textFill>
            <w14:solidFill>
              <w14:schemeClr w14:val="tx1"/>
            </w14:solidFill>
          </w14:textFill>
        </w:rPr>
      </w:pPr>
      <w:r>
        <w:rPr>
          <w:rFonts w:hint="eastAsia" w:ascii="黑体" w:hAnsi="宋体" w:eastAsia="黑体"/>
          <w:color w:val="000000" w:themeColor="text1"/>
          <w:sz w:val="44"/>
          <w:highlight w:val="none"/>
          <w14:textFill>
            <w14:solidFill>
              <w14:schemeClr w14:val="tx1"/>
            </w14:solidFill>
          </w14:textFill>
        </w:rPr>
        <w:tab/>
      </w:r>
      <w:r>
        <w:rPr>
          <w:rFonts w:hint="eastAsia" w:ascii="黑体" w:hAnsi="宋体" w:eastAsia="黑体"/>
          <w:color w:val="000000" w:themeColor="text1"/>
          <w:sz w:val="44"/>
          <w:highlight w:val="none"/>
          <w14:textFill>
            <w14:solidFill>
              <w14:schemeClr w14:val="tx1"/>
            </w14:solidFill>
          </w14:textFill>
        </w:rPr>
        <w:tab/>
      </w:r>
      <w:r>
        <w:rPr>
          <w:rFonts w:hint="eastAsia" w:ascii="黑体" w:hAnsi="宋体" w:eastAsia="黑体"/>
          <w:color w:val="000000" w:themeColor="text1"/>
          <w:sz w:val="44"/>
          <w:highlight w:val="none"/>
          <w14:textFill>
            <w14:solidFill>
              <w14:schemeClr w14:val="tx1"/>
            </w14:solidFill>
          </w14:textFill>
        </w:rPr>
        <w:tab/>
      </w:r>
      <w:r>
        <w:rPr>
          <w:rFonts w:hint="eastAsia" w:ascii="黑体" w:hAnsi="宋体" w:eastAsia="黑体"/>
          <w:color w:val="000000" w:themeColor="text1"/>
          <w:sz w:val="44"/>
          <w:highlight w:val="none"/>
          <w14:textFill>
            <w14:solidFill>
              <w14:schemeClr w14:val="tx1"/>
            </w14:solidFill>
          </w14:textFill>
        </w:rPr>
        <w:t xml:space="preserve">项目名称： </w:t>
      </w:r>
    </w:p>
    <w:p w14:paraId="6AFB3E09">
      <w:pPr>
        <w:jc w:val="left"/>
        <w:rPr>
          <w:rFonts w:ascii="黑体" w:hAnsi="宋体" w:eastAsia="黑体"/>
          <w:color w:val="000000" w:themeColor="text1"/>
          <w:sz w:val="32"/>
          <w:highlight w:val="none"/>
          <w14:textFill>
            <w14:solidFill>
              <w14:schemeClr w14:val="tx1"/>
            </w14:solidFill>
          </w14:textFill>
        </w:rPr>
      </w:pPr>
    </w:p>
    <w:p w14:paraId="7CCB8CAC">
      <w:pPr>
        <w:jc w:val="left"/>
        <w:rPr>
          <w:rFonts w:ascii="黑体" w:hAnsi="宋体" w:eastAsia="黑体"/>
          <w:color w:val="000000" w:themeColor="text1"/>
          <w:sz w:val="44"/>
          <w:highlight w:val="none"/>
          <w14:textFill>
            <w14:solidFill>
              <w14:schemeClr w14:val="tx1"/>
            </w14:solidFill>
          </w14:textFill>
        </w:rPr>
      </w:pPr>
    </w:p>
    <w:p w14:paraId="24B4E88F">
      <w:pPr>
        <w:jc w:val="left"/>
        <w:rPr>
          <w:rFonts w:ascii="黑体" w:hAnsi="宋体" w:eastAsia="黑体"/>
          <w:color w:val="000000" w:themeColor="text1"/>
          <w:sz w:val="32"/>
          <w:highlight w:val="none"/>
          <w14:textFill>
            <w14:solidFill>
              <w14:schemeClr w14:val="tx1"/>
            </w14:solidFill>
          </w14:textFill>
        </w:rPr>
      </w:pPr>
    </w:p>
    <w:p w14:paraId="7E6758C0">
      <w:pPr>
        <w:jc w:val="left"/>
        <w:rPr>
          <w:rFonts w:ascii="黑体" w:hAnsi="黑体" w:eastAsia="黑体"/>
          <w:color w:val="000000" w:themeColor="text1"/>
          <w:sz w:val="32"/>
          <w:highlight w:val="none"/>
          <w14:textFill>
            <w14:solidFill>
              <w14:schemeClr w14:val="tx1"/>
            </w14:solidFill>
          </w14:textFill>
        </w:rPr>
      </w:pPr>
    </w:p>
    <w:p w14:paraId="1B203E61">
      <w:pPr>
        <w:jc w:val="left"/>
        <w:rPr>
          <w:rFonts w:ascii="黑体" w:hAnsi="黑体" w:eastAsia="黑体"/>
          <w:color w:val="000000" w:themeColor="text1"/>
          <w:sz w:val="32"/>
          <w:highlight w:val="none"/>
          <w14:textFill>
            <w14:solidFill>
              <w14:schemeClr w14:val="tx1"/>
            </w14:solidFill>
          </w14:textFill>
        </w:rPr>
      </w:pPr>
    </w:p>
    <w:p w14:paraId="6BDB8D62">
      <w:pPr>
        <w:jc w:val="left"/>
        <w:rPr>
          <w:rFonts w:ascii="黑体" w:hAnsi="黑体" w:eastAsia="黑体"/>
          <w:color w:val="000000" w:themeColor="text1"/>
          <w:sz w:val="32"/>
          <w:highlight w:val="none"/>
          <w14:textFill>
            <w14:solidFill>
              <w14:schemeClr w14:val="tx1"/>
            </w14:solidFill>
          </w14:textFill>
        </w:rPr>
      </w:pPr>
    </w:p>
    <w:p w14:paraId="3B714C96">
      <w:pPr>
        <w:jc w:val="left"/>
        <w:rPr>
          <w:rFonts w:ascii="黑体" w:hAnsi="宋体" w:eastAsia="黑体"/>
          <w:color w:val="000000" w:themeColor="text1"/>
          <w:sz w:val="44"/>
          <w:highlight w:val="none"/>
          <w14:textFill>
            <w14:solidFill>
              <w14:schemeClr w14:val="tx1"/>
            </w14:solidFill>
          </w14:textFill>
        </w:rPr>
      </w:pPr>
    </w:p>
    <w:p w14:paraId="2C1CECA8">
      <w:pPr>
        <w:jc w:val="center"/>
        <w:rPr>
          <w:rFonts w:ascii="黑体" w:hAnsi="宋体" w:eastAsia="黑体"/>
          <w:color w:val="000000" w:themeColor="text1"/>
          <w:sz w:val="44"/>
          <w:highlight w:val="none"/>
          <w14:textFill>
            <w14:solidFill>
              <w14:schemeClr w14:val="tx1"/>
            </w14:solidFill>
          </w14:textFill>
        </w:rPr>
      </w:pPr>
      <w:r>
        <w:rPr>
          <w:rFonts w:ascii="黑体" w:hAnsi="宋体" w:eastAsia="黑体"/>
          <w:color w:val="000000" w:themeColor="text1"/>
          <w:sz w:val="44"/>
          <w:highlight w:val="none"/>
          <w14:textFill>
            <w14:solidFill>
              <w14:schemeClr w14:val="tx1"/>
            </w14:solidFill>
          </w14:textFill>
        </w:rPr>
        <w:t>南京麻田工程咨询有限公司</w:t>
      </w:r>
    </w:p>
    <w:p w14:paraId="362FFAE9">
      <w:pPr>
        <w:jc w:val="center"/>
        <w:rPr>
          <w:color w:val="000000" w:themeColor="text1"/>
          <w:highlight w:val="none"/>
          <w14:textFill>
            <w14:solidFill>
              <w14:schemeClr w14:val="tx1"/>
            </w14:solidFill>
          </w14:textFill>
        </w:rPr>
      </w:pPr>
      <w:r>
        <w:rPr>
          <w:rFonts w:hint="eastAsia" w:ascii="黑体" w:hAnsi="宋体" w:eastAsia="黑体"/>
          <w:color w:val="000000" w:themeColor="text1"/>
          <w:sz w:val="44"/>
          <w:highlight w:val="none"/>
          <w14:textFill>
            <w14:solidFill>
              <w14:schemeClr w14:val="tx1"/>
            </w14:solidFill>
          </w14:textFill>
        </w:rPr>
        <w:t>二〇二</w:t>
      </w:r>
      <w:r>
        <w:rPr>
          <w:rFonts w:hint="eastAsia" w:ascii="黑体" w:hAnsi="宋体" w:eastAsia="黑体"/>
          <w:color w:val="000000" w:themeColor="text1"/>
          <w:sz w:val="44"/>
          <w:highlight w:val="none"/>
          <w:lang w:val="en-US" w:eastAsia="zh-CN"/>
          <w14:textFill>
            <w14:solidFill>
              <w14:schemeClr w14:val="tx1"/>
            </w14:solidFill>
          </w14:textFill>
        </w:rPr>
        <w:t>六</w:t>
      </w:r>
      <w:r>
        <w:rPr>
          <w:rFonts w:hint="eastAsia" w:ascii="黑体" w:hAnsi="宋体" w:eastAsia="黑体"/>
          <w:color w:val="000000" w:themeColor="text1"/>
          <w:sz w:val="44"/>
          <w:highlight w:val="none"/>
          <w14:textFill>
            <w14:solidFill>
              <w14:schemeClr w14:val="tx1"/>
            </w14:solidFill>
          </w14:textFill>
        </w:rPr>
        <w:t>年</w:t>
      </w:r>
      <w:r>
        <w:rPr>
          <w:rFonts w:hint="eastAsia" w:ascii="黑体" w:hAnsi="宋体" w:eastAsia="黑体"/>
          <w:color w:val="000000" w:themeColor="text1"/>
          <w:sz w:val="44"/>
          <w:highlight w:val="none"/>
          <w:lang w:val="en-US" w:eastAsia="zh-CN"/>
          <w14:textFill>
            <w14:solidFill>
              <w14:schemeClr w14:val="tx1"/>
            </w14:solidFill>
          </w14:textFill>
        </w:rPr>
        <w:t>四</w:t>
      </w:r>
      <w:r>
        <w:rPr>
          <w:rFonts w:hint="eastAsia" w:ascii="黑体" w:hAnsi="宋体" w:eastAsia="黑体"/>
          <w:color w:val="000000" w:themeColor="text1"/>
          <w:sz w:val="44"/>
          <w:highlight w:val="none"/>
          <w14:textFill>
            <w14:solidFill>
              <w14:schemeClr w14:val="tx1"/>
            </w14:solidFill>
          </w14:textFill>
        </w:rPr>
        <w:t>月</w:t>
      </w:r>
    </w:p>
    <w:p w14:paraId="0121553D">
      <w:pPr>
        <w:jc w:val="left"/>
        <w:rPr>
          <w:color w:val="000000" w:themeColor="text1"/>
          <w:highlight w:val="none"/>
          <w14:textFill>
            <w14:solidFill>
              <w14:schemeClr w14:val="tx1"/>
            </w14:solidFill>
          </w14:textFill>
        </w:rPr>
      </w:pPr>
    </w:p>
    <w:p w14:paraId="1769E913">
      <w:pPr>
        <w:jc w:val="left"/>
        <w:rPr>
          <w:color w:val="000000" w:themeColor="text1"/>
          <w:highlight w:val="none"/>
          <w14:textFill>
            <w14:solidFill>
              <w14:schemeClr w14:val="tx1"/>
            </w14:solidFill>
          </w14:textFill>
        </w:rPr>
      </w:pPr>
    </w:p>
    <w:p w14:paraId="58887806">
      <w:pPr>
        <w:rPr>
          <w:rFonts w:ascii="宋体" w:hAnsi="宋体"/>
          <w:color w:val="000000" w:themeColor="text1"/>
          <w:sz w:val="30"/>
          <w:szCs w:val="30"/>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br w:type="page"/>
      </w:r>
    </w:p>
    <w:p w14:paraId="7280A00A">
      <w:pPr>
        <w:tabs>
          <w:tab w:val="left" w:pos="1635"/>
        </w:tabs>
        <w:spacing w:line="480" w:lineRule="auto"/>
        <w:ind w:firstLine="301" w:firstLineChars="100"/>
        <w:jc w:val="center"/>
        <w:rPr>
          <w:rFonts w:ascii="黑体" w:hAnsi="宋体" w:eastAsia="黑体"/>
          <w:b/>
          <w:color w:val="000000" w:themeColor="text1"/>
          <w:sz w:val="30"/>
          <w:szCs w:val="30"/>
          <w:highlight w:val="none"/>
          <w14:textFill>
            <w14:solidFill>
              <w14:schemeClr w14:val="tx1"/>
            </w14:solidFill>
          </w14:textFill>
        </w:rPr>
      </w:pPr>
      <w:r>
        <w:rPr>
          <w:rFonts w:hint="eastAsia" w:ascii="黑体" w:hAnsi="宋体" w:eastAsia="黑体"/>
          <w:b/>
          <w:color w:val="000000" w:themeColor="text1"/>
          <w:sz w:val="30"/>
          <w:szCs w:val="30"/>
          <w:highlight w:val="none"/>
          <w14:textFill>
            <w14:solidFill>
              <w14:schemeClr w14:val="tx1"/>
            </w14:solidFill>
          </w14:textFill>
        </w:rPr>
        <w:t>目  录</w:t>
      </w:r>
    </w:p>
    <w:p w14:paraId="66C5FB87">
      <w:pPr>
        <w:jc w:val="left"/>
        <w:rPr>
          <w:color w:val="000000" w:themeColor="text1"/>
          <w:highlight w:val="none"/>
          <w14:textFill>
            <w14:solidFill>
              <w14:schemeClr w14:val="tx1"/>
            </w14:solidFill>
          </w14:textFill>
        </w:rPr>
      </w:pPr>
    </w:p>
    <w:p w14:paraId="5B36B169">
      <w:pPr>
        <w:pStyle w:val="25"/>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olor w:val="000000" w:themeColor="text1"/>
          <w:szCs w:val="21"/>
          <w:highlight w:val="none"/>
          <w14:textFill>
            <w14:solidFill>
              <w14:schemeClr w14:val="tx1"/>
            </w14:solidFill>
          </w14:textFill>
        </w:rPr>
        <w:instrText xml:space="preserve">TOC \o "1-3" \h \z \u</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highlight w:val="none"/>
        </w:rPr>
        <w:fldChar w:fldCharType="begin"/>
      </w:r>
      <w:r>
        <w:rPr>
          <w:highlight w:val="none"/>
        </w:rPr>
        <w:instrText xml:space="preserve"> HYPERLINK \l "_Toc185323371"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第一章 磋商邀请</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_Toc185323371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3</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5E4AE548">
      <w:pPr>
        <w:pStyle w:val="25"/>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"_Toc185323372"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第二章</w:t>
      </w:r>
      <w:r>
        <w:rPr>
          <w:rStyle w:val="44"/>
          <w:rFonts w:asciiTheme="minorEastAsia" w:hAnsiTheme="minorEastAsia" w:eastAsiaTheme="minorEastAsia"/>
          <w:color w:val="000000" w:themeColor="text1"/>
          <w:szCs w:val="21"/>
          <w:highlight w:val="none"/>
          <w14:textFill>
            <w14:solidFill>
              <w14:schemeClr w14:val="tx1"/>
            </w14:solidFill>
          </w14:textFill>
        </w:rPr>
        <w:t xml:space="preserve"> </w:t>
      </w:r>
      <w:r>
        <w:rPr>
          <w:rStyle w:val="44"/>
          <w:rFonts w:hint="eastAsia" w:asciiTheme="minorEastAsia" w:hAnsiTheme="minorEastAsia" w:eastAsiaTheme="minorEastAsia"/>
          <w:color w:val="000000" w:themeColor="text1"/>
          <w:szCs w:val="21"/>
          <w:highlight w:val="none"/>
          <w14:textFill>
            <w14:solidFill>
              <w14:schemeClr w14:val="tx1"/>
            </w14:solidFill>
          </w14:textFill>
        </w:rPr>
        <w:t>竞争性磋商须知</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_Toc185323372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7</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4C2CEABB">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"_Toc185323373"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一、总则</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_Toc185323373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9</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2CBED096">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"_Toc185323374"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二、响应性文件的编制</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_Toc185323374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14</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2CE840EA">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"_Toc185323375"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三、响应性文件递交</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_Toc185323375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16</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761C02C0">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"_Toc185323376"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四、磋商</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_Toc185323376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16</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7616E38E">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"_Toc185323377"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五、无效磋商响应文件</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_Toc185323377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17</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145EF57E">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"_Toc185323378"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六、成交及合同授予</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_Toc185323378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18</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5F4BE937">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"_Toc185323379"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七、无成交供应商原因</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_Toc185323379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19</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21BB6CEB">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"_Toc185323380"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八、质疑和投诉</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_Toc185323380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19</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117677F4">
      <w:pPr>
        <w:pStyle w:val="25"/>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"_Toc185323381"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第三章</w:t>
      </w:r>
      <w:r>
        <w:rPr>
          <w:rStyle w:val="44"/>
          <w:rFonts w:asciiTheme="minorEastAsia" w:hAnsiTheme="minorEastAsia" w:eastAsiaTheme="minorEastAsia"/>
          <w:color w:val="000000" w:themeColor="text1"/>
          <w:szCs w:val="21"/>
          <w:highlight w:val="none"/>
          <w14:textFill>
            <w14:solidFill>
              <w14:schemeClr w14:val="tx1"/>
            </w14:solidFill>
          </w14:textFill>
        </w:rPr>
        <w:t xml:space="preserve"> </w:t>
      </w:r>
      <w:r>
        <w:rPr>
          <w:rStyle w:val="44"/>
          <w:rFonts w:hint="eastAsia" w:asciiTheme="minorEastAsia" w:hAnsiTheme="minorEastAsia" w:eastAsiaTheme="minorEastAsia"/>
          <w:color w:val="000000" w:themeColor="text1"/>
          <w:szCs w:val="21"/>
          <w:highlight w:val="none"/>
          <w14:textFill>
            <w14:solidFill>
              <w14:schemeClr w14:val="tx1"/>
            </w14:solidFill>
          </w14:textFill>
        </w:rPr>
        <w:t>磋商项目需求</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_Toc185323381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20</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005217FD">
      <w:pPr>
        <w:pStyle w:val="25"/>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"_Toc185323382" </w:instrText>
      </w:r>
      <w:r>
        <w:rPr>
          <w:highlight w:val="none"/>
        </w:rPr>
        <w:fldChar w:fldCharType="separate"/>
      </w:r>
      <w:r>
        <w:rPr>
          <w:rStyle w:val="44"/>
          <w:rFonts w:hint="eastAsia" w:asciiTheme="minorEastAsia" w:hAnsiTheme="minorEastAsia" w:eastAsiaTheme="minorEastAsia"/>
          <w:color w:val="000000" w:themeColor="text1"/>
          <w:szCs w:val="21"/>
          <w:highlight w:val="none"/>
          <w:lang w:val="zh-CN"/>
          <w14:textFill>
            <w14:solidFill>
              <w14:schemeClr w14:val="tx1"/>
            </w14:solidFill>
          </w14:textFill>
        </w:rPr>
        <w:t>第四章</w:t>
      </w:r>
      <w:r>
        <w:rPr>
          <w:rStyle w:val="44"/>
          <w:rFonts w:asciiTheme="minorEastAsia" w:hAnsiTheme="minorEastAsia" w:eastAsiaTheme="minorEastAsia"/>
          <w:color w:val="000000" w:themeColor="text1"/>
          <w:szCs w:val="21"/>
          <w:highlight w:val="none"/>
          <w:lang w:val="zh-CN"/>
          <w14:textFill>
            <w14:solidFill>
              <w14:schemeClr w14:val="tx1"/>
            </w14:solidFill>
          </w14:textFill>
        </w:rPr>
        <w:t xml:space="preserve"> </w:t>
      </w:r>
      <w:r>
        <w:rPr>
          <w:rStyle w:val="44"/>
          <w:rFonts w:hint="eastAsia" w:asciiTheme="minorEastAsia" w:hAnsiTheme="minorEastAsia" w:eastAsiaTheme="minorEastAsia"/>
          <w:color w:val="000000" w:themeColor="text1"/>
          <w:szCs w:val="21"/>
          <w:highlight w:val="none"/>
          <w:lang w:val="zh-CN"/>
          <w14:textFill>
            <w14:solidFill>
              <w14:schemeClr w14:val="tx1"/>
            </w14:solidFill>
          </w14:textFill>
        </w:rPr>
        <w:t>评分标准</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_Toc185323382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25</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67E8F576">
      <w:pPr>
        <w:pStyle w:val="25"/>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"_Toc185323383"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第五章</w:t>
      </w:r>
      <w:r>
        <w:rPr>
          <w:rStyle w:val="44"/>
          <w:rFonts w:asciiTheme="minorEastAsia" w:hAnsiTheme="minorEastAsia" w:eastAsiaTheme="minorEastAsia"/>
          <w:color w:val="000000" w:themeColor="text1"/>
          <w:szCs w:val="21"/>
          <w:highlight w:val="none"/>
          <w14:textFill>
            <w14:solidFill>
              <w14:schemeClr w14:val="tx1"/>
            </w14:solidFill>
          </w14:textFill>
        </w:rPr>
        <w:t xml:space="preserve">   </w:t>
      </w:r>
      <w:r>
        <w:rPr>
          <w:rStyle w:val="44"/>
          <w:rFonts w:hint="eastAsia" w:asciiTheme="minorEastAsia" w:hAnsiTheme="minorEastAsia" w:eastAsiaTheme="minorEastAsia"/>
          <w:color w:val="000000" w:themeColor="text1"/>
          <w:szCs w:val="21"/>
          <w:highlight w:val="none"/>
          <w14:textFill>
            <w14:solidFill>
              <w14:schemeClr w14:val="tx1"/>
            </w14:solidFill>
          </w14:textFill>
        </w:rPr>
        <w:t>合同</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_Toc185323383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28</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2F62FB6A">
      <w:pPr>
        <w:pStyle w:val="25"/>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"_Toc185323384"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第六章 磋商响应文件</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_Toc185323384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39</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352EA7E7">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"_Toc185323385"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一、磋商申请及声明</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_Toc185323385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41</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335F73BD">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"_Toc185323386"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二、法定代表人授权委托书</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_Toc185323386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42</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78945ABE">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"_Toc185323387"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三、磋商报价汇总表</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_Toc185323387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43</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7BC31F73">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"_Toc185323388"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四、</w:t>
      </w:r>
      <w:r>
        <w:rPr>
          <w:rStyle w:val="44"/>
          <w:rFonts w:hint="eastAsia" w:cs="黑体" w:asciiTheme="minorEastAsia" w:hAnsiTheme="minorEastAsia" w:eastAsiaTheme="minorEastAsia"/>
          <w:bCs/>
          <w:color w:val="000000" w:themeColor="text1"/>
          <w:szCs w:val="21"/>
          <w:highlight w:val="none"/>
          <w:lang w:val="zh-CN"/>
          <w14:textFill>
            <w14:solidFill>
              <w14:schemeClr w14:val="tx1"/>
            </w14:solidFill>
          </w14:textFill>
        </w:rPr>
        <w:t>资格证明文件</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_Toc185323388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46</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2A6BFC84">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"_Toc185323389" </w:instrText>
      </w:r>
      <w:r>
        <w:rPr>
          <w:highlight w:val="none"/>
        </w:rPr>
        <w:fldChar w:fldCharType="separate"/>
      </w:r>
      <w:r>
        <w:rPr>
          <w:rStyle w:val="44"/>
          <w:rFonts w:hint="eastAsia" w:cs="宋体" w:asciiTheme="minorEastAsia" w:hAnsiTheme="minorEastAsia" w:eastAsiaTheme="minorEastAsia"/>
          <w:color w:val="000000" w:themeColor="text1"/>
          <w:szCs w:val="21"/>
          <w:highlight w:val="none"/>
          <w14:textFill>
            <w14:solidFill>
              <w14:schemeClr w14:val="tx1"/>
            </w14:solidFill>
          </w14:textFill>
        </w:rPr>
        <w:t>五</w:t>
      </w:r>
      <w:r>
        <w:rPr>
          <w:rStyle w:val="44"/>
          <w:rFonts w:hint="eastAsia" w:cs="宋体" w:asciiTheme="minorEastAsia" w:hAnsiTheme="minorEastAsia" w:eastAsiaTheme="minorEastAsia"/>
          <w:color w:val="000000" w:themeColor="text1"/>
          <w:szCs w:val="21"/>
          <w:highlight w:val="none"/>
          <w:lang w:val="zh-CN"/>
          <w14:textFill>
            <w14:solidFill>
              <w14:schemeClr w14:val="tx1"/>
            </w14:solidFill>
          </w14:textFill>
        </w:rPr>
        <w:t>、供应商基本情况说明</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_Toc185323389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46</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4A38B4D7">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"_Toc185323390"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六、技术要求</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_Toc185323390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47</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4D29B65F">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"_Toc185323391"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七、项目组成员一览表</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_Toc185323391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47</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79F33B72">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"_Toc185323392"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八、无重大违法记录声明格式</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_Toc185323392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48</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239ED033">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"_Toc185323393" </w:instrText>
      </w:r>
      <w:r>
        <w:rPr>
          <w:highlight w:val="none"/>
        </w:rPr>
        <w:fldChar w:fldCharType="separate"/>
      </w:r>
      <w:r>
        <w:rPr>
          <w:rStyle w:val="44"/>
          <w:rFonts w:hint="eastAsia" w:cs="黑体" w:asciiTheme="minorEastAsia" w:hAnsiTheme="minorEastAsia" w:eastAsiaTheme="minorEastAsia"/>
          <w:bCs/>
          <w:color w:val="000000" w:themeColor="text1"/>
          <w:szCs w:val="21"/>
          <w:highlight w:val="none"/>
          <w14:textFill>
            <w14:solidFill>
              <w14:schemeClr w14:val="tx1"/>
            </w14:solidFill>
          </w14:textFill>
        </w:rPr>
        <w:t>九</w:t>
      </w:r>
      <w:r>
        <w:rPr>
          <w:rStyle w:val="44"/>
          <w:rFonts w:hint="eastAsia" w:cs="黑体" w:asciiTheme="minorEastAsia" w:hAnsiTheme="minorEastAsia" w:eastAsiaTheme="minorEastAsia"/>
          <w:bCs/>
          <w:color w:val="000000" w:themeColor="text1"/>
          <w:szCs w:val="21"/>
          <w:highlight w:val="none"/>
          <w:lang w:val="zh-CN"/>
          <w14:textFill>
            <w14:solidFill>
              <w14:schemeClr w14:val="tx1"/>
            </w14:solidFill>
          </w14:textFill>
        </w:rPr>
        <w:t>、具备履行合同所必需的设备和专业技术能力的书面声明</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_Toc185323393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48</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4E4BE7B7">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"_Toc185323394"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十、售后服务承诺书</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_Toc185323394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49</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0EDFF051">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"_Toc185323395"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十一、中小企业声明函</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_Toc185323395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49</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731897A7">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"_Toc185323396"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十二、残疾人福利性单位声明函</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_Toc185323396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50</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55548832">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"_Toc185323397"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十三：技术条款偏离表格式</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_Toc185323397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51</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22D8A99E">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"_Toc185323398" </w:instrText>
      </w:r>
      <w:r>
        <w:rPr>
          <w:highlight w:val="none"/>
        </w:rPr>
        <w:fldChar w:fldCharType="separate"/>
      </w:r>
      <w:r>
        <w:rPr>
          <w:rStyle w:val="44"/>
          <w:rFonts w:hint="eastAsia" w:asciiTheme="minorEastAsia" w:hAnsiTheme="minorEastAsia" w:eastAsiaTheme="minorEastAsia"/>
          <w:color w:val="000000" w:themeColor="text1"/>
          <w:szCs w:val="21"/>
          <w:highlight w:val="none"/>
          <w14:textFill>
            <w14:solidFill>
              <w14:schemeClr w14:val="tx1"/>
            </w14:solidFill>
          </w14:textFill>
        </w:rPr>
        <w:t>十四：商务条款偏离表格式</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_Toc185323398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52</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07F6E02F">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"_Toc185323399" </w:instrText>
      </w:r>
      <w:r>
        <w:rPr>
          <w:highlight w:val="none"/>
        </w:rPr>
        <w:fldChar w:fldCharType="separate"/>
      </w:r>
      <w:r>
        <w:rPr>
          <w:rStyle w:val="44"/>
          <w:rFonts w:hint="eastAsia" w:cs="黑体" w:asciiTheme="minorEastAsia" w:hAnsiTheme="minorEastAsia" w:eastAsiaTheme="minorEastAsia"/>
          <w:bCs/>
          <w:color w:val="000000" w:themeColor="text1"/>
          <w:szCs w:val="21"/>
          <w:highlight w:val="none"/>
          <w14:textFill>
            <w14:solidFill>
              <w14:schemeClr w14:val="tx1"/>
            </w14:solidFill>
          </w14:textFill>
        </w:rPr>
        <w:t>十五、南京市政府采购供应商信用记录表暨信用承诺书（附件）</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_Toc185323399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53</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34081547">
      <w:pPr>
        <w:pStyle w:val="30"/>
        <w:tabs>
          <w:tab w:val="right" w:leader="dot" w:pos="9459"/>
        </w:tabs>
        <w:spacing w:line="380" w:lineRule="exact"/>
        <w:rPr>
          <w:rFonts w:asciiTheme="minorEastAsia" w:hAnsiTheme="minorEastAsia" w:eastAsiaTheme="minorEastAsia" w:cstheme="minorBidi"/>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\l "_Toc185323400" </w:instrText>
      </w:r>
      <w:r>
        <w:rPr>
          <w:highlight w:val="none"/>
        </w:rPr>
        <w:fldChar w:fldCharType="separate"/>
      </w:r>
      <w:r>
        <w:rPr>
          <w:rStyle w:val="44"/>
          <w:rFonts w:hint="eastAsia" w:cs="黑体" w:asciiTheme="minorEastAsia" w:hAnsiTheme="minorEastAsia" w:eastAsiaTheme="minorEastAsia"/>
          <w:bCs/>
          <w:color w:val="000000" w:themeColor="text1"/>
          <w:szCs w:val="21"/>
          <w:highlight w:val="none"/>
          <w14:textFill>
            <w14:solidFill>
              <w14:schemeClr w14:val="tx1"/>
            </w14:solidFill>
          </w14:textFill>
        </w:rPr>
        <w:t>十六、其他</w:t>
      </w:r>
      <w:r>
        <w:rPr>
          <w:rFonts w:asciiTheme="minorEastAsia" w:hAnsiTheme="minorEastAsia" w:eastAsiaTheme="minorEastAsia"/>
          <w:color w:val="000000" w:themeColor="text1"/>
          <w:szCs w:val="21"/>
          <w:highlight w:val="none"/>
          <w14:textFill>
            <w14:solidFill>
              <w14:schemeClr w14:val="tx1"/>
            </w14:solidFill>
          </w14:textFill>
        </w:rPr>
        <w:tab/>
      </w:r>
      <w:r>
        <w:rPr>
          <w:rFonts w:asciiTheme="minorEastAsia" w:hAnsiTheme="minorEastAsia" w:eastAsiaTheme="minorEastAsia"/>
          <w:color w:val="000000" w:themeColor="text1"/>
          <w:szCs w:val="21"/>
          <w:highlight w:val="none"/>
          <w14:textFill>
            <w14:solidFill>
              <w14:schemeClr w14:val="tx1"/>
            </w14:solidFill>
          </w14:textFill>
        </w:rPr>
        <w:fldChar w:fldCharType="begin"/>
      </w:r>
      <w:r>
        <w:rPr>
          <w:rFonts w:asciiTheme="minorEastAsia" w:hAnsiTheme="minorEastAsia" w:eastAsiaTheme="minorEastAsia"/>
          <w:color w:val="000000" w:themeColor="text1"/>
          <w:szCs w:val="21"/>
          <w:highlight w:val="none"/>
          <w14:textFill>
            <w14:solidFill>
              <w14:schemeClr w14:val="tx1"/>
            </w14:solidFill>
          </w14:textFill>
        </w:rPr>
        <w:instrText xml:space="preserve"> PAGEREF _Toc185323400 \h </w:instrText>
      </w:r>
      <w:r>
        <w:rPr>
          <w:rFonts w:asciiTheme="minorEastAsia" w:hAnsiTheme="minorEastAsia" w:eastAsiaTheme="minorEastAsia"/>
          <w:color w:val="000000" w:themeColor="text1"/>
          <w:szCs w:val="21"/>
          <w:highlight w:val="none"/>
          <w14:textFill>
            <w14:solidFill>
              <w14:schemeClr w14:val="tx1"/>
            </w14:solidFill>
          </w14:textFill>
        </w:rPr>
        <w:fldChar w:fldCharType="separate"/>
      </w:r>
      <w:r>
        <w:rPr>
          <w:rFonts w:asciiTheme="minorEastAsia" w:hAnsiTheme="minorEastAsia" w:eastAsiaTheme="minorEastAsia"/>
          <w:color w:val="000000" w:themeColor="text1"/>
          <w:szCs w:val="21"/>
          <w:highlight w:val="none"/>
          <w14:textFill>
            <w14:solidFill>
              <w14:schemeClr w14:val="tx1"/>
            </w14:solidFill>
          </w14:textFill>
        </w:rPr>
        <w:t>54</w:t>
      </w:r>
      <w:r>
        <w:rPr>
          <w:rFonts w:asciiTheme="minorEastAsia" w:hAnsiTheme="minorEastAsia" w:eastAsiaTheme="minorEastAsia"/>
          <w:color w:val="000000" w:themeColor="text1"/>
          <w:szCs w:val="21"/>
          <w:highlight w:val="none"/>
          <w14:textFill>
            <w14:solidFill>
              <w14:schemeClr w14:val="tx1"/>
            </w14:solidFill>
          </w14:textFill>
        </w:rPr>
        <w:fldChar w:fldCharType="end"/>
      </w: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254E76EA">
      <w:pPr>
        <w:pStyle w:val="25"/>
        <w:tabs>
          <w:tab w:val="right" w:leader="dot" w:pos="9345"/>
        </w:tabs>
        <w:adjustRightInd w:val="0"/>
        <w:snapToGrid w:val="0"/>
        <w:spacing w:line="380" w:lineRule="exact"/>
        <w:jc w:val="left"/>
        <w:rPr>
          <w:color w:val="000000" w:themeColor="text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fldChar w:fldCharType="end"/>
      </w:r>
    </w:p>
    <w:p w14:paraId="735A4C1A">
      <w:pPr>
        <w:pStyle w:val="25"/>
        <w:tabs>
          <w:tab w:val="right" w:leader="dot" w:pos="9345"/>
        </w:tabs>
        <w:jc w:val="left"/>
        <w:rPr>
          <w:rFonts w:ascii="宋体" w:hAnsi="宋体"/>
          <w:color w:val="000000" w:themeColor="text1"/>
          <w:sz w:val="24"/>
          <w:highlight w:val="none"/>
          <w14:textFill>
            <w14:solidFill>
              <w14:schemeClr w14:val="tx1"/>
            </w14:solidFill>
          </w14:textFill>
        </w:rPr>
      </w:pPr>
    </w:p>
    <w:p w14:paraId="1F12FEB2">
      <w:pPr>
        <w:rPr>
          <w:color w:val="000000" w:themeColor="text1"/>
          <w:highlight w:val="none"/>
          <w14:textFill>
            <w14:solidFill>
              <w14:schemeClr w14:val="tx1"/>
            </w14:solidFill>
          </w14:textFill>
        </w:rPr>
      </w:pPr>
    </w:p>
    <w:p w14:paraId="3251937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CC71F40">
      <w:pPr>
        <w:numPr>
          <w:ilvl w:val="0"/>
          <w:numId w:val="3"/>
        </w:numPr>
        <w:spacing w:beforeLines="50" w:afterLines="50" w:line="460" w:lineRule="exact"/>
        <w:jc w:val="center"/>
        <w:outlineLvl w:val="0"/>
        <w:rPr>
          <w:rFonts w:ascii="黑体" w:hAnsi="宋体" w:eastAsia="黑体"/>
          <w:color w:val="000000" w:themeColor="text1"/>
          <w:sz w:val="30"/>
          <w:szCs w:val="30"/>
          <w:highlight w:val="none"/>
          <w14:textFill>
            <w14:solidFill>
              <w14:schemeClr w14:val="tx1"/>
            </w14:solidFill>
          </w14:textFill>
        </w:rPr>
      </w:pPr>
      <w:bookmarkStart w:id="2" w:name="_Toc185323371"/>
      <w:bookmarkStart w:id="3" w:name="_Toc31992"/>
      <w:bookmarkStart w:id="4" w:name="_Toc5332"/>
      <w:r>
        <w:rPr>
          <w:rFonts w:hint="eastAsia" w:ascii="黑体" w:hAnsi="宋体" w:eastAsia="黑体"/>
          <w:color w:val="000000" w:themeColor="text1"/>
          <w:sz w:val="30"/>
          <w:szCs w:val="30"/>
          <w:highlight w:val="none"/>
          <w14:textFill>
            <w14:solidFill>
              <w14:schemeClr w14:val="tx1"/>
            </w14:solidFill>
          </w14:textFill>
        </w:rPr>
        <w:t>磋商邀请</w:t>
      </w:r>
      <w:bookmarkEnd w:id="2"/>
      <w:bookmarkEnd w:id="3"/>
      <w:bookmarkEnd w:id="4"/>
    </w:p>
    <w:p w14:paraId="23ABB7D9">
      <w:pPr>
        <w:spacing w:line="360" w:lineRule="auto"/>
        <w:jc w:val="center"/>
        <w:rPr>
          <w:rFonts w:ascii="宋体" w:hAnsi="宋体" w:cs="宋体"/>
          <w:color w:val="000000" w:themeColor="text1"/>
          <w:spacing w:val="-10"/>
          <w:sz w:val="36"/>
          <w:szCs w:val="36"/>
          <w:highlight w:val="none"/>
          <w14:textFill>
            <w14:solidFill>
              <w14:schemeClr w14:val="tx1"/>
            </w14:solidFill>
          </w14:textFill>
        </w:rPr>
      </w:pPr>
      <w:bookmarkStart w:id="5" w:name="_Toc15802"/>
      <w:bookmarkStart w:id="6" w:name="_Toc19414"/>
      <w:bookmarkStart w:id="7" w:name="_Toc7811"/>
      <w:bookmarkStart w:id="8" w:name="_Toc965"/>
      <w:bookmarkStart w:id="9" w:name="_Toc22387"/>
      <w:bookmarkStart w:id="10" w:name="_Toc21835"/>
      <w:bookmarkStart w:id="11" w:name="_Toc5128"/>
      <w:bookmarkStart w:id="12" w:name="_Toc28350"/>
      <w:bookmarkStart w:id="13" w:name="_Toc15065"/>
      <w:bookmarkStart w:id="14" w:name="_Toc5787"/>
      <w:r>
        <w:rPr>
          <w:rFonts w:hint="eastAsia" w:ascii="宋体" w:hAnsi="宋体" w:cs="宋体"/>
          <w:color w:val="000000" w:themeColor="text1"/>
          <w:spacing w:val="-10"/>
          <w:sz w:val="36"/>
          <w:szCs w:val="36"/>
          <w:highlight w:val="none"/>
          <w14:textFill>
            <w14:solidFill>
              <w14:schemeClr w14:val="tx1"/>
            </w14:solidFill>
          </w14:textFill>
        </w:rPr>
        <w:t>竞争性磋商</w:t>
      </w:r>
      <w:bookmarkEnd w:id="5"/>
      <w:bookmarkEnd w:id="6"/>
      <w:bookmarkEnd w:id="7"/>
      <w:bookmarkEnd w:id="8"/>
      <w:bookmarkEnd w:id="9"/>
      <w:bookmarkEnd w:id="10"/>
      <w:bookmarkEnd w:id="11"/>
      <w:bookmarkEnd w:id="12"/>
      <w:bookmarkEnd w:id="13"/>
      <w:bookmarkEnd w:id="14"/>
      <w:r>
        <w:rPr>
          <w:rFonts w:hint="eastAsia" w:ascii="宋体" w:hAnsi="宋体" w:cs="宋体"/>
          <w:color w:val="000000" w:themeColor="text1"/>
          <w:spacing w:val="-10"/>
          <w:sz w:val="36"/>
          <w:szCs w:val="36"/>
          <w:highlight w:val="none"/>
          <w14:textFill>
            <w14:solidFill>
              <w14:schemeClr w14:val="tx1"/>
            </w14:solidFill>
          </w14:textFill>
        </w:rPr>
        <w:t>公告</w:t>
      </w:r>
    </w:p>
    <w:p w14:paraId="43807B41">
      <w:pPr>
        <w:widowControl/>
        <w:spacing w:line="460" w:lineRule="exact"/>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项目概况</w:t>
      </w:r>
    </w:p>
    <w:p w14:paraId="5F2DE88D">
      <w:pPr>
        <w:widowControl/>
        <w:spacing w:line="460" w:lineRule="exact"/>
        <w:ind w:firstLine="482"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u w:val="single"/>
          <w:lang w:eastAsia="zh-CN"/>
          <w14:textFill>
            <w14:solidFill>
              <w14:schemeClr w14:val="tx1"/>
            </w14:solidFill>
          </w14:textFill>
        </w:rPr>
        <w:t>2026年园区VOCs站运维服务项目</w:t>
      </w:r>
      <w:r>
        <w:rPr>
          <w:rFonts w:ascii="宋体" w:hAnsi="宋体" w:cs="宋体"/>
          <w:bCs/>
          <w:color w:val="000000" w:themeColor="text1"/>
          <w:kern w:val="0"/>
          <w:sz w:val="24"/>
          <w:highlight w:val="none"/>
          <w14:textFill>
            <w14:solidFill>
              <w14:schemeClr w14:val="tx1"/>
            </w14:solidFill>
          </w14:textFill>
        </w:rPr>
        <w:t>的潜在供应商应在</w:t>
      </w:r>
      <w:r>
        <w:rPr>
          <w:rFonts w:hint="eastAsia" w:ascii="宋体" w:hAnsi="宋体" w:cs="宋体"/>
          <w:b/>
          <w:bCs/>
          <w:color w:val="000000" w:themeColor="text1"/>
          <w:kern w:val="0"/>
          <w:sz w:val="24"/>
          <w:highlight w:val="none"/>
          <w:u w:val="single"/>
          <w:lang w:eastAsia="zh-CN"/>
          <w14:textFill>
            <w14:solidFill>
              <w14:schemeClr w14:val="tx1"/>
            </w14:solidFill>
          </w14:textFill>
        </w:rPr>
        <w:t>南京市江宁区淳化街道雁冲路68号院内9#楼1楼</w:t>
      </w:r>
      <w:r>
        <w:rPr>
          <w:rFonts w:hint="eastAsia" w:ascii="宋体" w:hAnsi="宋体" w:cs="宋体"/>
          <w:b/>
          <w:bCs/>
          <w:color w:val="000000" w:themeColor="text1"/>
          <w:kern w:val="0"/>
          <w:sz w:val="24"/>
          <w:highlight w:val="none"/>
          <w:u w:val="single"/>
          <w14:textFill>
            <w14:solidFill>
              <w14:schemeClr w14:val="tx1"/>
            </w14:solidFill>
          </w14:textFill>
        </w:rPr>
        <w:t>或网上</w:t>
      </w:r>
      <w:r>
        <w:rPr>
          <w:rFonts w:ascii="宋体" w:hAnsi="宋体" w:cs="宋体"/>
          <w:bCs/>
          <w:color w:val="000000" w:themeColor="text1"/>
          <w:kern w:val="0"/>
          <w:sz w:val="24"/>
          <w:highlight w:val="none"/>
          <w14:textFill>
            <w14:solidFill>
              <w14:schemeClr w14:val="tx1"/>
            </w14:solidFill>
          </w14:textFill>
        </w:rPr>
        <w:t>获取采购文件，并于202</w:t>
      </w:r>
      <w:r>
        <w:rPr>
          <w:rFonts w:hint="eastAsia" w:ascii="宋体" w:hAnsi="宋体" w:cs="宋体"/>
          <w:bCs/>
          <w:color w:val="000000" w:themeColor="text1"/>
          <w:kern w:val="0"/>
          <w:sz w:val="24"/>
          <w:highlight w:val="none"/>
          <w:lang w:val="en-US" w:eastAsia="zh-CN"/>
          <w14:textFill>
            <w14:solidFill>
              <w14:schemeClr w14:val="tx1"/>
            </w14:solidFill>
          </w14:textFill>
        </w:rPr>
        <w:t>6</w:t>
      </w:r>
      <w:r>
        <w:rPr>
          <w:rFonts w:ascii="宋体" w:hAnsi="宋体" w:cs="宋体"/>
          <w:bCs/>
          <w:color w:val="000000" w:themeColor="text1"/>
          <w:kern w:val="0"/>
          <w:sz w:val="24"/>
          <w:highlight w:val="none"/>
          <w14:textFill>
            <w14:solidFill>
              <w14:schemeClr w14:val="tx1"/>
            </w14:solidFill>
          </w14:textFill>
        </w:rPr>
        <w:t>年</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ascii="宋体" w:hAnsi="宋体" w:cs="宋体"/>
          <w:bCs/>
          <w:color w:val="000000" w:themeColor="text1"/>
          <w:kern w:val="0"/>
          <w:sz w:val="24"/>
          <w:highlight w:val="none"/>
          <w14:textFill>
            <w14:solidFill>
              <w14:schemeClr w14:val="tx1"/>
            </w14:solidFill>
          </w14:textFill>
        </w:rPr>
        <w:t>月</w:t>
      </w:r>
      <w:r>
        <w:rPr>
          <w:rFonts w:hint="eastAsia" w:ascii="宋体" w:hAnsi="宋体" w:cs="宋体"/>
          <w:bCs/>
          <w:color w:val="000000" w:themeColor="text1"/>
          <w:kern w:val="0"/>
          <w:sz w:val="24"/>
          <w:highlight w:val="none"/>
          <w:lang w:val="en-US" w:eastAsia="zh-CN"/>
          <w14:textFill>
            <w14:solidFill>
              <w14:schemeClr w14:val="tx1"/>
            </w14:solidFill>
          </w14:textFill>
        </w:rPr>
        <w:t>28</w:t>
      </w:r>
      <w:r>
        <w:rPr>
          <w:rFonts w:ascii="宋体" w:hAnsi="宋体" w:cs="宋体"/>
          <w:bCs/>
          <w:color w:val="000000" w:themeColor="text1"/>
          <w:kern w:val="0"/>
          <w:sz w:val="24"/>
          <w:highlight w:val="none"/>
          <w14:textFill>
            <w14:solidFill>
              <w14:schemeClr w14:val="tx1"/>
            </w14:solidFill>
          </w14:textFill>
        </w:rPr>
        <w:t>日</w:t>
      </w:r>
      <w:r>
        <w:rPr>
          <w:rFonts w:hint="eastAsia" w:ascii="宋体" w:hAnsi="宋体" w:cs="宋体"/>
          <w:bCs/>
          <w:color w:val="000000" w:themeColor="text1"/>
          <w:kern w:val="0"/>
          <w:sz w:val="24"/>
          <w:highlight w:val="none"/>
          <w:lang w:val="en-US" w:eastAsia="zh-CN"/>
          <w14:textFill>
            <w14:solidFill>
              <w14:schemeClr w14:val="tx1"/>
            </w14:solidFill>
          </w14:textFill>
        </w:rPr>
        <w:t>9</w:t>
      </w:r>
      <w:r>
        <w:rPr>
          <w:rFonts w:hint="eastAsia" w:ascii="宋体" w:hAnsi="宋体" w:cs="宋体"/>
          <w:bCs/>
          <w:color w:val="000000" w:themeColor="text1"/>
          <w:kern w:val="0"/>
          <w:sz w:val="24"/>
          <w:highlight w:val="none"/>
          <w14:textFill>
            <w14:solidFill>
              <w14:schemeClr w14:val="tx1"/>
            </w14:solidFill>
          </w14:textFill>
        </w:rPr>
        <w:t>时30</w:t>
      </w:r>
      <w:r>
        <w:rPr>
          <w:rFonts w:ascii="宋体" w:hAnsi="宋体" w:cs="宋体"/>
          <w:bCs/>
          <w:color w:val="000000" w:themeColor="text1"/>
          <w:kern w:val="0"/>
          <w:sz w:val="24"/>
          <w:highlight w:val="none"/>
          <w14:textFill>
            <w14:solidFill>
              <w14:schemeClr w14:val="tx1"/>
            </w14:solidFill>
          </w14:textFill>
        </w:rPr>
        <w:t>分（北京时间）前提交响应文件。</w:t>
      </w:r>
    </w:p>
    <w:p w14:paraId="312DF67E">
      <w:pPr>
        <w:widowControl/>
        <w:spacing w:line="460" w:lineRule="exact"/>
        <w:ind w:firstLine="118" w:firstLineChars="49"/>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一、项目基本情况</w:t>
      </w:r>
    </w:p>
    <w:p w14:paraId="0B5FA35D">
      <w:pPr>
        <w:widowControl/>
        <w:spacing w:line="460" w:lineRule="exact"/>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项目编号：</w:t>
      </w:r>
      <w:r>
        <w:rPr>
          <w:rFonts w:hint="eastAsia" w:ascii="宋体" w:hAnsi="宋体" w:cs="宋体"/>
          <w:bCs/>
          <w:color w:val="000000" w:themeColor="text1"/>
          <w:kern w:val="0"/>
          <w:sz w:val="24"/>
          <w:highlight w:val="none"/>
          <w:lang w:eastAsia="zh-CN"/>
          <w14:textFill>
            <w14:solidFill>
              <w14:schemeClr w14:val="tx1"/>
            </w14:solidFill>
          </w14:textFill>
        </w:rPr>
        <w:t>NJMT-CG2026-09</w:t>
      </w:r>
    </w:p>
    <w:p w14:paraId="18E8006C">
      <w:pPr>
        <w:widowControl/>
        <w:spacing w:line="460" w:lineRule="exact"/>
        <w:ind w:firstLine="480" w:firstLineChars="200"/>
        <w:jc w:val="left"/>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2026年园区VOCs站运维服务项目</w:t>
      </w:r>
    </w:p>
    <w:p w14:paraId="17E0F35B">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采购方式：竞争性磋商</w:t>
      </w:r>
    </w:p>
    <w:p w14:paraId="3EA45136">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预算金额：</w:t>
      </w:r>
      <w:r>
        <w:rPr>
          <w:rFonts w:hint="eastAsia" w:ascii="宋体" w:hAnsi="宋体" w:cs="宋体"/>
          <w:bCs/>
          <w:color w:val="000000" w:themeColor="text1"/>
          <w:kern w:val="0"/>
          <w:sz w:val="24"/>
          <w:highlight w:val="none"/>
          <w:lang w:val="en-US" w:eastAsia="zh-CN"/>
          <w14:textFill>
            <w14:solidFill>
              <w14:schemeClr w14:val="tx1"/>
            </w14:solidFill>
          </w14:textFill>
        </w:rPr>
        <w:t>40</w:t>
      </w:r>
      <w:r>
        <w:rPr>
          <w:rFonts w:hint="eastAsia" w:ascii="宋体" w:hAnsi="宋体" w:cs="宋体"/>
          <w:bCs/>
          <w:color w:val="000000" w:themeColor="text1"/>
          <w:kern w:val="0"/>
          <w:sz w:val="24"/>
          <w:highlight w:val="none"/>
          <w14:textFill>
            <w14:solidFill>
              <w14:schemeClr w14:val="tx1"/>
            </w14:solidFill>
          </w14:textFill>
        </w:rPr>
        <w:t>万元</w:t>
      </w:r>
    </w:p>
    <w:p w14:paraId="39158226">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最高限</w:t>
      </w:r>
      <w:r>
        <w:rPr>
          <w:rFonts w:ascii="宋体" w:hAnsi="宋体" w:cs="宋体"/>
          <w:bCs/>
          <w:color w:val="000000" w:themeColor="text1"/>
          <w:kern w:val="0"/>
          <w:sz w:val="24"/>
          <w:highlight w:val="none"/>
          <w14:textFill>
            <w14:solidFill>
              <w14:schemeClr w14:val="tx1"/>
            </w14:solidFill>
          </w14:textFill>
        </w:rPr>
        <w:t>价</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28.8672</w:t>
      </w:r>
      <w:r>
        <w:rPr>
          <w:rFonts w:hint="eastAsia" w:ascii="宋体" w:hAnsi="宋体" w:cs="宋体"/>
          <w:bCs/>
          <w:color w:val="000000" w:themeColor="text1"/>
          <w:kern w:val="0"/>
          <w:sz w:val="24"/>
          <w:highlight w:val="none"/>
          <w14:textFill>
            <w14:solidFill>
              <w14:schemeClr w14:val="tx1"/>
            </w14:solidFill>
          </w14:textFill>
        </w:rPr>
        <w:t>万元</w:t>
      </w:r>
      <w:r>
        <w:rPr>
          <w:rFonts w:ascii="宋体" w:hAnsi="宋体" w:cs="宋体"/>
          <w:color w:val="000000" w:themeColor="text1"/>
          <w:kern w:val="0"/>
          <w:sz w:val="24"/>
          <w:highlight w:val="none"/>
          <w14:textFill>
            <w14:solidFill>
              <w14:schemeClr w14:val="tx1"/>
            </w14:solidFill>
          </w14:textFill>
        </w:rPr>
        <w:t>，磋商报价不得超过最高限价，否则做无效标处理</w:t>
      </w:r>
    </w:p>
    <w:p w14:paraId="51542431">
      <w:pPr>
        <w:widowControl/>
        <w:spacing w:line="460" w:lineRule="exact"/>
        <w:ind w:firstLine="480" w:firstLineChars="200"/>
        <w:jc w:val="left"/>
        <w:rPr>
          <w:rFonts w:hint="default" w:ascii="宋体" w:hAnsi="宋体" w:cs="宋体"/>
          <w:bCs/>
          <w:color w:val="000000" w:themeColor="text1"/>
          <w:kern w:val="0"/>
          <w:sz w:val="24"/>
          <w:highlight w:val="none"/>
          <w:lang w:val="en-US"/>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采购需求：</w:t>
      </w:r>
      <w:r>
        <w:rPr>
          <w:rFonts w:hint="eastAsia" w:ascii="宋体" w:hAnsi="宋体" w:cs="宋体"/>
          <w:color w:val="000000" w:themeColor="text1"/>
          <w:kern w:val="0"/>
          <w:sz w:val="24"/>
          <w:highlight w:val="none"/>
          <w:lang w:eastAsia="zh-CN"/>
          <w14:textFill>
            <w14:solidFill>
              <w14:schemeClr w14:val="tx1"/>
            </w14:solidFill>
          </w14:textFill>
        </w:rPr>
        <w:t>VOCs站运维服务，</w:t>
      </w:r>
      <w:r>
        <w:rPr>
          <w:rFonts w:hint="eastAsia" w:ascii="宋体" w:hAnsi="宋体" w:cs="宋体"/>
          <w:color w:val="000000" w:themeColor="text1"/>
          <w:kern w:val="0"/>
          <w:sz w:val="24"/>
          <w:highlight w:val="none"/>
          <w:lang w:val="en-US" w:eastAsia="zh-CN"/>
          <w14:textFill>
            <w14:solidFill>
              <w14:schemeClr w14:val="tx1"/>
            </w14:solidFill>
          </w14:textFill>
        </w:rPr>
        <w:t>详见采购需求。</w:t>
      </w:r>
    </w:p>
    <w:p w14:paraId="6306B8DC">
      <w:pPr>
        <w:widowControl/>
        <w:spacing w:line="460" w:lineRule="exact"/>
        <w:ind w:firstLine="480" w:firstLineChars="200"/>
        <w:jc w:val="left"/>
        <w:rPr>
          <w:rFonts w:hint="default" w:ascii="宋体" w:hAnsi="宋体" w:eastAsia="宋体" w:cs="宋体"/>
          <w:bCs/>
          <w:color w:val="000000" w:themeColor="text1"/>
          <w:kern w:val="0"/>
          <w:sz w:val="24"/>
          <w:highlight w:val="none"/>
          <w:lang w:val="en-US"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服务期：一年。</w:t>
      </w:r>
    </w:p>
    <w:p w14:paraId="2F1C8AE5">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本项目不接受联合体。</w:t>
      </w:r>
    </w:p>
    <w:p w14:paraId="6329E37A">
      <w:pPr>
        <w:widowControl/>
        <w:spacing w:line="460" w:lineRule="exact"/>
        <w:ind w:firstLine="118" w:firstLineChars="49"/>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二、申请人的资格要求：</w:t>
      </w:r>
    </w:p>
    <w:p w14:paraId="03697CD9">
      <w:pPr>
        <w:widowControl/>
        <w:spacing w:line="460" w:lineRule="exact"/>
        <w:ind w:firstLine="236" w:firstLineChars="98"/>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w:t>
      </w:r>
      <w:r>
        <w:rPr>
          <w:rFonts w:ascii="宋体" w:hAnsi="宋体" w:cs="宋体"/>
          <w:b/>
          <w:bCs/>
          <w:color w:val="000000" w:themeColor="text1"/>
          <w:kern w:val="0"/>
          <w:sz w:val="24"/>
          <w:highlight w:val="none"/>
          <w14:textFill>
            <w14:solidFill>
              <w14:schemeClr w14:val="tx1"/>
            </w14:solidFill>
          </w14:textFill>
        </w:rPr>
        <w:t>满足《中华人民共和国政府采购法》第二十二条规定</w:t>
      </w:r>
      <w:r>
        <w:rPr>
          <w:rFonts w:hint="eastAsia" w:ascii="宋体" w:hAnsi="宋体" w:cs="宋体"/>
          <w:b/>
          <w:bCs/>
          <w:color w:val="000000" w:themeColor="text1"/>
          <w:kern w:val="0"/>
          <w:sz w:val="24"/>
          <w:highlight w:val="none"/>
          <w14:textFill>
            <w14:solidFill>
              <w14:schemeClr w14:val="tx1"/>
            </w14:solidFill>
          </w14:textFill>
        </w:rPr>
        <w:t>：</w:t>
      </w:r>
    </w:p>
    <w:p w14:paraId="05D74191">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1.具有独立承担民事责任的能力（</w:t>
      </w:r>
      <w:r>
        <w:rPr>
          <w:rFonts w:ascii="宋体" w:hAnsi="宋体" w:cs="宋体"/>
          <w:color w:val="000000" w:themeColor="text1"/>
          <w:kern w:val="0"/>
          <w:sz w:val="24"/>
          <w:highlight w:val="none"/>
          <w14:textFill>
            <w14:solidFill>
              <w14:schemeClr w14:val="tx1"/>
            </w14:solidFill>
          </w14:textFill>
        </w:rPr>
        <w:t>提供法人或者其他组织的营业执照</w:t>
      </w:r>
      <w:r>
        <w:rPr>
          <w:rFonts w:hint="eastAsia" w:ascii="宋体" w:hAnsi="宋体" w:cs="宋体"/>
          <w:color w:val="000000" w:themeColor="text1"/>
          <w:kern w:val="0"/>
          <w:sz w:val="24"/>
          <w:highlight w:val="none"/>
          <w14:textFill>
            <w14:solidFill>
              <w14:schemeClr w14:val="tx1"/>
            </w14:solidFill>
          </w14:textFill>
        </w:rPr>
        <w:t>）；</w:t>
      </w:r>
    </w:p>
    <w:p w14:paraId="1B4A8D5F">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2.具有良好的商业信誉和健全的财务会计制度（提供参加本次采购活动前供应商会计报表或财务审计报告，成立不足一年可不提供）；</w:t>
      </w:r>
    </w:p>
    <w:p w14:paraId="10BFEADD">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3.具有履行合同所必需的设备和专业技术能力（</w:t>
      </w:r>
      <w:r>
        <w:rPr>
          <w:rFonts w:ascii="宋体" w:hAnsi="宋体" w:cs="宋体"/>
          <w:color w:val="000000" w:themeColor="text1"/>
          <w:kern w:val="0"/>
          <w:sz w:val="24"/>
          <w:highlight w:val="none"/>
          <w14:textFill>
            <w14:solidFill>
              <w14:schemeClr w14:val="tx1"/>
            </w14:solidFill>
          </w14:textFill>
        </w:rPr>
        <w:t>提供履行合同所必需的设备和专业技术能力的</w:t>
      </w:r>
      <w:r>
        <w:rPr>
          <w:rFonts w:hint="eastAsia" w:ascii="宋体" w:hAnsi="宋体" w:cs="宋体"/>
          <w:color w:val="000000" w:themeColor="text1"/>
          <w:kern w:val="0"/>
          <w:sz w:val="24"/>
          <w:highlight w:val="none"/>
          <w14:textFill>
            <w14:solidFill>
              <w14:schemeClr w14:val="tx1"/>
            </w14:solidFill>
          </w14:textFill>
        </w:rPr>
        <w:t>声明）；</w:t>
      </w:r>
    </w:p>
    <w:p w14:paraId="499F7760">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4.有依法缴纳税收和社会保障资金的良好记录（</w:t>
      </w:r>
      <w:r>
        <w:rPr>
          <w:rFonts w:ascii="宋体" w:hAnsi="宋体" w:cs="宋体"/>
          <w:color w:val="000000" w:themeColor="text1"/>
          <w:kern w:val="0"/>
          <w:sz w:val="24"/>
          <w:highlight w:val="none"/>
          <w14:textFill>
            <w14:solidFill>
              <w14:schemeClr w14:val="tx1"/>
            </w14:solidFill>
          </w14:textFill>
        </w:rPr>
        <w:t>提供参加本次政府采购活动前半年内至少一个月供应商缴纳</w:t>
      </w:r>
      <w:r>
        <w:rPr>
          <w:rFonts w:hint="eastAsia" w:ascii="宋体" w:hAnsi="宋体" w:cs="宋体"/>
          <w:color w:val="000000" w:themeColor="text1"/>
          <w:kern w:val="0"/>
          <w:sz w:val="24"/>
          <w:highlight w:val="none"/>
          <w14:textFill>
            <w14:solidFill>
              <w14:schemeClr w14:val="tx1"/>
            </w14:solidFill>
          </w14:textFill>
        </w:rPr>
        <w:t>税收凭据</w:t>
      </w:r>
      <w:r>
        <w:rPr>
          <w:rFonts w:ascii="宋体" w:hAnsi="宋体" w:cs="宋体"/>
          <w:color w:val="000000" w:themeColor="text1"/>
          <w:kern w:val="0"/>
          <w:sz w:val="24"/>
          <w:highlight w:val="none"/>
          <w14:textFill>
            <w14:solidFill>
              <w14:schemeClr w14:val="tx1"/>
            </w14:solidFill>
          </w14:textFill>
        </w:rPr>
        <w:t>；供应商缴纳社会保险的凭据</w:t>
      </w:r>
      <w:r>
        <w:rPr>
          <w:rFonts w:hint="eastAsia" w:ascii="宋体" w:hAnsi="宋体" w:cs="宋体"/>
          <w:color w:val="000000" w:themeColor="text1"/>
          <w:kern w:val="0"/>
          <w:sz w:val="24"/>
          <w:highlight w:val="none"/>
          <w14:textFill>
            <w14:solidFill>
              <w14:schemeClr w14:val="tx1"/>
            </w14:solidFill>
          </w14:textFill>
        </w:rPr>
        <w:t>）；</w:t>
      </w:r>
    </w:p>
    <w:p w14:paraId="01C7AE72">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r>
        <w:rPr>
          <w:rFonts w:ascii="宋体" w:hAnsi="宋体" w:cs="宋体"/>
          <w:color w:val="000000" w:themeColor="text1"/>
          <w:kern w:val="0"/>
          <w:sz w:val="24"/>
          <w:highlight w:val="none"/>
          <w14:textFill>
            <w14:solidFill>
              <w14:schemeClr w14:val="tx1"/>
            </w14:solidFill>
          </w14:textFill>
        </w:rPr>
        <w:t>提供书面声明或承诺书</w:t>
      </w:r>
      <w:r>
        <w:rPr>
          <w:rFonts w:hint="eastAsia" w:ascii="宋体" w:hAnsi="宋体" w:cs="宋体"/>
          <w:color w:val="000000" w:themeColor="text1"/>
          <w:kern w:val="0"/>
          <w:sz w:val="24"/>
          <w:highlight w:val="none"/>
          <w14:textFill>
            <w14:solidFill>
              <w14:schemeClr w14:val="tx1"/>
            </w14:solidFill>
          </w14:textFill>
        </w:rPr>
        <w:t>）；</w:t>
      </w:r>
    </w:p>
    <w:p w14:paraId="0C0BB04A">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6.符合法律、行政法规规定的其他条件。</w:t>
      </w:r>
    </w:p>
    <w:p w14:paraId="13CAFF38">
      <w:pPr>
        <w:widowControl/>
        <w:spacing w:line="460" w:lineRule="exact"/>
        <w:ind w:firstLine="241" w:firstLineChars="100"/>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（二）落实政府采购政策需满足的资格要求：</w:t>
      </w:r>
      <w:r>
        <w:rPr>
          <w:rFonts w:hint="eastAsia" w:ascii="宋体" w:hAnsi="宋体" w:eastAsia="宋体" w:cs="宋体"/>
          <w:b/>
          <w:bCs/>
          <w:color w:val="000000" w:themeColor="text1"/>
          <w:kern w:val="0"/>
          <w:sz w:val="24"/>
          <w:highlight w:val="none"/>
          <w14:textFill>
            <w14:solidFill>
              <w14:schemeClr w14:val="tx1"/>
            </w14:solidFill>
          </w14:textFill>
        </w:rPr>
        <w:t>本项目专门面向中小企业采购，供应商应为中小微企业，提供《中小企业声明函》，（监狱和戒毒企业视同小型、微型企业，提供由省级以上监狱管理局、戒毒管理局(含新疆生产建设兵团)出具的属于监狱企业的证明文件；残疾人福利性单位视同小型、微型企业，提供《残疾人福利性单位声明函》。</w:t>
      </w:r>
    </w:p>
    <w:p w14:paraId="2262D5CF">
      <w:pPr>
        <w:widowControl/>
        <w:spacing w:line="460" w:lineRule="exact"/>
        <w:ind w:firstLine="236" w:firstLineChars="98"/>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 采购人根据采购项目的特殊要求规定的特定条件：</w:t>
      </w:r>
    </w:p>
    <w:p w14:paraId="7F32F3E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w:t>
      </w:r>
      <w:r>
        <w:rPr>
          <w:rFonts w:cs="宋体"/>
          <w:color w:val="000000" w:themeColor="text1"/>
          <w:sz w:val="24"/>
          <w:highlight w:val="none"/>
          <w14:textFill>
            <w14:solidFill>
              <w14:schemeClr w14:val="tx1"/>
            </w14:solidFill>
          </w14:textFill>
        </w:rPr>
        <w:t>提供</w:t>
      </w:r>
      <w:r>
        <w:rPr>
          <w:rFonts w:hint="eastAsia" w:cs="宋体"/>
          <w:color w:val="000000" w:themeColor="text1"/>
          <w:sz w:val="24"/>
          <w:highlight w:val="none"/>
          <w14:textFill>
            <w14:solidFill>
              <w14:schemeClr w14:val="tx1"/>
            </w14:solidFill>
          </w14:textFill>
        </w:rPr>
        <w:t>拟投入</w:t>
      </w:r>
      <w:r>
        <w:rPr>
          <w:rFonts w:cs="宋体"/>
          <w:color w:val="000000" w:themeColor="text1"/>
          <w:sz w:val="24"/>
          <w:highlight w:val="none"/>
          <w14:textFill>
            <w14:solidFill>
              <w14:schemeClr w14:val="tx1"/>
            </w14:solidFill>
          </w14:textFill>
        </w:rPr>
        <w:t>本项的项目负责人与供应商签订的有效劳动合同、社保机构出具的近半年</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202</w:t>
      </w:r>
      <w:r>
        <w:rPr>
          <w:rFonts w:hint="eastAsia" w:cs="宋体"/>
          <w:color w:val="000000" w:themeColor="text1"/>
          <w:sz w:val="24"/>
          <w:highlight w:val="none"/>
          <w:lang w:val="en-US" w:eastAsia="zh-CN"/>
          <w14:textFill>
            <w14:solidFill>
              <w14:schemeClr w14:val="tx1"/>
            </w14:solidFill>
          </w14:textFill>
        </w:rPr>
        <w:t>5</w:t>
      </w:r>
      <w:r>
        <w:rPr>
          <w:rFonts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10</w:t>
      </w:r>
      <w:r>
        <w:rPr>
          <w:rFonts w:cs="宋体"/>
          <w:color w:val="000000" w:themeColor="text1"/>
          <w:sz w:val="24"/>
          <w:highlight w:val="none"/>
          <w14:textFill>
            <w14:solidFill>
              <w14:schemeClr w14:val="tx1"/>
            </w14:solidFill>
          </w14:textFill>
        </w:rPr>
        <w:t>月-202</w:t>
      </w:r>
      <w:r>
        <w:rPr>
          <w:rFonts w:hint="eastAsia" w:cs="宋体"/>
          <w:color w:val="000000" w:themeColor="text1"/>
          <w:sz w:val="24"/>
          <w:highlight w:val="none"/>
          <w:lang w:val="en-US" w:eastAsia="zh-CN"/>
          <w14:textFill>
            <w14:solidFill>
              <w14:schemeClr w14:val="tx1"/>
            </w14:solidFill>
          </w14:textFill>
        </w:rPr>
        <w:t>6</w:t>
      </w:r>
      <w:r>
        <w:rPr>
          <w:rFonts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3</w:t>
      </w:r>
      <w:r>
        <w:rPr>
          <w:rFonts w:cs="宋体"/>
          <w:color w:val="000000" w:themeColor="text1"/>
          <w:sz w:val="24"/>
          <w:highlight w:val="none"/>
          <w14:textFill>
            <w14:solidFill>
              <w14:schemeClr w14:val="tx1"/>
            </w14:solidFill>
          </w14:textFill>
        </w:rPr>
        <w:t>月</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投标申请人为其缴纳的养老保险缴费证明材料。已办理退休手续的只需提供劳动合同（返聘合同）、退休证明。</w:t>
      </w:r>
    </w:p>
    <w:p w14:paraId="3186692E">
      <w:pPr>
        <w:widowControl/>
        <w:spacing w:line="460" w:lineRule="exact"/>
        <w:ind w:firstLine="236" w:firstLineChars="98"/>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（四）拒绝下述供应商参加本次采购活动：</w:t>
      </w:r>
    </w:p>
    <w:p w14:paraId="399DBF39">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1.供应商单位负责人为同一人或者存在直接控股、管理关系的不同供应商，不得参加同一合同项下的政府采购活动。</w:t>
      </w:r>
    </w:p>
    <w:p w14:paraId="7B9C5DBF">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2.凡为采购项目提供整体设计、规范编制或者项目管理、监理、检测等服务的供应商，不得再参加本项目的采购活动。</w:t>
      </w:r>
    </w:p>
    <w:p w14:paraId="3E9F72F5">
      <w:pPr>
        <w:widowControl/>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3.供应商被“信用中国”网站、“中国政府采购网”列入失信被执行人、重大税收违法案件当事人名单、政府采购严重违法失信行为记录名单。</w:t>
      </w:r>
    </w:p>
    <w:p w14:paraId="77B078BE">
      <w:pPr>
        <w:widowControl/>
        <w:spacing w:line="460" w:lineRule="exact"/>
        <w:ind w:firstLine="236" w:firstLineChars="98"/>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（五）供应商诚信档案注册登记</w:t>
      </w:r>
    </w:p>
    <w:p w14:paraId="746D9A8D">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关于在政府采购活动中推行信用承诺制的通知》宁财购通〔2021〕5号规定，参加南京地区政府采购活动的供应商，应以书面形式向采购人或政府采购代理机构作出信用承诺。供应商应尽早做好承诺工作，点击</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南京公共采购信息网</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首页 （https://njgc.jfh.com/）</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南京市政府采购供应商诚信档案</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系统链接打开系统页面（http://180.101.238.212:8280/hodeframe2018_cxda/index.action;jsessionid=769BA9C8E1729422E7173B991C8EC1E5）登录（未注册的供应商应先点击</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供应商注册点这里</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并按要求完成注册），然后在</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信用记录</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模块页面点击</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信用记录打印</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下载本单位《南京市政府采购供应商信用记录表暨信用承诺书》，由</w:t>
      </w:r>
      <w:r>
        <w:rPr>
          <w:rFonts w:hint="eastAsia" w:ascii="宋体" w:hAnsi="宋体" w:eastAsia="宋体" w:cs="宋体"/>
          <w:b/>
          <w:color w:val="000000" w:themeColor="text1"/>
          <w:sz w:val="24"/>
          <w:highlight w:val="none"/>
          <w:lang w:eastAsia="zh-CN"/>
          <w14:textFill>
            <w14:solidFill>
              <w14:schemeClr w14:val="tx1"/>
            </w14:solidFill>
          </w14:textFill>
        </w:rPr>
        <w:t>法人签字并盖单位公章</w:t>
      </w:r>
      <w:r>
        <w:rPr>
          <w:rFonts w:hint="eastAsia" w:ascii="宋体" w:hAnsi="宋体" w:eastAsia="宋体" w:cs="宋体"/>
          <w:color w:val="000000" w:themeColor="text1"/>
          <w:sz w:val="24"/>
          <w:highlight w:val="none"/>
          <w:lang w:eastAsia="zh-CN"/>
          <w14:textFill>
            <w14:solidFill>
              <w14:schemeClr w14:val="tx1"/>
            </w14:solidFill>
          </w14:textFill>
        </w:rPr>
        <w:t>，随响应文件一并递交。</w:t>
      </w:r>
      <w:r>
        <w:rPr>
          <w:rFonts w:hint="eastAsia" w:ascii="宋体" w:hAnsi="宋体" w:eastAsia="宋体" w:cs="宋体"/>
          <w:b/>
          <w:bCs/>
          <w:color w:val="000000" w:themeColor="text1"/>
          <w:sz w:val="24"/>
          <w:highlight w:val="none"/>
          <w:lang w:eastAsia="zh-CN"/>
          <w14:textFill>
            <w14:solidFill>
              <w14:schemeClr w14:val="tx1"/>
            </w14:solidFill>
          </w14:textFill>
        </w:rPr>
        <w:t>打印时间为本竞争性磋商公告发布之日起至递交响应文件截止日前，未按上述要求提供信用记录表的，响应文件可能被拒绝接收。</w:t>
      </w:r>
      <w:r>
        <w:rPr>
          <w:rFonts w:hint="eastAsia" w:ascii="宋体" w:hAnsi="宋体" w:eastAsia="宋体" w:cs="宋体"/>
          <w:color w:val="000000" w:themeColor="text1"/>
          <w:sz w:val="21"/>
          <w:szCs w:val="21"/>
          <w:highlight w:val="none"/>
          <w:lang w:eastAsia="zh-CN"/>
          <w14:textFill>
            <w14:solidFill>
              <w14:schemeClr w14:val="tx1"/>
            </w14:solidFill>
          </w14:textFill>
        </w:rPr>
        <w:t>在政府采购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供应商在中标（成交）后，应按采购文件要求，将上述由信用承诺书替代的证明材料提交采购人或采购代理机构核验。经核验无误后，由采购人或采购代理机构发出中标（成交）通知书。</w:t>
      </w:r>
    </w:p>
    <w:p w14:paraId="35C320BB">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供应商涉及以下情形的，不适用信用承诺：</w:t>
      </w:r>
    </w:p>
    <w:p w14:paraId="48382C73">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（1）供应商被列入严重失信主体名单；</w:t>
      </w:r>
    </w:p>
    <w:p w14:paraId="77DF0683">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（2）被相关监管部门作出行政处罚且尚在处罚有效期内；</w:t>
      </w:r>
    </w:p>
    <w:p w14:paraId="2187BB41">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（3）其他法律、行政法规规定的不适用信用承诺的情形。</w:t>
      </w:r>
    </w:p>
    <w:p w14:paraId="59CEFE4C">
      <w:pPr>
        <w:widowControl/>
        <w:spacing w:line="460" w:lineRule="exact"/>
        <w:ind w:firstLine="42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供应商对信用承诺内容的真实性、合法性、有效性负责。如作出虚假信用承诺，视同为</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提供虚假材料谋取中标、成交</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的违法行为。</w:t>
      </w:r>
    </w:p>
    <w:p w14:paraId="6C4049BE">
      <w:pPr>
        <w:widowControl/>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三、获取采购文件</w:t>
      </w:r>
    </w:p>
    <w:p w14:paraId="30FBB9D1">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时间：202</w:t>
      </w:r>
      <w:r>
        <w:rPr>
          <w:rFonts w:hint="eastAsia" w:ascii="宋体" w:hAnsi="宋体" w:cs="宋体"/>
          <w:bCs/>
          <w:color w:val="000000" w:themeColor="text1"/>
          <w:kern w:val="0"/>
          <w:sz w:val="24"/>
          <w:highlight w:val="none"/>
          <w:lang w:val="en-US" w:eastAsia="zh-CN"/>
          <w14:textFill>
            <w14:solidFill>
              <w14:schemeClr w14:val="tx1"/>
            </w14:solidFill>
          </w14:textFill>
        </w:rPr>
        <w:t>6</w:t>
      </w:r>
      <w:r>
        <w:rPr>
          <w:rFonts w:ascii="宋体" w:hAnsi="宋体" w:cs="宋体"/>
          <w:bCs/>
          <w:color w:val="000000" w:themeColor="text1"/>
          <w:kern w:val="0"/>
          <w:sz w:val="24"/>
          <w:highlight w:val="none"/>
          <w14:textFill>
            <w14:solidFill>
              <w14:schemeClr w14:val="tx1"/>
            </w14:solidFill>
          </w14:textFill>
        </w:rPr>
        <w:t>年</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ascii="宋体" w:hAnsi="宋体" w:cs="宋体"/>
          <w:bCs/>
          <w:color w:val="000000" w:themeColor="text1"/>
          <w:kern w:val="0"/>
          <w:sz w:val="24"/>
          <w:highlight w:val="none"/>
          <w14:textFill>
            <w14:solidFill>
              <w14:schemeClr w14:val="tx1"/>
            </w14:solidFill>
          </w14:textFill>
        </w:rPr>
        <w:t>月</w:t>
      </w:r>
      <w:r>
        <w:rPr>
          <w:rFonts w:hint="eastAsia" w:ascii="宋体" w:hAnsi="宋体" w:cs="宋体"/>
          <w:bCs/>
          <w:color w:val="000000" w:themeColor="text1"/>
          <w:kern w:val="0"/>
          <w:sz w:val="24"/>
          <w:highlight w:val="none"/>
          <w:lang w:val="en-US" w:eastAsia="zh-CN"/>
          <w14:textFill>
            <w14:solidFill>
              <w14:schemeClr w14:val="tx1"/>
            </w14:solidFill>
          </w14:textFill>
        </w:rPr>
        <w:t>15</w:t>
      </w:r>
      <w:r>
        <w:rPr>
          <w:rFonts w:ascii="宋体" w:hAnsi="宋体" w:cs="宋体"/>
          <w:bCs/>
          <w:color w:val="000000" w:themeColor="text1"/>
          <w:kern w:val="0"/>
          <w:sz w:val="24"/>
          <w:highlight w:val="none"/>
          <w14:textFill>
            <w14:solidFill>
              <w14:schemeClr w14:val="tx1"/>
            </w14:solidFill>
          </w14:textFill>
        </w:rPr>
        <w:t>日至202</w:t>
      </w:r>
      <w:r>
        <w:rPr>
          <w:rFonts w:hint="eastAsia" w:ascii="宋体" w:hAnsi="宋体" w:cs="宋体"/>
          <w:bCs/>
          <w:color w:val="000000" w:themeColor="text1"/>
          <w:kern w:val="0"/>
          <w:sz w:val="24"/>
          <w:highlight w:val="none"/>
          <w:lang w:val="en-US" w:eastAsia="zh-CN"/>
          <w14:textFill>
            <w14:solidFill>
              <w14:schemeClr w14:val="tx1"/>
            </w14:solidFill>
          </w14:textFill>
        </w:rPr>
        <w:t>6</w:t>
      </w:r>
      <w:r>
        <w:rPr>
          <w:rFonts w:ascii="宋体" w:hAnsi="宋体" w:cs="宋体"/>
          <w:bCs/>
          <w:color w:val="000000" w:themeColor="text1"/>
          <w:kern w:val="0"/>
          <w:sz w:val="24"/>
          <w:highlight w:val="none"/>
          <w14:textFill>
            <w14:solidFill>
              <w14:schemeClr w14:val="tx1"/>
            </w14:solidFill>
          </w14:textFill>
        </w:rPr>
        <w:t>年</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ascii="宋体" w:hAnsi="宋体" w:cs="宋体"/>
          <w:bCs/>
          <w:color w:val="000000" w:themeColor="text1"/>
          <w:kern w:val="0"/>
          <w:sz w:val="24"/>
          <w:highlight w:val="none"/>
          <w14:textFill>
            <w14:solidFill>
              <w14:schemeClr w14:val="tx1"/>
            </w14:solidFill>
          </w14:textFill>
        </w:rPr>
        <w:t>月</w:t>
      </w:r>
      <w:r>
        <w:rPr>
          <w:rFonts w:hint="eastAsia" w:ascii="宋体" w:hAnsi="宋体" w:cs="宋体"/>
          <w:bCs/>
          <w:color w:val="000000" w:themeColor="text1"/>
          <w:kern w:val="0"/>
          <w:sz w:val="24"/>
          <w:highlight w:val="none"/>
          <w:lang w:val="en-US" w:eastAsia="zh-CN"/>
          <w14:textFill>
            <w14:solidFill>
              <w14:schemeClr w14:val="tx1"/>
            </w14:solidFill>
          </w14:textFill>
        </w:rPr>
        <w:t>21</w:t>
      </w:r>
      <w:r>
        <w:rPr>
          <w:rFonts w:ascii="宋体" w:hAnsi="宋体" w:cs="宋体"/>
          <w:bCs/>
          <w:color w:val="000000" w:themeColor="text1"/>
          <w:kern w:val="0"/>
          <w:sz w:val="24"/>
          <w:highlight w:val="none"/>
          <w14:textFill>
            <w14:solidFill>
              <w14:schemeClr w14:val="tx1"/>
            </w14:solidFill>
          </w14:textFill>
        </w:rPr>
        <w:t>日，每天上午9:00至11:30，下午</w:t>
      </w:r>
      <w:r>
        <w:rPr>
          <w:rFonts w:hint="eastAsia" w:ascii="宋体" w:hAnsi="宋体" w:cs="宋体"/>
          <w:bCs/>
          <w:color w:val="000000" w:themeColor="text1"/>
          <w:kern w:val="0"/>
          <w:sz w:val="24"/>
          <w:highlight w:val="none"/>
          <w14:textFill>
            <w14:solidFill>
              <w14:schemeClr w14:val="tx1"/>
            </w14:solidFill>
          </w14:textFill>
        </w:rPr>
        <w:t>2</w:t>
      </w:r>
      <w:r>
        <w:rPr>
          <w:rFonts w:ascii="宋体" w:hAnsi="宋体" w:cs="宋体"/>
          <w:bCs/>
          <w:color w:val="000000" w:themeColor="text1"/>
          <w:kern w:val="0"/>
          <w:sz w:val="24"/>
          <w:highlight w:val="none"/>
          <w14:textFill>
            <w14:solidFill>
              <w14:schemeClr w14:val="tx1"/>
            </w14:solidFill>
          </w14:textFill>
        </w:rPr>
        <w:t>:00至</w:t>
      </w:r>
      <w:r>
        <w:rPr>
          <w:rFonts w:hint="eastAsia" w:ascii="宋体" w:hAnsi="宋体" w:cs="宋体"/>
          <w:bCs/>
          <w:color w:val="000000" w:themeColor="text1"/>
          <w:kern w:val="0"/>
          <w:sz w:val="24"/>
          <w:highlight w:val="none"/>
          <w14:textFill>
            <w14:solidFill>
              <w14:schemeClr w14:val="tx1"/>
            </w14:solidFill>
          </w14:textFill>
        </w:rPr>
        <w:t>5</w:t>
      </w:r>
      <w:r>
        <w:rPr>
          <w:rFonts w:ascii="宋体" w:hAnsi="宋体" w:cs="宋体"/>
          <w:bCs/>
          <w:color w:val="000000" w:themeColor="text1"/>
          <w:kern w:val="0"/>
          <w:sz w:val="24"/>
          <w:highlight w:val="none"/>
          <w14:textFill>
            <w14:solidFill>
              <w14:schemeClr w14:val="tx1"/>
            </w14:solidFill>
          </w14:textFill>
        </w:rPr>
        <w:t>:00（北京时间，法定节假日除外）</w:t>
      </w:r>
    </w:p>
    <w:p w14:paraId="23C2A0F4">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地点：</w:t>
      </w:r>
      <w:r>
        <w:rPr>
          <w:rFonts w:hint="eastAsia" w:ascii="宋体" w:hAnsi="宋体" w:cs="宋体"/>
          <w:color w:val="000000" w:themeColor="text1"/>
          <w:kern w:val="0"/>
          <w:sz w:val="24"/>
          <w:highlight w:val="none"/>
          <w:lang w:eastAsia="zh-CN"/>
          <w14:textFill>
            <w14:solidFill>
              <w14:schemeClr w14:val="tx1"/>
            </w14:solidFill>
          </w14:textFill>
        </w:rPr>
        <w:t>南京市江宁区淳化街道雁冲路68号院内9#楼1楼</w:t>
      </w:r>
      <w:r>
        <w:rPr>
          <w:rFonts w:hint="eastAsia" w:ascii="宋体" w:hAnsi="宋体" w:cs="宋体"/>
          <w:color w:val="000000" w:themeColor="text1"/>
          <w:kern w:val="0"/>
          <w:sz w:val="24"/>
          <w:highlight w:val="none"/>
          <w14:textFill>
            <w14:solidFill>
              <w14:schemeClr w14:val="tx1"/>
            </w14:solidFill>
          </w14:textFill>
        </w:rPr>
        <w:t>或网上</w:t>
      </w:r>
    </w:p>
    <w:p w14:paraId="655C1734">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方式：</w:t>
      </w:r>
    </w:p>
    <w:p w14:paraId="28B596B1">
      <w:pPr>
        <w:widowControl/>
        <w:spacing w:line="460" w:lineRule="exact"/>
        <w:ind w:firstLine="480" w:firstLineChars="2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1</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现场报名</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提供满足下列①或②材料</w:t>
      </w:r>
      <w:r>
        <w:rPr>
          <w:rFonts w:hint="eastAsia" w:ascii="宋体" w:hAnsi="宋体" w:cs="宋体"/>
          <w:bCs/>
          <w:color w:val="000000" w:themeColor="text1"/>
          <w:kern w:val="0"/>
          <w:sz w:val="24"/>
          <w:highlight w:val="none"/>
          <w14:textFill>
            <w14:solidFill>
              <w14:schemeClr w14:val="tx1"/>
            </w14:solidFill>
          </w14:textFill>
        </w:rPr>
        <w:t>：</w:t>
      </w:r>
    </w:p>
    <w:p w14:paraId="3BAAF77C">
      <w:pPr>
        <w:widowControl/>
        <w:spacing w:line="460" w:lineRule="exact"/>
        <w:ind w:firstLine="480" w:firstLineChars="200"/>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①材料要求：</w:t>
      </w:r>
      <w:r>
        <w:rPr>
          <w:rFonts w:hint="eastAsia" w:ascii="宋体" w:hAnsi="宋体" w:cs="宋体"/>
          <w:color w:val="000000" w:themeColor="text1"/>
          <w:kern w:val="0"/>
          <w:sz w:val="24"/>
          <w:highlight w:val="none"/>
          <w14:textFill>
            <w14:solidFill>
              <w14:schemeClr w14:val="tx1"/>
            </w14:solidFill>
          </w14:textFill>
        </w:rPr>
        <w:t>投标申请人的法定代表人有效身份证件复印件（注明联系方式、邮箱加盖公章）、有效营业执照复印件（加盖公章）南京麻田工程咨询有限公司（</w:t>
      </w:r>
      <w:r>
        <w:rPr>
          <w:rFonts w:hint="eastAsia" w:ascii="宋体" w:hAnsi="宋体" w:cs="宋体"/>
          <w:color w:val="000000" w:themeColor="text1"/>
          <w:kern w:val="0"/>
          <w:sz w:val="24"/>
          <w:highlight w:val="none"/>
          <w:lang w:eastAsia="zh-CN"/>
          <w14:textFill>
            <w14:solidFill>
              <w14:schemeClr w14:val="tx1"/>
            </w14:solidFill>
          </w14:textFill>
        </w:rPr>
        <w:t>南京市江宁区淳化街道雁冲路68号院内9#楼1楼</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报名获取</w:t>
      </w:r>
      <w:r>
        <w:rPr>
          <w:rFonts w:hint="eastAsia" w:ascii="宋体" w:hAnsi="宋体" w:cs="宋体"/>
          <w:color w:val="000000" w:themeColor="text1"/>
          <w:kern w:val="0"/>
          <w:sz w:val="24"/>
          <w:highlight w:val="none"/>
          <w14:textFill>
            <w14:solidFill>
              <w14:schemeClr w14:val="tx1"/>
            </w14:solidFill>
          </w14:textFill>
        </w:rPr>
        <w:t>磋商文件。</w:t>
      </w:r>
    </w:p>
    <w:p w14:paraId="43C575A5">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②材料要求：</w:t>
      </w:r>
      <w:r>
        <w:rPr>
          <w:rFonts w:hint="eastAsia" w:ascii="宋体" w:hAnsi="宋体" w:cs="宋体"/>
          <w:color w:val="000000" w:themeColor="text1"/>
          <w:kern w:val="0"/>
          <w:sz w:val="24"/>
          <w:highlight w:val="none"/>
          <w14:textFill>
            <w14:solidFill>
              <w14:schemeClr w14:val="tx1"/>
            </w14:solidFill>
          </w14:textFill>
        </w:rPr>
        <w:t>其授权的委托代理人持个人有效身份证件复印件（加盖公章）、单位介绍信原件（或授权委托书原件）（注明联系方式、邮箱）、</w:t>
      </w:r>
      <w:r>
        <w:rPr>
          <w:rFonts w:hint="eastAsia" w:ascii="宋体" w:hAnsi="宋体" w:cs="宋体"/>
          <w:color w:val="000000" w:themeColor="text1"/>
          <w:kern w:val="0"/>
          <w:sz w:val="24"/>
          <w:highlight w:val="none"/>
          <w:lang w:val="en-US" w:eastAsia="zh-CN"/>
          <w14:textFill>
            <w14:solidFill>
              <w14:schemeClr w14:val="tx1"/>
            </w14:solidFill>
          </w14:textFill>
        </w:rPr>
        <w:t>委托代理人</w:t>
      </w:r>
      <w:r>
        <w:rPr>
          <w:rFonts w:cs="宋体"/>
          <w:color w:val="000000" w:themeColor="text1"/>
          <w:sz w:val="24"/>
          <w:highlight w:val="none"/>
          <w14:textFill>
            <w14:solidFill>
              <w14:schemeClr w14:val="tx1"/>
            </w14:solidFill>
          </w14:textFill>
        </w:rPr>
        <w:t>社保机构出具的近半年</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202</w:t>
      </w:r>
      <w:r>
        <w:rPr>
          <w:rFonts w:hint="eastAsia" w:cs="宋体"/>
          <w:color w:val="000000" w:themeColor="text1"/>
          <w:sz w:val="24"/>
          <w:highlight w:val="none"/>
          <w:lang w:val="en-US" w:eastAsia="zh-CN"/>
          <w14:textFill>
            <w14:solidFill>
              <w14:schemeClr w14:val="tx1"/>
            </w14:solidFill>
          </w14:textFill>
        </w:rPr>
        <w:t>5</w:t>
      </w:r>
      <w:r>
        <w:rPr>
          <w:rFonts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10</w:t>
      </w:r>
      <w:r>
        <w:rPr>
          <w:rFonts w:cs="宋体"/>
          <w:color w:val="000000" w:themeColor="text1"/>
          <w:sz w:val="24"/>
          <w:highlight w:val="none"/>
          <w14:textFill>
            <w14:solidFill>
              <w14:schemeClr w14:val="tx1"/>
            </w14:solidFill>
          </w14:textFill>
        </w:rPr>
        <w:t>月-202</w:t>
      </w:r>
      <w:r>
        <w:rPr>
          <w:rFonts w:hint="eastAsia" w:cs="宋体"/>
          <w:color w:val="000000" w:themeColor="text1"/>
          <w:sz w:val="24"/>
          <w:highlight w:val="none"/>
          <w:lang w:val="en-US" w:eastAsia="zh-CN"/>
          <w14:textFill>
            <w14:solidFill>
              <w14:schemeClr w14:val="tx1"/>
            </w14:solidFill>
          </w14:textFill>
        </w:rPr>
        <w:t>6</w:t>
      </w:r>
      <w:r>
        <w:rPr>
          <w:rFonts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3</w:t>
      </w:r>
      <w:r>
        <w:rPr>
          <w:rFonts w:cs="宋体"/>
          <w:color w:val="000000" w:themeColor="text1"/>
          <w:sz w:val="24"/>
          <w:highlight w:val="none"/>
          <w14:textFill>
            <w14:solidFill>
              <w14:schemeClr w14:val="tx1"/>
            </w14:solidFill>
          </w14:textFill>
        </w:rPr>
        <w:t>月</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投标申请人为其缴纳的养老保险缴费证明材料</w:t>
      </w:r>
      <w:r>
        <w:rPr>
          <w:rFonts w:hint="eastAsia"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有效营业执照复印件（加盖公章）在南京麻田工程咨询有限公司（</w:t>
      </w:r>
      <w:r>
        <w:rPr>
          <w:rFonts w:hint="eastAsia" w:ascii="宋体" w:hAnsi="宋体" w:cs="宋体"/>
          <w:color w:val="000000" w:themeColor="text1"/>
          <w:kern w:val="0"/>
          <w:sz w:val="24"/>
          <w:highlight w:val="none"/>
          <w:lang w:eastAsia="zh-CN"/>
          <w14:textFill>
            <w14:solidFill>
              <w14:schemeClr w14:val="tx1"/>
            </w14:solidFill>
          </w14:textFill>
        </w:rPr>
        <w:t>南京市江宁区淳化街道雁冲路68号院内9#楼1楼</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报名获取</w:t>
      </w:r>
      <w:r>
        <w:rPr>
          <w:rFonts w:hint="eastAsia" w:ascii="宋体" w:hAnsi="宋体" w:cs="宋体"/>
          <w:color w:val="000000" w:themeColor="text1"/>
          <w:kern w:val="0"/>
          <w:sz w:val="24"/>
          <w:highlight w:val="none"/>
          <w14:textFill>
            <w14:solidFill>
              <w14:schemeClr w14:val="tx1"/>
            </w14:solidFill>
          </w14:textFill>
        </w:rPr>
        <w:t>磋商文件。</w:t>
      </w:r>
    </w:p>
    <w:p w14:paraId="5180259F">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网上报名：</w:t>
      </w:r>
      <w:r>
        <w:rPr>
          <w:rFonts w:hint="eastAsia" w:ascii="宋体" w:hAnsi="宋体" w:cs="宋体"/>
          <w:color w:val="000000" w:themeColor="text1"/>
          <w:kern w:val="0"/>
          <w:sz w:val="24"/>
          <w:highlight w:val="none"/>
          <w:lang w:val="en-US" w:eastAsia="zh-CN"/>
          <w14:textFill>
            <w14:solidFill>
              <w14:schemeClr w14:val="tx1"/>
            </w14:solidFill>
          </w14:textFill>
        </w:rPr>
        <w:t>方式（1）的材料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"mailto:扫描件发送至邮箱760427587@qq.com"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highlight w:val="none"/>
          <w14:textFill>
            <w14:solidFill>
              <w14:schemeClr w14:val="tx1"/>
            </w14:solidFill>
          </w14:textFill>
        </w:rPr>
        <w:t>扫描件发送至邮箱760427587@qq.com</w:t>
      </w:r>
      <w:r>
        <w:rPr>
          <w:rFonts w:hint="eastAsia" w:ascii="宋体" w:hAnsi="宋体" w:cs="宋体"/>
          <w:color w:val="000000" w:themeColor="text1"/>
          <w:kern w:val="0"/>
          <w:sz w:val="24"/>
          <w:highlight w:val="none"/>
          <w14:textFill>
            <w14:solidFill>
              <w14:schemeClr w14:val="tx1"/>
            </w14:solidFill>
          </w14:textFill>
        </w:rPr>
        <w:fldChar w:fldCharType="end"/>
      </w:r>
      <w:r>
        <w:rPr>
          <w:rFonts w:hint="eastAsia" w:ascii="宋体" w:hAnsi="宋体" w:cs="宋体"/>
          <w:color w:val="000000" w:themeColor="text1"/>
          <w:kern w:val="0"/>
          <w:sz w:val="24"/>
          <w:highlight w:val="none"/>
          <w14:textFill>
            <w14:solidFill>
              <w14:schemeClr w14:val="tx1"/>
            </w14:solidFill>
          </w14:textFill>
        </w:rPr>
        <w:t>，纸质文件邮寄至南京麻田工程咨询有限公司（地址：</w:t>
      </w:r>
      <w:r>
        <w:rPr>
          <w:rFonts w:hint="eastAsia" w:ascii="宋体" w:hAnsi="宋体" w:cs="宋体"/>
          <w:color w:val="000000" w:themeColor="text1"/>
          <w:kern w:val="0"/>
          <w:sz w:val="24"/>
          <w:highlight w:val="none"/>
          <w:lang w:eastAsia="zh-CN"/>
          <w14:textFill>
            <w14:solidFill>
              <w14:schemeClr w14:val="tx1"/>
            </w14:solidFill>
          </w14:textFill>
        </w:rPr>
        <w:t>南京市江宁区淳化街道雁冲路68号院内9#楼1楼</w:t>
      </w:r>
      <w:r>
        <w:rPr>
          <w:rFonts w:hint="eastAsia" w:ascii="宋体" w:hAnsi="宋体" w:cs="宋体"/>
          <w:color w:val="000000" w:themeColor="text1"/>
          <w:kern w:val="0"/>
          <w:sz w:val="24"/>
          <w:highlight w:val="none"/>
          <w14:textFill>
            <w14:solidFill>
              <w14:schemeClr w14:val="tx1"/>
            </w14:solidFill>
          </w14:textFill>
        </w:rPr>
        <w:t>，收件人：张工，联系方式：025-52730710）。</w:t>
      </w:r>
    </w:p>
    <w:p w14:paraId="458656C3">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售价：</w:t>
      </w:r>
      <w:r>
        <w:rPr>
          <w:rFonts w:hint="eastAsia" w:ascii="宋体" w:hAnsi="宋体" w:cs="宋体"/>
          <w:bCs/>
          <w:color w:val="000000" w:themeColor="text1"/>
          <w:kern w:val="0"/>
          <w:sz w:val="24"/>
          <w:highlight w:val="none"/>
          <w:lang w:val="en-US" w:eastAsia="zh-CN"/>
          <w14:textFill>
            <w14:solidFill>
              <w14:schemeClr w14:val="tx1"/>
            </w14:solidFill>
          </w14:textFill>
        </w:rPr>
        <w:t>0</w:t>
      </w:r>
      <w:r>
        <w:rPr>
          <w:rFonts w:ascii="宋体" w:hAnsi="宋体" w:cs="宋体"/>
          <w:bCs/>
          <w:color w:val="000000" w:themeColor="text1"/>
          <w:kern w:val="0"/>
          <w:sz w:val="24"/>
          <w:highlight w:val="none"/>
          <w14:textFill>
            <w14:solidFill>
              <w14:schemeClr w14:val="tx1"/>
            </w14:solidFill>
          </w14:textFill>
        </w:rPr>
        <w:t>元</w:t>
      </w:r>
      <w:r>
        <w:rPr>
          <w:rFonts w:hint="eastAsia" w:ascii="宋体" w:hAnsi="宋体" w:cs="宋体"/>
          <w:bCs/>
          <w:color w:val="000000" w:themeColor="text1"/>
          <w:kern w:val="0"/>
          <w:sz w:val="24"/>
          <w:highlight w:val="none"/>
          <w14:textFill>
            <w14:solidFill>
              <w14:schemeClr w14:val="tx1"/>
            </w14:solidFill>
          </w14:textFill>
        </w:rPr>
        <w:t>。</w:t>
      </w:r>
    </w:p>
    <w:p w14:paraId="6A4C9A09">
      <w:pPr>
        <w:widowControl/>
        <w:spacing w:line="460" w:lineRule="exact"/>
        <w:ind w:firstLine="236" w:firstLineChars="98"/>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四、响应文件提交</w:t>
      </w:r>
    </w:p>
    <w:p w14:paraId="6766EC9A">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截止时间：202</w:t>
      </w:r>
      <w:r>
        <w:rPr>
          <w:rFonts w:hint="eastAsia" w:ascii="宋体" w:hAnsi="宋体" w:cs="宋体"/>
          <w:bCs/>
          <w:color w:val="000000" w:themeColor="text1"/>
          <w:kern w:val="0"/>
          <w:sz w:val="24"/>
          <w:highlight w:val="none"/>
          <w:lang w:val="en-US" w:eastAsia="zh-CN"/>
          <w14:textFill>
            <w14:solidFill>
              <w14:schemeClr w14:val="tx1"/>
            </w14:solidFill>
          </w14:textFill>
        </w:rPr>
        <w:t>6</w:t>
      </w:r>
      <w:r>
        <w:rPr>
          <w:rFonts w:ascii="宋体" w:hAnsi="宋体" w:cs="宋体"/>
          <w:bCs/>
          <w:color w:val="000000" w:themeColor="text1"/>
          <w:kern w:val="0"/>
          <w:sz w:val="24"/>
          <w:highlight w:val="none"/>
          <w14:textFill>
            <w14:solidFill>
              <w14:schemeClr w14:val="tx1"/>
            </w14:solidFill>
          </w14:textFill>
        </w:rPr>
        <w:t>年</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ascii="宋体" w:hAnsi="宋体" w:cs="宋体"/>
          <w:bCs/>
          <w:color w:val="000000" w:themeColor="text1"/>
          <w:kern w:val="0"/>
          <w:sz w:val="24"/>
          <w:highlight w:val="none"/>
          <w14:textFill>
            <w14:solidFill>
              <w14:schemeClr w14:val="tx1"/>
            </w14:solidFill>
          </w14:textFill>
        </w:rPr>
        <w:t>月</w:t>
      </w:r>
      <w:r>
        <w:rPr>
          <w:rFonts w:hint="eastAsia" w:ascii="宋体" w:hAnsi="宋体" w:cs="宋体"/>
          <w:bCs/>
          <w:color w:val="000000" w:themeColor="text1"/>
          <w:kern w:val="0"/>
          <w:sz w:val="24"/>
          <w:highlight w:val="none"/>
          <w:lang w:val="en-US" w:eastAsia="zh-CN"/>
          <w14:textFill>
            <w14:solidFill>
              <w14:schemeClr w14:val="tx1"/>
            </w14:solidFill>
          </w14:textFill>
        </w:rPr>
        <w:t>28</w:t>
      </w:r>
      <w:r>
        <w:rPr>
          <w:rFonts w:ascii="宋体" w:hAnsi="宋体" w:cs="宋体"/>
          <w:bCs/>
          <w:color w:val="000000" w:themeColor="text1"/>
          <w:kern w:val="0"/>
          <w:sz w:val="24"/>
          <w:highlight w:val="none"/>
          <w14:textFill>
            <w14:solidFill>
              <w14:schemeClr w14:val="tx1"/>
            </w14:solidFill>
          </w14:textFill>
        </w:rPr>
        <w:t>日</w:t>
      </w:r>
      <w:r>
        <w:rPr>
          <w:rFonts w:hint="eastAsia" w:ascii="宋体" w:hAnsi="宋体" w:cs="宋体"/>
          <w:bCs/>
          <w:color w:val="000000" w:themeColor="text1"/>
          <w:kern w:val="0"/>
          <w:sz w:val="24"/>
          <w:highlight w:val="none"/>
          <w:lang w:val="en-US" w:eastAsia="zh-CN"/>
          <w14:textFill>
            <w14:solidFill>
              <w14:schemeClr w14:val="tx1"/>
            </w14:solidFill>
          </w14:textFill>
        </w:rPr>
        <w:t>9</w:t>
      </w:r>
      <w:r>
        <w:rPr>
          <w:rFonts w:ascii="宋体" w:hAnsi="宋体" w:cs="宋体"/>
          <w:bCs/>
          <w:color w:val="000000" w:themeColor="text1"/>
          <w:kern w:val="0"/>
          <w:sz w:val="24"/>
          <w:highlight w:val="none"/>
          <w14:textFill>
            <w14:solidFill>
              <w14:schemeClr w14:val="tx1"/>
            </w14:solidFill>
          </w14:textFill>
        </w:rPr>
        <w:t>点</w:t>
      </w:r>
      <w:r>
        <w:rPr>
          <w:rFonts w:hint="eastAsia" w:ascii="宋体" w:hAnsi="宋体" w:cs="宋体"/>
          <w:bCs/>
          <w:color w:val="000000" w:themeColor="text1"/>
          <w:kern w:val="0"/>
          <w:sz w:val="24"/>
          <w:highlight w:val="none"/>
          <w14:textFill>
            <w14:solidFill>
              <w14:schemeClr w14:val="tx1"/>
            </w14:solidFill>
          </w14:textFill>
        </w:rPr>
        <w:t>30</w:t>
      </w:r>
      <w:r>
        <w:rPr>
          <w:rFonts w:ascii="宋体" w:hAnsi="宋体" w:cs="宋体"/>
          <w:bCs/>
          <w:color w:val="000000" w:themeColor="text1"/>
          <w:kern w:val="0"/>
          <w:sz w:val="24"/>
          <w:highlight w:val="none"/>
          <w14:textFill>
            <w14:solidFill>
              <w14:schemeClr w14:val="tx1"/>
            </w14:solidFill>
          </w14:textFill>
        </w:rPr>
        <w:t>分（北京时间）</w:t>
      </w:r>
    </w:p>
    <w:p w14:paraId="587FDEBD">
      <w:pPr>
        <w:widowControl/>
        <w:spacing w:line="460" w:lineRule="exact"/>
        <w:ind w:firstLine="480" w:firstLineChars="200"/>
        <w:jc w:val="left"/>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地点：</w:t>
      </w:r>
      <w:r>
        <w:rPr>
          <w:rFonts w:hint="eastAsia" w:ascii="宋体" w:hAnsi="宋体" w:cs="宋体"/>
          <w:bCs/>
          <w:color w:val="000000" w:themeColor="text1"/>
          <w:kern w:val="0"/>
          <w:sz w:val="24"/>
          <w:highlight w:val="none"/>
          <w:lang w:eastAsia="zh-CN"/>
          <w14:textFill>
            <w14:solidFill>
              <w14:schemeClr w14:val="tx1"/>
            </w14:solidFill>
          </w14:textFill>
        </w:rPr>
        <w:t>南京市江宁区淳化街道雁冲路68号院内9#楼1楼</w:t>
      </w:r>
    </w:p>
    <w:p w14:paraId="11414FBD">
      <w:pPr>
        <w:widowControl/>
        <w:spacing w:line="460" w:lineRule="exact"/>
        <w:ind w:firstLine="236" w:firstLineChars="98"/>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五、开启</w:t>
      </w:r>
    </w:p>
    <w:p w14:paraId="7B99F303">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时间：202</w:t>
      </w:r>
      <w:r>
        <w:rPr>
          <w:rFonts w:hint="eastAsia" w:ascii="宋体" w:hAnsi="宋体" w:cs="宋体"/>
          <w:bCs/>
          <w:color w:val="000000" w:themeColor="text1"/>
          <w:kern w:val="0"/>
          <w:sz w:val="24"/>
          <w:highlight w:val="none"/>
          <w:lang w:val="en-US" w:eastAsia="zh-CN"/>
          <w14:textFill>
            <w14:solidFill>
              <w14:schemeClr w14:val="tx1"/>
            </w14:solidFill>
          </w14:textFill>
        </w:rPr>
        <w:t>6</w:t>
      </w:r>
      <w:r>
        <w:rPr>
          <w:rFonts w:ascii="宋体" w:hAnsi="宋体" w:cs="宋体"/>
          <w:bCs/>
          <w:color w:val="000000" w:themeColor="text1"/>
          <w:kern w:val="0"/>
          <w:sz w:val="24"/>
          <w:highlight w:val="none"/>
          <w14:textFill>
            <w14:solidFill>
              <w14:schemeClr w14:val="tx1"/>
            </w14:solidFill>
          </w14:textFill>
        </w:rPr>
        <w:t>年</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ascii="宋体" w:hAnsi="宋体" w:cs="宋体"/>
          <w:bCs/>
          <w:color w:val="000000" w:themeColor="text1"/>
          <w:kern w:val="0"/>
          <w:sz w:val="24"/>
          <w:highlight w:val="none"/>
          <w14:textFill>
            <w14:solidFill>
              <w14:schemeClr w14:val="tx1"/>
            </w14:solidFill>
          </w14:textFill>
        </w:rPr>
        <w:t>月</w:t>
      </w:r>
      <w:r>
        <w:rPr>
          <w:rFonts w:hint="eastAsia" w:ascii="宋体" w:hAnsi="宋体" w:cs="宋体"/>
          <w:bCs/>
          <w:color w:val="000000" w:themeColor="text1"/>
          <w:kern w:val="0"/>
          <w:sz w:val="24"/>
          <w:highlight w:val="none"/>
          <w:lang w:val="en-US" w:eastAsia="zh-CN"/>
          <w14:textFill>
            <w14:solidFill>
              <w14:schemeClr w14:val="tx1"/>
            </w14:solidFill>
          </w14:textFill>
        </w:rPr>
        <w:t>28</w:t>
      </w:r>
      <w:r>
        <w:rPr>
          <w:rFonts w:ascii="宋体" w:hAnsi="宋体" w:cs="宋体"/>
          <w:bCs/>
          <w:color w:val="000000" w:themeColor="text1"/>
          <w:kern w:val="0"/>
          <w:sz w:val="24"/>
          <w:highlight w:val="none"/>
          <w14:textFill>
            <w14:solidFill>
              <w14:schemeClr w14:val="tx1"/>
            </w14:solidFill>
          </w14:textFill>
        </w:rPr>
        <w:t>日</w:t>
      </w:r>
      <w:r>
        <w:rPr>
          <w:rFonts w:hint="eastAsia" w:ascii="宋体" w:hAnsi="宋体" w:cs="宋体"/>
          <w:bCs/>
          <w:color w:val="000000" w:themeColor="text1"/>
          <w:kern w:val="0"/>
          <w:sz w:val="24"/>
          <w:highlight w:val="none"/>
          <w:lang w:val="en-US" w:eastAsia="zh-CN"/>
          <w14:textFill>
            <w14:solidFill>
              <w14:schemeClr w14:val="tx1"/>
            </w14:solidFill>
          </w14:textFill>
        </w:rPr>
        <w:t>9</w:t>
      </w:r>
      <w:r>
        <w:rPr>
          <w:rFonts w:ascii="宋体" w:hAnsi="宋体" w:cs="宋体"/>
          <w:bCs/>
          <w:color w:val="000000" w:themeColor="text1"/>
          <w:kern w:val="0"/>
          <w:sz w:val="24"/>
          <w:highlight w:val="none"/>
          <w14:textFill>
            <w14:solidFill>
              <w14:schemeClr w14:val="tx1"/>
            </w14:solidFill>
          </w14:textFill>
        </w:rPr>
        <w:t>点</w:t>
      </w:r>
      <w:r>
        <w:rPr>
          <w:rFonts w:hint="eastAsia" w:ascii="宋体" w:hAnsi="宋体" w:cs="宋体"/>
          <w:bCs/>
          <w:color w:val="000000" w:themeColor="text1"/>
          <w:kern w:val="0"/>
          <w:sz w:val="24"/>
          <w:highlight w:val="none"/>
          <w14:textFill>
            <w14:solidFill>
              <w14:schemeClr w14:val="tx1"/>
            </w14:solidFill>
          </w14:textFill>
        </w:rPr>
        <w:t>30</w:t>
      </w:r>
      <w:r>
        <w:rPr>
          <w:rFonts w:ascii="宋体" w:hAnsi="宋体" w:cs="宋体"/>
          <w:bCs/>
          <w:color w:val="000000" w:themeColor="text1"/>
          <w:kern w:val="0"/>
          <w:sz w:val="24"/>
          <w:highlight w:val="none"/>
          <w14:textFill>
            <w14:solidFill>
              <w14:schemeClr w14:val="tx1"/>
            </w14:solidFill>
          </w14:textFill>
        </w:rPr>
        <w:t>分（北京时间）</w:t>
      </w:r>
    </w:p>
    <w:p w14:paraId="52662400">
      <w:pPr>
        <w:widowControl/>
        <w:spacing w:line="460" w:lineRule="exact"/>
        <w:ind w:firstLine="480" w:firstLineChars="200"/>
        <w:jc w:val="left"/>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地点：</w:t>
      </w:r>
      <w:r>
        <w:rPr>
          <w:rFonts w:hint="eastAsia" w:ascii="宋体" w:hAnsi="宋体" w:cs="宋体"/>
          <w:bCs/>
          <w:color w:val="000000" w:themeColor="text1"/>
          <w:kern w:val="0"/>
          <w:sz w:val="24"/>
          <w:highlight w:val="none"/>
          <w:lang w:eastAsia="zh-CN"/>
          <w14:textFill>
            <w14:solidFill>
              <w14:schemeClr w14:val="tx1"/>
            </w14:solidFill>
          </w14:textFill>
        </w:rPr>
        <w:t>南京市江宁区淳化街道雁冲路68号院内9#楼1楼</w:t>
      </w:r>
    </w:p>
    <w:p w14:paraId="38084579">
      <w:pPr>
        <w:widowControl/>
        <w:spacing w:line="460" w:lineRule="exact"/>
        <w:ind w:firstLine="236" w:firstLineChars="98"/>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六、公告期限</w:t>
      </w:r>
    </w:p>
    <w:p w14:paraId="15AF4B7E">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自本公告发布之日起</w:t>
      </w:r>
      <w:r>
        <w:rPr>
          <w:rFonts w:hint="eastAsia" w:ascii="宋体" w:hAnsi="宋体" w:cs="宋体"/>
          <w:bCs/>
          <w:color w:val="000000" w:themeColor="text1"/>
          <w:kern w:val="0"/>
          <w:sz w:val="24"/>
          <w:highlight w:val="none"/>
          <w14:textFill>
            <w14:solidFill>
              <w14:schemeClr w14:val="tx1"/>
            </w14:solidFill>
          </w14:textFill>
        </w:rPr>
        <w:t>5</w:t>
      </w:r>
      <w:r>
        <w:rPr>
          <w:rFonts w:ascii="宋体" w:hAnsi="宋体" w:cs="宋体"/>
          <w:bCs/>
          <w:color w:val="000000" w:themeColor="text1"/>
          <w:kern w:val="0"/>
          <w:sz w:val="24"/>
          <w:highlight w:val="none"/>
          <w14:textFill>
            <w14:solidFill>
              <w14:schemeClr w14:val="tx1"/>
            </w14:solidFill>
          </w14:textFill>
        </w:rPr>
        <w:t>个工作日。</w:t>
      </w:r>
    </w:p>
    <w:p w14:paraId="01BC7CE9">
      <w:pPr>
        <w:widowControl/>
        <w:spacing w:line="460" w:lineRule="exact"/>
        <w:ind w:firstLine="236" w:firstLineChars="98"/>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七、其他补充事宜</w:t>
      </w:r>
    </w:p>
    <w:p w14:paraId="049932CB">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1.本项目不组织现场勘查，如有需要可自行勘察，请务必对项目现场和周围环境进行仔细认真地查勘，在随后的采购中，对现场资料和数据所作出的推论、解释和结论及由此造成的后果由供应商负责。</w:t>
      </w:r>
    </w:p>
    <w:p w14:paraId="7E91F9FF">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2.有关本次招标的事项若存在变动或修改，敬请及时关注“江苏政府采购网”、“</w:t>
      </w:r>
      <w:r>
        <w:rPr>
          <w:rFonts w:ascii="宋体" w:hAnsi="宋体" w:cs="宋体"/>
          <w:bCs/>
          <w:color w:val="000000" w:themeColor="text1"/>
          <w:kern w:val="0"/>
          <w:sz w:val="24"/>
          <w:highlight w:val="none"/>
          <w14:textFill>
            <w14:solidFill>
              <w14:schemeClr w14:val="tx1"/>
            </w14:solidFill>
          </w14:textFill>
        </w:rPr>
        <w:t>南京公共采购信息网</w:t>
      </w:r>
      <w:r>
        <w:rPr>
          <w:rFonts w:hint="eastAsia" w:ascii="宋体" w:hAnsi="宋体" w:cs="宋体"/>
          <w:bCs/>
          <w:color w:val="000000" w:themeColor="text1"/>
          <w:kern w:val="0"/>
          <w:sz w:val="24"/>
          <w:highlight w:val="none"/>
          <w14:textFill>
            <w14:solidFill>
              <w14:schemeClr w14:val="tx1"/>
            </w14:solidFill>
          </w14:textFill>
        </w:rPr>
        <w:t>”发布的信息更正公告。</w:t>
      </w:r>
    </w:p>
    <w:p w14:paraId="20D4F37E">
      <w:pPr>
        <w:widowControl/>
        <w:spacing w:line="460" w:lineRule="exact"/>
        <w:ind w:firstLine="236" w:firstLineChars="98"/>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八、凡对本次采购提出询问，请按以下方式联系。</w:t>
      </w:r>
    </w:p>
    <w:p w14:paraId="71F2EF7E">
      <w:pPr>
        <w:widowControl/>
        <w:spacing w:line="460" w:lineRule="exact"/>
        <w:ind w:firstLine="482" w:firstLineChars="200"/>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1.采购人信息</w:t>
      </w:r>
    </w:p>
    <w:p w14:paraId="0ED98EFD">
      <w:pPr>
        <w:widowControl/>
        <w:spacing w:line="460" w:lineRule="exact"/>
        <w:ind w:firstLine="480" w:firstLineChars="200"/>
        <w:jc w:val="left"/>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名</w:t>
      </w:r>
      <w:r>
        <w:rPr>
          <w:rFonts w:hint="eastAsia" w:ascii="宋体" w:hAnsi="宋体" w:cs="宋体"/>
          <w:bCs/>
          <w:color w:val="000000" w:themeColor="text1"/>
          <w:kern w:val="0"/>
          <w:sz w:val="24"/>
          <w:highlight w:val="none"/>
          <w:lang w:val="en-US" w:eastAsia="zh-CN"/>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称：</w:t>
      </w:r>
      <w:r>
        <w:rPr>
          <w:rFonts w:hint="eastAsia" w:ascii="宋体" w:hAnsi="宋体" w:cs="宋体"/>
          <w:color w:val="000000" w:themeColor="text1"/>
          <w:kern w:val="0"/>
          <w:sz w:val="24"/>
          <w:highlight w:val="none"/>
          <w:lang w:eastAsia="zh-CN"/>
          <w14:textFill>
            <w14:solidFill>
              <w14:schemeClr w14:val="tx1"/>
            </w14:solidFill>
          </w14:textFill>
        </w:rPr>
        <w:t>南京江宁滨江经济开发区管理委员会</w:t>
      </w:r>
    </w:p>
    <w:p w14:paraId="2D5661BA">
      <w:pPr>
        <w:widowControl/>
        <w:spacing w:line="460" w:lineRule="exact"/>
        <w:ind w:firstLine="480" w:firstLineChars="200"/>
        <w:jc w:val="left"/>
        <w:rPr>
          <w:rFonts w:hint="default" w:ascii="宋体" w:hAnsi="宋体" w:eastAsia="宋体" w:cs="宋体"/>
          <w:bCs/>
          <w:color w:val="000000" w:themeColor="text1"/>
          <w:kern w:val="0"/>
          <w:sz w:val="24"/>
          <w:highlight w:val="none"/>
          <w:lang w:val="en-US" w:eastAsia="zh-CN"/>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地</w:t>
      </w:r>
      <w:r>
        <w:rPr>
          <w:rFonts w:hint="eastAsia" w:ascii="宋体" w:hAnsi="宋体" w:cs="宋体"/>
          <w:bCs/>
          <w:color w:val="000000" w:themeColor="text1"/>
          <w:kern w:val="0"/>
          <w:sz w:val="24"/>
          <w:highlight w:val="none"/>
          <w:lang w:val="en-US" w:eastAsia="zh-CN"/>
          <w14:textFill>
            <w14:solidFill>
              <w14:schemeClr w14:val="tx1"/>
            </w14:solidFill>
          </w14:textFill>
        </w:rPr>
        <w:t xml:space="preserve">    </w:t>
      </w:r>
      <w:r>
        <w:rPr>
          <w:rFonts w:ascii="宋体" w:hAnsi="宋体" w:cs="宋体"/>
          <w:bCs/>
          <w:color w:val="000000" w:themeColor="text1"/>
          <w:kern w:val="0"/>
          <w:sz w:val="24"/>
          <w:highlight w:val="none"/>
          <w14:textFill>
            <w14:solidFill>
              <w14:schemeClr w14:val="tx1"/>
            </w14:solidFill>
          </w14:textFill>
        </w:rPr>
        <w:t>址：</w:t>
      </w:r>
      <w:r>
        <w:rPr>
          <w:rFonts w:hint="eastAsia" w:ascii="宋体" w:hAnsi="宋体" w:cs="宋体"/>
          <w:bCs/>
          <w:color w:val="000000" w:themeColor="text1"/>
          <w:kern w:val="0"/>
          <w:sz w:val="24"/>
          <w:highlight w:val="none"/>
          <w14:textFill>
            <w14:solidFill>
              <w14:schemeClr w14:val="tx1"/>
            </w14:solidFill>
          </w14:textFill>
        </w:rPr>
        <w:t>南京市江宁区滨江开发区天成路18号</w:t>
      </w:r>
    </w:p>
    <w:p w14:paraId="75E46459">
      <w:pPr>
        <w:widowControl/>
        <w:spacing w:line="460" w:lineRule="exact"/>
        <w:ind w:firstLine="480" w:firstLineChars="200"/>
        <w:jc w:val="left"/>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联</w:t>
      </w:r>
      <w:r>
        <w:rPr>
          <w:rFonts w:hint="eastAsia" w:ascii="宋体" w:hAnsi="宋体" w:cs="宋体"/>
          <w:bCs/>
          <w:color w:val="000000" w:themeColor="text1"/>
          <w:kern w:val="0"/>
          <w:sz w:val="24"/>
          <w:highlight w:val="none"/>
          <w:lang w:val="en-US" w:eastAsia="zh-CN"/>
          <w14:textFill>
            <w14:solidFill>
              <w14:schemeClr w14:val="tx1"/>
            </w14:solidFill>
          </w14:textFill>
        </w:rPr>
        <w:t xml:space="preserve"> </w:t>
      </w:r>
      <w:r>
        <w:rPr>
          <w:rFonts w:hint="eastAsia" w:ascii="宋体" w:hAnsi="宋体" w:cs="宋体"/>
          <w:bCs/>
          <w:color w:val="000000" w:themeColor="text1"/>
          <w:kern w:val="0"/>
          <w:sz w:val="24"/>
          <w:highlight w:val="none"/>
          <w14:textFill>
            <w14:solidFill>
              <w14:schemeClr w14:val="tx1"/>
            </w14:solidFill>
          </w14:textFill>
        </w:rPr>
        <w:t>系</w:t>
      </w:r>
      <w:r>
        <w:rPr>
          <w:rFonts w:hint="eastAsia" w:ascii="宋体" w:hAnsi="宋体" w:cs="宋体"/>
          <w:bCs/>
          <w:color w:val="000000" w:themeColor="text1"/>
          <w:kern w:val="0"/>
          <w:sz w:val="24"/>
          <w:highlight w:val="none"/>
          <w:lang w:val="en-US" w:eastAsia="zh-CN"/>
          <w14:textFill>
            <w14:solidFill>
              <w14:schemeClr w14:val="tx1"/>
            </w14:solidFill>
          </w14:textFill>
        </w:rPr>
        <w:t xml:space="preserve"> </w:t>
      </w:r>
      <w:r>
        <w:rPr>
          <w:rFonts w:hint="eastAsia" w:ascii="宋体" w:hAnsi="宋体" w:cs="宋体"/>
          <w:bCs/>
          <w:color w:val="000000" w:themeColor="text1"/>
          <w:kern w:val="0"/>
          <w:sz w:val="24"/>
          <w:highlight w:val="none"/>
          <w14:textFill>
            <w14:solidFill>
              <w14:schemeClr w14:val="tx1"/>
            </w14:solidFill>
          </w14:textFill>
        </w:rPr>
        <w:t>人：</w:t>
      </w:r>
      <w:r>
        <w:rPr>
          <w:rFonts w:hint="eastAsia" w:ascii="宋体" w:hAnsi="宋体" w:cs="宋体"/>
          <w:bCs/>
          <w:color w:val="000000" w:themeColor="text1"/>
          <w:kern w:val="0"/>
          <w:sz w:val="24"/>
          <w:highlight w:val="none"/>
          <w:lang w:val="en-US" w:eastAsia="zh-CN"/>
          <w14:textFill>
            <w14:solidFill>
              <w14:schemeClr w14:val="tx1"/>
            </w14:solidFill>
          </w14:textFill>
        </w:rPr>
        <w:t>/</w:t>
      </w:r>
    </w:p>
    <w:p w14:paraId="6C8118DA">
      <w:pPr>
        <w:widowControl/>
        <w:spacing w:line="460" w:lineRule="exact"/>
        <w:ind w:firstLine="480" w:firstLineChars="200"/>
        <w:jc w:val="left"/>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联系方式：</w:t>
      </w:r>
      <w:r>
        <w:rPr>
          <w:rFonts w:hint="eastAsia" w:ascii="宋体" w:hAnsi="宋体" w:cs="宋体"/>
          <w:bCs/>
          <w:color w:val="000000" w:themeColor="text1"/>
          <w:kern w:val="0"/>
          <w:sz w:val="24"/>
          <w:highlight w:val="none"/>
          <w:lang w:val="en-US" w:eastAsia="zh-CN"/>
          <w14:textFill>
            <w14:solidFill>
              <w14:schemeClr w14:val="tx1"/>
            </w14:solidFill>
          </w14:textFill>
        </w:rPr>
        <w:t>/</w:t>
      </w:r>
    </w:p>
    <w:p w14:paraId="6E022616">
      <w:pPr>
        <w:widowControl/>
        <w:spacing w:line="460" w:lineRule="exact"/>
        <w:ind w:firstLine="482" w:firstLineChars="200"/>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2.采购代理机构信息</w:t>
      </w:r>
    </w:p>
    <w:p w14:paraId="1C277F34">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名</w:t>
      </w:r>
      <w:r>
        <w:rPr>
          <w:rFonts w:hint="eastAsia" w:ascii="宋体" w:hAnsi="宋体" w:cs="宋体"/>
          <w:bCs/>
          <w:color w:val="000000" w:themeColor="text1"/>
          <w:kern w:val="0"/>
          <w:sz w:val="24"/>
          <w:highlight w:val="none"/>
          <w:lang w:val="en-US" w:eastAsia="zh-CN"/>
          <w14:textFill>
            <w14:solidFill>
              <w14:schemeClr w14:val="tx1"/>
            </w14:solidFill>
          </w14:textFill>
        </w:rPr>
        <w:t xml:space="preserve">    </w:t>
      </w:r>
      <w:r>
        <w:rPr>
          <w:rFonts w:ascii="宋体" w:hAnsi="宋体" w:cs="宋体"/>
          <w:bCs/>
          <w:color w:val="000000" w:themeColor="text1"/>
          <w:kern w:val="0"/>
          <w:sz w:val="24"/>
          <w:highlight w:val="none"/>
          <w14:textFill>
            <w14:solidFill>
              <w14:schemeClr w14:val="tx1"/>
            </w14:solidFill>
          </w14:textFill>
        </w:rPr>
        <w:t>称：</w:t>
      </w:r>
      <w:r>
        <w:rPr>
          <w:rFonts w:hint="eastAsia" w:ascii="宋体" w:hAnsi="宋体" w:cs="宋体"/>
          <w:color w:val="000000" w:themeColor="text1"/>
          <w:kern w:val="0"/>
          <w:sz w:val="24"/>
          <w:highlight w:val="none"/>
          <w14:textFill>
            <w14:solidFill>
              <w14:schemeClr w14:val="tx1"/>
            </w14:solidFill>
          </w14:textFill>
        </w:rPr>
        <w:t>南京麻田工程咨询有限公司</w:t>
      </w:r>
    </w:p>
    <w:p w14:paraId="34C80736">
      <w:pPr>
        <w:widowControl/>
        <w:spacing w:line="460" w:lineRule="exact"/>
        <w:ind w:firstLine="480" w:firstLineChars="200"/>
        <w:jc w:val="left"/>
        <w:rPr>
          <w:rFonts w:hint="eastAsia" w:ascii="宋体" w:hAnsi="宋体" w:eastAsia="宋体" w:cs="宋体"/>
          <w:bCs/>
          <w:color w:val="000000" w:themeColor="text1"/>
          <w:kern w:val="0"/>
          <w:sz w:val="24"/>
          <w:highlight w:val="none"/>
          <w:lang w:eastAsia="zh-CN"/>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地</w:t>
      </w:r>
      <w:r>
        <w:rPr>
          <w:rFonts w:hint="eastAsia" w:ascii="宋体" w:hAnsi="宋体" w:cs="宋体"/>
          <w:bCs/>
          <w:color w:val="000000" w:themeColor="text1"/>
          <w:kern w:val="0"/>
          <w:sz w:val="24"/>
          <w:highlight w:val="none"/>
          <w:lang w:val="en-US" w:eastAsia="zh-CN"/>
          <w14:textFill>
            <w14:solidFill>
              <w14:schemeClr w14:val="tx1"/>
            </w14:solidFill>
          </w14:textFill>
        </w:rPr>
        <w:t xml:space="preserve">    </w:t>
      </w:r>
      <w:r>
        <w:rPr>
          <w:rFonts w:ascii="宋体" w:hAnsi="宋体" w:cs="宋体"/>
          <w:bCs/>
          <w:color w:val="000000" w:themeColor="text1"/>
          <w:kern w:val="0"/>
          <w:sz w:val="24"/>
          <w:highlight w:val="none"/>
          <w14:textFill>
            <w14:solidFill>
              <w14:schemeClr w14:val="tx1"/>
            </w14:solidFill>
          </w14:textFill>
        </w:rPr>
        <w:t>址：</w:t>
      </w:r>
      <w:r>
        <w:rPr>
          <w:rFonts w:hint="eastAsia" w:ascii="宋体" w:hAnsi="宋体" w:cs="宋体"/>
          <w:color w:val="000000" w:themeColor="text1"/>
          <w:kern w:val="0"/>
          <w:sz w:val="24"/>
          <w:highlight w:val="none"/>
          <w:lang w:eastAsia="zh-CN"/>
          <w14:textFill>
            <w14:solidFill>
              <w14:schemeClr w14:val="tx1"/>
            </w14:solidFill>
          </w14:textFill>
        </w:rPr>
        <w:t>南京市江宁区淳化街道雁冲路68号院内9#楼1楼</w:t>
      </w:r>
    </w:p>
    <w:p w14:paraId="5EC5CA55">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联系方式：</w:t>
      </w:r>
      <w:r>
        <w:rPr>
          <w:rFonts w:hint="eastAsia" w:ascii="宋体" w:hAnsi="宋体" w:cs="宋体"/>
          <w:color w:val="000000" w:themeColor="text1"/>
          <w:kern w:val="0"/>
          <w:sz w:val="24"/>
          <w:highlight w:val="none"/>
          <w14:textFill>
            <w14:solidFill>
              <w14:schemeClr w14:val="tx1"/>
            </w14:solidFill>
          </w14:textFill>
        </w:rPr>
        <w:t>025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52730710</w:t>
      </w:r>
    </w:p>
    <w:p w14:paraId="7E945C9E">
      <w:pPr>
        <w:widowControl/>
        <w:spacing w:line="460" w:lineRule="exact"/>
        <w:ind w:firstLine="482" w:firstLineChars="200"/>
        <w:jc w:val="left"/>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3.项目联系方式</w:t>
      </w:r>
    </w:p>
    <w:p w14:paraId="3CF77906">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项目联系人：</w:t>
      </w:r>
      <w:r>
        <w:rPr>
          <w:rFonts w:hint="eastAsia" w:ascii="宋体" w:hAnsi="宋体" w:cs="宋体"/>
          <w:bCs/>
          <w:color w:val="000000" w:themeColor="text1"/>
          <w:kern w:val="0"/>
          <w:sz w:val="24"/>
          <w:highlight w:val="none"/>
          <w14:textFill>
            <w14:solidFill>
              <w14:schemeClr w14:val="tx1"/>
            </w14:solidFill>
          </w14:textFill>
        </w:rPr>
        <w:t>张工</w:t>
      </w:r>
    </w:p>
    <w:p w14:paraId="3376AA6F">
      <w:pPr>
        <w:spacing w:line="460" w:lineRule="exact"/>
        <w:ind w:firstLine="480" w:firstLineChars="200"/>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电</w:t>
      </w:r>
      <w:r>
        <w:rPr>
          <w:rFonts w:hint="eastAsia" w:ascii="宋体" w:hAnsi="宋体" w:cs="宋体"/>
          <w:bCs/>
          <w:color w:val="000000" w:themeColor="text1"/>
          <w:kern w:val="0"/>
          <w:sz w:val="24"/>
          <w:highlight w:val="none"/>
          <w:lang w:val="en-US" w:eastAsia="zh-CN"/>
          <w14:textFill>
            <w14:solidFill>
              <w14:schemeClr w14:val="tx1"/>
            </w14:solidFill>
          </w14:textFill>
        </w:rPr>
        <w:t xml:space="preserve">      </w:t>
      </w:r>
      <w:r>
        <w:rPr>
          <w:rFonts w:ascii="宋体" w:hAnsi="宋体" w:cs="宋体"/>
          <w:bCs/>
          <w:color w:val="000000" w:themeColor="text1"/>
          <w:kern w:val="0"/>
          <w:sz w:val="24"/>
          <w:highlight w:val="none"/>
          <w14:textFill>
            <w14:solidFill>
              <w14:schemeClr w14:val="tx1"/>
            </w14:solidFill>
          </w14:textFill>
        </w:rPr>
        <w:t>话：</w:t>
      </w:r>
      <w:r>
        <w:rPr>
          <w:rFonts w:hint="eastAsia" w:ascii="宋体" w:hAnsi="宋体" w:cs="宋体"/>
          <w:color w:val="000000" w:themeColor="text1"/>
          <w:kern w:val="0"/>
          <w:sz w:val="24"/>
          <w:highlight w:val="none"/>
          <w14:textFill>
            <w14:solidFill>
              <w14:schemeClr w14:val="tx1"/>
            </w14:solidFill>
          </w14:textFill>
        </w:rPr>
        <w:t>025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52730710</w:t>
      </w:r>
    </w:p>
    <w:p w14:paraId="13573585">
      <w:p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p>
    <w:p w14:paraId="0EBDCE55">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p w14:paraId="3BF97D97">
      <w:pP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br w:type="page"/>
      </w:r>
    </w:p>
    <w:p w14:paraId="4EFBF73F">
      <w:pPr>
        <w:spacing w:beforeLines="50" w:afterLines="50" w:line="460" w:lineRule="exact"/>
        <w:jc w:val="center"/>
        <w:outlineLvl w:val="0"/>
        <w:rPr>
          <w:rFonts w:ascii="宋体" w:hAnsi="宋体"/>
          <w:color w:val="000000" w:themeColor="text1"/>
          <w:sz w:val="36"/>
          <w:szCs w:val="30"/>
          <w:highlight w:val="none"/>
          <w14:textFill>
            <w14:solidFill>
              <w14:schemeClr w14:val="tx1"/>
            </w14:solidFill>
          </w14:textFill>
        </w:rPr>
      </w:pPr>
      <w:bookmarkStart w:id="15" w:name="_Toc185323372"/>
      <w:bookmarkStart w:id="16" w:name="_Toc23462"/>
      <w:bookmarkStart w:id="17" w:name="_Toc16399"/>
      <w:r>
        <w:rPr>
          <w:rFonts w:hint="eastAsia" w:ascii="宋体" w:hAnsi="宋体"/>
          <w:color w:val="000000" w:themeColor="text1"/>
          <w:sz w:val="36"/>
          <w:szCs w:val="30"/>
          <w:highlight w:val="none"/>
          <w14:textFill>
            <w14:solidFill>
              <w14:schemeClr w14:val="tx1"/>
            </w14:solidFill>
          </w14:textFill>
        </w:rPr>
        <w:t>第二章 竞争性磋商须知</w:t>
      </w:r>
      <w:bookmarkEnd w:id="15"/>
      <w:bookmarkEnd w:id="16"/>
      <w:bookmarkEnd w:id="17"/>
    </w:p>
    <w:p w14:paraId="43A9C406">
      <w:pPr>
        <w:spacing w:beforeLines="50" w:afterLines="50" w:line="460" w:lineRule="exact"/>
        <w:ind w:firstLine="482" w:firstLineChars="200"/>
        <w:jc w:val="left"/>
        <w:rPr>
          <w:rFonts w:ascii="宋体" w:hAnsi="宋体"/>
          <w:color w:val="000000" w:themeColor="text1"/>
          <w:sz w:val="36"/>
          <w:szCs w:val="30"/>
          <w:highlight w:val="none"/>
          <w14:textFill>
            <w14:solidFill>
              <w14:schemeClr w14:val="tx1"/>
            </w14:solidFill>
          </w14:textFill>
        </w:rPr>
      </w:pPr>
      <w:r>
        <w:rPr>
          <w:rFonts w:hint="eastAsia" w:ascii="宋体" w:hAnsi="宋体" w:cs="宋体"/>
          <w:b/>
          <w:bCs/>
          <w:color w:val="000000" w:themeColor="text1"/>
          <w:sz w:val="24"/>
          <w:szCs w:val="21"/>
          <w:highlight w:val="none"/>
          <w14:textFill>
            <w14:solidFill>
              <w14:schemeClr w14:val="tx1"/>
            </w14:solidFill>
          </w14:textFill>
        </w:rPr>
        <w:t>南京麻田工程咨询有限公司</w:t>
      </w:r>
      <w:r>
        <w:rPr>
          <w:rFonts w:hint="eastAsia" w:ascii="宋体" w:hAnsi="宋体" w:cs="宋体"/>
          <w:color w:val="000000" w:themeColor="text1"/>
          <w:sz w:val="24"/>
          <w:szCs w:val="21"/>
          <w:highlight w:val="none"/>
          <w14:textFill>
            <w14:solidFill>
              <w14:schemeClr w14:val="tx1"/>
            </w14:solidFill>
          </w14:textFill>
        </w:rPr>
        <w:t>受</w:t>
      </w:r>
      <w:r>
        <w:rPr>
          <w:rFonts w:hint="eastAsia" w:ascii="宋体" w:hAnsi="宋体" w:cs="宋体"/>
          <w:b/>
          <w:bCs/>
          <w:color w:val="000000" w:themeColor="text1"/>
          <w:sz w:val="24"/>
          <w:szCs w:val="21"/>
          <w:highlight w:val="none"/>
          <w:lang w:eastAsia="zh-CN"/>
          <w14:textFill>
            <w14:solidFill>
              <w14:schemeClr w14:val="tx1"/>
            </w14:solidFill>
          </w14:textFill>
        </w:rPr>
        <w:t>南京江宁滨江经济开发区管理委员会</w:t>
      </w:r>
      <w:r>
        <w:rPr>
          <w:rFonts w:hint="eastAsia" w:ascii="宋体" w:hAnsi="宋体" w:cs="宋体"/>
          <w:color w:val="000000" w:themeColor="text1"/>
          <w:sz w:val="24"/>
          <w:szCs w:val="21"/>
          <w:highlight w:val="none"/>
          <w14:textFill>
            <w14:solidFill>
              <w14:schemeClr w14:val="tx1"/>
            </w14:solidFill>
          </w14:textFill>
        </w:rPr>
        <w:t>（采购人）委托，对其</w:t>
      </w:r>
      <w:r>
        <w:rPr>
          <w:rFonts w:hint="eastAsia" w:ascii="宋体" w:hAnsi="宋体" w:cs="宋体"/>
          <w:b/>
          <w:color w:val="000000" w:themeColor="text1"/>
          <w:kern w:val="0"/>
          <w:sz w:val="24"/>
          <w:highlight w:val="none"/>
          <w:lang w:eastAsia="zh-CN"/>
          <w14:textFill>
            <w14:solidFill>
              <w14:schemeClr w14:val="tx1"/>
            </w14:solidFill>
          </w14:textFill>
        </w:rPr>
        <w:t>2026年园区VOCs站运维服务项目</w:t>
      </w:r>
      <w:r>
        <w:rPr>
          <w:rFonts w:hint="eastAsia" w:ascii="宋体" w:hAnsi="宋体" w:cs="宋体"/>
          <w:color w:val="000000" w:themeColor="text1"/>
          <w:sz w:val="24"/>
          <w:szCs w:val="21"/>
          <w:highlight w:val="none"/>
          <w14:textFill>
            <w14:solidFill>
              <w14:schemeClr w14:val="tx1"/>
            </w14:solidFill>
          </w14:textFill>
        </w:rPr>
        <w:t>（项目名称）进行竞争性磋商采购，兹邀请符合条件的供应商参与投标，相关信息如下：</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900"/>
        <w:gridCol w:w="1184"/>
        <w:gridCol w:w="1516"/>
        <w:gridCol w:w="4721"/>
      </w:tblGrid>
      <w:tr w14:paraId="4AEE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35" w:type="dxa"/>
            <w:tcBorders>
              <w:top w:val="single" w:color="auto" w:sz="4" w:space="0"/>
              <w:left w:val="single" w:color="auto" w:sz="4" w:space="0"/>
              <w:bottom w:val="single" w:color="auto" w:sz="4" w:space="0"/>
              <w:right w:val="single" w:color="auto" w:sz="4" w:space="0"/>
            </w:tcBorders>
            <w:vAlign w:val="center"/>
          </w:tcPr>
          <w:p w14:paraId="70EEBC4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46D04BF0">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  目</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433F0528">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内         容</w:t>
            </w:r>
          </w:p>
        </w:tc>
      </w:tr>
      <w:tr w14:paraId="0357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35" w:type="dxa"/>
            <w:tcBorders>
              <w:top w:val="single" w:color="auto" w:sz="4" w:space="0"/>
              <w:left w:val="single" w:color="auto" w:sz="4" w:space="0"/>
              <w:bottom w:val="single" w:color="auto" w:sz="4" w:space="0"/>
              <w:right w:val="single" w:color="auto" w:sz="4" w:space="0"/>
            </w:tcBorders>
            <w:vAlign w:val="center"/>
          </w:tcPr>
          <w:p w14:paraId="4757FE3C">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6244755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4C0CE7E3">
            <w:pPr>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NJMT-CG2026-09</w:t>
            </w:r>
          </w:p>
        </w:tc>
      </w:tr>
      <w:tr w14:paraId="3DF4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35" w:type="dxa"/>
            <w:tcBorders>
              <w:top w:val="single" w:color="auto" w:sz="4" w:space="0"/>
              <w:left w:val="single" w:color="auto" w:sz="4" w:space="0"/>
              <w:bottom w:val="single" w:color="auto" w:sz="4" w:space="0"/>
              <w:right w:val="single" w:color="auto" w:sz="4" w:space="0"/>
            </w:tcBorders>
            <w:vAlign w:val="center"/>
          </w:tcPr>
          <w:p w14:paraId="4666845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478B248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7B99C00C">
            <w:pPr>
              <w:jc w:val="left"/>
              <w:rPr>
                <w:rFonts w:hint="eastAsia" w:ascii="宋体" w:hAnsi="宋体" w:eastAsia="宋体"/>
                <w:color w:val="000000" w:themeColor="text1"/>
                <w:szCs w:val="18"/>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2026年园区VOCs站运维服务项目</w:t>
            </w:r>
          </w:p>
        </w:tc>
      </w:tr>
      <w:tr w14:paraId="2E48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35" w:type="dxa"/>
            <w:tcBorders>
              <w:top w:val="single" w:color="auto" w:sz="4" w:space="0"/>
              <w:left w:val="single" w:color="auto" w:sz="4" w:space="0"/>
              <w:bottom w:val="single" w:color="auto" w:sz="4" w:space="0"/>
              <w:right w:val="single" w:color="auto" w:sz="4" w:space="0"/>
            </w:tcBorders>
            <w:vAlign w:val="center"/>
          </w:tcPr>
          <w:p w14:paraId="49B30A98">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1E17A05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采购代理机构</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4119C6D8">
            <w:pPr>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南京麻田工程咨询有限公司</w:t>
            </w:r>
          </w:p>
        </w:tc>
      </w:tr>
      <w:tr w14:paraId="3094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35" w:type="dxa"/>
            <w:tcBorders>
              <w:top w:val="single" w:color="auto" w:sz="4" w:space="0"/>
              <w:left w:val="single" w:color="auto" w:sz="4" w:space="0"/>
              <w:bottom w:val="single" w:color="auto" w:sz="4" w:space="0"/>
              <w:right w:val="single" w:color="auto" w:sz="4" w:space="0"/>
            </w:tcBorders>
            <w:vAlign w:val="center"/>
          </w:tcPr>
          <w:p w14:paraId="57A2B6FC">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3FD93D3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代理机构地址</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0C387CA8">
            <w:pPr>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南京市江宁区淳化街道雁冲路68号院内9#楼1楼</w:t>
            </w:r>
          </w:p>
        </w:tc>
      </w:tr>
      <w:tr w14:paraId="1F19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35" w:type="dxa"/>
            <w:tcBorders>
              <w:top w:val="single" w:color="auto" w:sz="4" w:space="0"/>
              <w:left w:val="single" w:color="auto" w:sz="4" w:space="0"/>
              <w:bottom w:val="single" w:color="auto" w:sz="4" w:space="0"/>
              <w:right w:val="single" w:color="auto" w:sz="4" w:space="0"/>
            </w:tcBorders>
            <w:vAlign w:val="center"/>
          </w:tcPr>
          <w:p w14:paraId="2669B9ED">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2BF4279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磋商文件获取方法</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12105932">
            <w:pPr>
              <w:widowControl/>
              <w:spacing w:line="460" w:lineRule="exact"/>
              <w:ind w:firstLine="480" w:firstLineChars="2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1</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现场报名</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提供满足下列①或②材料</w:t>
            </w:r>
            <w:r>
              <w:rPr>
                <w:rFonts w:hint="eastAsia" w:ascii="宋体" w:hAnsi="宋体" w:cs="宋体"/>
                <w:bCs/>
                <w:color w:val="000000" w:themeColor="text1"/>
                <w:kern w:val="0"/>
                <w:sz w:val="24"/>
                <w:highlight w:val="none"/>
                <w14:textFill>
                  <w14:solidFill>
                    <w14:schemeClr w14:val="tx1"/>
                  </w14:solidFill>
                </w14:textFill>
              </w:rPr>
              <w:t>：</w:t>
            </w:r>
          </w:p>
          <w:p w14:paraId="39029229">
            <w:pPr>
              <w:widowControl/>
              <w:spacing w:line="460" w:lineRule="exact"/>
              <w:ind w:firstLine="480" w:firstLineChars="200"/>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①材料要求：</w:t>
            </w:r>
            <w:r>
              <w:rPr>
                <w:rFonts w:hint="eastAsia" w:ascii="宋体" w:hAnsi="宋体" w:cs="宋体"/>
                <w:color w:val="000000" w:themeColor="text1"/>
                <w:kern w:val="0"/>
                <w:sz w:val="24"/>
                <w:highlight w:val="none"/>
                <w14:textFill>
                  <w14:solidFill>
                    <w14:schemeClr w14:val="tx1"/>
                  </w14:solidFill>
                </w14:textFill>
              </w:rPr>
              <w:t>投标申请人的法定代表人有效身份证件复印件（注明联系方式、邮箱加盖公章）、有效营业执照复印件（加盖公章）南京麻田工程咨询有限公司（</w:t>
            </w:r>
            <w:r>
              <w:rPr>
                <w:rFonts w:hint="eastAsia" w:ascii="宋体" w:hAnsi="宋体" w:cs="宋体"/>
                <w:color w:val="000000" w:themeColor="text1"/>
                <w:kern w:val="0"/>
                <w:sz w:val="24"/>
                <w:highlight w:val="none"/>
                <w:lang w:eastAsia="zh-CN"/>
                <w14:textFill>
                  <w14:solidFill>
                    <w14:schemeClr w14:val="tx1"/>
                  </w14:solidFill>
                </w14:textFill>
              </w:rPr>
              <w:t>南京市江宁区淳化街道雁冲路68号院内9#楼1楼</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报名获取</w:t>
            </w:r>
            <w:r>
              <w:rPr>
                <w:rFonts w:hint="eastAsia" w:ascii="宋体" w:hAnsi="宋体" w:cs="宋体"/>
                <w:color w:val="000000" w:themeColor="text1"/>
                <w:kern w:val="0"/>
                <w:sz w:val="24"/>
                <w:highlight w:val="none"/>
                <w14:textFill>
                  <w14:solidFill>
                    <w14:schemeClr w14:val="tx1"/>
                  </w14:solidFill>
                </w14:textFill>
              </w:rPr>
              <w:t>磋商文件。</w:t>
            </w:r>
          </w:p>
          <w:p w14:paraId="385139E4">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②材料要求：</w:t>
            </w:r>
            <w:r>
              <w:rPr>
                <w:rFonts w:hint="eastAsia" w:ascii="宋体" w:hAnsi="宋体" w:cs="宋体"/>
                <w:color w:val="000000" w:themeColor="text1"/>
                <w:kern w:val="0"/>
                <w:sz w:val="24"/>
                <w:highlight w:val="none"/>
                <w14:textFill>
                  <w14:solidFill>
                    <w14:schemeClr w14:val="tx1"/>
                  </w14:solidFill>
                </w14:textFill>
              </w:rPr>
              <w:t>其授权的委托代理人持个人有效</w:t>
            </w:r>
            <w:r>
              <w:rPr>
                <w:rFonts w:hint="eastAsia" w:ascii="宋体" w:hAnsi="宋体" w:cs="宋体"/>
                <w:color w:val="FF0000"/>
                <w:kern w:val="0"/>
                <w:sz w:val="24"/>
                <w:highlight w:val="none"/>
              </w:rPr>
              <w:t>身份证</w:t>
            </w:r>
            <w:r>
              <w:rPr>
                <w:rFonts w:hint="eastAsia" w:ascii="宋体" w:hAnsi="宋体" w:cs="宋体"/>
                <w:color w:val="000000" w:themeColor="text1"/>
                <w:kern w:val="0"/>
                <w:sz w:val="24"/>
                <w:highlight w:val="none"/>
                <w14:textFill>
                  <w14:solidFill>
                    <w14:schemeClr w14:val="tx1"/>
                  </w14:solidFill>
                </w14:textFill>
              </w:rPr>
              <w:t>件复印件（加盖公章）、单位介绍信原件（或</w:t>
            </w:r>
            <w:r>
              <w:rPr>
                <w:rFonts w:hint="eastAsia" w:ascii="宋体" w:hAnsi="宋体" w:cs="宋体"/>
                <w:color w:val="FF0000"/>
                <w:kern w:val="0"/>
                <w:sz w:val="24"/>
                <w:highlight w:val="none"/>
              </w:rPr>
              <w:t>授权委托书原件</w:t>
            </w:r>
            <w:r>
              <w:rPr>
                <w:rFonts w:hint="eastAsia" w:ascii="宋体" w:hAnsi="宋体" w:cs="宋体"/>
                <w:color w:val="000000" w:themeColor="text1"/>
                <w:kern w:val="0"/>
                <w:sz w:val="24"/>
                <w:highlight w:val="none"/>
                <w14:textFill>
                  <w14:solidFill>
                    <w14:schemeClr w14:val="tx1"/>
                  </w14:solidFill>
                </w14:textFill>
              </w:rPr>
              <w:t>）（注明联系方式、邮箱）、</w:t>
            </w:r>
            <w:r>
              <w:rPr>
                <w:rFonts w:hint="eastAsia" w:ascii="宋体" w:hAnsi="宋体" w:cs="宋体"/>
                <w:color w:val="000000" w:themeColor="text1"/>
                <w:kern w:val="0"/>
                <w:sz w:val="24"/>
                <w:highlight w:val="none"/>
                <w:lang w:val="en-US" w:eastAsia="zh-CN"/>
                <w14:textFill>
                  <w14:solidFill>
                    <w14:schemeClr w14:val="tx1"/>
                  </w14:solidFill>
                </w14:textFill>
              </w:rPr>
              <w:t>委托代理人</w:t>
            </w:r>
            <w:r>
              <w:rPr>
                <w:rFonts w:cs="宋体"/>
                <w:color w:val="000000" w:themeColor="text1"/>
                <w:sz w:val="24"/>
                <w:highlight w:val="none"/>
                <w14:textFill>
                  <w14:solidFill>
                    <w14:schemeClr w14:val="tx1"/>
                  </w14:solidFill>
                </w14:textFill>
              </w:rPr>
              <w:t>社保机构出具的近半年</w:t>
            </w:r>
            <w:r>
              <w:rPr>
                <w:rFonts w:hint="eastAsia" w:cs="宋体"/>
                <w:color w:val="000000" w:themeColor="text1"/>
                <w:sz w:val="24"/>
                <w:highlight w:val="none"/>
                <w14:textFill>
                  <w14:solidFill>
                    <w14:schemeClr w14:val="tx1"/>
                  </w14:solidFill>
                </w14:textFill>
              </w:rPr>
              <w:t>（</w:t>
            </w:r>
            <w:r>
              <w:rPr>
                <w:rFonts w:cs="宋体"/>
                <w:color w:val="FF0000"/>
                <w:sz w:val="24"/>
                <w:highlight w:val="none"/>
              </w:rPr>
              <w:t>202</w:t>
            </w:r>
            <w:r>
              <w:rPr>
                <w:rFonts w:hint="eastAsia" w:cs="宋体"/>
                <w:color w:val="FF0000"/>
                <w:sz w:val="24"/>
                <w:highlight w:val="none"/>
                <w:lang w:val="en-US" w:eastAsia="zh-CN"/>
              </w:rPr>
              <w:t>5</w:t>
            </w:r>
            <w:r>
              <w:rPr>
                <w:rFonts w:cs="宋体"/>
                <w:color w:val="FF0000"/>
                <w:sz w:val="24"/>
                <w:highlight w:val="none"/>
              </w:rPr>
              <w:t>年</w:t>
            </w:r>
            <w:r>
              <w:rPr>
                <w:rFonts w:hint="eastAsia" w:cs="宋体"/>
                <w:color w:val="FF0000"/>
                <w:sz w:val="24"/>
                <w:highlight w:val="none"/>
                <w:lang w:val="en-US" w:eastAsia="zh-CN"/>
              </w:rPr>
              <w:t>10</w:t>
            </w:r>
            <w:r>
              <w:rPr>
                <w:rFonts w:cs="宋体"/>
                <w:color w:val="FF0000"/>
                <w:sz w:val="24"/>
                <w:highlight w:val="none"/>
              </w:rPr>
              <w:t>月-202</w:t>
            </w:r>
            <w:r>
              <w:rPr>
                <w:rFonts w:hint="eastAsia" w:cs="宋体"/>
                <w:color w:val="FF0000"/>
                <w:sz w:val="24"/>
                <w:highlight w:val="none"/>
                <w:lang w:val="en-US" w:eastAsia="zh-CN"/>
              </w:rPr>
              <w:t>6</w:t>
            </w:r>
            <w:r>
              <w:rPr>
                <w:rFonts w:cs="宋体"/>
                <w:color w:val="FF0000"/>
                <w:sz w:val="24"/>
                <w:highlight w:val="none"/>
              </w:rPr>
              <w:t>年</w:t>
            </w:r>
            <w:r>
              <w:rPr>
                <w:rFonts w:hint="eastAsia" w:cs="宋体"/>
                <w:color w:val="FF0000"/>
                <w:sz w:val="24"/>
                <w:highlight w:val="none"/>
                <w:lang w:val="en-US" w:eastAsia="zh-CN"/>
              </w:rPr>
              <w:t>3</w:t>
            </w:r>
            <w:r>
              <w:rPr>
                <w:rFonts w:cs="宋体"/>
                <w:color w:val="FF0000"/>
                <w:sz w:val="24"/>
                <w:highlight w:val="none"/>
              </w:rPr>
              <w:t>月</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投标申请人为其缴纳的养老保险缴费证明材料</w:t>
            </w:r>
            <w:r>
              <w:rPr>
                <w:rFonts w:hint="eastAsia"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有效营业执照复印件（加盖公章）在南京麻田工程咨询有限公司（</w:t>
            </w:r>
            <w:r>
              <w:rPr>
                <w:rFonts w:hint="eastAsia" w:ascii="宋体" w:hAnsi="宋体" w:cs="宋体"/>
                <w:color w:val="000000" w:themeColor="text1"/>
                <w:kern w:val="0"/>
                <w:sz w:val="24"/>
                <w:highlight w:val="none"/>
                <w:lang w:eastAsia="zh-CN"/>
                <w14:textFill>
                  <w14:solidFill>
                    <w14:schemeClr w14:val="tx1"/>
                  </w14:solidFill>
                </w14:textFill>
              </w:rPr>
              <w:t>南京市江宁区淳化街道雁冲路68号院内9#楼1楼</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报名获取</w:t>
            </w:r>
            <w:r>
              <w:rPr>
                <w:rFonts w:hint="eastAsia" w:ascii="宋体" w:hAnsi="宋体" w:cs="宋体"/>
                <w:color w:val="000000" w:themeColor="text1"/>
                <w:kern w:val="0"/>
                <w:sz w:val="24"/>
                <w:highlight w:val="none"/>
                <w14:textFill>
                  <w14:solidFill>
                    <w14:schemeClr w14:val="tx1"/>
                  </w14:solidFill>
                </w14:textFill>
              </w:rPr>
              <w:t>磋商文件。</w:t>
            </w:r>
          </w:p>
          <w:p w14:paraId="61A785F8">
            <w:pPr>
              <w:widowControl/>
              <w:spacing w:line="460" w:lineRule="exact"/>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网上报名：</w:t>
            </w:r>
            <w:r>
              <w:rPr>
                <w:rFonts w:hint="eastAsia" w:ascii="宋体" w:hAnsi="宋体" w:cs="宋体"/>
                <w:color w:val="000000" w:themeColor="text1"/>
                <w:kern w:val="0"/>
                <w:sz w:val="24"/>
                <w:highlight w:val="none"/>
                <w:lang w:val="en-US" w:eastAsia="zh-CN"/>
                <w14:textFill>
                  <w14:solidFill>
                    <w14:schemeClr w14:val="tx1"/>
                  </w14:solidFill>
                </w14:textFill>
              </w:rPr>
              <w:t>方式（1）的材料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"mailto:扫描件发送至邮箱760427587@qq.com"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highlight w:val="none"/>
                <w14:textFill>
                  <w14:solidFill>
                    <w14:schemeClr w14:val="tx1"/>
                  </w14:solidFill>
                </w14:textFill>
              </w:rPr>
              <w:t>扫描件发送至邮箱760427587@qq.com</w:t>
            </w:r>
            <w:r>
              <w:rPr>
                <w:rFonts w:hint="eastAsia" w:ascii="宋体" w:hAnsi="宋体" w:cs="宋体"/>
                <w:color w:val="000000" w:themeColor="text1"/>
                <w:kern w:val="0"/>
                <w:sz w:val="24"/>
                <w:highlight w:val="none"/>
                <w14:textFill>
                  <w14:solidFill>
                    <w14:schemeClr w14:val="tx1"/>
                  </w14:solidFill>
                </w14:textFill>
              </w:rPr>
              <w:fldChar w:fldCharType="end"/>
            </w:r>
            <w:r>
              <w:rPr>
                <w:rFonts w:hint="eastAsia" w:ascii="宋体" w:hAnsi="宋体" w:cs="宋体"/>
                <w:color w:val="000000" w:themeColor="text1"/>
                <w:kern w:val="0"/>
                <w:sz w:val="24"/>
                <w:highlight w:val="none"/>
                <w14:textFill>
                  <w14:solidFill>
                    <w14:schemeClr w14:val="tx1"/>
                  </w14:solidFill>
                </w14:textFill>
              </w:rPr>
              <w:t>，纸质文件邮寄至南京麻田工程咨询有限公司（地址：</w:t>
            </w:r>
            <w:r>
              <w:rPr>
                <w:rFonts w:hint="eastAsia" w:ascii="宋体" w:hAnsi="宋体" w:cs="宋体"/>
                <w:color w:val="000000" w:themeColor="text1"/>
                <w:kern w:val="0"/>
                <w:sz w:val="24"/>
                <w:highlight w:val="none"/>
                <w:lang w:eastAsia="zh-CN"/>
                <w14:textFill>
                  <w14:solidFill>
                    <w14:schemeClr w14:val="tx1"/>
                  </w14:solidFill>
                </w14:textFill>
              </w:rPr>
              <w:t>南京市江宁区淳化街道雁冲路68号院内9#楼1楼</w:t>
            </w:r>
            <w:r>
              <w:rPr>
                <w:rFonts w:hint="eastAsia" w:ascii="宋体" w:hAnsi="宋体" w:cs="宋体"/>
                <w:color w:val="000000" w:themeColor="text1"/>
                <w:kern w:val="0"/>
                <w:sz w:val="24"/>
                <w:highlight w:val="none"/>
                <w14:textFill>
                  <w14:solidFill>
                    <w14:schemeClr w14:val="tx1"/>
                  </w14:solidFill>
                </w14:textFill>
              </w:rPr>
              <w:t>，收件人：张工，联系方式：025-52730710）。</w:t>
            </w:r>
          </w:p>
          <w:p w14:paraId="69B0F80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售价：</w:t>
            </w:r>
            <w:r>
              <w:rPr>
                <w:rFonts w:hint="eastAsia" w:ascii="宋体" w:hAnsi="宋体" w:cs="宋体"/>
                <w:bCs/>
                <w:color w:val="000000" w:themeColor="text1"/>
                <w:kern w:val="0"/>
                <w:sz w:val="24"/>
                <w:highlight w:val="none"/>
                <w:lang w:val="en-US" w:eastAsia="zh-CN"/>
                <w14:textFill>
                  <w14:solidFill>
                    <w14:schemeClr w14:val="tx1"/>
                  </w14:solidFill>
                </w14:textFill>
              </w:rPr>
              <w:t>0</w:t>
            </w:r>
            <w:r>
              <w:rPr>
                <w:rFonts w:ascii="宋体" w:hAnsi="宋体" w:cs="宋体"/>
                <w:bCs/>
                <w:color w:val="000000" w:themeColor="text1"/>
                <w:kern w:val="0"/>
                <w:sz w:val="24"/>
                <w:highlight w:val="none"/>
                <w14:textFill>
                  <w14:solidFill>
                    <w14:schemeClr w14:val="tx1"/>
                  </w14:solidFill>
                </w14:textFill>
              </w:rPr>
              <w:t>元</w:t>
            </w:r>
            <w:r>
              <w:rPr>
                <w:rFonts w:hint="eastAsia" w:ascii="宋体" w:hAnsi="宋体" w:cs="宋体"/>
                <w:bCs/>
                <w:color w:val="000000" w:themeColor="text1"/>
                <w:kern w:val="0"/>
                <w:sz w:val="24"/>
                <w:highlight w:val="none"/>
                <w14:textFill>
                  <w14:solidFill>
                    <w14:schemeClr w14:val="tx1"/>
                  </w14:solidFill>
                </w14:textFill>
              </w:rPr>
              <w:t>。</w:t>
            </w:r>
          </w:p>
        </w:tc>
      </w:tr>
      <w:tr w14:paraId="7733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35" w:type="dxa"/>
            <w:tcBorders>
              <w:top w:val="single" w:color="auto" w:sz="4" w:space="0"/>
              <w:left w:val="single" w:color="auto" w:sz="4" w:space="0"/>
              <w:bottom w:val="single" w:color="auto" w:sz="4" w:space="0"/>
              <w:right w:val="single" w:color="auto" w:sz="4" w:space="0"/>
            </w:tcBorders>
            <w:vAlign w:val="center"/>
          </w:tcPr>
          <w:p w14:paraId="181BEF3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09F43435">
            <w:pPr>
              <w:jc w:val="cente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项目限价</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686943DC">
            <w:pPr>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人民币大写:</w:t>
            </w:r>
            <w:r>
              <w:rPr>
                <w:rFonts w:hint="eastAsia" w:ascii="宋体" w:hAnsi="宋体" w:cs="宋体"/>
                <w:color w:val="000000" w:themeColor="text1"/>
                <w:kern w:val="0"/>
                <w:sz w:val="24"/>
                <w:highlight w:val="none"/>
                <w:lang w:val="en-US" w:eastAsia="zh-CN"/>
                <w14:textFill>
                  <w14:solidFill>
                    <w14:schemeClr w14:val="tx1"/>
                  </w14:solidFill>
                </w14:textFill>
              </w:rPr>
              <w:t>贰拾捌万捌仟陆佰柒拾贰元整</w:t>
            </w:r>
          </w:p>
          <w:p w14:paraId="4A672556">
            <w:pPr>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28.8672</w:t>
            </w:r>
            <w:r>
              <w:rPr>
                <w:rFonts w:hint="eastAsia" w:ascii="宋体" w:hAnsi="宋体" w:cs="宋体"/>
                <w:color w:val="000000" w:themeColor="text1"/>
                <w:kern w:val="0"/>
                <w:sz w:val="24"/>
                <w:highlight w:val="none"/>
                <w14:textFill>
                  <w14:solidFill>
                    <w14:schemeClr w14:val="tx1"/>
                  </w14:solidFill>
                </w14:textFill>
              </w:rPr>
              <w:t>万元)，</w:t>
            </w:r>
            <w:r>
              <w:rPr>
                <w:rFonts w:ascii="宋体" w:hAnsi="宋体" w:cs="宋体"/>
                <w:color w:val="000000" w:themeColor="text1"/>
                <w:kern w:val="0"/>
                <w:sz w:val="24"/>
                <w:highlight w:val="none"/>
                <w14:textFill>
                  <w14:solidFill>
                    <w14:schemeClr w14:val="tx1"/>
                  </w14:solidFill>
                </w14:textFill>
              </w:rPr>
              <w:t>超过最高限价作废标处理</w:t>
            </w:r>
            <w:r>
              <w:rPr>
                <w:rFonts w:hint="eastAsia" w:ascii="宋体" w:hAnsi="宋体" w:cs="宋体"/>
                <w:color w:val="000000" w:themeColor="text1"/>
                <w:kern w:val="0"/>
                <w:sz w:val="24"/>
                <w:highlight w:val="none"/>
                <w14:textFill>
                  <w14:solidFill>
                    <w14:schemeClr w14:val="tx1"/>
                  </w14:solidFill>
                </w14:textFill>
              </w:rPr>
              <w:t>。</w:t>
            </w:r>
          </w:p>
        </w:tc>
      </w:tr>
      <w:tr w14:paraId="7AF0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35" w:type="dxa"/>
            <w:tcBorders>
              <w:top w:val="single" w:color="auto" w:sz="4" w:space="0"/>
              <w:left w:val="single" w:color="auto" w:sz="4" w:space="0"/>
              <w:bottom w:val="single" w:color="auto" w:sz="4" w:space="0"/>
              <w:right w:val="single" w:color="auto" w:sz="4" w:space="0"/>
            </w:tcBorders>
            <w:vAlign w:val="center"/>
          </w:tcPr>
          <w:p w14:paraId="15CF36A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2891F162">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服务期</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3A7B4C29">
            <w:pPr>
              <w:jc w:val="left"/>
              <w:rPr>
                <w:rFonts w:hint="default" w:ascii="宋体" w:hAnsi="宋体"/>
                <w:color w:val="000000" w:themeColor="text1"/>
                <w:sz w:val="24"/>
                <w:highlight w:val="none"/>
                <w:lang w:val="en-US"/>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一年</w:t>
            </w:r>
          </w:p>
        </w:tc>
      </w:tr>
      <w:tr w14:paraId="185C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35" w:type="dxa"/>
            <w:tcBorders>
              <w:top w:val="single" w:color="auto" w:sz="4" w:space="0"/>
              <w:left w:val="single" w:color="auto" w:sz="4" w:space="0"/>
              <w:bottom w:val="single" w:color="auto" w:sz="4" w:space="0"/>
              <w:right w:val="single" w:color="auto" w:sz="4" w:space="0"/>
            </w:tcBorders>
            <w:vAlign w:val="center"/>
          </w:tcPr>
          <w:p w14:paraId="2B2CDC72">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3C8EA56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磋商有效期</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25D7509B">
            <w:pPr>
              <w:autoSpaceDE w:val="0"/>
              <w:autoSpaceDN w:val="0"/>
              <w:adjustRightInd w:val="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30"/>
                <w:highlight w:val="none"/>
                <w:lang w:val="zh-CN"/>
                <w14:textFill>
                  <w14:solidFill>
                    <w14:schemeClr w14:val="tx1"/>
                  </w14:solidFill>
                </w14:textFill>
              </w:rPr>
              <w:t>磋商之日起</w:t>
            </w:r>
            <w:r>
              <w:rPr>
                <w:rFonts w:hint="eastAsia" w:ascii="宋体" w:hAnsi="宋体" w:cs="宋体"/>
                <w:color w:val="000000" w:themeColor="text1"/>
                <w:sz w:val="24"/>
                <w:szCs w:val="30"/>
                <w:highlight w:val="none"/>
                <w:lang w:val="en-US" w:eastAsia="zh-CN"/>
                <w14:textFill>
                  <w14:solidFill>
                    <w14:schemeClr w14:val="tx1"/>
                  </w14:solidFill>
                </w14:textFill>
              </w:rPr>
              <w:t>6</w:t>
            </w:r>
            <w:r>
              <w:rPr>
                <w:rFonts w:hint="eastAsia" w:ascii="宋体" w:hAnsi="宋体" w:cs="宋体"/>
                <w:color w:val="000000" w:themeColor="text1"/>
                <w:sz w:val="24"/>
                <w:szCs w:val="30"/>
                <w:highlight w:val="none"/>
                <w:lang w:val="zh-CN"/>
                <w14:textFill>
                  <w14:solidFill>
                    <w14:schemeClr w14:val="tx1"/>
                  </w14:solidFill>
                </w14:textFill>
              </w:rPr>
              <w:t>0天</w:t>
            </w:r>
          </w:p>
        </w:tc>
      </w:tr>
      <w:tr w14:paraId="746A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02951ADC">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DF6F551">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w:t>
            </w:r>
          </w:p>
          <w:p w14:paraId="50305544">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报名</w:t>
            </w:r>
          </w:p>
        </w:tc>
        <w:tc>
          <w:tcPr>
            <w:tcW w:w="1184" w:type="dxa"/>
            <w:tcBorders>
              <w:top w:val="single" w:color="auto" w:sz="4" w:space="0"/>
              <w:left w:val="single" w:color="auto" w:sz="4" w:space="0"/>
              <w:bottom w:val="single" w:color="auto" w:sz="4" w:space="0"/>
              <w:right w:val="single" w:color="auto" w:sz="4" w:space="0"/>
            </w:tcBorders>
            <w:vAlign w:val="center"/>
          </w:tcPr>
          <w:p w14:paraId="7F62F70B">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12C93C24">
            <w:pPr>
              <w:jc w:val="left"/>
              <w:rPr>
                <w:rFonts w:ascii="宋体" w:hAnsi="宋体"/>
                <w:color w:val="000000" w:themeColor="text1"/>
                <w:sz w:val="24"/>
                <w:highlight w:val="none"/>
                <w14:textFill>
                  <w14:solidFill>
                    <w14:schemeClr w14:val="tx1"/>
                  </w14:solidFill>
                </w14:textFill>
              </w:rPr>
            </w:pPr>
            <w:r>
              <w:rPr>
                <w:rFonts w:hint="eastAsia" w:ascii="宋体" w:hAnsi="宋体" w:cs="宋体"/>
                <w:color w:val="FF0000"/>
                <w:kern w:val="0"/>
                <w:sz w:val="24"/>
                <w:highlight w:val="none"/>
              </w:rPr>
              <w:t>2</w:t>
            </w:r>
            <w:r>
              <w:rPr>
                <w:rFonts w:hint="eastAsia" w:ascii="宋体" w:hAnsi="宋体"/>
                <w:color w:val="FF0000"/>
                <w:sz w:val="24"/>
                <w:highlight w:val="none"/>
              </w:rPr>
              <w:t>02</w:t>
            </w:r>
            <w:r>
              <w:rPr>
                <w:rFonts w:hint="eastAsia" w:ascii="宋体" w:hAnsi="宋体"/>
                <w:color w:val="FF0000"/>
                <w:sz w:val="24"/>
                <w:highlight w:val="none"/>
                <w:lang w:val="en-US" w:eastAsia="zh-CN"/>
              </w:rPr>
              <w:t>6</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4</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15</w:t>
            </w:r>
            <w:r>
              <w:rPr>
                <w:rFonts w:hint="eastAsia" w:ascii="宋体" w:hAnsi="宋体" w:cs="宋体"/>
                <w:color w:val="FF0000"/>
                <w:kern w:val="0"/>
                <w:sz w:val="24"/>
                <w:highlight w:val="none"/>
              </w:rPr>
              <w:t>日起至202</w:t>
            </w:r>
            <w:r>
              <w:rPr>
                <w:rFonts w:hint="eastAsia" w:ascii="宋体" w:hAnsi="宋体" w:cs="宋体"/>
                <w:color w:val="FF0000"/>
                <w:kern w:val="0"/>
                <w:sz w:val="24"/>
                <w:highlight w:val="none"/>
                <w:lang w:val="en-US" w:eastAsia="zh-CN"/>
              </w:rPr>
              <w:t>6</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4</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21</w:t>
            </w:r>
            <w:r>
              <w:rPr>
                <w:rFonts w:hint="eastAsia" w:ascii="宋体" w:hAnsi="宋体" w:cs="宋体"/>
                <w:color w:val="FF0000"/>
                <w:kern w:val="0"/>
                <w:sz w:val="24"/>
                <w:highlight w:val="none"/>
              </w:rPr>
              <w:t>日</w:t>
            </w:r>
            <w:r>
              <w:rPr>
                <w:rFonts w:hint="eastAsia" w:ascii="宋体" w:hAnsi="宋体" w:cs="宋体"/>
                <w:color w:val="000000" w:themeColor="text1"/>
                <w:kern w:val="0"/>
                <w:sz w:val="24"/>
                <w:highlight w:val="none"/>
                <w14:textFill>
                  <w14:solidFill>
                    <w14:schemeClr w14:val="tx1"/>
                  </w14:solidFill>
                </w14:textFill>
              </w:rPr>
              <w:t>为止</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每天9：00-11：30，14：00-17：00（北京时间，节假日</w:t>
            </w:r>
            <w:r>
              <w:rPr>
                <w:rFonts w:hint="eastAsia" w:ascii="宋体" w:hAnsi="宋体"/>
                <w:color w:val="000000" w:themeColor="text1"/>
                <w:sz w:val="24"/>
                <w:highlight w:val="none"/>
                <w14:textFill>
                  <w14:solidFill>
                    <w14:schemeClr w14:val="tx1"/>
                  </w14:solidFill>
                </w14:textFill>
              </w:rPr>
              <w:t>除外）</w:t>
            </w:r>
          </w:p>
        </w:tc>
      </w:tr>
      <w:tr w14:paraId="7171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348AFAE4">
            <w:pPr>
              <w:widowControl/>
              <w:jc w:val="center"/>
              <w:rPr>
                <w:rFonts w:ascii="宋体" w:hAnsi="宋体"/>
                <w:color w:val="000000" w:themeColor="text1"/>
                <w:sz w:val="24"/>
                <w:highlight w:val="none"/>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AE41424">
            <w:pPr>
              <w:widowControl/>
              <w:jc w:val="center"/>
              <w:rPr>
                <w:rFonts w:ascii="宋体" w:hAnsi="宋体"/>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34C4AC4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606ED1AF">
            <w:pPr>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南京市江宁区淳化街道雁冲路68号院内9#楼1楼</w:t>
            </w:r>
          </w:p>
        </w:tc>
      </w:tr>
      <w:tr w14:paraId="0D73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2FE7CAEA">
            <w:pPr>
              <w:widowControl/>
              <w:jc w:val="center"/>
              <w:rPr>
                <w:rFonts w:ascii="宋体" w:hAnsi="宋体"/>
                <w:color w:val="000000" w:themeColor="text1"/>
                <w:sz w:val="24"/>
                <w:highlight w:val="none"/>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BF27EB7">
            <w:pPr>
              <w:widowControl/>
              <w:jc w:val="center"/>
              <w:rPr>
                <w:rFonts w:ascii="宋体" w:hAnsi="宋体"/>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7F619468">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要求</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29031A5C">
            <w:pPr>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详见本表</w:t>
            </w:r>
            <w:r>
              <w:rPr>
                <w:rFonts w:hint="eastAsia" w:ascii="宋体" w:hAnsi="宋体"/>
                <w:color w:val="000000" w:themeColor="text1"/>
                <w:sz w:val="24"/>
                <w:highlight w:val="none"/>
                <w14:textFill>
                  <w14:solidFill>
                    <w14:schemeClr w14:val="tx1"/>
                  </w14:solidFill>
                </w14:textFill>
              </w:rPr>
              <w:t>5</w:t>
            </w:r>
          </w:p>
        </w:tc>
      </w:tr>
      <w:tr w14:paraId="0F50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35" w:type="dxa"/>
            <w:vMerge w:val="restart"/>
            <w:tcBorders>
              <w:top w:val="single" w:color="auto" w:sz="4" w:space="0"/>
              <w:left w:val="single" w:color="auto" w:sz="4" w:space="0"/>
              <w:right w:val="single" w:color="auto" w:sz="4" w:space="0"/>
            </w:tcBorders>
            <w:vAlign w:val="center"/>
          </w:tcPr>
          <w:p w14:paraId="31B8B955">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p>
        </w:tc>
        <w:tc>
          <w:tcPr>
            <w:tcW w:w="900" w:type="dxa"/>
            <w:vMerge w:val="restart"/>
            <w:tcBorders>
              <w:top w:val="single" w:color="auto" w:sz="4" w:space="0"/>
              <w:left w:val="single" w:color="auto" w:sz="4" w:space="0"/>
              <w:right w:val="single" w:color="auto" w:sz="4" w:space="0"/>
            </w:tcBorders>
            <w:vAlign w:val="center"/>
          </w:tcPr>
          <w:p w14:paraId="248843E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响应性文件递交信息</w:t>
            </w:r>
          </w:p>
        </w:tc>
        <w:tc>
          <w:tcPr>
            <w:tcW w:w="1184" w:type="dxa"/>
            <w:tcBorders>
              <w:top w:val="single" w:color="auto" w:sz="4" w:space="0"/>
              <w:left w:val="single" w:color="auto" w:sz="4" w:space="0"/>
              <w:bottom w:val="single" w:color="auto" w:sz="4" w:space="0"/>
              <w:right w:val="single" w:color="auto" w:sz="4" w:space="0"/>
            </w:tcBorders>
            <w:vAlign w:val="center"/>
          </w:tcPr>
          <w:p w14:paraId="1DD8D2E8">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310DBD4D">
            <w:pPr>
              <w:jc w:val="left"/>
              <w:rPr>
                <w:rFonts w:ascii="宋体" w:hAnsi="宋体"/>
                <w:color w:val="000000" w:themeColor="text1"/>
                <w:sz w:val="24"/>
                <w:highlight w:val="none"/>
                <w14:textFill>
                  <w14:solidFill>
                    <w14:schemeClr w14:val="tx1"/>
                  </w14:solidFill>
                </w14:textFill>
              </w:rPr>
            </w:pP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hint="eastAsia" w:ascii="宋体" w:hAnsi="宋体"/>
                <w:color w:val="FF0000"/>
                <w:sz w:val="24"/>
                <w:highlight w:val="none"/>
              </w:rPr>
              <w:t>年</w:t>
            </w:r>
            <w:r>
              <w:rPr>
                <w:rFonts w:hint="eastAsia" w:ascii="宋体" w:hAnsi="宋体"/>
                <w:color w:val="FF0000"/>
                <w:sz w:val="24"/>
                <w:highlight w:val="none"/>
                <w:lang w:val="en-US" w:eastAsia="zh-CN"/>
              </w:rPr>
              <w:t>4</w:t>
            </w:r>
            <w:r>
              <w:rPr>
                <w:rFonts w:hint="eastAsia" w:ascii="宋体" w:hAnsi="宋体"/>
                <w:color w:val="FF0000"/>
                <w:sz w:val="24"/>
                <w:highlight w:val="none"/>
              </w:rPr>
              <w:t>月</w:t>
            </w:r>
            <w:r>
              <w:rPr>
                <w:rFonts w:hint="eastAsia" w:ascii="宋体" w:hAnsi="宋体"/>
                <w:color w:val="FF0000"/>
                <w:sz w:val="24"/>
                <w:highlight w:val="none"/>
                <w:lang w:val="en-US" w:eastAsia="zh-CN"/>
              </w:rPr>
              <w:t>28</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：00</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:30</w:t>
            </w:r>
          </w:p>
        </w:tc>
      </w:tr>
      <w:tr w14:paraId="745C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35" w:type="dxa"/>
            <w:vMerge w:val="continue"/>
            <w:tcBorders>
              <w:left w:val="single" w:color="auto" w:sz="4" w:space="0"/>
              <w:right w:val="single" w:color="auto" w:sz="4" w:space="0"/>
            </w:tcBorders>
            <w:vAlign w:val="center"/>
          </w:tcPr>
          <w:p w14:paraId="55D0889E">
            <w:pPr>
              <w:widowControl/>
              <w:jc w:val="left"/>
              <w:rPr>
                <w:rFonts w:ascii="宋体" w:hAnsi="宋体"/>
                <w:color w:val="000000" w:themeColor="text1"/>
                <w:sz w:val="24"/>
                <w:highlight w:val="none"/>
                <w14:textFill>
                  <w14:solidFill>
                    <w14:schemeClr w14:val="tx1"/>
                  </w14:solidFill>
                </w14:textFill>
              </w:rPr>
            </w:pPr>
          </w:p>
        </w:tc>
        <w:tc>
          <w:tcPr>
            <w:tcW w:w="900" w:type="dxa"/>
            <w:vMerge w:val="continue"/>
            <w:tcBorders>
              <w:left w:val="single" w:color="auto" w:sz="4" w:space="0"/>
              <w:right w:val="single" w:color="auto" w:sz="4" w:space="0"/>
            </w:tcBorders>
            <w:vAlign w:val="center"/>
          </w:tcPr>
          <w:p w14:paraId="5C5B62E3">
            <w:pPr>
              <w:widowControl/>
              <w:jc w:val="left"/>
              <w:rPr>
                <w:rFonts w:ascii="宋体" w:hAnsi="宋体"/>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53D12EF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3E943519">
            <w:pPr>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南京市江宁区淳化街道雁冲路68号院内9#楼1楼</w:t>
            </w:r>
          </w:p>
        </w:tc>
      </w:tr>
      <w:tr w14:paraId="358E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035" w:type="dxa"/>
            <w:vMerge w:val="continue"/>
            <w:tcBorders>
              <w:left w:val="single" w:color="auto" w:sz="4" w:space="0"/>
              <w:bottom w:val="single" w:color="auto" w:sz="4" w:space="0"/>
              <w:right w:val="single" w:color="auto" w:sz="4" w:space="0"/>
            </w:tcBorders>
            <w:vAlign w:val="center"/>
          </w:tcPr>
          <w:p w14:paraId="4F64D662">
            <w:pPr>
              <w:widowControl/>
              <w:jc w:val="left"/>
              <w:rPr>
                <w:rFonts w:ascii="宋体" w:hAnsi="宋体"/>
                <w:color w:val="000000" w:themeColor="text1"/>
                <w:sz w:val="24"/>
                <w:highlight w:val="none"/>
                <w14:textFill>
                  <w14:solidFill>
                    <w14:schemeClr w14:val="tx1"/>
                  </w14:solidFill>
                </w14:textFill>
              </w:rPr>
            </w:pPr>
          </w:p>
        </w:tc>
        <w:tc>
          <w:tcPr>
            <w:tcW w:w="900" w:type="dxa"/>
            <w:vMerge w:val="continue"/>
            <w:tcBorders>
              <w:left w:val="single" w:color="auto" w:sz="4" w:space="0"/>
              <w:bottom w:val="single" w:color="auto" w:sz="4" w:space="0"/>
              <w:right w:val="single" w:color="auto" w:sz="4" w:space="0"/>
            </w:tcBorders>
            <w:vAlign w:val="center"/>
          </w:tcPr>
          <w:p w14:paraId="6C7AF43A">
            <w:pPr>
              <w:widowControl/>
              <w:jc w:val="left"/>
              <w:rPr>
                <w:rFonts w:ascii="宋体" w:hAnsi="宋体"/>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724A4B7C">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要求</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5BAAEEFF">
            <w:pPr>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各供应商应派法定代表人或其授权代理人携带身份证原件（任何电子件或认证电子件不等同于原件）参加。并在递交截止时间之前递交身份证原件及投标资料，逾期送达的不予接受。</w:t>
            </w:r>
          </w:p>
        </w:tc>
      </w:tr>
      <w:tr w14:paraId="7905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35" w:type="dxa"/>
            <w:tcBorders>
              <w:top w:val="single" w:color="auto" w:sz="4" w:space="0"/>
              <w:left w:val="single" w:color="auto" w:sz="4" w:space="0"/>
              <w:bottom w:val="single" w:color="auto" w:sz="4" w:space="0"/>
              <w:right w:val="single" w:color="auto" w:sz="4" w:space="0"/>
            </w:tcBorders>
            <w:vAlign w:val="center"/>
          </w:tcPr>
          <w:p w14:paraId="7641E09B">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6DDBC43F">
            <w:pPr>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响应性文件份数</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53D96150">
            <w:pPr>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正本份数：壹份；副本份数：贰份；电子版投标文件（U盘）壹份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内含完整投标文件的盖章扫描件。</w:t>
            </w:r>
          </w:p>
        </w:tc>
      </w:tr>
      <w:tr w14:paraId="50B8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7EAB9E5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381C6BA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开始磋商 信息</w:t>
            </w:r>
          </w:p>
        </w:tc>
        <w:tc>
          <w:tcPr>
            <w:tcW w:w="1184" w:type="dxa"/>
            <w:tcBorders>
              <w:top w:val="single" w:color="auto" w:sz="4" w:space="0"/>
              <w:left w:val="single" w:color="auto" w:sz="4" w:space="0"/>
              <w:bottom w:val="single" w:color="auto" w:sz="4" w:space="0"/>
              <w:right w:val="single" w:color="auto" w:sz="4" w:space="0"/>
            </w:tcBorders>
            <w:vAlign w:val="center"/>
          </w:tcPr>
          <w:p w14:paraId="6D91D701">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0A66D924">
            <w:pPr>
              <w:jc w:val="left"/>
              <w:rPr>
                <w:rFonts w:ascii="宋体" w:hAnsi="宋体"/>
                <w:color w:val="000000" w:themeColor="text1"/>
                <w:sz w:val="24"/>
                <w:highlight w:val="none"/>
                <w14:textFill>
                  <w14:solidFill>
                    <w14:schemeClr w14:val="tx1"/>
                  </w14:solidFill>
                </w14:textFill>
              </w:rPr>
            </w:pP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hint="eastAsia" w:ascii="宋体" w:hAnsi="宋体"/>
                <w:color w:val="FF0000"/>
                <w:sz w:val="24"/>
                <w:highlight w:val="none"/>
              </w:rPr>
              <w:t>年</w:t>
            </w:r>
            <w:r>
              <w:rPr>
                <w:rFonts w:hint="eastAsia" w:ascii="宋体" w:hAnsi="宋体"/>
                <w:color w:val="FF0000"/>
                <w:sz w:val="24"/>
                <w:highlight w:val="none"/>
                <w:lang w:val="en-US" w:eastAsia="zh-CN"/>
              </w:rPr>
              <w:t>4</w:t>
            </w:r>
            <w:r>
              <w:rPr>
                <w:rFonts w:hint="eastAsia" w:ascii="宋体" w:hAnsi="宋体"/>
                <w:color w:val="FF0000"/>
                <w:sz w:val="24"/>
                <w:highlight w:val="none"/>
              </w:rPr>
              <w:t>月</w:t>
            </w:r>
            <w:r>
              <w:rPr>
                <w:rFonts w:hint="eastAsia" w:ascii="宋体" w:hAnsi="宋体"/>
                <w:color w:val="FF0000"/>
                <w:sz w:val="24"/>
                <w:highlight w:val="none"/>
                <w:lang w:val="en-US" w:eastAsia="zh-CN"/>
              </w:rPr>
              <w:t>28</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：30</w:t>
            </w:r>
          </w:p>
        </w:tc>
      </w:tr>
      <w:tr w14:paraId="27C8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1BB67D3A">
            <w:pPr>
              <w:widowControl/>
              <w:jc w:val="center"/>
              <w:rPr>
                <w:rFonts w:ascii="宋体" w:hAnsi="宋体"/>
                <w:color w:val="000000" w:themeColor="text1"/>
                <w:sz w:val="24"/>
                <w:highlight w:val="none"/>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1899527">
            <w:pPr>
              <w:widowControl/>
              <w:jc w:val="center"/>
              <w:rPr>
                <w:rFonts w:ascii="宋体" w:hAnsi="宋体"/>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4F4C927D">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p>
        </w:tc>
        <w:tc>
          <w:tcPr>
            <w:tcW w:w="6237" w:type="dxa"/>
            <w:gridSpan w:val="2"/>
            <w:tcBorders>
              <w:top w:val="single" w:color="auto" w:sz="4" w:space="0"/>
              <w:left w:val="single" w:color="auto" w:sz="4" w:space="0"/>
              <w:bottom w:val="single" w:color="auto" w:sz="4" w:space="0"/>
              <w:right w:val="single" w:color="auto" w:sz="4" w:space="0"/>
            </w:tcBorders>
            <w:vAlign w:val="center"/>
          </w:tcPr>
          <w:p w14:paraId="4881A558">
            <w:pPr>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南京市江宁区淳化街道雁冲路68号院内9#楼1楼</w:t>
            </w:r>
          </w:p>
        </w:tc>
      </w:tr>
      <w:tr w14:paraId="0504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35" w:type="dxa"/>
            <w:vMerge w:val="restart"/>
            <w:tcBorders>
              <w:top w:val="single" w:color="auto" w:sz="4" w:space="0"/>
              <w:left w:val="single" w:color="auto" w:sz="4" w:space="0"/>
              <w:right w:val="single" w:color="auto" w:sz="4" w:space="0"/>
            </w:tcBorders>
            <w:vAlign w:val="center"/>
          </w:tcPr>
          <w:p w14:paraId="0291EAA2">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p>
        </w:tc>
        <w:tc>
          <w:tcPr>
            <w:tcW w:w="900" w:type="dxa"/>
            <w:vMerge w:val="restart"/>
            <w:tcBorders>
              <w:top w:val="single" w:color="auto" w:sz="4" w:space="0"/>
              <w:left w:val="single" w:color="auto" w:sz="4" w:space="0"/>
              <w:right w:val="single" w:color="auto" w:sz="4" w:space="0"/>
            </w:tcBorders>
            <w:vAlign w:val="center"/>
          </w:tcPr>
          <w:p w14:paraId="1F4202F6">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 事项</w:t>
            </w:r>
          </w:p>
        </w:tc>
        <w:tc>
          <w:tcPr>
            <w:tcW w:w="1184" w:type="dxa"/>
            <w:vMerge w:val="restart"/>
            <w:tcBorders>
              <w:top w:val="single" w:color="auto" w:sz="4" w:space="0"/>
              <w:left w:val="single" w:color="auto" w:sz="4" w:space="0"/>
              <w:right w:val="single" w:color="auto" w:sz="4" w:space="0"/>
            </w:tcBorders>
            <w:vAlign w:val="center"/>
          </w:tcPr>
          <w:p w14:paraId="6A0C0FD5">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w:t>
            </w:r>
          </w:p>
        </w:tc>
        <w:tc>
          <w:tcPr>
            <w:tcW w:w="1516" w:type="dxa"/>
            <w:tcBorders>
              <w:top w:val="single" w:color="auto" w:sz="4" w:space="0"/>
              <w:left w:val="single" w:color="auto" w:sz="4" w:space="0"/>
              <w:bottom w:val="single" w:color="auto" w:sz="4" w:space="0"/>
              <w:right w:val="single" w:color="auto" w:sz="4" w:space="0"/>
            </w:tcBorders>
            <w:vAlign w:val="center"/>
          </w:tcPr>
          <w:p w14:paraId="34AAFFB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p>
        </w:tc>
        <w:tc>
          <w:tcPr>
            <w:tcW w:w="4721" w:type="dxa"/>
            <w:tcBorders>
              <w:top w:val="single" w:color="auto" w:sz="4" w:space="0"/>
              <w:left w:val="single" w:color="auto" w:sz="4" w:space="0"/>
              <w:bottom w:val="single" w:color="auto" w:sz="4" w:space="0"/>
              <w:right w:val="single" w:color="auto" w:sz="4" w:space="0"/>
            </w:tcBorders>
            <w:vAlign w:val="center"/>
          </w:tcPr>
          <w:p w14:paraId="11F23B54">
            <w:pPr>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w:t>
            </w:r>
          </w:p>
        </w:tc>
      </w:tr>
      <w:tr w14:paraId="4D9B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35" w:type="dxa"/>
            <w:vMerge w:val="continue"/>
            <w:tcBorders>
              <w:left w:val="single" w:color="auto" w:sz="4" w:space="0"/>
              <w:right w:val="single" w:color="auto" w:sz="4" w:space="0"/>
            </w:tcBorders>
            <w:vAlign w:val="center"/>
          </w:tcPr>
          <w:p w14:paraId="18142130">
            <w:pPr>
              <w:spacing w:line="440" w:lineRule="exact"/>
              <w:jc w:val="left"/>
              <w:rPr>
                <w:rFonts w:ascii="宋体" w:hAnsi="宋体"/>
                <w:color w:val="000000" w:themeColor="text1"/>
                <w:sz w:val="24"/>
                <w:highlight w:val="none"/>
                <w14:textFill>
                  <w14:solidFill>
                    <w14:schemeClr w14:val="tx1"/>
                  </w14:solidFill>
                </w14:textFill>
              </w:rPr>
            </w:pPr>
          </w:p>
        </w:tc>
        <w:tc>
          <w:tcPr>
            <w:tcW w:w="900" w:type="dxa"/>
            <w:vMerge w:val="continue"/>
            <w:tcBorders>
              <w:left w:val="single" w:color="auto" w:sz="4" w:space="0"/>
              <w:right w:val="single" w:color="auto" w:sz="4" w:space="0"/>
            </w:tcBorders>
            <w:vAlign w:val="center"/>
          </w:tcPr>
          <w:p w14:paraId="025858ED">
            <w:pPr>
              <w:spacing w:line="440" w:lineRule="exact"/>
              <w:jc w:val="left"/>
              <w:rPr>
                <w:rFonts w:ascii="宋体" w:hAnsi="宋体"/>
                <w:color w:val="000000" w:themeColor="text1"/>
                <w:sz w:val="24"/>
                <w:highlight w:val="none"/>
                <w14:textFill>
                  <w14:solidFill>
                    <w14:schemeClr w14:val="tx1"/>
                  </w14:solidFill>
                </w14:textFill>
              </w:rPr>
            </w:pPr>
          </w:p>
        </w:tc>
        <w:tc>
          <w:tcPr>
            <w:tcW w:w="1184" w:type="dxa"/>
            <w:vMerge w:val="continue"/>
            <w:tcBorders>
              <w:left w:val="single" w:color="auto" w:sz="4" w:space="0"/>
              <w:bottom w:val="single" w:color="auto" w:sz="4" w:space="0"/>
              <w:right w:val="single" w:color="auto" w:sz="4" w:space="0"/>
            </w:tcBorders>
            <w:vAlign w:val="center"/>
          </w:tcPr>
          <w:p w14:paraId="237CC4C1">
            <w:pPr>
              <w:spacing w:line="440" w:lineRule="exact"/>
              <w:jc w:val="center"/>
              <w:rPr>
                <w:rFonts w:ascii="宋体" w:hAnsi="宋体"/>
                <w:color w:val="000000" w:themeColor="text1"/>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0B34306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c>
          <w:tcPr>
            <w:tcW w:w="4721" w:type="dxa"/>
            <w:tcBorders>
              <w:top w:val="single" w:color="auto" w:sz="4" w:space="0"/>
              <w:left w:val="single" w:color="auto" w:sz="4" w:space="0"/>
              <w:bottom w:val="single" w:color="auto" w:sz="4" w:space="0"/>
              <w:right w:val="single" w:color="auto" w:sz="4" w:space="0"/>
            </w:tcBorders>
            <w:vAlign w:val="center"/>
          </w:tcPr>
          <w:p w14:paraId="0F190A61">
            <w:pPr>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w:t>
            </w:r>
          </w:p>
        </w:tc>
      </w:tr>
      <w:tr w14:paraId="708A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35" w:type="dxa"/>
            <w:vMerge w:val="continue"/>
            <w:tcBorders>
              <w:left w:val="single" w:color="auto" w:sz="4" w:space="0"/>
              <w:right w:val="single" w:color="auto" w:sz="4" w:space="0"/>
            </w:tcBorders>
            <w:vAlign w:val="center"/>
          </w:tcPr>
          <w:p w14:paraId="0DEC2D48">
            <w:pPr>
              <w:spacing w:line="440" w:lineRule="exact"/>
              <w:jc w:val="left"/>
              <w:rPr>
                <w:rFonts w:ascii="宋体" w:hAnsi="宋体"/>
                <w:color w:val="000000" w:themeColor="text1"/>
                <w:sz w:val="24"/>
                <w:highlight w:val="none"/>
                <w14:textFill>
                  <w14:solidFill>
                    <w14:schemeClr w14:val="tx1"/>
                  </w14:solidFill>
                </w14:textFill>
              </w:rPr>
            </w:pPr>
          </w:p>
        </w:tc>
        <w:tc>
          <w:tcPr>
            <w:tcW w:w="900" w:type="dxa"/>
            <w:vMerge w:val="continue"/>
            <w:tcBorders>
              <w:left w:val="single" w:color="auto" w:sz="4" w:space="0"/>
              <w:right w:val="single" w:color="auto" w:sz="4" w:space="0"/>
            </w:tcBorders>
            <w:vAlign w:val="center"/>
          </w:tcPr>
          <w:p w14:paraId="105C4940">
            <w:pPr>
              <w:spacing w:line="440" w:lineRule="exact"/>
              <w:jc w:val="left"/>
              <w:rPr>
                <w:rFonts w:ascii="宋体" w:hAnsi="宋体"/>
                <w:color w:val="000000" w:themeColor="text1"/>
                <w:sz w:val="24"/>
                <w:highlight w:val="none"/>
                <w14:textFill>
                  <w14:solidFill>
                    <w14:schemeClr w14:val="tx1"/>
                  </w14:solidFill>
                </w14:textFill>
              </w:rPr>
            </w:pPr>
          </w:p>
        </w:tc>
        <w:tc>
          <w:tcPr>
            <w:tcW w:w="1184" w:type="dxa"/>
            <w:vMerge w:val="restart"/>
            <w:tcBorders>
              <w:top w:val="single" w:color="auto" w:sz="4" w:space="0"/>
              <w:left w:val="single" w:color="auto" w:sz="4" w:space="0"/>
              <w:right w:val="single" w:color="auto" w:sz="4" w:space="0"/>
            </w:tcBorders>
            <w:vAlign w:val="center"/>
          </w:tcPr>
          <w:p w14:paraId="039D50FC">
            <w:pPr>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采购代理机构</w:t>
            </w:r>
          </w:p>
        </w:tc>
        <w:tc>
          <w:tcPr>
            <w:tcW w:w="1516" w:type="dxa"/>
            <w:tcBorders>
              <w:top w:val="single" w:color="auto" w:sz="4" w:space="0"/>
              <w:left w:val="single" w:color="auto" w:sz="4" w:space="0"/>
              <w:bottom w:val="single" w:color="auto" w:sz="4" w:space="0"/>
              <w:right w:val="single" w:color="auto" w:sz="4" w:space="0"/>
            </w:tcBorders>
            <w:vAlign w:val="center"/>
          </w:tcPr>
          <w:p w14:paraId="0157BFE1">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p>
        </w:tc>
        <w:tc>
          <w:tcPr>
            <w:tcW w:w="4721" w:type="dxa"/>
            <w:tcBorders>
              <w:top w:val="single" w:color="auto" w:sz="4" w:space="0"/>
              <w:left w:val="single" w:color="auto" w:sz="4" w:space="0"/>
              <w:bottom w:val="single" w:color="auto" w:sz="4" w:space="0"/>
              <w:right w:val="single" w:color="auto" w:sz="4" w:space="0"/>
            </w:tcBorders>
            <w:vAlign w:val="center"/>
          </w:tcPr>
          <w:p w14:paraId="460F56CE">
            <w:pPr>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张工</w:t>
            </w:r>
          </w:p>
        </w:tc>
      </w:tr>
      <w:tr w14:paraId="31F9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35" w:type="dxa"/>
            <w:vMerge w:val="continue"/>
            <w:tcBorders>
              <w:left w:val="single" w:color="auto" w:sz="4" w:space="0"/>
              <w:right w:val="single" w:color="auto" w:sz="4" w:space="0"/>
            </w:tcBorders>
            <w:vAlign w:val="center"/>
          </w:tcPr>
          <w:p w14:paraId="7722323A">
            <w:pPr>
              <w:widowControl/>
              <w:jc w:val="left"/>
              <w:rPr>
                <w:rFonts w:ascii="宋体" w:hAnsi="宋体"/>
                <w:color w:val="000000" w:themeColor="text1"/>
                <w:sz w:val="24"/>
                <w:highlight w:val="none"/>
                <w14:textFill>
                  <w14:solidFill>
                    <w14:schemeClr w14:val="tx1"/>
                  </w14:solidFill>
                </w14:textFill>
              </w:rPr>
            </w:pPr>
          </w:p>
        </w:tc>
        <w:tc>
          <w:tcPr>
            <w:tcW w:w="900" w:type="dxa"/>
            <w:vMerge w:val="continue"/>
            <w:tcBorders>
              <w:left w:val="single" w:color="auto" w:sz="4" w:space="0"/>
              <w:right w:val="single" w:color="auto" w:sz="4" w:space="0"/>
            </w:tcBorders>
            <w:vAlign w:val="center"/>
          </w:tcPr>
          <w:p w14:paraId="09B880A0">
            <w:pPr>
              <w:widowControl/>
              <w:jc w:val="left"/>
              <w:rPr>
                <w:rFonts w:ascii="宋体" w:hAnsi="宋体"/>
                <w:color w:val="000000" w:themeColor="text1"/>
                <w:sz w:val="24"/>
                <w:highlight w:val="none"/>
                <w14:textFill>
                  <w14:solidFill>
                    <w14:schemeClr w14:val="tx1"/>
                  </w14:solidFill>
                </w14:textFill>
              </w:rPr>
            </w:pPr>
          </w:p>
        </w:tc>
        <w:tc>
          <w:tcPr>
            <w:tcW w:w="1184" w:type="dxa"/>
            <w:vMerge w:val="continue"/>
            <w:tcBorders>
              <w:left w:val="single" w:color="auto" w:sz="4" w:space="0"/>
              <w:right w:val="single" w:color="auto" w:sz="4" w:space="0"/>
            </w:tcBorders>
            <w:vAlign w:val="center"/>
          </w:tcPr>
          <w:p w14:paraId="74392982">
            <w:pPr>
              <w:widowControl/>
              <w:jc w:val="left"/>
              <w:rPr>
                <w:rFonts w:ascii="宋体" w:hAnsi="宋体"/>
                <w:color w:val="000000" w:themeColor="text1"/>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2D885B1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c>
          <w:tcPr>
            <w:tcW w:w="4721" w:type="dxa"/>
            <w:tcBorders>
              <w:top w:val="single" w:color="auto" w:sz="4" w:space="0"/>
              <w:left w:val="single" w:color="auto" w:sz="4" w:space="0"/>
              <w:bottom w:val="single" w:color="auto" w:sz="4" w:space="0"/>
              <w:right w:val="single" w:color="auto" w:sz="4" w:space="0"/>
            </w:tcBorders>
            <w:vAlign w:val="center"/>
          </w:tcPr>
          <w:p w14:paraId="58DD2581">
            <w:pPr>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025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52730710</w:t>
            </w:r>
            <w:r>
              <w:rPr>
                <w:rFonts w:hint="eastAsia" w:ascii="宋体" w:hAnsi="宋体"/>
                <w:color w:val="000000" w:themeColor="text1"/>
                <w:sz w:val="24"/>
                <w:highlight w:val="none"/>
                <w14:textFill>
                  <w14:solidFill>
                    <w14:schemeClr w14:val="tx1"/>
                  </w14:solidFill>
                </w14:textFill>
              </w:rPr>
              <w:t>；邮箱：760427587@</w:t>
            </w:r>
            <w:r>
              <w:rPr>
                <w:rFonts w:ascii="宋体" w:hAnsi="宋体"/>
                <w:color w:val="000000" w:themeColor="text1"/>
                <w:sz w:val="24"/>
                <w:highlight w:val="none"/>
                <w14:textFill>
                  <w14:solidFill>
                    <w14:schemeClr w14:val="tx1"/>
                  </w14:solidFill>
                </w14:textFill>
              </w:rPr>
              <w:t>qq</w:t>
            </w:r>
            <w:r>
              <w:rPr>
                <w:rFonts w:hint="eastAsia" w:ascii="宋体" w:hAnsi="宋体"/>
                <w:color w:val="000000" w:themeColor="text1"/>
                <w:sz w:val="24"/>
                <w:highlight w:val="none"/>
                <w14:textFill>
                  <w14:solidFill>
                    <w14:schemeClr w14:val="tx1"/>
                  </w14:solidFill>
                </w14:textFill>
              </w:rPr>
              <w:t xml:space="preserve">.com </w:t>
            </w:r>
          </w:p>
        </w:tc>
      </w:tr>
    </w:tbl>
    <w:p w14:paraId="0AEDE8B9">
      <w:pPr>
        <w:jc w:val="left"/>
        <w:outlineLvl w:val="1"/>
        <w:rPr>
          <w:rFonts w:ascii="宋体" w:hAnsi="宋体"/>
          <w:b/>
          <w:color w:val="000000" w:themeColor="text1"/>
          <w:sz w:val="24"/>
          <w:highlight w:val="none"/>
          <w14:textFill>
            <w14:solidFill>
              <w14:schemeClr w14:val="tx1"/>
            </w14:solidFill>
          </w14:textFill>
        </w:rPr>
      </w:pPr>
      <w:bookmarkStart w:id="18" w:name="_Toc6139"/>
      <w:bookmarkStart w:id="19" w:name="_Toc26142"/>
    </w:p>
    <w:p w14:paraId="104E9A92">
      <w:pPr>
        <w:jc w:val="left"/>
        <w:outlineLvl w:val="1"/>
        <w:rPr>
          <w:rFonts w:ascii="宋体" w:hAnsi="宋体"/>
          <w:b/>
          <w:color w:val="000000" w:themeColor="text1"/>
          <w:sz w:val="24"/>
          <w:highlight w:val="none"/>
          <w14:textFill>
            <w14:solidFill>
              <w14:schemeClr w14:val="tx1"/>
            </w14:solidFill>
          </w14:textFill>
        </w:rPr>
      </w:pPr>
    </w:p>
    <w:p w14:paraId="4D2E52E6">
      <w:pPr>
        <w:jc w:val="left"/>
        <w:outlineLvl w:val="1"/>
        <w:rPr>
          <w:rFonts w:ascii="宋体" w:hAnsi="宋体"/>
          <w:b/>
          <w:color w:val="000000" w:themeColor="text1"/>
          <w:sz w:val="24"/>
          <w:highlight w:val="none"/>
          <w14:textFill>
            <w14:solidFill>
              <w14:schemeClr w14:val="tx1"/>
            </w14:solidFill>
          </w14:textFill>
        </w:rPr>
      </w:pPr>
    </w:p>
    <w:p w14:paraId="2991CBA9">
      <w:pPr>
        <w:jc w:val="left"/>
        <w:outlineLvl w:val="1"/>
        <w:rPr>
          <w:rFonts w:ascii="宋体" w:hAnsi="宋体"/>
          <w:b/>
          <w:color w:val="000000" w:themeColor="text1"/>
          <w:sz w:val="24"/>
          <w:highlight w:val="none"/>
          <w14:textFill>
            <w14:solidFill>
              <w14:schemeClr w14:val="tx1"/>
            </w14:solidFill>
          </w14:textFill>
        </w:rPr>
      </w:pPr>
    </w:p>
    <w:p w14:paraId="2451489B">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0E5B2358">
      <w:pPr>
        <w:spacing w:line="360" w:lineRule="auto"/>
        <w:ind w:firstLine="482" w:firstLineChars="200"/>
        <w:jc w:val="left"/>
        <w:outlineLvl w:val="1"/>
        <w:rPr>
          <w:rFonts w:ascii="宋体" w:hAnsi="宋体"/>
          <w:b/>
          <w:color w:val="000000" w:themeColor="text1"/>
          <w:sz w:val="24"/>
          <w:highlight w:val="none"/>
          <w14:textFill>
            <w14:solidFill>
              <w14:schemeClr w14:val="tx1"/>
            </w14:solidFill>
          </w14:textFill>
        </w:rPr>
      </w:pPr>
      <w:bookmarkStart w:id="20" w:name="_Toc185323373"/>
      <w:r>
        <w:rPr>
          <w:rFonts w:hint="eastAsia" w:ascii="宋体" w:hAnsi="宋体"/>
          <w:b/>
          <w:color w:val="000000" w:themeColor="text1"/>
          <w:sz w:val="24"/>
          <w:highlight w:val="none"/>
          <w14:textFill>
            <w14:solidFill>
              <w14:schemeClr w14:val="tx1"/>
            </w14:solidFill>
          </w14:textFill>
        </w:rPr>
        <w:t>一、总则</w:t>
      </w:r>
      <w:bookmarkEnd w:id="18"/>
      <w:bookmarkEnd w:id="19"/>
      <w:bookmarkEnd w:id="20"/>
    </w:p>
    <w:p w14:paraId="63C30735">
      <w:pPr>
        <w:autoSpaceDE w:val="0"/>
        <w:autoSpaceDN w:val="0"/>
        <w:adjustRightInd w:val="0"/>
        <w:spacing w:line="360" w:lineRule="auto"/>
        <w:ind w:firstLine="482" w:firstLineChars="200"/>
        <w:jc w:val="left"/>
        <w:rPr>
          <w:rFonts w:ascii="宋体" w:hAnsi="宋体"/>
          <w:b/>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1.适用法律</w:t>
      </w:r>
    </w:p>
    <w:p w14:paraId="61CE6805">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《中华人民共和国政府采购法》、《中华人民共和国政府采购法实施条例》、《政府采购非招标采购方式管理办法》等有关法律、规章和规定等。</w:t>
      </w:r>
    </w:p>
    <w:p w14:paraId="54DD5AF4">
      <w:pPr>
        <w:autoSpaceDE w:val="0"/>
        <w:autoSpaceDN w:val="0"/>
        <w:adjustRightInd w:val="0"/>
        <w:spacing w:line="360" w:lineRule="auto"/>
        <w:ind w:firstLine="420"/>
        <w:jc w:val="left"/>
        <w:rPr>
          <w:rFonts w:ascii="宋体" w:hAnsi="宋体"/>
          <w:b/>
          <w:color w:val="000000" w:themeColor="text1"/>
          <w:sz w:val="24"/>
          <w:highlight w:val="none"/>
          <w:lang w:val="zh-CN"/>
          <w14:textFill>
            <w14:solidFill>
              <w14:schemeClr w14:val="tx1"/>
            </w14:solidFill>
          </w14:textFill>
        </w:rPr>
      </w:pPr>
      <w:r>
        <w:rPr>
          <w:rFonts w:ascii="宋体" w:hAnsi="宋体"/>
          <w:b/>
          <w:color w:val="000000" w:themeColor="text1"/>
          <w:sz w:val="24"/>
          <w:highlight w:val="none"/>
          <w:lang w:val="zh-CN"/>
          <w14:textFill>
            <w14:solidFill>
              <w14:schemeClr w14:val="tx1"/>
            </w14:solidFill>
          </w14:textFill>
        </w:rPr>
        <w:t>2</w:t>
      </w:r>
      <w:r>
        <w:rPr>
          <w:rFonts w:hint="eastAsia" w:ascii="宋体" w:hAnsi="宋体"/>
          <w:b/>
          <w:color w:val="000000" w:themeColor="text1"/>
          <w:sz w:val="24"/>
          <w:highlight w:val="none"/>
          <w:lang w:val="zh-CN"/>
          <w14:textFill>
            <w14:solidFill>
              <w14:schemeClr w14:val="tx1"/>
            </w14:solidFill>
          </w14:textFill>
        </w:rPr>
        <w:t>．定义</w:t>
      </w:r>
    </w:p>
    <w:p w14:paraId="42AD259A">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lang w:val="zh-CN"/>
          <w14:textFill>
            <w14:solidFill>
              <w14:schemeClr w14:val="tx1"/>
            </w14:solidFill>
          </w14:textFill>
        </w:rPr>
        <w:t>1 “供应商”</w:t>
      </w:r>
      <w:r>
        <w:rPr>
          <w:rFonts w:hint="eastAsia" w:ascii="宋体" w:hAnsi="宋体"/>
          <w:color w:val="000000" w:themeColor="text1"/>
          <w:sz w:val="24"/>
          <w:highlight w:val="none"/>
          <w14:textFill>
            <w14:solidFill>
              <w14:schemeClr w14:val="tx1"/>
            </w14:solidFill>
          </w14:textFill>
        </w:rPr>
        <w:t>是指参加竞争性磋商，并符合磋商文件规定资格条件的法人、其他组织或者自然人。</w:t>
      </w:r>
    </w:p>
    <w:p w14:paraId="3087556A">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lang w:val="zh-CN"/>
          <w14:textFill>
            <w14:solidFill>
              <w14:schemeClr w14:val="tx1"/>
            </w14:solidFill>
          </w14:textFill>
        </w:rPr>
        <w:t>2 “货物和服务”指本磋商文件中所述产品及相关服务。</w:t>
      </w:r>
      <w:r>
        <w:rPr>
          <w:rFonts w:hint="eastAsia" w:ascii="宋体" w:hAnsi="宋体"/>
          <w:b/>
          <w:color w:val="000000" w:themeColor="text1"/>
          <w:sz w:val="24"/>
          <w:highlight w:val="none"/>
          <w:lang w:val="zh-CN"/>
          <w14:textFill>
            <w14:solidFill>
              <w14:schemeClr w14:val="tx1"/>
            </w14:solidFill>
          </w14:textFill>
        </w:rPr>
        <w:t>本次采购不接受进口产品投标</w:t>
      </w:r>
      <w:r>
        <w:rPr>
          <w:rFonts w:hint="eastAsia" w:ascii="宋体" w:hAnsi="宋体"/>
          <w:color w:val="000000" w:themeColor="text1"/>
          <w:sz w:val="24"/>
          <w:highlight w:val="none"/>
          <w:lang w:val="zh-CN"/>
          <w14:textFill>
            <w14:solidFill>
              <w14:schemeClr w14:val="tx1"/>
            </w14:solidFill>
          </w14:textFill>
        </w:rPr>
        <w:t>，进口产品是指通过中国海关报关验放进入中国境内且产自关境外的产品。</w:t>
      </w:r>
    </w:p>
    <w:p w14:paraId="0A8E29BF">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lang w:val="zh-CN"/>
          <w14:textFill>
            <w14:solidFill>
              <w14:schemeClr w14:val="tx1"/>
            </w14:solidFill>
          </w14:textFill>
        </w:rPr>
        <w:t>3 “采购人或使用单位”是指使用货物和服务的单位。</w:t>
      </w:r>
    </w:p>
    <w:p w14:paraId="45BDE348">
      <w:pPr>
        <w:autoSpaceDE w:val="0"/>
        <w:autoSpaceDN w:val="0"/>
        <w:adjustRightInd w:val="0"/>
        <w:spacing w:line="360" w:lineRule="auto"/>
        <w:ind w:firstLine="420"/>
        <w:jc w:val="left"/>
        <w:rPr>
          <w:rFonts w:ascii="宋体" w:hAnsi="宋体"/>
          <w:b/>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3．政策功能</w:t>
      </w:r>
    </w:p>
    <w:p w14:paraId="65CC6513">
      <w:pPr>
        <w:pStyle w:val="32"/>
        <w:widowControl w:val="0"/>
        <w:spacing w:before="0" w:beforeAutospacing="0" w:after="0" w:afterAutospacing="0" w:line="360" w:lineRule="auto"/>
        <w:ind w:firstLine="42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本项目落实</w:t>
      </w:r>
      <w:r>
        <w:rPr>
          <w:b/>
          <w:color w:val="000000" w:themeColor="text1"/>
          <w:sz w:val="21"/>
          <w:szCs w:val="21"/>
          <w:highlight w:val="none"/>
          <w14:textFill>
            <w14:solidFill>
              <w14:schemeClr w14:val="tx1"/>
            </w14:solidFill>
          </w14:textFill>
        </w:rPr>
        <w:t>中小微企业、监狱企业、残疾人福利性单位、节能环保产品政策，供应商如</w:t>
      </w:r>
      <w:r>
        <w:rPr>
          <w:rFonts w:hint="eastAsia"/>
          <w:b/>
          <w:color w:val="000000" w:themeColor="text1"/>
          <w:sz w:val="21"/>
          <w:szCs w:val="21"/>
          <w:highlight w:val="none"/>
          <w14:textFill>
            <w14:solidFill>
              <w14:schemeClr w14:val="tx1"/>
            </w14:solidFill>
          </w14:textFill>
        </w:rPr>
        <w:t>是</w:t>
      </w:r>
      <w:r>
        <w:rPr>
          <w:b/>
          <w:color w:val="000000" w:themeColor="text1"/>
          <w:sz w:val="21"/>
          <w:szCs w:val="21"/>
          <w:highlight w:val="none"/>
          <w14:textFill>
            <w14:solidFill>
              <w14:schemeClr w14:val="tx1"/>
            </w14:solidFill>
          </w14:textFill>
        </w:rPr>
        <w:t>须提供相关证明材料</w:t>
      </w:r>
      <w:r>
        <w:rPr>
          <w:rFonts w:hint="eastAsia"/>
          <w:b/>
          <w:color w:val="000000" w:themeColor="text1"/>
          <w:sz w:val="21"/>
          <w:szCs w:val="21"/>
          <w:highlight w:val="none"/>
          <w14:textFill>
            <w14:solidFill>
              <w14:schemeClr w14:val="tx1"/>
            </w14:solidFill>
          </w14:textFill>
        </w:rPr>
        <w:t>。</w:t>
      </w:r>
    </w:p>
    <w:p w14:paraId="2EBF3CE6">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3.1中小企业政策</w:t>
      </w:r>
    </w:p>
    <w:p w14:paraId="0813A21D">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14:paraId="41527B8B">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（2）对于专门面向中小企业或小型、微型企业的项目，只面向中小企业或小型、微型企业采购</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采购人对小微企业的报价不给予价格扣除。对于非专门面向中小企业的项目，对符合规定的小微企业报价给予10%（工程为5%）的扣除，用扣除后的价格参加评审。</w:t>
      </w:r>
    </w:p>
    <w:p w14:paraId="0AEF0B05">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于接受供应商以联合体形式参加采购活动的项目，小型、微型企业联合体应当符合《政府采购促进中小企业发展管理办法》的通知[财库〔2020〕46号]及《关于进一步加大政府采购支持中小企业力度的通知》（财库〔2022〕19号）规定。联合协议中约定，小型、微型企业的协议合同金额占到联合体协议合同总金额30%以上的，给予联合体2%的价格扣除。联合体各方均为小型、微型企业的，联合体视同为小型、微型企业给予10%价格（工程为5%）扣除。组成联合体的大中型企业和其他自然人、法人或者其他组织，与小型、微型企业之间不得存在投资关系。</w:t>
      </w:r>
    </w:p>
    <w:p w14:paraId="262B78B5">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25D15B74">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根据《财库〔2017〕141号》符合条件的残疾人福利性单位视同小型、微型企业，享受中小企业发展的政府采购政策。残疾人福利性单位属于小型、微型企业的，不重复享受政策。参加投标的残疾人福利性单位，应当提供《残疾人福利性单位声明函》，未提供上述资料的报价，其价格不予扣除。</w:t>
      </w:r>
    </w:p>
    <w:p w14:paraId="32DC2A74">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（6）参加政府采购活动的中小企业应当按“关于印发《关于进一步加大政府采购支持中小企业力度的通知》（财库〔2022〕19号）”规定提供《中小企业声明函》，未提供上述资料的报价，其价格不予扣除。</w:t>
      </w:r>
    </w:p>
    <w:p w14:paraId="116348CF">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（7）中小企业依据《政府采购促进中小企业发展管理办法》的通知[财库〔2020〕46号]规定的政策获取政府采购合同后，小微企业不得将合同分包给大中型企业，中型企业不得将合同分包给大型企业。</w:t>
      </w:r>
    </w:p>
    <w:p w14:paraId="069002F8">
      <w:pPr>
        <w:widowControl/>
        <w:shd w:val="clear" w:color="auto" w:fill="FFFFFF"/>
        <w:spacing w:line="360" w:lineRule="auto"/>
        <w:ind w:firstLine="422"/>
        <w:rPr>
          <w:rFonts w:cs="宋体" w:asciiTheme="minorEastAsia" w:hAnsiTheme="minorEastAsia" w:eastAsiaTheme="minorEastAsia"/>
          <w:b/>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lang w:eastAsia="zh-CN"/>
          <w14:textFill>
            <w14:solidFill>
              <w14:schemeClr w14:val="tx1"/>
            </w14:solidFill>
          </w14:textFill>
        </w:rPr>
        <w:t>3.2</w:t>
      </w: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节能产品、环境标志产品政策</w:t>
      </w:r>
    </w:p>
    <w:p w14:paraId="25DF907B">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（1）政府采购节能产品、环境标志产品实施品目清单管理。</w:t>
      </w:r>
    </w:p>
    <w:p w14:paraId="48F18BBF">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（2）拟采购产品属于节能产品、环境标志产品品目清单规定必须强制采购的，实行强制采购。</w:t>
      </w:r>
    </w:p>
    <w:p w14:paraId="2066E33B">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（3）拟采购产品属于节能产品、环境标志产品品目清单规定优先采购的，在性能、技术、服务等指标同等条件下，实行优先采购，优先采购的评审标准详见本招标文件第三章。</w:t>
      </w:r>
    </w:p>
    <w:p w14:paraId="763CBED5">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（4）参加政府采购活动的节能产品、环境标志产品供应商应当提供国家确定的认证机构出具的、处于有效期之内的节能产品、环境标志产品认证证书。</w:t>
      </w:r>
    </w:p>
    <w:p w14:paraId="25897770">
      <w:pPr>
        <w:widowControl/>
        <w:shd w:val="clear" w:color="auto" w:fill="FFFFFF"/>
        <w:spacing w:line="360" w:lineRule="auto"/>
        <w:ind w:firstLine="422"/>
        <w:rPr>
          <w:rFonts w:cs="宋体" w:asciiTheme="minorEastAsia" w:hAnsiTheme="minorEastAsia" w:eastAsiaTheme="minorEastAsia"/>
          <w:b/>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lang w:eastAsia="zh-CN"/>
          <w14:textFill>
            <w14:solidFill>
              <w14:schemeClr w14:val="tx1"/>
            </w14:solidFill>
          </w14:textFill>
        </w:rPr>
        <w:t>3.3</w:t>
      </w: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进口产品政策</w:t>
      </w:r>
    </w:p>
    <w:p w14:paraId="19323B8E">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（1）除在磋商文件另有规定外，不允许进口产品参加。进口产品认定依照《财政部关于政府采购进口产品管理有关问题的通知》（财办库〔2008〕248号）的规定。</w:t>
      </w:r>
    </w:p>
    <w:p w14:paraId="72FEC0FD">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（2）允许进口产品参加的，满足需求的国内产品可以参加。</w:t>
      </w:r>
    </w:p>
    <w:p w14:paraId="148B9D5B">
      <w:pPr>
        <w:widowControl/>
        <w:spacing w:line="360" w:lineRule="auto"/>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（3）允许进口产品参加的，优先采购向我国企业转让技术、与我国企业签订消化吸收再创新方案的供应商的进口产品。</w:t>
      </w:r>
    </w:p>
    <w:p w14:paraId="4AAB3CBA">
      <w:pPr>
        <w:autoSpaceDE w:val="0"/>
        <w:autoSpaceDN w:val="0"/>
        <w:adjustRightInd w:val="0"/>
        <w:spacing w:line="360" w:lineRule="auto"/>
        <w:ind w:firstLine="482" w:firstLineChars="200"/>
        <w:jc w:val="left"/>
        <w:rPr>
          <w:rFonts w:ascii="宋体" w:hAnsi="宋体"/>
          <w:b/>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4.参与竞争性磋商供应商资格条件</w:t>
      </w:r>
    </w:p>
    <w:p w14:paraId="2CE1E0D0">
      <w:pPr>
        <w:autoSpaceDE w:val="0"/>
        <w:autoSpaceDN w:val="0"/>
        <w:adjustRightInd w:val="0"/>
        <w:spacing w:line="360" w:lineRule="auto"/>
        <w:ind w:firstLine="482" w:firstLineChars="200"/>
        <w:jc w:val="left"/>
        <w:rPr>
          <w:rFonts w:ascii="宋体" w:hAnsi="宋体"/>
          <w:b/>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4.1</w:t>
      </w:r>
      <w:r>
        <w:rPr>
          <w:rFonts w:ascii="宋体" w:hAnsi="宋体" w:cs="宋体"/>
          <w:b/>
          <w:bCs/>
          <w:color w:val="000000" w:themeColor="text1"/>
          <w:kern w:val="0"/>
          <w:sz w:val="24"/>
          <w:highlight w:val="none"/>
          <w14:textFill>
            <w14:solidFill>
              <w14:schemeClr w14:val="tx1"/>
            </w14:solidFill>
          </w14:textFill>
        </w:rPr>
        <w:t>满足《中华人民共和国政府采购法》第二十二条规定</w:t>
      </w:r>
      <w:r>
        <w:rPr>
          <w:rFonts w:hint="eastAsia" w:ascii="宋体" w:hAnsi="宋体" w:cs="宋体"/>
          <w:b/>
          <w:bCs/>
          <w:color w:val="000000" w:themeColor="text1"/>
          <w:kern w:val="0"/>
          <w:sz w:val="24"/>
          <w:highlight w:val="none"/>
          <w14:textFill>
            <w14:solidFill>
              <w14:schemeClr w14:val="tx1"/>
            </w14:solidFill>
          </w14:textFill>
        </w:rPr>
        <w:t>：</w:t>
      </w:r>
    </w:p>
    <w:p w14:paraId="5BEEE3E7">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（1）具有独立承担民事责任的能力（</w:t>
      </w:r>
      <w:r>
        <w:rPr>
          <w:rFonts w:ascii="宋体" w:hAnsi="宋体" w:cs="宋体"/>
          <w:color w:val="000000" w:themeColor="text1"/>
          <w:kern w:val="0"/>
          <w:sz w:val="24"/>
          <w:highlight w:val="none"/>
          <w14:textFill>
            <w14:solidFill>
              <w14:schemeClr w14:val="tx1"/>
            </w14:solidFill>
          </w14:textFill>
        </w:rPr>
        <w:t>提供法人或者其他组织的营业执照</w:t>
      </w:r>
      <w:r>
        <w:rPr>
          <w:rFonts w:hint="eastAsia" w:ascii="宋体" w:hAnsi="宋体" w:cs="宋体"/>
          <w:color w:val="000000" w:themeColor="text1"/>
          <w:kern w:val="0"/>
          <w:sz w:val="24"/>
          <w:highlight w:val="none"/>
          <w14:textFill>
            <w14:solidFill>
              <w14:schemeClr w14:val="tx1"/>
            </w14:solidFill>
          </w14:textFill>
        </w:rPr>
        <w:t>）；</w:t>
      </w:r>
    </w:p>
    <w:p w14:paraId="3B68DDC9">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（2）具有良好的商业信誉和健全的财务会计制度（提供参加本次采购活动前供应商会计报表或财务审计报告，成立不足一年可不提供）；</w:t>
      </w:r>
    </w:p>
    <w:p w14:paraId="6E58F83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（3）具有履行合同所必需的设备和专业技术能力（</w:t>
      </w:r>
      <w:r>
        <w:rPr>
          <w:rFonts w:ascii="宋体" w:hAnsi="宋体" w:cs="宋体"/>
          <w:color w:val="000000" w:themeColor="text1"/>
          <w:kern w:val="0"/>
          <w:sz w:val="24"/>
          <w:highlight w:val="none"/>
          <w14:textFill>
            <w14:solidFill>
              <w14:schemeClr w14:val="tx1"/>
            </w14:solidFill>
          </w14:textFill>
        </w:rPr>
        <w:t>提供履行合同所必需的设备和专业技术能力的</w:t>
      </w:r>
      <w:r>
        <w:rPr>
          <w:rFonts w:hint="eastAsia" w:ascii="宋体" w:hAnsi="宋体" w:cs="宋体"/>
          <w:color w:val="000000" w:themeColor="text1"/>
          <w:kern w:val="0"/>
          <w:sz w:val="24"/>
          <w:highlight w:val="none"/>
          <w14:textFill>
            <w14:solidFill>
              <w14:schemeClr w14:val="tx1"/>
            </w14:solidFill>
          </w14:textFill>
        </w:rPr>
        <w:t>声明）；</w:t>
      </w:r>
    </w:p>
    <w:p w14:paraId="018D65E2">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（4）有依法缴纳税收和社会保障资金的良好记录（</w:t>
      </w:r>
      <w:r>
        <w:rPr>
          <w:rFonts w:ascii="宋体" w:hAnsi="宋体" w:cs="宋体"/>
          <w:color w:val="000000" w:themeColor="text1"/>
          <w:kern w:val="0"/>
          <w:sz w:val="24"/>
          <w:highlight w:val="none"/>
          <w14:textFill>
            <w14:solidFill>
              <w14:schemeClr w14:val="tx1"/>
            </w14:solidFill>
          </w14:textFill>
        </w:rPr>
        <w:t>提供参加本次政府采购活动前半年内至少一个月供应商缴纳</w:t>
      </w:r>
      <w:r>
        <w:rPr>
          <w:rFonts w:hint="eastAsia" w:ascii="宋体" w:hAnsi="宋体" w:cs="宋体"/>
          <w:color w:val="000000" w:themeColor="text1"/>
          <w:kern w:val="0"/>
          <w:sz w:val="24"/>
          <w:highlight w:val="none"/>
          <w14:textFill>
            <w14:solidFill>
              <w14:schemeClr w14:val="tx1"/>
            </w14:solidFill>
          </w14:textFill>
        </w:rPr>
        <w:t>税收凭据</w:t>
      </w:r>
      <w:r>
        <w:rPr>
          <w:rFonts w:ascii="宋体" w:hAnsi="宋体" w:cs="宋体"/>
          <w:color w:val="000000" w:themeColor="text1"/>
          <w:kern w:val="0"/>
          <w:sz w:val="24"/>
          <w:highlight w:val="none"/>
          <w14:textFill>
            <w14:solidFill>
              <w14:schemeClr w14:val="tx1"/>
            </w14:solidFill>
          </w14:textFill>
        </w:rPr>
        <w:t>；供应商缴纳社会保险的凭据</w:t>
      </w:r>
      <w:r>
        <w:rPr>
          <w:rFonts w:hint="eastAsia" w:ascii="宋体" w:hAnsi="宋体" w:cs="宋体"/>
          <w:color w:val="000000" w:themeColor="text1"/>
          <w:kern w:val="0"/>
          <w:sz w:val="24"/>
          <w:highlight w:val="none"/>
          <w14:textFill>
            <w14:solidFill>
              <w14:schemeClr w14:val="tx1"/>
            </w14:solidFill>
          </w14:textFill>
        </w:rPr>
        <w:t>）；</w:t>
      </w:r>
    </w:p>
    <w:p w14:paraId="69D5F0A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r>
        <w:rPr>
          <w:rFonts w:ascii="宋体" w:hAnsi="宋体" w:cs="宋体"/>
          <w:color w:val="000000" w:themeColor="text1"/>
          <w:kern w:val="0"/>
          <w:sz w:val="24"/>
          <w:highlight w:val="none"/>
          <w14:textFill>
            <w14:solidFill>
              <w14:schemeClr w14:val="tx1"/>
            </w14:solidFill>
          </w14:textFill>
        </w:rPr>
        <w:t>提供书面声明或承诺书</w:t>
      </w:r>
      <w:r>
        <w:rPr>
          <w:rFonts w:hint="eastAsia" w:ascii="宋体" w:hAnsi="宋体" w:cs="宋体"/>
          <w:color w:val="000000" w:themeColor="text1"/>
          <w:kern w:val="0"/>
          <w:sz w:val="24"/>
          <w:highlight w:val="none"/>
          <w14:textFill>
            <w14:solidFill>
              <w14:schemeClr w14:val="tx1"/>
            </w14:solidFill>
          </w14:textFill>
        </w:rPr>
        <w:t>）；</w:t>
      </w:r>
    </w:p>
    <w:p w14:paraId="4181FA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（6）符合法律、行政法规规定的其他条件。</w:t>
      </w:r>
    </w:p>
    <w:p w14:paraId="171E8E52">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依据南京市财政局“关于在政府采购中推行信用承诺制的通知”，在政府采购活动中，供应商只需在资格审查环节提供满足上述相应条件的书面信用承诺书，信用承诺书格式见附件（请严格按照格式提供承诺书），不再需要提供证明材料。供应商在中标（成交）后，应按采购文件要求，将由信用承诺书替代的证明材料提交采购人或采购代理机构核验。经核验无误后，由采购人或采购代理机构发出中标（成交）通知书。其中不适用信用承诺的情形：</w:t>
      </w:r>
    </w:p>
    <w:p w14:paraId="2E80BED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（1）供应商被列入严重失信主体名单；</w:t>
      </w:r>
    </w:p>
    <w:p w14:paraId="57DB674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（2）被相关监管部门作出行政处罚且尚在处罚有效期内；</w:t>
      </w:r>
    </w:p>
    <w:p w14:paraId="73EEBB6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（3）其他法律、行政法规规定的不适用信用承诺的情形。</w:t>
      </w:r>
    </w:p>
    <w:p w14:paraId="11215417">
      <w:pPr>
        <w:widowControl/>
        <w:spacing w:line="360" w:lineRule="auto"/>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（4）第（5）条所称重大违法记录，是指供应商因违法经营受到刑事处罚或者责令停产停业、吊销许可证或者执照、较大数额罚款等行政处罚。</w:t>
      </w:r>
    </w:p>
    <w:p w14:paraId="42B2F37C">
      <w:pPr>
        <w:autoSpaceDE w:val="0"/>
        <w:autoSpaceDN w:val="0"/>
        <w:adjustRightInd w:val="0"/>
        <w:spacing w:line="360" w:lineRule="auto"/>
        <w:ind w:firstLine="472" w:firstLineChars="196"/>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4.2 采购人根据采购项目的特殊要求规定的特定条件：</w:t>
      </w:r>
    </w:p>
    <w:p w14:paraId="0C98311C">
      <w:pPr>
        <w:autoSpaceDE w:val="0"/>
        <w:autoSpaceDN w:val="0"/>
        <w:adjustRightInd w:val="0"/>
        <w:spacing w:line="360" w:lineRule="auto"/>
        <w:ind w:firstLine="470" w:firstLineChars="196"/>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w:t>
      </w:r>
      <w:r>
        <w:rPr>
          <w:rFonts w:cs="宋体"/>
          <w:color w:val="000000" w:themeColor="text1"/>
          <w:sz w:val="24"/>
          <w:highlight w:val="none"/>
          <w14:textFill>
            <w14:solidFill>
              <w14:schemeClr w14:val="tx1"/>
            </w14:solidFill>
          </w14:textFill>
        </w:rPr>
        <w:t>提供</w:t>
      </w:r>
      <w:r>
        <w:rPr>
          <w:rFonts w:hint="eastAsia" w:cs="宋体"/>
          <w:color w:val="000000" w:themeColor="text1"/>
          <w:sz w:val="24"/>
          <w:highlight w:val="none"/>
          <w14:textFill>
            <w14:solidFill>
              <w14:schemeClr w14:val="tx1"/>
            </w14:solidFill>
          </w14:textFill>
        </w:rPr>
        <w:t>拟投入</w:t>
      </w:r>
      <w:r>
        <w:rPr>
          <w:rFonts w:cs="宋体"/>
          <w:color w:val="000000" w:themeColor="text1"/>
          <w:sz w:val="24"/>
          <w:highlight w:val="none"/>
          <w14:textFill>
            <w14:solidFill>
              <w14:schemeClr w14:val="tx1"/>
            </w14:solidFill>
          </w14:textFill>
        </w:rPr>
        <w:t>本项的项目负责人与供应商签订的有效劳动合同、社保机构出具的近半年</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202</w:t>
      </w:r>
      <w:r>
        <w:rPr>
          <w:rFonts w:hint="eastAsia" w:cs="宋体"/>
          <w:color w:val="000000" w:themeColor="text1"/>
          <w:sz w:val="24"/>
          <w:highlight w:val="none"/>
          <w:lang w:val="en-US" w:eastAsia="zh-CN"/>
          <w14:textFill>
            <w14:solidFill>
              <w14:schemeClr w14:val="tx1"/>
            </w14:solidFill>
          </w14:textFill>
        </w:rPr>
        <w:t>5</w:t>
      </w:r>
      <w:r>
        <w:rPr>
          <w:rFonts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10</w:t>
      </w:r>
      <w:r>
        <w:rPr>
          <w:rFonts w:cs="宋体"/>
          <w:color w:val="000000" w:themeColor="text1"/>
          <w:sz w:val="24"/>
          <w:highlight w:val="none"/>
          <w14:textFill>
            <w14:solidFill>
              <w14:schemeClr w14:val="tx1"/>
            </w14:solidFill>
          </w14:textFill>
        </w:rPr>
        <w:t>月-202</w:t>
      </w:r>
      <w:r>
        <w:rPr>
          <w:rFonts w:hint="eastAsia" w:cs="宋体"/>
          <w:color w:val="000000" w:themeColor="text1"/>
          <w:sz w:val="24"/>
          <w:highlight w:val="none"/>
          <w:lang w:val="en-US" w:eastAsia="zh-CN"/>
          <w14:textFill>
            <w14:solidFill>
              <w14:schemeClr w14:val="tx1"/>
            </w14:solidFill>
          </w14:textFill>
        </w:rPr>
        <w:t>6</w:t>
      </w:r>
      <w:r>
        <w:rPr>
          <w:rFonts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3</w:t>
      </w:r>
      <w:r>
        <w:rPr>
          <w:rFonts w:cs="宋体"/>
          <w:color w:val="000000" w:themeColor="text1"/>
          <w:sz w:val="24"/>
          <w:highlight w:val="none"/>
          <w14:textFill>
            <w14:solidFill>
              <w14:schemeClr w14:val="tx1"/>
            </w14:solidFill>
          </w14:textFill>
        </w:rPr>
        <w:t>月</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投标申请人为其缴纳的养老保险缴费证明材料。已办理退休手续的只需提供劳动合同（返聘合同）、退休证明。</w:t>
      </w:r>
    </w:p>
    <w:p w14:paraId="7D304262">
      <w:pPr>
        <w:autoSpaceDE w:val="0"/>
        <w:autoSpaceDN w:val="0"/>
        <w:adjustRightInd w:val="0"/>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ascii="宋体" w:hAnsi="宋体" w:cs="宋体"/>
          <w:b/>
          <w:bCs/>
          <w:color w:val="000000" w:themeColor="text1"/>
          <w:sz w:val="24"/>
          <w:highlight w:val="none"/>
          <w14:textFill>
            <w14:solidFill>
              <w14:schemeClr w14:val="tx1"/>
            </w14:solidFill>
          </w14:textFill>
        </w:rPr>
        <w:t xml:space="preserve">.3 </w:t>
      </w:r>
      <w:r>
        <w:rPr>
          <w:rFonts w:hint="eastAsia" w:ascii="宋体" w:hAnsi="宋体" w:cs="宋体"/>
          <w:b/>
          <w:bCs/>
          <w:color w:val="000000" w:themeColor="text1"/>
          <w:sz w:val="24"/>
          <w:highlight w:val="none"/>
          <w14:textFill>
            <w14:solidFill>
              <w14:schemeClr w14:val="tx1"/>
            </w14:solidFill>
          </w14:textFill>
        </w:rPr>
        <w:t>拒绝下述供应商参加本次采购活动：</w:t>
      </w:r>
    </w:p>
    <w:p w14:paraId="4BAD8569">
      <w:pPr>
        <w:autoSpaceDE w:val="0"/>
        <w:autoSpaceDN w:val="0"/>
        <w:adjustRightInd w:val="0"/>
        <w:spacing w:line="360" w:lineRule="auto"/>
        <w:ind w:firstLine="470"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）供应商</w:t>
      </w:r>
      <w:r>
        <w:rPr>
          <w:rFonts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w:t>
      </w:r>
    </w:p>
    <w:p w14:paraId="343BBDA6">
      <w:pPr>
        <w:autoSpaceDE w:val="0"/>
        <w:autoSpaceDN w:val="0"/>
        <w:adjustRightInd w:val="0"/>
        <w:spacing w:line="360" w:lineRule="auto"/>
        <w:ind w:firstLine="470"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（2）凡</w:t>
      </w:r>
      <w:r>
        <w:rPr>
          <w:rFonts w:ascii="宋体" w:hAnsi="宋体" w:cs="宋体"/>
          <w:color w:val="000000" w:themeColor="text1"/>
          <w:sz w:val="24"/>
          <w:highlight w:val="none"/>
          <w14:textFill>
            <w14:solidFill>
              <w14:schemeClr w14:val="tx1"/>
            </w14:solidFill>
          </w14:textFill>
        </w:rPr>
        <w:t>为采购项目提供整体设计、规范编制或者项目管理、监理、检测等服务的供应商，不得再参加</w:t>
      </w:r>
      <w:r>
        <w:rPr>
          <w:rFonts w:hint="eastAsia" w:ascii="宋体" w:hAnsi="宋体" w:cs="宋体"/>
          <w:color w:val="000000" w:themeColor="text1"/>
          <w:sz w:val="24"/>
          <w:highlight w:val="none"/>
          <w14:textFill>
            <w14:solidFill>
              <w14:schemeClr w14:val="tx1"/>
            </w14:solidFill>
          </w14:textFill>
        </w:rPr>
        <w:t>本</w:t>
      </w:r>
      <w:r>
        <w:rPr>
          <w:rFonts w:ascii="宋体" w:hAnsi="宋体" w:cs="宋体"/>
          <w:color w:val="000000" w:themeColor="text1"/>
          <w:sz w:val="24"/>
          <w:highlight w:val="none"/>
          <w14:textFill>
            <w14:solidFill>
              <w14:schemeClr w14:val="tx1"/>
            </w14:solidFill>
          </w14:textFill>
        </w:rPr>
        <w:t>项目的采购活动。</w:t>
      </w:r>
    </w:p>
    <w:p w14:paraId="01AEAF01">
      <w:pPr>
        <w:autoSpaceDE w:val="0"/>
        <w:autoSpaceDN w:val="0"/>
        <w:adjustRightInd w:val="0"/>
        <w:spacing w:line="360" w:lineRule="auto"/>
        <w:ind w:firstLine="470" w:firstLineChars="196"/>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（3）供应商被“信用中国”网站（www.creditchina.gov.cn）、“中国政府采购”(www.ccgp.gov.cn)列入失信被执行人、重大税收违法案件当事人名单、政府采购严重违法失信行为记录名单。</w:t>
      </w:r>
    </w:p>
    <w:p w14:paraId="6C33E3FA">
      <w:pPr>
        <w:autoSpaceDE w:val="0"/>
        <w:autoSpaceDN w:val="0"/>
        <w:adjustRightInd w:val="0"/>
        <w:spacing w:line="360" w:lineRule="auto"/>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4.4 供应商诚信档案注册登记</w:t>
      </w:r>
    </w:p>
    <w:p w14:paraId="07B673AC">
      <w:pPr>
        <w:autoSpaceDE w:val="0"/>
        <w:autoSpaceDN w:val="0"/>
        <w:adjustRightInd w:val="0"/>
        <w:spacing w:line="360" w:lineRule="auto"/>
        <w:ind w:firstLine="482" w:firstLineChars="200"/>
        <w:jc w:val="left"/>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凡在南京地区参加政府采购活动的供应商，在参加政府采购活动前应当在“南京政府采购供应商诚信档案管理系统”内进行注册登记。由于特殊原因未及时注册的供应商可先行获取采购文件，但必须在提交投标（响应）文件截止日2天前办理登记注册手续。（供应商应在递交投标（响应）文件的同时，提交供应商诚信档案管理系统中打印的“南京市政府采购供应商信用记录表暨信用承诺书”。）</w:t>
      </w:r>
    </w:p>
    <w:p w14:paraId="790943E9">
      <w:pPr>
        <w:autoSpaceDE w:val="0"/>
        <w:autoSpaceDN w:val="0"/>
        <w:adjustRightIn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（1）供应商诚信档案注册登记，按以下程序进行： </w:t>
      </w:r>
    </w:p>
    <w:p w14:paraId="6BF8C789">
      <w:pPr>
        <w:autoSpaceDE w:val="0"/>
        <w:autoSpaceDN w:val="0"/>
        <w:adjustRightInd w:val="0"/>
        <w:spacing w:line="360" w:lineRule="auto"/>
        <w:ind w:left="218" w:leftChars="104" w:firstLine="477" w:firstLineChars="199"/>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①登陆“信用南京”（www.njcredit.gov.cn）或“</w:t>
      </w:r>
      <w:r>
        <w:rPr>
          <w:rFonts w:ascii="宋体" w:hAnsi="宋体" w:cs="宋体"/>
          <w:color w:val="000000" w:themeColor="text1"/>
          <w:sz w:val="24"/>
          <w:highlight w:val="none"/>
          <w14:textFill>
            <w14:solidFill>
              <w14:schemeClr w14:val="tx1"/>
            </w14:solidFill>
          </w14:textFill>
        </w:rPr>
        <w:t>南京公共采购信息网</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https://njgc.jfh.com/</w:t>
      </w:r>
      <w:r>
        <w:rPr>
          <w:rFonts w:hint="eastAsia" w:ascii="宋体" w:hAnsi="宋体" w:cs="宋体"/>
          <w:color w:val="000000" w:themeColor="text1"/>
          <w:sz w:val="24"/>
          <w:highlight w:val="none"/>
          <w14:textFill>
            <w14:solidFill>
              <w14:schemeClr w14:val="tx1"/>
            </w14:solidFill>
          </w14:textFill>
        </w:rPr>
        <w:t xml:space="preserve">）网站，点击“南京政府采购供应商诚信档案管理系统”链接图标，或直接输入访问地址（http://222.190.243.84:8280/hodeframe2018_cxda），在用户登录界面点击“新用户注册”； </w:t>
      </w:r>
    </w:p>
    <w:p w14:paraId="371D81B8">
      <w:pPr>
        <w:autoSpaceDE w:val="0"/>
        <w:autoSpaceDN w:val="0"/>
        <w:adjustRightInd w:val="0"/>
        <w:spacing w:line="360" w:lineRule="auto"/>
        <w:ind w:left="218" w:leftChars="104" w:firstLine="477" w:firstLineChars="199"/>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②在“新用户注册”界面，供应商自行设置用户名、登录密码，如实填写《南京市政府采购供应商诚信档案注册登记表》，并进行信用承诺确认后，提交注册申请； </w:t>
      </w:r>
    </w:p>
    <w:p w14:paraId="4C50E202">
      <w:pPr>
        <w:autoSpaceDE w:val="0"/>
        <w:autoSpaceDN w:val="0"/>
        <w:adjustRightInd w:val="0"/>
        <w:spacing w:line="360" w:lineRule="auto"/>
        <w:ind w:left="218" w:leftChars="104" w:firstLine="477" w:firstLineChars="199"/>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③系统审核后，供应商即可登录系统进行相关功能操作。</w:t>
      </w:r>
    </w:p>
    <w:p w14:paraId="00F6E115">
      <w:pPr>
        <w:numPr>
          <w:ilvl w:val="0"/>
          <w:numId w:val="4"/>
        </w:numPr>
        <w:autoSpaceDE w:val="0"/>
        <w:autoSpaceDN w:val="0"/>
        <w:adjustRightInd w:val="0"/>
        <w:spacing w:line="360" w:lineRule="auto"/>
        <w:ind w:firstLine="470"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成功后，供应商每次参加政府采购活动投标（响应）截至日前，应先登录“信用南京”在线打印其“南京市政府采购供应商信用记录表暨信用承诺书”，经法定代表人签名盖章后作为投标（响应）文件的组成部分提交给采购代理机构或采购人。“南京市政府采购供应商信用记录表暨信用承诺书”是其参加政府采购活动的必备材料。</w:t>
      </w:r>
    </w:p>
    <w:p w14:paraId="60E762F4">
      <w:pPr>
        <w:autoSpaceDE w:val="0"/>
        <w:autoSpaceDN w:val="0"/>
        <w:adjustRightInd w:val="0"/>
        <w:spacing w:line="360" w:lineRule="auto"/>
        <w:jc w:val="left"/>
        <w:rPr>
          <w:rFonts w:ascii="宋体" w:hAnsi="宋体"/>
          <w:b/>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5.磋商供应商的义务及注意事项</w:t>
      </w:r>
    </w:p>
    <w:p w14:paraId="3D2AB408">
      <w:pPr>
        <w:spacing w:line="360" w:lineRule="auto"/>
        <w:ind w:firstLine="482"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5.1</w:t>
      </w:r>
      <w:r>
        <w:rPr>
          <w:rFonts w:hint="eastAsia" w:ascii="宋体" w:hAnsi="宋体"/>
          <w:b/>
          <w:color w:val="000000" w:themeColor="text1"/>
          <w:sz w:val="24"/>
          <w:highlight w:val="none"/>
          <w:lang w:val="zh-CN"/>
          <w14:textFill>
            <w14:solidFill>
              <w14:schemeClr w14:val="tx1"/>
            </w14:solidFill>
          </w14:textFill>
        </w:rPr>
        <w:t>集中</w:t>
      </w:r>
      <w:r>
        <w:rPr>
          <w:rFonts w:hint="eastAsia" w:ascii="宋体" w:hAnsi="宋体"/>
          <w:b/>
          <w:color w:val="000000" w:themeColor="text1"/>
          <w:sz w:val="24"/>
          <w:highlight w:val="none"/>
          <w14:textFill>
            <w14:solidFill>
              <w14:schemeClr w14:val="tx1"/>
            </w14:solidFill>
          </w14:textFill>
        </w:rPr>
        <w:t xml:space="preserve">勘查现场及答疑会: </w:t>
      </w:r>
      <w:r>
        <w:rPr>
          <w:rFonts w:hint="eastAsia" w:ascii="宋体" w:hAnsi="宋体" w:cs="宋体"/>
          <w:color w:val="000000" w:themeColor="text1"/>
          <w:kern w:val="0"/>
          <w:sz w:val="24"/>
          <w:highlight w:val="none"/>
          <w14:textFill>
            <w14:solidFill>
              <w14:schemeClr w14:val="tx1"/>
            </w14:solidFill>
          </w14:textFill>
        </w:rPr>
        <w:t>采购人不组织，供应商可自行查勘，在随后的采购中，对现场资料和数据所作出的推论、解释和结论及由此造成的后果由供应商负责。</w:t>
      </w:r>
    </w:p>
    <w:p w14:paraId="11F829E4">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5.2 义务</w:t>
      </w:r>
    </w:p>
    <w:p w14:paraId="359DE23F">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5.2.1磋商供应商应当认真阅读本磋商文件，完全明了本项目之名称、用途、数量、质量和交付时间，完全明了应具备的资格条件。</w:t>
      </w:r>
    </w:p>
    <w:p w14:paraId="23484653">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5.2.2磋商供应商应当按照磋商文件的要求编制响应性文件。响应性文件应对磋商文件提出的实质性要求和条件作出完全响应。</w:t>
      </w:r>
    </w:p>
    <w:p w14:paraId="2AAA7AB2">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5.2.3磋商供应商应在磋商截止时间前，将密封的响应性文件送达磋商地点。</w:t>
      </w:r>
    </w:p>
    <w:p w14:paraId="09D83C12">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5.2.4磋商供应商不得相互串通报价，不得排挤其他磋商供应商的公平竞争，损害采购人或者其他磋商供应商的合法权益。磋商供应商不得与采购人串通投标，损害国家利益，公众利益或者他人的合法权益。</w:t>
      </w:r>
    </w:p>
    <w:p w14:paraId="3895F1D5">
      <w:pPr>
        <w:pStyle w:val="21"/>
        <w:spacing w:line="360" w:lineRule="auto"/>
        <w:ind w:left="0" w:firstLine="480" w:firstLineChars="200"/>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5.2.5磋商供应商在磋商截止时间前，对所递交的响应性文件可以补充、修改或者撤回，并书面通知采购人。补充、修改的内容为响应性文件的组成部分。</w:t>
      </w:r>
    </w:p>
    <w:p w14:paraId="57FC2FB0">
      <w:pPr>
        <w:spacing w:line="360" w:lineRule="auto"/>
        <w:ind w:firstLine="472" w:firstLineChars="196"/>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5.3 注意事项</w:t>
      </w:r>
    </w:p>
    <w:p w14:paraId="23A1FEF6">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5.3.1本项目采购方式是竞争性磋商，整个项目是一个整体、不可分割。供应商在参加磋商前可以向采购人了解实地情况及在区范围内相关工程需求，以确保制定出合理的投标方案，否则由此引起的误投风险及相应的损失自行承担。本项目由采购人自行组织或委托第三方验收。供应商报价超过采购预算的按无效投标处理。</w:t>
      </w:r>
    </w:p>
    <w:p w14:paraId="06566001">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5.3.2验收标准</w:t>
      </w:r>
    </w:p>
    <w:p w14:paraId="1D62DF7A">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5.3.2.1磋商文件中明确的标准和技术要求，未明确部分按照国家最新的相关标准；</w:t>
      </w:r>
    </w:p>
    <w:p w14:paraId="594067B2">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5.3.2.2供应商随响应性文件提供的货物制造国制造及验收的官方标准或货物验收大纲，经采购单位确认后，将作为对货物的验收依据之一；</w:t>
      </w:r>
    </w:p>
    <w:p w14:paraId="1539D011">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5.3.2.3供应商在澄清响应文件时作出的承诺，经采购单位确认后，将作为对货物和服务的验收依据之一；</w:t>
      </w:r>
    </w:p>
    <w:p w14:paraId="668BF3A1">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5.3.2.4项目完毕后，由采购单位组织按国家相关标准进行验收。</w:t>
      </w:r>
    </w:p>
    <w:p w14:paraId="239199EF">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5.3.3供应商应认真阅读磋商文件中所有的事项、格式、条款和规范等要求，如果没有按照磋商文件要求提交全部资料，或者没有对磋商文件都作出实质性响应，相应风险应由供应商自行承担，包括作无效投标处理。</w:t>
      </w:r>
    </w:p>
    <w:p w14:paraId="336A4396">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5.3.4任何供应商成交，须保证所供货物和服务能通过当地有关职能部门验收，否则采购单位有权拒绝支付合同款项。</w:t>
      </w:r>
    </w:p>
    <w:p w14:paraId="558F7452">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5.3.5供应商应保证采购人在使用该货物（服务）或其任何一部分时不受第三方提出侵犯其专利权、版权、商标权或其他权利的起诉。一旦出现侵权，投标人应承担全部责任。</w:t>
      </w:r>
    </w:p>
    <w:p w14:paraId="7CF5C4A7">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5.3.6本次项目不接受联合体投标。</w:t>
      </w:r>
    </w:p>
    <w:p w14:paraId="7E5637BA">
      <w:pPr>
        <w:tabs>
          <w:tab w:val="left" w:pos="1260"/>
        </w:tabs>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6.磋商文件的澄清、修改</w:t>
      </w:r>
    </w:p>
    <w:p w14:paraId="28DF7F23">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6.1任何要求对磋商文件进行澄清的供应商，应在磋商文件规定的响应性文件提交</w:t>
      </w:r>
      <w:r>
        <w:rPr>
          <w:rFonts w:hint="eastAsia" w:ascii="宋体" w:hAnsi="宋体"/>
          <w:b/>
          <w:color w:val="000000" w:themeColor="text1"/>
          <w:sz w:val="24"/>
          <w:highlight w:val="none"/>
          <w14:textFill>
            <w14:solidFill>
              <w14:schemeClr w14:val="tx1"/>
            </w14:solidFill>
          </w14:textFill>
        </w:rPr>
        <w:t>截止日期五天前</w:t>
      </w:r>
      <w:r>
        <w:rPr>
          <w:rFonts w:hint="eastAsia" w:ascii="宋体" w:hAnsi="宋体"/>
          <w:color w:val="000000" w:themeColor="text1"/>
          <w:sz w:val="24"/>
          <w:highlight w:val="none"/>
          <w14:textFill>
            <w14:solidFill>
              <w14:schemeClr w14:val="tx1"/>
            </w14:solidFill>
          </w14:textFill>
        </w:rPr>
        <w:t>按磋商文件中的联系方式以书面形式（如传真等）通知采购代理机构，采购代理机构将及时予以答复；在磋商文件公布期间，采购代理机构可主动对磋商文件进行澄清，磋商文件实质性变动的除外。</w:t>
      </w:r>
    </w:p>
    <w:p w14:paraId="6BE67A9D">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25C48BD4">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7.磋商有效期</w:t>
      </w:r>
    </w:p>
    <w:p w14:paraId="03EC6AE7">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7.1磋商有效期为磋商文件规定的磋商之日后</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0天。</w:t>
      </w:r>
    </w:p>
    <w:p w14:paraId="71FED4BB">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7.2在特殊情况下，采购人于原磋商有效期满之前，可向磋商供应商提出延长磋商有效期的要求。供应商可以拒绝采购人的这种要求。同意延长的供应商既不能要求也不允许修改其响应性文件。</w:t>
      </w:r>
    </w:p>
    <w:p w14:paraId="37EAA35D">
      <w:pPr>
        <w:autoSpaceDE w:val="0"/>
        <w:autoSpaceDN w:val="0"/>
        <w:adjustRightInd w:val="0"/>
        <w:spacing w:line="360" w:lineRule="auto"/>
        <w:ind w:firstLine="479" w:firstLineChars="199"/>
        <w:jc w:val="left"/>
        <w:rPr>
          <w:rFonts w:ascii="宋体" w:hAnsi="宋体"/>
          <w:b/>
          <w:bCs/>
          <w:color w:val="000000" w:themeColor="text1"/>
          <w:sz w:val="24"/>
          <w:highlight w:val="none"/>
          <w:lang w:val="zh-CN"/>
          <w14:textFill>
            <w14:solidFill>
              <w14:schemeClr w14:val="tx1"/>
            </w14:solidFill>
          </w14:textFill>
        </w:rPr>
      </w:pPr>
      <w:r>
        <w:rPr>
          <w:rFonts w:hint="eastAsia" w:ascii="宋体" w:hAnsi="宋体"/>
          <w:b/>
          <w:bCs/>
          <w:color w:val="000000" w:themeColor="text1"/>
          <w:sz w:val="24"/>
          <w:highlight w:val="none"/>
          <w:lang w:val="zh-CN"/>
          <w14:textFill>
            <w14:solidFill>
              <w14:schemeClr w14:val="tx1"/>
            </w14:solidFill>
          </w14:textFill>
        </w:rPr>
        <w:t>8．磋商费用</w:t>
      </w:r>
    </w:p>
    <w:p w14:paraId="435C08BC">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8.1磋商供应商</w:t>
      </w:r>
      <w:r>
        <w:rPr>
          <w:rFonts w:hint="eastAsia" w:ascii="宋体" w:hAnsi="宋体"/>
          <w:color w:val="000000" w:themeColor="text1"/>
          <w:sz w:val="24"/>
          <w:highlight w:val="none"/>
          <w:lang w:val="zh-CN"/>
          <w14:textFill>
            <w14:solidFill>
              <w14:schemeClr w14:val="tx1"/>
            </w14:solidFill>
          </w14:textFill>
        </w:rPr>
        <w:t>应承担所有与准备和参加磋商有关的费用，采购代理机构和采购人在任何情况下均无义务和责任承担这些费用。</w:t>
      </w:r>
    </w:p>
    <w:p w14:paraId="3C283A29">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8.2</w:t>
      </w:r>
      <w:r>
        <w:rPr>
          <w:rFonts w:hint="eastAsia" w:ascii="宋体" w:hAnsi="宋体"/>
          <w:b/>
          <w:bCs/>
          <w:color w:val="000000" w:themeColor="text1"/>
          <w:sz w:val="24"/>
          <w:highlight w:val="none"/>
          <w:lang w:val="zh-CN"/>
          <w14:textFill>
            <w14:solidFill>
              <w14:schemeClr w14:val="tx1"/>
            </w14:solidFill>
          </w14:textFill>
        </w:rPr>
        <w:t>招标代理费：</w:t>
      </w:r>
      <w:r>
        <w:rPr>
          <w:rFonts w:hint="eastAsia" w:ascii="宋体" w:hAnsi="宋体" w:eastAsia="宋体" w:cs="宋体"/>
          <w:b/>
          <w:bCs/>
          <w:kern w:val="0"/>
          <w:sz w:val="24"/>
          <w:szCs w:val="24"/>
          <w:highlight w:val="none"/>
          <w:u w:val="single"/>
          <w:lang w:val="zh-CN" w:eastAsia="zh-CN" w:bidi="ar-SA"/>
        </w:rPr>
        <w:t>招标代理费以中标金额为基数服务费用按招标代理服务收费管理办法计价格[2002]1980号收费标准的80%</w:t>
      </w:r>
      <w:r>
        <w:rPr>
          <w:rFonts w:hint="eastAsia" w:ascii="宋体" w:hAnsi="宋体" w:cs="宋体"/>
          <w:b/>
          <w:bCs/>
          <w:kern w:val="0"/>
          <w:sz w:val="24"/>
          <w:szCs w:val="24"/>
          <w:highlight w:val="none"/>
          <w:u w:val="single"/>
          <w:lang w:val="en-US" w:eastAsia="zh-CN" w:bidi="ar-SA"/>
        </w:rPr>
        <w:t>计取，代理服务费不足3000元的以3000元计</w:t>
      </w:r>
      <w:r>
        <w:rPr>
          <w:rFonts w:hint="eastAsia" w:ascii="宋体" w:hAnsi="宋体" w:eastAsia="宋体" w:cs="宋体"/>
          <w:b/>
          <w:bCs/>
          <w:kern w:val="0"/>
          <w:sz w:val="24"/>
          <w:szCs w:val="24"/>
          <w:highlight w:val="none"/>
          <w:u w:val="single"/>
          <w:lang w:val="zh-CN" w:eastAsia="zh-CN" w:bidi="ar-SA"/>
        </w:rPr>
        <w:t>。</w:t>
      </w:r>
    </w:p>
    <w:p w14:paraId="7286354B">
      <w:pPr>
        <w:spacing w:line="360" w:lineRule="auto"/>
        <w:ind w:firstLine="482" w:firstLineChars="200"/>
        <w:jc w:val="left"/>
        <w:outlineLvl w:val="1"/>
        <w:rPr>
          <w:rFonts w:ascii="宋体" w:hAnsi="宋体"/>
          <w:b/>
          <w:color w:val="000000" w:themeColor="text1"/>
          <w:sz w:val="24"/>
          <w:highlight w:val="none"/>
          <w14:textFill>
            <w14:solidFill>
              <w14:schemeClr w14:val="tx1"/>
            </w14:solidFill>
          </w14:textFill>
        </w:rPr>
      </w:pPr>
      <w:bookmarkStart w:id="21" w:name="_Toc22271"/>
      <w:bookmarkStart w:id="22" w:name="_Toc23959"/>
      <w:bookmarkStart w:id="23" w:name="_Toc1641"/>
      <w:bookmarkStart w:id="24" w:name="_Toc21976"/>
      <w:bookmarkStart w:id="25" w:name="_Toc503338388"/>
      <w:bookmarkStart w:id="26" w:name="_Toc10828"/>
      <w:bookmarkStart w:id="27" w:name="_Toc9570"/>
      <w:bookmarkStart w:id="28" w:name="_Toc13984"/>
      <w:bookmarkStart w:id="29" w:name="_Toc478818514"/>
      <w:bookmarkStart w:id="30" w:name="_Toc185323374"/>
      <w:bookmarkStart w:id="31" w:name="_Toc9706"/>
      <w:bookmarkStart w:id="32" w:name="_Toc8651"/>
      <w:bookmarkStart w:id="33" w:name="_Toc6803"/>
      <w:bookmarkStart w:id="34" w:name="_Toc8705"/>
      <w:r>
        <w:rPr>
          <w:rFonts w:hint="eastAsia" w:ascii="宋体" w:hAnsi="宋体"/>
          <w:b/>
          <w:color w:val="000000" w:themeColor="text1"/>
          <w:sz w:val="24"/>
          <w:highlight w:val="none"/>
          <w14:textFill>
            <w14:solidFill>
              <w14:schemeClr w14:val="tx1"/>
            </w14:solidFill>
          </w14:textFill>
        </w:rPr>
        <w:t>二、响应性文件的编制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AF7C732">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9.响应性文件的语言、计量单位、货币和编制</w:t>
      </w:r>
    </w:p>
    <w:p w14:paraId="1C92C41B">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9.1磋商供应商提交的响应性文件、技术文件和资料，以及磋商供应商与采购</w:t>
      </w:r>
      <w:r>
        <w:rPr>
          <w:rFonts w:hint="eastAsia" w:ascii="宋体" w:hAnsi="宋体"/>
          <w:color w:val="000000" w:themeColor="text1"/>
          <w:sz w:val="24"/>
          <w:highlight w:val="none"/>
          <w:lang w:val="zh-CN"/>
          <w14:textFill>
            <w14:solidFill>
              <w14:schemeClr w14:val="tx1"/>
            </w14:solidFill>
          </w14:textFill>
        </w:rPr>
        <w:t>代理机构</w:t>
      </w:r>
      <w:r>
        <w:rPr>
          <w:rFonts w:hint="eastAsia" w:ascii="宋体" w:hAnsi="宋体"/>
          <w:color w:val="000000" w:themeColor="text1"/>
          <w:sz w:val="24"/>
          <w:highlight w:val="none"/>
          <w14:textFill>
            <w14:solidFill>
              <w14:schemeClr w14:val="tx1"/>
            </w14:solidFill>
          </w14:textFill>
        </w:rPr>
        <w:t>就有关磋商的所有来往函电均应使用中文。响应性文件中若有英文或其他语言文字的资料，应提供相应的中文翻译资料。</w:t>
      </w:r>
      <w:r>
        <w:rPr>
          <w:rFonts w:hint="eastAsia" w:ascii="宋体" w:hAnsi="宋体"/>
          <w:color w:val="000000" w:themeColor="text1"/>
          <w:sz w:val="24"/>
          <w:highlight w:val="none"/>
          <w:lang w:val="zh-CN"/>
          <w14:textFill>
            <w14:solidFill>
              <w14:schemeClr w14:val="tx1"/>
            </w14:solidFill>
          </w14:textFill>
        </w:rPr>
        <w:t>对不同文本磋商响应文件的解释发生异议的，以中文文本为准。</w:t>
      </w:r>
    </w:p>
    <w:p w14:paraId="5D0DF410">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9.2磋商供应商所使用的计量单位应为国家法定计量单位。</w:t>
      </w:r>
    </w:p>
    <w:p w14:paraId="60D2E40A">
      <w:pPr>
        <w:spacing w:line="360" w:lineRule="auto"/>
        <w:ind w:firstLine="480" w:firstLineChars="20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9.3磋商供应商应用人民币报价。</w:t>
      </w:r>
      <w:r>
        <w:rPr>
          <w:rFonts w:hint="eastAsia" w:ascii="宋体" w:hAnsi="宋体"/>
          <w:color w:val="000000" w:themeColor="text1"/>
          <w:sz w:val="24"/>
          <w:highlight w:val="none"/>
          <w:lang w:val="zh-CN"/>
          <w14:textFill>
            <w14:solidFill>
              <w14:schemeClr w14:val="tx1"/>
            </w14:solidFill>
          </w14:textFill>
        </w:rPr>
        <w:t>报价产品如果是进口产品的，应提供人民币与美元之间的汇率；报价单位为“元”。</w:t>
      </w:r>
    </w:p>
    <w:p w14:paraId="2874B447">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9</w:t>
      </w:r>
      <w:r>
        <w:rPr>
          <w:rFonts w:ascii="宋体" w:hAnsi="宋体"/>
          <w:color w:val="000000" w:themeColor="text1"/>
          <w:sz w:val="24"/>
          <w:highlight w:val="none"/>
          <w:lang w:val="zh-CN"/>
          <w14:textFill>
            <w14:solidFill>
              <w14:schemeClr w14:val="tx1"/>
            </w14:solidFill>
          </w14:textFill>
        </w:rPr>
        <w:t>.4</w:t>
      </w:r>
      <w:r>
        <w:rPr>
          <w:rFonts w:hint="eastAsia" w:ascii="宋体" w:hAnsi="宋体"/>
          <w:color w:val="000000" w:themeColor="text1"/>
          <w:sz w:val="24"/>
          <w:highlight w:val="none"/>
          <w:lang w:val="zh-CN"/>
          <w14:textFill>
            <w14:solidFill>
              <w14:schemeClr w14:val="tx1"/>
            </w14:solidFill>
          </w14:textFill>
        </w:rPr>
        <w:t xml:space="preserve"> 磋商响应文件应字迹清楚、内容齐全、不得涂改。如有修改，修改处须有供应商公章或投标专用章和法定代表人或其授权磋商代表签字。</w:t>
      </w:r>
    </w:p>
    <w:p w14:paraId="1E864ACD">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9</w:t>
      </w:r>
      <w:r>
        <w:rPr>
          <w:rFonts w:ascii="宋体" w:hAnsi="宋体"/>
          <w:color w:val="000000" w:themeColor="text1"/>
          <w:sz w:val="24"/>
          <w:highlight w:val="none"/>
          <w:lang w:val="zh-CN"/>
          <w14:textFill>
            <w14:solidFill>
              <w14:schemeClr w14:val="tx1"/>
            </w14:solidFill>
          </w14:textFill>
        </w:rPr>
        <w:t>.5</w:t>
      </w:r>
      <w:r>
        <w:rPr>
          <w:rFonts w:hint="eastAsia" w:ascii="宋体" w:hAnsi="宋体"/>
          <w:color w:val="000000" w:themeColor="text1"/>
          <w:sz w:val="24"/>
          <w:highlight w:val="none"/>
          <w:lang w:val="zh-CN"/>
          <w14:textFill>
            <w14:solidFill>
              <w14:schemeClr w14:val="tx1"/>
            </w14:solidFill>
          </w14:textFill>
        </w:rPr>
        <w:t xml:space="preserve"> 磋商响应文件应按照竞争性磋商文件规定的顺序，统一用</w:t>
      </w:r>
      <w:r>
        <w:rPr>
          <w:rFonts w:ascii="宋体" w:hAnsi="宋体"/>
          <w:color w:val="000000" w:themeColor="text1"/>
          <w:sz w:val="24"/>
          <w:highlight w:val="none"/>
          <w:lang w:val="zh-CN"/>
          <w14:textFill>
            <w14:solidFill>
              <w14:schemeClr w14:val="tx1"/>
            </w14:solidFill>
          </w14:textFill>
        </w:rPr>
        <w:t>A4</w:t>
      </w:r>
      <w:r>
        <w:rPr>
          <w:rFonts w:hint="eastAsia" w:ascii="宋体" w:hAnsi="宋体"/>
          <w:color w:val="000000" w:themeColor="text1"/>
          <w:sz w:val="24"/>
          <w:highlight w:val="none"/>
          <w:lang w:val="zh-CN"/>
          <w14:textFill>
            <w14:solidFill>
              <w14:schemeClr w14:val="tx1"/>
            </w14:solidFill>
          </w14:textFill>
        </w:rPr>
        <w:t>规格幅面打印、装订成册并编制目录，由于编排混乱导致磋商响应文件被误读或查找不到，责任由供应商承担。</w:t>
      </w:r>
    </w:p>
    <w:p w14:paraId="36F0C8C8">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9</w:t>
      </w:r>
      <w:r>
        <w:rPr>
          <w:rFonts w:ascii="宋体" w:hAnsi="宋体"/>
          <w:color w:val="000000" w:themeColor="text1"/>
          <w:sz w:val="24"/>
          <w:highlight w:val="none"/>
          <w:lang w:val="zh-CN"/>
          <w14:textFill>
            <w14:solidFill>
              <w14:schemeClr w14:val="tx1"/>
            </w14:solidFill>
          </w14:textFill>
        </w:rPr>
        <w:t>.6</w:t>
      </w:r>
      <w:r>
        <w:rPr>
          <w:rFonts w:hint="eastAsia" w:ascii="宋体" w:hAnsi="宋体"/>
          <w:color w:val="000000" w:themeColor="text1"/>
          <w:sz w:val="24"/>
          <w:highlight w:val="none"/>
          <w:lang w:val="zh-CN"/>
          <w14:textFill>
            <w14:solidFill>
              <w14:schemeClr w14:val="tx1"/>
            </w14:solidFill>
          </w14:textFill>
        </w:rPr>
        <w:t xml:space="preserve"> 供应商应在磋商响应文件中写清相应的项目编号、项目名称、供应商全称、地址、电话、传真等。</w:t>
      </w:r>
    </w:p>
    <w:p w14:paraId="0017347A">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10.响应性文件的组成</w:t>
      </w:r>
    </w:p>
    <w:p w14:paraId="5FE70CF8">
      <w:pPr>
        <w:autoSpaceDE w:val="0"/>
        <w:autoSpaceDN w:val="0"/>
        <w:adjustRightInd w:val="0"/>
        <w:spacing w:line="360" w:lineRule="auto"/>
        <w:ind w:firstLine="420"/>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10</w:t>
      </w:r>
      <w:r>
        <w:rPr>
          <w:rFonts w:ascii="宋体" w:hAnsi="宋体"/>
          <w:color w:val="000000" w:themeColor="text1"/>
          <w:sz w:val="24"/>
          <w:highlight w:val="none"/>
          <w:lang w:val="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供应商应当根据竞争性磋商文件要求编制磋商响应文件，并根据自己的商务能力、技术水平对竞争性磋商文件提出的要求和条件逐条标明是否响应。</w:t>
      </w:r>
    </w:p>
    <w:p w14:paraId="40A8B540">
      <w:pPr>
        <w:spacing w:line="360" w:lineRule="auto"/>
        <w:ind w:firstLine="42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10.2</w:t>
      </w:r>
      <w:r>
        <w:rPr>
          <w:rFonts w:hint="eastAsia" w:ascii="宋体" w:hAnsi="宋体"/>
          <w:color w:val="000000" w:themeColor="text1"/>
          <w:sz w:val="24"/>
          <w:highlight w:val="none"/>
          <w:lang w:val="zh-CN"/>
          <w14:textFill>
            <w14:solidFill>
              <w14:schemeClr w14:val="tx1"/>
            </w14:solidFill>
          </w14:textFill>
        </w:rPr>
        <w:t>磋商响应文件由商务部分、技术部分、价格部分，以及其他部分组成。</w:t>
      </w:r>
    </w:p>
    <w:p w14:paraId="15ADD61E">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11. 响应性文件的商务部分</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zh-CN"/>
          <w14:textFill>
            <w14:solidFill>
              <w14:schemeClr w14:val="tx1"/>
            </w14:solidFill>
          </w14:textFill>
        </w:rPr>
        <w:t xml:space="preserve"> 商务部分是证明供应商有资格参加磋商和成交后有能力履行合同的文件，</w:t>
      </w:r>
      <w:r>
        <w:rPr>
          <w:rFonts w:hint="eastAsia" w:ascii="宋体" w:hAnsi="宋体"/>
          <w:color w:val="000000" w:themeColor="text1"/>
          <w:sz w:val="24"/>
          <w:highlight w:val="none"/>
          <w14:textFill>
            <w14:solidFill>
              <w14:schemeClr w14:val="tx1"/>
            </w14:solidFill>
          </w14:textFill>
        </w:rPr>
        <w:t>这些文件应能满足竞争性磋商采购的要求</w:t>
      </w:r>
      <w:r>
        <w:rPr>
          <w:rFonts w:hint="eastAsia" w:ascii="宋体" w:hAnsi="宋体"/>
          <w:color w:val="000000" w:themeColor="text1"/>
          <w:sz w:val="24"/>
          <w:highlight w:val="none"/>
          <w:lang w:val="zh-CN"/>
          <w14:textFill>
            <w14:solidFill>
              <w14:schemeClr w14:val="tx1"/>
            </w14:solidFill>
          </w14:textFill>
        </w:rPr>
        <w:t>，包括但不限于下列文件，其中加</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zh-CN"/>
          <w14:textFill>
            <w14:solidFill>
              <w14:schemeClr w14:val="tx1"/>
            </w14:solidFill>
          </w14:textFill>
        </w:rPr>
        <w:t>项目不得有缺失或无效，否则视为无效投标。</w:t>
      </w:r>
    </w:p>
    <w:p w14:paraId="7279F8B0">
      <w:pPr>
        <w:widowControl/>
        <w:spacing w:line="360" w:lineRule="auto"/>
        <w:ind w:firstLine="480" w:firstLineChars="20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zh-CN"/>
          <w14:textFill>
            <w14:solidFill>
              <w14:schemeClr w14:val="tx1"/>
            </w14:solidFill>
          </w14:textFill>
        </w:rPr>
        <w:t>第二章4.1满足《中华人民共和国政府采购法》第二十二条规定</w:t>
      </w:r>
      <w:r>
        <w:rPr>
          <w:rFonts w:hint="eastAsia" w:ascii="宋体" w:hAnsi="宋体"/>
          <w:color w:val="000000" w:themeColor="text1"/>
          <w:sz w:val="24"/>
          <w:highlight w:val="none"/>
          <w:lang w:val="en-US" w:eastAsia="zh-CN"/>
          <w14:textFill>
            <w14:solidFill>
              <w14:schemeClr w14:val="tx1"/>
            </w14:solidFill>
          </w14:textFill>
        </w:rPr>
        <w:t>证明文件</w:t>
      </w:r>
      <w:r>
        <w:rPr>
          <w:rFonts w:hint="eastAsia" w:ascii="宋体" w:hAnsi="宋体"/>
          <w:color w:val="000000" w:themeColor="text1"/>
          <w:sz w:val="24"/>
          <w:highlight w:val="none"/>
          <w:lang w:val="zh-CN"/>
          <w14:textFill>
            <w14:solidFill>
              <w14:schemeClr w14:val="tx1"/>
            </w14:solidFill>
          </w14:textFill>
        </w:rPr>
        <w:t>；</w:t>
      </w:r>
    </w:p>
    <w:p w14:paraId="67708F7C">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第二章4.</w:t>
      </w:r>
      <w:r>
        <w:rPr>
          <w:rFonts w:hint="eastAsia" w:ascii="宋体" w:hAnsi="宋体"/>
          <w:color w:val="000000" w:themeColor="text1"/>
          <w:sz w:val="24"/>
          <w:highlight w:val="none"/>
          <w:lang w:val="zh-CN"/>
          <w14:textFill>
            <w14:solidFill>
              <w14:schemeClr w14:val="tx1"/>
            </w14:solidFill>
          </w14:textFill>
        </w:rPr>
        <w:t>2采购人根据采购项目的特殊要求规定的特定条件</w:t>
      </w:r>
      <w:r>
        <w:rPr>
          <w:rFonts w:hint="eastAsia" w:ascii="宋体" w:hAnsi="宋体"/>
          <w:color w:val="000000" w:themeColor="text1"/>
          <w:sz w:val="24"/>
          <w:highlight w:val="none"/>
          <w:lang w:val="en-US" w:eastAsia="zh-CN"/>
          <w14:textFill>
            <w14:solidFill>
              <w14:schemeClr w14:val="tx1"/>
            </w14:solidFill>
          </w14:textFill>
        </w:rPr>
        <w:t>证明文件</w:t>
      </w:r>
      <w:r>
        <w:rPr>
          <w:rFonts w:hint="eastAsia" w:ascii="宋体" w:hAnsi="宋体"/>
          <w:color w:val="000000" w:themeColor="text1"/>
          <w:sz w:val="24"/>
          <w:highlight w:val="none"/>
          <w:lang w:val="zh-CN"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如有</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w:t>
      </w:r>
    </w:p>
    <w:p w14:paraId="37E62F18">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磋商申请及声明；</w:t>
      </w:r>
    </w:p>
    <w:p w14:paraId="2EC5BCAF">
      <w:pPr>
        <w:widowControl/>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（4）法定代表人授权书原件、法定代表人和授权代表身份证复印件；</w:t>
      </w:r>
    </w:p>
    <w:p w14:paraId="6569456D">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《磋商报价汇总表》；</w:t>
      </w:r>
    </w:p>
    <w:p w14:paraId="47E453C4">
      <w:pPr>
        <w:spacing w:line="360" w:lineRule="auto"/>
        <w:ind w:firstLine="480" w:firstLineChars="200"/>
        <w:jc w:val="left"/>
        <w:rPr>
          <w:rFonts w:ascii="宋体" w:hAnsi="宋体" w:cs="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南京市政府采购供应商信用记录表暨信用承诺书；</w:t>
      </w:r>
      <w:r>
        <w:rPr>
          <w:rFonts w:hint="eastAsia" w:ascii="宋体" w:hAnsi="宋体" w:cs="宋体"/>
          <w:b/>
          <w:color w:val="000000" w:themeColor="text1"/>
          <w:sz w:val="24"/>
          <w:highlight w:val="none"/>
          <w:lang w:val="zh-CN"/>
          <w14:textFill>
            <w14:solidFill>
              <w14:schemeClr w14:val="tx1"/>
            </w14:solidFill>
          </w14:textFill>
        </w:rPr>
        <w:t>本表打印时间必须在采购文件发布之日起至提交响应文件截止日前。</w:t>
      </w:r>
    </w:p>
    <w:p w14:paraId="0600965C">
      <w:pPr>
        <w:spacing w:line="360" w:lineRule="auto"/>
        <w:ind w:firstLine="480"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★售后服务承诺书</w:t>
      </w:r>
    </w:p>
    <w:p w14:paraId="7F099191">
      <w:pPr>
        <w:spacing w:line="360" w:lineRule="auto"/>
        <w:ind w:firstLine="482" w:firstLineChars="20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（8）★商务条款偏离表</w:t>
      </w:r>
    </w:p>
    <w:p w14:paraId="5A157F37">
      <w:pPr>
        <w:spacing w:line="360" w:lineRule="auto"/>
        <w:ind w:firstLine="482" w:firstLineChars="200"/>
        <w:jc w:val="left"/>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9</w:t>
      </w:r>
      <w:r>
        <w:rPr>
          <w:rFonts w:hint="eastAsia" w:ascii="宋体" w:hAnsi="宋体"/>
          <w:b/>
          <w:color w:val="000000" w:themeColor="text1"/>
          <w:sz w:val="24"/>
          <w:highlight w:val="none"/>
          <w:lang w:eastAsia="zh-CN"/>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委托代理人</w:t>
      </w:r>
      <w:r>
        <w:rPr>
          <w:rFonts w:cs="宋体"/>
          <w:color w:val="000000" w:themeColor="text1"/>
          <w:sz w:val="24"/>
          <w:highlight w:val="none"/>
          <w14:textFill>
            <w14:solidFill>
              <w14:schemeClr w14:val="tx1"/>
            </w14:solidFill>
          </w14:textFill>
        </w:rPr>
        <w:t>社保机构出具的近半年</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202</w:t>
      </w:r>
      <w:r>
        <w:rPr>
          <w:rFonts w:hint="eastAsia" w:cs="宋体"/>
          <w:color w:val="000000" w:themeColor="text1"/>
          <w:sz w:val="24"/>
          <w:highlight w:val="none"/>
          <w:lang w:val="en-US" w:eastAsia="zh-CN"/>
          <w14:textFill>
            <w14:solidFill>
              <w14:schemeClr w14:val="tx1"/>
            </w14:solidFill>
          </w14:textFill>
        </w:rPr>
        <w:t>5</w:t>
      </w:r>
      <w:r>
        <w:rPr>
          <w:rFonts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10</w:t>
      </w:r>
      <w:r>
        <w:rPr>
          <w:rFonts w:cs="宋体"/>
          <w:color w:val="000000" w:themeColor="text1"/>
          <w:sz w:val="24"/>
          <w:highlight w:val="none"/>
          <w14:textFill>
            <w14:solidFill>
              <w14:schemeClr w14:val="tx1"/>
            </w14:solidFill>
          </w14:textFill>
        </w:rPr>
        <w:t>月-202</w:t>
      </w:r>
      <w:r>
        <w:rPr>
          <w:rFonts w:hint="eastAsia" w:cs="宋体"/>
          <w:color w:val="000000" w:themeColor="text1"/>
          <w:sz w:val="24"/>
          <w:highlight w:val="none"/>
          <w:lang w:val="en-US" w:eastAsia="zh-CN"/>
          <w14:textFill>
            <w14:solidFill>
              <w14:schemeClr w14:val="tx1"/>
            </w14:solidFill>
          </w14:textFill>
        </w:rPr>
        <w:t>6</w:t>
      </w:r>
      <w:r>
        <w:rPr>
          <w:rFonts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3</w:t>
      </w:r>
      <w:r>
        <w:rPr>
          <w:rFonts w:cs="宋体"/>
          <w:color w:val="000000" w:themeColor="text1"/>
          <w:sz w:val="24"/>
          <w:highlight w:val="none"/>
          <w14:textFill>
            <w14:solidFill>
              <w14:schemeClr w14:val="tx1"/>
            </w14:solidFill>
          </w14:textFill>
        </w:rPr>
        <w:t>月</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投标申请人为其缴纳的养老保险缴费证明材料</w:t>
      </w:r>
    </w:p>
    <w:p w14:paraId="7BBFF51B">
      <w:pPr>
        <w:spacing w:line="360" w:lineRule="auto"/>
        <w:ind w:firstLine="480" w:firstLineChars="200"/>
        <w:jc w:val="left"/>
        <w:rPr>
          <w:rFonts w:ascii="宋体" w:hAnsi="宋体" w:cs="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响应供应商认为需要提供的其他证明文件和商务资料。</w:t>
      </w:r>
    </w:p>
    <w:p w14:paraId="1D821802">
      <w:pPr>
        <w:autoSpaceDE w:val="0"/>
        <w:autoSpaceDN w:val="0"/>
        <w:adjustRightInd w:val="0"/>
        <w:spacing w:line="360" w:lineRule="auto"/>
        <w:ind w:firstLine="420"/>
        <w:jc w:val="lef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响应货物如果属于节能产品和环境标志产品，应在响应文件中予以明确标注，并提供相应证书的复印件。否则，磋商评审时不予认可。</w:t>
      </w:r>
    </w:p>
    <w:p w14:paraId="3AE81E17">
      <w:pPr>
        <w:spacing w:line="360" w:lineRule="auto"/>
        <w:ind w:firstLine="42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12.报价部分</w:t>
      </w:r>
    </w:p>
    <w:p w14:paraId="391A4A3B">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12</w:t>
      </w:r>
      <w:r>
        <w:rPr>
          <w:rFonts w:ascii="宋体" w:hAnsi="宋体"/>
          <w:color w:val="000000" w:themeColor="text1"/>
          <w:sz w:val="24"/>
          <w:highlight w:val="none"/>
          <w:lang w:val="zh-CN"/>
          <w14:textFill>
            <w14:solidFill>
              <w14:schemeClr w14:val="tx1"/>
            </w14:solidFill>
          </w14:textFill>
        </w:rPr>
        <w:t>.1</w:t>
      </w:r>
      <w:r>
        <w:rPr>
          <w:rFonts w:hint="eastAsia" w:ascii="宋体" w:hAnsi="宋体"/>
          <w:color w:val="000000" w:themeColor="text1"/>
          <w:sz w:val="24"/>
          <w:highlight w:val="none"/>
          <w:lang w:val="zh-CN"/>
          <w14:textFill>
            <w14:solidFill>
              <w14:schemeClr w14:val="tx1"/>
            </w14:solidFill>
          </w14:textFill>
        </w:rPr>
        <w:t>价格部分是对货物和服务价格构成的说明，竞争性磋商文件如没有特别说明的话，对每一项货物和服务仅接受一个价格。</w:t>
      </w:r>
    </w:p>
    <w:p w14:paraId="30B5E4F7">
      <w:pPr>
        <w:spacing w:line="360" w:lineRule="auto"/>
        <w:ind w:firstLine="523" w:firstLineChars="218"/>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12</w:t>
      </w: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磋商</w:t>
      </w:r>
      <w:r>
        <w:rPr>
          <w:rFonts w:hint="eastAsia" w:ascii="宋体" w:hAnsi="宋体" w:cs="宋体"/>
          <w:color w:val="000000" w:themeColor="text1"/>
          <w:kern w:val="0"/>
          <w:sz w:val="24"/>
          <w:highlight w:val="none"/>
          <w14:textFill>
            <w14:solidFill>
              <w14:schemeClr w14:val="tx1"/>
            </w14:solidFill>
          </w14:textFill>
        </w:rPr>
        <w:t>报价是磋商文件所确定的采购范围内的全部货物或服务的价格体现。磋商报价：包括但不限于人员劳资、交通费、风险评估费等，应包括供应商为完成编制任务所承担的全部费用、利润、税金、政策性文件规定及及合同包含内的所有风险、责任等各项应有费用，不论其在采购文件中是否有提及。响应供应商应根据上述因素自行考虑磋商报价</w:t>
      </w:r>
      <w:r>
        <w:rPr>
          <w:rFonts w:hint="eastAsia" w:ascii="宋体" w:hAnsi="宋体" w:cs="宋体"/>
          <w:color w:val="000000" w:themeColor="text1"/>
          <w:kern w:val="0"/>
          <w:sz w:val="24"/>
          <w:highlight w:val="none"/>
          <w:lang w:val="zh-CN"/>
          <w14:textFill>
            <w14:solidFill>
              <w14:schemeClr w14:val="tx1"/>
            </w14:solidFill>
          </w14:textFill>
        </w:rPr>
        <w:t>。</w:t>
      </w:r>
    </w:p>
    <w:p w14:paraId="6BC499DB">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12.3磋商供应商</w:t>
      </w:r>
      <w:r>
        <w:rPr>
          <w:rFonts w:hint="eastAsia" w:ascii="宋体" w:hAnsi="宋体"/>
          <w:color w:val="000000" w:themeColor="text1"/>
          <w:sz w:val="24"/>
          <w:highlight w:val="none"/>
          <w:lang w:val="zh-CN"/>
          <w14:textFill>
            <w14:solidFill>
              <w14:schemeClr w14:val="tx1"/>
            </w14:solidFill>
          </w14:textFill>
        </w:rPr>
        <w:t>应在《磋商报价汇总表》等中标明拟提供货物和服务的单价、总价以及分项报价。</w:t>
      </w:r>
    </w:p>
    <w:p w14:paraId="433B633D">
      <w:pPr>
        <w:snapToGrid w:val="0"/>
        <w:spacing w:line="360" w:lineRule="auto"/>
        <w:ind w:firstLine="480" w:firstLineChars="200"/>
        <w:jc w:val="left"/>
        <w:rPr>
          <w:rFonts w:ascii="宋体" w:hAnsi="宋体"/>
          <w:b/>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w:t>
      </w:r>
      <w:r>
        <w:rPr>
          <w:rFonts w:hint="eastAsia" w:ascii="宋体" w:hAnsi="宋体"/>
          <w:b/>
          <w:color w:val="000000" w:themeColor="text1"/>
          <w:sz w:val="24"/>
          <w:highlight w:val="none"/>
          <w:lang w:val="zh-CN"/>
          <w14:textFill>
            <w14:solidFill>
              <w14:schemeClr w14:val="tx1"/>
            </w14:solidFill>
          </w14:textFill>
        </w:rPr>
        <w:t>供应商应充分考虑到市场价格变动，以及项目实施过程中的不可预见因素，一旦成交，</w:t>
      </w:r>
      <w:r>
        <w:rPr>
          <w:rFonts w:hint="eastAsia" w:ascii="宋体" w:hAnsi="宋体"/>
          <w:b/>
          <w:color w:val="000000" w:themeColor="text1"/>
          <w:sz w:val="24"/>
          <w:highlight w:val="none"/>
          <w14:textFill>
            <w14:solidFill>
              <w14:schemeClr w14:val="tx1"/>
            </w14:solidFill>
          </w14:textFill>
        </w:rPr>
        <w:t>总价</w:t>
      </w:r>
      <w:r>
        <w:rPr>
          <w:rFonts w:hint="eastAsia" w:ascii="宋体" w:hAnsi="宋体"/>
          <w:b/>
          <w:color w:val="000000" w:themeColor="text1"/>
          <w:sz w:val="24"/>
          <w:highlight w:val="none"/>
          <w:lang w:val="zh-CN"/>
          <w14:textFill>
            <w14:solidFill>
              <w14:schemeClr w14:val="tx1"/>
            </w14:solidFill>
          </w14:textFill>
        </w:rPr>
        <w:t>不变。如果有漏项，视同让利。</w:t>
      </w:r>
    </w:p>
    <w:p w14:paraId="63083F0E">
      <w:pPr>
        <w:snapToGrid w:val="0"/>
        <w:spacing w:line="360" w:lineRule="auto"/>
        <w:ind w:firstLine="482" w:firstLineChars="200"/>
        <w:jc w:val="left"/>
        <w:rPr>
          <w:rFonts w:ascii="宋体" w:hAnsi="宋体"/>
          <w:b/>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12.5本次磋商将采用二轮报价的形式，磋商申请单位需委派授权代表准时参加报价，否则视为放弃报价。经磋商后，如果成交价低于供应商在磋商响应文件报价的话，分项报价同比例调整。以供应商的最后报价作为价格评分依据。</w:t>
      </w:r>
    </w:p>
    <w:p w14:paraId="4F1A7BCF">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12.6报价表必须由供应商法人代表或委托授权人签字、或加盖单位公章。如有优惠条款，请单独列明，但不得影响报价，影响货物或服务整体功能。</w:t>
      </w:r>
    </w:p>
    <w:p w14:paraId="30F4A9DC">
      <w:pPr>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12.7 政府采购提倡公平竞争，反对盲目压价参与磋商，任何盲目压价和低于成本报价将会被拒绝。</w:t>
      </w:r>
    </w:p>
    <w:p w14:paraId="24F37811">
      <w:pPr>
        <w:spacing w:line="360" w:lineRule="auto"/>
        <w:ind w:firstLine="482" w:firstLineChars="200"/>
        <w:jc w:val="left"/>
        <w:rPr>
          <w:rFonts w:ascii="宋体" w:hAnsi="宋体" w:cs="宋体"/>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13.技术部分。</w:t>
      </w:r>
      <w:r>
        <w:rPr>
          <w:rFonts w:hint="eastAsia" w:ascii="宋体" w:hAnsi="宋体"/>
          <w:color w:val="000000" w:themeColor="text1"/>
          <w:sz w:val="24"/>
          <w:highlight w:val="none"/>
          <w:lang w:val="zh-CN"/>
          <w14:textFill>
            <w14:solidFill>
              <w14:schemeClr w14:val="tx1"/>
            </w14:solidFill>
          </w14:textFill>
        </w:rPr>
        <w:t>技术部分是证明</w:t>
      </w:r>
      <w:r>
        <w:rPr>
          <w:rFonts w:hint="eastAsia" w:ascii="宋体" w:hAnsi="宋体"/>
          <w:color w:val="000000" w:themeColor="text1"/>
          <w:sz w:val="24"/>
          <w:highlight w:val="none"/>
          <w14:textFill>
            <w14:solidFill>
              <w14:schemeClr w14:val="tx1"/>
            </w14:solidFill>
          </w14:textFill>
        </w:rPr>
        <w:t>供应商提供的货物和服务是合格的、并符合竞争性磋商文件要求的证明文件，以及</w:t>
      </w:r>
      <w:r>
        <w:rPr>
          <w:rFonts w:hint="eastAsia" w:ascii="宋体" w:hAnsi="宋体"/>
          <w:color w:val="000000" w:themeColor="text1"/>
          <w:sz w:val="24"/>
          <w:highlight w:val="none"/>
          <w:lang w:val="zh-CN"/>
          <w14:textFill>
            <w14:solidFill>
              <w14:schemeClr w14:val="tx1"/>
            </w14:solidFill>
          </w14:textFill>
        </w:rPr>
        <w:t>对货物和服务的详细说明，这些文件可以是文字资料、图纸和数据等。提供的货物如与竞争性磋商文件要求有不符之处，应说明其差别之所在。包括但不限于下列文件，其中加</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zh-CN"/>
          <w14:textFill>
            <w14:solidFill>
              <w14:schemeClr w14:val="tx1"/>
            </w14:solidFill>
          </w14:textFill>
        </w:rPr>
        <w:t>项目不得有缺失或无效，否则视为无效投标。</w:t>
      </w:r>
      <w:bookmarkStart w:id="35" w:name="_Toc2828"/>
      <w:bookmarkStart w:id="36" w:name="_Toc30540"/>
      <w:bookmarkStart w:id="37" w:name="_Toc3276"/>
      <w:bookmarkStart w:id="38" w:name="_Toc7114"/>
      <w:bookmarkStart w:id="39" w:name="_Toc9308"/>
      <w:bookmarkStart w:id="40" w:name="_Toc9610"/>
      <w:bookmarkStart w:id="41" w:name="_Toc25408"/>
      <w:bookmarkStart w:id="42" w:name="_Toc503338389"/>
      <w:bookmarkStart w:id="43" w:name="_Toc3868"/>
      <w:bookmarkStart w:id="44" w:name="_Toc14815"/>
      <w:bookmarkStart w:id="45" w:name="_Toc1018"/>
    </w:p>
    <w:p w14:paraId="79D6BD3B">
      <w:pPr>
        <w:tabs>
          <w:tab w:val="left" w:pos="732"/>
        </w:tabs>
        <w:autoSpaceDE w:val="0"/>
        <w:autoSpaceDN w:val="0"/>
        <w:adjustRightInd w:val="0"/>
        <w:spacing w:line="360" w:lineRule="auto"/>
        <w:ind w:firstLine="480" w:firstLineChars="20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zh-CN"/>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zh-CN"/>
          <w14:textFill>
            <w14:solidFill>
              <w14:schemeClr w14:val="tx1"/>
            </w14:solidFill>
          </w14:textFill>
        </w:rPr>
        <w:t>项目组成员一览表；</w:t>
      </w:r>
    </w:p>
    <w:p w14:paraId="55A0E27B">
      <w:pPr>
        <w:autoSpaceDE w:val="0"/>
        <w:autoSpaceDN w:val="0"/>
        <w:adjustRightInd w:val="0"/>
        <w:spacing w:line="360" w:lineRule="auto"/>
        <w:ind w:firstLine="480" w:firstLineChars="20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lang w:val="zh-CN"/>
          <w14:textFill>
            <w14:solidFill>
              <w14:schemeClr w14:val="tx1"/>
            </w14:solidFill>
          </w14:textFill>
        </w:rPr>
        <w:t>方案；</w:t>
      </w:r>
    </w:p>
    <w:p w14:paraId="4711DBAB">
      <w:pPr>
        <w:autoSpaceDE w:val="0"/>
        <w:autoSpaceDN w:val="0"/>
        <w:adjustRightInd w:val="0"/>
        <w:spacing w:line="360" w:lineRule="auto"/>
        <w:ind w:firstLine="480" w:firstLineChars="20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zh-CN"/>
          <w14:textFill>
            <w14:solidFill>
              <w14:schemeClr w14:val="tx1"/>
            </w14:solidFill>
          </w14:textFill>
        </w:rPr>
        <w:t>技术条款偏离表</w:t>
      </w:r>
    </w:p>
    <w:p w14:paraId="646C50C4">
      <w:pPr>
        <w:autoSpaceDE w:val="0"/>
        <w:autoSpaceDN w:val="0"/>
        <w:adjustRightInd w:val="0"/>
        <w:spacing w:line="360" w:lineRule="auto"/>
        <w:ind w:firstLine="420"/>
        <w:jc w:val="left"/>
        <w:rPr>
          <w:rFonts w:ascii="宋体" w:hAnsi="宋体" w:cs="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供应商认为需要提供的其他技术文件或资料等。</w:t>
      </w:r>
    </w:p>
    <w:p w14:paraId="38B4F78B">
      <w:pPr>
        <w:spacing w:line="360" w:lineRule="auto"/>
        <w:ind w:firstLine="482" w:firstLineChars="200"/>
        <w:jc w:val="left"/>
        <w:outlineLvl w:val="1"/>
        <w:rPr>
          <w:rFonts w:ascii="宋体" w:hAnsi="宋体"/>
          <w:b/>
          <w:color w:val="000000" w:themeColor="text1"/>
          <w:sz w:val="24"/>
          <w:highlight w:val="none"/>
          <w14:textFill>
            <w14:solidFill>
              <w14:schemeClr w14:val="tx1"/>
            </w14:solidFill>
          </w14:textFill>
        </w:rPr>
      </w:pPr>
      <w:bookmarkStart w:id="46" w:name="_Toc185323375"/>
      <w:bookmarkStart w:id="47" w:name="_Toc28198"/>
      <w:r>
        <w:rPr>
          <w:rFonts w:hint="eastAsia" w:ascii="宋体" w:hAnsi="宋体"/>
          <w:b/>
          <w:color w:val="000000" w:themeColor="text1"/>
          <w:sz w:val="24"/>
          <w:highlight w:val="none"/>
          <w14:textFill>
            <w14:solidFill>
              <w14:schemeClr w14:val="tx1"/>
            </w14:solidFill>
          </w14:textFill>
        </w:rPr>
        <w:t>三、响应性文件递交</w:t>
      </w:r>
      <w:bookmarkEnd w:id="35"/>
      <w:bookmarkEnd w:id="36"/>
      <w:bookmarkEnd w:id="37"/>
      <w:bookmarkEnd w:id="38"/>
      <w:bookmarkEnd w:id="39"/>
      <w:bookmarkEnd w:id="40"/>
      <w:bookmarkEnd w:id="41"/>
      <w:bookmarkEnd w:id="42"/>
      <w:bookmarkEnd w:id="43"/>
      <w:bookmarkEnd w:id="44"/>
      <w:bookmarkEnd w:id="45"/>
      <w:bookmarkEnd w:id="46"/>
      <w:bookmarkEnd w:id="47"/>
    </w:p>
    <w:p w14:paraId="258080D5">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14.响应性文件应由授权委托人在规定时间内递交至采购</w:t>
      </w:r>
      <w:r>
        <w:rPr>
          <w:rFonts w:hint="eastAsia" w:ascii="宋体" w:hAnsi="宋体"/>
          <w:color w:val="000000" w:themeColor="text1"/>
          <w:sz w:val="24"/>
          <w:highlight w:val="none"/>
          <w:lang w:val="zh-CN"/>
          <w14:textFill>
            <w14:solidFill>
              <w14:schemeClr w14:val="tx1"/>
            </w14:solidFill>
          </w14:textFill>
        </w:rPr>
        <w:t>代理机构</w:t>
      </w:r>
      <w:r>
        <w:rPr>
          <w:rFonts w:hint="eastAsia" w:ascii="宋体" w:hAnsi="宋体"/>
          <w:color w:val="000000" w:themeColor="text1"/>
          <w:sz w:val="24"/>
          <w:highlight w:val="none"/>
          <w14:textFill>
            <w14:solidFill>
              <w14:schemeClr w14:val="tx1"/>
            </w14:solidFill>
          </w14:textFill>
        </w:rPr>
        <w:t>指定的地点。</w:t>
      </w:r>
    </w:p>
    <w:p w14:paraId="66458C54">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15.响应性文件须装订成册，密封封装，封面注明项目编号、项目名称、供应商名称、地址、电话等。响应性文件须提供正本</w:t>
      </w:r>
      <w:r>
        <w:rPr>
          <w:rFonts w:hint="eastAsia" w:ascii="宋体" w:hAnsi="宋体"/>
          <w:b/>
          <w:color w:val="000000" w:themeColor="text1"/>
          <w:sz w:val="24"/>
          <w:highlight w:val="none"/>
          <w14:textFill>
            <w14:solidFill>
              <w14:schemeClr w14:val="tx1"/>
            </w14:solidFill>
          </w14:textFill>
        </w:rPr>
        <w:t>壹</w:t>
      </w:r>
      <w:r>
        <w:rPr>
          <w:rFonts w:hint="eastAsia" w:ascii="宋体" w:hAnsi="宋体"/>
          <w:color w:val="000000" w:themeColor="text1"/>
          <w:sz w:val="24"/>
          <w:highlight w:val="none"/>
          <w14:textFill>
            <w14:solidFill>
              <w14:schemeClr w14:val="tx1"/>
            </w14:solidFill>
          </w14:textFill>
        </w:rPr>
        <w:t>份、副本</w:t>
      </w:r>
      <w:r>
        <w:rPr>
          <w:rFonts w:hint="eastAsia" w:ascii="宋体" w:hAnsi="宋体"/>
          <w:b/>
          <w:color w:val="000000" w:themeColor="text1"/>
          <w:sz w:val="24"/>
          <w:highlight w:val="none"/>
          <w14:textFill>
            <w14:solidFill>
              <w14:schemeClr w14:val="tx1"/>
            </w14:solidFill>
          </w14:textFill>
        </w:rPr>
        <w:t>贰</w:t>
      </w:r>
      <w:r>
        <w:rPr>
          <w:rFonts w:hint="eastAsia" w:ascii="宋体" w:hAnsi="宋体"/>
          <w:color w:val="000000" w:themeColor="text1"/>
          <w:sz w:val="24"/>
          <w:highlight w:val="none"/>
          <w14:textFill>
            <w14:solidFill>
              <w14:schemeClr w14:val="tx1"/>
            </w14:solidFill>
          </w14:textFill>
        </w:rPr>
        <w:t>份，且须法人代表或授权代表签署。</w:t>
      </w:r>
    </w:p>
    <w:p w14:paraId="25F34B80">
      <w:pPr>
        <w:autoSpaceDE w:val="0"/>
        <w:autoSpaceDN w:val="0"/>
        <w:adjustRightInd w:val="0"/>
        <w:spacing w:line="360" w:lineRule="auto"/>
        <w:ind w:firstLine="420"/>
        <w:jc w:val="left"/>
        <w:rPr>
          <w:rFonts w:ascii="宋体" w:hAnsi="宋体"/>
          <w:b/>
          <w:bCs/>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w:t>
      </w:r>
      <w:r>
        <w:rPr>
          <w:rFonts w:hint="eastAsia" w:ascii="宋体" w:hAnsi="宋体"/>
          <w:b/>
          <w:bCs/>
          <w:color w:val="000000" w:themeColor="text1"/>
          <w:sz w:val="24"/>
          <w:highlight w:val="none"/>
          <w:lang w:val="zh-CN"/>
          <w14:textFill>
            <w14:solidFill>
              <w14:schemeClr w14:val="tx1"/>
            </w14:solidFill>
          </w14:textFill>
        </w:rPr>
        <w:t>有下列情形之一的磋商响应文件将拒收：</w:t>
      </w:r>
    </w:p>
    <w:p w14:paraId="1B764D8A">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（1）在竞争性磋商文件要求提交磋商响应文件的截止时间之后送达的等。</w:t>
      </w:r>
    </w:p>
    <w:p w14:paraId="7FB88339">
      <w:pPr>
        <w:tabs>
          <w:tab w:val="left" w:pos="5355"/>
        </w:tabs>
        <w:autoSpaceDE w:val="0"/>
        <w:autoSpaceDN w:val="0"/>
        <w:adjustRightInd w:val="0"/>
        <w:spacing w:line="360" w:lineRule="auto"/>
        <w:ind w:firstLine="420"/>
        <w:jc w:val="left"/>
        <w:rPr>
          <w:rFonts w:ascii="宋体" w:hAnsi="宋体"/>
          <w:b/>
          <w:bCs/>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17.</w:t>
      </w:r>
      <w:r>
        <w:rPr>
          <w:rFonts w:hint="eastAsia" w:ascii="宋体" w:hAnsi="宋体"/>
          <w:b/>
          <w:bCs/>
          <w:color w:val="000000" w:themeColor="text1"/>
          <w:sz w:val="24"/>
          <w:highlight w:val="none"/>
          <w:lang w:val="zh-CN"/>
          <w14:textFill>
            <w14:solidFill>
              <w14:schemeClr w14:val="tx1"/>
            </w14:solidFill>
          </w14:textFill>
        </w:rPr>
        <w:t xml:space="preserve"> 诚实信用</w:t>
      </w:r>
    </w:p>
    <w:p w14:paraId="7E7D8ACA">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17.</w:t>
      </w:r>
      <w:r>
        <w:rPr>
          <w:rFonts w:ascii="宋体" w:hAnsi="宋体"/>
          <w:color w:val="000000" w:themeColor="text1"/>
          <w:sz w:val="24"/>
          <w:highlight w:val="none"/>
          <w:lang w:val="zh-CN"/>
          <w14:textFill>
            <w14:solidFill>
              <w14:schemeClr w14:val="tx1"/>
            </w14:solidFill>
          </w14:textFill>
        </w:rPr>
        <w:t>1</w:t>
      </w:r>
      <w:r>
        <w:rPr>
          <w:rFonts w:hint="eastAsia" w:ascii="宋体" w:hAnsi="宋体"/>
          <w:color w:val="000000" w:themeColor="text1"/>
          <w:sz w:val="24"/>
          <w:highlight w:val="none"/>
          <w:lang w:val="zh-CN"/>
          <w14:textFill>
            <w14:solidFill>
              <w14:schemeClr w14:val="tx1"/>
            </w14:solidFill>
          </w14:textFill>
        </w:rPr>
        <w:t xml:space="preserve"> 供应商之间不得相互串通报价，不得妨碍其他供应商的公平竞争，不得损害采购人或者其他供应商的合法权益。</w:t>
      </w:r>
    </w:p>
    <w:p w14:paraId="315EF36A">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17.2 供应商不得以向采购代理机构工作人员、磋商小组成员行贿或者采取其他不正当手段谋取成交。</w:t>
      </w:r>
    </w:p>
    <w:p w14:paraId="53FB6CA8">
      <w:pPr>
        <w:spacing w:line="360" w:lineRule="auto"/>
        <w:ind w:firstLine="482" w:firstLineChars="200"/>
        <w:jc w:val="left"/>
        <w:outlineLvl w:val="1"/>
        <w:rPr>
          <w:rFonts w:ascii="宋体" w:hAnsi="宋体"/>
          <w:b/>
          <w:color w:val="000000" w:themeColor="text1"/>
          <w:sz w:val="24"/>
          <w:highlight w:val="none"/>
          <w14:textFill>
            <w14:solidFill>
              <w14:schemeClr w14:val="tx1"/>
            </w14:solidFill>
          </w14:textFill>
        </w:rPr>
      </w:pPr>
      <w:bookmarkStart w:id="48" w:name="_Toc860"/>
      <w:bookmarkStart w:id="49" w:name="_Toc5353"/>
      <w:bookmarkStart w:id="50" w:name="_Toc18423"/>
      <w:bookmarkStart w:id="51" w:name="_Toc18310"/>
      <w:bookmarkStart w:id="52" w:name="_Toc503338390"/>
      <w:bookmarkStart w:id="53" w:name="_Toc16994"/>
      <w:bookmarkStart w:id="54" w:name="_Toc28875"/>
      <w:bookmarkStart w:id="55" w:name="_Toc185323376"/>
      <w:bookmarkStart w:id="56" w:name="_Toc15072"/>
      <w:bookmarkStart w:id="57" w:name="_Toc9921"/>
      <w:bookmarkStart w:id="58" w:name="_Toc18191"/>
      <w:bookmarkStart w:id="59" w:name="_Toc14571"/>
      <w:bookmarkStart w:id="60" w:name="_Toc12808"/>
      <w:r>
        <w:rPr>
          <w:rFonts w:hint="eastAsia" w:ascii="宋体" w:hAnsi="宋体"/>
          <w:b/>
          <w:color w:val="000000" w:themeColor="text1"/>
          <w:sz w:val="24"/>
          <w:highlight w:val="none"/>
          <w14:textFill>
            <w14:solidFill>
              <w14:schemeClr w14:val="tx1"/>
            </w14:solidFill>
          </w14:textFill>
        </w:rPr>
        <w:t>四、</w:t>
      </w:r>
      <w:bookmarkEnd w:id="48"/>
      <w:bookmarkEnd w:id="49"/>
      <w:bookmarkEnd w:id="50"/>
      <w:bookmarkEnd w:id="51"/>
      <w:bookmarkEnd w:id="52"/>
      <w:bookmarkEnd w:id="53"/>
      <w:bookmarkEnd w:id="54"/>
      <w:r>
        <w:rPr>
          <w:rFonts w:hint="eastAsia" w:ascii="宋体" w:hAnsi="宋体"/>
          <w:b/>
          <w:color w:val="000000" w:themeColor="text1"/>
          <w:sz w:val="24"/>
          <w:highlight w:val="none"/>
          <w14:textFill>
            <w14:solidFill>
              <w14:schemeClr w14:val="tx1"/>
            </w14:solidFill>
          </w14:textFill>
        </w:rPr>
        <w:t>磋商</w:t>
      </w:r>
      <w:bookmarkEnd w:id="55"/>
      <w:bookmarkEnd w:id="56"/>
      <w:bookmarkEnd w:id="57"/>
      <w:bookmarkEnd w:id="58"/>
      <w:bookmarkEnd w:id="59"/>
      <w:bookmarkEnd w:id="60"/>
    </w:p>
    <w:p w14:paraId="17705168">
      <w:pPr>
        <w:spacing w:line="360" w:lineRule="auto"/>
        <w:ind w:firstLine="42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w:t>
      </w:r>
      <w:r>
        <w:rPr>
          <w:rFonts w:hint="eastAsia" w:ascii="宋体" w:hAnsi="宋体"/>
          <w:color w:val="000000" w:themeColor="text1"/>
          <w:sz w:val="24"/>
          <w:highlight w:val="none"/>
          <w:lang w:val="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将按本磋商文件规定的时间和地点组织磋商小组分别与供应商进行磋商。</w:t>
      </w:r>
    </w:p>
    <w:p w14:paraId="3A04BC26">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19.磋商小组（3人以上、含3人）将由</w:t>
      </w:r>
      <w:r>
        <w:rPr>
          <w:rFonts w:hint="eastAsia" w:ascii="宋体" w:hAnsi="宋体"/>
          <w:color w:val="000000" w:themeColor="text1"/>
          <w:sz w:val="24"/>
          <w:highlight w:val="none"/>
          <w:lang w:val="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依法组织相关专家评委及采购人代表组成。</w:t>
      </w:r>
    </w:p>
    <w:p w14:paraId="3BF32EB2">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20.磋商程序</w:t>
      </w:r>
    </w:p>
    <w:p w14:paraId="0E86D129">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20.1响应性文件初审</w:t>
      </w:r>
    </w:p>
    <w:p w14:paraId="2C9511CB">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20.1.1资格性检查。依据法律法规和磋商文件的规定，对响应性文件中资格证明等进行审查，以确定磋商供应商是否具备磋商资格。</w:t>
      </w:r>
    </w:p>
    <w:p w14:paraId="385AFEE9">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20.1.2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但这些修改不能影响任何供应商相应的名次排列。</w:t>
      </w:r>
    </w:p>
    <w:p w14:paraId="0F188979">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2FA4A1DC">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0.3</w:t>
      </w:r>
      <w:r>
        <w:rPr>
          <w:rFonts w:ascii="宋体" w:hAnsi="宋体"/>
          <w:color w:val="000000" w:themeColor="text1"/>
          <w:sz w:val="24"/>
          <w:highlight w:val="none"/>
          <w:lang w:val="zh-CN"/>
          <w14:textFill>
            <w14:solidFill>
              <w14:schemeClr w14:val="tx1"/>
            </w14:solidFill>
          </w14:textFill>
        </w:rPr>
        <w:t xml:space="preserve"> 磋商小组所有成员集中与单一供应商分别就竞争性磋商采购项目的技术、商务和价格进行磋商，磋商的轮次由磋商小组决定。</w:t>
      </w:r>
    </w:p>
    <w:p w14:paraId="02B34CD8">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0</w:t>
      </w:r>
      <w:r>
        <w:rPr>
          <w:rFonts w:ascii="宋体" w:hAnsi="宋体"/>
          <w:color w:val="000000" w:themeColor="text1"/>
          <w:sz w:val="24"/>
          <w:highlight w:val="none"/>
          <w:lang w:val="zh-CN"/>
          <w14:textFill>
            <w14:solidFill>
              <w14:schemeClr w14:val="tx1"/>
            </w14:solidFill>
          </w14:textFill>
        </w:rPr>
        <w:t>.4 磋商小组制定一个符合采购人要求的最优方案，或直接根据响应性文件要求所有供应商在规定时间内作最后报价。</w:t>
      </w:r>
    </w:p>
    <w:p w14:paraId="77644115">
      <w:pPr>
        <w:autoSpaceDE w:val="0"/>
        <w:autoSpaceDN w:val="0"/>
        <w:adjustRightInd w:val="0"/>
        <w:spacing w:line="360" w:lineRule="auto"/>
        <w:ind w:firstLine="420"/>
        <w:jc w:val="left"/>
        <w:rPr>
          <w:rFonts w:ascii="宋体" w:hAnsi="宋体"/>
          <w:b/>
          <w:color w:val="000000" w:themeColor="text1"/>
          <w:sz w:val="24"/>
          <w:highlight w:val="none"/>
          <w:lang w:val="zh-CN"/>
          <w14:textFill>
            <w14:solidFill>
              <w14:schemeClr w14:val="tx1"/>
            </w14:solidFill>
          </w14:textFill>
        </w:rPr>
      </w:pPr>
      <w:r>
        <w:rPr>
          <w:rFonts w:ascii="宋体" w:hAnsi="宋体"/>
          <w:b/>
          <w:color w:val="000000" w:themeColor="text1"/>
          <w:sz w:val="24"/>
          <w:highlight w:val="none"/>
          <w:lang w:val="zh-CN"/>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lang w:val="zh-CN"/>
          <w14:textFill>
            <w14:solidFill>
              <w14:schemeClr w14:val="tx1"/>
            </w14:solidFill>
          </w14:textFill>
        </w:rPr>
        <w:t>、</w:t>
      </w:r>
      <w:r>
        <w:rPr>
          <w:rFonts w:ascii="宋体" w:hAnsi="宋体"/>
          <w:b/>
          <w:bCs/>
          <w:color w:val="000000" w:themeColor="text1"/>
          <w:kern w:val="0"/>
          <w:sz w:val="24"/>
          <w:highlight w:val="none"/>
          <w:lang w:val="zh-CN"/>
          <w14:textFill>
            <w14:solidFill>
              <w14:schemeClr w14:val="tx1"/>
            </w14:solidFill>
          </w14:textFill>
        </w:rPr>
        <w:t>评分方法和标准。</w:t>
      </w:r>
    </w:p>
    <w:p w14:paraId="006E610F">
      <w:pPr>
        <w:widowControl/>
        <w:adjustRightInd w:val="0"/>
        <w:snapToGrid w:val="0"/>
        <w:spacing w:line="360" w:lineRule="auto"/>
        <w:ind w:firstLine="480" w:firstLineChars="200"/>
        <w:jc w:val="left"/>
        <w:rPr>
          <w:rFonts w:ascii="宋体" w:hAnsi="宋体"/>
          <w:bCs/>
          <w:color w:val="000000" w:themeColor="text1"/>
          <w:kern w:val="0"/>
          <w:sz w:val="24"/>
          <w:highlight w:val="none"/>
          <w:lang w:val="zh-CN"/>
          <w14:textFill>
            <w14:solidFill>
              <w14:schemeClr w14:val="tx1"/>
            </w14:solidFill>
          </w14:textFill>
        </w:rPr>
      </w:pPr>
      <w:r>
        <w:rPr>
          <w:rFonts w:ascii="宋体" w:hAnsi="宋体"/>
          <w:bCs/>
          <w:color w:val="000000" w:themeColor="text1"/>
          <w:kern w:val="0"/>
          <w:sz w:val="24"/>
          <w:highlight w:val="none"/>
          <w:lang w:val="zh-CN"/>
          <w14:textFill>
            <w14:solidFill>
              <w14:schemeClr w14:val="tx1"/>
            </w14:solidFill>
          </w14:textFill>
        </w:rPr>
        <w:t>2</w:t>
      </w:r>
      <w:r>
        <w:rPr>
          <w:rFonts w:hint="eastAsia" w:ascii="宋体" w:hAnsi="宋体"/>
          <w:bCs/>
          <w:color w:val="000000" w:themeColor="text1"/>
          <w:kern w:val="0"/>
          <w:sz w:val="24"/>
          <w:highlight w:val="none"/>
          <w14:textFill>
            <w14:solidFill>
              <w14:schemeClr w14:val="tx1"/>
            </w14:solidFill>
          </w14:textFill>
        </w:rPr>
        <w:t>1</w:t>
      </w:r>
      <w:r>
        <w:rPr>
          <w:rFonts w:ascii="宋体" w:hAnsi="宋体"/>
          <w:bCs/>
          <w:color w:val="000000" w:themeColor="text1"/>
          <w:kern w:val="0"/>
          <w:sz w:val="24"/>
          <w:highlight w:val="none"/>
          <w:lang w:val="zh-CN"/>
          <w14:textFill>
            <w14:solidFill>
              <w14:schemeClr w14:val="tx1"/>
            </w14:solidFill>
          </w14:textFill>
        </w:rPr>
        <w:t xml:space="preserve">.1 </w:t>
      </w:r>
      <w:r>
        <w:rPr>
          <w:rFonts w:ascii="宋体" w:hAnsi="宋体"/>
          <w:color w:val="000000" w:themeColor="text1"/>
          <w:kern w:val="0"/>
          <w:sz w:val="24"/>
          <w:highlight w:val="none"/>
          <w:lang w:val="zh-CN"/>
          <w14:textFill>
            <w14:solidFill>
              <w14:schemeClr w14:val="tx1"/>
            </w14:solidFill>
          </w14:textFill>
        </w:rPr>
        <w:t>采用综合评分法。即</w:t>
      </w:r>
      <w:r>
        <w:rPr>
          <w:rFonts w:ascii="宋体" w:hAnsi="宋体"/>
          <w:color w:val="000000" w:themeColor="text1"/>
          <w:kern w:val="0"/>
          <w:sz w:val="24"/>
          <w:highlight w:val="none"/>
          <w14:textFill>
            <w14:solidFill>
              <w14:schemeClr w14:val="tx1"/>
            </w14:solidFill>
          </w14:textFill>
        </w:rPr>
        <w:t>在满足磋商文件实质性要求前提下，按照磋商文件中规定的各项因素进行综合评审后，以评审总得分最高的供应商作为成交候选供应商或者成交供应商的评分方法。</w:t>
      </w:r>
    </w:p>
    <w:p w14:paraId="0139C2FD">
      <w:pPr>
        <w:spacing w:line="360" w:lineRule="auto"/>
        <w:ind w:firstLine="480" w:firstLineChars="200"/>
        <w:jc w:val="left"/>
        <w:rPr>
          <w:rFonts w:ascii="宋体" w:hAnsi="宋体"/>
          <w:b/>
          <w:color w:val="000000" w:themeColor="text1"/>
          <w:sz w:val="24"/>
          <w:highlight w:val="none"/>
          <w14:textFill>
            <w14:solidFill>
              <w14:schemeClr w14:val="tx1"/>
            </w14:solidFill>
          </w14:textFill>
        </w:rPr>
      </w:pPr>
      <w:r>
        <w:rPr>
          <w:rFonts w:ascii="宋体" w:hAnsi="宋体"/>
          <w:bCs/>
          <w:color w:val="000000" w:themeColor="text1"/>
          <w:kern w:val="0"/>
          <w:sz w:val="24"/>
          <w:highlight w:val="none"/>
          <w:lang w:val="zh-CN"/>
          <w14:textFill>
            <w14:solidFill>
              <w14:schemeClr w14:val="tx1"/>
            </w14:solidFill>
          </w14:textFill>
        </w:rPr>
        <w:t>2</w:t>
      </w:r>
      <w:r>
        <w:rPr>
          <w:rFonts w:hint="eastAsia" w:ascii="宋体" w:hAnsi="宋体"/>
          <w:bCs/>
          <w:color w:val="000000" w:themeColor="text1"/>
          <w:kern w:val="0"/>
          <w:sz w:val="24"/>
          <w:highlight w:val="none"/>
          <w14:textFill>
            <w14:solidFill>
              <w14:schemeClr w14:val="tx1"/>
            </w14:solidFill>
          </w14:textFill>
        </w:rPr>
        <w:t>1</w:t>
      </w:r>
      <w:r>
        <w:rPr>
          <w:rFonts w:ascii="宋体" w:hAnsi="宋体"/>
          <w:bCs/>
          <w:color w:val="000000" w:themeColor="text1"/>
          <w:kern w:val="0"/>
          <w:sz w:val="24"/>
          <w:highlight w:val="none"/>
          <w:lang w:val="zh-CN"/>
          <w14:textFill>
            <w14:solidFill>
              <w14:schemeClr w14:val="tx1"/>
            </w14:solidFill>
          </w14:textFill>
        </w:rPr>
        <w:t xml:space="preserve">.2 </w:t>
      </w:r>
      <w:r>
        <w:rPr>
          <w:rFonts w:ascii="宋体" w:hAnsi="宋体"/>
          <w:color w:val="000000" w:themeColor="text1"/>
          <w:kern w:val="0"/>
          <w:sz w:val="24"/>
          <w:highlight w:val="none"/>
          <w14:textFill>
            <w14:solidFill>
              <w14:schemeClr w14:val="tx1"/>
            </w14:solidFill>
          </w14:textFill>
        </w:rPr>
        <w:t>综合评分的</w:t>
      </w:r>
      <w:r>
        <w:rPr>
          <w:rFonts w:ascii="宋体" w:hAnsi="宋体"/>
          <w:color w:val="000000" w:themeColor="text1"/>
          <w:kern w:val="0"/>
          <w:sz w:val="24"/>
          <w:highlight w:val="none"/>
          <w:lang w:val="zh-CN"/>
          <w14:textFill>
            <w14:solidFill>
              <w14:schemeClr w14:val="tx1"/>
            </w14:solidFill>
          </w14:textFill>
        </w:rPr>
        <w:t>主要因素是：</w:t>
      </w:r>
      <w:r>
        <w:rPr>
          <w:rFonts w:hint="eastAsia" w:ascii="宋体" w:hAnsi="宋体"/>
          <w:b/>
          <w:color w:val="000000" w:themeColor="text1"/>
          <w:kern w:val="0"/>
          <w:sz w:val="24"/>
          <w:highlight w:val="none"/>
          <w14:textFill>
            <w14:solidFill>
              <w14:schemeClr w14:val="tx1"/>
            </w14:solidFill>
          </w14:textFill>
        </w:rPr>
        <w:t>详见评标标准</w:t>
      </w:r>
      <w:r>
        <w:rPr>
          <w:rFonts w:ascii="宋体" w:hAnsi="宋体"/>
          <w:b/>
          <w:color w:val="000000" w:themeColor="text1"/>
          <w:sz w:val="24"/>
          <w:highlight w:val="none"/>
          <w14:textFill>
            <w14:solidFill>
              <w14:schemeClr w14:val="tx1"/>
            </w14:solidFill>
          </w14:textFill>
        </w:rPr>
        <w:t>。</w:t>
      </w:r>
    </w:p>
    <w:p w14:paraId="58C65D45">
      <w:pPr>
        <w:widowControl/>
        <w:adjustRightInd w:val="0"/>
        <w:snapToGrid w:val="0"/>
        <w:spacing w:line="360" w:lineRule="auto"/>
        <w:ind w:firstLine="480" w:firstLineChars="200"/>
        <w:jc w:val="left"/>
        <w:rPr>
          <w:rFonts w:ascii="宋体" w:hAnsi="宋体"/>
          <w:color w:val="000000" w:themeColor="text1"/>
          <w:sz w:val="24"/>
          <w:highlight w:val="none"/>
          <w:lang w:val="zh-CN"/>
          <w14:textFill>
            <w14:solidFill>
              <w14:schemeClr w14:val="tx1"/>
            </w14:solidFill>
          </w14:textFill>
        </w:rPr>
      </w:pPr>
      <w:r>
        <w:rPr>
          <w:rFonts w:ascii="宋体" w:hAnsi="宋体"/>
          <w:bCs/>
          <w:color w:val="000000" w:themeColor="text1"/>
          <w:kern w:val="0"/>
          <w:sz w:val="24"/>
          <w:highlight w:val="none"/>
          <w:lang w:val="zh-CN"/>
          <w14:textFill>
            <w14:solidFill>
              <w14:schemeClr w14:val="tx1"/>
            </w14:solidFill>
          </w14:textFill>
        </w:rPr>
        <w:t>2</w:t>
      </w:r>
      <w:r>
        <w:rPr>
          <w:rFonts w:hint="eastAsia" w:ascii="宋体" w:hAnsi="宋体"/>
          <w:bCs/>
          <w:color w:val="000000" w:themeColor="text1"/>
          <w:kern w:val="0"/>
          <w:sz w:val="24"/>
          <w:highlight w:val="none"/>
          <w14:textFill>
            <w14:solidFill>
              <w14:schemeClr w14:val="tx1"/>
            </w14:solidFill>
          </w14:textFill>
        </w:rPr>
        <w:t>1</w:t>
      </w:r>
      <w:r>
        <w:rPr>
          <w:rFonts w:ascii="宋体" w:hAnsi="宋体"/>
          <w:bCs/>
          <w:color w:val="000000" w:themeColor="text1"/>
          <w:kern w:val="0"/>
          <w:sz w:val="24"/>
          <w:highlight w:val="none"/>
          <w:lang w:val="zh-CN"/>
          <w14:textFill>
            <w14:solidFill>
              <w14:schemeClr w14:val="tx1"/>
            </w14:solidFill>
          </w14:textFill>
        </w:rPr>
        <w:t>.3</w:t>
      </w:r>
      <w:r>
        <w:rPr>
          <w:rFonts w:ascii="宋体" w:hAnsi="宋体"/>
          <w:b/>
          <w:color w:val="000000" w:themeColor="text1"/>
          <w:sz w:val="24"/>
          <w:highlight w:val="none"/>
          <w14:textFill>
            <w14:solidFill>
              <w14:schemeClr w14:val="tx1"/>
            </w14:solidFill>
          </w14:textFill>
        </w:rPr>
        <w:t>评分标准详见第四章</w:t>
      </w:r>
    </w:p>
    <w:p w14:paraId="09E105EA">
      <w:pPr>
        <w:spacing w:line="360" w:lineRule="auto"/>
        <w:ind w:firstLine="482" w:firstLineChars="200"/>
        <w:jc w:val="left"/>
        <w:outlineLvl w:val="1"/>
        <w:rPr>
          <w:rFonts w:ascii="宋体" w:hAnsi="宋体"/>
          <w:b/>
          <w:color w:val="000000" w:themeColor="text1"/>
          <w:sz w:val="24"/>
          <w:highlight w:val="none"/>
          <w14:textFill>
            <w14:solidFill>
              <w14:schemeClr w14:val="tx1"/>
            </w14:solidFill>
          </w14:textFill>
        </w:rPr>
      </w:pPr>
      <w:bookmarkStart w:id="61" w:name="_Toc26445"/>
      <w:bookmarkStart w:id="62" w:name="_Toc1346"/>
      <w:bookmarkStart w:id="63" w:name="_Toc13872"/>
      <w:bookmarkStart w:id="64" w:name="_Toc1911"/>
      <w:bookmarkStart w:id="65" w:name="_Toc503338391"/>
      <w:bookmarkStart w:id="66" w:name="_Toc639"/>
      <w:bookmarkStart w:id="67" w:name="_Toc30851"/>
      <w:bookmarkStart w:id="68" w:name="_Toc6256"/>
      <w:bookmarkStart w:id="69" w:name="_Toc31192"/>
      <w:bookmarkStart w:id="70" w:name="_Toc18780"/>
      <w:bookmarkStart w:id="71" w:name="_Toc185323377"/>
      <w:bookmarkStart w:id="72" w:name="_Toc1898"/>
      <w:bookmarkStart w:id="73" w:name="_Toc32339"/>
      <w:r>
        <w:rPr>
          <w:rFonts w:hint="eastAsia" w:ascii="宋体" w:hAnsi="宋体"/>
          <w:b/>
          <w:color w:val="000000" w:themeColor="text1"/>
          <w:sz w:val="24"/>
          <w:highlight w:val="none"/>
          <w14:textFill>
            <w14:solidFill>
              <w14:schemeClr w14:val="tx1"/>
            </w14:solidFill>
          </w14:textFill>
        </w:rPr>
        <w:t>五、无效磋商响应文件</w:t>
      </w:r>
      <w:bookmarkEnd w:id="61"/>
      <w:bookmarkEnd w:id="62"/>
      <w:bookmarkEnd w:id="63"/>
      <w:bookmarkEnd w:id="64"/>
      <w:bookmarkEnd w:id="65"/>
      <w:bookmarkEnd w:id="66"/>
      <w:bookmarkEnd w:id="67"/>
      <w:bookmarkEnd w:id="68"/>
      <w:bookmarkEnd w:id="69"/>
      <w:bookmarkEnd w:id="70"/>
      <w:bookmarkEnd w:id="71"/>
      <w:bookmarkEnd w:id="72"/>
      <w:bookmarkEnd w:id="73"/>
    </w:p>
    <w:p w14:paraId="738E8B79">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22.出现下列情形之一的供应商磋商响应文件按照无效处理：</w:t>
      </w:r>
    </w:p>
    <w:p w14:paraId="7196F9BF">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（1）未通过资格审查的；</w:t>
      </w:r>
    </w:p>
    <w:p w14:paraId="3638EADA">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（2）未实质性响应采购要求的；</w:t>
      </w:r>
    </w:p>
    <w:p w14:paraId="2991B6DF">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（3）不符合法律、法规和竞争性磋商文件规定的其他实质性要求的。</w:t>
      </w:r>
    </w:p>
    <w:p w14:paraId="604C6200">
      <w:pPr>
        <w:spacing w:line="360" w:lineRule="auto"/>
        <w:ind w:firstLine="482" w:firstLineChars="200"/>
        <w:jc w:val="left"/>
        <w:outlineLvl w:val="1"/>
        <w:rPr>
          <w:rFonts w:ascii="宋体" w:hAnsi="宋体"/>
          <w:b/>
          <w:color w:val="000000" w:themeColor="text1"/>
          <w:sz w:val="24"/>
          <w:highlight w:val="none"/>
          <w14:textFill>
            <w14:solidFill>
              <w14:schemeClr w14:val="tx1"/>
            </w14:solidFill>
          </w14:textFill>
        </w:rPr>
      </w:pPr>
      <w:bookmarkStart w:id="74" w:name="_Toc12421"/>
      <w:bookmarkStart w:id="75" w:name="_Toc693"/>
      <w:bookmarkStart w:id="76" w:name="_Toc185323378"/>
      <w:bookmarkStart w:id="77" w:name="_Toc30663"/>
      <w:bookmarkStart w:id="78" w:name="_Toc32100"/>
      <w:bookmarkStart w:id="79" w:name="_Toc503338392"/>
      <w:bookmarkStart w:id="80" w:name="_Toc26095"/>
      <w:bookmarkStart w:id="81" w:name="_Toc27412"/>
      <w:bookmarkStart w:id="82" w:name="_Toc10792"/>
      <w:bookmarkStart w:id="83" w:name="_Toc8320"/>
      <w:bookmarkStart w:id="84" w:name="_Toc9400"/>
      <w:bookmarkStart w:id="85" w:name="_Toc3994"/>
      <w:bookmarkStart w:id="86" w:name="_Toc17634"/>
      <w:r>
        <w:rPr>
          <w:rFonts w:hint="eastAsia" w:ascii="宋体" w:hAnsi="宋体"/>
          <w:b/>
          <w:color w:val="000000" w:themeColor="text1"/>
          <w:sz w:val="24"/>
          <w:highlight w:val="none"/>
          <w14:textFill>
            <w14:solidFill>
              <w14:schemeClr w14:val="tx1"/>
            </w14:solidFill>
          </w14:textFill>
        </w:rPr>
        <w:t>六、成交及合同授予</w:t>
      </w:r>
      <w:bookmarkEnd w:id="74"/>
      <w:bookmarkEnd w:id="75"/>
      <w:bookmarkEnd w:id="76"/>
      <w:bookmarkEnd w:id="77"/>
      <w:bookmarkEnd w:id="78"/>
      <w:bookmarkEnd w:id="79"/>
      <w:bookmarkEnd w:id="80"/>
      <w:bookmarkEnd w:id="81"/>
      <w:bookmarkEnd w:id="82"/>
      <w:bookmarkEnd w:id="83"/>
      <w:bookmarkEnd w:id="84"/>
      <w:bookmarkEnd w:id="85"/>
      <w:bookmarkEnd w:id="86"/>
    </w:p>
    <w:p w14:paraId="5C2C1257">
      <w:pPr>
        <w:autoSpaceDE w:val="0"/>
        <w:autoSpaceDN w:val="0"/>
        <w:adjustRightInd w:val="0"/>
        <w:spacing w:line="360" w:lineRule="auto"/>
        <w:ind w:firstLine="419" w:firstLineChars="174"/>
        <w:jc w:val="left"/>
        <w:rPr>
          <w:rFonts w:ascii="宋体" w:hAnsi="宋体"/>
          <w:b/>
          <w:bCs/>
          <w:color w:val="000000" w:themeColor="text1"/>
          <w:sz w:val="24"/>
          <w:highlight w:val="none"/>
          <w:lang w:val="zh-CN"/>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3</w:t>
      </w:r>
      <w:r>
        <w:rPr>
          <w:rFonts w:ascii="宋体" w:hAnsi="宋体"/>
          <w:b/>
          <w:bCs/>
          <w:color w:val="000000" w:themeColor="text1"/>
          <w:sz w:val="24"/>
          <w:highlight w:val="none"/>
          <w:lang w:val="zh-CN"/>
          <w14:textFill>
            <w14:solidFill>
              <w14:schemeClr w14:val="tx1"/>
            </w14:solidFill>
          </w14:textFill>
        </w:rPr>
        <w:t>、确定成交供应商</w:t>
      </w:r>
    </w:p>
    <w:p w14:paraId="6C046304">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lang w:val="zh-CN"/>
          <w14:textFill>
            <w14:solidFill>
              <w14:schemeClr w14:val="tx1"/>
            </w14:solidFill>
          </w14:textFill>
        </w:rPr>
        <w:t>.1综合比较与评价后按照得分高低顺序对供应商进行排列。</w:t>
      </w:r>
      <w:r>
        <w:rPr>
          <w:rFonts w:ascii="宋体" w:hAnsi="宋体"/>
          <w:color w:val="000000" w:themeColor="text1"/>
          <w:sz w:val="24"/>
          <w:highlight w:val="none"/>
          <w14:textFill>
            <w14:solidFill>
              <w14:schemeClr w14:val="tx1"/>
            </w14:solidFill>
          </w14:textFill>
        </w:rPr>
        <w:t>得分相同的，按磋商报价由低到高顺序排列。得分且磋商报价相同的，按技术指标优劣顺序排列。</w:t>
      </w:r>
      <w:r>
        <w:rPr>
          <w:rFonts w:ascii="宋体" w:hAnsi="宋体"/>
          <w:b/>
          <w:color w:val="000000" w:themeColor="text1"/>
          <w:sz w:val="24"/>
          <w:highlight w:val="none"/>
          <w:lang w:val="zh-CN"/>
          <w14:textFill>
            <w14:solidFill>
              <w14:schemeClr w14:val="tx1"/>
            </w14:solidFill>
          </w14:textFill>
        </w:rPr>
        <w:t>综合排名第一名的供应商确定为成交供应商。</w:t>
      </w:r>
      <w:r>
        <w:rPr>
          <w:rFonts w:ascii="宋体" w:hAnsi="宋体"/>
          <w:color w:val="000000" w:themeColor="text1"/>
          <w:sz w:val="24"/>
          <w:highlight w:val="none"/>
          <w14:textFill>
            <w14:solidFill>
              <w14:schemeClr w14:val="tx1"/>
            </w14:solidFill>
          </w14:textFill>
        </w:rPr>
        <w:t>磋商小组认为，排在前面的成交候选供应商的最低报价或者某些分项报价明显不合理或者低于成本，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79A72EA3">
      <w:pPr>
        <w:spacing w:line="360" w:lineRule="auto"/>
        <w:ind w:firstLine="480" w:firstLineChars="200"/>
        <w:jc w:val="left"/>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供应商在中标（成交）后，应按采购文件要求，将“供应商的资格要求”部分由信用承诺书替代的证明材料提交采购人或采购代理机构核验。经核验无误后，由采购人或采购代理机构发出中标（成交）通知书。</w:t>
      </w:r>
    </w:p>
    <w:p w14:paraId="7C7685D6">
      <w:pPr>
        <w:autoSpaceDE w:val="0"/>
        <w:autoSpaceDN w:val="0"/>
        <w:adjustRightInd w:val="0"/>
        <w:spacing w:line="360" w:lineRule="auto"/>
        <w:ind w:firstLine="42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lang w:val="zh-CN"/>
          <w14:textFill>
            <w14:solidFill>
              <w14:schemeClr w14:val="tx1"/>
            </w14:solidFill>
          </w14:textFill>
        </w:rPr>
        <w:t>.2 成交供应商确定后，将在原采购公告发布媒体上发布公告，向成交供应商发出成交通知书。</w:t>
      </w:r>
      <w:r>
        <w:rPr>
          <w:rFonts w:ascii="宋体" w:hAnsi="宋体"/>
          <w:color w:val="000000" w:themeColor="text1"/>
          <w:sz w:val="24"/>
          <w:highlight w:val="none"/>
          <w14:textFill>
            <w14:solidFill>
              <w14:schemeClr w14:val="tx1"/>
            </w14:solidFill>
          </w14:textFill>
        </w:rPr>
        <w:t>成交供应商应按成交通知书规定的时间、地点与采购单位、政府采购中心签订政府采购合同。</w:t>
      </w:r>
    </w:p>
    <w:p w14:paraId="097CE55C">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lang w:val="zh-CN"/>
          <w14:textFill>
            <w14:solidFill>
              <w14:schemeClr w14:val="tx1"/>
            </w14:solidFill>
          </w14:textFill>
        </w:rPr>
        <w:t>.3 成交通知书对采购人和成交供应商具有同等法律效力。</w:t>
      </w:r>
    </w:p>
    <w:p w14:paraId="0224A770">
      <w:pPr>
        <w:autoSpaceDE w:val="0"/>
        <w:autoSpaceDN w:val="0"/>
        <w:adjustRightInd w:val="0"/>
        <w:spacing w:line="360" w:lineRule="auto"/>
        <w:ind w:firstLine="42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lang w:val="zh-CN"/>
          <w14:textFill>
            <w14:solidFill>
              <w14:schemeClr w14:val="tx1"/>
            </w14:solidFill>
          </w14:textFill>
        </w:rPr>
        <w:t xml:space="preserve">.4 </w:t>
      </w:r>
      <w:r>
        <w:rPr>
          <w:rFonts w:ascii="宋体" w:hAnsi="宋体"/>
          <w:color w:val="000000" w:themeColor="text1"/>
          <w:sz w:val="24"/>
          <w:highlight w:val="none"/>
          <w14:textFill>
            <w14:solidFill>
              <w14:schemeClr w14:val="tx1"/>
            </w14:solidFill>
          </w14:textFill>
        </w:rPr>
        <w:t>成交通知书发出后，采购人或成交供应商拒绝签订合同的，拒绝签订合同的一方应至少向另一方支付中标价</w:t>
      </w:r>
      <w:r>
        <w:rPr>
          <w:rFonts w:hint="eastAsia" w:ascii="宋体" w:hAnsi="宋体"/>
          <w:color w:val="000000" w:themeColor="text1"/>
          <w:sz w:val="24"/>
          <w:highlight w:val="none"/>
          <w14:textFill>
            <w14:solidFill>
              <w14:schemeClr w14:val="tx1"/>
            </w14:solidFill>
          </w14:textFill>
        </w:rPr>
        <w:t>1%的</w:t>
      </w:r>
      <w:r>
        <w:rPr>
          <w:rFonts w:ascii="宋体" w:hAnsi="宋体"/>
          <w:color w:val="000000" w:themeColor="text1"/>
          <w:sz w:val="24"/>
          <w:highlight w:val="none"/>
          <w14:textFill>
            <w14:solidFill>
              <w14:schemeClr w14:val="tx1"/>
            </w14:solidFill>
          </w14:textFill>
        </w:rPr>
        <w:t>补偿金，以及为磋商过程所发生的有关费用和双方商定的其他补偿。</w:t>
      </w:r>
    </w:p>
    <w:p w14:paraId="5FF93314">
      <w:pPr>
        <w:autoSpaceDE w:val="0"/>
        <w:autoSpaceDN w:val="0"/>
        <w:adjustRightInd w:val="0"/>
        <w:spacing w:line="360" w:lineRule="auto"/>
        <w:ind w:firstLine="420"/>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 xml:space="preserve">.5 </w:t>
      </w:r>
      <w:r>
        <w:rPr>
          <w:rFonts w:ascii="宋体" w:hAnsi="宋体"/>
          <w:b/>
          <w:color w:val="000000" w:themeColor="text1"/>
          <w:sz w:val="24"/>
          <w:highlight w:val="none"/>
          <w14:textFill>
            <w14:solidFill>
              <w14:schemeClr w14:val="tx1"/>
            </w14:solidFill>
          </w14:textFill>
        </w:rPr>
        <w:t>成交通知书发出后，成交供应商除发生法律规定的不能预见、不能避免并不能克服的客观情况外不得放弃或拒绝签订合同的。放弃或拒绝签订合同的</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情节严重的财政部门将其列入不良行为名单，在一至三年内不得参加南京市政府采购活动。</w:t>
      </w:r>
    </w:p>
    <w:p w14:paraId="7D83F71F">
      <w:pPr>
        <w:tabs>
          <w:tab w:val="left" w:pos="1260"/>
        </w:tabs>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 xml:space="preserve">.6 </w:t>
      </w:r>
      <w:r>
        <w:rPr>
          <w:rFonts w:hint="eastAsia" w:ascii="宋体" w:hAnsi="宋体"/>
          <w:color w:val="000000" w:themeColor="text1"/>
          <w:sz w:val="24"/>
          <w:highlight w:val="none"/>
          <w14:textFill>
            <w14:solidFill>
              <w14:schemeClr w14:val="tx1"/>
            </w14:solidFill>
          </w14:textFill>
        </w:rPr>
        <w:t>代理机构</w:t>
      </w:r>
      <w:r>
        <w:rPr>
          <w:rFonts w:ascii="宋体" w:hAnsi="宋体"/>
          <w:color w:val="000000" w:themeColor="text1"/>
          <w:sz w:val="24"/>
          <w:highlight w:val="none"/>
          <w14:textFill>
            <w14:solidFill>
              <w14:schemeClr w14:val="tx1"/>
            </w14:solidFill>
          </w14:textFill>
        </w:rPr>
        <w:t>对未成交的供应商不作未成交原因的解释。</w:t>
      </w:r>
    </w:p>
    <w:p w14:paraId="79518917">
      <w:pPr>
        <w:autoSpaceDE w:val="0"/>
        <w:autoSpaceDN w:val="0"/>
        <w:adjustRightInd w:val="0"/>
        <w:spacing w:line="360" w:lineRule="auto"/>
        <w:ind w:firstLine="420"/>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.7 所有磋商响应文件都将作为档案保存，不论成交与否，</w:t>
      </w:r>
      <w:r>
        <w:rPr>
          <w:rFonts w:hint="eastAsia" w:ascii="宋体" w:hAnsi="宋体"/>
          <w:color w:val="000000" w:themeColor="text1"/>
          <w:sz w:val="24"/>
          <w:highlight w:val="none"/>
          <w14:textFill>
            <w14:solidFill>
              <w14:schemeClr w14:val="tx1"/>
            </w14:solidFill>
          </w14:textFill>
        </w:rPr>
        <w:t>代理</w:t>
      </w:r>
      <w:r>
        <w:rPr>
          <w:rFonts w:ascii="宋体" w:hAnsi="宋体"/>
          <w:color w:val="000000" w:themeColor="text1"/>
          <w:sz w:val="24"/>
          <w:highlight w:val="none"/>
          <w14:textFill>
            <w14:solidFill>
              <w14:schemeClr w14:val="tx1"/>
            </w14:solidFill>
          </w14:textFill>
        </w:rPr>
        <w:t>中心均不退回。</w:t>
      </w:r>
    </w:p>
    <w:p w14:paraId="0F1DA4A2">
      <w:pPr>
        <w:autoSpaceDE w:val="0"/>
        <w:autoSpaceDN w:val="0"/>
        <w:adjustRightInd w:val="0"/>
        <w:spacing w:line="360" w:lineRule="auto"/>
        <w:ind w:firstLine="472" w:firstLineChars="196"/>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lang w:val="zh-CN"/>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4</w:t>
      </w:r>
      <w:r>
        <w:rPr>
          <w:rFonts w:ascii="宋体" w:hAnsi="宋体"/>
          <w:b/>
          <w:bCs/>
          <w:color w:val="000000" w:themeColor="text1"/>
          <w:sz w:val="24"/>
          <w:highlight w:val="none"/>
          <w:lang w:val="zh-CN"/>
          <w14:textFill>
            <w14:solidFill>
              <w14:schemeClr w14:val="tx1"/>
            </w14:solidFill>
          </w14:textFill>
        </w:rPr>
        <w:t>、</w:t>
      </w:r>
      <w:r>
        <w:rPr>
          <w:rFonts w:ascii="宋体" w:hAnsi="宋体"/>
          <w:b/>
          <w:color w:val="000000" w:themeColor="text1"/>
          <w:sz w:val="24"/>
          <w:highlight w:val="none"/>
          <w14:textFill>
            <w14:solidFill>
              <w14:schemeClr w14:val="tx1"/>
            </w14:solidFill>
          </w14:textFill>
        </w:rPr>
        <w:t>编写磋商（评审）报告</w:t>
      </w:r>
    </w:p>
    <w:p w14:paraId="1BF09125">
      <w:pPr>
        <w:autoSpaceDE w:val="0"/>
        <w:autoSpaceDN w:val="0"/>
        <w:adjustRightInd w:val="0"/>
        <w:spacing w:line="360" w:lineRule="auto"/>
        <w:ind w:firstLine="42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磋商小组根据磋商过程和结果编写磋商（评审）报告。</w:t>
      </w:r>
    </w:p>
    <w:p w14:paraId="1477A2A3">
      <w:pPr>
        <w:autoSpaceDE w:val="0"/>
        <w:autoSpaceDN w:val="0"/>
        <w:adjustRightInd w:val="0"/>
        <w:spacing w:line="360" w:lineRule="auto"/>
        <w:ind w:firstLine="420"/>
        <w:jc w:val="left"/>
        <w:rPr>
          <w:rFonts w:ascii="宋体" w:hAnsi="宋体"/>
          <w:b/>
          <w:bCs/>
          <w:color w:val="000000" w:themeColor="text1"/>
          <w:sz w:val="24"/>
          <w:highlight w:val="none"/>
          <w:lang w:val="zh-CN"/>
          <w14:textFill>
            <w14:solidFill>
              <w14:schemeClr w14:val="tx1"/>
            </w14:solidFill>
          </w14:textFill>
        </w:rPr>
      </w:pPr>
      <w:bookmarkStart w:id="87" w:name="_Toc4206"/>
      <w:bookmarkStart w:id="88" w:name="_Toc504141741"/>
      <w:r>
        <w:rPr>
          <w:rFonts w:hint="eastAsia" w:ascii="宋体" w:hAnsi="宋体"/>
          <w:b/>
          <w:color w:val="000000" w:themeColor="text1"/>
          <w:sz w:val="24"/>
          <w:highlight w:val="none"/>
          <w14:textFill>
            <w14:solidFill>
              <w14:schemeClr w14:val="tx1"/>
            </w14:solidFill>
          </w14:textFill>
        </w:rPr>
        <w:t>25</w:t>
      </w:r>
      <w:r>
        <w:rPr>
          <w:rFonts w:ascii="宋体" w:hAnsi="宋体"/>
          <w:b/>
          <w:color w:val="000000" w:themeColor="text1"/>
          <w:sz w:val="24"/>
          <w:highlight w:val="none"/>
          <w:lang w:val="zh-CN"/>
          <w14:textFill>
            <w14:solidFill>
              <w14:schemeClr w14:val="tx1"/>
            </w14:solidFill>
          </w14:textFill>
        </w:rPr>
        <w:t>、</w:t>
      </w:r>
      <w:r>
        <w:rPr>
          <w:rFonts w:ascii="宋体" w:hAnsi="宋体"/>
          <w:b/>
          <w:bCs/>
          <w:color w:val="000000" w:themeColor="text1"/>
          <w:sz w:val="24"/>
          <w:highlight w:val="none"/>
          <w:lang w:val="zh-CN"/>
          <w14:textFill>
            <w14:solidFill>
              <w14:schemeClr w14:val="tx1"/>
            </w14:solidFill>
          </w14:textFill>
        </w:rPr>
        <w:t>签订合同</w:t>
      </w:r>
      <w:bookmarkEnd w:id="87"/>
      <w:bookmarkEnd w:id="88"/>
    </w:p>
    <w:p w14:paraId="4CB6D589">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1 成交供应商应当</w:t>
      </w:r>
      <w:r>
        <w:rPr>
          <w:rFonts w:ascii="宋体" w:hAnsi="宋体"/>
          <w:color w:val="000000" w:themeColor="text1"/>
          <w:sz w:val="24"/>
          <w:highlight w:val="none"/>
          <w:lang w:val="zh-CN"/>
          <w14:textFill>
            <w14:solidFill>
              <w14:schemeClr w14:val="tx1"/>
            </w14:solidFill>
          </w14:textFill>
        </w:rPr>
        <w:t>自成交通知书发出之日起三十日内，</w:t>
      </w:r>
      <w:r>
        <w:rPr>
          <w:rFonts w:ascii="宋体" w:hAnsi="宋体"/>
          <w:color w:val="000000" w:themeColor="text1"/>
          <w:sz w:val="24"/>
          <w:highlight w:val="none"/>
          <w14:textFill>
            <w14:solidFill>
              <w14:schemeClr w14:val="tx1"/>
            </w14:solidFill>
          </w14:textFill>
        </w:rPr>
        <w:t>与采购人签订政府采购合同，所签订的合同不得对竞争性磋商文件和竞争性磋商响应文件作实质性修改。</w:t>
      </w:r>
    </w:p>
    <w:p w14:paraId="19DA8938">
      <w:pPr>
        <w:autoSpaceDE w:val="0"/>
        <w:autoSpaceDN w:val="0"/>
        <w:adjustRightInd w:val="0"/>
        <w:spacing w:line="360" w:lineRule="auto"/>
        <w:ind w:firstLine="42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lang w:val="zh-CN"/>
          <w14:textFill>
            <w14:solidFill>
              <w14:schemeClr w14:val="tx1"/>
            </w14:solidFill>
          </w14:textFill>
        </w:rPr>
        <w:t xml:space="preserve">.2 </w:t>
      </w:r>
      <w:r>
        <w:rPr>
          <w:rFonts w:ascii="宋体" w:hAnsi="宋体"/>
          <w:color w:val="000000" w:themeColor="text1"/>
          <w:sz w:val="24"/>
          <w:highlight w:val="none"/>
          <w14:textFill>
            <w14:solidFill>
              <w14:schemeClr w14:val="tx1"/>
            </w14:solidFill>
          </w14:textFill>
        </w:rPr>
        <w:t>采购人不得向成交供应商提出任何不合理的要求作为签订合同的条件，不得与成交供应商私下订立背离合同实质性内容的协议。</w:t>
      </w:r>
    </w:p>
    <w:p w14:paraId="169BCA13">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lang w:val="zh-CN"/>
          <w14:textFill>
            <w14:solidFill>
              <w14:schemeClr w14:val="tx1"/>
            </w14:solidFill>
          </w14:textFill>
        </w:rPr>
        <w:t>.3 成交供应商因不可抗力或者自身原因不能履行政府采购合同的，采购人可以视情与排位在成交供应商之后第一位的成交候选供应商签订政府采购合同，以此类推。</w:t>
      </w:r>
    </w:p>
    <w:p w14:paraId="3266FDCF">
      <w:pPr>
        <w:spacing w:line="360" w:lineRule="auto"/>
        <w:ind w:firstLine="42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lang w:val="zh-CN"/>
          <w14:textFill>
            <w14:solidFill>
              <w14:schemeClr w14:val="tx1"/>
            </w14:solidFill>
          </w14:textFill>
        </w:rPr>
        <w:t>.4 政府采购合同履行中，采购人需追加与合同标的相同的服务的，在不改变合同其他条款的前提下，可以与供应商协商签订补充合同，但所有补充合同的采购金额不得超过原合同采购金额的百分之十。</w:t>
      </w:r>
    </w:p>
    <w:p w14:paraId="4AF13355">
      <w:pPr>
        <w:spacing w:line="360" w:lineRule="auto"/>
        <w:ind w:firstLine="482" w:firstLineChars="200"/>
        <w:jc w:val="left"/>
        <w:outlineLvl w:val="1"/>
        <w:rPr>
          <w:rFonts w:ascii="宋体" w:hAnsi="宋体"/>
          <w:b/>
          <w:color w:val="000000" w:themeColor="text1"/>
          <w:sz w:val="24"/>
          <w:highlight w:val="none"/>
          <w14:textFill>
            <w14:solidFill>
              <w14:schemeClr w14:val="tx1"/>
            </w14:solidFill>
          </w14:textFill>
        </w:rPr>
      </w:pPr>
      <w:bookmarkStart w:id="89" w:name="_Toc3021"/>
      <w:bookmarkStart w:id="90" w:name="_Toc15811"/>
      <w:bookmarkStart w:id="91" w:name="_Toc185323379"/>
      <w:bookmarkStart w:id="92" w:name="_Toc23928"/>
      <w:bookmarkStart w:id="93" w:name="_Toc21361"/>
      <w:bookmarkStart w:id="94" w:name="_Toc22431"/>
      <w:bookmarkStart w:id="95" w:name="_Toc23368"/>
      <w:bookmarkStart w:id="96" w:name="_Toc8121"/>
      <w:bookmarkStart w:id="97" w:name="_Toc503338393"/>
      <w:bookmarkStart w:id="98" w:name="_Toc23523"/>
      <w:bookmarkStart w:id="99" w:name="_Toc26344"/>
      <w:bookmarkStart w:id="100" w:name="_Toc3777"/>
      <w:bookmarkStart w:id="101" w:name="_Toc281"/>
      <w:r>
        <w:rPr>
          <w:rFonts w:hint="eastAsia" w:ascii="宋体" w:hAnsi="宋体"/>
          <w:b/>
          <w:color w:val="000000" w:themeColor="text1"/>
          <w:sz w:val="24"/>
          <w:highlight w:val="none"/>
          <w14:textFill>
            <w14:solidFill>
              <w14:schemeClr w14:val="tx1"/>
            </w14:solidFill>
          </w14:textFill>
        </w:rPr>
        <w:t>七、无成交供应商原因</w:t>
      </w:r>
      <w:bookmarkEnd w:id="89"/>
      <w:bookmarkEnd w:id="90"/>
      <w:bookmarkEnd w:id="91"/>
      <w:bookmarkEnd w:id="92"/>
      <w:bookmarkEnd w:id="93"/>
      <w:bookmarkEnd w:id="94"/>
      <w:bookmarkEnd w:id="95"/>
      <w:bookmarkEnd w:id="96"/>
      <w:bookmarkEnd w:id="97"/>
      <w:bookmarkEnd w:id="98"/>
      <w:bookmarkEnd w:id="99"/>
      <w:bookmarkEnd w:id="100"/>
      <w:bookmarkEnd w:id="101"/>
    </w:p>
    <w:p w14:paraId="2D3D95AF">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26.出现下列情形之一的本次采购无成交供应商：</w:t>
      </w:r>
    </w:p>
    <w:p w14:paraId="3D2834D3">
      <w:pPr>
        <w:autoSpaceDE w:val="0"/>
        <w:autoSpaceDN w:val="0"/>
        <w:adjustRightInd w:val="0"/>
        <w:spacing w:line="360" w:lineRule="auto"/>
        <w:ind w:firstLine="420"/>
        <w:jc w:val="left"/>
        <w:rPr>
          <w:rFonts w:ascii="宋体" w:hAnsi="宋体"/>
          <w:b/>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lang w:val="zh-CN"/>
          <w14:textFill>
            <w14:solidFill>
              <w14:schemeClr w14:val="tx1"/>
            </w14:solidFill>
          </w14:textFill>
        </w:rPr>
        <w:t>）</w:t>
      </w:r>
      <w:r>
        <w:rPr>
          <w:rFonts w:ascii="宋体" w:hAnsi="宋体"/>
          <w:bCs/>
          <w:color w:val="000000" w:themeColor="text1"/>
          <w:sz w:val="24"/>
          <w:highlight w:val="none"/>
          <w:lang w:val="zh-CN"/>
          <w14:textFill>
            <w14:solidFill>
              <w14:schemeClr w14:val="tx1"/>
            </w14:solidFill>
          </w14:textFill>
        </w:rPr>
        <w:t>所有供应商的磋商响应文件被磋商小组认定为无效的；</w:t>
      </w:r>
    </w:p>
    <w:p w14:paraId="0B76961C">
      <w:pPr>
        <w:autoSpaceDE w:val="0"/>
        <w:autoSpaceDN w:val="0"/>
        <w:adjustRightInd w:val="0"/>
        <w:spacing w:line="360" w:lineRule="auto"/>
        <w:ind w:firstLine="420"/>
        <w:jc w:val="left"/>
        <w:rPr>
          <w:rFonts w:ascii="宋体" w:hAnsi="宋体"/>
          <w:b/>
          <w:bCs/>
          <w:color w:val="000000" w:themeColor="text1"/>
          <w:sz w:val="24"/>
          <w:highlight w:val="none"/>
          <w:lang w:val="zh-CN"/>
          <w14:textFill>
            <w14:solidFill>
              <w14:schemeClr w14:val="tx1"/>
            </w14:solidFill>
          </w14:textFill>
        </w:rPr>
      </w:pPr>
      <w:bookmarkStart w:id="102" w:name="_Toc450643044"/>
      <w:r>
        <w:rPr>
          <w:rFonts w:ascii="宋体" w:hAnsi="宋体"/>
          <w:bCs/>
          <w:color w:val="000000" w:themeColor="text1"/>
          <w:sz w:val="24"/>
          <w:highlight w:val="none"/>
          <w:lang w:val="zh-CN"/>
          <w14:textFill>
            <w14:solidFill>
              <w14:schemeClr w14:val="tx1"/>
            </w14:solidFill>
          </w14:textFill>
        </w:rPr>
        <w:t>（2）</w:t>
      </w:r>
      <w:r>
        <w:rPr>
          <w:rFonts w:ascii="宋体" w:hAnsi="宋体"/>
          <w:color w:val="000000" w:themeColor="text1"/>
          <w:sz w:val="24"/>
          <w:highlight w:val="none"/>
          <w:lang w:val="zh-CN"/>
          <w14:textFill>
            <w14:solidFill>
              <w14:schemeClr w14:val="tx1"/>
            </w14:solidFill>
          </w14:textFill>
        </w:rPr>
        <w:t>出现影响采购公正的违法、违规行为的；</w:t>
      </w:r>
      <w:bookmarkEnd w:id="102"/>
    </w:p>
    <w:p w14:paraId="68893CAB">
      <w:pPr>
        <w:autoSpaceDE w:val="0"/>
        <w:autoSpaceDN w:val="0"/>
        <w:adjustRightInd w:val="0"/>
        <w:spacing w:line="360" w:lineRule="auto"/>
        <w:ind w:firstLine="420"/>
        <w:jc w:val="left"/>
        <w:rPr>
          <w:rFonts w:ascii="宋体" w:hAnsi="宋体"/>
          <w:bCs/>
          <w:color w:val="000000" w:themeColor="text1"/>
          <w:sz w:val="24"/>
          <w:highlight w:val="none"/>
          <w:lang w:val="zh-CN"/>
          <w14:textFill>
            <w14:solidFill>
              <w14:schemeClr w14:val="tx1"/>
            </w14:solidFill>
          </w14:textFill>
        </w:rPr>
      </w:pPr>
      <w:bookmarkStart w:id="103" w:name="_Toc450643045"/>
      <w:r>
        <w:rPr>
          <w:rFonts w:ascii="宋体" w:hAnsi="宋体"/>
          <w:bCs/>
          <w:color w:val="000000" w:themeColor="text1"/>
          <w:sz w:val="24"/>
          <w:highlight w:val="none"/>
          <w:lang w:val="zh-CN"/>
          <w14:textFill>
            <w14:solidFill>
              <w14:schemeClr w14:val="tx1"/>
            </w14:solidFill>
          </w14:textFill>
        </w:rPr>
        <w:t>（3）供应商的最终报价超过采购预算，且采购人不能支付的；</w:t>
      </w:r>
      <w:bookmarkEnd w:id="103"/>
    </w:p>
    <w:p w14:paraId="7BC3BC7C">
      <w:pPr>
        <w:autoSpaceDE w:val="0"/>
        <w:autoSpaceDN w:val="0"/>
        <w:adjustRightInd w:val="0"/>
        <w:spacing w:line="360" w:lineRule="auto"/>
        <w:ind w:firstLine="42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（4）</w:t>
      </w:r>
      <w:r>
        <w:rPr>
          <w:rFonts w:hint="eastAsia" w:ascii="宋体" w:hAnsi="宋体"/>
          <w:color w:val="000000" w:themeColor="text1"/>
          <w:sz w:val="24"/>
          <w:highlight w:val="none"/>
          <w:lang w:val="zh-CN"/>
          <w14:textFill>
            <w14:solidFill>
              <w14:schemeClr w14:val="tx1"/>
            </w14:solidFill>
          </w14:textFill>
        </w:rPr>
        <w:t>发生变</w:t>
      </w:r>
      <w:r>
        <w:rPr>
          <w:rFonts w:ascii="宋体" w:hAnsi="宋体"/>
          <w:color w:val="000000" w:themeColor="text1"/>
          <w:sz w:val="24"/>
          <w:highlight w:val="none"/>
          <w:lang w:val="zh-CN"/>
          <w14:textFill>
            <w14:solidFill>
              <w14:schemeClr w14:val="tx1"/>
            </w14:solidFill>
          </w14:textFill>
        </w:rPr>
        <w:t>故，采购任务取消的；</w:t>
      </w:r>
    </w:p>
    <w:p w14:paraId="6E96750B">
      <w:pPr>
        <w:spacing w:line="360" w:lineRule="auto"/>
        <w:ind w:firstLine="480" w:firstLineChars="200"/>
        <w:jc w:val="left"/>
        <w:rPr>
          <w:rFonts w:ascii="宋体" w:hAnsi="宋体"/>
          <w:b/>
          <w:color w:val="000000" w:themeColor="text1"/>
          <w:sz w:val="24"/>
          <w:highlight w:val="none"/>
          <w14:textFill>
            <w14:solidFill>
              <w14:schemeClr w14:val="tx1"/>
            </w14:solidFill>
          </w14:textFill>
        </w:rPr>
      </w:pPr>
      <w:bookmarkStart w:id="104" w:name="_Toc28629"/>
      <w:r>
        <w:rPr>
          <w:rFonts w:ascii="宋体" w:hAnsi="宋体"/>
          <w:color w:val="000000" w:themeColor="text1"/>
          <w:sz w:val="24"/>
          <w:highlight w:val="none"/>
          <w:lang w:val="zh-CN"/>
          <w14:textFill>
            <w14:solidFill>
              <w14:schemeClr w14:val="tx1"/>
            </w14:solidFill>
          </w14:textFill>
        </w:rPr>
        <w:t>（5）采购人需求发生重大变化暂时不能确定或供应商提供的服务不能满足需求等</w:t>
      </w:r>
      <w:bookmarkEnd w:id="104"/>
      <w:bookmarkStart w:id="105" w:name="_Toc24532"/>
      <w:bookmarkStart w:id="106" w:name="_Toc4854"/>
      <w:bookmarkStart w:id="107" w:name="_Toc5975"/>
      <w:bookmarkStart w:id="108" w:name="_Toc32425"/>
      <w:bookmarkStart w:id="109" w:name="_Toc19419"/>
      <w:bookmarkStart w:id="110" w:name="_Toc27456"/>
      <w:bookmarkStart w:id="111" w:name="_Toc503338394"/>
    </w:p>
    <w:p w14:paraId="4B6964E3">
      <w:pPr>
        <w:spacing w:line="360" w:lineRule="auto"/>
        <w:ind w:firstLine="482" w:firstLineChars="200"/>
        <w:jc w:val="left"/>
        <w:outlineLvl w:val="1"/>
        <w:rPr>
          <w:rFonts w:ascii="宋体" w:hAnsi="宋体"/>
          <w:b/>
          <w:color w:val="000000" w:themeColor="text1"/>
          <w:sz w:val="24"/>
          <w:highlight w:val="none"/>
          <w14:textFill>
            <w14:solidFill>
              <w14:schemeClr w14:val="tx1"/>
            </w14:solidFill>
          </w14:textFill>
        </w:rPr>
      </w:pPr>
      <w:bookmarkStart w:id="112" w:name="_Toc185323380"/>
      <w:bookmarkStart w:id="113" w:name="_Toc22879"/>
      <w:bookmarkStart w:id="114" w:name="_Toc22528"/>
      <w:bookmarkStart w:id="115" w:name="_Toc10909"/>
      <w:bookmarkStart w:id="116" w:name="_Toc31335"/>
      <w:bookmarkStart w:id="117" w:name="_Toc16598"/>
      <w:r>
        <w:rPr>
          <w:rFonts w:hint="eastAsia" w:ascii="宋体" w:hAnsi="宋体"/>
          <w:b/>
          <w:color w:val="000000" w:themeColor="text1"/>
          <w:sz w:val="24"/>
          <w:highlight w:val="none"/>
          <w14:textFill>
            <w14:solidFill>
              <w14:schemeClr w14:val="tx1"/>
            </w14:solidFill>
          </w14:textFill>
        </w:rPr>
        <w:t>八、质疑和投诉</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1A76A032">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27．质疑</w:t>
      </w:r>
    </w:p>
    <w:p w14:paraId="1063E422">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27.1磋商供应商对磋商活动事项有疑问的，可以向</w:t>
      </w:r>
      <w:r>
        <w:rPr>
          <w:rFonts w:hint="eastAsia" w:ascii="宋体" w:hAnsi="宋体"/>
          <w:color w:val="000000" w:themeColor="text1"/>
          <w:sz w:val="24"/>
          <w:highlight w:val="none"/>
          <w:lang w:val="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提出询问，</w:t>
      </w:r>
      <w:r>
        <w:rPr>
          <w:rFonts w:hint="eastAsia" w:ascii="宋体" w:hAnsi="宋体"/>
          <w:color w:val="000000" w:themeColor="text1"/>
          <w:sz w:val="24"/>
          <w:highlight w:val="none"/>
          <w:lang w:val="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将及时作出答复，但答复的内容不涉及商业秘密。</w:t>
      </w:r>
    </w:p>
    <w:p w14:paraId="32F5F0C3">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27.2磋商供应商认为磋商文件、磋商过程和成交结果使自己的合法权益受到损害的，可以在知道或者应知其权益受到损害之日起</w:t>
      </w:r>
      <w:r>
        <w:rPr>
          <w:rFonts w:hint="eastAsia" w:ascii="宋体" w:hAnsi="宋体"/>
          <w:b/>
          <w:color w:val="000000" w:themeColor="text1"/>
          <w:sz w:val="24"/>
          <w:highlight w:val="none"/>
          <w14:textFill>
            <w14:solidFill>
              <w14:schemeClr w14:val="tx1"/>
            </w14:solidFill>
          </w14:textFill>
        </w:rPr>
        <w:t>7个工作日</w:t>
      </w:r>
      <w:r>
        <w:rPr>
          <w:rFonts w:hint="eastAsia" w:ascii="宋体" w:hAnsi="宋体"/>
          <w:color w:val="000000" w:themeColor="text1"/>
          <w:sz w:val="24"/>
          <w:highlight w:val="none"/>
          <w14:textFill>
            <w14:solidFill>
              <w14:schemeClr w14:val="tx1"/>
            </w14:solidFill>
          </w14:textFill>
        </w:rPr>
        <w:t>内，以书面形式一次性向</w:t>
      </w:r>
      <w:r>
        <w:rPr>
          <w:rFonts w:hint="eastAsia" w:ascii="宋体" w:hAnsi="宋体"/>
          <w:color w:val="000000" w:themeColor="text1"/>
          <w:sz w:val="24"/>
          <w:highlight w:val="none"/>
          <w:lang w:val="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提出全部质疑，但需对质疑内容的真实性承担责任。</w:t>
      </w:r>
    </w:p>
    <w:p w14:paraId="3E50796E">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27.3采购代理机构在收到磋商供应商的书面质疑后7个工作日内作出答复，并以书面形式通知质疑磋商供应商和其他有关磋商供应商，但答复的内容不涉及商业秘密。</w:t>
      </w:r>
    </w:p>
    <w:p w14:paraId="412C8F34">
      <w:pPr>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28．投诉</w:t>
      </w:r>
    </w:p>
    <w:p w14:paraId="6F20B8CF">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质疑磋商供应商对</w:t>
      </w:r>
      <w:r>
        <w:rPr>
          <w:rFonts w:hint="eastAsia" w:ascii="宋体" w:hAnsi="宋体"/>
          <w:color w:val="000000" w:themeColor="text1"/>
          <w:sz w:val="24"/>
          <w:highlight w:val="none"/>
          <w:lang w:val="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的答复不满意或</w:t>
      </w:r>
      <w:r>
        <w:rPr>
          <w:rFonts w:hint="eastAsia" w:ascii="宋体" w:hAnsi="宋体"/>
          <w:color w:val="000000" w:themeColor="text1"/>
          <w:sz w:val="24"/>
          <w:highlight w:val="none"/>
          <w:lang w:val="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 xml:space="preserve">未在规定的时间内作出答复的，可以在答复期满后15个工作日内向区财政局投诉。  </w:t>
      </w:r>
      <w:bookmarkStart w:id="118" w:name="_Toc185323381"/>
      <w:bookmarkStart w:id="119" w:name="_Toc5995"/>
      <w:bookmarkStart w:id="120" w:name="_Toc20825"/>
    </w:p>
    <w:p w14:paraId="32E441BC">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73EB721A">
      <w:pPr>
        <w:spacing w:line="360" w:lineRule="auto"/>
        <w:jc w:val="center"/>
        <w:rPr>
          <w:rFonts w:ascii="宋体" w:hAnsi="宋体"/>
          <w:color w:val="000000" w:themeColor="text1"/>
          <w:sz w:val="36"/>
          <w:szCs w:val="30"/>
          <w:highlight w:val="none"/>
          <w14:textFill>
            <w14:solidFill>
              <w14:schemeClr w14:val="tx1"/>
            </w14:solidFill>
          </w14:textFill>
        </w:rPr>
      </w:pPr>
      <w:r>
        <w:rPr>
          <w:rFonts w:hint="eastAsia" w:ascii="宋体" w:hAnsi="宋体"/>
          <w:color w:val="000000" w:themeColor="text1"/>
          <w:sz w:val="36"/>
          <w:szCs w:val="30"/>
          <w:highlight w:val="none"/>
          <w14:textFill>
            <w14:solidFill>
              <w14:schemeClr w14:val="tx1"/>
            </w14:solidFill>
          </w14:textFill>
        </w:rPr>
        <w:t>第三章 磋商项目需求</w:t>
      </w:r>
      <w:bookmarkEnd w:id="118"/>
      <w:bookmarkEnd w:id="119"/>
      <w:bookmarkEnd w:id="120"/>
    </w:p>
    <w:p w14:paraId="394573E4">
      <w:pPr>
        <w:spacing w:line="360" w:lineRule="auto"/>
        <w:ind w:firstLine="472" w:firstLineChars="196"/>
        <w:jc w:val="left"/>
        <w:rPr>
          <w:rFonts w:ascii="宋体" w:hAnsi="宋体"/>
          <w:b/>
          <w:color w:val="000000" w:themeColor="text1"/>
          <w:sz w:val="24"/>
          <w:highlight w:val="none"/>
          <w14:textFill>
            <w14:solidFill>
              <w14:schemeClr w14:val="tx1"/>
            </w14:solidFill>
          </w14:textFill>
        </w:rPr>
      </w:pPr>
      <w:bookmarkStart w:id="121" w:name="_Toc490947152"/>
      <w:bookmarkStart w:id="122" w:name="_Toc491694066"/>
      <w:bookmarkStart w:id="123" w:name="_Toc500148752"/>
      <w:r>
        <w:rPr>
          <w:rFonts w:hint="eastAsia" w:ascii="宋体" w:hAnsi="宋体"/>
          <w:b/>
          <w:color w:val="000000" w:themeColor="text1"/>
          <w:sz w:val="24"/>
          <w:highlight w:val="none"/>
          <w14:textFill>
            <w14:solidFill>
              <w14:schemeClr w14:val="tx1"/>
            </w14:solidFill>
          </w14:textFill>
        </w:rPr>
        <w:t>一、项目概况：</w:t>
      </w:r>
    </w:p>
    <w:p w14:paraId="4B487B7F">
      <w:pPr>
        <w:spacing w:line="500" w:lineRule="exact"/>
        <w:ind w:firstLine="480" w:firstLineChars="200"/>
        <w:rPr>
          <w:rFonts w:hint="eastAsia" w:asciiTheme="minorEastAsia" w:hAnsiTheme="minorEastAsia" w:eastAsiaTheme="minorEastAsia"/>
          <w:snapToGrid w:val="0"/>
          <w:color w:val="000000" w:themeColor="text1"/>
          <w:sz w:val="24"/>
          <w:highlight w:val="none"/>
          <w14:textFill>
            <w14:solidFill>
              <w14:schemeClr w14:val="tx1"/>
            </w14:solidFill>
          </w14:textFill>
        </w:rPr>
      </w:pPr>
      <w:bookmarkStart w:id="124" w:name="OLE_LINK1"/>
      <w:r>
        <w:rPr>
          <w:rFonts w:hint="eastAsia" w:asciiTheme="minorEastAsia" w:hAnsiTheme="minorEastAsia" w:eastAsiaTheme="minorEastAsia"/>
          <w:snapToGrid w:val="0"/>
          <w:color w:val="000000" w:themeColor="text1"/>
          <w:sz w:val="24"/>
          <w:highlight w:val="none"/>
          <w14:textFill>
            <w14:solidFill>
              <w14:schemeClr w14:val="tx1"/>
            </w14:solidFill>
          </w14:textFill>
        </w:rPr>
        <w:t>1、项目</w:t>
      </w:r>
      <w:r>
        <w:rPr>
          <w:rFonts w:hint="eastAsia" w:asciiTheme="minorEastAsia" w:hAnsiTheme="minorEastAsia" w:eastAsiaTheme="minorEastAsia"/>
          <w:color w:val="000000" w:themeColor="text1"/>
          <w:sz w:val="24"/>
          <w:highlight w:val="none"/>
          <w14:textFill>
            <w14:solidFill>
              <w14:schemeClr w14:val="tx1"/>
            </w14:solidFill>
          </w14:textFill>
        </w:rPr>
        <w:t>名</w:t>
      </w:r>
      <w:r>
        <w:rPr>
          <w:rFonts w:hint="eastAsia" w:asciiTheme="minorEastAsia" w:hAnsiTheme="minorEastAsia" w:eastAsiaTheme="minorEastAsia"/>
          <w:snapToGrid w:val="0"/>
          <w:color w:val="000000" w:themeColor="text1"/>
          <w:sz w:val="24"/>
          <w:highlight w:val="none"/>
          <w14:textFill>
            <w14:solidFill>
              <w14:schemeClr w14:val="tx1"/>
            </w14:solidFill>
          </w14:textFill>
        </w:rPr>
        <w:t>称：</w:t>
      </w:r>
      <w:r>
        <w:rPr>
          <w:rFonts w:hint="eastAsia" w:asciiTheme="minorEastAsia" w:hAnsiTheme="minorEastAsia" w:eastAsiaTheme="minorEastAsia"/>
          <w:snapToGrid w:val="0"/>
          <w:color w:val="000000" w:themeColor="text1"/>
          <w:sz w:val="24"/>
          <w:highlight w:val="none"/>
          <w:lang w:eastAsia="zh-CN"/>
          <w14:textFill>
            <w14:solidFill>
              <w14:schemeClr w14:val="tx1"/>
            </w14:solidFill>
          </w14:textFill>
        </w:rPr>
        <w:t>2026年园区VOCs站运维服务项目</w:t>
      </w:r>
      <w:r>
        <w:rPr>
          <w:rFonts w:hint="eastAsia" w:asciiTheme="minorEastAsia" w:hAnsiTheme="minorEastAsia" w:eastAsiaTheme="minorEastAsia"/>
          <w:snapToGrid w:val="0"/>
          <w:color w:val="000000" w:themeColor="text1"/>
          <w:sz w:val="24"/>
          <w:highlight w:val="none"/>
          <w14:textFill>
            <w14:solidFill>
              <w14:schemeClr w14:val="tx1"/>
            </w14:solidFill>
          </w14:textFill>
        </w:rPr>
        <w:t>；</w:t>
      </w:r>
    </w:p>
    <w:p w14:paraId="7ACE7BB9">
      <w:pPr>
        <w:spacing w:line="500" w:lineRule="exact"/>
        <w:ind w:firstLine="480" w:firstLineChars="200"/>
        <w:rPr>
          <w:rFonts w:hint="eastAsia" w:asciiTheme="minorEastAsia" w:hAnsiTheme="minorEastAsia" w:eastAsiaTheme="minorEastAsia"/>
          <w:snapToGrid w:val="0"/>
          <w:color w:val="000000" w:themeColor="text1"/>
          <w:sz w:val="24"/>
          <w:highlight w:val="none"/>
          <w:lang w:eastAsia="zh-CN"/>
          <w14:textFill>
            <w14:solidFill>
              <w14:schemeClr w14:val="tx1"/>
            </w14:solidFill>
          </w14:textFill>
        </w:rPr>
      </w:pPr>
      <w:r>
        <w:rPr>
          <w:rFonts w:hint="eastAsia" w:asciiTheme="minorEastAsia" w:hAnsiTheme="minorEastAsia" w:eastAsiaTheme="minorEastAsia"/>
          <w:snapToGrid w:val="0"/>
          <w:color w:val="000000" w:themeColor="text1"/>
          <w:sz w:val="24"/>
          <w:highlight w:val="none"/>
          <w:lang w:val="en-US" w:eastAsia="zh-CN"/>
          <w14:textFill>
            <w14:solidFill>
              <w14:schemeClr w14:val="tx1"/>
            </w14:solidFill>
          </w14:textFill>
        </w:rPr>
        <w:t>2、项目说明：</w:t>
      </w:r>
      <w:r>
        <w:rPr>
          <w:rFonts w:hint="eastAsia" w:asciiTheme="minorEastAsia" w:hAnsiTheme="minorEastAsia" w:eastAsiaTheme="minorEastAsia"/>
          <w:snapToGrid w:val="0"/>
          <w:color w:val="000000" w:themeColor="text1"/>
          <w:sz w:val="24"/>
          <w:highlight w:val="none"/>
          <w14:textFill>
            <w14:solidFill>
              <w14:schemeClr w14:val="tx1"/>
            </w14:solidFill>
          </w14:textFill>
        </w:rPr>
        <w:t>为2座VOCs站提供的运维服务，为确保VOCs监测站正常使用和运行，需委托第三方提供运维服务，为期1年</w:t>
      </w:r>
      <w:r>
        <w:rPr>
          <w:rFonts w:hint="eastAsia" w:asciiTheme="minorEastAsia" w:hAnsiTheme="minorEastAsia" w:eastAsiaTheme="minorEastAsia"/>
          <w:snapToGrid w:val="0"/>
          <w:color w:val="000000" w:themeColor="text1"/>
          <w:sz w:val="24"/>
          <w:highlight w:val="none"/>
          <w:lang w:eastAsia="zh-CN"/>
          <w14:textFill>
            <w14:solidFill>
              <w14:schemeClr w14:val="tx1"/>
            </w14:solidFill>
          </w14:textFill>
        </w:rPr>
        <w:t>。</w:t>
      </w:r>
    </w:p>
    <w:p w14:paraId="60A41E83">
      <w:pPr>
        <w:spacing w:line="50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snapToGrid w:val="0"/>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snapToGrid w:val="0"/>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项目地</w:t>
      </w:r>
      <w:r>
        <w:rPr>
          <w:rFonts w:hint="eastAsia" w:asciiTheme="minorEastAsia" w:hAnsiTheme="minorEastAsia" w:eastAsiaTheme="minorEastAsia"/>
          <w:snapToGrid w:val="0"/>
          <w:color w:val="000000" w:themeColor="text1"/>
          <w:sz w:val="24"/>
          <w:highlight w:val="none"/>
          <w14:textFill>
            <w14:solidFill>
              <w14:schemeClr w14:val="tx1"/>
            </w14:solidFill>
          </w14:textFill>
        </w:rPr>
        <w:t>点：</w:t>
      </w:r>
      <w:r>
        <w:rPr>
          <w:rFonts w:hint="eastAsia" w:ascii="宋体" w:hAnsi="宋体" w:cs="宋体"/>
          <w:color w:val="000000" w:themeColor="text1"/>
          <w:kern w:val="0"/>
          <w:sz w:val="24"/>
          <w:highlight w:val="none"/>
          <w14:textFill>
            <w14:solidFill>
              <w14:schemeClr w14:val="tx1"/>
            </w14:solidFill>
          </w14:textFill>
        </w:rPr>
        <w:t>南京市江宁区</w:t>
      </w:r>
      <w:r>
        <w:rPr>
          <w:rFonts w:hint="eastAsia" w:asciiTheme="minorEastAsia" w:hAnsiTheme="minorEastAsia" w:eastAsiaTheme="minorEastAsia"/>
          <w:snapToGrid w:val="0"/>
          <w:color w:val="000000" w:themeColor="text1"/>
          <w:sz w:val="24"/>
          <w:highlight w:val="none"/>
          <w14:textFill>
            <w14:solidFill>
              <w14:schemeClr w14:val="tx1"/>
            </w14:solidFill>
          </w14:textFill>
        </w:rPr>
        <w:t>；</w:t>
      </w:r>
      <w:bookmarkEnd w:id="124"/>
    </w:p>
    <w:p w14:paraId="17F102CD">
      <w:pPr>
        <w:pStyle w:val="117"/>
        <w:spacing w:line="500" w:lineRule="exact"/>
        <w:ind w:firstLine="482"/>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二、服务期：</w:t>
      </w:r>
      <w:r>
        <w:rPr>
          <w:rFonts w:hint="eastAsia" w:ascii="宋体" w:hAnsi="宋体" w:cs="宋体"/>
          <w:color w:val="000000" w:themeColor="text1"/>
          <w:kern w:val="0"/>
          <w:sz w:val="24"/>
          <w:highlight w:val="none"/>
          <w:lang w:val="en-US" w:eastAsia="zh-CN"/>
          <w14:textFill>
            <w14:solidFill>
              <w14:schemeClr w14:val="tx1"/>
            </w14:solidFill>
          </w14:textFill>
        </w:rPr>
        <w:t>一年。</w:t>
      </w:r>
    </w:p>
    <w:p w14:paraId="30081431">
      <w:pPr>
        <w:spacing w:line="400" w:lineRule="exact"/>
        <w:ind w:firstLine="482" w:firstLineChars="200"/>
        <w:jc w:val="left"/>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w:t>
      </w:r>
      <w:r>
        <w:rPr>
          <w:rFonts w:hint="eastAsia" w:ascii="宋体" w:hAnsi="宋体"/>
          <w:b/>
          <w:color w:val="000000" w:themeColor="text1"/>
          <w:sz w:val="24"/>
          <w:highlight w:val="none"/>
          <w14:textFill>
            <w14:solidFill>
              <w14:schemeClr w14:val="tx1"/>
            </w14:solidFill>
          </w14:textFill>
        </w:rPr>
        <w:t>服务</w:t>
      </w:r>
      <w:r>
        <w:rPr>
          <w:rFonts w:hint="eastAsia" w:ascii="宋体" w:hAnsi="宋体"/>
          <w:b/>
          <w:color w:val="000000" w:themeColor="text1"/>
          <w:sz w:val="24"/>
          <w:highlight w:val="none"/>
          <w:lang w:val="en-US" w:eastAsia="zh-CN"/>
          <w14:textFill>
            <w14:solidFill>
              <w14:schemeClr w14:val="tx1"/>
            </w14:solidFill>
          </w14:textFill>
        </w:rPr>
        <w:t>内容及要求</w:t>
      </w:r>
    </w:p>
    <w:p w14:paraId="6F18727F">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1、</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环境空气挥发性有机物VOCs</w:t>
      </w: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维护</w:t>
      </w:r>
    </w:p>
    <w:p w14:paraId="1CB716E2">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（1）</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每日监控内容</w:t>
      </w:r>
    </w:p>
    <w:p w14:paraId="14970936">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①</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系统状态检查，检查系统是否有报警等异常提示，以及富集/解析模块、分析模块的温度、气压、时间、流量、电压等重要参数是否正常。</w:t>
      </w:r>
    </w:p>
    <w:p w14:paraId="783213D1">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②</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基线检查，检查图谱基线是否存在异常漂移和波动，特别是水分对基线的影响。如存在，应及时标识或剔除异常数据或对受影响的化合物进行重积分。</w:t>
      </w:r>
    </w:p>
    <w:p w14:paraId="4C1B9B36">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③</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检查保留时间漂移是否存在漂移，根据保留时间前、中、后各段经常检出且浓度较高的特征VOCs组分检查保留时间漂移是否超出0.5min，如超出要求应重新设置保留时间积分窗。</w:t>
      </w:r>
    </w:p>
    <w:p w14:paraId="7D2ED6AE">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④</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内标响应检查，检查质谱内标响应在最近一次校准曲线的平均内标响应的50%~150%范围内。如系统具备氟利昂11、12、113 等天然源组分的检测能力，可将其作为天然内标系统定量稳定性。</w:t>
      </w:r>
    </w:p>
    <w:p w14:paraId="2A6F9A70">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⑤</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单点质控检查，每日质控检查2ppb浓度，质控数据合格数量占比是否&gt;80%，不合格关键组分不能超过5个，否则需要重做校准曲线（C2组分浓度1.6-2.4ppb，MS组分浓度1.4-2.6ppb）</w:t>
      </w:r>
    </w:p>
    <w:p w14:paraId="2FF0600B">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⑥</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数据标识与重积分，日审核结束后，应对异常数据进行无效标识或剔除，并对需要进行重积分的谱图和色谱峰进行重积分。</w:t>
      </w:r>
    </w:p>
    <w:p w14:paraId="7CA9A127">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⑦</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每日查看系统是否有报警等异常提示。</w:t>
      </w:r>
    </w:p>
    <w:p w14:paraId="2D5D26EA">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⑧</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检查仪器富集/解析模块、分析模块的温度、气压、时间、流量、电压等重要参数书否正常。</w:t>
      </w:r>
    </w:p>
    <w:p w14:paraId="35304D81">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（2）</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 xml:space="preserve">每周维护内容 </w:t>
      </w:r>
    </w:p>
    <w:p w14:paraId="60E650E7">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①</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富集/解析模块参数设置及运行情况检查。检查吸附温度、脱附温度、采样流量、脱附/注射流量、采样与脱附时间设置等参数；检查低温或超低温富集模块是否有异常结冰现象，检查吹扫流量或压力是否正常，检查吸附和脱附程序是否正常，检查注射程序是否正常，如检测系统为FID检测器，可通过比较低碳和高碳组分的碳响应因子，对富集阱低碳组分捕集性能进行检查。</w:t>
      </w:r>
    </w:p>
    <w:p w14:paraId="16C7664C">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②</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气相色谱、检测器参数设置及运行情况检查。检查FID氢气与空气输入压力与流量、初始柱温、升温程序、降温程序、载气流量与压力、管线温度、EPC设置、质谱温度、EI能量等参数；检查载气净化装置（含除烃、除氧、除水装置等），根据系统验收或目标化合物测试时使用的参数，检查色谱柱温控制程序、载气流量或压力控制程序、火焰离子化检测器或质谱检测器工作温度、质谱真空度等是否正常，如有异常应及时停机检查，排查问题。</w:t>
      </w:r>
    </w:p>
    <w:p w14:paraId="09D6C297">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③</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每周质量控制内容</w:t>
      </w:r>
    </w:p>
    <w:p w14:paraId="64C85AD6">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零气空白检查（全系统空白），检查频率不低于每周一次，在环境空气分析结束后进行一次全系统空白检查，记录各化合物浓度作为其日常残留。各化合物日常残留应低于方法检出限且低于0.1ppb，零气空白检查不合格的化合物应对其进行标识。若超过20%的化合物或臭氧生成潜势较高的重点VOCs组分不合格，应对系统进行检查，检查零气质量或清洗、更换系统管路。</w:t>
      </w:r>
    </w:p>
    <w:p w14:paraId="5D216EFF">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（3）</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每月质量控制内容</w:t>
      </w:r>
    </w:p>
    <w:p w14:paraId="3B6A566D">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采样流量或压力检查，不低于每月一次的检查频率，或在绘制标准曲线前应使用在计量认证有效期内的标准流量计或压力计对采样流量或压力进行检查。检查结果的相对偏差应≤±5%，相对偏差超出±5%时应进行检查或重新校准，同时对期间监测数据进行复核，不合格的数据应进行数据异常标识。</w:t>
      </w:r>
    </w:p>
    <w:p w14:paraId="1AA25A08">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（4）</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每季度质量控制内容</w:t>
      </w:r>
    </w:p>
    <w:p w14:paraId="41E4DB81">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①</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标准曲线绘制</w:t>
      </w:r>
    </w:p>
    <w:p w14:paraId="2CA17B75">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绘制标准曲线前，应进行零气空白检查（全系统空白），空白合格时进行标准曲线绘制。标准曲线至少每三个月重新绘制一次，并且至少包含5个浓度点。关键部位维修维护或更换，如进行检测器的清洗、质谱调谐后，均需重新绘制标准曲线。标准曲线要求所有组分的R²均≥0.98。</w:t>
      </w:r>
    </w:p>
    <w:p w14:paraId="5611620F">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②</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验漏检查，系统状态检查时核查系统气密性，每三个月应按系统说明书的要求进行验漏检查。如系统条件允许，验漏应尽可能覆盖采样、富集/注射模块、气相色谱和检测器等全部环节。</w:t>
      </w:r>
    </w:p>
    <w:p w14:paraId="5F23325F">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③</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温度、压力传感器检查，如系统条件允许，应根据厂家提供的作业指导书或说明书的要求定期对富集模块、气相色谱和检测器的温度、压力传感器进行检查。</w:t>
      </w:r>
    </w:p>
    <w:p w14:paraId="1AA28B62">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（5）</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每年质量控制内容</w:t>
      </w:r>
    </w:p>
    <w:p w14:paraId="1C13F665">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年度预防性维护，每年对系统、辅助设备、校准或配气设备等开展预防性维护，对关键零部件进行拆卸清洁和保养，必要时进行更换。预防性维护后系统应进行全面质控检查。</w:t>
      </w:r>
    </w:p>
    <w:p w14:paraId="0D333E21">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（6）</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目标化合物测试</w:t>
      </w:r>
    </w:p>
    <w:p w14:paraId="10D3712D">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每年进行一次目标化合物测试，确定系统能够长期连续准确定性、定量的VOCs组分，形成该站点的目标化合物名录。考核指标主要包括空白检查、标准曲线、方法检出限和测定下限、分离度、期间精密度和准确度等。</w:t>
      </w:r>
    </w:p>
    <w:p w14:paraId="5A03016E">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①</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空白与残留检查</w:t>
      </w:r>
    </w:p>
    <w:p w14:paraId="085905F5">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依照标准测试方法分别进行零气空白和系统残留测试。记录测试时各化合物浓度，90%组分的检查结果应满足标准的要求≤0.1ppb。超过10%组分不合格时，应查找原因，对载气系统、采样/富集模块进行维护、更换，并重新绘制标准曲线，重新开始目标化合物测试工作。</w:t>
      </w:r>
    </w:p>
    <w:p w14:paraId="3BD2AE1F">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②</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标准曲线</w:t>
      </w:r>
    </w:p>
    <w:p w14:paraId="66504E76">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空白测试合格后，依照标准测试方法进行标准曲线的绘制，高污染季节或高污染地区可根据实际情况酌情提高。完成标准曲线绘制后，目标化合物测试阶段不得再对标准曲线进行更改。</w:t>
      </w:r>
    </w:p>
    <w:p w14:paraId="786B9819">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③</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方法检出限和测定下限</w:t>
      </w:r>
    </w:p>
    <w:p w14:paraId="24B630F8">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完成标准曲线后，在系统正常工作状态下，依照标准测试方法进行方法检出限和测定下限测试。90%组分（至少包括乙烷和乙烯）的方法检出限应≤0.1ppb；如超过10%组分不合格时，应对系统进行维护、检修，维护、检修后重新测试检出限。</w:t>
      </w:r>
    </w:p>
    <w:p w14:paraId="439CA721">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④</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分离度</w:t>
      </w:r>
    </w:p>
    <w:p w14:paraId="4B7F5B02">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依照标准测试方法进行分离度测试，应满足环戊烷和异戊烷的分离度、2，3-二甲基戊烷和2-甲基己烷的分离度及邻-二甲苯和苯乙烯的分离度达到1.0以上。</w:t>
      </w:r>
    </w:p>
    <w:p w14:paraId="05C24655">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⑤</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期间精密度和准确度.</w:t>
      </w:r>
    </w:p>
    <w:p w14:paraId="7061446F">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每年开展目标化合物测试期间，选取连续七天质控作为测试时间段，依照标准测试方法进行期间精密度和准确度测试。各浓度点的期间准确度应≤20%，期间精密度应≤20%（质谱检测器放宽至30%）。</w:t>
      </w:r>
    </w:p>
    <w:p w14:paraId="34DE6D11">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2、</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数据及应急维护管理</w:t>
      </w:r>
    </w:p>
    <w:p w14:paraId="341950CA">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1</w:t>
      </w: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数据保障及异常管理</w:t>
      </w:r>
    </w:p>
    <w:p w14:paraId="1B52B379">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（1）</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运维人员每日固定时间（7-21时，每2个小时一次）查看站点数据情况。</w:t>
      </w:r>
    </w:p>
    <w:p w14:paraId="61A2679E">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（2）</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连续出现相同测值的数据需远程查看设备状态，判断是否出现恒值情况，必要时立刻前往现场查看。</w:t>
      </w:r>
    </w:p>
    <w:p w14:paraId="043DD5BA">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（3）</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运维人员做到每天一次数据分析，分析各监测因子特征规律，及时发现离群、出峰异常等问题。</w:t>
      </w:r>
    </w:p>
    <w:p w14:paraId="2FDA665C">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2、</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应急维护管理</w:t>
      </w:r>
    </w:p>
    <w:p w14:paraId="26575FFC">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（1）</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站点出现异常需做到1小时响应，2小时到达现场的原则，保障仪器正常运行，数据正常传输。</w:t>
      </w:r>
    </w:p>
    <w:p w14:paraId="678E6AB3">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（2）</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站点出现异常且无法处理时，运维人员应立即向超站负责人汇报，由上级领导协调处理，禁止在未沟通时随便在业主群内汇报数据长期异常情况。</w:t>
      </w:r>
    </w:p>
    <w:p w14:paraId="4FF19038">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（3）</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站房内颗粒物组分及VOCs分析仪出现故障，需要在在江苏省颗粒物组分和VOCs联网微信群内报备，主要报备故障原因及预计恢复时间，同时在平台上填写故障报备单。</w:t>
      </w:r>
    </w:p>
    <w:p w14:paraId="4E4F2AC0">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（4）</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点发生断电断网后必须前往站点确认，不可电话远程咨询。站房断电，需查明具体断电原因，何时恢复供电，了解断电详情后向超站负责人汇报并在江苏省颗粒物组分和VOCs联网微信群内现场拍照汇报。站房外部停电需由当地供电部门提供停电证明，若现场施工导致站点停电，亦可由现场施工单位或者当地生态环境部门提供停电证明。站点停运3天或3天以上需由地方行文至省中心。</w:t>
      </w:r>
    </w:p>
    <w:p w14:paraId="250FBDB2">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3、</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站房安全及消防管理</w:t>
      </w:r>
    </w:p>
    <w:p w14:paraId="321E9C03">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1、</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查看站房的基础设施，包括避雷系统、消防、供电等设施。</w:t>
      </w:r>
    </w:p>
    <w:p w14:paraId="06263CFB">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2、</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检查站房外部情况，包括建筑物、站房防漏防渗等。</w:t>
      </w:r>
    </w:p>
    <w:p w14:paraId="44D2CD58">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3、</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站房内部出现异常气味，应打开门窗通风后，排查来源。</w:t>
      </w:r>
    </w:p>
    <w:p w14:paraId="3DC3CBAF">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4、</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检查站房内部设施，包括消防、照明、强弱电和接地、应急设施等。</w:t>
      </w:r>
    </w:p>
    <w:p w14:paraId="4E5A1A07">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5</w:t>
      </w: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发现站点存在安全隐患，应立即向超站负责人反馈，超站负责人逐级向上级汇报，尽快排除安全隐患。</w:t>
      </w:r>
    </w:p>
    <w:p w14:paraId="6F763401">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6</w:t>
      </w: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站房防雷报告到期前两个月向上级领导汇报，由公司安排防雷检测。</w:t>
      </w:r>
    </w:p>
    <w:p w14:paraId="0AADE656">
      <w:pPr>
        <w:spacing w:line="500" w:lineRule="exact"/>
        <w:ind w:firstLine="480" w:firstLineChars="200"/>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7</w:t>
      </w: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站房内气瓶必须安装防倾气瓶架或加装固定带，未使用气瓶必须加装帽盖。</w:t>
      </w:r>
    </w:p>
    <w:p w14:paraId="6B58CFAB">
      <w:pPr>
        <w:spacing w:line="500" w:lineRule="exact"/>
        <w:ind w:firstLine="480" w:firstLineChars="200"/>
        <w:rPr>
          <w:rFonts w:hint="default" w:ascii="宋体" w:hAnsi="宋体"/>
          <w:b/>
          <w:color w:val="000000" w:themeColor="text1"/>
          <w:sz w:val="24"/>
          <w:szCs w:val="24"/>
          <w:highlight w:val="none"/>
          <w:lang w:val="en-US" w:eastAsia="zh-CN"/>
          <w14:textFill>
            <w14:solidFill>
              <w14:schemeClr w14:val="tx1"/>
            </w14:solidFill>
          </w14:textFill>
        </w:rPr>
      </w:pP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8</w:t>
      </w:r>
      <w:r>
        <w:rPr>
          <w:rFonts w:hint="eastAsia"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w:t>
      </w:r>
      <w:r>
        <w:rPr>
          <w:rFonts w:hint="default" w:cs="Times New Roman" w:asciiTheme="minorEastAsia" w:hAnsiTheme="minorEastAsia" w:eastAsiaTheme="minorEastAsia"/>
          <w:snapToGrid w:val="0"/>
          <w:color w:val="000000" w:themeColor="text1"/>
          <w:sz w:val="24"/>
          <w:highlight w:val="none"/>
          <w:lang w:val="en-US" w:eastAsia="zh-CN"/>
          <w14:textFill>
            <w14:solidFill>
              <w14:schemeClr w14:val="tx1"/>
            </w14:solidFill>
          </w14:textFill>
        </w:rPr>
        <w:t>站房内灭火器摆放在显眼，方便拿取的位置，灭火器需保证在有效期内且压力需符合规范。</w:t>
      </w:r>
    </w:p>
    <w:p w14:paraId="78020AFB">
      <w:pPr>
        <w:tabs>
          <w:tab w:val="left" w:pos="1800"/>
        </w:tabs>
        <w:snapToGrid w:val="0"/>
        <w:spacing w:line="360" w:lineRule="auto"/>
        <w:ind w:firstLine="480" w:firstLineChars="200"/>
        <w:rPr>
          <w:rFonts w:ascii="宋体" w:hAnsi="宋体"/>
          <w:snapToGrid w:val="0"/>
          <w:color w:val="000000" w:themeColor="text1"/>
          <w:sz w:val="24"/>
          <w:highlight w:val="none"/>
          <w14:textFill>
            <w14:solidFill>
              <w14:schemeClr w14:val="tx1"/>
            </w14:solidFill>
          </w14:textFill>
        </w:rPr>
      </w:pPr>
    </w:p>
    <w:p w14:paraId="7BD24003">
      <w:pPr>
        <w:pStyle w:val="117"/>
        <w:spacing w:line="500" w:lineRule="exact"/>
        <w:ind w:left="0" w:leftChars="0" w:firstLine="0" w:firstLineChars="0"/>
        <w:jc w:val="left"/>
        <w:rPr>
          <w:rFonts w:ascii="宋体" w:hAnsi="宋体"/>
          <w:b/>
          <w:color w:val="000000" w:themeColor="text1"/>
          <w:sz w:val="24"/>
          <w:highlight w:val="none"/>
          <w14:textFill>
            <w14:solidFill>
              <w14:schemeClr w14:val="tx1"/>
            </w14:solidFill>
          </w14:textFill>
        </w:rPr>
      </w:pPr>
    </w:p>
    <w:bookmarkEnd w:id="121"/>
    <w:bookmarkEnd w:id="122"/>
    <w:bookmarkEnd w:id="123"/>
    <w:p w14:paraId="787B9C3F">
      <w:pPr>
        <w:rPr>
          <w:rFonts w:hint="eastAsia" w:ascii="宋体" w:hAnsi="宋体"/>
          <w:color w:val="000000" w:themeColor="text1"/>
          <w:sz w:val="36"/>
          <w:highlight w:val="none"/>
          <w:lang w:val="zh-CN"/>
          <w14:textFill>
            <w14:solidFill>
              <w14:schemeClr w14:val="tx1"/>
            </w14:solidFill>
          </w14:textFill>
        </w:rPr>
      </w:pPr>
      <w:bookmarkStart w:id="125" w:name="_Toc185323382"/>
      <w:bookmarkStart w:id="126" w:name="_Toc29038"/>
      <w:bookmarkStart w:id="127" w:name="_Toc458771617"/>
      <w:bookmarkStart w:id="128" w:name="_Toc480985231"/>
      <w:bookmarkStart w:id="129" w:name="_Toc25744"/>
      <w:r>
        <w:rPr>
          <w:rFonts w:hint="eastAsia" w:ascii="宋体" w:hAnsi="宋体"/>
          <w:color w:val="000000" w:themeColor="text1"/>
          <w:sz w:val="36"/>
          <w:highlight w:val="none"/>
          <w:lang w:val="zh-CN"/>
          <w14:textFill>
            <w14:solidFill>
              <w14:schemeClr w14:val="tx1"/>
            </w14:solidFill>
          </w14:textFill>
        </w:rPr>
        <w:br w:type="page"/>
      </w:r>
    </w:p>
    <w:p w14:paraId="28687E6B">
      <w:pPr>
        <w:spacing w:line="600" w:lineRule="exact"/>
        <w:jc w:val="center"/>
        <w:outlineLvl w:val="0"/>
        <w:rPr>
          <w:rFonts w:ascii="宋体" w:hAnsi="宋体"/>
          <w:color w:val="000000" w:themeColor="text1"/>
          <w:sz w:val="36"/>
          <w:highlight w:val="none"/>
          <w:lang w:val="zh-CN"/>
          <w14:textFill>
            <w14:solidFill>
              <w14:schemeClr w14:val="tx1"/>
            </w14:solidFill>
          </w14:textFill>
        </w:rPr>
      </w:pPr>
      <w:r>
        <w:rPr>
          <w:rFonts w:hint="eastAsia" w:ascii="宋体" w:hAnsi="宋体"/>
          <w:color w:val="000000" w:themeColor="text1"/>
          <w:sz w:val="36"/>
          <w:highlight w:val="none"/>
          <w:lang w:val="zh-CN"/>
          <w14:textFill>
            <w14:solidFill>
              <w14:schemeClr w14:val="tx1"/>
            </w14:solidFill>
          </w14:textFill>
        </w:rPr>
        <w:t>第四章 评分标准</w:t>
      </w:r>
      <w:bookmarkEnd w:id="125"/>
      <w:bookmarkEnd w:id="126"/>
      <w:bookmarkEnd w:id="127"/>
      <w:bookmarkEnd w:id="128"/>
      <w:bookmarkEnd w:id="129"/>
    </w:p>
    <w:tbl>
      <w:tblPr>
        <w:tblStyle w:val="37"/>
        <w:tblW w:w="102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959"/>
        <w:gridCol w:w="1398"/>
        <w:gridCol w:w="932"/>
        <w:gridCol w:w="4663"/>
        <w:gridCol w:w="1398"/>
      </w:tblGrid>
      <w:tr w14:paraId="6EAE4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868" w:type="dxa"/>
            <w:vAlign w:val="center"/>
          </w:tcPr>
          <w:p w14:paraId="401DB8DA">
            <w:pPr>
              <w:spacing w:line="240" w:lineRule="auto"/>
              <w:ind w:firstLine="0" w:firstLineChars="0"/>
              <w:jc w:val="center"/>
              <w:rPr>
                <w:highlight w:val="none"/>
              </w:rPr>
            </w:pPr>
            <w:r>
              <w:rPr>
                <w:highlight w:val="none"/>
              </w:rPr>
              <w:t>序号</w:t>
            </w:r>
          </w:p>
        </w:tc>
        <w:tc>
          <w:tcPr>
            <w:tcW w:w="7952" w:type="dxa"/>
            <w:gridSpan w:val="4"/>
            <w:vAlign w:val="center"/>
          </w:tcPr>
          <w:p w14:paraId="311E7508">
            <w:pPr>
              <w:spacing w:line="240" w:lineRule="auto"/>
              <w:ind w:firstLine="0" w:firstLineChars="0"/>
              <w:jc w:val="center"/>
              <w:rPr>
                <w:highlight w:val="none"/>
              </w:rPr>
            </w:pPr>
            <w:r>
              <w:rPr>
                <w:highlight w:val="none"/>
              </w:rPr>
              <w:t>评分项</w:t>
            </w:r>
          </w:p>
        </w:tc>
        <w:tc>
          <w:tcPr>
            <w:tcW w:w="1398" w:type="dxa"/>
            <w:vAlign w:val="center"/>
          </w:tcPr>
          <w:p w14:paraId="38A56543">
            <w:pPr>
              <w:spacing w:line="240" w:lineRule="auto"/>
              <w:ind w:firstLine="0" w:firstLineChars="0"/>
              <w:jc w:val="center"/>
              <w:rPr>
                <w:highlight w:val="none"/>
              </w:rPr>
            </w:pPr>
            <w:r>
              <w:rPr>
                <w:highlight w:val="none"/>
              </w:rPr>
              <w:t>分值</w:t>
            </w:r>
          </w:p>
        </w:tc>
      </w:tr>
      <w:tr w14:paraId="0D28E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868" w:type="dxa"/>
            <w:vAlign w:val="center"/>
          </w:tcPr>
          <w:p w14:paraId="09294863">
            <w:pPr>
              <w:spacing w:line="240" w:lineRule="auto"/>
              <w:ind w:firstLine="0" w:firstLineChars="0"/>
              <w:jc w:val="center"/>
              <w:rPr>
                <w:highlight w:val="none"/>
              </w:rPr>
            </w:pPr>
            <w:r>
              <w:rPr>
                <w:highlight w:val="none"/>
              </w:rPr>
              <w:t>1</w:t>
            </w:r>
          </w:p>
        </w:tc>
        <w:tc>
          <w:tcPr>
            <w:tcW w:w="9350" w:type="dxa"/>
            <w:gridSpan w:val="5"/>
            <w:vAlign w:val="center"/>
          </w:tcPr>
          <w:p w14:paraId="19A67246">
            <w:pPr>
              <w:spacing w:line="240" w:lineRule="auto"/>
              <w:ind w:firstLine="0" w:firstLineChars="0"/>
              <w:rPr>
                <w:highlight w:val="none"/>
              </w:rPr>
            </w:pPr>
            <w:r>
              <w:rPr>
                <w:highlight w:val="none"/>
              </w:rPr>
              <w:t>投标报价（</w:t>
            </w:r>
            <w:r>
              <w:rPr>
                <w:rFonts w:hint="eastAsia"/>
                <w:highlight w:val="none"/>
              </w:rPr>
              <w:t>1</w:t>
            </w:r>
            <w:r>
              <w:rPr>
                <w:highlight w:val="none"/>
              </w:rPr>
              <w:t>0分）</w:t>
            </w:r>
          </w:p>
        </w:tc>
      </w:tr>
      <w:tr w14:paraId="2323B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8" w:type="dxa"/>
            <w:vAlign w:val="center"/>
          </w:tcPr>
          <w:p w14:paraId="6C5E0230">
            <w:pPr>
              <w:spacing w:line="240" w:lineRule="auto"/>
              <w:ind w:firstLine="0" w:firstLineChars="0"/>
              <w:jc w:val="center"/>
              <w:rPr>
                <w:highlight w:val="none"/>
              </w:rPr>
            </w:pPr>
            <w:r>
              <w:rPr>
                <w:highlight w:val="none"/>
              </w:rPr>
              <w:t>投标报价</w:t>
            </w:r>
          </w:p>
        </w:tc>
        <w:tc>
          <w:tcPr>
            <w:tcW w:w="7952" w:type="dxa"/>
            <w:gridSpan w:val="4"/>
            <w:vAlign w:val="center"/>
          </w:tcPr>
          <w:p w14:paraId="594A17CB">
            <w:pPr>
              <w:spacing w:line="240" w:lineRule="auto"/>
              <w:ind w:firstLine="0" w:firstLineChars="0"/>
              <w:rPr>
                <w:highlight w:val="none"/>
              </w:rPr>
            </w:pPr>
            <w:r>
              <w:rPr>
                <w:highlight w:val="none"/>
              </w:rPr>
              <w:t>满足招标文件要求且投标价格最低的有效投标报价为评标基准价，其价格分为满分</w:t>
            </w:r>
            <w:r>
              <w:rPr>
                <w:rFonts w:hint="eastAsia"/>
                <w:highlight w:val="none"/>
              </w:rPr>
              <w:t>10</w:t>
            </w:r>
            <w:r>
              <w:rPr>
                <w:highlight w:val="none"/>
              </w:rPr>
              <w:t>分。</w:t>
            </w:r>
          </w:p>
          <w:p w14:paraId="20826D4D">
            <w:pPr>
              <w:spacing w:line="240" w:lineRule="auto"/>
              <w:ind w:firstLine="0" w:firstLineChars="0"/>
              <w:rPr>
                <w:highlight w:val="none"/>
              </w:rPr>
            </w:pPr>
            <w:r>
              <w:rPr>
                <w:highlight w:val="none"/>
              </w:rPr>
              <w:t>其他投标人的价格分统一按照下列公式计算：</w:t>
            </w:r>
            <w:r>
              <w:rPr>
                <w:b/>
                <w:highlight w:val="none"/>
              </w:rPr>
              <w:t>投标报价得分=（评标基准价/投标报价）×</w:t>
            </w:r>
            <w:r>
              <w:rPr>
                <w:rFonts w:hint="eastAsia"/>
                <w:b/>
                <w:highlight w:val="none"/>
              </w:rPr>
              <w:t>10</w:t>
            </w:r>
            <w:r>
              <w:rPr>
                <w:highlight w:val="none"/>
              </w:rPr>
              <w:t>，结果保留两位小数</w:t>
            </w:r>
            <w:r>
              <w:rPr>
                <w:b/>
                <w:highlight w:val="none"/>
              </w:rPr>
              <w:t>（</w:t>
            </w:r>
            <w:r>
              <w:rPr>
                <w:b/>
                <w:bCs/>
                <w:highlight w:val="none"/>
              </w:rPr>
              <w:t>有效投标文件是指未被评标委员会判定为无效标的投标文件</w:t>
            </w:r>
            <w:r>
              <w:rPr>
                <w:b/>
                <w:highlight w:val="none"/>
              </w:rPr>
              <w:t>）。</w:t>
            </w:r>
          </w:p>
        </w:tc>
        <w:tc>
          <w:tcPr>
            <w:tcW w:w="1398" w:type="dxa"/>
            <w:vAlign w:val="center"/>
          </w:tcPr>
          <w:p w14:paraId="3B7D35D6">
            <w:pPr>
              <w:spacing w:line="240" w:lineRule="auto"/>
              <w:ind w:firstLine="0" w:firstLineChars="0"/>
              <w:jc w:val="center"/>
              <w:rPr>
                <w:highlight w:val="none"/>
              </w:rPr>
            </w:pPr>
            <w:r>
              <w:rPr>
                <w:rFonts w:hint="eastAsia"/>
                <w:highlight w:val="none"/>
              </w:rPr>
              <w:t>10</w:t>
            </w:r>
          </w:p>
        </w:tc>
      </w:tr>
      <w:tr w14:paraId="0807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868" w:type="dxa"/>
            <w:vAlign w:val="center"/>
          </w:tcPr>
          <w:p w14:paraId="22F923E6">
            <w:pPr>
              <w:spacing w:line="240" w:lineRule="auto"/>
              <w:ind w:firstLine="0" w:firstLineChars="0"/>
              <w:jc w:val="center"/>
              <w:rPr>
                <w:highlight w:val="none"/>
              </w:rPr>
            </w:pPr>
            <w:r>
              <w:rPr>
                <w:highlight w:val="none"/>
              </w:rPr>
              <w:t>2</w:t>
            </w:r>
          </w:p>
        </w:tc>
        <w:tc>
          <w:tcPr>
            <w:tcW w:w="9350" w:type="dxa"/>
            <w:gridSpan w:val="5"/>
            <w:vAlign w:val="center"/>
          </w:tcPr>
          <w:p w14:paraId="4F44DF01">
            <w:pPr>
              <w:spacing w:line="240" w:lineRule="auto"/>
              <w:ind w:firstLine="0" w:firstLineChars="0"/>
              <w:rPr>
                <w:highlight w:val="none"/>
              </w:rPr>
            </w:pPr>
            <w:r>
              <w:rPr>
                <w:highlight w:val="none"/>
              </w:rPr>
              <w:t>综合实力部分（</w:t>
            </w:r>
            <w:r>
              <w:rPr>
                <w:rFonts w:hint="eastAsia"/>
                <w:highlight w:val="none"/>
              </w:rPr>
              <w:t>9</w:t>
            </w:r>
            <w:r>
              <w:rPr>
                <w:highlight w:val="none"/>
              </w:rPr>
              <w:t>0分）</w:t>
            </w:r>
          </w:p>
        </w:tc>
      </w:tr>
      <w:tr w14:paraId="4A24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2" w:hRule="atLeast"/>
          <w:jc w:val="center"/>
        </w:trPr>
        <w:tc>
          <w:tcPr>
            <w:tcW w:w="868" w:type="dxa"/>
            <w:vMerge w:val="restart"/>
            <w:vAlign w:val="center"/>
          </w:tcPr>
          <w:p w14:paraId="1B86F1A0">
            <w:pPr>
              <w:spacing w:line="240" w:lineRule="auto"/>
              <w:ind w:firstLine="0" w:firstLineChars="0"/>
              <w:jc w:val="center"/>
              <w:rPr>
                <w:highlight w:val="none"/>
              </w:rPr>
            </w:pPr>
            <w:r>
              <w:rPr>
                <w:highlight w:val="none"/>
              </w:rPr>
              <w:t>综</w:t>
            </w:r>
          </w:p>
          <w:p w14:paraId="17BFBC3B">
            <w:pPr>
              <w:spacing w:line="240" w:lineRule="auto"/>
              <w:ind w:firstLine="0" w:firstLineChars="0"/>
              <w:jc w:val="center"/>
              <w:rPr>
                <w:highlight w:val="none"/>
              </w:rPr>
            </w:pPr>
            <w:r>
              <w:rPr>
                <w:highlight w:val="none"/>
              </w:rPr>
              <w:t>合</w:t>
            </w:r>
          </w:p>
          <w:p w14:paraId="0CFD7A8C">
            <w:pPr>
              <w:spacing w:line="240" w:lineRule="auto"/>
              <w:ind w:firstLine="0" w:firstLineChars="0"/>
              <w:jc w:val="center"/>
              <w:rPr>
                <w:highlight w:val="none"/>
              </w:rPr>
            </w:pPr>
            <w:r>
              <w:rPr>
                <w:highlight w:val="none"/>
              </w:rPr>
              <w:t>评</w:t>
            </w:r>
          </w:p>
          <w:p w14:paraId="4635A72D">
            <w:pPr>
              <w:spacing w:line="240" w:lineRule="auto"/>
              <w:ind w:firstLine="0" w:firstLineChars="0"/>
              <w:jc w:val="center"/>
              <w:rPr>
                <w:highlight w:val="none"/>
              </w:rPr>
            </w:pPr>
            <w:r>
              <w:rPr>
                <w:highlight w:val="none"/>
              </w:rPr>
              <w:t>价</w:t>
            </w:r>
          </w:p>
        </w:tc>
        <w:tc>
          <w:tcPr>
            <w:tcW w:w="2357" w:type="dxa"/>
            <w:gridSpan w:val="2"/>
            <w:vAlign w:val="center"/>
          </w:tcPr>
          <w:p w14:paraId="31C53942">
            <w:pPr>
              <w:spacing w:line="240" w:lineRule="auto"/>
              <w:ind w:firstLine="0" w:firstLineChars="0"/>
              <w:jc w:val="center"/>
              <w:rPr>
                <w:highlight w:val="none"/>
              </w:rPr>
            </w:pPr>
            <w:r>
              <w:rPr>
                <w:highlight w:val="none"/>
              </w:rPr>
              <w:t>评分因素</w:t>
            </w:r>
          </w:p>
        </w:tc>
        <w:tc>
          <w:tcPr>
            <w:tcW w:w="932" w:type="dxa"/>
            <w:vAlign w:val="center"/>
          </w:tcPr>
          <w:p w14:paraId="0C73CEDB">
            <w:pPr>
              <w:spacing w:line="240" w:lineRule="auto"/>
              <w:ind w:firstLine="0" w:firstLineChars="0"/>
              <w:jc w:val="center"/>
              <w:rPr>
                <w:highlight w:val="none"/>
              </w:rPr>
            </w:pPr>
            <w:r>
              <w:rPr>
                <w:highlight w:val="none"/>
              </w:rPr>
              <w:t>分值</w:t>
            </w:r>
          </w:p>
        </w:tc>
        <w:tc>
          <w:tcPr>
            <w:tcW w:w="6061" w:type="dxa"/>
            <w:gridSpan w:val="2"/>
            <w:vAlign w:val="center"/>
          </w:tcPr>
          <w:p w14:paraId="089C7BDC">
            <w:pPr>
              <w:spacing w:line="240" w:lineRule="auto"/>
              <w:ind w:firstLine="0" w:firstLineChars="0"/>
              <w:jc w:val="center"/>
              <w:rPr>
                <w:highlight w:val="none"/>
              </w:rPr>
            </w:pPr>
            <w:r>
              <w:rPr>
                <w:highlight w:val="none"/>
              </w:rPr>
              <w:t>评分准则</w:t>
            </w:r>
          </w:p>
        </w:tc>
      </w:tr>
      <w:tr w14:paraId="35EFC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38" w:hRule="atLeast"/>
          <w:jc w:val="center"/>
        </w:trPr>
        <w:tc>
          <w:tcPr>
            <w:tcW w:w="868" w:type="dxa"/>
            <w:vMerge w:val="continue"/>
            <w:vAlign w:val="center"/>
          </w:tcPr>
          <w:p w14:paraId="6619BF5E">
            <w:pPr>
              <w:spacing w:line="240" w:lineRule="auto"/>
              <w:ind w:firstLine="0" w:firstLineChars="0"/>
              <w:jc w:val="center"/>
              <w:rPr>
                <w:highlight w:val="none"/>
              </w:rPr>
            </w:pPr>
          </w:p>
        </w:tc>
        <w:tc>
          <w:tcPr>
            <w:tcW w:w="959" w:type="dxa"/>
            <w:vMerge w:val="restart"/>
            <w:vAlign w:val="center"/>
          </w:tcPr>
          <w:p w14:paraId="166D778B">
            <w:pPr>
              <w:spacing w:line="240" w:lineRule="auto"/>
              <w:ind w:firstLine="0" w:firstLineChars="0"/>
              <w:jc w:val="center"/>
              <w:rPr>
                <w:highlight w:val="none"/>
              </w:rPr>
            </w:pPr>
            <w:r>
              <w:rPr>
                <w:rFonts w:hint="eastAsia"/>
                <w:highlight w:val="none"/>
              </w:rPr>
              <w:t xml:space="preserve">商务部分 </w:t>
            </w:r>
          </w:p>
        </w:tc>
        <w:tc>
          <w:tcPr>
            <w:tcW w:w="1398" w:type="dxa"/>
            <w:vAlign w:val="center"/>
          </w:tcPr>
          <w:p w14:paraId="1D1895B0">
            <w:pPr>
              <w:spacing w:line="240" w:lineRule="auto"/>
              <w:ind w:firstLine="0" w:firstLineChars="0"/>
              <w:jc w:val="center"/>
              <w:rPr>
                <w:highlight w:val="none"/>
              </w:rPr>
            </w:pPr>
            <w:r>
              <w:rPr>
                <w:highlight w:val="none"/>
              </w:rPr>
              <w:t>业绩</w:t>
            </w:r>
          </w:p>
        </w:tc>
        <w:tc>
          <w:tcPr>
            <w:tcW w:w="932" w:type="dxa"/>
            <w:vAlign w:val="center"/>
          </w:tcPr>
          <w:p w14:paraId="5780E3AF">
            <w:pPr>
              <w:spacing w:line="240" w:lineRule="auto"/>
              <w:ind w:firstLine="0" w:firstLineChars="0"/>
              <w:jc w:val="center"/>
              <w:rPr>
                <w:highlight w:val="none"/>
              </w:rPr>
            </w:pPr>
            <w:r>
              <w:rPr>
                <w:rFonts w:hint="eastAsia"/>
                <w:highlight w:val="none"/>
              </w:rPr>
              <w:t>12</w:t>
            </w:r>
          </w:p>
        </w:tc>
        <w:tc>
          <w:tcPr>
            <w:tcW w:w="6061" w:type="dxa"/>
            <w:gridSpan w:val="2"/>
            <w:vAlign w:val="center"/>
          </w:tcPr>
          <w:p w14:paraId="505CFD97">
            <w:pPr>
              <w:spacing w:line="240" w:lineRule="auto"/>
              <w:ind w:firstLine="0" w:firstLineChars="0"/>
              <w:rPr>
                <w:highlight w:val="none"/>
              </w:rPr>
            </w:pPr>
            <w:r>
              <w:rPr>
                <w:highlight w:val="none"/>
              </w:rPr>
              <w:t>自</w:t>
            </w:r>
            <w:r>
              <w:rPr>
                <w:rFonts w:hint="eastAsia"/>
                <w:highlight w:val="none"/>
              </w:rPr>
              <w:t>2023</w:t>
            </w:r>
            <w:r>
              <w:rPr>
                <w:highlight w:val="none"/>
              </w:rPr>
              <w:t>年1月1日（含）至今（以合同签订时间为准），投标人承接过VOCs自动监测站运维类似项目的，每提供一份合同得</w:t>
            </w:r>
            <w:r>
              <w:rPr>
                <w:rFonts w:hint="eastAsia"/>
                <w:highlight w:val="none"/>
              </w:rPr>
              <w:t>2</w:t>
            </w:r>
            <w:r>
              <w:rPr>
                <w:highlight w:val="none"/>
              </w:rPr>
              <w:t>分，本项最多得</w:t>
            </w:r>
            <w:r>
              <w:rPr>
                <w:rFonts w:hint="eastAsia"/>
                <w:highlight w:val="none"/>
              </w:rPr>
              <w:t>12</w:t>
            </w:r>
            <w:r>
              <w:rPr>
                <w:highlight w:val="none"/>
              </w:rPr>
              <w:t>分。</w:t>
            </w:r>
          </w:p>
          <w:p w14:paraId="0B97E6E3">
            <w:pPr>
              <w:spacing w:line="240" w:lineRule="auto"/>
              <w:ind w:firstLine="0" w:firstLineChars="0"/>
              <w:rPr>
                <w:highlight w:val="none"/>
              </w:rPr>
            </w:pPr>
            <w:r>
              <w:rPr>
                <w:highlight w:val="none"/>
              </w:rPr>
              <w:t>（须提供业绩</w:t>
            </w:r>
            <w:r>
              <w:rPr>
                <w:rFonts w:hint="eastAsia"/>
                <w:highlight w:val="none"/>
                <w:lang w:val="en-US" w:eastAsia="zh-CN"/>
              </w:rPr>
              <w:t>中标通知书及</w:t>
            </w:r>
            <w:r>
              <w:rPr>
                <w:highlight w:val="none"/>
              </w:rPr>
              <w:t>合同复印件加盖投标人公章）</w:t>
            </w:r>
          </w:p>
        </w:tc>
      </w:tr>
      <w:tr w14:paraId="305DC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33" w:hRule="atLeast"/>
          <w:jc w:val="center"/>
        </w:trPr>
        <w:tc>
          <w:tcPr>
            <w:tcW w:w="868" w:type="dxa"/>
            <w:vMerge w:val="continue"/>
            <w:vAlign w:val="center"/>
          </w:tcPr>
          <w:p w14:paraId="33B534A6">
            <w:pPr>
              <w:spacing w:line="240" w:lineRule="auto"/>
              <w:ind w:firstLine="0" w:firstLineChars="0"/>
              <w:jc w:val="center"/>
              <w:rPr>
                <w:highlight w:val="none"/>
              </w:rPr>
            </w:pPr>
          </w:p>
        </w:tc>
        <w:tc>
          <w:tcPr>
            <w:tcW w:w="959" w:type="dxa"/>
            <w:vMerge w:val="continue"/>
            <w:vAlign w:val="center"/>
          </w:tcPr>
          <w:p w14:paraId="6A191980">
            <w:pPr>
              <w:spacing w:line="240" w:lineRule="auto"/>
              <w:ind w:firstLine="0" w:firstLineChars="0"/>
              <w:jc w:val="center"/>
              <w:rPr>
                <w:highlight w:val="none"/>
              </w:rPr>
            </w:pPr>
          </w:p>
        </w:tc>
        <w:tc>
          <w:tcPr>
            <w:tcW w:w="1398" w:type="dxa"/>
            <w:vMerge w:val="restart"/>
            <w:vAlign w:val="center"/>
          </w:tcPr>
          <w:p w14:paraId="713B494B">
            <w:pPr>
              <w:spacing w:line="240" w:lineRule="auto"/>
              <w:ind w:firstLine="0" w:firstLineChars="0"/>
              <w:jc w:val="center"/>
              <w:rPr>
                <w:highlight w:val="none"/>
              </w:rPr>
            </w:pPr>
            <w:r>
              <w:rPr>
                <w:rFonts w:hint="eastAsia"/>
                <w:highlight w:val="none"/>
              </w:rPr>
              <w:t>综合实力</w:t>
            </w:r>
          </w:p>
        </w:tc>
        <w:tc>
          <w:tcPr>
            <w:tcW w:w="932" w:type="dxa"/>
            <w:vMerge w:val="restart"/>
            <w:vAlign w:val="center"/>
          </w:tcPr>
          <w:p w14:paraId="56212CE0">
            <w:pPr>
              <w:spacing w:line="240" w:lineRule="auto"/>
              <w:ind w:firstLine="0" w:firstLineChars="0"/>
              <w:jc w:val="center"/>
              <w:rPr>
                <w:highlight w:val="none"/>
              </w:rPr>
            </w:pPr>
            <w:r>
              <w:rPr>
                <w:rFonts w:hint="eastAsia"/>
                <w:highlight w:val="none"/>
              </w:rPr>
              <w:t>13</w:t>
            </w:r>
          </w:p>
        </w:tc>
        <w:tc>
          <w:tcPr>
            <w:tcW w:w="6061" w:type="dxa"/>
            <w:gridSpan w:val="2"/>
            <w:vAlign w:val="center"/>
          </w:tcPr>
          <w:p w14:paraId="0B3F6086">
            <w:pPr>
              <w:spacing w:line="240" w:lineRule="auto"/>
              <w:ind w:firstLine="0" w:firstLineChars="0"/>
              <w:rPr>
                <w:highlight w:val="none"/>
              </w:rPr>
            </w:pPr>
            <w:r>
              <w:rPr>
                <w:rFonts w:hint="eastAsia"/>
                <w:highlight w:val="none"/>
              </w:rPr>
              <w:t>1、投标人具有</w:t>
            </w:r>
            <w:r>
              <w:rPr>
                <w:rFonts w:hint="eastAsia"/>
                <w:highlight w:val="none"/>
                <w:lang w:val="en-US" w:eastAsia="zh-CN"/>
              </w:rPr>
              <w:t>有效期内的</w:t>
            </w:r>
            <w:r>
              <w:rPr>
                <w:rFonts w:hint="eastAsia"/>
                <w:highlight w:val="none"/>
              </w:rPr>
              <w:t>测量管理体系（AAA）认证证书（认证范围：含运维服务），ITSS信息技术服务标准符合性证书，每提供一个得</w:t>
            </w:r>
            <w:r>
              <w:rPr>
                <w:rFonts w:hint="eastAsia"/>
                <w:highlight w:val="none"/>
                <w:lang w:val="en-US" w:eastAsia="zh-CN"/>
              </w:rPr>
              <w:t>2</w:t>
            </w:r>
            <w:r>
              <w:rPr>
                <w:rFonts w:hint="eastAsia"/>
                <w:highlight w:val="none"/>
              </w:rPr>
              <w:t>分，本项最多得</w:t>
            </w:r>
            <w:r>
              <w:rPr>
                <w:rFonts w:hint="eastAsia"/>
                <w:highlight w:val="none"/>
                <w:lang w:val="en-US" w:eastAsia="zh-CN"/>
              </w:rPr>
              <w:t>4</w:t>
            </w:r>
            <w:r>
              <w:rPr>
                <w:rFonts w:hint="eastAsia"/>
                <w:highlight w:val="none"/>
              </w:rPr>
              <w:t>分。</w:t>
            </w:r>
          </w:p>
          <w:p w14:paraId="1CC8DA4D">
            <w:pPr>
              <w:spacing w:line="240" w:lineRule="auto"/>
              <w:ind w:firstLine="0" w:firstLineChars="0"/>
              <w:rPr>
                <w:bCs/>
                <w:highlight w:val="none"/>
              </w:rPr>
            </w:pPr>
            <w:r>
              <w:rPr>
                <w:rFonts w:hint="eastAsia"/>
                <w:highlight w:val="none"/>
              </w:rPr>
              <w:t>（须提供证明材料复印件加盖投标人公章）</w:t>
            </w:r>
          </w:p>
        </w:tc>
      </w:tr>
      <w:tr w14:paraId="30308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4" w:hRule="atLeast"/>
          <w:jc w:val="center"/>
        </w:trPr>
        <w:tc>
          <w:tcPr>
            <w:tcW w:w="868" w:type="dxa"/>
            <w:vMerge w:val="continue"/>
            <w:vAlign w:val="center"/>
          </w:tcPr>
          <w:p w14:paraId="0345045C">
            <w:pPr>
              <w:spacing w:line="240" w:lineRule="auto"/>
              <w:ind w:firstLine="0" w:firstLineChars="0"/>
              <w:jc w:val="center"/>
              <w:rPr>
                <w:highlight w:val="none"/>
              </w:rPr>
            </w:pPr>
          </w:p>
        </w:tc>
        <w:tc>
          <w:tcPr>
            <w:tcW w:w="959" w:type="dxa"/>
            <w:vMerge w:val="continue"/>
            <w:vAlign w:val="center"/>
          </w:tcPr>
          <w:p w14:paraId="3A09C0A7">
            <w:pPr>
              <w:spacing w:line="240" w:lineRule="auto"/>
              <w:ind w:firstLine="0" w:firstLineChars="0"/>
              <w:jc w:val="center"/>
              <w:rPr>
                <w:highlight w:val="none"/>
              </w:rPr>
            </w:pPr>
          </w:p>
        </w:tc>
        <w:tc>
          <w:tcPr>
            <w:tcW w:w="1398" w:type="dxa"/>
            <w:vMerge w:val="continue"/>
            <w:vAlign w:val="center"/>
          </w:tcPr>
          <w:p w14:paraId="53573F84">
            <w:pPr>
              <w:spacing w:line="240" w:lineRule="auto"/>
              <w:ind w:firstLine="0" w:firstLineChars="0"/>
              <w:jc w:val="center"/>
              <w:rPr>
                <w:highlight w:val="none"/>
              </w:rPr>
            </w:pPr>
          </w:p>
        </w:tc>
        <w:tc>
          <w:tcPr>
            <w:tcW w:w="932" w:type="dxa"/>
            <w:vMerge w:val="continue"/>
            <w:vAlign w:val="center"/>
          </w:tcPr>
          <w:p w14:paraId="0B2E3BF9">
            <w:pPr>
              <w:spacing w:line="240" w:lineRule="auto"/>
              <w:ind w:firstLine="0" w:firstLineChars="0"/>
              <w:jc w:val="center"/>
              <w:rPr>
                <w:highlight w:val="none"/>
              </w:rPr>
            </w:pPr>
          </w:p>
        </w:tc>
        <w:tc>
          <w:tcPr>
            <w:tcW w:w="6061" w:type="dxa"/>
            <w:gridSpan w:val="2"/>
            <w:vAlign w:val="center"/>
          </w:tcPr>
          <w:p w14:paraId="0F84C02F">
            <w:pPr>
              <w:numPr>
                <w:ilvl w:val="0"/>
                <w:numId w:val="0"/>
              </w:numPr>
              <w:spacing w:line="240" w:lineRule="auto"/>
              <w:rPr>
                <w:highlight w:val="none"/>
              </w:rPr>
            </w:pPr>
            <w:r>
              <w:rPr>
                <w:rFonts w:hint="eastAsia" w:ascii="Times New Roman" w:hAnsi="Times New Roman" w:eastAsia="宋体" w:cs="Times New Roman"/>
                <w:kern w:val="2"/>
                <w:sz w:val="21"/>
                <w:szCs w:val="24"/>
                <w:highlight w:val="none"/>
                <w:lang w:val="en-US" w:eastAsia="zh-CN" w:bidi="ar-SA"/>
              </w:rPr>
              <w:t>2、</w:t>
            </w:r>
            <w:r>
              <w:rPr>
                <w:bCs/>
                <w:highlight w:val="none"/>
              </w:rPr>
              <w:t>投标人202</w:t>
            </w:r>
            <w:r>
              <w:rPr>
                <w:rFonts w:hint="eastAsia"/>
                <w:bCs/>
                <w:highlight w:val="none"/>
              </w:rPr>
              <w:t>3</w:t>
            </w:r>
            <w:r>
              <w:rPr>
                <w:bCs/>
                <w:highlight w:val="none"/>
              </w:rPr>
              <w:t>年</w:t>
            </w:r>
            <w:r>
              <w:rPr>
                <w:rFonts w:hint="eastAsia"/>
                <w:bCs/>
                <w:highlight w:val="none"/>
                <w:lang w:val="en-US" w:eastAsia="zh-CN"/>
              </w:rPr>
              <w:t>1月1日</w:t>
            </w:r>
            <w:r>
              <w:rPr>
                <w:bCs/>
                <w:highlight w:val="none"/>
              </w:rPr>
              <w:t>至今获得过省级及以上环境监测类技能竞赛类一等奖的得</w:t>
            </w:r>
            <w:r>
              <w:rPr>
                <w:rFonts w:hint="eastAsia"/>
                <w:bCs/>
                <w:highlight w:val="none"/>
                <w:lang w:val="en-US" w:eastAsia="zh-CN"/>
              </w:rPr>
              <w:t>5</w:t>
            </w:r>
            <w:r>
              <w:rPr>
                <w:bCs/>
                <w:highlight w:val="none"/>
              </w:rPr>
              <w:t>分，二等奖的得</w:t>
            </w:r>
            <w:r>
              <w:rPr>
                <w:rFonts w:hint="eastAsia"/>
                <w:bCs/>
                <w:highlight w:val="none"/>
                <w:lang w:val="en-US" w:eastAsia="zh-CN"/>
              </w:rPr>
              <w:t>3</w:t>
            </w:r>
            <w:r>
              <w:rPr>
                <w:bCs/>
                <w:highlight w:val="none"/>
              </w:rPr>
              <w:t>分，三等奖的得1分，本项最高</w:t>
            </w:r>
            <w:r>
              <w:rPr>
                <w:rFonts w:hint="eastAsia"/>
                <w:bCs/>
                <w:highlight w:val="none"/>
                <w:lang w:val="en-US" w:eastAsia="zh-CN"/>
              </w:rPr>
              <w:t>5</w:t>
            </w:r>
            <w:r>
              <w:rPr>
                <w:bCs/>
                <w:highlight w:val="none"/>
              </w:rPr>
              <w:t>分。</w:t>
            </w:r>
            <w:r>
              <w:rPr>
                <w:highlight w:val="none"/>
              </w:rPr>
              <w:t>（</w:t>
            </w:r>
            <w:r>
              <w:rPr>
                <w:bCs/>
                <w:highlight w:val="none"/>
              </w:rPr>
              <w:t>须提供获奖证书复印件加盖投标人公章</w:t>
            </w:r>
            <w:r>
              <w:rPr>
                <w:highlight w:val="none"/>
              </w:rPr>
              <w:t>）</w:t>
            </w:r>
            <w:r>
              <w:rPr>
                <w:rFonts w:hint="eastAsia"/>
                <w:highlight w:val="none"/>
              </w:rPr>
              <w:t>；</w:t>
            </w:r>
          </w:p>
        </w:tc>
      </w:tr>
      <w:tr w14:paraId="39FD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84" w:hRule="atLeast"/>
          <w:jc w:val="center"/>
        </w:trPr>
        <w:tc>
          <w:tcPr>
            <w:tcW w:w="868" w:type="dxa"/>
            <w:vMerge w:val="continue"/>
            <w:vAlign w:val="center"/>
          </w:tcPr>
          <w:p w14:paraId="7D0BB07F">
            <w:pPr>
              <w:spacing w:line="240" w:lineRule="auto"/>
              <w:ind w:firstLine="0" w:firstLineChars="0"/>
              <w:jc w:val="center"/>
              <w:rPr>
                <w:highlight w:val="none"/>
              </w:rPr>
            </w:pPr>
          </w:p>
        </w:tc>
        <w:tc>
          <w:tcPr>
            <w:tcW w:w="959" w:type="dxa"/>
            <w:vMerge w:val="continue"/>
            <w:vAlign w:val="center"/>
          </w:tcPr>
          <w:p w14:paraId="49706F63">
            <w:pPr>
              <w:spacing w:line="240" w:lineRule="auto"/>
              <w:ind w:firstLine="0" w:firstLineChars="0"/>
              <w:jc w:val="center"/>
              <w:rPr>
                <w:highlight w:val="none"/>
              </w:rPr>
            </w:pPr>
          </w:p>
        </w:tc>
        <w:tc>
          <w:tcPr>
            <w:tcW w:w="1398" w:type="dxa"/>
            <w:vMerge w:val="continue"/>
            <w:vAlign w:val="center"/>
          </w:tcPr>
          <w:p w14:paraId="24507BE4">
            <w:pPr>
              <w:spacing w:line="240" w:lineRule="auto"/>
              <w:ind w:firstLine="0" w:firstLineChars="0"/>
              <w:jc w:val="center"/>
              <w:rPr>
                <w:highlight w:val="none"/>
              </w:rPr>
            </w:pPr>
          </w:p>
        </w:tc>
        <w:tc>
          <w:tcPr>
            <w:tcW w:w="932" w:type="dxa"/>
            <w:vMerge w:val="continue"/>
            <w:vAlign w:val="center"/>
          </w:tcPr>
          <w:p w14:paraId="569CFEE7">
            <w:pPr>
              <w:spacing w:line="240" w:lineRule="auto"/>
              <w:ind w:firstLine="0" w:firstLineChars="0"/>
              <w:jc w:val="center"/>
              <w:rPr>
                <w:highlight w:val="none"/>
              </w:rPr>
            </w:pPr>
          </w:p>
        </w:tc>
        <w:tc>
          <w:tcPr>
            <w:tcW w:w="6061" w:type="dxa"/>
            <w:gridSpan w:val="2"/>
            <w:vAlign w:val="center"/>
          </w:tcPr>
          <w:p w14:paraId="322C6BB6">
            <w:pPr>
              <w:numPr>
                <w:ilvl w:val="0"/>
                <w:numId w:val="0"/>
              </w:numPr>
              <w:spacing w:line="240" w:lineRule="auto"/>
              <w:rPr>
                <w:rFonts w:hint="eastAsia"/>
                <w:highlight w:val="none"/>
              </w:rPr>
            </w:pPr>
            <w:r>
              <w:rPr>
                <w:rFonts w:hint="eastAsia"/>
                <w:bCs/>
                <w:highlight w:val="none"/>
                <w:lang w:val="en-US" w:eastAsia="zh-CN"/>
              </w:rPr>
              <w:t>3、</w:t>
            </w:r>
            <w:r>
              <w:rPr>
                <w:bCs/>
                <w:highlight w:val="none"/>
              </w:rPr>
              <w:t>投标人具有空气环境质量在线监测平台类、智慧环境大数据类计算机软件著作权登记证书的，每</w:t>
            </w:r>
            <w:r>
              <w:rPr>
                <w:rFonts w:hint="eastAsia"/>
                <w:bCs/>
                <w:highlight w:val="none"/>
              </w:rPr>
              <w:t>提供一个</w:t>
            </w:r>
            <w:r>
              <w:rPr>
                <w:bCs/>
                <w:highlight w:val="none"/>
              </w:rPr>
              <w:t>得</w:t>
            </w:r>
            <w:r>
              <w:rPr>
                <w:rFonts w:hint="eastAsia"/>
                <w:bCs/>
                <w:highlight w:val="none"/>
              </w:rPr>
              <w:t>2</w:t>
            </w:r>
            <w:r>
              <w:rPr>
                <w:bCs/>
                <w:highlight w:val="none"/>
              </w:rPr>
              <w:t>分，最高得</w:t>
            </w:r>
            <w:r>
              <w:rPr>
                <w:rFonts w:hint="eastAsia"/>
                <w:bCs/>
                <w:highlight w:val="none"/>
              </w:rPr>
              <w:t>4</w:t>
            </w:r>
            <w:r>
              <w:rPr>
                <w:bCs/>
                <w:highlight w:val="none"/>
              </w:rPr>
              <w:t>分。</w:t>
            </w:r>
            <w:r>
              <w:rPr>
                <w:highlight w:val="none"/>
              </w:rPr>
              <w:t>（须提供软件著作权或软件知识产权证明等，提供有效期内的证书复印件加盖投标人公章）</w:t>
            </w:r>
          </w:p>
        </w:tc>
      </w:tr>
      <w:tr w14:paraId="34956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28" w:hRule="atLeast"/>
          <w:jc w:val="center"/>
        </w:trPr>
        <w:tc>
          <w:tcPr>
            <w:tcW w:w="868" w:type="dxa"/>
            <w:vMerge w:val="continue"/>
            <w:vAlign w:val="center"/>
          </w:tcPr>
          <w:p w14:paraId="4FDFCA16">
            <w:pPr>
              <w:spacing w:line="240" w:lineRule="auto"/>
              <w:ind w:firstLine="0" w:firstLineChars="0"/>
              <w:jc w:val="center"/>
              <w:rPr>
                <w:highlight w:val="none"/>
              </w:rPr>
            </w:pPr>
          </w:p>
        </w:tc>
        <w:tc>
          <w:tcPr>
            <w:tcW w:w="959" w:type="dxa"/>
            <w:vMerge w:val="continue"/>
            <w:vAlign w:val="center"/>
          </w:tcPr>
          <w:p w14:paraId="683FAF6C">
            <w:pPr>
              <w:spacing w:line="240" w:lineRule="auto"/>
              <w:ind w:firstLine="0" w:firstLineChars="0"/>
              <w:jc w:val="center"/>
              <w:rPr>
                <w:highlight w:val="none"/>
              </w:rPr>
            </w:pPr>
          </w:p>
        </w:tc>
        <w:tc>
          <w:tcPr>
            <w:tcW w:w="1398" w:type="dxa"/>
            <w:vAlign w:val="center"/>
          </w:tcPr>
          <w:p w14:paraId="5CFF3499">
            <w:pPr>
              <w:spacing w:line="240" w:lineRule="auto"/>
              <w:ind w:firstLine="0" w:firstLineChars="0"/>
              <w:jc w:val="center"/>
              <w:rPr>
                <w:highlight w:val="none"/>
              </w:rPr>
            </w:pPr>
            <w:r>
              <w:rPr>
                <w:highlight w:val="none"/>
              </w:rPr>
              <w:t>CMA实验室</w:t>
            </w:r>
          </w:p>
        </w:tc>
        <w:tc>
          <w:tcPr>
            <w:tcW w:w="932" w:type="dxa"/>
            <w:vAlign w:val="center"/>
          </w:tcPr>
          <w:p w14:paraId="7323118E">
            <w:pPr>
              <w:spacing w:line="240" w:lineRule="auto"/>
              <w:ind w:firstLine="0" w:firstLineChars="0"/>
              <w:jc w:val="center"/>
              <w:rPr>
                <w:highlight w:val="none"/>
              </w:rPr>
            </w:pPr>
            <w:r>
              <w:rPr>
                <w:rFonts w:hint="eastAsia"/>
                <w:highlight w:val="none"/>
              </w:rPr>
              <w:t>5</w:t>
            </w:r>
          </w:p>
        </w:tc>
        <w:tc>
          <w:tcPr>
            <w:tcW w:w="6061" w:type="dxa"/>
            <w:gridSpan w:val="2"/>
            <w:vAlign w:val="center"/>
          </w:tcPr>
          <w:p w14:paraId="5B109512">
            <w:pPr>
              <w:spacing w:line="240" w:lineRule="auto"/>
              <w:ind w:firstLine="0" w:firstLineChars="0"/>
              <w:rPr>
                <w:highlight w:val="none"/>
              </w:rPr>
            </w:pPr>
            <w:r>
              <w:rPr>
                <w:highlight w:val="none"/>
              </w:rPr>
              <w:t>投标人在江苏省内自有用于质量控制的CMA实验室的得</w:t>
            </w:r>
            <w:r>
              <w:rPr>
                <w:rFonts w:hint="eastAsia"/>
                <w:highlight w:val="none"/>
              </w:rPr>
              <w:t>5</w:t>
            </w:r>
            <w:r>
              <w:rPr>
                <w:highlight w:val="none"/>
              </w:rPr>
              <w:t>分；投标人自身无实验室，但在江苏省内委托相关认证实验室（需提供服务期包含本次运维周期的委托协议）的得2分。（实验室认证范围需包含挥发性有机物）</w:t>
            </w:r>
          </w:p>
          <w:p w14:paraId="1718E4A8">
            <w:pPr>
              <w:spacing w:line="240" w:lineRule="auto"/>
              <w:ind w:firstLine="0" w:firstLineChars="0"/>
              <w:rPr>
                <w:highlight w:val="none"/>
              </w:rPr>
            </w:pPr>
            <w:r>
              <w:rPr>
                <w:highlight w:val="none"/>
              </w:rPr>
              <w:t>（须提供实验室资质证书及涵盖本项目指标的计量认证复印件加盖公章，不满足不得分。）</w:t>
            </w:r>
          </w:p>
        </w:tc>
      </w:tr>
      <w:tr w14:paraId="0AE2E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4" w:hRule="atLeast"/>
          <w:jc w:val="center"/>
        </w:trPr>
        <w:tc>
          <w:tcPr>
            <w:tcW w:w="868" w:type="dxa"/>
            <w:vMerge w:val="continue"/>
            <w:vAlign w:val="center"/>
          </w:tcPr>
          <w:p w14:paraId="556B4EA2">
            <w:pPr>
              <w:spacing w:line="240" w:lineRule="auto"/>
              <w:ind w:firstLine="0" w:firstLineChars="0"/>
              <w:jc w:val="center"/>
              <w:rPr>
                <w:highlight w:val="none"/>
              </w:rPr>
            </w:pPr>
          </w:p>
        </w:tc>
        <w:tc>
          <w:tcPr>
            <w:tcW w:w="959" w:type="dxa"/>
            <w:vMerge w:val="continue"/>
            <w:vAlign w:val="center"/>
          </w:tcPr>
          <w:p w14:paraId="3EAA4199">
            <w:pPr>
              <w:spacing w:line="240" w:lineRule="auto"/>
              <w:ind w:firstLine="0" w:firstLineChars="0"/>
              <w:jc w:val="center"/>
              <w:rPr>
                <w:highlight w:val="none"/>
              </w:rPr>
            </w:pPr>
          </w:p>
        </w:tc>
        <w:tc>
          <w:tcPr>
            <w:tcW w:w="1398" w:type="dxa"/>
            <w:vAlign w:val="center"/>
          </w:tcPr>
          <w:p w14:paraId="34BC90DE">
            <w:pPr>
              <w:spacing w:line="240" w:lineRule="auto"/>
              <w:ind w:firstLine="0" w:firstLineChars="0"/>
              <w:jc w:val="center"/>
              <w:rPr>
                <w:highlight w:val="none"/>
              </w:rPr>
            </w:pPr>
            <w:r>
              <w:rPr>
                <w:highlight w:val="none"/>
              </w:rPr>
              <w:t>质控设备</w:t>
            </w:r>
          </w:p>
        </w:tc>
        <w:tc>
          <w:tcPr>
            <w:tcW w:w="932" w:type="dxa"/>
            <w:vAlign w:val="center"/>
          </w:tcPr>
          <w:p w14:paraId="14FF994C">
            <w:pPr>
              <w:adjustRightInd/>
              <w:snapToGrid/>
              <w:spacing w:line="240" w:lineRule="auto"/>
              <w:ind w:firstLine="0" w:firstLineChars="0"/>
              <w:jc w:val="center"/>
              <w:rPr>
                <w:highlight w:val="none"/>
              </w:rPr>
            </w:pPr>
            <w:r>
              <w:rPr>
                <w:rFonts w:hint="eastAsia"/>
                <w:highlight w:val="none"/>
              </w:rPr>
              <w:t>4</w:t>
            </w:r>
          </w:p>
        </w:tc>
        <w:tc>
          <w:tcPr>
            <w:tcW w:w="6061" w:type="dxa"/>
            <w:gridSpan w:val="2"/>
            <w:vAlign w:val="center"/>
          </w:tcPr>
          <w:p w14:paraId="614C3276">
            <w:pPr>
              <w:spacing w:line="240" w:lineRule="auto"/>
              <w:ind w:firstLine="0" w:firstLineChars="0"/>
              <w:rPr>
                <w:highlight w:val="none"/>
              </w:rPr>
            </w:pPr>
            <w:r>
              <w:rPr>
                <w:highlight w:val="none"/>
              </w:rPr>
              <w:t>投标人具有流量计（高、低流量各1套）、标准气压计、标准温湿度计各1套的得</w:t>
            </w:r>
            <w:r>
              <w:rPr>
                <w:rFonts w:hint="eastAsia"/>
                <w:highlight w:val="none"/>
              </w:rPr>
              <w:t>4</w:t>
            </w:r>
            <w:r>
              <w:rPr>
                <w:highlight w:val="none"/>
              </w:rPr>
              <w:t>分，缺一项扣1分，扣完为止。</w:t>
            </w:r>
          </w:p>
          <w:p w14:paraId="4F1A52CB">
            <w:pPr>
              <w:adjustRightInd/>
              <w:snapToGrid/>
              <w:spacing w:line="240" w:lineRule="auto"/>
              <w:ind w:firstLine="0" w:firstLineChars="0"/>
              <w:rPr>
                <w:highlight w:val="none"/>
              </w:rPr>
            </w:pPr>
            <w:r>
              <w:rPr>
                <w:highlight w:val="none"/>
              </w:rPr>
              <w:t>（须提供以下证明材料复印件并加盖公章，否则不得分：（1）投标文件中提供设备的采购发票或采购合同；（2）流量计、标准气压计、标准温湿度计需要提供有效期内的检定/校准证书）</w:t>
            </w:r>
          </w:p>
        </w:tc>
      </w:tr>
      <w:tr w14:paraId="49364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4" w:hRule="atLeast"/>
          <w:jc w:val="center"/>
        </w:trPr>
        <w:tc>
          <w:tcPr>
            <w:tcW w:w="868" w:type="dxa"/>
            <w:vMerge w:val="continue"/>
            <w:vAlign w:val="center"/>
          </w:tcPr>
          <w:p w14:paraId="69179EAC">
            <w:pPr>
              <w:spacing w:line="240" w:lineRule="auto"/>
              <w:ind w:firstLine="0" w:firstLineChars="0"/>
              <w:jc w:val="center"/>
              <w:rPr>
                <w:highlight w:val="none"/>
              </w:rPr>
            </w:pPr>
          </w:p>
        </w:tc>
        <w:tc>
          <w:tcPr>
            <w:tcW w:w="959" w:type="dxa"/>
            <w:vMerge w:val="continue"/>
            <w:vAlign w:val="center"/>
          </w:tcPr>
          <w:p w14:paraId="5659D45F">
            <w:pPr>
              <w:spacing w:line="240" w:lineRule="auto"/>
              <w:ind w:firstLine="0" w:firstLineChars="0"/>
              <w:jc w:val="center"/>
              <w:rPr>
                <w:highlight w:val="none"/>
              </w:rPr>
            </w:pPr>
          </w:p>
        </w:tc>
        <w:tc>
          <w:tcPr>
            <w:tcW w:w="1398" w:type="dxa"/>
            <w:vAlign w:val="center"/>
          </w:tcPr>
          <w:p w14:paraId="4DF2FC85">
            <w:pPr>
              <w:spacing w:line="300" w:lineRule="exact"/>
              <w:ind w:firstLine="0" w:firstLineChars="0"/>
              <w:jc w:val="center"/>
              <w:rPr>
                <w:sz w:val="22"/>
                <w:szCs w:val="22"/>
                <w:highlight w:val="none"/>
              </w:rPr>
            </w:pPr>
            <w:r>
              <w:rPr>
                <w:sz w:val="22"/>
                <w:szCs w:val="22"/>
                <w:highlight w:val="none"/>
              </w:rPr>
              <w:t>车辆</w:t>
            </w:r>
          </w:p>
        </w:tc>
        <w:tc>
          <w:tcPr>
            <w:tcW w:w="932" w:type="dxa"/>
            <w:vAlign w:val="center"/>
          </w:tcPr>
          <w:p w14:paraId="5C212C5D">
            <w:pPr>
              <w:spacing w:line="300" w:lineRule="exact"/>
              <w:ind w:firstLine="0" w:firstLineChars="0"/>
              <w:jc w:val="center"/>
              <w:rPr>
                <w:sz w:val="22"/>
                <w:szCs w:val="22"/>
                <w:highlight w:val="none"/>
              </w:rPr>
            </w:pPr>
            <w:r>
              <w:rPr>
                <w:rFonts w:hint="eastAsia"/>
                <w:sz w:val="22"/>
                <w:szCs w:val="22"/>
                <w:highlight w:val="none"/>
              </w:rPr>
              <w:t>2</w:t>
            </w:r>
          </w:p>
        </w:tc>
        <w:tc>
          <w:tcPr>
            <w:tcW w:w="6061" w:type="dxa"/>
            <w:gridSpan w:val="2"/>
            <w:vAlign w:val="center"/>
          </w:tcPr>
          <w:p w14:paraId="26ECCC98">
            <w:pPr>
              <w:spacing w:line="240" w:lineRule="auto"/>
              <w:ind w:firstLine="0" w:firstLineChars="0"/>
              <w:rPr>
                <w:highlight w:val="none"/>
              </w:rPr>
            </w:pPr>
            <w:r>
              <w:rPr>
                <w:highlight w:val="none"/>
              </w:rPr>
              <w:t>投标人为本项目投入</w:t>
            </w:r>
            <w:r>
              <w:rPr>
                <w:rFonts w:hint="eastAsia"/>
                <w:highlight w:val="none"/>
                <w:lang w:val="en-US" w:eastAsia="zh-CN"/>
              </w:rPr>
              <w:t>2</w:t>
            </w:r>
            <w:r>
              <w:rPr>
                <w:highlight w:val="none"/>
              </w:rPr>
              <w:t>辆运维车辆得</w:t>
            </w:r>
            <w:r>
              <w:rPr>
                <w:rFonts w:hint="eastAsia"/>
                <w:highlight w:val="none"/>
              </w:rPr>
              <w:t>2</w:t>
            </w:r>
            <w:r>
              <w:rPr>
                <w:highlight w:val="none"/>
              </w:rPr>
              <w:t>分。</w:t>
            </w:r>
          </w:p>
          <w:p w14:paraId="50380EC9">
            <w:pPr>
              <w:spacing w:line="240" w:lineRule="auto"/>
              <w:ind w:firstLine="0" w:firstLineChars="0"/>
              <w:rPr>
                <w:sz w:val="22"/>
                <w:szCs w:val="22"/>
                <w:highlight w:val="none"/>
              </w:rPr>
            </w:pPr>
            <w:r>
              <w:rPr>
                <w:rFonts w:hint="eastAsia"/>
                <w:highlight w:val="none"/>
              </w:rPr>
              <w:t>（须</w:t>
            </w:r>
            <w:r>
              <w:rPr>
                <w:highlight w:val="none"/>
              </w:rPr>
              <w:t>提供车辆牌照、行驶证信息、车辆采购或租赁等证明材料复印件加盖公章，否则不得分。</w:t>
            </w:r>
            <w:r>
              <w:rPr>
                <w:rFonts w:hint="eastAsia"/>
                <w:highlight w:val="none"/>
              </w:rPr>
              <w:t>）</w:t>
            </w:r>
          </w:p>
        </w:tc>
      </w:tr>
      <w:tr w14:paraId="67FDB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69" w:hRule="atLeast"/>
          <w:jc w:val="center"/>
        </w:trPr>
        <w:tc>
          <w:tcPr>
            <w:tcW w:w="868" w:type="dxa"/>
            <w:vMerge w:val="continue"/>
            <w:vAlign w:val="center"/>
          </w:tcPr>
          <w:p w14:paraId="6E1ED12E">
            <w:pPr>
              <w:spacing w:line="240" w:lineRule="auto"/>
              <w:ind w:firstLine="0" w:firstLineChars="0"/>
              <w:jc w:val="center"/>
              <w:rPr>
                <w:highlight w:val="none"/>
              </w:rPr>
            </w:pPr>
          </w:p>
        </w:tc>
        <w:tc>
          <w:tcPr>
            <w:tcW w:w="959" w:type="dxa"/>
            <w:vMerge w:val="continue"/>
            <w:vAlign w:val="center"/>
          </w:tcPr>
          <w:p w14:paraId="6A71F626">
            <w:pPr>
              <w:spacing w:line="240" w:lineRule="auto"/>
              <w:ind w:firstLine="0" w:firstLineChars="0"/>
              <w:jc w:val="center"/>
              <w:rPr>
                <w:highlight w:val="none"/>
              </w:rPr>
            </w:pPr>
          </w:p>
        </w:tc>
        <w:tc>
          <w:tcPr>
            <w:tcW w:w="1398" w:type="dxa"/>
            <w:vAlign w:val="center"/>
          </w:tcPr>
          <w:p w14:paraId="4806C0A0">
            <w:pPr>
              <w:spacing w:line="240" w:lineRule="auto"/>
              <w:ind w:firstLine="0" w:firstLineChars="0"/>
              <w:jc w:val="center"/>
              <w:rPr>
                <w:highlight w:val="none"/>
              </w:rPr>
            </w:pPr>
            <w:r>
              <w:rPr>
                <w:highlight w:val="none"/>
              </w:rPr>
              <w:t>项目</w:t>
            </w:r>
          </w:p>
          <w:p w14:paraId="45CED64E">
            <w:pPr>
              <w:spacing w:line="240" w:lineRule="auto"/>
              <w:ind w:firstLine="0" w:firstLineChars="0"/>
              <w:jc w:val="center"/>
              <w:rPr>
                <w:highlight w:val="none"/>
              </w:rPr>
            </w:pPr>
            <w:r>
              <w:rPr>
                <w:highlight w:val="none"/>
              </w:rPr>
              <w:t>实施</w:t>
            </w:r>
          </w:p>
          <w:p w14:paraId="4AB880B4">
            <w:pPr>
              <w:spacing w:line="240" w:lineRule="auto"/>
              <w:ind w:firstLine="0" w:firstLineChars="0"/>
              <w:jc w:val="center"/>
              <w:rPr>
                <w:highlight w:val="none"/>
              </w:rPr>
            </w:pPr>
            <w:r>
              <w:rPr>
                <w:highlight w:val="none"/>
              </w:rPr>
              <w:t>团队</w:t>
            </w:r>
          </w:p>
        </w:tc>
        <w:tc>
          <w:tcPr>
            <w:tcW w:w="932" w:type="dxa"/>
            <w:vAlign w:val="center"/>
          </w:tcPr>
          <w:p w14:paraId="6906F3B9">
            <w:pPr>
              <w:spacing w:line="240" w:lineRule="auto"/>
              <w:ind w:firstLine="0" w:firstLineChars="0"/>
              <w:jc w:val="center"/>
              <w:rPr>
                <w:highlight w:val="none"/>
              </w:rPr>
            </w:pPr>
            <w:r>
              <w:rPr>
                <w:highlight w:val="none"/>
              </w:rPr>
              <w:t>1</w:t>
            </w:r>
            <w:r>
              <w:rPr>
                <w:rFonts w:hint="eastAsia"/>
                <w:highlight w:val="none"/>
              </w:rPr>
              <w:t>1</w:t>
            </w:r>
          </w:p>
        </w:tc>
        <w:tc>
          <w:tcPr>
            <w:tcW w:w="6061" w:type="dxa"/>
            <w:gridSpan w:val="2"/>
            <w:vAlign w:val="center"/>
          </w:tcPr>
          <w:p w14:paraId="38737E4C">
            <w:pPr>
              <w:widowControl/>
              <w:numPr>
                <w:ilvl w:val="0"/>
                <w:numId w:val="5"/>
              </w:numPr>
              <w:spacing w:line="240" w:lineRule="auto"/>
              <w:ind w:firstLine="0" w:firstLineChars="0"/>
              <w:jc w:val="left"/>
              <w:rPr>
                <w:highlight w:val="none"/>
              </w:rPr>
            </w:pPr>
            <w:r>
              <w:rPr>
                <w:highlight w:val="none"/>
              </w:rPr>
              <w:t>项目负责人</w:t>
            </w:r>
          </w:p>
          <w:p w14:paraId="3A91F935">
            <w:pPr>
              <w:widowControl/>
              <w:spacing w:line="300" w:lineRule="exact"/>
              <w:ind w:firstLine="0" w:firstLineChars="0"/>
              <w:jc w:val="left"/>
              <w:rPr>
                <w:highlight w:val="none"/>
              </w:rPr>
            </w:pPr>
            <w:r>
              <w:rPr>
                <w:highlight w:val="none"/>
              </w:rPr>
              <w:t>拟投入的项目负责人具有环境类相关专业高级职称</w:t>
            </w:r>
            <w:r>
              <w:rPr>
                <w:rFonts w:hint="eastAsia"/>
                <w:highlight w:val="none"/>
              </w:rPr>
              <w:t>且具备有效期内的</w:t>
            </w:r>
            <w:r>
              <w:rPr>
                <w:bCs/>
                <w:highlight w:val="none"/>
              </w:rPr>
              <w:t>大气或环境空气</w:t>
            </w:r>
            <w:r>
              <w:rPr>
                <w:highlight w:val="none"/>
              </w:rPr>
              <w:t>挥发性有机物监测技术培训班合格证的得</w:t>
            </w:r>
            <w:r>
              <w:rPr>
                <w:rFonts w:hint="eastAsia"/>
                <w:highlight w:val="none"/>
              </w:rPr>
              <w:t>基础分4</w:t>
            </w:r>
            <w:r>
              <w:rPr>
                <w:highlight w:val="none"/>
              </w:rPr>
              <w:t>分</w:t>
            </w:r>
            <w:r>
              <w:rPr>
                <w:rFonts w:hint="eastAsia"/>
                <w:highlight w:val="none"/>
              </w:rPr>
              <w:t>，</w:t>
            </w:r>
            <w:r>
              <w:rPr>
                <w:bCs/>
                <w:highlight w:val="none"/>
              </w:rPr>
              <w:t>同时</w:t>
            </w:r>
            <w:r>
              <w:rPr>
                <w:highlight w:val="none"/>
              </w:rPr>
              <w:t>项目负责人</w:t>
            </w:r>
            <w:r>
              <w:rPr>
                <w:bCs/>
                <w:highlight w:val="none"/>
              </w:rPr>
              <w:t>获得过省部级环保部门颁发的环境监测类人才评定或相关荣誉表彰的加3分</w:t>
            </w:r>
            <w:r>
              <w:rPr>
                <w:rFonts w:hint="eastAsia"/>
                <w:bCs/>
                <w:highlight w:val="none"/>
              </w:rPr>
              <w:t>，本项目最高得7分。</w:t>
            </w:r>
          </w:p>
          <w:p w14:paraId="320DC805">
            <w:pPr>
              <w:widowControl/>
              <w:spacing w:line="240" w:lineRule="auto"/>
              <w:ind w:firstLine="0" w:firstLineChars="0"/>
              <w:jc w:val="left"/>
              <w:rPr>
                <w:highlight w:val="none"/>
              </w:rPr>
            </w:pPr>
            <w:r>
              <w:rPr>
                <w:highlight w:val="none"/>
              </w:rPr>
              <w:t>2、项目组成员（不含项目负责人）</w:t>
            </w:r>
          </w:p>
          <w:p w14:paraId="344528E6">
            <w:pPr>
              <w:widowControl/>
              <w:spacing w:line="240" w:lineRule="auto"/>
              <w:ind w:firstLine="0" w:firstLineChars="0"/>
              <w:jc w:val="left"/>
              <w:rPr>
                <w:bCs/>
                <w:highlight w:val="none"/>
              </w:rPr>
            </w:pPr>
            <w:r>
              <w:rPr>
                <w:bCs/>
                <w:highlight w:val="none"/>
              </w:rPr>
              <w:t>为本项目配置的运维人员</w:t>
            </w:r>
            <w:r>
              <w:rPr>
                <w:rFonts w:hint="eastAsia"/>
                <w:bCs/>
                <w:highlight w:val="none"/>
                <w:lang w:val="en-US" w:eastAsia="zh-CN"/>
              </w:rPr>
              <w:t>2名，</w:t>
            </w:r>
            <w:r>
              <w:rPr>
                <w:bCs/>
                <w:highlight w:val="none"/>
              </w:rPr>
              <w:t>具有大气或环境空气挥发性有机物监测技术培训班合格证的</w:t>
            </w:r>
            <w:r>
              <w:rPr>
                <w:rFonts w:hint="eastAsia"/>
                <w:bCs/>
                <w:highlight w:val="none"/>
              </w:rPr>
              <w:t>且</w:t>
            </w:r>
            <w:r>
              <w:rPr>
                <w:bCs/>
                <w:highlight w:val="none"/>
              </w:rPr>
              <w:t>具备环境类高级职称的得</w:t>
            </w:r>
            <w:r>
              <w:rPr>
                <w:rFonts w:hint="eastAsia"/>
                <w:bCs/>
                <w:highlight w:val="none"/>
                <w:lang w:val="en-US" w:eastAsia="zh-CN"/>
              </w:rPr>
              <w:t>2</w:t>
            </w:r>
            <w:r>
              <w:rPr>
                <w:bCs/>
                <w:highlight w:val="none"/>
              </w:rPr>
              <w:t>分</w:t>
            </w:r>
            <w:r>
              <w:rPr>
                <w:rFonts w:hint="eastAsia"/>
                <w:bCs/>
                <w:highlight w:val="none"/>
                <w:lang w:val="en-US" w:eastAsia="zh-CN"/>
              </w:rPr>
              <w:t>/人</w:t>
            </w:r>
            <w:r>
              <w:rPr>
                <w:bCs/>
                <w:highlight w:val="none"/>
              </w:rPr>
              <w:t>，</w:t>
            </w:r>
            <w:r>
              <w:rPr>
                <w:highlight w:val="none"/>
              </w:rPr>
              <w:t>本项最高得</w:t>
            </w:r>
            <w:r>
              <w:rPr>
                <w:rFonts w:hint="eastAsia"/>
                <w:highlight w:val="none"/>
              </w:rPr>
              <w:t>4</w:t>
            </w:r>
            <w:r>
              <w:rPr>
                <w:highlight w:val="none"/>
              </w:rPr>
              <w:t>分</w:t>
            </w:r>
            <w:r>
              <w:rPr>
                <w:bCs/>
                <w:highlight w:val="none"/>
              </w:rPr>
              <w:t>。（注：同一人员有多个职称证书的按最高级别计分</w:t>
            </w:r>
            <w:r>
              <w:rPr>
                <w:rFonts w:hint="eastAsia"/>
                <w:bCs/>
                <w:highlight w:val="none"/>
                <w:lang w:eastAsia="zh-CN"/>
              </w:rPr>
              <w:t>，</w:t>
            </w:r>
            <w:r>
              <w:rPr>
                <w:bCs/>
                <w:highlight w:val="none"/>
              </w:rPr>
              <w:t>提供投标人为其缴纳的</w:t>
            </w:r>
            <w:r>
              <w:rPr>
                <w:rFonts w:hint="eastAsia"/>
                <w:bCs/>
                <w:highlight w:val="none"/>
              </w:rPr>
              <w:t>近</w:t>
            </w:r>
            <w:r>
              <w:rPr>
                <w:bCs/>
                <w:highlight w:val="none"/>
              </w:rPr>
              <w:t>三个月</w:t>
            </w:r>
            <w:r>
              <w:rPr>
                <w:rFonts w:hint="eastAsia"/>
                <w:bCs/>
                <w:highlight w:val="none"/>
                <w:lang w:eastAsia="zh-CN"/>
              </w:rPr>
              <w:t>（</w:t>
            </w:r>
            <w:r>
              <w:rPr>
                <w:rFonts w:hint="eastAsia"/>
                <w:bCs/>
                <w:highlight w:val="none"/>
                <w:lang w:val="en-US" w:eastAsia="zh-CN"/>
              </w:rPr>
              <w:t>2026年1月-2026年3月</w:t>
            </w:r>
            <w:r>
              <w:rPr>
                <w:rFonts w:hint="eastAsia"/>
                <w:bCs/>
                <w:highlight w:val="none"/>
                <w:lang w:eastAsia="zh-CN"/>
              </w:rPr>
              <w:t>）</w:t>
            </w:r>
            <w:r>
              <w:rPr>
                <w:rFonts w:hint="eastAsia"/>
                <w:bCs/>
                <w:highlight w:val="none"/>
              </w:rPr>
              <w:t>内任意一个月的</w:t>
            </w:r>
            <w:r>
              <w:rPr>
                <w:bCs/>
                <w:highlight w:val="none"/>
              </w:rPr>
              <w:t>社保缴费记录）。</w:t>
            </w:r>
          </w:p>
          <w:p w14:paraId="432AB645">
            <w:pPr>
              <w:widowControl/>
              <w:spacing w:line="240" w:lineRule="auto"/>
              <w:ind w:firstLine="0" w:firstLineChars="0"/>
              <w:jc w:val="left"/>
              <w:rPr>
                <w:highlight w:val="none"/>
              </w:rPr>
            </w:pPr>
            <w:r>
              <w:rPr>
                <w:bCs/>
                <w:highlight w:val="none"/>
              </w:rPr>
              <w:t>（以上相关人员需</w:t>
            </w:r>
            <w:r>
              <w:rPr>
                <w:rFonts w:hint="eastAsia"/>
                <w:bCs/>
                <w:highlight w:val="none"/>
                <w:lang w:val="en-US" w:eastAsia="zh-CN"/>
              </w:rPr>
              <w:t>提供</w:t>
            </w:r>
            <w:r>
              <w:rPr>
                <w:bCs/>
                <w:highlight w:val="none"/>
              </w:rPr>
              <w:t>荣誉证书、培训证书、职称证书等相关材料，并加盖公章。）</w:t>
            </w:r>
          </w:p>
        </w:tc>
      </w:tr>
      <w:tr w14:paraId="6A79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64" w:hRule="atLeast"/>
          <w:jc w:val="center"/>
        </w:trPr>
        <w:tc>
          <w:tcPr>
            <w:tcW w:w="868" w:type="dxa"/>
            <w:vMerge w:val="restart"/>
            <w:vAlign w:val="center"/>
          </w:tcPr>
          <w:p w14:paraId="0779A9B9">
            <w:pPr>
              <w:spacing w:line="240" w:lineRule="auto"/>
              <w:ind w:firstLine="0" w:firstLineChars="0"/>
              <w:jc w:val="center"/>
              <w:rPr>
                <w:highlight w:val="none"/>
              </w:rPr>
            </w:pPr>
          </w:p>
        </w:tc>
        <w:tc>
          <w:tcPr>
            <w:tcW w:w="959" w:type="dxa"/>
            <w:vMerge w:val="restart"/>
            <w:vAlign w:val="center"/>
          </w:tcPr>
          <w:p w14:paraId="60D7E0B3">
            <w:pPr>
              <w:ind w:firstLine="0" w:firstLineChars="0"/>
              <w:jc w:val="center"/>
              <w:rPr>
                <w:highlight w:val="none"/>
              </w:rPr>
            </w:pPr>
            <w:r>
              <w:rPr>
                <w:rFonts w:hint="eastAsia"/>
                <w:highlight w:val="none"/>
              </w:rPr>
              <w:t>技术部分</w:t>
            </w:r>
          </w:p>
        </w:tc>
        <w:tc>
          <w:tcPr>
            <w:tcW w:w="1398" w:type="dxa"/>
            <w:vMerge w:val="restart"/>
            <w:vAlign w:val="center"/>
          </w:tcPr>
          <w:p w14:paraId="328C7797">
            <w:pPr>
              <w:widowControl/>
              <w:spacing w:line="300" w:lineRule="exact"/>
              <w:ind w:firstLine="0" w:firstLineChars="0"/>
              <w:jc w:val="center"/>
              <w:rPr>
                <w:highlight w:val="none"/>
              </w:rPr>
            </w:pPr>
            <w:r>
              <w:rPr>
                <w:highlight w:val="none"/>
              </w:rPr>
              <w:t>服务方案</w:t>
            </w:r>
          </w:p>
        </w:tc>
        <w:tc>
          <w:tcPr>
            <w:tcW w:w="932" w:type="dxa"/>
            <w:vAlign w:val="center"/>
          </w:tcPr>
          <w:p w14:paraId="37469D41">
            <w:pPr>
              <w:widowControl/>
              <w:spacing w:line="300" w:lineRule="exact"/>
              <w:ind w:firstLine="0" w:firstLineChars="0"/>
              <w:jc w:val="center"/>
              <w:rPr>
                <w:highlight w:val="none"/>
              </w:rPr>
            </w:pPr>
            <w:r>
              <w:rPr>
                <w:rFonts w:hint="eastAsia"/>
                <w:highlight w:val="none"/>
              </w:rPr>
              <w:t>15</w:t>
            </w:r>
          </w:p>
        </w:tc>
        <w:tc>
          <w:tcPr>
            <w:tcW w:w="6061" w:type="dxa"/>
            <w:gridSpan w:val="2"/>
            <w:vAlign w:val="center"/>
          </w:tcPr>
          <w:p w14:paraId="2E84E125">
            <w:pPr>
              <w:widowControl/>
              <w:adjustRightInd/>
              <w:snapToGrid/>
              <w:spacing w:line="300" w:lineRule="exact"/>
              <w:ind w:firstLine="0" w:firstLineChars="0"/>
              <w:jc w:val="left"/>
              <w:rPr>
                <w:bCs/>
                <w:highlight w:val="none"/>
              </w:rPr>
            </w:pPr>
            <w:r>
              <w:rPr>
                <w:b/>
                <w:bCs/>
                <w:highlight w:val="none"/>
              </w:rPr>
              <w:t>运维实施方案</w:t>
            </w:r>
            <w:r>
              <w:rPr>
                <w:highlight w:val="none"/>
              </w:rPr>
              <w:t>：根据各投标人的运维实施方案综合评审，投标人提供的技术服务方案，包括运行管理制度、日常维护、定期巡检、备品备件及耗材管理等。提供详细切实可行的服务方案，对采购人的要求理解准确，方案详细完善全面、整体设计合理，具有科学性、规范性、可行性，能够完全满足项目实施需要的，得1</w:t>
            </w:r>
            <w:r>
              <w:rPr>
                <w:rFonts w:hint="eastAsia"/>
                <w:highlight w:val="none"/>
              </w:rPr>
              <w:t>5</w:t>
            </w:r>
            <w:r>
              <w:rPr>
                <w:highlight w:val="none"/>
              </w:rPr>
              <w:t>分；提供的服务方案合理，整体设计较好，能满足项目需要的，得</w:t>
            </w:r>
            <w:r>
              <w:rPr>
                <w:rFonts w:hint="eastAsia"/>
                <w:highlight w:val="none"/>
              </w:rPr>
              <w:t>1</w:t>
            </w:r>
            <w:r>
              <w:rPr>
                <w:rFonts w:hint="eastAsia"/>
                <w:highlight w:val="none"/>
                <w:lang w:val="en-US" w:eastAsia="zh-CN"/>
              </w:rPr>
              <w:t>2</w:t>
            </w:r>
            <w:r>
              <w:rPr>
                <w:highlight w:val="none"/>
              </w:rPr>
              <w:t>分；提供的服务方案</w:t>
            </w:r>
            <w:r>
              <w:rPr>
                <w:rFonts w:hint="eastAsia"/>
                <w:highlight w:val="none"/>
                <w:lang w:val="en-US" w:eastAsia="zh-CN"/>
              </w:rPr>
              <w:t>不够详细</w:t>
            </w:r>
            <w:r>
              <w:rPr>
                <w:highlight w:val="none"/>
              </w:rPr>
              <w:t>，可操作性和合理性一般的，得</w:t>
            </w:r>
            <w:r>
              <w:rPr>
                <w:rFonts w:hint="eastAsia"/>
                <w:highlight w:val="none"/>
                <w:lang w:val="en-US" w:eastAsia="zh-CN"/>
              </w:rPr>
              <w:t>9</w:t>
            </w:r>
            <w:r>
              <w:rPr>
                <w:highlight w:val="none"/>
              </w:rPr>
              <w:t>分</w:t>
            </w:r>
            <w:r>
              <w:rPr>
                <w:rFonts w:hint="eastAsia"/>
                <w:highlight w:val="none"/>
                <w:lang w:eastAsia="zh-CN"/>
              </w:rPr>
              <w:t>；</w:t>
            </w:r>
            <w:r>
              <w:rPr>
                <w:highlight w:val="none"/>
              </w:rPr>
              <w:t>提供的服务方案简单粗略，可操作性和合理性</w:t>
            </w:r>
            <w:r>
              <w:rPr>
                <w:rFonts w:hint="eastAsia"/>
                <w:highlight w:val="none"/>
                <w:lang w:val="en-US" w:eastAsia="zh-CN"/>
              </w:rPr>
              <w:t>较低的</w:t>
            </w:r>
            <w:r>
              <w:rPr>
                <w:highlight w:val="none"/>
              </w:rPr>
              <w:t>，得</w:t>
            </w:r>
            <w:r>
              <w:rPr>
                <w:rFonts w:hint="eastAsia"/>
                <w:highlight w:val="none"/>
                <w:lang w:val="en-US" w:eastAsia="zh-CN"/>
              </w:rPr>
              <w:t>6</w:t>
            </w:r>
            <w:r>
              <w:rPr>
                <w:highlight w:val="none"/>
              </w:rPr>
              <w:t>分。（未提供实施方案的此项不得分）。</w:t>
            </w:r>
          </w:p>
        </w:tc>
      </w:tr>
      <w:tr w14:paraId="75AF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64" w:hRule="atLeast"/>
          <w:jc w:val="center"/>
        </w:trPr>
        <w:tc>
          <w:tcPr>
            <w:tcW w:w="868" w:type="dxa"/>
            <w:vMerge w:val="continue"/>
            <w:vAlign w:val="center"/>
          </w:tcPr>
          <w:p w14:paraId="5D210BC0">
            <w:pPr>
              <w:widowControl/>
              <w:spacing w:line="300" w:lineRule="exact"/>
              <w:ind w:firstLine="0" w:firstLineChars="0"/>
              <w:jc w:val="left"/>
              <w:rPr>
                <w:highlight w:val="none"/>
              </w:rPr>
            </w:pPr>
          </w:p>
        </w:tc>
        <w:tc>
          <w:tcPr>
            <w:tcW w:w="959" w:type="dxa"/>
            <w:vMerge w:val="continue"/>
            <w:vAlign w:val="center"/>
          </w:tcPr>
          <w:p w14:paraId="76D90D42">
            <w:pPr>
              <w:widowControl/>
              <w:spacing w:line="300" w:lineRule="exact"/>
              <w:ind w:firstLine="0" w:firstLineChars="0"/>
              <w:jc w:val="left"/>
              <w:rPr>
                <w:highlight w:val="none"/>
              </w:rPr>
            </w:pPr>
          </w:p>
        </w:tc>
        <w:tc>
          <w:tcPr>
            <w:tcW w:w="1398" w:type="dxa"/>
            <w:vMerge w:val="continue"/>
            <w:vAlign w:val="center"/>
          </w:tcPr>
          <w:p w14:paraId="02E97B29">
            <w:pPr>
              <w:widowControl/>
              <w:spacing w:line="300" w:lineRule="exact"/>
              <w:ind w:firstLine="0" w:firstLineChars="0"/>
              <w:jc w:val="left"/>
              <w:rPr>
                <w:highlight w:val="none"/>
              </w:rPr>
            </w:pPr>
          </w:p>
        </w:tc>
        <w:tc>
          <w:tcPr>
            <w:tcW w:w="932" w:type="dxa"/>
            <w:vAlign w:val="center"/>
          </w:tcPr>
          <w:p w14:paraId="03917872">
            <w:pPr>
              <w:widowControl/>
              <w:spacing w:line="300" w:lineRule="exact"/>
              <w:ind w:firstLine="0" w:firstLineChars="0"/>
              <w:jc w:val="center"/>
              <w:rPr>
                <w:highlight w:val="none"/>
              </w:rPr>
            </w:pPr>
            <w:r>
              <w:rPr>
                <w:rFonts w:hint="eastAsia"/>
                <w:highlight w:val="none"/>
              </w:rPr>
              <w:t>12</w:t>
            </w:r>
          </w:p>
        </w:tc>
        <w:tc>
          <w:tcPr>
            <w:tcW w:w="6061" w:type="dxa"/>
            <w:gridSpan w:val="2"/>
            <w:vAlign w:val="center"/>
          </w:tcPr>
          <w:p w14:paraId="544960EE">
            <w:pPr>
              <w:widowControl/>
              <w:spacing w:line="300" w:lineRule="exact"/>
              <w:ind w:firstLine="0" w:firstLineChars="0"/>
              <w:jc w:val="left"/>
              <w:rPr>
                <w:highlight w:val="none"/>
              </w:rPr>
            </w:pPr>
            <w:r>
              <w:rPr>
                <w:b/>
                <w:bCs/>
                <w:highlight w:val="none"/>
              </w:rPr>
              <w:t>质量保证方案</w:t>
            </w:r>
            <w:r>
              <w:rPr>
                <w:highlight w:val="none"/>
              </w:rPr>
              <w:t>：根据各投标人的质量保证方案综合评审：投标人针对本项目提供详细、合理的项目数据质控方案等。提供的方案安排合理细致、科学合理、容易操作的，得</w:t>
            </w:r>
            <w:r>
              <w:rPr>
                <w:rFonts w:hint="eastAsia"/>
                <w:highlight w:val="none"/>
              </w:rPr>
              <w:t>12</w:t>
            </w:r>
            <w:r>
              <w:rPr>
                <w:highlight w:val="none"/>
              </w:rPr>
              <w:t>分；方案安排基本合理细致、较容易操作的，得</w:t>
            </w:r>
            <w:r>
              <w:rPr>
                <w:rFonts w:hint="eastAsia"/>
                <w:highlight w:val="none"/>
                <w:lang w:val="en-US" w:eastAsia="zh-CN"/>
              </w:rPr>
              <w:t>9</w:t>
            </w:r>
            <w:r>
              <w:rPr>
                <w:highlight w:val="none"/>
              </w:rPr>
              <w:t>分；</w:t>
            </w:r>
            <w:r>
              <w:rPr>
                <w:rFonts w:hint="eastAsia"/>
                <w:highlight w:val="none"/>
                <w:lang w:val="en-US" w:eastAsia="zh-CN"/>
              </w:rPr>
              <w:t>方案合理性一般</w:t>
            </w:r>
            <w:r>
              <w:rPr>
                <w:highlight w:val="none"/>
              </w:rPr>
              <w:t>、</w:t>
            </w:r>
            <w:r>
              <w:rPr>
                <w:rFonts w:hint="eastAsia"/>
                <w:highlight w:val="none"/>
                <w:lang w:val="en-US" w:eastAsia="zh-CN"/>
              </w:rPr>
              <w:t>基本可以</w:t>
            </w:r>
            <w:r>
              <w:rPr>
                <w:highlight w:val="none"/>
              </w:rPr>
              <w:t>操作的，得</w:t>
            </w:r>
            <w:r>
              <w:rPr>
                <w:rFonts w:hint="eastAsia"/>
                <w:highlight w:val="none"/>
                <w:lang w:val="en-US" w:eastAsia="zh-CN"/>
              </w:rPr>
              <w:t>6</w:t>
            </w:r>
            <w:r>
              <w:rPr>
                <w:highlight w:val="none"/>
              </w:rPr>
              <w:t>分。</w:t>
            </w:r>
            <w:r>
              <w:rPr>
                <w:rFonts w:hint="eastAsia"/>
                <w:highlight w:val="none"/>
                <w:lang w:val="en-US" w:eastAsia="zh-CN"/>
              </w:rPr>
              <w:t>方案合理性较低</w:t>
            </w:r>
            <w:r>
              <w:rPr>
                <w:highlight w:val="none"/>
              </w:rPr>
              <w:t>、操作不容易的，得</w:t>
            </w:r>
            <w:r>
              <w:rPr>
                <w:rFonts w:hint="eastAsia"/>
                <w:highlight w:val="none"/>
                <w:lang w:val="en-US" w:eastAsia="zh-CN"/>
              </w:rPr>
              <w:t>3</w:t>
            </w:r>
            <w:r>
              <w:rPr>
                <w:highlight w:val="none"/>
              </w:rPr>
              <w:t xml:space="preserve">分。（未提供质量保证方案的此项不得分） </w:t>
            </w:r>
          </w:p>
        </w:tc>
      </w:tr>
      <w:tr w14:paraId="21814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64" w:hRule="atLeast"/>
          <w:jc w:val="center"/>
        </w:trPr>
        <w:tc>
          <w:tcPr>
            <w:tcW w:w="868" w:type="dxa"/>
            <w:vMerge w:val="continue"/>
            <w:vAlign w:val="center"/>
          </w:tcPr>
          <w:p w14:paraId="4757FB8E">
            <w:pPr>
              <w:widowControl/>
              <w:spacing w:line="300" w:lineRule="exact"/>
              <w:ind w:firstLine="0" w:firstLineChars="0"/>
              <w:jc w:val="left"/>
              <w:rPr>
                <w:highlight w:val="none"/>
              </w:rPr>
            </w:pPr>
          </w:p>
        </w:tc>
        <w:tc>
          <w:tcPr>
            <w:tcW w:w="959" w:type="dxa"/>
            <w:vMerge w:val="continue"/>
            <w:vAlign w:val="center"/>
          </w:tcPr>
          <w:p w14:paraId="20D9F90D">
            <w:pPr>
              <w:widowControl/>
              <w:spacing w:line="300" w:lineRule="exact"/>
              <w:ind w:firstLine="0" w:firstLineChars="0"/>
              <w:jc w:val="left"/>
              <w:rPr>
                <w:highlight w:val="none"/>
              </w:rPr>
            </w:pPr>
          </w:p>
        </w:tc>
        <w:tc>
          <w:tcPr>
            <w:tcW w:w="1398" w:type="dxa"/>
            <w:vMerge w:val="continue"/>
            <w:vAlign w:val="center"/>
          </w:tcPr>
          <w:p w14:paraId="1EA2128B">
            <w:pPr>
              <w:widowControl/>
              <w:spacing w:line="300" w:lineRule="exact"/>
              <w:ind w:firstLine="0" w:firstLineChars="0"/>
              <w:jc w:val="left"/>
              <w:rPr>
                <w:highlight w:val="none"/>
              </w:rPr>
            </w:pPr>
          </w:p>
        </w:tc>
        <w:tc>
          <w:tcPr>
            <w:tcW w:w="932" w:type="dxa"/>
            <w:vAlign w:val="center"/>
          </w:tcPr>
          <w:p w14:paraId="7EC6F83D">
            <w:pPr>
              <w:widowControl/>
              <w:spacing w:line="300" w:lineRule="exact"/>
              <w:ind w:firstLine="0" w:firstLineChars="0"/>
              <w:jc w:val="center"/>
              <w:rPr>
                <w:highlight w:val="none"/>
              </w:rPr>
            </w:pPr>
            <w:r>
              <w:rPr>
                <w:rFonts w:hint="eastAsia"/>
                <w:highlight w:val="none"/>
              </w:rPr>
              <w:t>8</w:t>
            </w:r>
          </w:p>
        </w:tc>
        <w:tc>
          <w:tcPr>
            <w:tcW w:w="6061" w:type="dxa"/>
            <w:gridSpan w:val="2"/>
            <w:vAlign w:val="center"/>
          </w:tcPr>
          <w:p w14:paraId="332D6CF9">
            <w:pPr>
              <w:widowControl/>
              <w:spacing w:line="300" w:lineRule="exact"/>
              <w:ind w:firstLine="0" w:firstLineChars="0"/>
              <w:jc w:val="left"/>
              <w:rPr>
                <w:highlight w:val="none"/>
              </w:rPr>
            </w:pPr>
            <w:r>
              <w:rPr>
                <w:b/>
                <w:bCs/>
                <w:highlight w:val="none"/>
              </w:rPr>
              <w:t>安全保障方案</w:t>
            </w:r>
            <w:r>
              <w:rPr>
                <w:highlight w:val="none"/>
              </w:rPr>
              <w:t>：根据各投标人的安全保障方案综合评审：服务期内，相关安全管理措施、安全保障制度的完整性、科学性等。方案安排合理细致、科学合理、容易操作的，得</w:t>
            </w:r>
            <w:r>
              <w:rPr>
                <w:rFonts w:hint="eastAsia"/>
                <w:highlight w:val="none"/>
              </w:rPr>
              <w:t>8</w:t>
            </w:r>
            <w:r>
              <w:rPr>
                <w:highlight w:val="none"/>
              </w:rPr>
              <w:t>分；方案安排基本合理细致、较容易操作的，得</w:t>
            </w:r>
            <w:r>
              <w:rPr>
                <w:rFonts w:hint="eastAsia"/>
                <w:highlight w:val="none"/>
                <w:lang w:val="en-US" w:eastAsia="zh-CN"/>
              </w:rPr>
              <w:t>6</w:t>
            </w:r>
            <w:r>
              <w:rPr>
                <w:highlight w:val="none"/>
              </w:rPr>
              <w:t>分；</w:t>
            </w:r>
            <w:r>
              <w:rPr>
                <w:rFonts w:hint="eastAsia"/>
                <w:highlight w:val="none"/>
                <w:lang w:val="en-US" w:eastAsia="zh-CN"/>
              </w:rPr>
              <w:t>方案合理性一般</w:t>
            </w:r>
            <w:r>
              <w:rPr>
                <w:highlight w:val="none"/>
              </w:rPr>
              <w:t>、</w:t>
            </w:r>
            <w:r>
              <w:rPr>
                <w:rFonts w:hint="eastAsia"/>
                <w:highlight w:val="none"/>
                <w:lang w:val="en-US" w:eastAsia="zh-CN"/>
              </w:rPr>
              <w:t>基本可以</w:t>
            </w:r>
            <w:r>
              <w:rPr>
                <w:highlight w:val="none"/>
              </w:rPr>
              <w:t>操作的，得</w:t>
            </w:r>
            <w:r>
              <w:rPr>
                <w:rFonts w:hint="eastAsia"/>
                <w:highlight w:val="none"/>
                <w:lang w:val="en-US" w:eastAsia="zh-CN"/>
              </w:rPr>
              <w:t>4</w:t>
            </w:r>
            <w:r>
              <w:rPr>
                <w:highlight w:val="none"/>
              </w:rPr>
              <w:t>分。</w:t>
            </w:r>
            <w:r>
              <w:rPr>
                <w:rFonts w:hint="eastAsia"/>
                <w:highlight w:val="none"/>
                <w:lang w:val="en-US" w:eastAsia="zh-CN"/>
              </w:rPr>
              <w:t>方案合理性较低</w:t>
            </w:r>
            <w:r>
              <w:rPr>
                <w:highlight w:val="none"/>
              </w:rPr>
              <w:t>、操作不容易的，得</w:t>
            </w:r>
            <w:r>
              <w:rPr>
                <w:rFonts w:hint="eastAsia"/>
                <w:highlight w:val="none"/>
                <w:lang w:val="en-US" w:eastAsia="zh-CN"/>
              </w:rPr>
              <w:t>2</w:t>
            </w:r>
            <w:r>
              <w:rPr>
                <w:highlight w:val="none"/>
              </w:rPr>
              <w:t>分。（未提供安全保障方案的此项不得分）</w:t>
            </w:r>
          </w:p>
        </w:tc>
      </w:tr>
      <w:tr w14:paraId="75256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64" w:hRule="atLeast"/>
          <w:jc w:val="center"/>
        </w:trPr>
        <w:tc>
          <w:tcPr>
            <w:tcW w:w="868" w:type="dxa"/>
            <w:vMerge w:val="continue"/>
            <w:vAlign w:val="center"/>
          </w:tcPr>
          <w:p w14:paraId="47F65454">
            <w:pPr>
              <w:widowControl/>
              <w:spacing w:line="300" w:lineRule="exact"/>
              <w:ind w:firstLine="0" w:firstLineChars="0"/>
              <w:jc w:val="left"/>
              <w:rPr>
                <w:highlight w:val="none"/>
              </w:rPr>
            </w:pPr>
          </w:p>
        </w:tc>
        <w:tc>
          <w:tcPr>
            <w:tcW w:w="959" w:type="dxa"/>
            <w:vMerge w:val="continue"/>
            <w:vAlign w:val="center"/>
          </w:tcPr>
          <w:p w14:paraId="5E03057A">
            <w:pPr>
              <w:widowControl/>
              <w:spacing w:line="300" w:lineRule="exact"/>
              <w:ind w:firstLine="0" w:firstLineChars="0"/>
              <w:jc w:val="left"/>
              <w:rPr>
                <w:highlight w:val="none"/>
              </w:rPr>
            </w:pPr>
          </w:p>
        </w:tc>
        <w:tc>
          <w:tcPr>
            <w:tcW w:w="1398" w:type="dxa"/>
            <w:vMerge w:val="continue"/>
            <w:vAlign w:val="center"/>
          </w:tcPr>
          <w:p w14:paraId="3BE7F198">
            <w:pPr>
              <w:widowControl/>
              <w:spacing w:line="300" w:lineRule="exact"/>
              <w:ind w:firstLine="0" w:firstLineChars="0"/>
              <w:jc w:val="left"/>
              <w:rPr>
                <w:highlight w:val="none"/>
              </w:rPr>
            </w:pPr>
          </w:p>
        </w:tc>
        <w:tc>
          <w:tcPr>
            <w:tcW w:w="932" w:type="dxa"/>
            <w:vAlign w:val="center"/>
          </w:tcPr>
          <w:p w14:paraId="144CF0C7">
            <w:pPr>
              <w:widowControl/>
              <w:spacing w:line="300" w:lineRule="exact"/>
              <w:ind w:firstLine="0" w:firstLineChars="0"/>
              <w:jc w:val="center"/>
              <w:rPr>
                <w:highlight w:val="none"/>
              </w:rPr>
            </w:pPr>
            <w:r>
              <w:rPr>
                <w:rFonts w:hint="eastAsia"/>
                <w:highlight w:val="none"/>
              </w:rPr>
              <w:t>8</w:t>
            </w:r>
          </w:p>
        </w:tc>
        <w:tc>
          <w:tcPr>
            <w:tcW w:w="6061" w:type="dxa"/>
            <w:gridSpan w:val="2"/>
            <w:vAlign w:val="center"/>
          </w:tcPr>
          <w:p w14:paraId="7B15C0AA">
            <w:pPr>
              <w:widowControl/>
              <w:spacing w:line="300" w:lineRule="exact"/>
              <w:ind w:firstLine="0" w:firstLineChars="0"/>
              <w:jc w:val="left"/>
              <w:rPr>
                <w:highlight w:val="none"/>
              </w:rPr>
            </w:pPr>
            <w:r>
              <w:rPr>
                <w:b/>
                <w:bCs/>
                <w:highlight w:val="none"/>
              </w:rPr>
              <w:t>应急方案评价</w:t>
            </w:r>
            <w:r>
              <w:rPr>
                <w:highlight w:val="none"/>
              </w:rPr>
              <w:t>：根据各投标人提供的针对本项目可能出现的各种突发事件的预警及处理等方案综合评审。方案可行性强和完整性高的，得</w:t>
            </w:r>
            <w:r>
              <w:rPr>
                <w:rFonts w:hint="eastAsia"/>
                <w:highlight w:val="none"/>
              </w:rPr>
              <w:t>8</w:t>
            </w:r>
            <w:r>
              <w:rPr>
                <w:highlight w:val="none"/>
              </w:rPr>
              <w:t>分；方案可行性较强和完整性较高的，得</w:t>
            </w:r>
            <w:r>
              <w:rPr>
                <w:rFonts w:hint="eastAsia"/>
                <w:highlight w:val="none"/>
                <w:lang w:val="en-US" w:eastAsia="zh-CN"/>
              </w:rPr>
              <w:t>6</w:t>
            </w:r>
            <w:r>
              <w:rPr>
                <w:highlight w:val="none"/>
              </w:rPr>
              <w:t>分；方案可行性和完整性一般的，得</w:t>
            </w:r>
            <w:r>
              <w:rPr>
                <w:rFonts w:hint="eastAsia"/>
                <w:highlight w:val="none"/>
                <w:lang w:val="en-US" w:eastAsia="zh-CN"/>
              </w:rPr>
              <w:t>4</w:t>
            </w:r>
            <w:r>
              <w:rPr>
                <w:highlight w:val="none"/>
              </w:rPr>
              <w:t>分</w:t>
            </w:r>
            <w:r>
              <w:rPr>
                <w:rFonts w:hint="eastAsia"/>
                <w:highlight w:val="none"/>
                <w:lang w:eastAsia="zh-CN"/>
              </w:rPr>
              <w:t>，</w:t>
            </w:r>
            <w:r>
              <w:rPr>
                <w:highlight w:val="none"/>
              </w:rPr>
              <w:t>方案可行性和完整性较</w:t>
            </w:r>
            <w:r>
              <w:rPr>
                <w:rFonts w:hint="eastAsia"/>
                <w:highlight w:val="none"/>
                <w:lang w:val="en-US" w:eastAsia="zh-CN"/>
              </w:rPr>
              <w:t>低</w:t>
            </w:r>
            <w:r>
              <w:rPr>
                <w:highlight w:val="none"/>
              </w:rPr>
              <w:t>的，得</w:t>
            </w:r>
            <w:r>
              <w:rPr>
                <w:rFonts w:hint="eastAsia"/>
                <w:highlight w:val="none"/>
              </w:rPr>
              <w:t>2</w:t>
            </w:r>
            <w:r>
              <w:rPr>
                <w:highlight w:val="none"/>
              </w:rPr>
              <w:t>分。（未提供应急方案评价的此项不得分）</w:t>
            </w:r>
          </w:p>
        </w:tc>
      </w:tr>
    </w:tbl>
    <w:p w14:paraId="50E1BD4D">
      <w:pPr>
        <w:spacing w:line="600" w:lineRule="exact"/>
        <w:jc w:val="center"/>
        <w:outlineLvl w:val="0"/>
        <w:rPr>
          <w:rFonts w:ascii="宋体" w:hAnsi="宋体"/>
          <w:color w:val="000000" w:themeColor="text1"/>
          <w:sz w:val="24"/>
          <w:highlight w:val="none"/>
          <w14:textFill>
            <w14:solidFill>
              <w14:schemeClr w14:val="tx1"/>
            </w14:solidFill>
          </w14:textFill>
        </w:rPr>
      </w:pPr>
    </w:p>
    <w:p w14:paraId="38D4D4B0">
      <w:pPr>
        <w:spacing w:line="340" w:lineRule="exact"/>
        <w:ind w:firstLine="420"/>
        <w:jc w:val="both"/>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w:t>
      </w:r>
    </w:p>
    <w:p w14:paraId="28C1C69D">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1.对国家认定的节能产品和环保产品给予报价的5%价格扣除，用扣除后的价格参与评</w:t>
      </w:r>
    </w:p>
    <w:p w14:paraId="1776C374">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审（特别说明：节能、环保产品必须纳入“中国政府采购网 http://www.ccgp.gov.cn”等官</w:t>
      </w:r>
    </w:p>
    <w:p w14:paraId="5CC8BBE8">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方网站“环保产品查询系统”，且以提供的证书为准）。</w:t>
      </w:r>
    </w:p>
    <w:p w14:paraId="6CECBCB1">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2.小微企业价格扣除</w:t>
      </w:r>
    </w:p>
    <w:p w14:paraId="543BCFAF">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2.1对于专门面向中小企业或小型、微型企业的项目，只面向中小企业或小型、微型企业采购。</w:t>
      </w:r>
      <w:r>
        <w:rPr>
          <w:rFonts w:hint="eastAsia"/>
          <w:color w:val="000000" w:themeColor="text1"/>
          <w:sz w:val="21"/>
          <w:szCs w:val="21"/>
          <w:highlight w:val="none"/>
          <w:lang w:eastAsia="zh-CN"/>
          <w14:textFill>
            <w14:solidFill>
              <w14:schemeClr w14:val="tx1"/>
            </w14:solidFill>
          </w14:textFill>
        </w:rPr>
        <w:t>评审时，采购人对小微企业的报价不给予价格扣除；</w:t>
      </w:r>
      <w:r>
        <w:rPr>
          <w:rFonts w:hint="eastAsia" w:ascii="宋体" w:hAnsi="宋体" w:eastAsia="宋体" w:cs="宋体"/>
          <w:color w:val="000000" w:themeColor="text1"/>
          <w:sz w:val="21"/>
          <w:szCs w:val="21"/>
          <w:highlight w:val="none"/>
          <w:lang w:eastAsia="zh-CN"/>
          <w14:textFill>
            <w14:solidFill>
              <w14:schemeClr w14:val="tx1"/>
            </w14:solidFill>
          </w14:textFill>
        </w:rPr>
        <w:t>对于非专门面向中小企业的项目，对小型和微型企业的价格给予10%（工程5%）的扣除，用扣除后的价格参与评审。</w:t>
      </w:r>
    </w:p>
    <w:p w14:paraId="225B9D3E">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36C8AD9E">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3.监狱和戒毒企业的价格扣除</w:t>
      </w:r>
    </w:p>
    <w:p w14:paraId="52146C76">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3.1 本项目对监狱和戒毒企业，给予10%的价格扣除，用扣除后的价格参与评审。</w:t>
      </w:r>
    </w:p>
    <w:p w14:paraId="0308BB57">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3.2 监狱企业需提供由省级以上监狱管理局、戒毒管理局（含新疆生产建设兵团）出具的属于监狱企业的证明文件。</w:t>
      </w:r>
    </w:p>
    <w:p w14:paraId="23F67C0A">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3.3 监狱企业标准请参照《关于政府采购支持监狱企业发展有关问题的通知》（财库〔2014〕68号）。</w:t>
      </w:r>
    </w:p>
    <w:p w14:paraId="1BCEDF9D">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4.残疾人福利性单位的价格扣除</w:t>
      </w:r>
    </w:p>
    <w:p w14:paraId="29D62494">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4.1 本项目对残疾人福利性单位，给予10%的价格扣除，用扣除后的价格参与评审。</w:t>
      </w:r>
    </w:p>
    <w:p w14:paraId="1C588D51">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4.2 残疾人福利性单位需提供《残疾人福利性单位声明函》</w:t>
      </w:r>
    </w:p>
    <w:p w14:paraId="5A54838A">
      <w:pPr>
        <w:spacing w:line="340" w:lineRule="exact"/>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4.3 残疾人福利性单位标准请参照《关于促进残疾人就业政府采购政策的通知》（财库〔2017〕141号）。</w:t>
      </w:r>
    </w:p>
    <w:p w14:paraId="28B5E001">
      <w:pPr>
        <w:spacing w:line="340" w:lineRule="exact"/>
        <w:ind w:firstLine="420"/>
        <w:rPr>
          <w:rFonts w:ascii="Ari"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 监狱企业、残疾人福利性单位属于小型、微型企业的，不重复享受政策。</w:t>
      </w:r>
    </w:p>
    <w:p w14:paraId="185579B0">
      <w:pPr>
        <w:spacing w:line="360" w:lineRule="auto"/>
        <w:jc w:val="left"/>
        <w:outlineLvl w:val="0"/>
        <w:rPr>
          <w:rFonts w:ascii="宋体" w:hAnsi="宋体"/>
          <w:b/>
          <w:color w:val="000000" w:themeColor="text1"/>
          <w:sz w:val="24"/>
          <w:highlight w:val="none"/>
          <w14:textFill>
            <w14:solidFill>
              <w14:schemeClr w14:val="tx1"/>
            </w14:solidFill>
          </w14:textFill>
        </w:rPr>
      </w:pPr>
    </w:p>
    <w:p w14:paraId="659C9564">
      <w:pPr>
        <w:rPr>
          <w:color w:val="000000" w:themeColor="text1"/>
          <w:highlight w:val="none"/>
          <w14:textFill>
            <w14:solidFill>
              <w14:schemeClr w14:val="tx1"/>
            </w14:solidFill>
          </w14:textFill>
        </w:rPr>
      </w:pPr>
      <w:bookmarkStart w:id="130" w:name="_Toc185323383"/>
      <w:r>
        <w:rPr>
          <w:color w:val="000000" w:themeColor="text1"/>
          <w:highlight w:val="none"/>
          <w14:textFill>
            <w14:solidFill>
              <w14:schemeClr w14:val="tx1"/>
            </w14:solidFill>
          </w14:textFill>
        </w:rPr>
        <w:br w:type="page"/>
      </w:r>
    </w:p>
    <w:p w14:paraId="4AEAEA58">
      <w:pPr>
        <w:pStyle w:val="2"/>
        <w:numPr>
          <w:ilvl w:val="0"/>
          <w:numId w:val="0"/>
        </w:num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第五章</w:t>
      </w:r>
      <w:r>
        <w:rPr>
          <w:rFonts w:hint="eastAsia"/>
          <w:color w:val="000000" w:themeColor="text1"/>
          <w:highlight w:val="none"/>
          <w14:textFill>
            <w14:solidFill>
              <w14:schemeClr w14:val="tx1"/>
            </w14:solidFill>
          </w14:textFill>
        </w:rPr>
        <w:t xml:space="preserve">   合同</w:t>
      </w:r>
      <w:bookmarkEnd w:id="130"/>
    </w:p>
    <w:p w14:paraId="74A76632">
      <w:pPr>
        <w:pStyle w:val="21"/>
        <w:ind w:left="0" w:firstLine="0"/>
        <w:jc w:val="left"/>
        <w:rPr>
          <w:rFonts w:ascii="黑体" w:hAnsi="宋体" w:eastAsia="黑体"/>
          <w:b/>
          <w:bCs/>
          <w:color w:val="000000" w:themeColor="text1"/>
          <w:sz w:val="44"/>
          <w:szCs w:val="44"/>
          <w:highlight w:val="none"/>
          <w14:textFill>
            <w14:solidFill>
              <w14:schemeClr w14:val="tx1"/>
            </w14:solidFill>
          </w14:textFill>
        </w:rPr>
      </w:pPr>
    </w:p>
    <w:p w14:paraId="19166101">
      <w:pPr>
        <w:pStyle w:val="21"/>
        <w:ind w:left="0" w:firstLine="0"/>
        <w:jc w:val="center"/>
        <w:rPr>
          <w:rFonts w:ascii="黑体" w:hAnsi="宋体" w:eastAsia="黑体"/>
          <w:b/>
          <w:bCs/>
          <w:color w:val="000000" w:themeColor="text1"/>
          <w:sz w:val="44"/>
          <w:szCs w:val="44"/>
          <w:highlight w:val="none"/>
          <w14:textFill>
            <w14:solidFill>
              <w14:schemeClr w14:val="tx1"/>
            </w14:solidFill>
          </w14:textFill>
        </w:rPr>
      </w:pPr>
      <w:r>
        <w:rPr>
          <w:rFonts w:hint="eastAsia" w:ascii="黑体" w:hAnsi="宋体" w:eastAsia="黑体"/>
          <w:b/>
          <w:bCs/>
          <w:color w:val="000000" w:themeColor="text1"/>
          <w:sz w:val="44"/>
          <w:szCs w:val="44"/>
          <w:highlight w:val="none"/>
          <w14:textFill>
            <w14:solidFill>
              <w14:schemeClr w14:val="tx1"/>
            </w14:solidFill>
          </w14:textFill>
        </w:rPr>
        <w:t>采购合同</w:t>
      </w:r>
    </w:p>
    <w:p w14:paraId="01A18E81">
      <w:pPr>
        <w:jc w:val="left"/>
        <w:rPr>
          <w:rFonts w:ascii="宋体" w:hAnsi="宋体"/>
          <w:color w:val="000000" w:themeColor="text1"/>
          <w:highlight w:val="none"/>
          <w14:textFill>
            <w14:solidFill>
              <w14:schemeClr w14:val="tx1"/>
            </w14:solidFill>
          </w14:textFill>
        </w:rPr>
      </w:pPr>
    </w:p>
    <w:p w14:paraId="011D4C96">
      <w:pPr>
        <w:jc w:val="left"/>
        <w:rPr>
          <w:rFonts w:ascii="宋体" w:hAnsi="宋体"/>
          <w:color w:val="000000" w:themeColor="text1"/>
          <w:highlight w:val="none"/>
          <w14:textFill>
            <w14:solidFill>
              <w14:schemeClr w14:val="tx1"/>
            </w14:solidFill>
          </w14:textFill>
        </w:rPr>
      </w:pPr>
    </w:p>
    <w:p w14:paraId="4B8EACCE">
      <w:pPr>
        <w:jc w:val="left"/>
        <w:rPr>
          <w:rFonts w:ascii="宋体" w:hAnsi="宋体"/>
          <w:color w:val="000000" w:themeColor="text1"/>
          <w:highlight w:val="none"/>
          <w14:textFill>
            <w14:solidFill>
              <w14:schemeClr w14:val="tx1"/>
            </w14:solidFill>
          </w14:textFill>
        </w:rPr>
      </w:pPr>
    </w:p>
    <w:p w14:paraId="0230D71A">
      <w:pPr>
        <w:jc w:val="left"/>
        <w:rPr>
          <w:rFonts w:ascii="宋体" w:hAnsi="宋体"/>
          <w:b/>
          <w:color w:val="000000" w:themeColor="text1"/>
          <w:highlight w:val="none"/>
          <w14:textFill>
            <w14:solidFill>
              <w14:schemeClr w14:val="tx1"/>
            </w14:solidFill>
          </w14:textFill>
        </w:rPr>
      </w:pPr>
    </w:p>
    <w:p w14:paraId="584A77C6">
      <w:pPr>
        <w:jc w:val="left"/>
        <w:rPr>
          <w:rFonts w:ascii="宋体" w:hAnsi="宋体"/>
          <w:b/>
          <w:color w:val="000000" w:themeColor="text1"/>
          <w:highlight w:val="none"/>
          <w14:textFill>
            <w14:solidFill>
              <w14:schemeClr w14:val="tx1"/>
            </w14:solidFill>
          </w14:textFill>
        </w:rPr>
      </w:pPr>
    </w:p>
    <w:p w14:paraId="393E4472">
      <w:pPr>
        <w:jc w:val="left"/>
        <w:rPr>
          <w:rFonts w:ascii="宋体" w:hAnsi="宋体"/>
          <w:b/>
          <w:color w:val="000000" w:themeColor="text1"/>
          <w:highlight w:val="none"/>
          <w14:textFill>
            <w14:solidFill>
              <w14:schemeClr w14:val="tx1"/>
            </w14:solidFill>
          </w14:textFill>
        </w:rPr>
      </w:pPr>
    </w:p>
    <w:p w14:paraId="783259AB">
      <w:pPr>
        <w:jc w:val="left"/>
        <w:rPr>
          <w:rFonts w:ascii="宋体" w:hAnsi="宋体"/>
          <w:b/>
          <w:color w:val="000000" w:themeColor="text1"/>
          <w:highlight w:val="none"/>
          <w14:textFill>
            <w14:solidFill>
              <w14:schemeClr w14:val="tx1"/>
            </w14:solidFill>
          </w14:textFill>
        </w:rPr>
      </w:pPr>
    </w:p>
    <w:p w14:paraId="09714D8E">
      <w:pPr>
        <w:jc w:val="left"/>
        <w:rPr>
          <w:rFonts w:ascii="宋体" w:hAnsi="宋体"/>
          <w:b/>
          <w:color w:val="000000" w:themeColor="text1"/>
          <w:highlight w:val="none"/>
          <w14:textFill>
            <w14:solidFill>
              <w14:schemeClr w14:val="tx1"/>
            </w14:solidFill>
          </w14:textFill>
        </w:rPr>
      </w:pPr>
    </w:p>
    <w:p w14:paraId="23C49577">
      <w:pPr>
        <w:jc w:val="left"/>
        <w:rPr>
          <w:rFonts w:ascii="宋体" w:hAnsi="宋体"/>
          <w:b/>
          <w:color w:val="000000" w:themeColor="text1"/>
          <w:highlight w:val="none"/>
          <w14:textFill>
            <w14:solidFill>
              <w14:schemeClr w14:val="tx1"/>
            </w14:solidFill>
          </w14:textFill>
        </w:rPr>
      </w:pPr>
    </w:p>
    <w:p w14:paraId="23114E2B">
      <w:pPr>
        <w:jc w:val="left"/>
        <w:rPr>
          <w:rFonts w:ascii="宋体" w:hAnsi="宋体"/>
          <w:b/>
          <w:color w:val="000000" w:themeColor="text1"/>
          <w:highlight w:val="none"/>
          <w14:textFill>
            <w14:solidFill>
              <w14:schemeClr w14:val="tx1"/>
            </w14:solidFill>
          </w14:textFill>
        </w:rPr>
      </w:pPr>
    </w:p>
    <w:p w14:paraId="53E0020D">
      <w:pPr>
        <w:ind w:firstLine="967" w:firstLineChars="344"/>
        <w:jc w:val="left"/>
        <w:rPr>
          <w:rFonts w:ascii="宋体" w:hAns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项目编号 ：</w:t>
      </w:r>
      <w:r>
        <w:rPr>
          <w:rFonts w:hint="eastAsia" w:ascii="宋体" w:hAnsi="宋体"/>
          <w:b/>
          <w:color w:val="000000" w:themeColor="text1"/>
          <w:sz w:val="28"/>
          <w:szCs w:val="28"/>
          <w:highlight w:val="none"/>
          <w:u w:val="single"/>
          <w14:textFill>
            <w14:solidFill>
              <w14:schemeClr w14:val="tx1"/>
            </w14:solidFill>
          </w14:textFill>
        </w:rPr>
        <w:t xml:space="preserve">                                   </w:t>
      </w:r>
    </w:p>
    <w:p w14:paraId="7801080F">
      <w:pPr>
        <w:ind w:left="2502" w:hanging="2502" w:hangingChars="890"/>
        <w:jc w:val="left"/>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 xml:space="preserve">       项目名称 ：</w:t>
      </w:r>
      <w:r>
        <w:rPr>
          <w:rFonts w:hint="eastAsia" w:ascii="宋体" w:hAnsi="宋体"/>
          <w:b/>
          <w:color w:val="000000" w:themeColor="text1"/>
          <w:sz w:val="28"/>
          <w:szCs w:val="28"/>
          <w:highlight w:val="none"/>
          <w:u w:val="single"/>
          <w:lang w:eastAsia="zh-CN"/>
          <w14:textFill>
            <w14:solidFill>
              <w14:schemeClr w14:val="tx1"/>
            </w14:solidFill>
          </w14:textFill>
        </w:rPr>
        <w:t>2026年园区VOCs站运维服务项目</w:t>
      </w:r>
      <w:r>
        <w:rPr>
          <w:rFonts w:hint="eastAsia" w:ascii="宋体" w:hAnsi="宋体"/>
          <w:b/>
          <w:color w:val="000000" w:themeColor="text1"/>
          <w:sz w:val="28"/>
          <w:szCs w:val="28"/>
          <w:highlight w:val="none"/>
          <w:u w:val="single"/>
          <w14:textFill>
            <w14:solidFill>
              <w14:schemeClr w14:val="tx1"/>
            </w14:solidFill>
          </w14:textFill>
        </w:rPr>
        <w:t xml:space="preserve"> </w:t>
      </w:r>
      <w:r>
        <w:rPr>
          <w:rFonts w:ascii="宋体" w:hAnsi="宋体"/>
          <w:b/>
          <w:color w:val="000000" w:themeColor="text1"/>
          <w:sz w:val="28"/>
          <w:szCs w:val="28"/>
          <w:highlight w:val="none"/>
          <w:u w:val="single"/>
          <w14:textFill>
            <w14:solidFill>
              <w14:schemeClr w14:val="tx1"/>
            </w14:solidFill>
          </w14:textFill>
        </w:rPr>
        <w:t xml:space="preserve"> </w:t>
      </w:r>
    </w:p>
    <w:p w14:paraId="45B83E81">
      <w:pPr>
        <w:ind w:firstLine="967" w:firstLineChars="344"/>
        <w:jc w:val="left"/>
        <w:rPr>
          <w:rFonts w:ascii="宋体" w:hAns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采购单位 ：</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lang w:eastAsia="zh-CN"/>
          <w14:textFill>
            <w14:solidFill>
              <w14:schemeClr w14:val="tx1"/>
            </w14:solidFill>
          </w14:textFill>
        </w:rPr>
        <w:t>南京江宁滨江经济开发区管理委员会</w:t>
      </w:r>
      <w:r>
        <w:rPr>
          <w:rFonts w:hint="eastAsia" w:ascii="宋体" w:hAnsi="宋体"/>
          <w:b/>
          <w:color w:val="000000" w:themeColor="text1"/>
          <w:sz w:val="28"/>
          <w:szCs w:val="28"/>
          <w:highlight w:val="none"/>
          <w:u w:val="single"/>
          <w14:textFill>
            <w14:solidFill>
              <w14:schemeClr w14:val="tx1"/>
            </w14:solidFill>
          </w14:textFill>
        </w:rPr>
        <w:t xml:space="preserve">  </w:t>
      </w:r>
    </w:p>
    <w:p w14:paraId="2408B08A">
      <w:pPr>
        <w:ind w:firstLine="967" w:firstLineChars="344"/>
        <w:jc w:val="left"/>
        <w:rPr>
          <w:rFonts w:ascii="宋体" w:hAns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供 应 商 ：</w:t>
      </w:r>
      <w:r>
        <w:rPr>
          <w:rFonts w:hint="eastAsia" w:ascii="宋体" w:hAnsi="宋体"/>
          <w:b/>
          <w:color w:val="000000" w:themeColor="text1"/>
          <w:sz w:val="28"/>
          <w:szCs w:val="28"/>
          <w:highlight w:val="none"/>
          <w:u w:val="single"/>
          <w14:textFill>
            <w14:solidFill>
              <w14:schemeClr w14:val="tx1"/>
            </w14:solidFill>
          </w14:textFill>
        </w:rPr>
        <w:t xml:space="preserve">                                     </w:t>
      </w:r>
    </w:p>
    <w:p w14:paraId="3386F930">
      <w:pPr>
        <w:ind w:firstLine="967" w:firstLineChars="344"/>
        <w:jc w:val="left"/>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签订日期 ：</w:t>
      </w:r>
      <w:r>
        <w:rPr>
          <w:rFonts w:hint="eastAsia" w:ascii="宋体" w:hAnsi="宋体"/>
          <w:b/>
          <w:color w:val="000000" w:themeColor="text1"/>
          <w:sz w:val="28"/>
          <w:szCs w:val="28"/>
          <w:highlight w:val="none"/>
          <w:u w:val="single"/>
          <w14:textFill>
            <w14:solidFill>
              <w14:schemeClr w14:val="tx1"/>
            </w14:solidFill>
          </w14:textFill>
        </w:rPr>
        <w:t xml:space="preserve">      20    年   月    日            </w:t>
      </w:r>
    </w:p>
    <w:p w14:paraId="09AE6D52">
      <w:pPr>
        <w:widowControl/>
        <w:shd w:val="clear" w:color="auto" w:fill="FFFFFF"/>
        <w:spacing w:line="360" w:lineRule="auto"/>
        <w:jc w:val="left"/>
        <w:rPr>
          <w:rFonts w:ascii="宋体" w:hAnsi="宋体"/>
          <w:b/>
          <w:bCs/>
          <w:color w:val="000000" w:themeColor="text1"/>
          <w:kern w:val="0"/>
          <w:sz w:val="36"/>
          <w:szCs w:val="36"/>
          <w:highlight w:val="none"/>
          <w14:textFill>
            <w14:solidFill>
              <w14:schemeClr w14:val="tx1"/>
            </w14:solidFill>
          </w14:textFill>
        </w:rPr>
      </w:pPr>
    </w:p>
    <w:p w14:paraId="4F8E7F6E">
      <w:pPr>
        <w:jc w:val="left"/>
        <w:rPr>
          <w:rFonts w:ascii="宋体" w:hAnsi="宋体" w:cs="宋体"/>
          <w:b/>
          <w:bCs/>
          <w:color w:val="000000" w:themeColor="text1"/>
          <w:sz w:val="28"/>
          <w:highlight w:val="none"/>
          <w14:textFill>
            <w14:solidFill>
              <w14:schemeClr w14:val="tx1"/>
            </w14:solidFill>
          </w14:textFill>
        </w:rPr>
      </w:pPr>
    </w:p>
    <w:p w14:paraId="23506759">
      <w:pPr>
        <w:jc w:val="left"/>
        <w:rPr>
          <w:rFonts w:ascii="宋体" w:hAnsi="宋体" w:cs="宋体"/>
          <w:b/>
          <w:bCs/>
          <w:color w:val="000000" w:themeColor="text1"/>
          <w:sz w:val="28"/>
          <w:highlight w:val="none"/>
          <w14:textFill>
            <w14:solidFill>
              <w14:schemeClr w14:val="tx1"/>
            </w14:solidFill>
          </w14:textFill>
        </w:rPr>
      </w:pPr>
    </w:p>
    <w:p w14:paraId="683F3F2B">
      <w:pPr>
        <w:jc w:val="left"/>
        <w:rPr>
          <w:rFonts w:ascii="宋体" w:hAnsi="宋体" w:cs="宋体"/>
          <w:b/>
          <w:bCs/>
          <w:color w:val="000000" w:themeColor="text1"/>
          <w:sz w:val="28"/>
          <w:highlight w:val="none"/>
          <w14:textFill>
            <w14:solidFill>
              <w14:schemeClr w14:val="tx1"/>
            </w14:solidFill>
          </w14:textFill>
        </w:rPr>
      </w:pPr>
    </w:p>
    <w:p w14:paraId="43C31CEE">
      <w:pPr>
        <w:jc w:val="left"/>
        <w:rPr>
          <w:rFonts w:ascii="宋体" w:hAnsi="宋体" w:cs="宋体"/>
          <w:b/>
          <w:bCs/>
          <w:color w:val="000000" w:themeColor="text1"/>
          <w:sz w:val="28"/>
          <w:highlight w:val="none"/>
          <w14:textFill>
            <w14:solidFill>
              <w14:schemeClr w14:val="tx1"/>
            </w14:solidFill>
          </w14:textFill>
        </w:rPr>
      </w:pPr>
    </w:p>
    <w:p w14:paraId="4D743E9B">
      <w:pPr>
        <w:rPr>
          <w:highlight w:val="none"/>
        </w:rPr>
      </w:pPr>
      <w:r>
        <w:rPr>
          <w:highlight w:val="none"/>
        </w:rPr>
        <w:br w:type="page"/>
      </w:r>
    </w:p>
    <w:p w14:paraId="143F56FC">
      <w:pPr>
        <w:spacing w:line="360" w:lineRule="auto"/>
        <w:jc w:val="left"/>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甲方：</w:t>
      </w:r>
      <w:r>
        <w:rPr>
          <w:rFonts w:hint="eastAsia" w:ascii="Times New Roman" w:hAnsi="Times New Roman" w:cs="Times New Roman"/>
          <w:sz w:val="24"/>
          <w:szCs w:val="32"/>
          <w:highlight w:val="none"/>
          <w:lang w:val="en-US" w:eastAsia="zh-CN"/>
        </w:rPr>
        <w:t>南京江宁滨江经济开发区管理委员会</w:t>
      </w:r>
    </w:p>
    <w:p w14:paraId="5A277494">
      <w:pPr>
        <w:spacing w:line="360" w:lineRule="auto"/>
        <w:jc w:val="left"/>
        <w:rPr>
          <w:rFonts w:hint="default" w:ascii="Times New Roman" w:hAnsi="Times New Roman" w:cs="Times New Roman"/>
          <w:sz w:val="24"/>
          <w:szCs w:val="32"/>
          <w:highlight w:val="none"/>
          <w:lang w:val="en-US"/>
        </w:rPr>
      </w:pPr>
      <w:r>
        <w:rPr>
          <w:rFonts w:hint="default" w:ascii="Times New Roman" w:hAnsi="Times New Roman" w:cs="Times New Roman"/>
          <w:sz w:val="24"/>
          <w:szCs w:val="32"/>
          <w:highlight w:val="none"/>
        </w:rPr>
        <w:t>乙方：</w:t>
      </w:r>
      <w:r>
        <w:rPr>
          <w:rFonts w:hint="eastAsia" w:ascii="Times New Roman" w:hAnsi="Times New Roman" w:cs="Times New Roman"/>
          <w:sz w:val="24"/>
          <w:szCs w:val="32"/>
          <w:highlight w:val="none"/>
          <w:u w:val="single"/>
          <w:lang w:val="en-US" w:eastAsia="zh-CN"/>
        </w:rPr>
        <w:t xml:space="preserve">                                </w:t>
      </w:r>
    </w:p>
    <w:p w14:paraId="21EF6A3A">
      <w:pPr>
        <w:spacing w:line="360" w:lineRule="auto"/>
        <w:ind w:firstLine="480" w:firstLineChars="200"/>
        <w:rPr>
          <w:rFonts w:hint="default" w:ascii="Times New Roman" w:hAnsi="Times New Roman" w:cs="Times New Roman"/>
          <w:sz w:val="24"/>
          <w:szCs w:val="24"/>
          <w:highlight w:val="none"/>
        </w:rPr>
      </w:pPr>
    </w:p>
    <w:p w14:paraId="21EDF828">
      <w:pPr>
        <w:keepNext w:val="0"/>
        <w:keepLines w:val="0"/>
        <w:pageBreakBefore w:val="0"/>
        <w:widowControl w:val="0"/>
        <w:kinsoku/>
        <w:wordWrap/>
        <w:overflowPunct/>
        <w:topLinePunct w:val="0"/>
        <w:autoSpaceDE/>
        <w:autoSpaceDN/>
        <w:bidi w:val="0"/>
        <w:snapToGrid w:val="0"/>
        <w:spacing w:line="360" w:lineRule="auto"/>
        <w:ind w:firstLine="720" w:firstLineChars="3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甲方（</w:t>
      </w:r>
      <w:r>
        <w:rPr>
          <w:rFonts w:hint="eastAsia" w:ascii="Times New Roman" w:hAnsi="Times New Roman" w:cs="Times New Roman"/>
          <w:sz w:val="24"/>
          <w:szCs w:val="32"/>
          <w:highlight w:val="none"/>
          <w:lang w:val="en-US" w:eastAsia="zh-CN"/>
        </w:rPr>
        <w:t>南京江宁滨江经济开发区管理委员会</w:t>
      </w:r>
      <w:r>
        <w:rPr>
          <w:rFonts w:hint="default" w:ascii="Times New Roman" w:hAnsi="Times New Roman" w:cs="Times New Roman"/>
          <w:sz w:val="24"/>
          <w:szCs w:val="24"/>
          <w:highlight w:val="none"/>
        </w:rPr>
        <w:t>）</w:t>
      </w:r>
      <w:r>
        <w:rPr>
          <w:rFonts w:hint="eastAsia" w:cs="Times New Roman"/>
          <w:sz w:val="24"/>
          <w:szCs w:val="24"/>
          <w:highlight w:val="none"/>
          <w:lang w:eastAsia="zh-CN"/>
        </w:rPr>
        <w:t>和乙</w:t>
      </w:r>
      <w:r>
        <w:rPr>
          <w:rFonts w:hint="default" w:ascii="Times New Roman" w:hAnsi="Times New Roman" w:cs="Times New Roman"/>
          <w:sz w:val="24"/>
          <w:szCs w:val="24"/>
          <w:highlight w:val="none"/>
        </w:rPr>
        <w:t>方（</w:t>
      </w:r>
      <w:r>
        <w:rPr>
          <w:rFonts w:hint="eastAsia" w:ascii="Times New Roman" w:hAnsi="Times New Roman" w:cs="Times New Roman"/>
          <w:sz w:val="24"/>
          <w:szCs w:val="32"/>
          <w:highlight w:val="none"/>
          <w:u w:val="single"/>
          <w:lang w:val="en-US" w:eastAsia="zh-CN"/>
        </w:rPr>
        <w:t xml:space="preserve">                    </w:t>
      </w:r>
      <w:r>
        <w:rPr>
          <w:rFonts w:hint="default" w:ascii="Times New Roman" w:hAnsi="Times New Roman" w:cs="Times New Roman"/>
          <w:sz w:val="24"/>
          <w:szCs w:val="24"/>
          <w:highlight w:val="none"/>
        </w:rPr>
        <w:t>）双方就此次成交</w:t>
      </w:r>
      <w:r>
        <w:rPr>
          <w:rFonts w:hint="eastAsia" w:cs="Times New Roman"/>
          <w:sz w:val="24"/>
          <w:szCs w:val="24"/>
          <w:highlight w:val="none"/>
          <w:lang w:eastAsia="zh-CN"/>
        </w:rPr>
        <w:t>的</w:t>
      </w:r>
      <w:r>
        <w:rPr>
          <w:rFonts w:hint="default" w:ascii="Times New Roman" w:hAnsi="Times New Roman" w:cs="Times New Roman"/>
          <w:sz w:val="24"/>
          <w:szCs w:val="24"/>
          <w:highlight w:val="none"/>
        </w:rPr>
        <w:t>事宜，签订本合同书。</w:t>
      </w:r>
    </w:p>
    <w:p w14:paraId="6C97EC4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一、合同内容</w:t>
      </w:r>
    </w:p>
    <w:p w14:paraId="1432697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1.1乙方负责完成：</w:t>
      </w:r>
      <w:r>
        <w:rPr>
          <w:rFonts w:hint="default" w:ascii="Times New Roman" w:hAnsi="Times New Roman" w:eastAsia="宋体" w:cs="Times New Roman"/>
          <w:kern w:val="0"/>
          <w:sz w:val="24"/>
          <w:highlight w:val="none"/>
        </w:rPr>
        <w:t>2座VOCs站</w:t>
      </w:r>
      <w:r>
        <w:rPr>
          <w:rFonts w:hint="default" w:ascii="Times New Roman" w:hAnsi="Times New Roman" w:cs="Times New Roman"/>
          <w:kern w:val="0"/>
          <w:sz w:val="24"/>
          <w:highlight w:val="none"/>
          <w:lang w:val="en-US" w:eastAsia="zh-CN"/>
        </w:rPr>
        <w:t>点</w:t>
      </w:r>
      <w:r>
        <w:rPr>
          <w:rFonts w:hint="eastAsia" w:cs="Times New Roman"/>
          <w:kern w:val="0"/>
          <w:sz w:val="24"/>
          <w:highlight w:val="none"/>
          <w:lang w:val="en-US" w:eastAsia="zh-CN"/>
        </w:rPr>
        <w:t>（</w:t>
      </w:r>
      <w:r>
        <w:rPr>
          <w:rFonts w:hint="default" w:ascii="Times New Roman" w:hAnsi="Times New Roman" w:eastAsia="宋体" w:cs="Times New Roman"/>
          <w:kern w:val="0"/>
          <w:sz w:val="24"/>
          <w:highlight w:val="none"/>
        </w:rPr>
        <w:t>魏家泵站和孔家泵站</w:t>
      </w:r>
      <w:r>
        <w:rPr>
          <w:rFonts w:hint="eastAsia" w:cs="Times New Roman"/>
          <w:kern w:val="0"/>
          <w:sz w:val="24"/>
          <w:highlight w:val="none"/>
          <w:lang w:val="en-US" w:eastAsia="zh-CN"/>
        </w:rPr>
        <w:t>）</w:t>
      </w:r>
      <w:r>
        <w:rPr>
          <w:rFonts w:hint="default" w:ascii="Times New Roman" w:hAnsi="Times New Roman" w:cs="Times New Roman"/>
          <w:kern w:val="0"/>
          <w:sz w:val="24"/>
          <w:highlight w:val="none"/>
          <w:lang w:val="en-US" w:eastAsia="zh-CN"/>
        </w:rPr>
        <w:t>运维</w:t>
      </w:r>
      <w:r>
        <w:rPr>
          <w:rFonts w:hint="default" w:ascii="Times New Roman" w:hAnsi="Times New Roman" w:cs="Times New Roman"/>
          <w:sz w:val="24"/>
          <w:szCs w:val="24"/>
          <w:highlight w:val="none"/>
        </w:rPr>
        <w:t>服务。</w:t>
      </w:r>
    </w:p>
    <w:p w14:paraId="25CB765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cs="Times New Roman"/>
          <w:sz w:val="24"/>
          <w:szCs w:val="24"/>
          <w:highlight w:val="none"/>
        </w:rPr>
      </w:pPr>
      <w:bookmarkStart w:id="131" w:name="_Toc19213"/>
      <w:r>
        <w:rPr>
          <w:rFonts w:hint="default" w:ascii="Times New Roman" w:hAnsi="Times New Roman" w:cs="Times New Roman"/>
          <w:sz w:val="24"/>
          <w:szCs w:val="24"/>
          <w:highlight w:val="none"/>
        </w:rPr>
        <w:t>1.2服务内容：</w:t>
      </w:r>
      <w:bookmarkEnd w:id="131"/>
    </w:p>
    <w:tbl>
      <w:tblPr>
        <w:tblStyle w:val="38"/>
        <w:tblW w:w="47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9"/>
        <w:gridCol w:w="3029"/>
        <w:gridCol w:w="4157"/>
        <w:gridCol w:w="1052"/>
      </w:tblGrid>
      <w:tr w14:paraId="15FD5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541" w:type="pct"/>
            <w:noWrap w:val="0"/>
            <w:vAlign w:val="center"/>
          </w:tcPr>
          <w:p w14:paraId="7F035C09">
            <w:pPr>
              <w:pStyle w:val="181"/>
              <w:keepNext w:val="0"/>
              <w:keepLines w:val="0"/>
              <w:pageBreakBefore w:val="0"/>
              <w:widowControl w:val="0"/>
              <w:kinsoku/>
              <w:wordWrap/>
              <w:overflowPunct/>
              <w:topLinePunct w:val="0"/>
              <w:autoSpaceDE/>
              <w:autoSpaceDN/>
              <w:bidi w:val="0"/>
              <w:adjustRightInd w:val="0"/>
              <w:snapToGrid w:val="0"/>
              <w:spacing w:after="0" w:line="360" w:lineRule="auto"/>
              <w:ind w:leftChars="0" w:firstLineChars="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序号</w:t>
            </w:r>
          </w:p>
        </w:tc>
        <w:tc>
          <w:tcPr>
            <w:tcW w:w="1639" w:type="pct"/>
            <w:noWrap w:val="0"/>
            <w:vAlign w:val="center"/>
          </w:tcPr>
          <w:p w14:paraId="68B13122">
            <w:pPr>
              <w:pStyle w:val="181"/>
              <w:keepNext w:val="0"/>
              <w:keepLines w:val="0"/>
              <w:pageBreakBefore w:val="0"/>
              <w:widowControl w:val="0"/>
              <w:kinsoku/>
              <w:wordWrap/>
              <w:overflowPunct/>
              <w:topLinePunct w:val="0"/>
              <w:autoSpaceDE/>
              <w:autoSpaceDN/>
              <w:bidi w:val="0"/>
              <w:adjustRightInd w:val="0"/>
              <w:snapToGrid w:val="0"/>
              <w:spacing w:after="0" w:line="360" w:lineRule="auto"/>
              <w:ind w:leftChars="0" w:firstLineChars="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类型</w:t>
            </w:r>
          </w:p>
        </w:tc>
        <w:tc>
          <w:tcPr>
            <w:tcW w:w="2249" w:type="pct"/>
            <w:noWrap w:val="0"/>
            <w:vAlign w:val="center"/>
          </w:tcPr>
          <w:p w14:paraId="528E64F5">
            <w:pPr>
              <w:pStyle w:val="181"/>
              <w:keepNext w:val="0"/>
              <w:keepLines w:val="0"/>
              <w:pageBreakBefore w:val="0"/>
              <w:widowControl w:val="0"/>
              <w:kinsoku/>
              <w:wordWrap/>
              <w:overflowPunct/>
              <w:topLinePunct w:val="0"/>
              <w:autoSpaceDE/>
              <w:autoSpaceDN/>
              <w:bidi w:val="0"/>
              <w:adjustRightInd w:val="0"/>
              <w:snapToGrid w:val="0"/>
              <w:spacing w:after="0" w:line="360" w:lineRule="auto"/>
              <w:ind w:leftChars="0" w:firstLineChars="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参数</w:t>
            </w:r>
          </w:p>
        </w:tc>
        <w:tc>
          <w:tcPr>
            <w:tcW w:w="569" w:type="pct"/>
            <w:noWrap w:val="0"/>
            <w:vAlign w:val="center"/>
          </w:tcPr>
          <w:p w14:paraId="33836FF6">
            <w:pPr>
              <w:pStyle w:val="181"/>
              <w:keepNext w:val="0"/>
              <w:keepLines w:val="0"/>
              <w:pageBreakBefore w:val="0"/>
              <w:widowControl w:val="0"/>
              <w:kinsoku/>
              <w:wordWrap/>
              <w:overflowPunct/>
              <w:topLinePunct w:val="0"/>
              <w:autoSpaceDE/>
              <w:autoSpaceDN/>
              <w:bidi w:val="0"/>
              <w:adjustRightInd w:val="0"/>
              <w:snapToGrid w:val="0"/>
              <w:spacing w:after="0" w:line="360" w:lineRule="auto"/>
              <w:ind w:leftChars="0" w:firstLineChars="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数量</w:t>
            </w:r>
          </w:p>
        </w:tc>
      </w:tr>
      <w:tr w14:paraId="2285A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541" w:type="pct"/>
            <w:noWrap w:val="0"/>
            <w:vAlign w:val="center"/>
          </w:tcPr>
          <w:p w14:paraId="57F6E310">
            <w:pPr>
              <w:pStyle w:val="181"/>
              <w:keepNext w:val="0"/>
              <w:keepLines w:val="0"/>
              <w:pageBreakBefore w:val="0"/>
              <w:widowControl w:val="0"/>
              <w:kinsoku/>
              <w:wordWrap/>
              <w:overflowPunct/>
              <w:topLinePunct w:val="0"/>
              <w:autoSpaceDE/>
              <w:autoSpaceDN/>
              <w:bidi w:val="0"/>
              <w:adjustRightInd w:val="0"/>
              <w:snapToGrid w:val="0"/>
              <w:spacing w:after="0" w:line="360" w:lineRule="auto"/>
              <w:ind w:leftChars="0" w:firstLineChars="0"/>
              <w:textAlignment w:val="auto"/>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1</w:t>
            </w:r>
          </w:p>
        </w:tc>
        <w:tc>
          <w:tcPr>
            <w:tcW w:w="1639" w:type="pct"/>
            <w:noWrap w:val="0"/>
            <w:vAlign w:val="center"/>
          </w:tcPr>
          <w:p w14:paraId="5FE58E8F">
            <w:pPr>
              <w:pStyle w:val="18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挥发性有机物（VOCs）监测系统</w:t>
            </w:r>
          </w:p>
        </w:tc>
        <w:tc>
          <w:tcPr>
            <w:tcW w:w="2249" w:type="pct"/>
            <w:noWrap w:val="0"/>
            <w:vAlign w:val="center"/>
          </w:tcPr>
          <w:p w14:paraId="4A2E1F1F">
            <w:pPr>
              <w:pStyle w:val="18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至少包含57种PAMS物质</w:t>
            </w:r>
          </w:p>
        </w:tc>
        <w:tc>
          <w:tcPr>
            <w:tcW w:w="569" w:type="pct"/>
            <w:noWrap w:val="0"/>
            <w:vAlign w:val="center"/>
          </w:tcPr>
          <w:p w14:paraId="51C875C0">
            <w:pPr>
              <w:pStyle w:val="18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p>
        </w:tc>
      </w:tr>
    </w:tbl>
    <w:p w14:paraId="0E301E4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合同价格及支付：</w:t>
      </w:r>
    </w:p>
    <w:p w14:paraId="7D8BBDC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1、合同价格（大写）人民币</w:t>
      </w:r>
      <w:r>
        <w:rPr>
          <w:rFonts w:hint="eastAsia"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元</w:t>
      </w:r>
      <w:r>
        <w:rPr>
          <w:rFonts w:hint="default" w:ascii="Times New Roman" w:hAnsi="Times New Roman" w:cs="Times New Roman"/>
          <w:color w:val="auto"/>
          <w:sz w:val="24"/>
          <w:szCs w:val="24"/>
          <w:highlight w:val="none"/>
          <w:lang w:val="en-US" w:eastAsia="zh-CN"/>
        </w:rPr>
        <w:t>整</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元），</w:t>
      </w:r>
      <w:r>
        <w:rPr>
          <w:rFonts w:hint="eastAsia" w:cs="Times New Roman"/>
          <w:color w:val="auto"/>
          <w:sz w:val="24"/>
          <w:szCs w:val="24"/>
          <w:highlight w:val="none"/>
          <w:lang w:val="en-US" w:eastAsia="zh-CN"/>
        </w:rPr>
        <w:t>分项价格表详见附件1</w:t>
      </w:r>
      <w:r>
        <w:rPr>
          <w:rFonts w:hint="default" w:ascii="Times New Roman" w:hAnsi="Times New Roman" w:eastAsia="宋体" w:cs="Times New Roman"/>
          <w:color w:val="auto"/>
          <w:sz w:val="24"/>
          <w:szCs w:val="24"/>
          <w:highlight w:val="none"/>
        </w:rPr>
        <w:t>。</w:t>
      </w:r>
    </w:p>
    <w:p w14:paraId="21B7E28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highlight w:val="none"/>
        </w:rPr>
      </w:pPr>
      <w:r>
        <w:rPr>
          <w:rFonts w:hint="default" w:ascii="Times New Roman" w:hAnsi="Times New Roman" w:eastAsia="宋体" w:cs="Times New Roman"/>
          <w:color w:val="auto"/>
          <w:sz w:val="24"/>
          <w:szCs w:val="24"/>
          <w:highlight w:val="none"/>
        </w:rPr>
        <w:t>2、付款</w:t>
      </w:r>
      <w:r>
        <w:rPr>
          <w:rFonts w:hint="default" w:ascii="Times New Roman" w:hAnsi="Times New Roman" w:eastAsia="宋体" w:cs="Times New Roman"/>
          <w:color w:val="auto"/>
          <w:sz w:val="24"/>
          <w:szCs w:val="24"/>
          <w:highlight w:val="none"/>
          <w:lang w:val="en-US" w:eastAsia="zh-CN"/>
        </w:rPr>
        <w:t>方式</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合同签订后服务期满半年，且</w:t>
      </w:r>
      <w:r>
        <w:rPr>
          <w:rFonts w:hint="default" w:ascii="Times New Roman" w:hAnsi="Times New Roman" w:cs="Times New Roman"/>
          <w:color w:val="auto"/>
          <w:sz w:val="24"/>
          <w:szCs w:val="24"/>
          <w:highlight w:val="none"/>
          <w:lang w:val="en-US" w:eastAsia="zh-CN"/>
        </w:rPr>
        <w:t>监测站正常运行</w:t>
      </w:r>
      <w:r>
        <w:rPr>
          <w:rFonts w:hint="eastAsia" w:cs="Times New Roman"/>
          <w:color w:val="auto"/>
          <w:sz w:val="24"/>
          <w:szCs w:val="24"/>
          <w:highlight w:val="none"/>
          <w:lang w:val="en-US" w:eastAsia="zh-CN"/>
        </w:rPr>
        <w:t>并</w:t>
      </w:r>
      <w:r>
        <w:rPr>
          <w:rFonts w:hint="eastAsia" w:ascii="Times New Roman" w:hAnsi="Times New Roman" w:cs="Times New Roman"/>
          <w:color w:val="auto"/>
          <w:sz w:val="24"/>
          <w:szCs w:val="24"/>
          <w:highlight w:val="none"/>
          <w:lang w:val="en-US" w:eastAsia="zh-CN"/>
        </w:rPr>
        <w:t>提供甲方每月考核合格资料</w:t>
      </w:r>
      <w:r>
        <w:rPr>
          <w:rFonts w:hint="default" w:ascii="Times New Roman" w:hAnsi="Times New Roman" w:eastAsia="宋体" w:cs="Times New Roman"/>
          <w:color w:val="auto"/>
          <w:sz w:val="24"/>
          <w:szCs w:val="24"/>
          <w:highlight w:val="none"/>
          <w:lang w:eastAsia="zh-CN"/>
        </w:rPr>
        <w:t>，付至合同价的</w:t>
      </w:r>
      <w:r>
        <w:rPr>
          <w:rFonts w:hint="default" w:ascii="Times New Roman" w:hAnsi="Times New Roman" w:eastAsia="宋体" w:cs="Times New Roman"/>
          <w:color w:val="auto"/>
          <w:sz w:val="24"/>
          <w:szCs w:val="24"/>
          <w:highlight w:val="none"/>
          <w:lang w:val="en-US" w:eastAsia="zh-CN"/>
        </w:rPr>
        <w:t>50%，待服务期满</w:t>
      </w:r>
      <w:r>
        <w:rPr>
          <w:rFonts w:hint="default" w:ascii="Times New Roman" w:hAnsi="Times New Roman" w:cs="Times New Roman"/>
          <w:color w:val="auto"/>
          <w:sz w:val="24"/>
          <w:szCs w:val="24"/>
          <w:highlight w:val="none"/>
          <w:lang w:val="en-US" w:eastAsia="zh-CN"/>
        </w:rPr>
        <w:t>且监测站正常运行</w:t>
      </w:r>
      <w:r>
        <w:rPr>
          <w:rFonts w:hint="eastAsia" w:cs="Times New Roman"/>
          <w:color w:val="auto"/>
          <w:sz w:val="24"/>
          <w:szCs w:val="24"/>
          <w:highlight w:val="none"/>
          <w:lang w:val="en-US" w:eastAsia="zh-CN"/>
        </w:rPr>
        <w:t>并</w:t>
      </w:r>
      <w:r>
        <w:rPr>
          <w:rFonts w:hint="eastAsia" w:ascii="Times New Roman" w:hAnsi="Times New Roman" w:cs="Times New Roman"/>
          <w:color w:val="auto"/>
          <w:sz w:val="24"/>
          <w:szCs w:val="24"/>
          <w:highlight w:val="none"/>
          <w:lang w:val="en-US" w:eastAsia="zh-CN"/>
        </w:rPr>
        <w:t>提供甲方全年每月考核合格资料</w:t>
      </w:r>
      <w:r>
        <w:rPr>
          <w:rFonts w:hint="default" w:ascii="Times New Roman" w:hAnsi="Times New Roman" w:eastAsia="宋体" w:cs="Times New Roman"/>
          <w:color w:val="auto"/>
          <w:sz w:val="24"/>
          <w:szCs w:val="24"/>
          <w:highlight w:val="none"/>
          <w:lang w:val="en-US" w:eastAsia="zh-CN"/>
        </w:rPr>
        <w:t>，付清合同尾款。</w:t>
      </w:r>
    </w:p>
    <w:p w14:paraId="5C7FBEA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注：每次付款乙方须向甲方提供相应增值税专用发票。</w:t>
      </w:r>
    </w:p>
    <w:p w14:paraId="3532E2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三、运维日期：</w:t>
      </w:r>
    </w:p>
    <w:p w14:paraId="666B5B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服务期：</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none"/>
          <w:lang w:val="en-US" w:eastAsia="zh-CN"/>
        </w:rPr>
        <w:t>年，自</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日至</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bCs/>
          <w:color w:val="auto"/>
          <w:sz w:val="24"/>
          <w:szCs w:val="24"/>
          <w:highlight w:val="none"/>
        </w:rPr>
        <w:t>；</w:t>
      </w:r>
    </w:p>
    <w:p w14:paraId="40601CD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四、责任与义务：</w:t>
      </w:r>
    </w:p>
    <w:p w14:paraId="1C698BF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1、甲方的责任与义务</w:t>
      </w:r>
    </w:p>
    <w:p w14:paraId="2DC244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1.1甲方应履行基本程序，根据项目的具体情况和技术要求确定合理的工作量，并按合同有关规定支付费用。</w:t>
      </w:r>
    </w:p>
    <w:p w14:paraId="79BED2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1.2甲方应向乙方提供开展工作所需要的相关文件、资料。</w:t>
      </w:r>
    </w:p>
    <w:p w14:paraId="191D92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1.3在项目进行过程中，甲方应对乙方与地方政府及有关部门的协调工作提供必要的协助，但并不免除乙方根据本合同规定应负的责任。 </w:t>
      </w:r>
    </w:p>
    <w:p w14:paraId="57E9E3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1.4除合同另有规定外，甲方应保护乙方单位的方案和专利技术。未经乙方单位同意，甲方对乙方单位提交的资料及文件不得擅自修改、复制或转让或用于本合同以外的项目。</w:t>
      </w:r>
    </w:p>
    <w:p w14:paraId="2EF2836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2、乙方的责任与义务</w:t>
      </w:r>
    </w:p>
    <w:p w14:paraId="44B9E7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2.1乙方应按照合同规定，完成本合同项目的工作。</w:t>
      </w:r>
    </w:p>
    <w:p w14:paraId="7B6ACC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2.2乙方应做好项目的质量管理工作，建立健全的质量保证体系，加强项目全过程的质量控制，建立报告的编制、审核、会签和批准制度，明确各阶段的责任人，并对质量负责。</w:t>
      </w:r>
    </w:p>
    <w:p w14:paraId="2E196A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2.3报告必须符合下列要求：</w:t>
      </w:r>
    </w:p>
    <w:p w14:paraId="3926F0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（1）本项目的过程和成果均必须符合国家颁布的有关方面现行的规程、标准、规范、办法以及有关文件和规定；</w:t>
      </w:r>
    </w:p>
    <w:p w14:paraId="1FAF36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（2）基本资料应完整、准确、可靠，论证充分，成果可靠；</w:t>
      </w:r>
    </w:p>
    <w:p w14:paraId="7B4FDC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（3）报告的深度应满足合同规定要求，并符合相关评估办法的要求。</w:t>
      </w:r>
    </w:p>
    <w:p w14:paraId="315816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2.4乙方在项目进行过程中，如果发生侵犯专利权等行为而引起索赔或诉讼，则乙方应承担全部责任，并保障甲方免于承担由此造成的一切损害和损失。</w:t>
      </w:r>
    </w:p>
    <w:p w14:paraId="1BF95C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2.5乙方应定期以书面形式向甲方汇报进度和任务完成情况，并接受甲方的检查，同时根据甲方要求向甲方汇报或接受检查。</w:t>
      </w:r>
    </w:p>
    <w:p w14:paraId="73EFEB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2.6在项目进行过程中，乙方应配合甲方做好与地方政府部门的协调工作。</w:t>
      </w:r>
    </w:p>
    <w:p w14:paraId="0366E8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2.7项目进行过程中，乙方应负责组织并承担相关评审费用，并配合甲方做好各项汇报、评审工作，不得拒绝。</w:t>
      </w:r>
    </w:p>
    <w:p w14:paraId="165816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bookmarkStart w:id="132" w:name="_Toc15147"/>
      <w:r>
        <w:rPr>
          <w:rFonts w:hint="default" w:ascii="Times New Roman" w:hAnsi="Times New Roman" w:eastAsia="宋体" w:cs="Times New Roman"/>
          <w:color w:val="auto"/>
          <w:sz w:val="24"/>
          <w:szCs w:val="24"/>
          <w:highlight w:val="none"/>
        </w:rPr>
        <w:t>2.8乙方承诺无信用失信行为。</w:t>
      </w:r>
    </w:p>
    <w:bookmarkEnd w:id="132"/>
    <w:p w14:paraId="2913CD1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rPr>
        <w:t>、违约责任：</w:t>
      </w:r>
    </w:p>
    <w:p w14:paraId="32993A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合同一方不履行合同义务或者履行合同义务不符合约定的，应当承担继续履行、采取补救措施或者赔偿损失等违约责任。</w:t>
      </w:r>
    </w:p>
    <w:p w14:paraId="539A7AB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甲方的违约</w:t>
      </w:r>
    </w:p>
    <w:p w14:paraId="4E1EDD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rPr>
        <w:t>由于甲方变更计划，或未按期提供必需的资料、工作条件，而造成的返工或修改，甲方应按乙方实际增加的工作量（以乙方已提供的成果为准）支付乙方增加工作量的费用，由此拖延的周期应由甲方负责。</w:t>
      </w:r>
    </w:p>
    <w:p w14:paraId="0A74CE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1.2在合同履行期间，甲方无理由要求终止或解除合同，甲方应按乙方完成的实际工作量支付费用，甲方超过合同规定的日期付费时，应偿付逾期的违约金，违约金每逾期一天按合同总金额的万分之一计算。</w:t>
      </w:r>
    </w:p>
    <w:p w14:paraId="6F046ED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乙方的违约</w:t>
      </w:r>
    </w:p>
    <w:p w14:paraId="7BB071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2.1如果乙方未经甲方同意将任务转包或者非法分包，</w:t>
      </w:r>
      <w:r>
        <w:rPr>
          <w:rFonts w:hint="eastAsia" w:cs="Times New Roman"/>
          <w:color w:val="auto"/>
          <w:sz w:val="24"/>
          <w:szCs w:val="24"/>
          <w:highlight w:val="none"/>
          <w:lang w:val="en-US" w:eastAsia="zh-CN"/>
        </w:rPr>
        <w:t>乙</w:t>
      </w:r>
      <w:r>
        <w:rPr>
          <w:rFonts w:hint="default" w:ascii="Times New Roman" w:hAnsi="Times New Roman" w:eastAsia="宋体" w:cs="Times New Roman"/>
          <w:color w:val="auto"/>
          <w:sz w:val="24"/>
          <w:szCs w:val="24"/>
          <w:highlight w:val="none"/>
        </w:rPr>
        <w:t>方将按合同价的5%～10%</w:t>
      </w:r>
      <w:r>
        <w:rPr>
          <w:rFonts w:hint="eastAsia" w:cs="Times New Roman"/>
          <w:color w:val="auto"/>
          <w:sz w:val="24"/>
          <w:szCs w:val="24"/>
          <w:highlight w:val="none"/>
          <w:lang w:val="en-US" w:eastAsia="zh-CN"/>
        </w:rPr>
        <w:t>向甲方支付</w:t>
      </w:r>
      <w:r>
        <w:rPr>
          <w:rFonts w:hint="default" w:ascii="Times New Roman" w:hAnsi="Times New Roman" w:eastAsia="宋体" w:cs="Times New Roman"/>
          <w:color w:val="auto"/>
          <w:sz w:val="24"/>
          <w:szCs w:val="24"/>
          <w:highlight w:val="none"/>
        </w:rPr>
        <w:t>的违约金。</w:t>
      </w:r>
    </w:p>
    <w:p w14:paraId="05B7FF96">
      <w:pPr>
        <w:keepNext w:val="0"/>
        <w:keepLines w:val="0"/>
        <w:pageBreakBefore w:val="0"/>
        <w:widowControl w:val="0"/>
        <w:numPr>
          <w:ilvl w:val="0"/>
          <w:numId w:val="0"/>
        </w:numPr>
        <w:kinsoku/>
        <w:wordWrap/>
        <w:overflowPunct/>
        <w:topLinePunct w:val="0"/>
        <w:autoSpaceDE/>
        <w:autoSpaceDN/>
        <w:bidi w:val="0"/>
        <w:snapToGrid w:val="0"/>
        <w:spacing w:line="360" w:lineRule="auto"/>
        <w:ind w:right="-153" w:rightChars="0"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2.2</w:t>
      </w:r>
      <w:r>
        <w:rPr>
          <w:rFonts w:hint="default" w:ascii="Times New Roman" w:hAnsi="Times New Roman" w:eastAsia="宋体" w:cs="Times New Roman"/>
          <w:color w:val="000000"/>
          <w:sz w:val="24"/>
          <w:szCs w:val="24"/>
          <w:highlight w:val="none"/>
        </w:rPr>
        <w:t>乙方不能提供服务的，或服务不合格从而影响甲方按期正常使用的，应向甲方偿付合同总价款5%的违约金，违约金不足以补偿损失的甲方有权要求乙方补足。</w:t>
      </w:r>
    </w:p>
    <w:p w14:paraId="628E67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2.3</w:t>
      </w:r>
      <w:r>
        <w:rPr>
          <w:rFonts w:hint="default" w:ascii="Times New Roman" w:hAnsi="Times New Roman" w:eastAsia="宋体" w:cs="Times New Roman"/>
          <w:color w:val="000000"/>
          <w:sz w:val="24"/>
          <w:szCs w:val="24"/>
          <w:highlight w:val="none"/>
        </w:rPr>
        <w:t>乙方逾期提供服务的，应与甲方和政府采购管理部门协商，甲方仍有需求的，乙方应立即提供服务按照逾期服务的每天万分之四支付逾期违约金，同时承担甲方因此遭致的损失费用。</w:t>
      </w:r>
    </w:p>
    <w:p w14:paraId="29502F0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3</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rPr>
        <w:t>不可抗力</w:t>
      </w:r>
    </w:p>
    <w:p w14:paraId="51CDE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3.1因不可抗力不能履行合同的，根据不可抗力的影响，部分或者全部免除责任。但合同一方延迟履行后发生不可抗力的，不能免除责任。</w:t>
      </w:r>
    </w:p>
    <w:p w14:paraId="34D93E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3.2合同一方因不可抗力不能履行合同的，应当及时通知对方，以减轻可能给对方造成的损失，并应当在合理期限内提供证明。</w:t>
      </w:r>
    </w:p>
    <w:p w14:paraId="0C8BAB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如果发生了第1款或第2款所述的情况，则利益受到损害的一方有权向另一方提出索赔，但赔偿应限于下列情况：赔偿应是因违约或人员失职、渎职所造成的损失或损害的数额，</w:t>
      </w:r>
      <w:r>
        <w:rPr>
          <w:rFonts w:hint="eastAsia" w:cs="Times New Roman"/>
          <w:sz w:val="24"/>
          <w:szCs w:val="24"/>
          <w:highlight w:val="none"/>
          <w:lang w:eastAsia="zh-CN"/>
        </w:rPr>
        <w:t>而不是其他</w:t>
      </w:r>
      <w:r>
        <w:rPr>
          <w:rFonts w:hint="default" w:ascii="Times New Roman" w:hAnsi="Times New Roman" w:eastAsia="宋体" w:cs="Times New Roman"/>
          <w:sz w:val="24"/>
          <w:szCs w:val="24"/>
          <w:highlight w:val="none"/>
        </w:rPr>
        <w:t>。</w:t>
      </w:r>
    </w:p>
    <w:p w14:paraId="3263226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eastAsia" w:cs="Times New Roman"/>
          <w:b/>
          <w:sz w:val="24"/>
          <w:szCs w:val="24"/>
          <w:highlight w:val="none"/>
          <w:lang w:val="en-US" w:eastAsia="zh-CN"/>
        </w:rPr>
        <w:t>六</w:t>
      </w:r>
      <w:r>
        <w:rPr>
          <w:rFonts w:hint="default" w:ascii="Times New Roman" w:hAnsi="Times New Roman" w:eastAsia="宋体" w:cs="Times New Roman"/>
          <w:b/>
          <w:sz w:val="24"/>
          <w:szCs w:val="24"/>
          <w:highlight w:val="none"/>
        </w:rPr>
        <w:t>、</w:t>
      </w:r>
      <w:r>
        <w:rPr>
          <w:rFonts w:hint="eastAsia" w:cs="Times New Roman"/>
          <w:b/>
          <w:sz w:val="24"/>
          <w:szCs w:val="24"/>
          <w:highlight w:val="none"/>
          <w:lang w:eastAsia="zh-CN"/>
        </w:rPr>
        <w:t>其他</w:t>
      </w:r>
    </w:p>
    <w:p w14:paraId="62924D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rPr>
        <w:t>法律和法规</w:t>
      </w:r>
    </w:p>
    <w:p w14:paraId="6CF485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本合同必须服从国家的现行法律和法规，对合同的解释应以国家的现行法律和法规为准。</w:t>
      </w:r>
    </w:p>
    <w:p w14:paraId="08ECBE8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2</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rPr>
        <w:t>技术情报及资料的保密</w:t>
      </w:r>
    </w:p>
    <w:p w14:paraId="2ACF04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2.1乙方对甲方所提供资料及最终成果负有保密责任，乙方及其工作人员需遵守甲方的保密规定，不以任何形式将收集的所有资料、数据等进行泄漏、传播；</w:t>
      </w:r>
    </w:p>
    <w:p w14:paraId="779C99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2.2项目服务人员需签署相关保密协议，承担工作中接触相关内容的保密义务；</w:t>
      </w:r>
    </w:p>
    <w:p w14:paraId="60C79D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2.3项目成果最终所有权归甲方所有，在项目完成时乙方必须全部移交；</w:t>
      </w:r>
    </w:p>
    <w:p w14:paraId="4A1069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2.4乙方须维护项目服务成果，不得转让给第三方使用；</w:t>
      </w:r>
    </w:p>
    <w:p w14:paraId="7BFED2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2.5以上保密规定如有违反，甲方有权追究乙方相关法律责任。</w:t>
      </w:r>
    </w:p>
    <w:p w14:paraId="55409EF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3</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rPr>
        <w:t>风险责任的承担</w:t>
      </w:r>
    </w:p>
    <w:p w14:paraId="5856B8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14:paraId="2302CF7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争端的解决</w:t>
      </w:r>
    </w:p>
    <w:p w14:paraId="402A3C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本合同在执行过程中，如发生任何争端、纠纷或因违反、终止本合同而引起的对损失损害的任何赔偿，应事先协商，在甲方和乙方之间达成一致意见。如未能达成一致，双方均可向甲方所在地人民法院起诉。</w:t>
      </w:r>
    </w:p>
    <w:p w14:paraId="0DB0E19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5、</w:t>
      </w:r>
      <w:r>
        <w:rPr>
          <w:rFonts w:hint="default" w:ascii="Times New Roman" w:hAnsi="Times New Roman" w:eastAsia="宋体" w:cs="Times New Roman"/>
          <w:b/>
          <w:bCs/>
          <w:sz w:val="24"/>
          <w:szCs w:val="24"/>
          <w:highlight w:val="none"/>
        </w:rPr>
        <w:t>合同生效</w:t>
      </w:r>
    </w:p>
    <w:p w14:paraId="4BC60E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1本合同经甲乙双方法定（授权）代表人签字（或盖章）并盖单位公章</w:t>
      </w:r>
      <w:r>
        <w:rPr>
          <w:rFonts w:hint="eastAsia" w:cs="Times New Roman"/>
          <w:sz w:val="24"/>
          <w:szCs w:val="24"/>
          <w:highlight w:val="none"/>
          <w:lang w:eastAsia="zh-CN"/>
        </w:rPr>
        <w:t>（</w:t>
      </w:r>
      <w:r>
        <w:rPr>
          <w:rFonts w:hint="eastAsia" w:cs="Times New Roman"/>
          <w:sz w:val="24"/>
          <w:szCs w:val="24"/>
          <w:highlight w:val="none"/>
          <w:lang w:val="en-US" w:eastAsia="zh-CN"/>
        </w:rPr>
        <w:t>或合同章</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后生效。</w:t>
      </w:r>
    </w:p>
    <w:p w14:paraId="3F713B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2本合同未尽事宜应按《中华人民共和国民法典</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中华人民共和国政府采购法》以及</w:t>
      </w:r>
      <w:r>
        <w:rPr>
          <w:rFonts w:hint="eastAsia" w:cs="Times New Roman"/>
          <w:sz w:val="24"/>
          <w:szCs w:val="24"/>
          <w:highlight w:val="none"/>
          <w:lang w:eastAsia="zh-CN"/>
        </w:rPr>
        <w:t>其</w:t>
      </w:r>
      <w:r>
        <w:rPr>
          <w:rFonts w:hint="default" w:ascii="Times New Roman" w:hAnsi="Times New Roman" w:eastAsia="宋体" w:cs="Times New Roman"/>
          <w:sz w:val="24"/>
          <w:szCs w:val="24"/>
          <w:highlight w:val="none"/>
        </w:rPr>
        <w:t>相关</w:t>
      </w:r>
      <w:r>
        <w:rPr>
          <w:rFonts w:hint="eastAsia" w:cs="Times New Roman"/>
          <w:sz w:val="24"/>
          <w:szCs w:val="24"/>
          <w:highlight w:val="none"/>
          <w:lang w:eastAsia="zh-CN"/>
        </w:rPr>
        <w:t>法律法规</w:t>
      </w:r>
      <w:r>
        <w:rPr>
          <w:rFonts w:hint="default" w:ascii="Times New Roman" w:hAnsi="Times New Roman" w:eastAsia="宋体" w:cs="Times New Roman"/>
          <w:sz w:val="24"/>
          <w:szCs w:val="24"/>
          <w:highlight w:val="none"/>
        </w:rPr>
        <w:t>之规定解释，</w:t>
      </w:r>
      <w:r>
        <w:rPr>
          <w:rFonts w:hint="default" w:ascii="Times New Roman" w:hAnsi="Times New Roman" w:eastAsia="宋体" w:cs="Times New Roman"/>
          <w:bCs/>
          <w:sz w:val="24"/>
          <w:szCs w:val="24"/>
          <w:highlight w:val="none"/>
        </w:rPr>
        <w:t>在执行过程中双方在不违背本合同和采购文件的原则下协商解决</w:t>
      </w:r>
      <w:r>
        <w:rPr>
          <w:rFonts w:hint="default" w:ascii="Times New Roman" w:hAnsi="Times New Roman" w:eastAsia="宋体" w:cs="Times New Roman"/>
          <w:sz w:val="24"/>
          <w:szCs w:val="24"/>
          <w:highlight w:val="none"/>
        </w:rPr>
        <w:t>。协商结果以书面形式盖章记录在案，作为本合同的附件，与本合同具有同等效力。</w:t>
      </w:r>
    </w:p>
    <w:p w14:paraId="1E54206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6、</w:t>
      </w:r>
      <w:r>
        <w:rPr>
          <w:rFonts w:hint="default" w:ascii="Times New Roman" w:hAnsi="Times New Roman" w:eastAsia="宋体" w:cs="Times New Roman"/>
          <w:b/>
          <w:bCs/>
          <w:sz w:val="24"/>
          <w:szCs w:val="24"/>
          <w:highlight w:val="none"/>
        </w:rPr>
        <w:t>合同解除</w:t>
      </w:r>
    </w:p>
    <w:p w14:paraId="412BDD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1有下列情形之一，合同一方可以解除合同：</w:t>
      </w:r>
    </w:p>
    <w:p w14:paraId="050F8C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（1）因不可抗力致使不能实现合同目的，双方均有权解除合同；</w:t>
      </w:r>
    </w:p>
    <w:p w14:paraId="3DDCEA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（2）因合同一方违约导致合同不能履行，另一方有权解除合同。</w:t>
      </w:r>
    </w:p>
    <w:p w14:paraId="008E8E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2有权解除合同的一方，应当在违约事实或不可抗力发生之后三十天内书面通知对方以主张解除合同，合同在书面通知到达对方时解除。</w:t>
      </w:r>
    </w:p>
    <w:p w14:paraId="7625D5C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7、</w:t>
      </w:r>
      <w:r>
        <w:rPr>
          <w:rFonts w:hint="default" w:ascii="Times New Roman" w:hAnsi="Times New Roman" w:eastAsia="宋体" w:cs="Times New Roman"/>
          <w:b/>
          <w:bCs/>
          <w:sz w:val="24"/>
          <w:szCs w:val="24"/>
          <w:highlight w:val="none"/>
        </w:rPr>
        <w:t>合同份数</w:t>
      </w:r>
    </w:p>
    <w:p w14:paraId="12EB16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本合同一式</w:t>
      </w:r>
      <w:r>
        <w:rPr>
          <w:rFonts w:hint="eastAsia" w:cs="Times New Roman"/>
          <w:sz w:val="24"/>
          <w:szCs w:val="24"/>
          <w:highlight w:val="none"/>
          <w:lang w:val="en-US" w:eastAsia="zh-CN"/>
        </w:rPr>
        <w:t>4</w:t>
      </w:r>
      <w:r>
        <w:rPr>
          <w:rFonts w:hint="default" w:ascii="Times New Roman" w:hAnsi="Times New Roman" w:eastAsia="宋体" w:cs="Times New Roman"/>
          <w:sz w:val="24"/>
          <w:szCs w:val="24"/>
          <w:highlight w:val="none"/>
        </w:rPr>
        <w:t>份，甲方</w:t>
      </w:r>
      <w:r>
        <w:rPr>
          <w:rFonts w:hint="eastAsia" w:cs="Times New Roman"/>
          <w:sz w:val="24"/>
          <w:szCs w:val="24"/>
          <w:highlight w:val="none"/>
          <w:lang w:val="en-US" w:eastAsia="zh-CN"/>
        </w:rPr>
        <w:t>2</w:t>
      </w:r>
      <w:r>
        <w:rPr>
          <w:rFonts w:hint="default" w:ascii="Times New Roman" w:hAnsi="Times New Roman" w:eastAsia="宋体" w:cs="Times New Roman"/>
          <w:sz w:val="24"/>
          <w:szCs w:val="24"/>
          <w:highlight w:val="none"/>
        </w:rPr>
        <w:t>份、乙方2份</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具有同等法律效力</w:t>
      </w:r>
      <w:r>
        <w:rPr>
          <w:rFonts w:hint="default" w:ascii="Times New Roman" w:hAnsi="Times New Roman" w:eastAsia="宋体" w:cs="Times New Roman"/>
          <w:sz w:val="24"/>
          <w:szCs w:val="24"/>
          <w:highlight w:val="none"/>
        </w:rPr>
        <w:t>。</w:t>
      </w:r>
    </w:p>
    <w:p w14:paraId="31DCE054">
      <w:pPr>
        <w:pStyle w:val="182"/>
        <w:keepNext w:val="0"/>
        <w:keepLines w:val="0"/>
        <w:pageBreakBefore w:val="0"/>
        <w:kinsoku/>
        <w:wordWrap/>
        <w:overflowPunct/>
        <w:topLinePunct w:val="0"/>
        <w:autoSpaceDE/>
        <w:autoSpaceDN/>
        <w:bidi w:val="0"/>
        <w:spacing w:after="0" w:line="360" w:lineRule="auto"/>
        <w:textAlignment w:val="auto"/>
        <w:rPr>
          <w:rFonts w:hint="default" w:ascii="Times New Roman" w:hAnsi="Times New Roman" w:eastAsia="宋体" w:cs="Times New Roman"/>
          <w:sz w:val="24"/>
          <w:szCs w:val="24"/>
          <w:highlight w:val="none"/>
        </w:rPr>
      </w:pPr>
    </w:p>
    <w:p w14:paraId="7C559CDE">
      <w:pPr>
        <w:pStyle w:val="182"/>
        <w:keepNext w:val="0"/>
        <w:keepLines w:val="0"/>
        <w:pageBreakBefore w:val="0"/>
        <w:kinsoku/>
        <w:wordWrap/>
        <w:overflowPunct/>
        <w:topLinePunct w:val="0"/>
        <w:autoSpaceDE/>
        <w:autoSpaceDN/>
        <w:bidi w:val="0"/>
        <w:spacing w:after="0" w:line="360" w:lineRule="auto"/>
        <w:textAlignment w:val="auto"/>
        <w:rPr>
          <w:rFonts w:hint="default" w:ascii="Times New Roman" w:hAnsi="Times New Roman" w:eastAsia="宋体" w:cs="Times New Roman"/>
          <w:sz w:val="24"/>
          <w:szCs w:val="24"/>
          <w:highlight w:val="none"/>
        </w:rPr>
      </w:pPr>
    </w:p>
    <w:p w14:paraId="2AE33498">
      <w:pP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br w:type="page"/>
      </w:r>
    </w:p>
    <w:p w14:paraId="1F8298FF">
      <w:pPr>
        <w:pStyle w:val="182"/>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eastAsia" w:cs="Times New Roman"/>
          <w:sz w:val="24"/>
          <w:szCs w:val="24"/>
          <w:highlight w:val="none"/>
          <w:lang w:eastAsia="zh-CN"/>
        </w:rPr>
      </w:pPr>
      <w:r>
        <w:rPr>
          <w:rFonts w:hint="eastAsia" w:cs="Times New Roman"/>
          <w:sz w:val="24"/>
          <w:szCs w:val="24"/>
          <w:highlight w:val="none"/>
          <w:lang w:eastAsia="zh-CN"/>
        </w:rPr>
        <w:t>（</w:t>
      </w:r>
      <w:r>
        <w:rPr>
          <w:rFonts w:hint="eastAsia" w:cs="Times New Roman"/>
          <w:sz w:val="24"/>
          <w:szCs w:val="24"/>
          <w:highlight w:val="none"/>
          <w:lang w:val="en-US" w:eastAsia="zh-CN"/>
        </w:rPr>
        <w:t>下无正文</w:t>
      </w:r>
      <w:r>
        <w:rPr>
          <w:rFonts w:hint="eastAsia" w:cs="Times New Roman"/>
          <w:sz w:val="24"/>
          <w:szCs w:val="24"/>
          <w:highlight w:val="none"/>
          <w:lang w:eastAsia="zh-CN"/>
        </w:rPr>
        <w:t>）</w:t>
      </w:r>
    </w:p>
    <w:p w14:paraId="32334E68">
      <w:pPr>
        <w:pStyle w:val="182"/>
        <w:keepNext w:val="0"/>
        <w:keepLines w:val="0"/>
        <w:pageBreakBefore w:val="0"/>
        <w:kinsoku/>
        <w:wordWrap/>
        <w:overflowPunct/>
        <w:topLinePunct w:val="0"/>
        <w:autoSpaceDE/>
        <w:autoSpaceDN/>
        <w:bidi w:val="0"/>
        <w:spacing w:after="0" w:line="360" w:lineRule="auto"/>
        <w:textAlignment w:val="auto"/>
        <w:rPr>
          <w:rFonts w:hint="eastAsia" w:cs="Times New Roman"/>
          <w:sz w:val="24"/>
          <w:szCs w:val="24"/>
          <w:highlight w:val="none"/>
          <w:lang w:eastAsia="zh-CN"/>
        </w:rPr>
      </w:pP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0"/>
        <w:gridCol w:w="4720"/>
      </w:tblGrid>
      <w:tr w14:paraId="3EF8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720" w:type="dxa"/>
          </w:tcPr>
          <w:p w14:paraId="253F9D53">
            <w:pPr>
              <w:pStyle w:val="182"/>
              <w:keepNext w:val="0"/>
              <w:keepLines w:val="0"/>
              <w:pageBreakBefore w:val="0"/>
              <w:kinsoku/>
              <w:wordWrap/>
              <w:overflowPunct/>
              <w:topLinePunct w:val="0"/>
              <w:autoSpaceDE/>
              <w:autoSpaceDN/>
              <w:bidi w:val="0"/>
              <w:spacing w:after="0" w:line="360" w:lineRule="auto"/>
              <w:ind w:left="1680" w:leftChars="0" w:hanging="1680" w:hangingChars="700"/>
              <w:textAlignment w:val="auto"/>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rPr>
              <w:t>甲方（</w:t>
            </w:r>
            <w:r>
              <w:rPr>
                <w:rFonts w:hint="default" w:ascii="Times New Roman" w:hAnsi="Times New Roman" w:eastAsia="宋体" w:cs="Times New Roman"/>
                <w:sz w:val="24"/>
                <w:szCs w:val="24"/>
                <w:highlight w:val="none"/>
                <w:lang w:val="en-US" w:eastAsia="zh-CN"/>
              </w:rPr>
              <w:t>盖章</w:t>
            </w:r>
            <w:r>
              <w:rPr>
                <w:rFonts w:hint="default" w:ascii="Times New Roman" w:hAnsi="Times New Roman" w:eastAsia="宋体" w:cs="Times New Roman"/>
                <w:sz w:val="24"/>
                <w:szCs w:val="24"/>
                <w:highlight w:val="none"/>
              </w:rPr>
              <w:t>）：</w:t>
            </w:r>
            <w:r>
              <w:rPr>
                <w:rFonts w:hint="eastAsia" w:ascii="Times New Roman" w:hAnsi="Times New Roman" w:cs="Times New Roman"/>
                <w:sz w:val="24"/>
                <w:szCs w:val="32"/>
                <w:highlight w:val="none"/>
                <w:lang w:val="en-US" w:eastAsia="zh-CN"/>
              </w:rPr>
              <w:t>南京江宁滨江经济开发区管理委员会</w:t>
            </w:r>
          </w:p>
        </w:tc>
        <w:tc>
          <w:tcPr>
            <w:tcW w:w="4720" w:type="dxa"/>
          </w:tcPr>
          <w:p w14:paraId="126D2443">
            <w:pPr>
              <w:pStyle w:val="182"/>
              <w:keepNext w:val="0"/>
              <w:keepLines w:val="0"/>
              <w:pageBreakBefore w:val="0"/>
              <w:kinsoku/>
              <w:wordWrap/>
              <w:overflowPunct/>
              <w:topLinePunct w:val="0"/>
              <w:autoSpaceDE/>
              <w:autoSpaceDN/>
              <w:bidi w:val="0"/>
              <w:spacing w:after="0" w:line="360" w:lineRule="auto"/>
              <w:ind w:left="1680" w:leftChars="0" w:hanging="1680" w:hangingChars="700"/>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rPr>
              <w:t>乙方（</w:t>
            </w:r>
            <w:r>
              <w:rPr>
                <w:rFonts w:hint="default" w:ascii="Times New Roman" w:hAnsi="Times New Roman" w:eastAsia="宋体" w:cs="Times New Roman"/>
                <w:sz w:val="24"/>
                <w:szCs w:val="24"/>
                <w:highlight w:val="none"/>
                <w:lang w:val="en-US" w:eastAsia="zh-CN"/>
              </w:rPr>
              <w:t>盖章</w:t>
            </w:r>
            <w:r>
              <w:rPr>
                <w:rFonts w:hint="default" w:ascii="Times New Roman" w:hAnsi="Times New Roman" w:eastAsia="宋体" w:cs="Times New Roman"/>
                <w:sz w:val="24"/>
                <w:szCs w:val="24"/>
                <w:highlight w:val="none"/>
              </w:rPr>
              <w:t>）：</w:t>
            </w:r>
          </w:p>
        </w:tc>
      </w:tr>
      <w:tr w14:paraId="133C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trPr>
        <w:tc>
          <w:tcPr>
            <w:tcW w:w="4720" w:type="dxa"/>
          </w:tcPr>
          <w:p w14:paraId="0DC477B6">
            <w:pPr>
              <w:pStyle w:val="182"/>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法定代表人</w:t>
            </w:r>
          </w:p>
          <w:p w14:paraId="62C6BA54">
            <w:pPr>
              <w:pStyle w:val="182"/>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或授权代表（签字或盖章）：</w:t>
            </w:r>
          </w:p>
        </w:tc>
        <w:tc>
          <w:tcPr>
            <w:tcW w:w="4720" w:type="dxa"/>
          </w:tcPr>
          <w:p w14:paraId="11BEF31B">
            <w:pPr>
              <w:pStyle w:val="182"/>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法定代表人</w:t>
            </w:r>
          </w:p>
          <w:p w14:paraId="7199642A">
            <w:pPr>
              <w:pStyle w:val="182"/>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rPr>
              <w:t>或授权代表（签字或盖章）：</w:t>
            </w:r>
          </w:p>
        </w:tc>
      </w:tr>
      <w:tr w14:paraId="6CB5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4720" w:type="dxa"/>
          </w:tcPr>
          <w:p w14:paraId="1A7CA856">
            <w:pPr>
              <w:pStyle w:val="182"/>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rPr>
              <w:t>签约日期：</w:t>
            </w:r>
          </w:p>
        </w:tc>
        <w:tc>
          <w:tcPr>
            <w:tcW w:w="4720" w:type="dxa"/>
          </w:tcPr>
          <w:p w14:paraId="26833505">
            <w:pPr>
              <w:pStyle w:val="182"/>
              <w:keepNext w:val="0"/>
              <w:keepLines w:val="0"/>
              <w:pageBreakBefore w:val="0"/>
              <w:kinsoku/>
              <w:wordWrap/>
              <w:overflowPunct/>
              <w:topLinePunct w:val="0"/>
              <w:autoSpaceDE/>
              <w:autoSpaceDN/>
              <w:bidi w:val="0"/>
              <w:spacing w:after="0" w:line="360" w:lineRule="auto"/>
              <w:ind w:left="0" w:leftChars="0" w:firstLine="0" w:firstLineChars="0"/>
              <w:textAlignment w:val="auto"/>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rPr>
              <w:t>签约日期：</w:t>
            </w:r>
          </w:p>
        </w:tc>
      </w:tr>
    </w:tbl>
    <w:p w14:paraId="74C98070">
      <w:pP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br w:type="page"/>
      </w:r>
    </w:p>
    <w:p w14:paraId="43873041">
      <w:pPr>
        <w:pStyle w:val="36"/>
        <w:spacing w:line="360" w:lineRule="auto"/>
        <w:ind w:left="0" w:leftChars="0" w:firstLine="0" w:firstLineChars="0"/>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w:t>
      </w:r>
      <w:r>
        <w:rPr>
          <w:rFonts w:hint="eastAsia" w:ascii="Times New Roman" w:cs="Times New Roman"/>
          <w:b/>
          <w:bCs/>
          <w:kern w:val="2"/>
          <w:sz w:val="24"/>
          <w:szCs w:val="24"/>
          <w:highlight w:val="none"/>
          <w:lang w:val="en-US" w:eastAsia="zh-CN" w:bidi="ar-SA"/>
        </w:rPr>
        <w:t>1</w:t>
      </w:r>
      <w:r>
        <w:rPr>
          <w:rFonts w:hint="default" w:ascii="Times New Roman" w:hAnsi="Times New Roman" w:eastAsia="宋体" w:cs="Times New Roman"/>
          <w:b/>
          <w:bCs/>
          <w:kern w:val="2"/>
          <w:sz w:val="24"/>
          <w:szCs w:val="24"/>
          <w:highlight w:val="none"/>
          <w:lang w:val="en-US" w:eastAsia="zh-CN" w:bidi="ar-SA"/>
        </w:rPr>
        <w:t>：</w:t>
      </w:r>
      <w:r>
        <w:rPr>
          <w:rFonts w:hint="eastAsia" w:ascii="Times New Roman" w:cs="Times New Roman"/>
          <w:b/>
          <w:bCs/>
          <w:kern w:val="2"/>
          <w:sz w:val="24"/>
          <w:szCs w:val="24"/>
          <w:highlight w:val="none"/>
          <w:lang w:val="en-US" w:eastAsia="zh-CN" w:bidi="ar-SA"/>
        </w:rPr>
        <w:t>分项价格表</w:t>
      </w:r>
    </w:p>
    <w:tbl>
      <w:tblPr>
        <w:tblStyle w:val="37"/>
        <w:tblW w:w="94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1056"/>
        <w:gridCol w:w="752"/>
        <w:gridCol w:w="1662"/>
        <w:gridCol w:w="752"/>
        <w:gridCol w:w="752"/>
        <w:gridCol w:w="752"/>
        <w:gridCol w:w="752"/>
        <w:gridCol w:w="2362"/>
      </w:tblGrid>
      <w:tr w14:paraId="6056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D81C">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序号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CEE8">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服务内容</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AA27">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名称</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1AD3">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说明</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BAC0">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C476">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数  量</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B5E7">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单 价</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033A">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合  价</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91EF">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备注</w:t>
            </w:r>
          </w:p>
        </w:tc>
      </w:tr>
      <w:tr w14:paraId="0A6F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FB8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运维服务</w:t>
            </w:r>
          </w:p>
        </w:tc>
      </w:tr>
      <w:tr w14:paraId="4DCF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369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1229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气站全托管运维（2台PAMS分析仪5900cc）</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E2A5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人工费</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DDF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人员工资（含基本工资、绩效工资、社保公积金）</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654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4D1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36FA">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C705">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448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涵盖设备维护、数据审核、报告编制等核心工作人力成本</w:t>
            </w:r>
          </w:p>
        </w:tc>
      </w:tr>
      <w:tr w14:paraId="6400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1F24">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FF08">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4298">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387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差旅费（含交通、住宿费用）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64D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958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EBC9">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1605">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81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用于现场维护、应急处理等跨区域出行开支</w:t>
            </w:r>
          </w:p>
        </w:tc>
      </w:tr>
      <w:tr w14:paraId="7C2D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865A">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7FA9">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B48D">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F6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餐费补贴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0F0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152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D79B">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BAF4">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334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按运维期间实际出勤天数核算</w:t>
            </w:r>
          </w:p>
        </w:tc>
      </w:tr>
      <w:tr w14:paraId="07C3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2B54">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F6034">
            <w:pPr>
              <w:bidi w:val="0"/>
              <w:jc w:val="center"/>
              <w:rPr>
                <w:rFonts w:hint="eastAsia" w:ascii="宋体" w:hAnsi="宋体" w:eastAsia="宋体" w:cs="宋体"/>
                <w:sz w:val="21"/>
                <w:szCs w:val="21"/>
                <w:highlight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7249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车辆费</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1C4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车辆损耗费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DC9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EBB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5B8E">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5B9E">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AE2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根据车辆使用年限及运维里程核算</w:t>
            </w:r>
          </w:p>
        </w:tc>
      </w:tr>
      <w:tr w14:paraId="2945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D172">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2633">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9366">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234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油费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3E4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56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C387">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56F2">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05F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按年均运维行驶里程及市场油价估算</w:t>
            </w:r>
          </w:p>
        </w:tc>
      </w:tr>
      <w:tr w14:paraId="0526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3327">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3C05">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7659">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CD4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过路费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1C1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D70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22F7">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7BE0">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1D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根据运维路线规划及实际通行情况核算</w:t>
            </w:r>
          </w:p>
        </w:tc>
      </w:tr>
      <w:tr w14:paraId="3064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90DC">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8E61">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0B65">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1EE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停车费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4D6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640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DDD0">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C053">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925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主要为站点及沿途停车开支</w:t>
            </w:r>
          </w:p>
        </w:tc>
      </w:tr>
      <w:tr w14:paraId="3E09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B15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047BA">
            <w:pPr>
              <w:bidi w:val="0"/>
              <w:jc w:val="center"/>
              <w:rPr>
                <w:rFonts w:hint="eastAsia" w:ascii="宋体" w:hAnsi="宋体" w:eastAsia="宋体" w:cs="宋体"/>
                <w:sz w:val="21"/>
                <w:szCs w:val="21"/>
                <w:highlight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CBEF4">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耗材</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F32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变色硅胶（500g / 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B6A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C8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25F">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D70C">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7C9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每月更换，每台设备每月 2 瓶</w:t>
            </w:r>
          </w:p>
        </w:tc>
      </w:tr>
      <w:tr w14:paraId="065E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36B6">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2F3F">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398B">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C64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PAMS 标气（10L / 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24C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596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450">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1EEE">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774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每年更换，每台设备每年 1 瓶，用于仪器校准</w:t>
            </w:r>
          </w:p>
        </w:tc>
      </w:tr>
      <w:tr w14:paraId="60EF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64C4">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4375">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2292">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84A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高纯氮气（40L / 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330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DF0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65AF">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F6F6">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FE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每两周 1 瓶，用于载气补给及仪器吹扫</w:t>
            </w:r>
          </w:p>
        </w:tc>
      </w:tr>
      <w:tr w14:paraId="0A23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AC8A">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8542">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4031">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80A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纯水（20L / 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CB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F1B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BF6C">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6BE4">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0D5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每月 1 桶，用于仪器清洗及配套设备补水</w:t>
            </w:r>
          </w:p>
        </w:tc>
      </w:tr>
      <w:tr w14:paraId="5939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E1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9531">
            <w:pPr>
              <w:bidi w:val="0"/>
              <w:jc w:val="center"/>
              <w:rPr>
                <w:rFonts w:hint="eastAsia" w:ascii="宋体" w:hAnsi="宋体" w:eastAsia="宋体" w:cs="宋体"/>
                <w:sz w:val="21"/>
                <w:szCs w:val="21"/>
                <w:highlight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8D5E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配件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5E54">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站房维修配件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E7C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928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38DC">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419C">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3C5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含站房内电气、通风、安防等设施损耗配件更换</w:t>
            </w:r>
          </w:p>
        </w:tc>
      </w:tr>
      <w:tr w14:paraId="110C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9C81">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D79B7">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BB17">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C72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仪器维修配件（PAMS 分析仪专用）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31C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CE0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0110">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3963">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AAB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含富集 / 解析模块、分析模块等核心部件损耗更换</w:t>
            </w:r>
          </w:p>
        </w:tc>
      </w:tr>
      <w:tr w14:paraId="3B20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B89C">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5B2E">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E9A7">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195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系统维修配件（数据传输、控制模块）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77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EDD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4F9">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8EF0">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B1F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含通信模块、控制主板等配件更换</w:t>
            </w:r>
          </w:p>
        </w:tc>
      </w:tr>
      <w:tr w14:paraId="4156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36C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494F">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55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网络费</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C5E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5F7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9AA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6A1C">
            <w:pPr>
              <w:bidi w:val="0"/>
              <w:jc w:val="center"/>
              <w:rPr>
                <w:rFonts w:hint="eastAsia" w:ascii="宋体" w:hAnsi="宋体" w:eastAsia="宋体" w:cs="宋体"/>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3E7A">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20D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每台设备独立网络专线，保障数据稳定传输</w:t>
            </w:r>
          </w:p>
        </w:tc>
      </w:tr>
      <w:tr w14:paraId="4208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4B7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DBB8">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76A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不可预估费用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AA6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7C5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781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36B5">
            <w:pPr>
              <w:bidi w:val="0"/>
              <w:jc w:val="center"/>
              <w:rPr>
                <w:rFonts w:hint="eastAsia" w:ascii="宋体" w:hAnsi="宋体" w:eastAsia="宋体" w:cs="宋体"/>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18CD">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ED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用于应对停电、极端天气等突发情况的额外开支、用于突发小额维修、临时耗材补给等</w:t>
            </w:r>
          </w:p>
        </w:tc>
      </w:tr>
      <w:tr w14:paraId="27AC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8F2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A595">
            <w:pPr>
              <w:bidi w:val="0"/>
              <w:jc w:val="center"/>
              <w:rPr>
                <w:rFonts w:hint="eastAsia" w:ascii="宋体" w:hAnsi="宋体" w:eastAsia="宋体" w:cs="宋体"/>
                <w:sz w:val="21"/>
                <w:szCs w:val="21"/>
                <w:highlight w:val="none"/>
              </w:rPr>
            </w:pPr>
          </w:p>
        </w:tc>
      </w:tr>
    </w:tbl>
    <w:p w14:paraId="25938032">
      <w:pPr>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br w:type="page"/>
      </w:r>
    </w:p>
    <w:p w14:paraId="532A44F5">
      <w:pPr>
        <w:pStyle w:val="36"/>
        <w:spacing w:line="360" w:lineRule="auto"/>
        <w:ind w:left="0" w:leftChars="0" w:firstLine="0" w:firstLineChars="0"/>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w:t>
      </w:r>
      <w:r>
        <w:rPr>
          <w:rFonts w:hint="eastAsia" w:ascii="Times New Roman" w:cs="Times New Roman"/>
          <w:b/>
          <w:bCs/>
          <w:kern w:val="2"/>
          <w:sz w:val="24"/>
          <w:szCs w:val="24"/>
          <w:highlight w:val="none"/>
          <w:lang w:val="en-US" w:eastAsia="zh-CN" w:bidi="ar-SA"/>
        </w:rPr>
        <w:t>2</w:t>
      </w:r>
      <w:r>
        <w:rPr>
          <w:rFonts w:hint="default" w:ascii="Times New Roman" w:hAnsi="Times New Roman" w:eastAsia="宋体" w:cs="Times New Roman"/>
          <w:b/>
          <w:bCs/>
          <w:kern w:val="2"/>
          <w:sz w:val="24"/>
          <w:szCs w:val="24"/>
          <w:highlight w:val="none"/>
          <w:lang w:val="en-US" w:eastAsia="zh-CN" w:bidi="ar-SA"/>
        </w:rPr>
        <w:t>：VOCs 空气站运维要求</w:t>
      </w:r>
    </w:p>
    <w:p w14:paraId="40120CA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1、系统监测因子</w:t>
      </w:r>
    </w:p>
    <w:p w14:paraId="1A96A25D">
      <w:pPr>
        <w:spacing w:line="360" w:lineRule="auto"/>
        <w:ind w:firstLine="525"/>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57种PAMS碳氢化合物</w:t>
      </w:r>
    </w:p>
    <w:tbl>
      <w:tblPr>
        <w:tblStyle w:val="152"/>
        <w:tblW w:w="48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1128"/>
        <w:gridCol w:w="844"/>
        <w:gridCol w:w="1776"/>
        <w:gridCol w:w="998"/>
        <w:gridCol w:w="1511"/>
        <w:gridCol w:w="713"/>
        <w:gridCol w:w="1635"/>
      </w:tblGrid>
      <w:tr w14:paraId="60753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blHeader/>
        </w:trPr>
        <w:tc>
          <w:tcPr>
            <w:tcW w:w="365" w:type="pct"/>
            <w:noWrap w:val="0"/>
            <w:vAlign w:val="center"/>
          </w:tcPr>
          <w:p w14:paraId="502D7668">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607" w:type="pct"/>
            <w:noWrap w:val="0"/>
            <w:vAlign w:val="center"/>
          </w:tcPr>
          <w:p w14:paraId="4FE40D60">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名称</w:t>
            </w:r>
          </w:p>
        </w:tc>
        <w:tc>
          <w:tcPr>
            <w:tcW w:w="454" w:type="pct"/>
            <w:noWrap w:val="0"/>
            <w:vAlign w:val="center"/>
          </w:tcPr>
          <w:p w14:paraId="7085C4D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956" w:type="pct"/>
            <w:noWrap w:val="0"/>
            <w:vAlign w:val="center"/>
          </w:tcPr>
          <w:p w14:paraId="5C5A094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名称</w:t>
            </w:r>
          </w:p>
        </w:tc>
        <w:tc>
          <w:tcPr>
            <w:tcW w:w="537" w:type="pct"/>
            <w:noWrap w:val="0"/>
            <w:vAlign w:val="center"/>
          </w:tcPr>
          <w:p w14:paraId="664F23D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813" w:type="pct"/>
            <w:noWrap w:val="0"/>
            <w:vAlign w:val="center"/>
          </w:tcPr>
          <w:p w14:paraId="56829F3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名称</w:t>
            </w:r>
          </w:p>
        </w:tc>
        <w:tc>
          <w:tcPr>
            <w:tcW w:w="384" w:type="pct"/>
            <w:noWrap w:val="0"/>
            <w:vAlign w:val="center"/>
          </w:tcPr>
          <w:p w14:paraId="5DE40C14">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880" w:type="pct"/>
            <w:noWrap w:val="0"/>
            <w:vAlign w:val="center"/>
          </w:tcPr>
          <w:p w14:paraId="0254872C">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名称</w:t>
            </w:r>
          </w:p>
        </w:tc>
      </w:tr>
      <w:tr w14:paraId="0AC98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3E58C3AD">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607" w:type="pct"/>
            <w:noWrap w:val="0"/>
            <w:vAlign w:val="center"/>
          </w:tcPr>
          <w:p w14:paraId="0CDD1AF5">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乙烷</w:t>
            </w:r>
          </w:p>
        </w:tc>
        <w:tc>
          <w:tcPr>
            <w:tcW w:w="454" w:type="pct"/>
            <w:noWrap w:val="0"/>
            <w:vAlign w:val="center"/>
          </w:tcPr>
          <w:p w14:paraId="4B65DE08">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15</w:t>
            </w:r>
          </w:p>
        </w:tc>
        <w:tc>
          <w:tcPr>
            <w:tcW w:w="956" w:type="pct"/>
            <w:noWrap w:val="0"/>
            <w:vAlign w:val="center"/>
          </w:tcPr>
          <w:p w14:paraId="71B2E06E">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反-2-戊烯</w:t>
            </w:r>
          </w:p>
        </w:tc>
        <w:tc>
          <w:tcPr>
            <w:tcW w:w="537" w:type="pct"/>
            <w:noWrap w:val="0"/>
            <w:vAlign w:val="center"/>
          </w:tcPr>
          <w:p w14:paraId="6149EE77">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29</w:t>
            </w:r>
          </w:p>
        </w:tc>
        <w:tc>
          <w:tcPr>
            <w:tcW w:w="813" w:type="pct"/>
            <w:noWrap w:val="0"/>
            <w:vAlign w:val="center"/>
          </w:tcPr>
          <w:p w14:paraId="5762A73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苯</w:t>
            </w:r>
          </w:p>
        </w:tc>
        <w:tc>
          <w:tcPr>
            <w:tcW w:w="384" w:type="pct"/>
            <w:noWrap w:val="0"/>
            <w:vAlign w:val="center"/>
          </w:tcPr>
          <w:p w14:paraId="50FC520E">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44</w:t>
            </w:r>
          </w:p>
        </w:tc>
        <w:tc>
          <w:tcPr>
            <w:tcW w:w="880" w:type="pct"/>
            <w:noWrap w:val="0"/>
            <w:vAlign w:val="center"/>
          </w:tcPr>
          <w:p w14:paraId="1DFDCA7C">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苯乙烯</w:t>
            </w:r>
          </w:p>
        </w:tc>
      </w:tr>
      <w:tr w14:paraId="06A7A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365" w:type="pct"/>
            <w:noWrap w:val="0"/>
            <w:vAlign w:val="center"/>
          </w:tcPr>
          <w:p w14:paraId="099BFD0E">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607" w:type="pct"/>
            <w:noWrap w:val="0"/>
            <w:vAlign w:val="center"/>
          </w:tcPr>
          <w:p w14:paraId="4757EDC2">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乙烯</w:t>
            </w:r>
          </w:p>
        </w:tc>
        <w:tc>
          <w:tcPr>
            <w:tcW w:w="454" w:type="pct"/>
            <w:noWrap w:val="0"/>
            <w:vAlign w:val="center"/>
          </w:tcPr>
          <w:p w14:paraId="07DA7AC0">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16</w:t>
            </w:r>
          </w:p>
        </w:tc>
        <w:tc>
          <w:tcPr>
            <w:tcW w:w="956" w:type="pct"/>
            <w:noWrap w:val="0"/>
            <w:vAlign w:val="center"/>
          </w:tcPr>
          <w:p w14:paraId="70DBAFEC">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顺-2-戊烯</w:t>
            </w:r>
          </w:p>
        </w:tc>
        <w:tc>
          <w:tcPr>
            <w:tcW w:w="537" w:type="pct"/>
            <w:noWrap w:val="0"/>
            <w:vAlign w:val="center"/>
          </w:tcPr>
          <w:p w14:paraId="011B125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30</w:t>
            </w:r>
          </w:p>
        </w:tc>
        <w:tc>
          <w:tcPr>
            <w:tcW w:w="813" w:type="pct"/>
            <w:noWrap w:val="0"/>
            <w:vAlign w:val="center"/>
          </w:tcPr>
          <w:p w14:paraId="1EC86B8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2,2,4-三甲基戊烷</w:t>
            </w:r>
          </w:p>
        </w:tc>
        <w:tc>
          <w:tcPr>
            <w:tcW w:w="384" w:type="pct"/>
            <w:noWrap w:val="0"/>
            <w:vAlign w:val="center"/>
          </w:tcPr>
          <w:p w14:paraId="0B27C8F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45</w:t>
            </w:r>
          </w:p>
        </w:tc>
        <w:tc>
          <w:tcPr>
            <w:tcW w:w="880" w:type="pct"/>
            <w:noWrap w:val="0"/>
            <w:vAlign w:val="center"/>
          </w:tcPr>
          <w:p w14:paraId="196EE889">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异丙基苯</w:t>
            </w:r>
          </w:p>
        </w:tc>
      </w:tr>
      <w:tr w14:paraId="38EE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0675B04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607" w:type="pct"/>
            <w:noWrap w:val="0"/>
            <w:vAlign w:val="center"/>
          </w:tcPr>
          <w:p w14:paraId="6D099A9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丙烷</w:t>
            </w:r>
          </w:p>
        </w:tc>
        <w:tc>
          <w:tcPr>
            <w:tcW w:w="454" w:type="pct"/>
            <w:noWrap w:val="0"/>
            <w:vAlign w:val="center"/>
          </w:tcPr>
          <w:p w14:paraId="78860F03">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17</w:t>
            </w:r>
          </w:p>
        </w:tc>
        <w:tc>
          <w:tcPr>
            <w:tcW w:w="956" w:type="pct"/>
            <w:noWrap w:val="0"/>
            <w:vAlign w:val="center"/>
          </w:tcPr>
          <w:p w14:paraId="39866BCD">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w:t>
            </w:r>
            <w:r>
              <w:rPr>
                <w:rFonts w:hint="eastAsia" w:cs="Times New Roman"/>
                <w:sz w:val="21"/>
                <w:szCs w:val="21"/>
                <w:highlight w:val="none"/>
                <w:lang w:eastAsia="zh-CN"/>
              </w:rPr>
              <w:t>－</w:t>
            </w:r>
            <w:r>
              <w:rPr>
                <w:rFonts w:hint="default" w:ascii="Times New Roman" w:hAnsi="Times New Roman" w:cs="Times New Roman"/>
                <w:sz w:val="21"/>
                <w:szCs w:val="21"/>
                <w:highlight w:val="none"/>
              </w:rPr>
              <w:t>二甲基丁烷</w:t>
            </w:r>
          </w:p>
        </w:tc>
        <w:tc>
          <w:tcPr>
            <w:tcW w:w="537" w:type="pct"/>
            <w:noWrap w:val="0"/>
            <w:vAlign w:val="center"/>
          </w:tcPr>
          <w:p w14:paraId="4923A10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31</w:t>
            </w:r>
          </w:p>
        </w:tc>
        <w:tc>
          <w:tcPr>
            <w:tcW w:w="813" w:type="pct"/>
            <w:noWrap w:val="0"/>
            <w:vAlign w:val="center"/>
          </w:tcPr>
          <w:p w14:paraId="2E1D8530">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庚烷</w:t>
            </w:r>
          </w:p>
        </w:tc>
        <w:tc>
          <w:tcPr>
            <w:tcW w:w="384" w:type="pct"/>
            <w:noWrap w:val="0"/>
            <w:vAlign w:val="center"/>
          </w:tcPr>
          <w:p w14:paraId="4881C87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46</w:t>
            </w:r>
          </w:p>
        </w:tc>
        <w:tc>
          <w:tcPr>
            <w:tcW w:w="880" w:type="pct"/>
            <w:noWrap w:val="0"/>
            <w:vAlign w:val="center"/>
          </w:tcPr>
          <w:p w14:paraId="07E3533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丙基苯</w:t>
            </w:r>
          </w:p>
        </w:tc>
      </w:tr>
      <w:tr w14:paraId="4869C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58C070F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w:t>
            </w:r>
          </w:p>
        </w:tc>
        <w:tc>
          <w:tcPr>
            <w:tcW w:w="607" w:type="pct"/>
            <w:noWrap w:val="0"/>
            <w:vAlign w:val="center"/>
          </w:tcPr>
          <w:p w14:paraId="7A86A297">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丙烯</w:t>
            </w:r>
          </w:p>
        </w:tc>
        <w:tc>
          <w:tcPr>
            <w:tcW w:w="454" w:type="pct"/>
            <w:noWrap w:val="0"/>
            <w:vAlign w:val="center"/>
          </w:tcPr>
          <w:p w14:paraId="0C33B7F8">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18</w:t>
            </w:r>
          </w:p>
        </w:tc>
        <w:tc>
          <w:tcPr>
            <w:tcW w:w="956" w:type="pct"/>
            <w:noWrap w:val="0"/>
            <w:vAlign w:val="center"/>
          </w:tcPr>
          <w:p w14:paraId="01D46CA7">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2,3</w:t>
            </w:r>
            <w:r>
              <w:rPr>
                <w:rFonts w:hint="eastAsia" w:cs="Times New Roman"/>
                <w:sz w:val="21"/>
                <w:szCs w:val="21"/>
                <w:highlight w:val="none"/>
                <w:lang w:eastAsia="zh-CN"/>
              </w:rPr>
              <w:t>－</w:t>
            </w:r>
            <w:r>
              <w:rPr>
                <w:rFonts w:hint="default" w:ascii="Times New Roman" w:hAnsi="Times New Roman" w:cs="Times New Roman"/>
                <w:sz w:val="21"/>
                <w:szCs w:val="21"/>
                <w:highlight w:val="none"/>
              </w:rPr>
              <w:t>二甲基丁烷</w:t>
            </w:r>
          </w:p>
        </w:tc>
        <w:tc>
          <w:tcPr>
            <w:tcW w:w="537" w:type="pct"/>
            <w:noWrap w:val="0"/>
            <w:vAlign w:val="center"/>
          </w:tcPr>
          <w:p w14:paraId="5D7B3A18">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32</w:t>
            </w:r>
          </w:p>
        </w:tc>
        <w:tc>
          <w:tcPr>
            <w:tcW w:w="813" w:type="pct"/>
            <w:noWrap w:val="0"/>
            <w:vAlign w:val="center"/>
          </w:tcPr>
          <w:p w14:paraId="1945ABA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甲基环己烷</w:t>
            </w:r>
          </w:p>
        </w:tc>
        <w:tc>
          <w:tcPr>
            <w:tcW w:w="384" w:type="pct"/>
            <w:noWrap w:val="0"/>
            <w:vAlign w:val="center"/>
          </w:tcPr>
          <w:p w14:paraId="694AAC2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47</w:t>
            </w:r>
          </w:p>
        </w:tc>
        <w:tc>
          <w:tcPr>
            <w:tcW w:w="880" w:type="pct"/>
            <w:noWrap w:val="0"/>
            <w:vAlign w:val="center"/>
          </w:tcPr>
          <w:p w14:paraId="731023B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 乙基甲苯</w:t>
            </w:r>
          </w:p>
        </w:tc>
      </w:tr>
      <w:tr w14:paraId="5F4F1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365" w:type="pct"/>
            <w:noWrap w:val="0"/>
            <w:vAlign w:val="center"/>
          </w:tcPr>
          <w:p w14:paraId="3B1DFD9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w:t>
            </w:r>
          </w:p>
        </w:tc>
        <w:tc>
          <w:tcPr>
            <w:tcW w:w="607" w:type="pct"/>
            <w:noWrap w:val="0"/>
            <w:vAlign w:val="center"/>
          </w:tcPr>
          <w:p w14:paraId="3261D308">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异丁烷</w:t>
            </w:r>
          </w:p>
        </w:tc>
        <w:tc>
          <w:tcPr>
            <w:tcW w:w="454" w:type="pct"/>
            <w:noWrap w:val="0"/>
            <w:vAlign w:val="center"/>
          </w:tcPr>
          <w:p w14:paraId="708B47E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19</w:t>
            </w:r>
          </w:p>
        </w:tc>
        <w:tc>
          <w:tcPr>
            <w:tcW w:w="956" w:type="pct"/>
            <w:noWrap w:val="0"/>
            <w:vAlign w:val="center"/>
          </w:tcPr>
          <w:p w14:paraId="1C90079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 甲基戊烷</w:t>
            </w:r>
          </w:p>
        </w:tc>
        <w:tc>
          <w:tcPr>
            <w:tcW w:w="537" w:type="pct"/>
            <w:noWrap w:val="0"/>
            <w:vAlign w:val="center"/>
          </w:tcPr>
          <w:p w14:paraId="66D4E99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33</w:t>
            </w:r>
          </w:p>
        </w:tc>
        <w:tc>
          <w:tcPr>
            <w:tcW w:w="813" w:type="pct"/>
            <w:noWrap w:val="0"/>
            <w:vAlign w:val="center"/>
          </w:tcPr>
          <w:p w14:paraId="6C947BB0">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2,3,4-三甲基戊烷</w:t>
            </w:r>
          </w:p>
        </w:tc>
        <w:tc>
          <w:tcPr>
            <w:tcW w:w="384" w:type="pct"/>
            <w:noWrap w:val="0"/>
            <w:vAlign w:val="center"/>
          </w:tcPr>
          <w:p w14:paraId="79EDD03D">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48</w:t>
            </w:r>
          </w:p>
        </w:tc>
        <w:tc>
          <w:tcPr>
            <w:tcW w:w="880" w:type="pct"/>
            <w:noWrap w:val="0"/>
            <w:vAlign w:val="center"/>
          </w:tcPr>
          <w:p w14:paraId="7C59C2B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 乙基甲苯</w:t>
            </w:r>
          </w:p>
        </w:tc>
      </w:tr>
      <w:tr w14:paraId="72D54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088B02D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w:t>
            </w:r>
          </w:p>
        </w:tc>
        <w:tc>
          <w:tcPr>
            <w:tcW w:w="607" w:type="pct"/>
            <w:noWrap w:val="0"/>
            <w:vAlign w:val="center"/>
          </w:tcPr>
          <w:p w14:paraId="5A8D45C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正丁烷</w:t>
            </w:r>
          </w:p>
        </w:tc>
        <w:tc>
          <w:tcPr>
            <w:tcW w:w="454" w:type="pct"/>
            <w:noWrap w:val="0"/>
            <w:vAlign w:val="center"/>
          </w:tcPr>
          <w:p w14:paraId="7563308A">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w:t>
            </w:r>
          </w:p>
        </w:tc>
        <w:tc>
          <w:tcPr>
            <w:tcW w:w="956" w:type="pct"/>
            <w:noWrap w:val="0"/>
            <w:vAlign w:val="center"/>
          </w:tcPr>
          <w:p w14:paraId="448E338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 甲基戊烷</w:t>
            </w:r>
          </w:p>
        </w:tc>
        <w:tc>
          <w:tcPr>
            <w:tcW w:w="537" w:type="pct"/>
            <w:noWrap w:val="0"/>
            <w:vAlign w:val="center"/>
          </w:tcPr>
          <w:p w14:paraId="136D63C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34</w:t>
            </w:r>
          </w:p>
        </w:tc>
        <w:tc>
          <w:tcPr>
            <w:tcW w:w="813" w:type="pct"/>
            <w:noWrap w:val="0"/>
            <w:vAlign w:val="center"/>
          </w:tcPr>
          <w:p w14:paraId="57973CA9">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 甲基庚烷</w:t>
            </w:r>
          </w:p>
        </w:tc>
        <w:tc>
          <w:tcPr>
            <w:tcW w:w="384" w:type="pct"/>
            <w:noWrap w:val="0"/>
            <w:vAlign w:val="center"/>
          </w:tcPr>
          <w:p w14:paraId="1A7A3423">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49</w:t>
            </w:r>
          </w:p>
        </w:tc>
        <w:tc>
          <w:tcPr>
            <w:tcW w:w="880" w:type="pct"/>
            <w:noWrap w:val="0"/>
            <w:vAlign w:val="center"/>
          </w:tcPr>
          <w:p w14:paraId="21568DF8">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癸烷</w:t>
            </w:r>
          </w:p>
        </w:tc>
      </w:tr>
      <w:tr w14:paraId="4E923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40F61AC5">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w:t>
            </w:r>
          </w:p>
        </w:tc>
        <w:tc>
          <w:tcPr>
            <w:tcW w:w="607" w:type="pct"/>
            <w:noWrap w:val="0"/>
            <w:vAlign w:val="center"/>
          </w:tcPr>
          <w:p w14:paraId="60E3CFEA">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乙炔</w:t>
            </w:r>
          </w:p>
        </w:tc>
        <w:tc>
          <w:tcPr>
            <w:tcW w:w="454" w:type="pct"/>
            <w:noWrap w:val="0"/>
            <w:vAlign w:val="center"/>
          </w:tcPr>
          <w:p w14:paraId="407870D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21</w:t>
            </w:r>
          </w:p>
        </w:tc>
        <w:tc>
          <w:tcPr>
            <w:tcW w:w="956" w:type="pct"/>
            <w:noWrap w:val="0"/>
            <w:vAlign w:val="center"/>
          </w:tcPr>
          <w:p w14:paraId="213CA464">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 己烯</w:t>
            </w:r>
          </w:p>
        </w:tc>
        <w:tc>
          <w:tcPr>
            <w:tcW w:w="537" w:type="pct"/>
            <w:noWrap w:val="0"/>
            <w:vAlign w:val="center"/>
          </w:tcPr>
          <w:p w14:paraId="0A3BB00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35</w:t>
            </w:r>
          </w:p>
        </w:tc>
        <w:tc>
          <w:tcPr>
            <w:tcW w:w="813" w:type="pct"/>
            <w:noWrap w:val="0"/>
            <w:vAlign w:val="center"/>
          </w:tcPr>
          <w:p w14:paraId="079B59E5">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 甲基庚烷</w:t>
            </w:r>
          </w:p>
        </w:tc>
        <w:tc>
          <w:tcPr>
            <w:tcW w:w="384" w:type="pct"/>
            <w:noWrap w:val="0"/>
            <w:vAlign w:val="center"/>
          </w:tcPr>
          <w:p w14:paraId="5BB4AA2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50</w:t>
            </w:r>
          </w:p>
        </w:tc>
        <w:tc>
          <w:tcPr>
            <w:tcW w:w="880" w:type="pct"/>
            <w:noWrap w:val="0"/>
            <w:vAlign w:val="center"/>
          </w:tcPr>
          <w:p w14:paraId="09E827F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1,3,5-三甲苯</w:t>
            </w:r>
          </w:p>
        </w:tc>
      </w:tr>
      <w:tr w14:paraId="49E1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07D38BA0">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w:t>
            </w:r>
          </w:p>
        </w:tc>
        <w:tc>
          <w:tcPr>
            <w:tcW w:w="607" w:type="pct"/>
            <w:noWrap w:val="0"/>
            <w:vAlign w:val="center"/>
          </w:tcPr>
          <w:p w14:paraId="73CE2EA5">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反-2-丁烯</w:t>
            </w:r>
          </w:p>
        </w:tc>
        <w:tc>
          <w:tcPr>
            <w:tcW w:w="454" w:type="pct"/>
            <w:noWrap w:val="0"/>
            <w:vAlign w:val="center"/>
          </w:tcPr>
          <w:p w14:paraId="29734DB9">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w:t>
            </w:r>
          </w:p>
        </w:tc>
        <w:tc>
          <w:tcPr>
            <w:tcW w:w="956" w:type="pct"/>
            <w:noWrap w:val="0"/>
            <w:vAlign w:val="center"/>
          </w:tcPr>
          <w:p w14:paraId="23207D40">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正己烷</w:t>
            </w:r>
          </w:p>
        </w:tc>
        <w:tc>
          <w:tcPr>
            <w:tcW w:w="537" w:type="pct"/>
            <w:noWrap w:val="0"/>
            <w:vAlign w:val="center"/>
          </w:tcPr>
          <w:p w14:paraId="464C547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36</w:t>
            </w:r>
          </w:p>
        </w:tc>
        <w:tc>
          <w:tcPr>
            <w:tcW w:w="813" w:type="pct"/>
            <w:noWrap w:val="0"/>
            <w:vAlign w:val="center"/>
          </w:tcPr>
          <w:p w14:paraId="5BD128B4">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甲苯</w:t>
            </w:r>
          </w:p>
        </w:tc>
        <w:tc>
          <w:tcPr>
            <w:tcW w:w="384" w:type="pct"/>
            <w:noWrap w:val="0"/>
            <w:vAlign w:val="center"/>
          </w:tcPr>
          <w:p w14:paraId="282ED0A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51</w:t>
            </w:r>
          </w:p>
        </w:tc>
        <w:tc>
          <w:tcPr>
            <w:tcW w:w="880" w:type="pct"/>
            <w:noWrap w:val="0"/>
            <w:vAlign w:val="center"/>
          </w:tcPr>
          <w:p w14:paraId="3F5CFA6A">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 乙基甲苯</w:t>
            </w:r>
          </w:p>
        </w:tc>
      </w:tr>
      <w:tr w14:paraId="0D57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2190ABE9">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9</w:t>
            </w:r>
          </w:p>
        </w:tc>
        <w:tc>
          <w:tcPr>
            <w:tcW w:w="607" w:type="pct"/>
            <w:noWrap w:val="0"/>
            <w:vAlign w:val="center"/>
          </w:tcPr>
          <w:p w14:paraId="5AA5E1A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1-丁烯</w:t>
            </w:r>
          </w:p>
        </w:tc>
        <w:tc>
          <w:tcPr>
            <w:tcW w:w="454" w:type="pct"/>
            <w:noWrap w:val="0"/>
            <w:vAlign w:val="center"/>
          </w:tcPr>
          <w:p w14:paraId="77E72B75">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23</w:t>
            </w:r>
          </w:p>
        </w:tc>
        <w:tc>
          <w:tcPr>
            <w:tcW w:w="956" w:type="pct"/>
            <w:noWrap w:val="0"/>
            <w:vAlign w:val="center"/>
          </w:tcPr>
          <w:p w14:paraId="24BEC498">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2,4</w:t>
            </w:r>
            <w:r>
              <w:rPr>
                <w:rFonts w:hint="eastAsia" w:cs="Times New Roman"/>
                <w:sz w:val="21"/>
                <w:szCs w:val="21"/>
                <w:highlight w:val="none"/>
                <w:lang w:eastAsia="zh-CN"/>
              </w:rPr>
              <w:t>－</w:t>
            </w:r>
            <w:r>
              <w:rPr>
                <w:rFonts w:hint="default" w:ascii="Times New Roman" w:hAnsi="Times New Roman" w:cs="Times New Roman"/>
                <w:sz w:val="21"/>
                <w:szCs w:val="21"/>
                <w:highlight w:val="none"/>
              </w:rPr>
              <w:t>二甲基戊烷</w:t>
            </w:r>
          </w:p>
        </w:tc>
        <w:tc>
          <w:tcPr>
            <w:tcW w:w="537" w:type="pct"/>
            <w:noWrap w:val="0"/>
            <w:vAlign w:val="center"/>
          </w:tcPr>
          <w:p w14:paraId="0D2415C5">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37</w:t>
            </w:r>
          </w:p>
        </w:tc>
        <w:tc>
          <w:tcPr>
            <w:tcW w:w="813" w:type="pct"/>
            <w:noWrap w:val="0"/>
            <w:vAlign w:val="center"/>
          </w:tcPr>
          <w:p w14:paraId="70B24042">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正辛烷</w:t>
            </w:r>
          </w:p>
        </w:tc>
        <w:tc>
          <w:tcPr>
            <w:tcW w:w="384" w:type="pct"/>
            <w:noWrap w:val="0"/>
            <w:vAlign w:val="center"/>
          </w:tcPr>
          <w:p w14:paraId="427E1A44">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52</w:t>
            </w:r>
          </w:p>
        </w:tc>
        <w:tc>
          <w:tcPr>
            <w:tcW w:w="880" w:type="pct"/>
            <w:noWrap w:val="0"/>
            <w:vAlign w:val="center"/>
          </w:tcPr>
          <w:p w14:paraId="60384A22">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1,2,4-三甲基苯</w:t>
            </w:r>
          </w:p>
        </w:tc>
      </w:tr>
      <w:tr w14:paraId="71F49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26CC91AE">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10</w:t>
            </w:r>
          </w:p>
        </w:tc>
        <w:tc>
          <w:tcPr>
            <w:tcW w:w="607" w:type="pct"/>
            <w:noWrap w:val="0"/>
            <w:vAlign w:val="center"/>
          </w:tcPr>
          <w:p w14:paraId="2E2272FC">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环戊烷</w:t>
            </w:r>
          </w:p>
        </w:tc>
        <w:tc>
          <w:tcPr>
            <w:tcW w:w="454" w:type="pct"/>
            <w:noWrap w:val="0"/>
            <w:vAlign w:val="center"/>
          </w:tcPr>
          <w:p w14:paraId="7BC24598">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24</w:t>
            </w:r>
          </w:p>
        </w:tc>
        <w:tc>
          <w:tcPr>
            <w:tcW w:w="956" w:type="pct"/>
            <w:noWrap w:val="0"/>
            <w:vAlign w:val="center"/>
          </w:tcPr>
          <w:p w14:paraId="7A8508C3">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甲基环戊烷</w:t>
            </w:r>
          </w:p>
        </w:tc>
        <w:tc>
          <w:tcPr>
            <w:tcW w:w="537" w:type="pct"/>
            <w:noWrap w:val="0"/>
            <w:vAlign w:val="center"/>
          </w:tcPr>
          <w:p w14:paraId="3FB84220">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38</w:t>
            </w:r>
          </w:p>
        </w:tc>
        <w:tc>
          <w:tcPr>
            <w:tcW w:w="813" w:type="pct"/>
            <w:noWrap w:val="0"/>
            <w:vAlign w:val="center"/>
          </w:tcPr>
          <w:p w14:paraId="006E2DE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乙基苯</w:t>
            </w:r>
          </w:p>
        </w:tc>
        <w:tc>
          <w:tcPr>
            <w:tcW w:w="384" w:type="pct"/>
            <w:noWrap w:val="0"/>
            <w:vAlign w:val="center"/>
          </w:tcPr>
          <w:p w14:paraId="0672820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53</w:t>
            </w:r>
          </w:p>
        </w:tc>
        <w:tc>
          <w:tcPr>
            <w:tcW w:w="880" w:type="pct"/>
            <w:noWrap w:val="0"/>
            <w:vAlign w:val="center"/>
          </w:tcPr>
          <w:p w14:paraId="66F5B9C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1,2,3-三甲基苯</w:t>
            </w:r>
          </w:p>
        </w:tc>
      </w:tr>
      <w:tr w14:paraId="27C43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365" w:type="pct"/>
            <w:noWrap w:val="0"/>
            <w:vAlign w:val="center"/>
          </w:tcPr>
          <w:p w14:paraId="616BBA6C">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11</w:t>
            </w:r>
          </w:p>
        </w:tc>
        <w:tc>
          <w:tcPr>
            <w:tcW w:w="607" w:type="pct"/>
            <w:noWrap w:val="0"/>
            <w:vAlign w:val="center"/>
          </w:tcPr>
          <w:p w14:paraId="3C76726E">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顺-2-丁烯</w:t>
            </w:r>
          </w:p>
        </w:tc>
        <w:tc>
          <w:tcPr>
            <w:tcW w:w="454" w:type="pct"/>
            <w:noWrap w:val="0"/>
            <w:vAlign w:val="center"/>
          </w:tcPr>
          <w:p w14:paraId="5028EC4A">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25</w:t>
            </w:r>
          </w:p>
        </w:tc>
        <w:tc>
          <w:tcPr>
            <w:tcW w:w="956" w:type="pct"/>
            <w:noWrap w:val="0"/>
            <w:vAlign w:val="center"/>
          </w:tcPr>
          <w:p w14:paraId="4B52D38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 甲基己烷</w:t>
            </w:r>
            <w:r>
              <w:rPr>
                <w:rFonts w:hint="eastAsia" w:cs="Times New Roman"/>
                <w:sz w:val="21"/>
                <w:szCs w:val="21"/>
                <w:highlight w:val="none"/>
                <w:lang w:eastAsia="zh-CN"/>
              </w:rPr>
              <w:t>（</w:t>
            </w:r>
            <w:r>
              <w:rPr>
                <w:rFonts w:hint="default" w:ascii="Times New Roman" w:hAnsi="Times New Roman" w:cs="Times New Roman"/>
                <w:sz w:val="21"/>
                <w:szCs w:val="21"/>
                <w:highlight w:val="none"/>
              </w:rPr>
              <w:t>异庚烷</w:t>
            </w:r>
            <w:r>
              <w:rPr>
                <w:rFonts w:hint="eastAsia" w:cs="Times New Roman"/>
                <w:sz w:val="21"/>
                <w:szCs w:val="21"/>
                <w:highlight w:val="none"/>
                <w:lang w:eastAsia="zh-CN"/>
              </w:rPr>
              <w:t>）</w:t>
            </w:r>
          </w:p>
        </w:tc>
        <w:tc>
          <w:tcPr>
            <w:tcW w:w="537" w:type="pct"/>
            <w:noWrap w:val="0"/>
            <w:vAlign w:val="center"/>
          </w:tcPr>
          <w:p w14:paraId="5E3903E3">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39</w:t>
            </w:r>
          </w:p>
        </w:tc>
        <w:tc>
          <w:tcPr>
            <w:tcW w:w="813" w:type="pct"/>
            <w:noWrap w:val="0"/>
            <w:vAlign w:val="center"/>
          </w:tcPr>
          <w:p w14:paraId="547E7CCD">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正壬烷</w:t>
            </w:r>
          </w:p>
        </w:tc>
        <w:tc>
          <w:tcPr>
            <w:tcW w:w="384" w:type="pct"/>
            <w:noWrap w:val="0"/>
            <w:vAlign w:val="center"/>
          </w:tcPr>
          <w:p w14:paraId="112CC84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54</w:t>
            </w:r>
          </w:p>
        </w:tc>
        <w:tc>
          <w:tcPr>
            <w:tcW w:w="880" w:type="pct"/>
            <w:noWrap w:val="0"/>
            <w:vAlign w:val="center"/>
          </w:tcPr>
          <w:p w14:paraId="00DC9183">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1,3-二乙基苯</w:t>
            </w:r>
          </w:p>
        </w:tc>
      </w:tr>
      <w:tr w14:paraId="21825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2247987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12</w:t>
            </w:r>
          </w:p>
        </w:tc>
        <w:tc>
          <w:tcPr>
            <w:tcW w:w="607" w:type="pct"/>
            <w:noWrap w:val="0"/>
            <w:vAlign w:val="center"/>
          </w:tcPr>
          <w:p w14:paraId="22A1EC43">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异戊烷</w:t>
            </w:r>
          </w:p>
        </w:tc>
        <w:tc>
          <w:tcPr>
            <w:tcW w:w="454" w:type="pct"/>
            <w:noWrap w:val="0"/>
            <w:vAlign w:val="center"/>
          </w:tcPr>
          <w:p w14:paraId="64F82B9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26</w:t>
            </w:r>
          </w:p>
        </w:tc>
        <w:tc>
          <w:tcPr>
            <w:tcW w:w="956" w:type="pct"/>
            <w:noWrap w:val="0"/>
            <w:vAlign w:val="center"/>
          </w:tcPr>
          <w:p w14:paraId="71D85A3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2,3</w:t>
            </w:r>
            <w:r>
              <w:rPr>
                <w:rFonts w:hint="eastAsia" w:cs="Times New Roman"/>
                <w:sz w:val="21"/>
                <w:szCs w:val="21"/>
                <w:highlight w:val="none"/>
                <w:lang w:eastAsia="zh-CN"/>
              </w:rPr>
              <w:t>－</w:t>
            </w:r>
            <w:r>
              <w:rPr>
                <w:rFonts w:hint="default" w:ascii="Times New Roman" w:hAnsi="Times New Roman" w:cs="Times New Roman"/>
                <w:sz w:val="21"/>
                <w:szCs w:val="21"/>
                <w:highlight w:val="none"/>
              </w:rPr>
              <w:t>二甲基戊烷</w:t>
            </w:r>
          </w:p>
        </w:tc>
        <w:tc>
          <w:tcPr>
            <w:tcW w:w="537" w:type="pct"/>
            <w:noWrap w:val="0"/>
            <w:vAlign w:val="center"/>
          </w:tcPr>
          <w:p w14:paraId="4D4799D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40</w:t>
            </w:r>
          </w:p>
        </w:tc>
        <w:tc>
          <w:tcPr>
            <w:tcW w:w="813" w:type="pct"/>
            <w:noWrap w:val="0"/>
            <w:vAlign w:val="center"/>
          </w:tcPr>
          <w:p w14:paraId="33DFDF0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异戊二烯</w:t>
            </w:r>
          </w:p>
        </w:tc>
        <w:tc>
          <w:tcPr>
            <w:tcW w:w="384" w:type="pct"/>
            <w:noWrap w:val="0"/>
            <w:vAlign w:val="center"/>
          </w:tcPr>
          <w:p w14:paraId="5D688F7A">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55</w:t>
            </w:r>
          </w:p>
        </w:tc>
        <w:tc>
          <w:tcPr>
            <w:tcW w:w="880" w:type="pct"/>
            <w:noWrap w:val="0"/>
            <w:vAlign w:val="center"/>
          </w:tcPr>
          <w:p w14:paraId="4198EDD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1,4-二乙基苯</w:t>
            </w:r>
          </w:p>
        </w:tc>
      </w:tr>
      <w:tr w14:paraId="458B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65" w:type="pct"/>
            <w:noWrap w:val="0"/>
            <w:vAlign w:val="center"/>
          </w:tcPr>
          <w:p w14:paraId="004BAC0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13</w:t>
            </w:r>
          </w:p>
        </w:tc>
        <w:tc>
          <w:tcPr>
            <w:tcW w:w="607" w:type="pct"/>
            <w:noWrap w:val="0"/>
            <w:vAlign w:val="center"/>
          </w:tcPr>
          <w:p w14:paraId="77472FB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正戊烷</w:t>
            </w:r>
          </w:p>
        </w:tc>
        <w:tc>
          <w:tcPr>
            <w:tcW w:w="454" w:type="pct"/>
            <w:noWrap w:val="0"/>
            <w:vAlign w:val="center"/>
          </w:tcPr>
          <w:p w14:paraId="463BFA9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27</w:t>
            </w:r>
          </w:p>
        </w:tc>
        <w:tc>
          <w:tcPr>
            <w:tcW w:w="956" w:type="pct"/>
            <w:noWrap w:val="0"/>
            <w:vAlign w:val="center"/>
          </w:tcPr>
          <w:p w14:paraId="5C4DDBD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环己烷</w:t>
            </w:r>
          </w:p>
        </w:tc>
        <w:tc>
          <w:tcPr>
            <w:tcW w:w="537" w:type="pct"/>
            <w:noWrap w:val="0"/>
            <w:vAlign w:val="center"/>
          </w:tcPr>
          <w:p w14:paraId="5194CCC7">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41-42</w:t>
            </w:r>
          </w:p>
        </w:tc>
        <w:tc>
          <w:tcPr>
            <w:tcW w:w="813" w:type="pct"/>
            <w:noWrap w:val="0"/>
            <w:vAlign w:val="center"/>
          </w:tcPr>
          <w:p w14:paraId="4F7D2286">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间/对-二甲苯</w:t>
            </w:r>
          </w:p>
        </w:tc>
        <w:tc>
          <w:tcPr>
            <w:tcW w:w="384" w:type="pct"/>
            <w:noWrap w:val="0"/>
            <w:vAlign w:val="center"/>
          </w:tcPr>
          <w:p w14:paraId="5B3CE393">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56</w:t>
            </w:r>
          </w:p>
        </w:tc>
        <w:tc>
          <w:tcPr>
            <w:tcW w:w="880" w:type="pct"/>
            <w:noWrap w:val="0"/>
            <w:vAlign w:val="center"/>
          </w:tcPr>
          <w:p w14:paraId="546131F2">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十一烷</w:t>
            </w:r>
          </w:p>
        </w:tc>
      </w:tr>
      <w:tr w14:paraId="6F3EA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365" w:type="pct"/>
            <w:noWrap w:val="0"/>
            <w:vAlign w:val="center"/>
          </w:tcPr>
          <w:p w14:paraId="650588B2">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14</w:t>
            </w:r>
          </w:p>
        </w:tc>
        <w:tc>
          <w:tcPr>
            <w:tcW w:w="607" w:type="pct"/>
            <w:noWrap w:val="0"/>
            <w:vAlign w:val="center"/>
          </w:tcPr>
          <w:p w14:paraId="27B1F4D4">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1-戊烯</w:t>
            </w:r>
          </w:p>
        </w:tc>
        <w:tc>
          <w:tcPr>
            <w:tcW w:w="454" w:type="pct"/>
            <w:noWrap w:val="0"/>
            <w:vAlign w:val="center"/>
          </w:tcPr>
          <w:p w14:paraId="22554194">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28</w:t>
            </w:r>
          </w:p>
        </w:tc>
        <w:tc>
          <w:tcPr>
            <w:tcW w:w="956" w:type="pct"/>
            <w:noWrap w:val="0"/>
            <w:vAlign w:val="center"/>
          </w:tcPr>
          <w:p w14:paraId="3D5F6951">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 甲基己烷</w:t>
            </w:r>
          </w:p>
        </w:tc>
        <w:tc>
          <w:tcPr>
            <w:tcW w:w="537" w:type="pct"/>
            <w:noWrap w:val="0"/>
            <w:vAlign w:val="center"/>
          </w:tcPr>
          <w:p w14:paraId="325A2BDE">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43</w:t>
            </w:r>
          </w:p>
        </w:tc>
        <w:tc>
          <w:tcPr>
            <w:tcW w:w="813" w:type="pct"/>
            <w:noWrap w:val="0"/>
            <w:vAlign w:val="center"/>
          </w:tcPr>
          <w:p w14:paraId="6FA181EB">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邻二甲苯</w:t>
            </w:r>
          </w:p>
        </w:tc>
        <w:tc>
          <w:tcPr>
            <w:tcW w:w="384" w:type="pct"/>
            <w:noWrap w:val="0"/>
            <w:vAlign w:val="center"/>
          </w:tcPr>
          <w:p w14:paraId="6CE97B99">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57</w:t>
            </w:r>
          </w:p>
        </w:tc>
        <w:tc>
          <w:tcPr>
            <w:tcW w:w="880" w:type="pct"/>
            <w:noWrap w:val="0"/>
            <w:vAlign w:val="center"/>
          </w:tcPr>
          <w:p w14:paraId="75DFA0DF">
            <w:pPr>
              <w:pStyle w:val="181"/>
              <w:keepNext w:val="0"/>
              <w:keepLines w:val="0"/>
              <w:pageBreakBefore w:val="0"/>
              <w:widowControl w:val="0"/>
              <w:kinsoku/>
              <w:wordWrap/>
              <w:overflowPunct/>
              <w:topLinePunct w:val="0"/>
              <w:autoSpaceDE/>
              <w:autoSpaceDN/>
              <w:bidi w:val="0"/>
              <w:adjustRightInd w:val="0"/>
              <w:snapToGrid w:val="0"/>
              <w:spacing w:after="0" w:line="240" w:lineRule="auto"/>
              <w:ind w:leftChars="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十二烷</w:t>
            </w:r>
          </w:p>
        </w:tc>
      </w:tr>
    </w:tbl>
    <w:p w14:paraId="5D83240A">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p>
    <w:p w14:paraId="43CBCEA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日常巡查</w:t>
      </w:r>
    </w:p>
    <w:p w14:paraId="633904DC">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1</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每日检查仪器运行状况、工作参数、数据采集和传输情况是否正常。</w:t>
      </w:r>
    </w:p>
    <w:p w14:paraId="6FE33345">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2</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每日远程登录或现场对仪器软件进行谱图检查，对峰飘物质及时修正。</w:t>
      </w:r>
    </w:p>
    <w:p w14:paraId="5EFEC355">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3</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日使用标准混合气体对仪器各组分进行单点（工作点）检查与校准，当大于20%的物种色谱标准气单点浓度偏差大于20%，需重新标定校准曲线。每日工作点检查结束后，使用零气对仪器各组分进行检查与校准，物种组分空白残留不应该高于0.1nmol/mol。若出现组分空白不合格，且该组分日常浓度范围在0.3nmol/mol以内，则当天监测数据均做无效处理；若该组分日常浓度范围在1nmol/mol以上，则视空白结果予以保留或无效标注处理；数据浓度相对较高，可体现污染和变化现状的，酌情保留。</w:t>
      </w:r>
    </w:p>
    <w:p w14:paraId="41B1021B">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4</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每日对前一日VOCs谱图开展人工二次积分以确保监测结果的准确性，对异常及缺失数据进行记录与说明。</w:t>
      </w:r>
    </w:p>
    <w:p w14:paraId="335106A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3、每周巡检</w:t>
      </w:r>
    </w:p>
    <w:p w14:paraId="4EF7E1F0">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default" w:ascii="Times New Roman" w:hAnsi="Times New Roman" w:eastAsia="宋体" w:cs="Times New Roman"/>
          <w:sz w:val="24"/>
          <w:szCs w:val="32"/>
          <w:highlight w:val="none"/>
        </w:rPr>
        <w:t>VOCs 空气站至少每周现场巡检一次。</w:t>
      </w:r>
    </w:p>
    <w:p w14:paraId="3FCC18FA">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1</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检查仪器运行状态，是否报警或异常；</w:t>
      </w:r>
    </w:p>
    <w:p w14:paraId="4BFB6592">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2</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检查仪器耗材使用情况，更换仪器所需耗材；</w:t>
      </w:r>
    </w:p>
    <w:p w14:paraId="665D1E38">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3</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检查标气、载气等各类气体使用情况；</w:t>
      </w:r>
    </w:p>
    <w:p w14:paraId="2F77E2E9">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4</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检查仪器管路、阀门是否漏气；</w:t>
      </w:r>
    </w:p>
    <w:p w14:paraId="57A5E07F">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5</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检查站房外部环境，是否存在对监测数据或运行环境存在明显影响的污染源；</w:t>
      </w:r>
    </w:p>
    <w:p w14:paraId="51DC00D3">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6</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检查站房通讯及数据传输系统状态；</w:t>
      </w:r>
    </w:p>
    <w:p w14:paraId="5FF1ADC3">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7</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检查更换颗粒物过滤膜；</w:t>
      </w:r>
    </w:p>
    <w:p w14:paraId="326809D9">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8</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检查站房消防、防雷、防水等安全措施是否正常。</w:t>
      </w:r>
    </w:p>
    <w:p w14:paraId="11FBDAD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4、月度维护</w:t>
      </w:r>
    </w:p>
    <w:p w14:paraId="10B924CE">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1</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清洗仪器散热风扇滤网；</w:t>
      </w:r>
    </w:p>
    <w:p w14:paraId="5483321C">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2</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更换发生器过滤分子筛；</w:t>
      </w:r>
    </w:p>
    <w:p w14:paraId="12C08171">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3</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更换发生器干燥剂。</w:t>
      </w:r>
    </w:p>
    <w:p w14:paraId="3E053D67">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default" w:ascii="Times New Roman" w:hAnsi="Times New Roman" w:cs="Times New Roman"/>
          <w:b/>
          <w:bCs/>
          <w:sz w:val="24"/>
          <w:szCs w:val="24"/>
          <w:highlight w:val="none"/>
          <w:lang w:val="en-US" w:eastAsia="zh-CN"/>
        </w:rPr>
        <w:t>5、季度检查</w:t>
      </w:r>
      <w:r>
        <w:rPr>
          <w:rFonts w:hint="default" w:ascii="Times New Roman" w:hAnsi="Times New Roman" w:eastAsia="宋体" w:cs="Times New Roman"/>
          <w:sz w:val="24"/>
          <w:szCs w:val="32"/>
          <w:highlight w:val="none"/>
        </w:rPr>
        <w:t xml:space="preserve"> </w:t>
      </w:r>
    </w:p>
    <w:p w14:paraId="110F0AF2">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1</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每季度检查检测器工作状态；</w:t>
      </w:r>
    </w:p>
    <w:p w14:paraId="231FEEE0">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2</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每季对仪器进行一次预防性维护和各测试参数检查；</w:t>
      </w:r>
    </w:p>
    <w:p w14:paraId="4EF674FD">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3</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每季对仪器所有数据进行备份；</w:t>
      </w:r>
    </w:p>
    <w:p w14:paraId="06E654D0">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4</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每季使用标准混合气更新工作曲线和峰窗。</w:t>
      </w:r>
    </w:p>
    <w:p w14:paraId="0625B560">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default" w:ascii="Times New Roman" w:hAnsi="Times New Roman" w:cs="Times New Roman"/>
          <w:b/>
          <w:bCs/>
          <w:sz w:val="24"/>
          <w:szCs w:val="24"/>
          <w:highlight w:val="none"/>
          <w:lang w:val="en-US" w:eastAsia="zh-CN"/>
        </w:rPr>
        <w:t>6、年维护检查</w:t>
      </w:r>
      <w:r>
        <w:rPr>
          <w:rFonts w:hint="default" w:ascii="Times New Roman" w:hAnsi="Times New Roman" w:eastAsia="宋体" w:cs="Times New Roman"/>
          <w:sz w:val="24"/>
          <w:szCs w:val="32"/>
          <w:highlight w:val="none"/>
        </w:rPr>
        <w:t xml:space="preserve"> </w:t>
      </w:r>
    </w:p>
    <w:p w14:paraId="76080716">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1</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每年对仪器设备进行一次维护保养，对气态污染物采样系统进行一次维护清洗；</w:t>
      </w:r>
    </w:p>
    <w:p w14:paraId="015AA5D8">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2</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每年按照</w:t>
      </w:r>
      <w:r>
        <w:rPr>
          <w:rFonts w:hint="default" w:ascii="Times New Roman" w:hAnsi="Times New Roman" w:eastAsia="宋体" w:cs="Times New Roman"/>
          <w:sz w:val="24"/>
          <w:szCs w:val="32"/>
          <w:highlight w:val="none"/>
          <w:lang w:eastAsia="zh-CN"/>
        </w:rPr>
        <w:t>《</w:t>
      </w:r>
      <w:r>
        <w:rPr>
          <w:rFonts w:hint="default" w:ascii="Times New Roman" w:hAnsi="Times New Roman" w:eastAsia="宋体" w:cs="Times New Roman"/>
          <w:sz w:val="24"/>
          <w:szCs w:val="32"/>
          <w:highlight w:val="none"/>
          <w:lang w:val="en-US" w:eastAsia="zh-CN"/>
        </w:rPr>
        <w:t>国家环境空气监测网环境空气挥发性有机物连续自动监测质量控制技术规定（试行）</w:t>
      </w:r>
      <w:r>
        <w:rPr>
          <w:rFonts w:hint="default" w:ascii="Times New Roman" w:hAnsi="Times New Roman" w:eastAsia="宋体" w:cs="Times New Roman"/>
          <w:sz w:val="24"/>
          <w:szCs w:val="32"/>
          <w:highlight w:val="none"/>
          <w:lang w:eastAsia="zh-CN"/>
        </w:rPr>
        <w:t>》</w:t>
      </w:r>
      <w:r>
        <w:rPr>
          <w:rFonts w:hint="default" w:ascii="Times New Roman" w:hAnsi="Times New Roman" w:eastAsia="宋体" w:cs="Times New Roman"/>
          <w:sz w:val="24"/>
          <w:szCs w:val="32"/>
          <w:highlight w:val="none"/>
        </w:rPr>
        <w:t>性能指标要求对仪器进行全面检查，包括方法检出限、校准曲线、全系统空白、精密性、物种分离度等。</w:t>
      </w:r>
    </w:p>
    <w:p w14:paraId="617F6207">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7、考核要求</w:t>
      </w:r>
    </w:p>
    <w:p w14:paraId="1D91A7D5">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1</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运维记录、报告等按照上述技术需求中的内容与时间，交由采购人，报告未按要求提交，则按相关统计数据为零，进行相应扣款。</w:t>
      </w:r>
    </w:p>
    <w:p w14:paraId="410EF1CD">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2</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两率考核</w:t>
      </w:r>
      <w:r>
        <w:rPr>
          <w:rFonts w:hint="eastAsia" w:cs="Times New Roman"/>
          <w:sz w:val="24"/>
          <w:szCs w:val="32"/>
          <w:highlight w:val="none"/>
          <w:lang w:eastAsia="zh-CN"/>
        </w:rPr>
        <w:t>：</w:t>
      </w:r>
    </w:p>
    <w:p w14:paraId="4895DF90">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default" w:ascii="Times New Roman" w:hAnsi="Times New Roman" w:eastAsia="宋体" w:cs="Times New Roman"/>
          <w:sz w:val="24"/>
          <w:szCs w:val="32"/>
          <w:highlight w:val="none"/>
        </w:rPr>
        <w:t>①</w:t>
      </w:r>
      <w:r>
        <w:rPr>
          <w:rFonts w:hint="default" w:ascii="Times New Roman" w:hAnsi="Times New Roman" w:eastAsia="宋体" w:cs="Times New Roman"/>
          <w:sz w:val="24"/>
          <w:szCs w:val="32"/>
          <w:highlight w:val="none"/>
          <w:lang w:val="en-US" w:eastAsia="zh-CN"/>
        </w:rPr>
        <w:t xml:space="preserve"> </w:t>
      </w:r>
      <w:r>
        <w:rPr>
          <w:rFonts w:hint="default" w:ascii="Times New Roman" w:hAnsi="Times New Roman" w:eastAsia="宋体" w:cs="Times New Roman"/>
          <w:sz w:val="24"/>
          <w:szCs w:val="32"/>
          <w:highlight w:val="none"/>
        </w:rPr>
        <w:t>数据在线率</w:t>
      </w:r>
    </w:p>
    <w:p w14:paraId="2C9A0AB2">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default" w:ascii="Times New Roman" w:hAnsi="Times New Roman" w:eastAsia="宋体" w:cs="Times New Roman"/>
          <w:sz w:val="24"/>
          <w:szCs w:val="32"/>
          <w:highlight w:val="none"/>
        </w:rPr>
        <w:t>根据月报统计结果进行考核，单站设备运行率高于80%</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含</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时，才能按照以下条款对单站点数据有效率进行考核，低于80%，扣除该站点单月全额运维经费。</w:t>
      </w:r>
    </w:p>
    <w:p w14:paraId="44BD0C9A">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default" w:ascii="Times New Roman" w:hAnsi="Times New Roman" w:eastAsia="宋体" w:cs="Times New Roman"/>
          <w:sz w:val="24"/>
          <w:szCs w:val="32"/>
          <w:highlight w:val="none"/>
        </w:rPr>
        <w:t>②</w:t>
      </w:r>
      <w:r>
        <w:rPr>
          <w:rFonts w:hint="default" w:ascii="Times New Roman" w:hAnsi="Times New Roman" w:eastAsia="宋体" w:cs="Times New Roman"/>
          <w:sz w:val="24"/>
          <w:szCs w:val="32"/>
          <w:highlight w:val="none"/>
          <w:lang w:val="en-US" w:eastAsia="zh-CN"/>
        </w:rPr>
        <w:t xml:space="preserve"> </w:t>
      </w:r>
      <w:r>
        <w:rPr>
          <w:rFonts w:hint="default" w:ascii="Times New Roman" w:hAnsi="Times New Roman" w:eastAsia="宋体" w:cs="Times New Roman"/>
          <w:sz w:val="24"/>
          <w:szCs w:val="32"/>
          <w:highlight w:val="none"/>
        </w:rPr>
        <w:t>数据有效率</w:t>
      </w:r>
      <w:r>
        <w:rPr>
          <w:rFonts w:hint="eastAsia" w:cs="Times New Roman"/>
          <w:sz w:val="24"/>
          <w:szCs w:val="32"/>
          <w:highlight w:val="none"/>
          <w:lang w:eastAsia="zh-CN"/>
        </w:rPr>
        <w:t>。</w:t>
      </w:r>
    </w:p>
    <w:p w14:paraId="684BFC99">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rPr>
      </w:pPr>
      <w:r>
        <w:rPr>
          <w:rFonts w:hint="default" w:ascii="Times New Roman" w:hAnsi="Times New Roman" w:eastAsia="宋体" w:cs="Times New Roman"/>
          <w:sz w:val="24"/>
          <w:szCs w:val="32"/>
          <w:highlight w:val="none"/>
        </w:rPr>
        <w:t>单站监测数据有效率高于 80%</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含</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的，支付该站点当月全额运维经费单站监测数据有效率在 75%</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含</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-80%的，则按实际有效率*该站点单月全额运维经费支付</w:t>
      </w:r>
      <w:r>
        <w:rPr>
          <w:rFonts w:hint="eastAsia" w:cs="Times New Roman"/>
          <w:sz w:val="24"/>
          <w:szCs w:val="32"/>
          <w:highlight w:val="none"/>
          <w:lang w:eastAsia="zh-CN"/>
        </w:rPr>
        <w:t>；</w:t>
      </w:r>
    </w:p>
    <w:p w14:paraId="1D9A337E">
      <w:pPr>
        <w:keepNext w:val="0"/>
        <w:keepLines w:val="0"/>
        <w:pageBreakBefore w:val="0"/>
        <w:widowControl w:val="0"/>
        <w:kinsoku/>
        <w:wordWrap/>
        <w:overflowPunct/>
        <w:topLinePunct w:val="0"/>
        <w:autoSpaceDE/>
        <w:autoSpaceDN/>
        <w:bidi w:val="0"/>
        <w:adjustRightInd/>
        <w:snapToGrid w:val="0"/>
        <w:spacing w:line="360" w:lineRule="auto"/>
        <w:ind w:firstLine="527"/>
        <w:jc w:val="left"/>
        <w:textAlignment w:val="auto"/>
        <w:rPr>
          <w:rFonts w:hint="default" w:ascii="Times New Roman" w:hAnsi="Times New Roman" w:eastAsia="宋体" w:cs="Times New Roman"/>
          <w:sz w:val="24"/>
          <w:szCs w:val="32"/>
          <w:highlight w:val="none"/>
          <w:lang w:val="en-US" w:eastAsia="zh-CN"/>
        </w:rPr>
      </w:pPr>
      <w:r>
        <w:rPr>
          <w:rFonts w:hint="default" w:ascii="Times New Roman" w:hAnsi="Times New Roman" w:eastAsia="宋体" w:cs="Times New Roman"/>
          <w:sz w:val="24"/>
          <w:szCs w:val="32"/>
          <w:highlight w:val="none"/>
        </w:rPr>
        <w:t>单站点月均有效率&lt;75%，扣除该站点单月全额运维经费备注</w:t>
      </w:r>
      <w:r>
        <w:rPr>
          <w:rFonts w:hint="eastAsia" w:cs="Times New Roman"/>
          <w:sz w:val="24"/>
          <w:szCs w:val="32"/>
          <w:highlight w:val="none"/>
          <w:lang w:eastAsia="zh-CN"/>
        </w:rPr>
        <w:t>：</w:t>
      </w:r>
      <w:r>
        <w:rPr>
          <w:rFonts w:hint="default" w:ascii="Times New Roman" w:hAnsi="Times New Roman" w:eastAsia="宋体" w:cs="Times New Roman"/>
          <w:sz w:val="24"/>
          <w:szCs w:val="32"/>
          <w:highlight w:val="none"/>
        </w:rPr>
        <w:t>因不可抗力原因造成数据缺失的，不计入考核。</w:t>
      </w:r>
    </w:p>
    <w:p w14:paraId="5E8ECD51">
      <w:pPr>
        <w:bidi w:val="0"/>
        <w:rPr>
          <w:highlight w:val="none"/>
        </w:rPr>
      </w:pPr>
    </w:p>
    <w:p w14:paraId="00FC53CB">
      <w:pPr>
        <w:rPr>
          <w:highlight w:val="none"/>
        </w:rPr>
      </w:pPr>
      <w:r>
        <w:rPr>
          <w:highlight w:val="none"/>
        </w:rPr>
        <w:br w:type="page"/>
      </w:r>
    </w:p>
    <w:p w14:paraId="5B880334">
      <w:pPr>
        <w:numPr>
          <w:ilvl w:val="0"/>
          <w:numId w:val="7"/>
        </w:numPr>
        <w:jc w:val="center"/>
        <w:outlineLvl w:val="0"/>
        <w:rPr>
          <w:rFonts w:ascii="黑体" w:hAnsi="宋体" w:eastAsia="黑体"/>
          <w:b/>
          <w:color w:val="000000" w:themeColor="text1"/>
          <w:sz w:val="30"/>
          <w:szCs w:val="30"/>
          <w:highlight w:val="none"/>
          <w14:textFill>
            <w14:solidFill>
              <w14:schemeClr w14:val="tx1"/>
            </w14:solidFill>
          </w14:textFill>
        </w:rPr>
      </w:pPr>
      <w:bookmarkStart w:id="133" w:name="_Toc28461"/>
      <w:bookmarkStart w:id="134" w:name="_Toc185323384"/>
      <w:bookmarkStart w:id="135" w:name="_Toc31129"/>
      <w:r>
        <w:rPr>
          <w:rFonts w:hint="eastAsia" w:ascii="黑体" w:hAnsi="宋体" w:eastAsia="黑体"/>
          <w:b/>
          <w:color w:val="000000" w:themeColor="text1"/>
          <w:sz w:val="30"/>
          <w:szCs w:val="30"/>
          <w:highlight w:val="none"/>
          <w14:textFill>
            <w14:solidFill>
              <w14:schemeClr w14:val="tx1"/>
            </w14:solidFill>
          </w14:textFill>
        </w:rPr>
        <w:t>磋商响应文件</w:t>
      </w:r>
      <w:bookmarkEnd w:id="133"/>
      <w:bookmarkEnd w:id="134"/>
      <w:bookmarkEnd w:id="135"/>
    </w:p>
    <w:p w14:paraId="04D5FD47">
      <w:pPr>
        <w:jc w:val="left"/>
        <w:outlineLvl w:val="0"/>
        <w:rPr>
          <w:rFonts w:ascii="黑体" w:hAnsi="宋体" w:eastAsia="黑体"/>
          <w:b/>
          <w:color w:val="000000" w:themeColor="text1"/>
          <w:sz w:val="30"/>
          <w:szCs w:val="30"/>
          <w:highlight w:val="none"/>
          <w14:textFill>
            <w14:solidFill>
              <w14:schemeClr w14:val="tx1"/>
            </w14:solidFill>
          </w14:textFill>
        </w:rPr>
      </w:pPr>
    </w:p>
    <w:p w14:paraId="0B07F910">
      <w:pPr>
        <w:jc w:val="left"/>
        <w:outlineLvl w:val="0"/>
        <w:rPr>
          <w:rFonts w:ascii="黑体" w:hAnsi="宋体" w:eastAsia="黑体"/>
          <w:b/>
          <w:color w:val="000000" w:themeColor="text1"/>
          <w:sz w:val="30"/>
          <w:szCs w:val="30"/>
          <w:highlight w:val="none"/>
          <w14:textFill>
            <w14:solidFill>
              <w14:schemeClr w14:val="tx1"/>
            </w14:solidFill>
          </w14:textFill>
        </w:rPr>
      </w:pPr>
    </w:p>
    <w:p w14:paraId="61C6731D">
      <w:pPr>
        <w:jc w:val="left"/>
        <w:outlineLvl w:val="0"/>
        <w:rPr>
          <w:rFonts w:ascii="黑体" w:hAnsi="宋体" w:eastAsia="黑体"/>
          <w:b/>
          <w:color w:val="000000" w:themeColor="text1"/>
          <w:sz w:val="30"/>
          <w:szCs w:val="30"/>
          <w:highlight w:val="none"/>
          <w14:textFill>
            <w14:solidFill>
              <w14:schemeClr w14:val="tx1"/>
            </w14:solidFill>
          </w14:textFill>
        </w:rPr>
      </w:pPr>
    </w:p>
    <w:p w14:paraId="53F8D7A6">
      <w:pPr>
        <w:spacing w:line="360" w:lineRule="auto"/>
        <w:jc w:val="center"/>
        <w:rPr>
          <w:rFonts w:ascii="宋体" w:hAnsi="宋体" w:cs="宋体"/>
          <w:b/>
          <w:color w:val="000000" w:themeColor="text1"/>
          <w:sz w:val="72"/>
          <w:highlight w:val="none"/>
          <w14:textFill>
            <w14:solidFill>
              <w14:schemeClr w14:val="tx1"/>
            </w14:solidFill>
          </w14:textFill>
        </w:rPr>
      </w:pPr>
      <w:r>
        <w:rPr>
          <w:rFonts w:hint="eastAsia" w:ascii="宋体" w:hAnsi="宋体" w:cs="宋体"/>
          <w:b/>
          <w:color w:val="000000" w:themeColor="text1"/>
          <w:sz w:val="72"/>
          <w:highlight w:val="none"/>
          <w14:textFill>
            <w14:solidFill>
              <w14:schemeClr w14:val="tx1"/>
            </w14:solidFill>
          </w14:textFill>
        </w:rPr>
        <w:t>竞争性磋商文件</w:t>
      </w:r>
    </w:p>
    <w:p w14:paraId="6A851AB4">
      <w:pPr>
        <w:spacing w:line="360" w:lineRule="auto"/>
        <w:ind w:firstLine="3708" w:firstLineChars="1026"/>
        <w:jc w:val="left"/>
        <w:rPr>
          <w:rFonts w:ascii="宋体" w:hAnsi="宋体" w:cs="宋体"/>
          <w:b/>
          <w:color w:val="000000" w:themeColor="text1"/>
          <w:sz w:val="36"/>
          <w:highlight w:val="none"/>
          <w14:textFill>
            <w14:solidFill>
              <w14:schemeClr w14:val="tx1"/>
            </w14:solidFill>
          </w14:textFill>
        </w:rPr>
      </w:pPr>
    </w:p>
    <w:p w14:paraId="3ABD751D">
      <w:pPr>
        <w:spacing w:line="360" w:lineRule="auto"/>
        <w:jc w:val="left"/>
        <w:rPr>
          <w:rFonts w:ascii="宋体" w:hAnsi="宋体" w:cs="宋体"/>
          <w:b/>
          <w:color w:val="000000" w:themeColor="text1"/>
          <w:sz w:val="36"/>
          <w:highlight w:val="none"/>
          <w14:textFill>
            <w14:solidFill>
              <w14:schemeClr w14:val="tx1"/>
            </w14:solidFill>
          </w14:textFill>
        </w:rPr>
      </w:pPr>
    </w:p>
    <w:p w14:paraId="0C0B050B">
      <w:pPr>
        <w:spacing w:line="360" w:lineRule="auto"/>
        <w:jc w:val="left"/>
        <w:rPr>
          <w:rFonts w:ascii="宋体" w:hAnsi="宋体" w:cs="宋体"/>
          <w:b/>
          <w:color w:val="000000" w:themeColor="text1"/>
          <w:sz w:val="36"/>
          <w:highlight w:val="none"/>
          <w14:textFill>
            <w14:solidFill>
              <w14:schemeClr w14:val="tx1"/>
            </w14:solidFill>
          </w14:textFill>
        </w:rPr>
      </w:pPr>
    </w:p>
    <w:p w14:paraId="7A9C721B">
      <w:pPr>
        <w:spacing w:line="360" w:lineRule="auto"/>
        <w:jc w:val="left"/>
        <w:rPr>
          <w:rFonts w:ascii="宋体" w:hAnsi="宋体" w:cs="宋体"/>
          <w:b/>
          <w:color w:val="000000" w:themeColor="text1"/>
          <w:sz w:val="36"/>
          <w:highlight w:val="none"/>
          <w14:textFill>
            <w14:solidFill>
              <w14:schemeClr w14:val="tx1"/>
            </w14:solidFill>
          </w14:textFill>
        </w:rPr>
      </w:pPr>
    </w:p>
    <w:p w14:paraId="5C20643C">
      <w:pPr>
        <w:spacing w:line="360" w:lineRule="auto"/>
        <w:ind w:firstLine="1446" w:firstLineChars="400"/>
        <w:jc w:val="left"/>
        <w:rPr>
          <w:rFonts w:ascii="宋体" w:hAnsi="宋体" w:cs="宋体"/>
          <w:b/>
          <w:color w:val="000000" w:themeColor="text1"/>
          <w:sz w:val="36"/>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 xml:space="preserve">项 目 编号： </w:t>
      </w:r>
      <w:r>
        <w:rPr>
          <w:rFonts w:hint="eastAsia" w:ascii="宋体" w:hAnsi="宋体" w:cs="宋体"/>
          <w:b/>
          <w:color w:val="000000" w:themeColor="text1"/>
          <w:sz w:val="36"/>
          <w:highlight w:val="none"/>
          <w:u w:val="single"/>
          <w14:textFill>
            <w14:solidFill>
              <w14:schemeClr w14:val="tx1"/>
            </w14:solidFill>
          </w14:textFill>
        </w:rPr>
        <w:t xml:space="preserve">                </w:t>
      </w:r>
    </w:p>
    <w:p w14:paraId="0C902672">
      <w:pPr>
        <w:spacing w:line="360" w:lineRule="auto"/>
        <w:ind w:firstLine="1446" w:firstLineChars="400"/>
        <w:jc w:val="left"/>
        <w:rPr>
          <w:rFonts w:ascii="宋体" w:hAnsi="宋体" w:cs="宋体"/>
          <w:b/>
          <w:color w:val="000000" w:themeColor="text1"/>
          <w:sz w:val="36"/>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 xml:space="preserve">项 目 名称： </w:t>
      </w:r>
      <w:r>
        <w:rPr>
          <w:rFonts w:hint="eastAsia" w:ascii="宋体" w:hAnsi="宋体" w:cs="宋体"/>
          <w:b/>
          <w:color w:val="000000" w:themeColor="text1"/>
          <w:sz w:val="36"/>
          <w:highlight w:val="none"/>
          <w:u w:val="single"/>
          <w14:textFill>
            <w14:solidFill>
              <w14:schemeClr w14:val="tx1"/>
            </w14:solidFill>
          </w14:textFill>
        </w:rPr>
        <w:t xml:space="preserve">                </w:t>
      </w:r>
    </w:p>
    <w:p w14:paraId="76373BC6">
      <w:pPr>
        <w:spacing w:line="360" w:lineRule="auto"/>
        <w:jc w:val="left"/>
        <w:rPr>
          <w:rFonts w:ascii="宋体" w:hAnsi="宋体" w:cs="宋体"/>
          <w:b/>
          <w:color w:val="000000" w:themeColor="text1"/>
          <w:sz w:val="36"/>
          <w:highlight w:val="none"/>
          <w14:textFill>
            <w14:solidFill>
              <w14:schemeClr w14:val="tx1"/>
            </w14:solidFill>
          </w14:textFill>
        </w:rPr>
      </w:pPr>
    </w:p>
    <w:p w14:paraId="683774FC">
      <w:pPr>
        <w:spacing w:line="360" w:lineRule="auto"/>
        <w:jc w:val="left"/>
        <w:rPr>
          <w:rFonts w:ascii="宋体" w:hAnsi="宋体" w:cs="宋体"/>
          <w:b/>
          <w:color w:val="000000" w:themeColor="text1"/>
          <w:sz w:val="36"/>
          <w:highlight w:val="none"/>
          <w14:textFill>
            <w14:solidFill>
              <w14:schemeClr w14:val="tx1"/>
            </w14:solidFill>
          </w14:textFill>
        </w:rPr>
      </w:pPr>
    </w:p>
    <w:p w14:paraId="6F3FA8E3">
      <w:pPr>
        <w:spacing w:line="360" w:lineRule="auto"/>
        <w:jc w:val="left"/>
        <w:rPr>
          <w:rFonts w:ascii="宋体" w:hAnsi="宋体" w:cs="宋体"/>
          <w:b/>
          <w:color w:val="000000" w:themeColor="text1"/>
          <w:sz w:val="36"/>
          <w:highlight w:val="none"/>
          <w14:textFill>
            <w14:solidFill>
              <w14:schemeClr w14:val="tx1"/>
            </w14:solidFill>
          </w14:textFill>
        </w:rPr>
      </w:pPr>
    </w:p>
    <w:p w14:paraId="41F7B378">
      <w:pPr>
        <w:spacing w:line="360" w:lineRule="auto"/>
        <w:jc w:val="left"/>
        <w:rPr>
          <w:rFonts w:ascii="宋体" w:hAnsi="宋体" w:cs="宋体"/>
          <w:b/>
          <w:color w:val="000000" w:themeColor="text1"/>
          <w:sz w:val="36"/>
          <w:highlight w:val="none"/>
          <w14:textFill>
            <w14:solidFill>
              <w14:schemeClr w14:val="tx1"/>
            </w14:solidFill>
          </w14:textFill>
        </w:rPr>
      </w:pPr>
    </w:p>
    <w:p w14:paraId="367CB49C">
      <w:pPr>
        <w:spacing w:line="360" w:lineRule="auto"/>
        <w:jc w:val="left"/>
        <w:rPr>
          <w:rFonts w:ascii="宋体" w:hAnsi="宋体" w:cs="宋体"/>
          <w:b/>
          <w:color w:val="000000" w:themeColor="text1"/>
          <w:sz w:val="36"/>
          <w:highlight w:val="none"/>
          <w14:textFill>
            <w14:solidFill>
              <w14:schemeClr w14:val="tx1"/>
            </w14:solidFill>
          </w14:textFill>
        </w:rPr>
      </w:pPr>
    </w:p>
    <w:p w14:paraId="78D03A95">
      <w:pPr>
        <w:spacing w:line="360" w:lineRule="auto"/>
        <w:jc w:val="left"/>
        <w:rPr>
          <w:rFonts w:ascii="宋体" w:hAnsi="宋体" w:cs="宋体"/>
          <w:b/>
          <w:color w:val="000000" w:themeColor="text1"/>
          <w:sz w:val="36"/>
          <w:highlight w:val="none"/>
          <w14:textFill>
            <w14:solidFill>
              <w14:schemeClr w14:val="tx1"/>
            </w14:solidFill>
          </w14:textFill>
        </w:rPr>
      </w:pPr>
    </w:p>
    <w:p w14:paraId="1B3FD712">
      <w:pPr>
        <w:spacing w:line="360" w:lineRule="auto"/>
        <w:jc w:val="left"/>
        <w:rPr>
          <w:rFonts w:ascii="宋体" w:hAnsi="宋体" w:cs="宋体"/>
          <w:b/>
          <w:color w:val="000000" w:themeColor="text1"/>
          <w:sz w:val="36"/>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 xml:space="preserve">       供应商名称 ：</w:t>
      </w:r>
      <w:r>
        <w:rPr>
          <w:rFonts w:hint="eastAsia" w:ascii="宋体" w:hAnsi="宋体" w:cs="宋体"/>
          <w:b/>
          <w:color w:val="000000" w:themeColor="text1"/>
          <w:sz w:val="36"/>
          <w:highlight w:val="none"/>
          <w:u w:val="single"/>
          <w14:textFill>
            <w14:solidFill>
              <w14:schemeClr w14:val="tx1"/>
            </w14:solidFill>
          </w14:textFill>
        </w:rPr>
        <w:t xml:space="preserve">                  </w:t>
      </w:r>
    </w:p>
    <w:p w14:paraId="77F28449">
      <w:pPr>
        <w:spacing w:line="360" w:lineRule="auto"/>
        <w:jc w:val="left"/>
        <w:rPr>
          <w:rFonts w:ascii="宋体" w:hAnsi="宋体" w:cs="宋体"/>
          <w:b/>
          <w:bCs/>
          <w:color w:val="000000" w:themeColor="text1"/>
          <w:sz w:val="44"/>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 xml:space="preserve">       日      期 ：</w:t>
      </w:r>
      <w:r>
        <w:rPr>
          <w:rFonts w:hint="eastAsia" w:ascii="宋体" w:hAnsi="宋体" w:cs="宋体"/>
          <w:b/>
          <w:color w:val="000000" w:themeColor="text1"/>
          <w:sz w:val="36"/>
          <w:highlight w:val="none"/>
          <w:u w:val="single"/>
          <w14:textFill>
            <w14:solidFill>
              <w14:schemeClr w14:val="tx1"/>
            </w14:solidFill>
          </w14:textFill>
        </w:rPr>
        <w:t xml:space="preserve">                  </w:t>
      </w:r>
    </w:p>
    <w:p w14:paraId="2E244A80">
      <w:pPr>
        <w:jc w:val="left"/>
        <w:outlineLvl w:val="1"/>
        <w:rPr>
          <w:rFonts w:ascii="宋体" w:hAnsi="宋体"/>
          <w:b/>
          <w:color w:val="000000" w:themeColor="text1"/>
          <w:szCs w:val="21"/>
          <w:highlight w:val="none"/>
          <w14:textFill>
            <w14:solidFill>
              <w14:schemeClr w14:val="tx1"/>
            </w14:solidFill>
          </w14:textFill>
        </w:rPr>
      </w:pPr>
    </w:p>
    <w:p w14:paraId="490A2608">
      <w:pPr>
        <w:jc w:val="left"/>
        <w:outlineLvl w:val="1"/>
        <w:rPr>
          <w:rFonts w:ascii="宋体" w:hAnsi="宋体"/>
          <w:b/>
          <w:color w:val="000000" w:themeColor="text1"/>
          <w:szCs w:val="21"/>
          <w:highlight w:val="none"/>
          <w14:textFill>
            <w14:solidFill>
              <w14:schemeClr w14:val="tx1"/>
            </w14:solidFill>
          </w14:textFill>
        </w:rPr>
      </w:pPr>
    </w:p>
    <w:p w14:paraId="271BB6BD">
      <w:pPr>
        <w:jc w:val="left"/>
        <w:outlineLvl w:val="1"/>
        <w:rPr>
          <w:rFonts w:ascii="宋体" w:hAnsi="宋体"/>
          <w:b/>
          <w:color w:val="000000" w:themeColor="text1"/>
          <w:szCs w:val="21"/>
          <w:highlight w:val="none"/>
          <w14:textFill>
            <w14:solidFill>
              <w14:schemeClr w14:val="tx1"/>
            </w14:solidFill>
          </w14:textFill>
        </w:rPr>
      </w:pPr>
    </w:p>
    <w:p w14:paraId="0FB84460">
      <w:pP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br w:type="page"/>
      </w:r>
    </w:p>
    <w:p w14:paraId="023812D4">
      <w:pPr>
        <w:jc w:val="left"/>
        <w:outlineLvl w:val="1"/>
        <w:rPr>
          <w:rFonts w:ascii="宋体" w:hAnsi="宋体"/>
          <w:b/>
          <w:color w:val="000000" w:themeColor="text1"/>
          <w:szCs w:val="21"/>
          <w:highlight w:val="none"/>
          <w14:textFill>
            <w14:solidFill>
              <w14:schemeClr w14:val="tx1"/>
            </w14:solidFill>
          </w14:textFill>
        </w:rPr>
      </w:pPr>
    </w:p>
    <w:p w14:paraId="6D1428F7">
      <w:pPr>
        <w:spacing w:line="360" w:lineRule="auto"/>
        <w:jc w:val="center"/>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评分索引表</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697"/>
      </w:tblGrid>
      <w:tr w14:paraId="526A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20" w:type="dxa"/>
            <w:vAlign w:val="center"/>
          </w:tcPr>
          <w:p w14:paraId="0E7F06D3">
            <w:pPr>
              <w:pStyle w:val="141"/>
              <w:shd w:val="clear" w:color="auto" w:fill="FFFFFF"/>
              <w:spacing w:line="360" w:lineRule="auto"/>
              <w:ind w:firstLine="0" w:firstLineChars="0"/>
              <w:jc w:val="center"/>
              <w:rPr>
                <w:rFonts w:ascii="宋体" w:hAnsi="宋体" w:cs="宋体"/>
                <w:b/>
                <w:bCs/>
                <w:color w:val="000000" w:themeColor="text1"/>
                <w:sz w:val="24"/>
                <w:szCs w:val="21"/>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评分项目</w:t>
            </w:r>
          </w:p>
        </w:tc>
        <w:tc>
          <w:tcPr>
            <w:tcW w:w="4697" w:type="dxa"/>
            <w:vAlign w:val="center"/>
          </w:tcPr>
          <w:p w14:paraId="3DF8F0A6">
            <w:pPr>
              <w:spacing w:line="360" w:lineRule="auto"/>
              <w:jc w:val="center"/>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
                <w:color w:val="000000" w:themeColor="text1"/>
                <w:kern w:val="0"/>
                <w:sz w:val="24"/>
                <w:szCs w:val="21"/>
                <w:highlight w:val="none"/>
                <w:lang w:bidi="en-US"/>
                <w14:textFill>
                  <w14:solidFill>
                    <w14:schemeClr w14:val="tx1"/>
                  </w14:solidFill>
                </w14:textFill>
              </w:rPr>
              <w:t>在投标文件中的页码位置</w:t>
            </w:r>
          </w:p>
        </w:tc>
      </w:tr>
      <w:tr w14:paraId="4A03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820" w:type="dxa"/>
            <w:vAlign w:val="center"/>
          </w:tcPr>
          <w:p w14:paraId="4B5647A2">
            <w:pPr>
              <w:pStyle w:val="141"/>
              <w:shd w:val="clear" w:color="auto" w:fill="FFFFFF"/>
              <w:spacing w:line="360" w:lineRule="auto"/>
              <w:ind w:left="1442" w:firstLine="482"/>
              <w:jc w:val="center"/>
              <w:rPr>
                <w:rFonts w:ascii="宋体" w:hAnsi="宋体" w:cs="宋体"/>
                <w:b/>
                <w:color w:val="000000" w:themeColor="text1"/>
                <w:sz w:val="24"/>
                <w:szCs w:val="21"/>
                <w:highlight w:val="none"/>
                <w14:textFill>
                  <w14:solidFill>
                    <w14:schemeClr w14:val="tx1"/>
                  </w14:solidFill>
                </w14:textFill>
              </w:rPr>
            </w:pPr>
          </w:p>
        </w:tc>
        <w:tc>
          <w:tcPr>
            <w:tcW w:w="4697" w:type="dxa"/>
            <w:vAlign w:val="center"/>
          </w:tcPr>
          <w:p w14:paraId="7A9BADCE">
            <w:pPr>
              <w:spacing w:line="360" w:lineRule="auto"/>
              <w:jc w:val="left"/>
              <w:rPr>
                <w:rFonts w:ascii="宋体" w:hAnsi="宋体" w:cs="宋体"/>
                <w:b/>
                <w:color w:val="000000" w:themeColor="text1"/>
                <w:kern w:val="0"/>
                <w:sz w:val="24"/>
                <w:szCs w:val="21"/>
                <w:highlight w:val="none"/>
                <w:lang w:bidi="en-US"/>
                <w14:textFill>
                  <w14:solidFill>
                    <w14:schemeClr w14:val="tx1"/>
                  </w14:solidFill>
                </w14:textFill>
              </w:rPr>
            </w:pPr>
          </w:p>
        </w:tc>
      </w:tr>
      <w:tr w14:paraId="6277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820" w:type="dxa"/>
            <w:vAlign w:val="center"/>
          </w:tcPr>
          <w:p w14:paraId="64D7AEFA">
            <w:pPr>
              <w:pStyle w:val="141"/>
              <w:shd w:val="clear" w:color="auto" w:fill="FFFFFF"/>
              <w:spacing w:line="360" w:lineRule="auto"/>
              <w:ind w:left="1440" w:firstLine="480"/>
              <w:jc w:val="center"/>
              <w:rPr>
                <w:rFonts w:ascii="宋体" w:hAnsi="宋体" w:cs="宋体"/>
                <w:color w:val="000000" w:themeColor="text1"/>
                <w:sz w:val="24"/>
                <w:szCs w:val="21"/>
                <w:highlight w:val="none"/>
                <w14:textFill>
                  <w14:solidFill>
                    <w14:schemeClr w14:val="tx1"/>
                  </w14:solidFill>
                </w14:textFill>
              </w:rPr>
            </w:pPr>
          </w:p>
        </w:tc>
        <w:tc>
          <w:tcPr>
            <w:tcW w:w="4697" w:type="dxa"/>
            <w:vAlign w:val="center"/>
          </w:tcPr>
          <w:p w14:paraId="58F25D91">
            <w:pPr>
              <w:spacing w:line="360" w:lineRule="auto"/>
              <w:jc w:val="left"/>
              <w:rPr>
                <w:rFonts w:ascii="宋体" w:hAnsi="宋体" w:cs="宋体"/>
                <w:color w:val="000000" w:themeColor="text1"/>
                <w:sz w:val="24"/>
                <w:szCs w:val="21"/>
                <w:highlight w:val="none"/>
                <w14:textFill>
                  <w14:solidFill>
                    <w14:schemeClr w14:val="tx1"/>
                  </w14:solidFill>
                </w14:textFill>
              </w:rPr>
            </w:pPr>
          </w:p>
        </w:tc>
      </w:tr>
      <w:tr w14:paraId="5A23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820" w:type="dxa"/>
            <w:vAlign w:val="center"/>
          </w:tcPr>
          <w:p w14:paraId="25C3E493">
            <w:pPr>
              <w:pStyle w:val="141"/>
              <w:shd w:val="clear" w:color="auto" w:fill="FFFFFF"/>
              <w:spacing w:line="360" w:lineRule="auto"/>
              <w:ind w:left="1440" w:firstLine="480"/>
              <w:jc w:val="center"/>
              <w:rPr>
                <w:rFonts w:ascii="宋体" w:hAnsi="宋体" w:cs="宋体"/>
                <w:color w:val="000000" w:themeColor="text1"/>
                <w:sz w:val="24"/>
                <w:szCs w:val="21"/>
                <w:highlight w:val="none"/>
                <w14:textFill>
                  <w14:solidFill>
                    <w14:schemeClr w14:val="tx1"/>
                  </w14:solidFill>
                </w14:textFill>
              </w:rPr>
            </w:pPr>
          </w:p>
        </w:tc>
        <w:tc>
          <w:tcPr>
            <w:tcW w:w="4697" w:type="dxa"/>
            <w:vAlign w:val="center"/>
          </w:tcPr>
          <w:p w14:paraId="4D09F999">
            <w:pPr>
              <w:spacing w:line="360" w:lineRule="auto"/>
              <w:jc w:val="left"/>
              <w:rPr>
                <w:rFonts w:ascii="宋体" w:hAnsi="宋体" w:cs="宋体"/>
                <w:color w:val="000000" w:themeColor="text1"/>
                <w:sz w:val="24"/>
                <w:szCs w:val="21"/>
                <w:highlight w:val="none"/>
                <w14:textFill>
                  <w14:solidFill>
                    <w14:schemeClr w14:val="tx1"/>
                  </w14:solidFill>
                </w14:textFill>
              </w:rPr>
            </w:pPr>
          </w:p>
        </w:tc>
      </w:tr>
      <w:tr w14:paraId="3552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20" w:type="dxa"/>
            <w:vAlign w:val="center"/>
          </w:tcPr>
          <w:p w14:paraId="5B17269E">
            <w:pPr>
              <w:pStyle w:val="141"/>
              <w:shd w:val="clear" w:color="auto" w:fill="FFFFFF"/>
              <w:spacing w:line="360" w:lineRule="auto"/>
              <w:ind w:firstLine="0" w:firstLineChars="0"/>
              <w:jc w:val="center"/>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行数不够，自行添加</w:t>
            </w:r>
          </w:p>
        </w:tc>
        <w:tc>
          <w:tcPr>
            <w:tcW w:w="4697" w:type="dxa"/>
            <w:vAlign w:val="center"/>
          </w:tcPr>
          <w:p w14:paraId="1AF52B6D">
            <w:pPr>
              <w:spacing w:line="360" w:lineRule="auto"/>
              <w:jc w:val="left"/>
              <w:rPr>
                <w:rFonts w:ascii="宋体" w:hAnsi="宋体" w:cs="宋体"/>
                <w:color w:val="000000" w:themeColor="text1"/>
                <w:sz w:val="24"/>
                <w:szCs w:val="21"/>
                <w:highlight w:val="none"/>
                <w14:textFill>
                  <w14:solidFill>
                    <w14:schemeClr w14:val="tx1"/>
                  </w14:solidFill>
                </w14:textFill>
              </w:rPr>
            </w:pPr>
          </w:p>
        </w:tc>
      </w:tr>
    </w:tbl>
    <w:p w14:paraId="18CEF06C">
      <w:pPr>
        <w:spacing w:line="360" w:lineRule="auto"/>
        <w:jc w:val="left"/>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注：建议投标供应商为《投标书》制作详细目录，并将该《评分索引表》放在投标书目录之前。</w:t>
      </w:r>
    </w:p>
    <w:p w14:paraId="46CBFE2E">
      <w:pPr>
        <w:jc w:val="left"/>
        <w:outlineLvl w:val="1"/>
        <w:rPr>
          <w:rFonts w:ascii="宋体" w:hAnsi="宋体"/>
          <w:b/>
          <w:color w:val="000000" w:themeColor="text1"/>
          <w:sz w:val="24"/>
          <w:szCs w:val="21"/>
          <w:highlight w:val="none"/>
          <w14:textFill>
            <w14:solidFill>
              <w14:schemeClr w14:val="tx1"/>
            </w14:solidFill>
          </w14:textFill>
        </w:rPr>
      </w:pPr>
    </w:p>
    <w:p w14:paraId="481B1CCA">
      <w:pPr>
        <w:jc w:val="left"/>
        <w:outlineLvl w:val="1"/>
        <w:rPr>
          <w:rFonts w:ascii="宋体" w:hAnsi="宋体"/>
          <w:b/>
          <w:color w:val="000000" w:themeColor="text1"/>
          <w:sz w:val="24"/>
          <w:szCs w:val="21"/>
          <w:highlight w:val="none"/>
          <w14:textFill>
            <w14:solidFill>
              <w14:schemeClr w14:val="tx1"/>
            </w14:solidFill>
          </w14:textFill>
        </w:rPr>
      </w:pPr>
    </w:p>
    <w:p w14:paraId="6064C795">
      <w:pPr>
        <w:jc w:val="left"/>
        <w:outlineLvl w:val="1"/>
        <w:rPr>
          <w:rFonts w:ascii="宋体" w:hAnsi="宋体"/>
          <w:b/>
          <w:color w:val="000000" w:themeColor="text1"/>
          <w:sz w:val="24"/>
          <w:szCs w:val="21"/>
          <w:highlight w:val="none"/>
          <w14:textFill>
            <w14:solidFill>
              <w14:schemeClr w14:val="tx1"/>
            </w14:solidFill>
          </w14:textFill>
        </w:rPr>
      </w:pPr>
    </w:p>
    <w:p w14:paraId="286EEB6F">
      <w:pPr>
        <w:jc w:val="left"/>
        <w:outlineLvl w:val="1"/>
        <w:rPr>
          <w:rFonts w:ascii="宋体" w:hAnsi="宋体"/>
          <w:b/>
          <w:color w:val="000000" w:themeColor="text1"/>
          <w:sz w:val="24"/>
          <w:szCs w:val="21"/>
          <w:highlight w:val="none"/>
          <w14:textFill>
            <w14:solidFill>
              <w14:schemeClr w14:val="tx1"/>
            </w14:solidFill>
          </w14:textFill>
        </w:rPr>
      </w:pPr>
    </w:p>
    <w:p w14:paraId="1AED66D1">
      <w:pPr>
        <w:jc w:val="left"/>
        <w:outlineLvl w:val="1"/>
        <w:rPr>
          <w:rFonts w:ascii="宋体" w:hAnsi="宋体"/>
          <w:b/>
          <w:color w:val="000000" w:themeColor="text1"/>
          <w:sz w:val="24"/>
          <w:szCs w:val="21"/>
          <w:highlight w:val="none"/>
          <w14:textFill>
            <w14:solidFill>
              <w14:schemeClr w14:val="tx1"/>
            </w14:solidFill>
          </w14:textFill>
        </w:rPr>
      </w:pPr>
    </w:p>
    <w:p w14:paraId="761A825A">
      <w:pPr>
        <w:jc w:val="left"/>
        <w:outlineLvl w:val="1"/>
        <w:rPr>
          <w:rFonts w:ascii="宋体" w:hAnsi="宋体"/>
          <w:b/>
          <w:color w:val="000000" w:themeColor="text1"/>
          <w:sz w:val="24"/>
          <w:szCs w:val="21"/>
          <w:highlight w:val="none"/>
          <w14:textFill>
            <w14:solidFill>
              <w14:schemeClr w14:val="tx1"/>
            </w14:solidFill>
          </w14:textFill>
        </w:rPr>
      </w:pPr>
    </w:p>
    <w:p w14:paraId="031EF917">
      <w:pPr>
        <w:jc w:val="left"/>
        <w:outlineLvl w:val="1"/>
        <w:rPr>
          <w:rFonts w:ascii="宋体" w:hAnsi="宋体"/>
          <w:b/>
          <w:color w:val="000000" w:themeColor="text1"/>
          <w:sz w:val="24"/>
          <w:szCs w:val="21"/>
          <w:highlight w:val="none"/>
          <w14:textFill>
            <w14:solidFill>
              <w14:schemeClr w14:val="tx1"/>
            </w14:solidFill>
          </w14:textFill>
        </w:rPr>
      </w:pPr>
    </w:p>
    <w:p w14:paraId="2D0D7285">
      <w:pPr>
        <w:jc w:val="left"/>
        <w:outlineLvl w:val="1"/>
        <w:rPr>
          <w:rFonts w:ascii="宋体" w:hAnsi="宋体"/>
          <w:b/>
          <w:color w:val="000000" w:themeColor="text1"/>
          <w:sz w:val="24"/>
          <w:szCs w:val="21"/>
          <w:highlight w:val="none"/>
          <w14:textFill>
            <w14:solidFill>
              <w14:schemeClr w14:val="tx1"/>
            </w14:solidFill>
          </w14:textFill>
        </w:rPr>
      </w:pPr>
    </w:p>
    <w:p w14:paraId="503B5067">
      <w:pPr>
        <w:jc w:val="left"/>
        <w:outlineLvl w:val="1"/>
        <w:rPr>
          <w:rFonts w:ascii="宋体" w:hAnsi="宋体"/>
          <w:b/>
          <w:color w:val="000000" w:themeColor="text1"/>
          <w:sz w:val="24"/>
          <w:szCs w:val="21"/>
          <w:highlight w:val="none"/>
          <w14:textFill>
            <w14:solidFill>
              <w14:schemeClr w14:val="tx1"/>
            </w14:solidFill>
          </w14:textFill>
        </w:rPr>
      </w:pPr>
    </w:p>
    <w:p w14:paraId="7AADA8F7">
      <w:pPr>
        <w:jc w:val="left"/>
        <w:outlineLvl w:val="1"/>
        <w:rPr>
          <w:rFonts w:ascii="宋体" w:hAnsi="宋体"/>
          <w:b/>
          <w:color w:val="000000" w:themeColor="text1"/>
          <w:sz w:val="24"/>
          <w:szCs w:val="21"/>
          <w:highlight w:val="none"/>
          <w14:textFill>
            <w14:solidFill>
              <w14:schemeClr w14:val="tx1"/>
            </w14:solidFill>
          </w14:textFill>
        </w:rPr>
      </w:pPr>
    </w:p>
    <w:p w14:paraId="04B3B6D7">
      <w:pPr>
        <w:jc w:val="left"/>
        <w:outlineLvl w:val="1"/>
        <w:rPr>
          <w:rFonts w:ascii="宋体" w:hAnsi="宋体"/>
          <w:b/>
          <w:color w:val="000000" w:themeColor="text1"/>
          <w:sz w:val="24"/>
          <w:szCs w:val="21"/>
          <w:highlight w:val="none"/>
          <w14:textFill>
            <w14:solidFill>
              <w14:schemeClr w14:val="tx1"/>
            </w14:solidFill>
          </w14:textFill>
        </w:rPr>
      </w:pPr>
    </w:p>
    <w:p w14:paraId="3E2A375D">
      <w:pPr>
        <w:jc w:val="left"/>
        <w:outlineLvl w:val="1"/>
        <w:rPr>
          <w:rFonts w:ascii="宋体" w:hAnsi="宋体"/>
          <w:b/>
          <w:color w:val="000000" w:themeColor="text1"/>
          <w:sz w:val="24"/>
          <w:szCs w:val="21"/>
          <w:highlight w:val="none"/>
          <w14:textFill>
            <w14:solidFill>
              <w14:schemeClr w14:val="tx1"/>
            </w14:solidFill>
          </w14:textFill>
        </w:rPr>
      </w:pPr>
    </w:p>
    <w:p w14:paraId="51DF6D2D">
      <w:pPr>
        <w:jc w:val="left"/>
        <w:outlineLvl w:val="1"/>
        <w:rPr>
          <w:rFonts w:ascii="宋体" w:hAnsi="宋体"/>
          <w:b/>
          <w:color w:val="000000" w:themeColor="text1"/>
          <w:sz w:val="24"/>
          <w:szCs w:val="21"/>
          <w:highlight w:val="none"/>
          <w14:textFill>
            <w14:solidFill>
              <w14:schemeClr w14:val="tx1"/>
            </w14:solidFill>
          </w14:textFill>
        </w:rPr>
      </w:pPr>
    </w:p>
    <w:p w14:paraId="22C135D1">
      <w:pPr>
        <w:jc w:val="left"/>
        <w:outlineLvl w:val="1"/>
        <w:rPr>
          <w:rFonts w:ascii="宋体" w:hAnsi="宋体"/>
          <w:b/>
          <w:color w:val="000000" w:themeColor="text1"/>
          <w:sz w:val="24"/>
          <w:szCs w:val="21"/>
          <w:highlight w:val="none"/>
          <w14:textFill>
            <w14:solidFill>
              <w14:schemeClr w14:val="tx1"/>
            </w14:solidFill>
          </w14:textFill>
        </w:rPr>
      </w:pPr>
    </w:p>
    <w:p w14:paraId="4E43DF60">
      <w:pPr>
        <w:jc w:val="left"/>
        <w:outlineLvl w:val="1"/>
        <w:rPr>
          <w:rFonts w:ascii="宋体" w:hAnsi="宋体"/>
          <w:b/>
          <w:color w:val="000000" w:themeColor="text1"/>
          <w:sz w:val="24"/>
          <w:szCs w:val="21"/>
          <w:highlight w:val="none"/>
          <w14:textFill>
            <w14:solidFill>
              <w14:schemeClr w14:val="tx1"/>
            </w14:solidFill>
          </w14:textFill>
        </w:rPr>
      </w:pPr>
    </w:p>
    <w:p w14:paraId="71132A41">
      <w:pPr>
        <w:jc w:val="left"/>
        <w:outlineLvl w:val="1"/>
        <w:rPr>
          <w:rFonts w:ascii="宋体" w:hAnsi="宋体"/>
          <w:b/>
          <w:color w:val="000000" w:themeColor="text1"/>
          <w:sz w:val="24"/>
          <w:szCs w:val="21"/>
          <w:highlight w:val="none"/>
          <w14:textFill>
            <w14:solidFill>
              <w14:schemeClr w14:val="tx1"/>
            </w14:solidFill>
          </w14:textFill>
        </w:rPr>
      </w:pPr>
    </w:p>
    <w:p w14:paraId="56FFDE92">
      <w:pPr>
        <w:jc w:val="left"/>
        <w:outlineLvl w:val="1"/>
        <w:rPr>
          <w:rFonts w:ascii="宋体" w:hAnsi="宋体"/>
          <w:b/>
          <w:color w:val="000000" w:themeColor="text1"/>
          <w:sz w:val="24"/>
          <w:szCs w:val="21"/>
          <w:highlight w:val="none"/>
          <w14:textFill>
            <w14:solidFill>
              <w14:schemeClr w14:val="tx1"/>
            </w14:solidFill>
          </w14:textFill>
        </w:rPr>
      </w:pPr>
    </w:p>
    <w:p w14:paraId="1152CE3F">
      <w:pPr>
        <w:jc w:val="left"/>
        <w:outlineLvl w:val="1"/>
        <w:rPr>
          <w:rFonts w:ascii="宋体" w:hAnsi="宋体"/>
          <w:b/>
          <w:color w:val="000000" w:themeColor="text1"/>
          <w:sz w:val="24"/>
          <w:szCs w:val="21"/>
          <w:highlight w:val="none"/>
          <w14:textFill>
            <w14:solidFill>
              <w14:schemeClr w14:val="tx1"/>
            </w14:solidFill>
          </w14:textFill>
        </w:rPr>
      </w:pPr>
    </w:p>
    <w:p w14:paraId="2558DAE8">
      <w:pPr>
        <w:jc w:val="left"/>
        <w:outlineLvl w:val="1"/>
        <w:rPr>
          <w:rFonts w:ascii="宋体" w:hAnsi="宋体"/>
          <w:b/>
          <w:color w:val="000000" w:themeColor="text1"/>
          <w:sz w:val="24"/>
          <w:szCs w:val="21"/>
          <w:highlight w:val="none"/>
          <w14:textFill>
            <w14:solidFill>
              <w14:schemeClr w14:val="tx1"/>
            </w14:solidFill>
          </w14:textFill>
        </w:rPr>
      </w:pPr>
    </w:p>
    <w:p w14:paraId="6E7F576B">
      <w:pPr>
        <w:jc w:val="left"/>
        <w:outlineLvl w:val="1"/>
        <w:rPr>
          <w:rFonts w:ascii="宋体" w:hAnsi="宋体"/>
          <w:b/>
          <w:color w:val="000000" w:themeColor="text1"/>
          <w:sz w:val="24"/>
          <w:szCs w:val="21"/>
          <w:highlight w:val="none"/>
          <w14:textFill>
            <w14:solidFill>
              <w14:schemeClr w14:val="tx1"/>
            </w14:solidFill>
          </w14:textFill>
        </w:rPr>
      </w:pPr>
    </w:p>
    <w:p w14:paraId="6BCF8FD0">
      <w:pPr>
        <w:jc w:val="left"/>
        <w:outlineLvl w:val="1"/>
        <w:rPr>
          <w:rFonts w:ascii="宋体" w:hAnsi="宋体"/>
          <w:b/>
          <w:color w:val="000000" w:themeColor="text1"/>
          <w:sz w:val="24"/>
          <w:szCs w:val="21"/>
          <w:highlight w:val="none"/>
          <w14:textFill>
            <w14:solidFill>
              <w14:schemeClr w14:val="tx1"/>
            </w14:solidFill>
          </w14:textFill>
        </w:rPr>
      </w:pPr>
    </w:p>
    <w:p w14:paraId="7035E546">
      <w:pPr>
        <w:jc w:val="left"/>
        <w:outlineLvl w:val="1"/>
        <w:rPr>
          <w:rFonts w:ascii="宋体" w:hAnsi="宋体"/>
          <w:b/>
          <w:color w:val="000000" w:themeColor="text1"/>
          <w:sz w:val="24"/>
          <w:szCs w:val="21"/>
          <w:highlight w:val="none"/>
          <w14:textFill>
            <w14:solidFill>
              <w14:schemeClr w14:val="tx1"/>
            </w14:solidFill>
          </w14:textFill>
        </w:rPr>
      </w:pPr>
    </w:p>
    <w:p w14:paraId="188773F6">
      <w:pPr>
        <w:jc w:val="left"/>
        <w:outlineLvl w:val="1"/>
        <w:rPr>
          <w:rFonts w:ascii="宋体" w:hAnsi="宋体"/>
          <w:b/>
          <w:color w:val="000000" w:themeColor="text1"/>
          <w:sz w:val="24"/>
          <w:szCs w:val="21"/>
          <w:highlight w:val="none"/>
          <w14:textFill>
            <w14:solidFill>
              <w14:schemeClr w14:val="tx1"/>
            </w14:solidFill>
          </w14:textFill>
        </w:rPr>
      </w:pPr>
    </w:p>
    <w:p w14:paraId="2E9A310D">
      <w:pPr>
        <w:jc w:val="left"/>
        <w:outlineLvl w:val="1"/>
        <w:rPr>
          <w:rFonts w:ascii="宋体" w:hAnsi="宋体"/>
          <w:b/>
          <w:color w:val="000000" w:themeColor="text1"/>
          <w:sz w:val="24"/>
          <w:szCs w:val="21"/>
          <w:highlight w:val="none"/>
          <w14:textFill>
            <w14:solidFill>
              <w14:schemeClr w14:val="tx1"/>
            </w14:solidFill>
          </w14:textFill>
        </w:rPr>
      </w:pPr>
    </w:p>
    <w:p w14:paraId="414EB9BD">
      <w:pPr>
        <w:jc w:val="left"/>
        <w:outlineLvl w:val="1"/>
        <w:rPr>
          <w:rFonts w:ascii="宋体" w:hAnsi="宋体"/>
          <w:b/>
          <w:color w:val="000000" w:themeColor="text1"/>
          <w:sz w:val="24"/>
          <w:szCs w:val="21"/>
          <w:highlight w:val="none"/>
          <w14:textFill>
            <w14:solidFill>
              <w14:schemeClr w14:val="tx1"/>
            </w14:solidFill>
          </w14:textFill>
        </w:rPr>
      </w:pPr>
    </w:p>
    <w:p w14:paraId="2530C353">
      <w:pPr>
        <w:jc w:val="left"/>
        <w:outlineLvl w:val="1"/>
        <w:rPr>
          <w:rFonts w:ascii="宋体" w:hAnsi="宋体"/>
          <w:b/>
          <w:color w:val="000000" w:themeColor="text1"/>
          <w:sz w:val="24"/>
          <w:szCs w:val="21"/>
          <w:highlight w:val="none"/>
          <w14:textFill>
            <w14:solidFill>
              <w14:schemeClr w14:val="tx1"/>
            </w14:solidFill>
          </w14:textFill>
        </w:rPr>
      </w:pPr>
    </w:p>
    <w:p w14:paraId="0A553DCD">
      <w:pPr>
        <w:jc w:val="left"/>
        <w:outlineLvl w:val="1"/>
        <w:rPr>
          <w:rFonts w:ascii="宋体" w:hAnsi="宋体"/>
          <w:b/>
          <w:color w:val="000000" w:themeColor="text1"/>
          <w:sz w:val="24"/>
          <w:szCs w:val="21"/>
          <w:highlight w:val="none"/>
          <w14:textFill>
            <w14:solidFill>
              <w14:schemeClr w14:val="tx1"/>
            </w14:solidFill>
          </w14:textFill>
        </w:rPr>
      </w:pPr>
    </w:p>
    <w:p w14:paraId="01A901CE">
      <w:pPr>
        <w:jc w:val="left"/>
        <w:outlineLvl w:val="1"/>
        <w:rPr>
          <w:rFonts w:ascii="宋体" w:hAnsi="宋体"/>
          <w:b/>
          <w:color w:val="000000" w:themeColor="text1"/>
          <w:sz w:val="24"/>
          <w:szCs w:val="21"/>
          <w:highlight w:val="none"/>
          <w14:textFill>
            <w14:solidFill>
              <w14:schemeClr w14:val="tx1"/>
            </w14:solidFill>
          </w14:textFill>
        </w:rPr>
      </w:pPr>
    </w:p>
    <w:p w14:paraId="05BBE3D1">
      <w:pPr>
        <w:jc w:val="left"/>
        <w:outlineLvl w:val="1"/>
        <w:rPr>
          <w:rFonts w:ascii="宋体" w:hAnsi="宋体"/>
          <w:b/>
          <w:color w:val="000000" w:themeColor="text1"/>
          <w:sz w:val="24"/>
          <w:szCs w:val="21"/>
          <w:highlight w:val="none"/>
          <w14:textFill>
            <w14:solidFill>
              <w14:schemeClr w14:val="tx1"/>
            </w14:solidFill>
          </w14:textFill>
        </w:rPr>
      </w:pPr>
    </w:p>
    <w:p w14:paraId="777E282A">
      <w:pPr>
        <w:jc w:val="left"/>
        <w:outlineLvl w:val="1"/>
        <w:rPr>
          <w:rFonts w:ascii="宋体" w:hAnsi="宋体"/>
          <w:b/>
          <w:color w:val="000000" w:themeColor="text1"/>
          <w:sz w:val="24"/>
          <w:szCs w:val="21"/>
          <w:highlight w:val="none"/>
          <w14:textFill>
            <w14:solidFill>
              <w14:schemeClr w14:val="tx1"/>
            </w14:solidFill>
          </w14:textFill>
        </w:rPr>
      </w:pPr>
    </w:p>
    <w:p w14:paraId="651E9275">
      <w:pPr>
        <w:jc w:val="left"/>
        <w:outlineLvl w:val="1"/>
        <w:rPr>
          <w:rFonts w:ascii="宋体" w:hAnsi="宋体"/>
          <w:b/>
          <w:color w:val="000000" w:themeColor="text1"/>
          <w:sz w:val="24"/>
          <w:szCs w:val="21"/>
          <w:highlight w:val="none"/>
          <w14:textFill>
            <w14:solidFill>
              <w14:schemeClr w14:val="tx1"/>
            </w14:solidFill>
          </w14:textFill>
        </w:rPr>
      </w:pPr>
      <w:bookmarkStart w:id="136" w:name="_Toc185323385"/>
      <w:bookmarkStart w:id="137" w:name="_Toc22659"/>
      <w:bookmarkStart w:id="138" w:name="_Toc11056"/>
      <w:r>
        <w:rPr>
          <w:rFonts w:hint="eastAsia" w:ascii="宋体" w:hAnsi="宋体"/>
          <w:b/>
          <w:color w:val="000000" w:themeColor="text1"/>
          <w:sz w:val="24"/>
          <w:szCs w:val="21"/>
          <w:highlight w:val="none"/>
          <w14:textFill>
            <w14:solidFill>
              <w14:schemeClr w14:val="tx1"/>
            </w14:solidFill>
          </w14:textFill>
        </w:rPr>
        <w:t>一、磋商申请及声明</w:t>
      </w:r>
      <w:bookmarkEnd w:id="136"/>
      <w:bookmarkEnd w:id="137"/>
      <w:bookmarkEnd w:id="138"/>
    </w:p>
    <w:p w14:paraId="7D15C56C">
      <w:pPr>
        <w:jc w:val="center"/>
        <w:rPr>
          <w:rFonts w:ascii="宋体" w:hAnsi="宋体" w:cs="宋体"/>
          <w:b/>
          <w:color w:val="000000" w:themeColor="text1"/>
          <w:kern w:val="0"/>
          <w:sz w:val="52"/>
          <w:szCs w:val="44"/>
          <w:highlight w:val="none"/>
          <w:lang w:val="zh-CN"/>
          <w14:textFill>
            <w14:solidFill>
              <w14:schemeClr w14:val="tx1"/>
            </w14:solidFill>
          </w14:textFill>
        </w:rPr>
      </w:pPr>
      <w:r>
        <w:rPr>
          <w:rFonts w:hint="eastAsia" w:ascii="宋体" w:hAnsi="宋体" w:cs="宋体"/>
          <w:b/>
          <w:color w:val="000000" w:themeColor="text1"/>
          <w:kern w:val="0"/>
          <w:sz w:val="52"/>
          <w:szCs w:val="44"/>
          <w:highlight w:val="none"/>
          <w:lang w:val="zh-CN"/>
          <w14:textFill>
            <w14:solidFill>
              <w14:schemeClr w14:val="tx1"/>
            </w14:solidFill>
          </w14:textFill>
        </w:rPr>
        <w:t>磋商申请及声明</w:t>
      </w:r>
    </w:p>
    <w:p w14:paraId="305ABD07">
      <w:pPr>
        <w:spacing w:line="400" w:lineRule="exact"/>
        <w:jc w:val="left"/>
        <w:rPr>
          <w:rFonts w:ascii="宋体"/>
          <w:color w:val="000000" w:themeColor="text1"/>
          <w:sz w:val="24"/>
          <w:szCs w:val="21"/>
          <w:highlight w:val="none"/>
          <w:lang w:val="zh-CN"/>
          <w14:textFill>
            <w14:solidFill>
              <w14:schemeClr w14:val="tx1"/>
            </w14:solidFill>
          </w14:textFill>
        </w:rPr>
      </w:pPr>
      <w:r>
        <w:rPr>
          <w:rFonts w:hint="eastAsia" w:ascii="宋体"/>
          <w:color w:val="000000" w:themeColor="text1"/>
          <w:sz w:val="24"/>
          <w:szCs w:val="21"/>
          <w:highlight w:val="none"/>
          <w:lang w:val="zh-CN"/>
          <w14:textFill>
            <w14:solidFill>
              <w14:schemeClr w14:val="tx1"/>
            </w14:solidFill>
          </w14:textFill>
        </w:rPr>
        <w:t>致：</w:t>
      </w:r>
      <w:r>
        <w:rPr>
          <w:rFonts w:hint="eastAsia" w:ascii="宋体"/>
          <w:color w:val="000000" w:themeColor="text1"/>
          <w:sz w:val="24"/>
          <w:szCs w:val="21"/>
          <w:highlight w:val="none"/>
          <w14:textFill>
            <w14:solidFill>
              <w14:schemeClr w14:val="tx1"/>
            </w14:solidFill>
          </w14:textFill>
        </w:rPr>
        <w:t xml:space="preserve"> </w:t>
      </w:r>
      <w:r>
        <w:rPr>
          <w:rFonts w:hint="eastAsia" w:ascii="宋体"/>
          <w:color w:val="000000" w:themeColor="text1"/>
          <w:sz w:val="24"/>
          <w:szCs w:val="21"/>
          <w:highlight w:val="none"/>
          <w:lang w:eastAsia="zh-CN"/>
          <w14:textFill>
            <w14:solidFill>
              <w14:schemeClr w14:val="tx1"/>
            </w14:solidFill>
          </w14:textFill>
        </w:rPr>
        <w:t>南京江宁滨江经济开发区管理委员会</w:t>
      </w:r>
      <w:r>
        <w:rPr>
          <w:rFonts w:hint="eastAsia" w:ascii="宋体"/>
          <w:color w:val="000000" w:themeColor="text1"/>
          <w:sz w:val="24"/>
          <w:szCs w:val="21"/>
          <w:highlight w:val="none"/>
          <w14:textFill>
            <w14:solidFill>
              <w14:schemeClr w14:val="tx1"/>
            </w14:solidFill>
          </w14:textFill>
        </w:rPr>
        <w:t xml:space="preserve"> </w:t>
      </w:r>
    </w:p>
    <w:p w14:paraId="0F9BCD9D">
      <w:pPr>
        <w:spacing w:line="400" w:lineRule="exact"/>
        <w:ind w:firstLine="420"/>
        <w:jc w:val="left"/>
        <w:rPr>
          <w:rFonts w:ascii="宋体"/>
          <w:color w:val="000000" w:themeColor="text1"/>
          <w:sz w:val="24"/>
          <w:szCs w:val="21"/>
          <w:highlight w:val="none"/>
          <w:lang w:val="zh-CN"/>
          <w14:textFill>
            <w14:solidFill>
              <w14:schemeClr w14:val="tx1"/>
            </w14:solidFill>
          </w14:textFill>
        </w:rPr>
      </w:pPr>
      <w:r>
        <w:rPr>
          <w:rFonts w:hint="eastAsia" w:ascii="宋体"/>
          <w:color w:val="000000" w:themeColor="text1"/>
          <w:sz w:val="24"/>
          <w:szCs w:val="21"/>
          <w:highlight w:val="none"/>
          <w:lang w:val="zh-CN"/>
          <w14:textFill>
            <w14:solidFill>
              <w14:schemeClr w14:val="tx1"/>
            </w14:solidFill>
          </w14:textFill>
        </w:rPr>
        <w:t>根据贵方</w:t>
      </w:r>
      <w:r>
        <w:rPr>
          <w:rFonts w:hint="eastAsia" w:ascii="宋体"/>
          <w:color w:val="000000" w:themeColor="text1"/>
          <w:sz w:val="24"/>
          <w:szCs w:val="21"/>
          <w:highlight w:val="none"/>
          <w:u w:val="single"/>
          <w:lang w:val="zh-CN"/>
          <w14:textFill>
            <w14:solidFill>
              <w14:schemeClr w14:val="tx1"/>
            </w14:solidFill>
          </w14:textFill>
        </w:rPr>
        <w:t>NJMT-CG2026-09</w:t>
      </w:r>
      <w:r>
        <w:rPr>
          <w:rFonts w:ascii="宋体"/>
          <w:color w:val="000000" w:themeColor="text1"/>
          <w:sz w:val="24"/>
          <w:szCs w:val="21"/>
          <w:highlight w:val="none"/>
          <w:u w:val="single"/>
          <w:lang w:val="zh-CN"/>
          <w14:textFill>
            <w14:solidFill>
              <w14:schemeClr w14:val="tx1"/>
            </w14:solidFill>
          </w14:textFill>
        </w:rPr>
        <w:t xml:space="preserve">     </w:t>
      </w:r>
      <w:r>
        <w:rPr>
          <w:rFonts w:hint="eastAsia" w:ascii="宋体"/>
          <w:color w:val="000000" w:themeColor="text1"/>
          <w:sz w:val="24"/>
          <w:szCs w:val="21"/>
          <w:highlight w:val="none"/>
          <w:lang w:val="zh-CN"/>
          <w14:textFill>
            <w14:solidFill>
              <w14:schemeClr w14:val="tx1"/>
            </w14:solidFill>
          </w14:textFill>
        </w:rPr>
        <w:t>号采购文件，正式授权下述签字人</w:t>
      </w:r>
      <w:r>
        <w:rPr>
          <w:rFonts w:hint="eastAsia" w:ascii="宋体"/>
          <w:color w:val="000000" w:themeColor="text1"/>
          <w:sz w:val="24"/>
          <w:szCs w:val="21"/>
          <w:highlight w:val="none"/>
          <w:u w:val="single"/>
          <w:lang w:val="zh-CN"/>
          <w14:textFill>
            <w14:solidFill>
              <w14:schemeClr w14:val="tx1"/>
            </w14:solidFill>
          </w14:textFill>
        </w:rPr>
        <w:t xml:space="preserve">           </w:t>
      </w:r>
      <w:r>
        <w:rPr>
          <w:rFonts w:hint="eastAsia" w:ascii="宋体"/>
          <w:color w:val="000000" w:themeColor="text1"/>
          <w:sz w:val="24"/>
          <w:szCs w:val="21"/>
          <w:highlight w:val="none"/>
          <w:lang w:val="zh-CN"/>
          <w14:textFill>
            <w14:solidFill>
              <w14:schemeClr w14:val="tx1"/>
            </w14:solidFill>
          </w14:textFill>
        </w:rPr>
        <w:t>(姓名和职务)代表</w:t>
      </w:r>
      <w:r>
        <w:rPr>
          <w:rFonts w:hint="eastAsia" w:ascii="宋体"/>
          <w:color w:val="000000" w:themeColor="text1"/>
          <w:sz w:val="24"/>
          <w:szCs w:val="21"/>
          <w:highlight w:val="none"/>
          <w:u w:val="single"/>
          <w:lang w:val="zh-CN"/>
          <w14:textFill>
            <w14:solidFill>
              <w14:schemeClr w14:val="tx1"/>
            </w14:solidFill>
          </w14:textFill>
        </w:rPr>
        <w:t xml:space="preserve">              </w:t>
      </w:r>
      <w:r>
        <w:rPr>
          <w:rFonts w:hint="eastAsia" w:ascii="宋体"/>
          <w:color w:val="000000" w:themeColor="text1"/>
          <w:sz w:val="24"/>
          <w:szCs w:val="21"/>
          <w:highlight w:val="none"/>
          <w:lang w:val="zh-CN"/>
          <w14:textFill>
            <w14:solidFill>
              <w14:schemeClr w14:val="tx1"/>
            </w14:solidFill>
          </w14:textFill>
        </w:rPr>
        <w:t>（供应商名称），提交响应文件并参加磋商。</w:t>
      </w:r>
    </w:p>
    <w:p w14:paraId="3EF1088F">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据此函，签字人兹宣布同意如下：</w:t>
      </w:r>
    </w:p>
    <w:p w14:paraId="4544AB4A">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1.</w:t>
      </w:r>
      <w:r>
        <w:rPr>
          <w:rFonts w:hint="eastAsia" w:ascii="宋体" w:hAnsi="宋体"/>
          <w:color w:val="000000" w:themeColor="text1"/>
          <w:sz w:val="24"/>
          <w:szCs w:val="21"/>
          <w:highlight w:val="none"/>
          <w14:textFill>
            <w14:solidFill>
              <w14:schemeClr w14:val="tx1"/>
            </w14:solidFill>
          </w14:textFill>
        </w:rPr>
        <w:t>按磋商需求的磋商报价为</w:t>
      </w:r>
      <w:r>
        <w:rPr>
          <w:rFonts w:hint="eastAsia" w:ascii="宋体" w:hAnsi="宋体"/>
          <w:color w:val="000000" w:themeColor="text1"/>
          <w:sz w:val="24"/>
          <w:szCs w:val="21"/>
          <w:highlight w:val="none"/>
          <w:u w:val="single"/>
          <w14:textFill>
            <w14:solidFill>
              <w14:schemeClr w14:val="tx1"/>
            </w14:solidFill>
          </w14:textFill>
        </w:rPr>
        <w:t>¥       （大写：      ）</w:t>
      </w:r>
      <w:r>
        <w:rPr>
          <w:rFonts w:hint="eastAsia" w:ascii="宋体" w:hAnsi="宋体"/>
          <w:color w:val="000000" w:themeColor="text1"/>
          <w:sz w:val="24"/>
          <w:szCs w:val="21"/>
          <w:highlight w:val="none"/>
          <w14:textFill>
            <w14:solidFill>
              <w14:schemeClr w14:val="tx1"/>
            </w14:solidFill>
          </w14:textFill>
        </w:rPr>
        <w:t>。</w:t>
      </w:r>
    </w:p>
    <w:p w14:paraId="2B9DC449">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2.</w:t>
      </w:r>
      <w:r>
        <w:rPr>
          <w:rFonts w:hint="eastAsia" w:ascii="宋体" w:hAnsi="宋体"/>
          <w:color w:val="000000" w:themeColor="text1"/>
          <w:sz w:val="24"/>
          <w:szCs w:val="21"/>
          <w:highlight w:val="none"/>
          <w14:textFill>
            <w14:solidFill>
              <w14:schemeClr w14:val="tx1"/>
            </w14:solidFill>
          </w14:textFill>
        </w:rPr>
        <w:t>我们完全理解贵方不一定要接受最低报价的磋商或收到的任何磋商。</w:t>
      </w:r>
    </w:p>
    <w:p w14:paraId="5FCA25F8">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3.</w:t>
      </w:r>
      <w:r>
        <w:rPr>
          <w:rFonts w:hint="eastAsia" w:ascii="宋体" w:hAnsi="宋体"/>
          <w:color w:val="000000" w:themeColor="text1"/>
          <w:sz w:val="24"/>
          <w:szCs w:val="21"/>
          <w:highlight w:val="none"/>
          <w14:textFill>
            <w14:solidFill>
              <w14:schemeClr w14:val="tx1"/>
            </w14:solidFill>
          </w14:textFill>
        </w:rPr>
        <w:t>我们已详细审核全部磋商文件及其有效补充文件，我们知道必须放弃提出含糊不清或误解的问题的权利。</w:t>
      </w:r>
    </w:p>
    <w:p w14:paraId="088F3DAB">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4.</w:t>
      </w:r>
      <w:r>
        <w:rPr>
          <w:rFonts w:hint="eastAsia" w:ascii="宋体" w:hAnsi="宋体"/>
          <w:color w:val="000000" w:themeColor="text1"/>
          <w:sz w:val="24"/>
          <w:szCs w:val="21"/>
          <w:highlight w:val="none"/>
          <w14:textFill>
            <w14:solidFill>
              <w14:schemeClr w14:val="tx1"/>
            </w14:solidFill>
          </w14:textFill>
        </w:rPr>
        <w:t>我们同意从规定的磋商日期起遵循本磋商文件，并在规定的磋商有效期期满之前均具有约束力。</w:t>
      </w:r>
    </w:p>
    <w:p w14:paraId="480DF1F6">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r>
        <w:rPr>
          <w:rFonts w:ascii="宋体" w:hAnsi="宋体"/>
          <w:color w:val="000000" w:themeColor="text1"/>
          <w:sz w:val="24"/>
          <w:szCs w:val="21"/>
          <w:highlight w:val="none"/>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同意向贵方提供贵方可能要求的与磋商有关的任何证据或资料。</w:t>
      </w:r>
    </w:p>
    <w:p w14:paraId="71CBEAC1">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6</w:t>
      </w:r>
      <w:r>
        <w:rPr>
          <w:rFonts w:ascii="宋体" w:hAnsi="宋体"/>
          <w:color w:val="000000" w:themeColor="text1"/>
          <w:sz w:val="24"/>
          <w:szCs w:val="21"/>
          <w:highlight w:val="none"/>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一旦我方成交，我方将根据磋商文件的规定，严格履行合同，并保证于承诺的时间完成货物的启动、调试等服务，交付采购人验收、使用。</w:t>
      </w:r>
    </w:p>
    <w:p w14:paraId="0E8A63E5">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7</w:t>
      </w:r>
      <w:r>
        <w:rPr>
          <w:rFonts w:ascii="宋体" w:hAnsi="宋体"/>
          <w:color w:val="000000" w:themeColor="text1"/>
          <w:sz w:val="24"/>
          <w:szCs w:val="21"/>
          <w:highlight w:val="none"/>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我方将严格遵守《中华人民共和国政府采购法》第七十七条规定，若有下列情形之一的，将被处以采购金额</w:t>
      </w:r>
      <w:r>
        <w:rPr>
          <w:rFonts w:ascii="宋体" w:hAnsi="宋体"/>
          <w:color w:val="000000" w:themeColor="text1"/>
          <w:sz w:val="24"/>
          <w:szCs w:val="21"/>
          <w:highlight w:val="none"/>
          <w14:textFill>
            <w14:solidFill>
              <w14:schemeClr w14:val="tx1"/>
            </w14:solidFill>
          </w14:textFill>
        </w:rPr>
        <w:t>5</w:t>
      </w:r>
      <w:r>
        <w:rPr>
          <w:rFonts w:hint="eastAsia" w:ascii="宋体" w:hAnsi="宋体"/>
          <w:color w:val="000000" w:themeColor="text1"/>
          <w:sz w:val="24"/>
          <w:szCs w:val="21"/>
          <w:highlight w:val="none"/>
          <w14:textFill>
            <w14:solidFill>
              <w14:schemeClr w14:val="tx1"/>
            </w14:solidFill>
          </w14:textFill>
        </w:rPr>
        <w:t>‰以上</w:t>
      </w:r>
      <w:r>
        <w:rPr>
          <w:rFonts w:ascii="宋体" w:hAnsi="宋体"/>
          <w:color w:val="000000" w:themeColor="text1"/>
          <w:sz w:val="24"/>
          <w:szCs w:val="21"/>
          <w:highlight w:val="none"/>
          <w14:textFill>
            <w14:solidFill>
              <w14:schemeClr w14:val="tx1"/>
            </w14:solidFill>
          </w14:textFill>
        </w:rPr>
        <w:t>10</w:t>
      </w:r>
      <w:r>
        <w:rPr>
          <w:rFonts w:hint="eastAsia" w:ascii="宋体" w:hAnsi="宋体"/>
          <w:color w:val="000000" w:themeColor="text1"/>
          <w:sz w:val="24"/>
          <w:szCs w:val="21"/>
          <w:highlight w:val="none"/>
          <w14:textFill>
            <w14:solidFill>
              <w14:schemeClr w14:val="tx1"/>
            </w14:solidFill>
          </w14:textFill>
        </w:rPr>
        <w:t>‰以下的罚款，列入不良行为记录名单，在一至三年内禁止参加政府采购活动；有违法所得的，并处没收违法所得；情节严重的，由工商行政管理机关吊销营业执照；构成犯罪的，依法追究刑事责任：</w:t>
      </w:r>
    </w:p>
    <w:p w14:paraId="0943594C">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1</w:t>
      </w:r>
      <w:r>
        <w:rPr>
          <w:rFonts w:hint="eastAsia" w:ascii="宋体" w:hAnsi="宋体"/>
          <w:color w:val="000000" w:themeColor="text1"/>
          <w:sz w:val="24"/>
          <w:szCs w:val="21"/>
          <w:highlight w:val="none"/>
          <w14:textFill>
            <w14:solidFill>
              <w14:schemeClr w14:val="tx1"/>
            </w14:solidFill>
          </w14:textFill>
        </w:rPr>
        <w:t>）提供虚假材料谋取中标、成交的；</w:t>
      </w:r>
    </w:p>
    <w:p w14:paraId="2B4A6D57">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2</w:t>
      </w:r>
      <w:r>
        <w:rPr>
          <w:rFonts w:hint="eastAsia" w:ascii="宋体" w:hAnsi="宋体"/>
          <w:color w:val="000000" w:themeColor="text1"/>
          <w:sz w:val="24"/>
          <w:szCs w:val="21"/>
          <w:highlight w:val="none"/>
          <w14:textFill>
            <w14:solidFill>
              <w14:schemeClr w14:val="tx1"/>
            </w14:solidFill>
          </w14:textFill>
        </w:rPr>
        <w:t>）采取不正当手段诋毁、排挤其他供应商的；</w:t>
      </w:r>
    </w:p>
    <w:p w14:paraId="32D3C5D6">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3</w:t>
      </w:r>
      <w:r>
        <w:rPr>
          <w:rFonts w:hint="eastAsia" w:ascii="宋体" w:hAnsi="宋体"/>
          <w:color w:val="000000" w:themeColor="text1"/>
          <w:sz w:val="24"/>
          <w:szCs w:val="21"/>
          <w:highlight w:val="none"/>
          <w14:textFill>
            <w14:solidFill>
              <w14:schemeClr w14:val="tx1"/>
            </w14:solidFill>
          </w14:textFill>
        </w:rPr>
        <w:t>）与采购人、其它供应商或者采购代理机构恶意串通的；</w:t>
      </w:r>
    </w:p>
    <w:p w14:paraId="013049FC">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4</w:t>
      </w:r>
      <w:r>
        <w:rPr>
          <w:rFonts w:hint="eastAsia" w:ascii="宋体" w:hAnsi="宋体"/>
          <w:color w:val="000000" w:themeColor="text1"/>
          <w:sz w:val="24"/>
          <w:szCs w:val="21"/>
          <w:highlight w:val="none"/>
          <w14:textFill>
            <w14:solidFill>
              <w14:schemeClr w14:val="tx1"/>
            </w14:solidFill>
          </w14:textFill>
        </w:rPr>
        <w:t>）向采购人、采购代理机构行贿或者提供其他不正当利益的；</w:t>
      </w:r>
    </w:p>
    <w:p w14:paraId="2DCE5716">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5</w:t>
      </w:r>
      <w:r>
        <w:rPr>
          <w:rFonts w:hint="eastAsia" w:ascii="宋体" w:hAnsi="宋体"/>
          <w:color w:val="000000" w:themeColor="text1"/>
          <w:sz w:val="24"/>
          <w:szCs w:val="21"/>
          <w:highlight w:val="none"/>
          <w14:textFill>
            <w14:solidFill>
              <w14:schemeClr w14:val="tx1"/>
            </w14:solidFill>
          </w14:textFill>
        </w:rPr>
        <w:t>）在采购过程中与采购人进行协商磋商的；</w:t>
      </w:r>
    </w:p>
    <w:p w14:paraId="71425214">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6</w:t>
      </w:r>
      <w:r>
        <w:rPr>
          <w:rFonts w:hint="eastAsia" w:ascii="宋体" w:hAnsi="宋体"/>
          <w:color w:val="000000" w:themeColor="text1"/>
          <w:sz w:val="24"/>
          <w:szCs w:val="21"/>
          <w:highlight w:val="none"/>
          <w14:textFill>
            <w14:solidFill>
              <w14:schemeClr w14:val="tx1"/>
            </w14:solidFill>
          </w14:textFill>
        </w:rPr>
        <w:t>）拒绝有关部门监督检查或提供虚假情况的。</w:t>
      </w:r>
    </w:p>
    <w:p w14:paraId="7759C8A2">
      <w:pPr>
        <w:spacing w:line="400" w:lineRule="exact"/>
        <w:ind w:firstLine="480" w:firstLineChars="200"/>
        <w:jc w:val="left"/>
        <w:rPr>
          <w:rFonts w:asci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8</w:t>
      </w:r>
      <w:r>
        <w:rPr>
          <w:rFonts w:ascii="宋体" w:hAnsi="宋体"/>
          <w:color w:val="000000" w:themeColor="text1"/>
          <w:sz w:val="24"/>
          <w:szCs w:val="21"/>
          <w:highlight w:val="none"/>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与本磋商有关的正式通讯地址为：</w:t>
      </w:r>
    </w:p>
    <w:p w14:paraId="50CFF638">
      <w:pPr>
        <w:spacing w:line="400" w:lineRule="exact"/>
        <w:ind w:firstLine="720" w:firstLineChars="3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供应商名称（盖章）：</w:t>
      </w:r>
    </w:p>
    <w:p w14:paraId="06C51D22">
      <w:pPr>
        <w:spacing w:line="400" w:lineRule="exact"/>
        <w:ind w:firstLine="720" w:firstLineChars="3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4698DBB1">
      <w:pPr>
        <w:spacing w:line="400" w:lineRule="exact"/>
        <w:ind w:firstLine="720" w:firstLineChars="3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p w14:paraId="6B6EF6B3">
      <w:pPr>
        <w:spacing w:line="400" w:lineRule="exact"/>
        <w:ind w:firstLine="720" w:firstLineChars="3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供应商授权代表姓名（签字）：</w:t>
      </w:r>
    </w:p>
    <w:p w14:paraId="3B9560D6">
      <w:pPr>
        <w:spacing w:line="400" w:lineRule="exact"/>
        <w:ind w:firstLine="720" w:firstLineChars="300"/>
        <w:jc w:val="left"/>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14:textFill>
            <w14:solidFill>
              <w14:schemeClr w14:val="tx1"/>
            </w14:solidFill>
          </w14:textFill>
        </w:rPr>
        <w:t xml:space="preserve">: </w:t>
      </w:r>
    </w:p>
    <w:p w14:paraId="32F8E80C">
      <w:pPr>
        <w:spacing w:line="400" w:lineRule="exact"/>
        <w:ind w:firstLine="720" w:firstLineChars="3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7A9202DD">
      <w:pPr>
        <w:jc w:val="left"/>
        <w:outlineLvl w:val="1"/>
        <w:rPr>
          <w:rFonts w:ascii="宋体" w:hAnsi="宋体"/>
          <w:b/>
          <w:color w:val="000000" w:themeColor="text1"/>
          <w:sz w:val="24"/>
          <w:szCs w:val="21"/>
          <w:highlight w:val="none"/>
          <w14:textFill>
            <w14:solidFill>
              <w14:schemeClr w14:val="tx1"/>
            </w14:solidFill>
          </w14:textFill>
        </w:rPr>
      </w:pPr>
      <w:bookmarkStart w:id="139" w:name="_Hlt460314944"/>
      <w:bookmarkEnd w:id="139"/>
      <w:bookmarkStart w:id="140" w:name="_Toc10181"/>
      <w:bookmarkStart w:id="141" w:name="_Toc26050"/>
    </w:p>
    <w:p w14:paraId="75DD922E">
      <w:pPr>
        <w:jc w:val="left"/>
        <w:outlineLvl w:val="1"/>
        <w:rPr>
          <w:rFonts w:ascii="宋体" w:hAnsi="宋体"/>
          <w:b/>
          <w:color w:val="000000" w:themeColor="text1"/>
          <w:sz w:val="24"/>
          <w:szCs w:val="21"/>
          <w:highlight w:val="none"/>
          <w14:textFill>
            <w14:solidFill>
              <w14:schemeClr w14:val="tx1"/>
            </w14:solidFill>
          </w14:textFill>
        </w:rPr>
      </w:pPr>
    </w:p>
    <w:p w14:paraId="5A3D6607">
      <w:pPr>
        <w:jc w:val="left"/>
        <w:outlineLvl w:val="1"/>
        <w:rPr>
          <w:rFonts w:ascii="宋体" w:hAnsi="宋体"/>
          <w:b/>
          <w:color w:val="000000" w:themeColor="text1"/>
          <w:sz w:val="24"/>
          <w:szCs w:val="21"/>
          <w:highlight w:val="none"/>
          <w14:textFill>
            <w14:solidFill>
              <w14:schemeClr w14:val="tx1"/>
            </w14:solidFill>
          </w14:textFill>
        </w:rPr>
      </w:pPr>
      <w:bookmarkStart w:id="142" w:name="_Toc185323386"/>
      <w:r>
        <w:rPr>
          <w:rFonts w:hint="eastAsia" w:ascii="宋体" w:hAnsi="宋体"/>
          <w:b/>
          <w:color w:val="000000" w:themeColor="text1"/>
          <w:sz w:val="24"/>
          <w:szCs w:val="21"/>
          <w:highlight w:val="none"/>
          <w14:textFill>
            <w14:solidFill>
              <w14:schemeClr w14:val="tx1"/>
            </w14:solidFill>
          </w14:textFill>
        </w:rPr>
        <w:t>二、法定代表人授权委托书</w:t>
      </w:r>
      <w:bookmarkEnd w:id="140"/>
      <w:bookmarkEnd w:id="141"/>
      <w:bookmarkEnd w:id="142"/>
    </w:p>
    <w:p w14:paraId="24079D2A">
      <w:pPr>
        <w:ind w:firstLine="803" w:firstLineChars="200"/>
        <w:jc w:val="center"/>
        <w:rPr>
          <w:rFonts w:ascii="宋体" w:hAnsi="宋体"/>
          <w:b/>
          <w:bCs/>
          <w:color w:val="000000" w:themeColor="text1"/>
          <w:sz w:val="24"/>
          <w:highlight w:val="none"/>
          <w14:textFill>
            <w14:solidFill>
              <w14:schemeClr w14:val="tx1"/>
            </w14:solidFill>
          </w14:textFill>
        </w:rPr>
      </w:pPr>
      <w:r>
        <w:rPr>
          <w:rFonts w:hint="eastAsia" w:ascii="黑体" w:hAnsi="宋体" w:eastAsia="黑体"/>
          <w:b/>
          <w:bCs/>
          <w:color w:val="000000" w:themeColor="text1"/>
          <w:sz w:val="40"/>
          <w:szCs w:val="44"/>
          <w:highlight w:val="none"/>
          <w14:textFill>
            <w14:solidFill>
              <w14:schemeClr w14:val="tx1"/>
            </w14:solidFill>
          </w14:textFill>
        </w:rPr>
        <w:t>法定代表人授权委托书</w:t>
      </w:r>
    </w:p>
    <w:p w14:paraId="5FBB05AA">
      <w:pPr>
        <w:spacing w:line="500" w:lineRule="exact"/>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color w:val="000000" w:themeColor="text1"/>
          <w:sz w:val="24"/>
          <w:szCs w:val="21"/>
          <w:highlight w:val="none"/>
          <w:lang w:eastAsia="zh-CN"/>
          <w14:textFill>
            <w14:solidFill>
              <w14:schemeClr w14:val="tx1"/>
            </w14:solidFill>
          </w14:textFill>
        </w:rPr>
        <w:t>南京江宁滨江经济开发区管理委员会</w:t>
      </w:r>
      <w:r>
        <w:rPr>
          <w:rFonts w:hint="eastAsia" w:ascii="宋体" w:hAnsi="宋体"/>
          <w:color w:val="000000" w:themeColor="text1"/>
          <w:sz w:val="24"/>
          <w:szCs w:val="21"/>
          <w:highlight w:val="none"/>
          <w14:textFill>
            <w14:solidFill>
              <w14:schemeClr w14:val="tx1"/>
            </w14:solidFill>
          </w14:textFill>
        </w:rPr>
        <w:t xml:space="preserve"> ：</w:t>
      </w:r>
    </w:p>
    <w:p w14:paraId="7E86D085">
      <w:pPr>
        <w:spacing w:line="500" w:lineRule="exact"/>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本授权书声明：注册于</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（供应商注册地址）的</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（供应商名称）法定代表人</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（法定代表人姓名、职务）代表本公司授权在下面签字的</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（授权代表姓名、职务）为本公司的合法代理人，就贵方组织的项目编号：</w:t>
      </w:r>
      <w:r>
        <w:rPr>
          <w:rFonts w:hint="eastAsia" w:ascii="宋体" w:hAnsi="宋体"/>
          <w:color w:val="000000" w:themeColor="text1"/>
          <w:sz w:val="24"/>
          <w:szCs w:val="21"/>
          <w:highlight w:val="none"/>
          <w:u w:val="single"/>
          <w:lang w:eastAsia="zh-CN"/>
          <w14:textFill>
            <w14:solidFill>
              <w14:schemeClr w14:val="tx1"/>
            </w14:solidFill>
          </w14:textFill>
        </w:rPr>
        <w:t>NJMT-CG2026-09</w:t>
      </w:r>
      <w:r>
        <w:rPr>
          <w:rFonts w:hint="eastAsia" w:ascii="宋体" w:hAnsi="宋体"/>
          <w:color w:val="000000" w:themeColor="text1"/>
          <w:sz w:val="24"/>
          <w:szCs w:val="21"/>
          <w:highlight w:val="none"/>
          <w:u w:val="single"/>
          <w14:textFill>
            <w14:solidFill>
              <w14:schemeClr w14:val="tx1"/>
            </w14:solidFill>
          </w14:textFill>
        </w:rPr>
        <w:t>号</w:t>
      </w:r>
      <w:r>
        <w:rPr>
          <w:rFonts w:hint="eastAsia" w:ascii="宋体" w:hAnsi="宋体"/>
          <w:color w:val="000000" w:themeColor="text1"/>
          <w:sz w:val="24"/>
          <w:szCs w:val="21"/>
          <w:highlight w:val="none"/>
          <w14:textFill>
            <w14:solidFill>
              <w14:schemeClr w14:val="tx1"/>
            </w14:solidFill>
          </w14:textFill>
        </w:rPr>
        <w:t>，项目名称</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，以本公司名义处理一切与之有关的事务。</w:t>
      </w:r>
    </w:p>
    <w:p w14:paraId="47E15D8F">
      <w:pPr>
        <w:spacing w:line="500" w:lineRule="exact"/>
        <w:ind w:firstLine="42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本授权书于</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日签字生效，特此声明。</w:t>
      </w:r>
    </w:p>
    <w:p w14:paraId="6F715B1A">
      <w:pPr>
        <w:spacing w:line="500" w:lineRule="exact"/>
        <w:ind w:firstLine="42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附：</w:t>
      </w:r>
      <w:r>
        <w:rPr>
          <w:rFonts w:hint="eastAsia" w:ascii="宋体" w:hAnsi="宋体"/>
          <w:b/>
          <w:color w:val="000000" w:themeColor="text1"/>
          <w:sz w:val="24"/>
          <w:szCs w:val="21"/>
          <w:highlight w:val="none"/>
          <w14:textFill>
            <w14:solidFill>
              <w14:schemeClr w14:val="tx1"/>
            </w14:solidFill>
          </w14:textFill>
        </w:rPr>
        <w:t>法人</w:t>
      </w:r>
      <w:r>
        <w:rPr>
          <w:rFonts w:hint="eastAsia" w:ascii="宋体" w:hAnsi="宋体"/>
          <w:color w:val="000000" w:themeColor="text1"/>
          <w:sz w:val="24"/>
          <w:szCs w:val="21"/>
          <w:highlight w:val="none"/>
          <w14:textFill>
            <w14:solidFill>
              <w14:schemeClr w14:val="tx1"/>
            </w14:solidFill>
          </w14:textFill>
        </w:rPr>
        <w:t>及授</w:t>
      </w:r>
      <w:r>
        <w:rPr>
          <w:rFonts w:hint="eastAsia" w:ascii="宋体" w:hAnsi="宋体"/>
          <w:b/>
          <w:color w:val="000000" w:themeColor="text1"/>
          <w:sz w:val="24"/>
          <w:szCs w:val="21"/>
          <w:highlight w:val="none"/>
          <w14:textFill>
            <w14:solidFill>
              <w14:schemeClr w14:val="tx1"/>
            </w14:solidFill>
          </w14:textFill>
        </w:rPr>
        <w:t>权委托人</w:t>
      </w:r>
      <w:r>
        <w:rPr>
          <w:rFonts w:hint="eastAsia" w:ascii="宋体" w:hAnsi="宋体"/>
          <w:color w:val="000000" w:themeColor="text1"/>
          <w:sz w:val="24"/>
          <w:szCs w:val="21"/>
          <w:highlight w:val="none"/>
          <w14:textFill>
            <w14:solidFill>
              <w14:schemeClr w14:val="tx1"/>
            </w14:solidFill>
          </w14:textFill>
        </w:rPr>
        <w:t>身份证复印件加盖公章。</w:t>
      </w:r>
    </w:p>
    <w:p w14:paraId="171C26F6">
      <w:pPr>
        <w:spacing w:line="500" w:lineRule="exact"/>
        <w:ind w:firstLine="420"/>
        <w:jc w:val="left"/>
        <w:rPr>
          <w:rFonts w:ascii="宋体" w:hAnsi="宋体"/>
          <w:color w:val="000000" w:themeColor="text1"/>
          <w:sz w:val="24"/>
          <w:szCs w:val="21"/>
          <w:highlight w:val="none"/>
          <w14:textFill>
            <w14:solidFill>
              <w14:schemeClr w14:val="tx1"/>
            </w14:solidFill>
          </w14:textFill>
        </w:rPr>
      </w:pPr>
    </w:p>
    <w:p w14:paraId="29AB9056">
      <w:pPr>
        <w:spacing w:line="500" w:lineRule="exact"/>
        <w:ind w:firstLine="420"/>
        <w:jc w:val="left"/>
        <w:rPr>
          <w:rFonts w:ascii="宋体" w:hAnsi="宋体"/>
          <w:color w:val="000000" w:themeColor="text1"/>
          <w:sz w:val="24"/>
          <w:szCs w:val="21"/>
          <w:highlight w:val="none"/>
          <w14:textFill>
            <w14:solidFill>
              <w14:schemeClr w14:val="tx1"/>
            </w14:solidFill>
          </w14:textFill>
        </w:rPr>
      </w:pPr>
    </w:p>
    <w:p w14:paraId="6A0718DD">
      <w:pPr>
        <w:spacing w:line="500" w:lineRule="exact"/>
        <w:ind w:firstLine="480" w:firstLineChars="20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供应商名称（盖章）:            </w:t>
      </w:r>
    </w:p>
    <w:p w14:paraId="25B32618">
      <w:pPr>
        <w:spacing w:line="500" w:lineRule="exact"/>
        <w:ind w:firstLine="480" w:firstLineChars="20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法定代表人签字：               </w:t>
      </w:r>
    </w:p>
    <w:p w14:paraId="18ED5D4A">
      <w:pPr>
        <w:spacing w:line="500" w:lineRule="exact"/>
        <w:ind w:firstLine="480" w:firstLineChars="20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被授权人签字：                 </w:t>
      </w:r>
    </w:p>
    <w:p w14:paraId="4290A4E3">
      <w:pPr>
        <w:tabs>
          <w:tab w:val="left" w:pos="1440"/>
        </w:tabs>
        <w:spacing w:line="500" w:lineRule="exact"/>
        <w:ind w:firstLine="480" w:firstLineChars="20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日    期：       年    月    日</w:t>
      </w:r>
    </w:p>
    <w:p w14:paraId="0F967C7B">
      <w:pPr>
        <w:jc w:val="left"/>
        <w:rPr>
          <w:rFonts w:ascii="宋体" w:hAnsi="宋体"/>
          <w:color w:val="000000" w:themeColor="text1"/>
          <w:sz w:val="24"/>
          <w:highlight w:val="none"/>
          <w14:textFill>
            <w14:solidFill>
              <w14:schemeClr w14:val="tx1"/>
            </w14:solidFill>
          </w14:textFill>
        </w:rPr>
      </w:pPr>
    </w:p>
    <w:p w14:paraId="5D23A979">
      <w:pPr>
        <w:jc w:val="left"/>
        <w:rPr>
          <w:rFonts w:ascii="宋体" w:hAnsi="宋体"/>
          <w:color w:val="000000" w:themeColor="text1"/>
          <w:sz w:val="24"/>
          <w:highlight w:val="none"/>
          <w14:textFill>
            <w14:solidFill>
              <w14:schemeClr w14:val="tx1"/>
            </w14:solidFill>
          </w14:textFill>
        </w:rPr>
      </w:pPr>
    </w:p>
    <w:p w14:paraId="501B5AA3">
      <w:pPr>
        <w:jc w:val="left"/>
        <w:rPr>
          <w:rFonts w:ascii="宋体" w:hAnsi="宋体"/>
          <w:color w:val="000000" w:themeColor="text1"/>
          <w:sz w:val="24"/>
          <w:highlight w:val="none"/>
          <w14:textFill>
            <w14:solidFill>
              <w14:schemeClr w14:val="tx1"/>
            </w14:solidFill>
          </w14:textFill>
        </w:rPr>
      </w:pPr>
    </w:p>
    <w:p w14:paraId="137438B9">
      <w:pPr>
        <w:jc w:val="left"/>
        <w:rPr>
          <w:rFonts w:ascii="宋体" w:hAnsi="宋体"/>
          <w:color w:val="000000" w:themeColor="text1"/>
          <w:sz w:val="24"/>
          <w:highlight w:val="none"/>
          <w14:textFill>
            <w14:solidFill>
              <w14:schemeClr w14:val="tx1"/>
            </w14:solidFill>
          </w14:textFill>
        </w:rPr>
      </w:pPr>
    </w:p>
    <w:p w14:paraId="42AE991B">
      <w:pPr>
        <w:jc w:val="left"/>
        <w:rPr>
          <w:rFonts w:ascii="宋体" w:hAnsi="宋体"/>
          <w:color w:val="000000" w:themeColor="text1"/>
          <w:sz w:val="24"/>
          <w:highlight w:val="none"/>
          <w14:textFill>
            <w14:solidFill>
              <w14:schemeClr w14:val="tx1"/>
            </w14:solidFill>
          </w14:textFill>
        </w:rPr>
      </w:pPr>
    </w:p>
    <w:p w14:paraId="438BA463">
      <w:pPr>
        <w:jc w:val="left"/>
        <w:rPr>
          <w:rFonts w:ascii="宋体" w:hAnsi="宋体"/>
          <w:color w:val="000000" w:themeColor="text1"/>
          <w:sz w:val="24"/>
          <w:highlight w:val="none"/>
          <w14:textFill>
            <w14:solidFill>
              <w14:schemeClr w14:val="tx1"/>
            </w14:solidFill>
          </w14:textFill>
        </w:rPr>
      </w:pPr>
    </w:p>
    <w:p w14:paraId="4ADF8708">
      <w:pPr>
        <w:jc w:val="left"/>
        <w:rPr>
          <w:rFonts w:ascii="宋体" w:hAnsi="宋体"/>
          <w:color w:val="000000" w:themeColor="text1"/>
          <w:sz w:val="24"/>
          <w:highlight w:val="none"/>
          <w14:textFill>
            <w14:solidFill>
              <w14:schemeClr w14:val="tx1"/>
            </w14:solidFill>
          </w14:textFill>
        </w:rPr>
      </w:pPr>
    </w:p>
    <w:p w14:paraId="1E5CBEAC">
      <w:pPr>
        <w:jc w:val="left"/>
        <w:rPr>
          <w:rFonts w:ascii="宋体" w:hAnsi="宋体"/>
          <w:color w:val="000000" w:themeColor="text1"/>
          <w:sz w:val="24"/>
          <w:highlight w:val="none"/>
          <w14:textFill>
            <w14:solidFill>
              <w14:schemeClr w14:val="tx1"/>
            </w14:solidFill>
          </w14:textFill>
        </w:rPr>
      </w:pPr>
    </w:p>
    <w:p w14:paraId="0794B9BB">
      <w:pPr>
        <w:jc w:val="left"/>
        <w:rPr>
          <w:rFonts w:ascii="宋体" w:hAnsi="宋体"/>
          <w:color w:val="000000" w:themeColor="text1"/>
          <w:sz w:val="24"/>
          <w:highlight w:val="none"/>
          <w14:textFill>
            <w14:solidFill>
              <w14:schemeClr w14:val="tx1"/>
            </w14:solidFill>
          </w14:textFill>
        </w:rPr>
      </w:pPr>
    </w:p>
    <w:p w14:paraId="55901B64">
      <w:pPr>
        <w:jc w:val="left"/>
        <w:rPr>
          <w:rFonts w:ascii="宋体" w:hAnsi="宋体"/>
          <w:color w:val="000000" w:themeColor="text1"/>
          <w:sz w:val="24"/>
          <w:highlight w:val="none"/>
          <w14:textFill>
            <w14:solidFill>
              <w14:schemeClr w14:val="tx1"/>
            </w14:solidFill>
          </w14:textFill>
        </w:rPr>
      </w:pPr>
    </w:p>
    <w:p w14:paraId="3D175110">
      <w:pPr>
        <w:jc w:val="left"/>
        <w:rPr>
          <w:rFonts w:ascii="宋体" w:hAnsi="宋体"/>
          <w:color w:val="000000" w:themeColor="text1"/>
          <w:sz w:val="24"/>
          <w:highlight w:val="none"/>
          <w14:textFill>
            <w14:solidFill>
              <w14:schemeClr w14:val="tx1"/>
            </w14:solidFill>
          </w14:textFill>
        </w:rPr>
      </w:pPr>
    </w:p>
    <w:p w14:paraId="07ECFA7E">
      <w:pPr>
        <w:jc w:val="left"/>
        <w:rPr>
          <w:rFonts w:ascii="宋体" w:hAnsi="宋体"/>
          <w:color w:val="000000" w:themeColor="text1"/>
          <w:sz w:val="24"/>
          <w:highlight w:val="none"/>
          <w14:textFill>
            <w14:solidFill>
              <w14:schemeClr w14:val="tx1"/>
            </w14:solidFill>
          </w14:textFill>
        </w:rPr>
      </w:pPr>
    </w:p>
    <w:p w14:paraId="290CD260">
      <w:pPr>
        <w:jc w:val="left"/>
        <w:rPr>
          <w:rFonts w:ascii="宋体" w:hAnsi="宋体"/>
          <w:color w:val="000000" w:themeColor="text1"/>
          <w:sz w:val="24"/>
          <w:highlight w:val="none"/>
          <w14:textFill>
            <w14:solidFill>
              <w14:schemeClr w14:val="tx1"/>
            </w14:solidFill>
          </w14:textFill>
        </w:rPr>
      </w:pPr>
    </w:p>
    <w:p w14:paraId="0F7CCC7C">
      <w:pPr>
        <w:jc w:val="left"/>
        <w:rPr>
          <w:rFonts w:ascii="宋体" w:hAnsi="宋体"/>
          <w:color w:val="000000" w:themeColor="text1"/>
          <w:sz w:val="24"/>
          <w:highlight w:val="none"/>
          <w14:textFill>
            <w14:solidFill>
              <w14:schemeClr w14:val="tx1"/>
            </w14:solidFill>
          </w14:textFill>
        </w:rPr>
      </w:pPr>
    </w:p>
    <w:p w14:paraId="006091C5">
      <w:pPr>
        <w:jc w:val="left"/>
        <w:rPr>
          <w:rFonts w:ascii="宋体" w:hAnsi="宋体"/>
          <w:color w:val="000000" w:themeColor="text1"/>
          <w:sz w:val="24"/>
          <w:highlight w:val="none"/>
          <w14:textFill>
            <w14:solidFill>
              <w14:schemeClr w14:val="tx1"/>
            </w14:solidFill>
          </w14:textFill>
        </w:rPr>
      </w:pPr>
    </w:p>
    <w:p w14:paraId="2BE4DC9D">
      <w:pPr>
        <w:jc w:val="left"/>
        <w:rPr>
          <w:rFonts w:ascii="宋体" w:hAnsi="宋体"/>
          <w:color w:val="000000" w:themeColor="text1"/>
          <w:sz w:val="24"/>
          <w:highlight w:val="none"/>
          <w14:textFill>
            <w14:solidFill>
              <w14:schemeClr w14:val="tx1"/>
            </w14:solidFill>
          </w14:textFill>
        </w:rPr>
      </w:pPr>
    </w:p>
    <w:p w14:paraId="44E5DBAC">
      <w:pPr>
        <w:jc w:val="left"/>
        <w:rPr>
          <w:rFonts w:ascii="宋体" w:hAnsi="宋体"/>
          <w:color w:val="000000" w:themeColor="text1"/>
          <w:sz w:val="24"/>
          <w:highlight w:val="none"/>
          <w14:textFill>
            <w14:solidFill>
              <w14:schemeClr w14:val="tx1"/>
            </w14:solidFill>
          </w14:textFill>
        </w:rPr>
      </w:pPr>
    </w:p>
    <w:p w14:paraId="3E7B51B9">
      <w:pPr>
        <w:jc w:val="left"/>
        <w:rPr>
          <w:rFonts w:ascii="宋体" w:hAnsi="宋体"/>
          <w:color w:val="000000" w:themeColor="text1"/>
          <w:sz w:val="24"/>
          <w:highlight w:val="none"/>
          <w14:textFill>
            <w14:solidFill>
              <w14:schemeClr w14:val="tx1"/>
            </w14:solidFill>
          </w14:textFill>
        </w:rPr>
      </w:pPr>
    </w:p>
    <w:p w14:paraId="7AD8DC85">
      <w:pPr>
        <w:jc w:val="left"/>
        <w:rPr>
          <w:rFonts w:ascii="宋体" w:hAnsi="宋体"/>
          <w:color w:val="000000" w:themeColor="text1"/>
          <w:sz w:val="24"/>
          <w:highlight w:val="none"/>
          <w14:textFill>
            <w14:solidFill>
              <w14:schemeClr w14:val="tx1"/>
            </w14:solidFill>
          </w14:textFill>
        </w:rPr>
      </w:pPr>
    </w:p>
    <w:p w14:paraId="7BD05AD6">
      <w:pPr>
        <w:jc w:val="left"/>
        <w:rPr>
          <w:rFonts w:ascii="宋体" w:hAnsi="宋体"/>
          <w:color w:val="000000" w:themeColor="text1"/>
          <w:sz w:val="24"/>
          <w:highlight w:val="none"/>
          <w14:textFill>
            <w14:solidFill>
              <w14:schemeClr w14:val="tx1"/>
            </w14:solidFill>
          </w14:textFill>
        </w:rPr>
      </w:pPr>
    </w:p>
    <w:p w14:paraId="07DCA67D">
      <w:pPr>
        <w:jc w:val="left"/>
        <w:rPr>
          <w:rFonts w:ascii="宋体" w:hAnsi="宋体"/>
          <w:color w:val="000000" w:themeColor="text1"/>
          <w:sz w:val="24"/>
          <w:highlight w:val="none"/>
          <w14:textFill>
            <w14:solidFill>
              <w14:schemeClr w14:val="tx1"/>
            </w14:solidFill>
          </w14:textFill>
        </w:rPr>
      </w:pPr>
    </w:p>
    <w:p w14:paraId="48133C97">
      <w:pPr>
        <w:jc w:val="left"/>
        <w:outlineLvl w:val="1"/>
        <w:rPr>
          <w:rFonts w:ascii="宋体" w:hAnsi="宋体"/>
          <w:b/>
          <w:color w:val="000000" w:themeColor="text1"/>
          <w:sz w:val="24"/>
          <w:szCs w:val="21"/>
          <w:highlight w:val="none"/>
          <w14:textFill>
            <w14:solidFill>
              <w14:schemeClr w14:val="tx1"/>
            </w14:solidFill>
          </w14:textFill>
        </w:rPr>
      </w:pPr>
      <w:bookmarkStart w:id="143" w:name="_Toc185323387"/>
      <w:bookmarkStart w:id="144" w:name="_Toc8055"/>
      <w:bookmarkStart w:id="145" w:name="_Toc25188"/>
      <w:bookmarkStart w:id="146" w:name="_Toc354594116"/>
      <w:r>
        <w:rPr>
          <w:rFonts w:hint="eastAsia" w:ascii="宋体" w:hAnsi="宋体"/>
          <w:b/>
          <w:color w:val="000000" w:themeColor="text1"/>
          <w:sz w:val="24"/>
          <w:szCs w:val="21"/>
          <w:highlight w:val="none"/>
          <w14:textFill>
            <w14:solidFill>
              <w14:schemeClr w14:val="tx1"/>
            </w14:solidFill>
          </w14:textFill>
        </w:rPr>
        <w:t>三、磋商报价汇总表</w:t>
      </w:r>
      <w:bookmarkEnd w:id="143"/>
      <w:bookmarkEnd w:id="144"/>
      <w:bookmarkEnd w:id="145"/>
      <w:bookmarkEnd w:id="146"/>
    </w:p>
    <w:p w14:paraId="12B841DD">
      <w:pPr>
        <w:autoSpaceDE w:val="0"/>
        <w:autoSpaceDN w:val="0"/>
        <w:adjustRightInd w:val="0"/>
        <w:spacing w:line="360" w:lineRule="auto"/>
        <w:ind w:firstLine="361" w:firstLineChars="100"/>
        <w:jc w:val="center"/>
        <w:rPr>
          <w:rFonts w:ascii="黑体" w:hAnsi="宋体" w:eastAsia="黑体"/>
          <w:b/>
          <w:color w:val="000000" w:themeColor="text1"/>
          <w:sz w:val="36"/>
          <w:szCs w:val="28"/>
          <w:highlight w:val="none"/>
          <w14:textFill>
            <w14:solidFill>
              <w14:schemeClr w14:val="tx1"/>
            </w14:solidFill>
          </w14:textFill>
        </w:rPr>
      </w:pPr>
      <w:r>
        <w:rPr>
          <w:rFonts w:hint="eastAsia" w:ascii="黑体" w:hAnsi="宋体" w:eastAsia="黑体"/>
          <w:b/>
          <w:color w:val="000000" w:themeColor="text1"/>
          <w:sz w:val="36"/>
          <w:szCs w:val="28"/>
          <w:highlight w:val="none"/>
          <w14:textFill>
            <w14:solidFill>
              <w14:schemeClr w14:val="tx1"/>
            </w14:solidFill>
          </w14:textFill>
        </w:rPr>
        <w:t>磋商报价汇总表</w:t>
      </w:r>
    </w:p>
    <w:p w14:paraId="3E102FBE">
      <w:pPr>
        <w:autoSpaceDE w:val="0"/>
        <w:autoSpaceDN w:val="0"/>
        <w:adjustRightInd w:val="0"/>
        <w:spacing w:line="360" w:lineRule="auto"/>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项目编号：</w:t>
      </w:r>
      <w:r>
        <w:rPr>
          <w:rFonts w:hint="eastAsia" w:ascii="宋体" w:hAnsi="宋体"/>
          <w:bCs/>
          <w:color w:val="000000" w:themeColor="text1"/>
          <w:sz w:val="24"/>
          <w:szCs w:val="21"/>
          <w:highlight w:val="none"/>
          <w:lang w:eastAsia="zh-CN"/>
          <w14:textFill>
            <w14:solidFill>
              <w14:schemeClr w14:val="tx1"/>
            </w14:solidFill>
          </w14:textFill>
        </w:rPr>
        <w:t>NJMT-CG2026-09</w:t>
      </w:r>
      <w:r>
        <w:rPr>
          <w:rFonts w:hint="eastAsia" w:ascii="宋体" w:hAnsi="宋体"/>
          <w:bCs/>
          <w:color w:val="000000" w:themeColor="text1"/>
          <w:sz w:val="24"/>
          <w:szCs w:val="21"/>
          <w:highlight w:val="none"/>
          <w14:textFill>
            <w14:solidFill>
              <w14:schemeClr w14:val="tx1"/>
            </w14:solidFill>
          </w14:textFill>
        </w:rPr>
        <w:t xml:space="preserve"> </w:t>
      </w:r>
    </w:p>
    <w:p w14:paraId="658674F9">
      <w:pPr>
        <w:autoSpaceDE w:val="0"/>
        <w:autoSpaceDN w:val="0"/>
        <w:adjustRightInd w:val="0"/>
        <w:spacing w:line="360" w:lineRule="auto"/>
        <w:jc w:val="left"/>
        <w:rPr>
          <w:rFonts w:hint="eastAsia" w:ascii="宋体" w:hAnsi="宋体" w:eastAsia="宋体"/>
          <w:bCs/>
          <w:color w:val="000000" w:themeColor="text1"/>
          <w:sz w:val="24"/>
          <w:szCs w:val="21"/>
          <w:highlight w:val="none"/>
          <w:lang w:eastAsia="zh-CN"/>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2026年园区VOCs站运维服务项目</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159"/>
        <w:gridCol w:w="1631"/>
      </w:tblGrid>
      <w:tr w14:paraId="515A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674" w:type="dxa"/>
            <w:vMerge w:val="restart"/>
            <w:vAlign w:val="center"/>
          </w:tcPr>
          <w:p w14:paraId="157BCC6E">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磋商报价</w:t>
            </w:r>
          </w:p>
        </w:tc>
        <w:tc>
          <w:tcPr>
            <w:tcW w:w="6159" w:type="dxa"/>
            <w:vAlign w:val="center"/>
          </w:tcPr>
          <w:p w14:paraId="59FEB2DC">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大写：</w:t>
            </w:r>
            <w:r>
              <w:rPr>
                <w:rFonts w:hint="eastAsia" w:ascii="宋体" w:hAnsi="宋体"/>
                <w:bCs/>
                <w:color w:val="000000" w:themeColor="text1"/>
                <w:sz w:val="24"/>
                <w:szCs w:val="21"/>
                <w:highlight w:val="none"/>
                <w:u w:val="single"/>
                <w14:textFill>
                  <w14:solidFill>
                    <w14:schemeClr w14:val="tx1"/>
                  </w14:solidFill>
                </w14:textFill>
              </w:rPr>
              <w:t xml:space="preserve">                            </w:t>
            </w:r>
          </w:p>
        </w:tc>
        <w:tc>
          <w:tcPr>
            <w:tcW w:w="1631" w:type="dxa"/>
            <w:vMerge w:val="restart"/>
            <w:vAlign w:val="center"/>
          </w:tcPr>
          <w:p w14:paraId="0200F536">
            <w:pPr>
              <w:pStyle w:val="14"/>
              <w:spacing w:after="0"/>
              <w:jc w:val="left"/>
              <w:rPr>
                <w:rFonts w:ascii="宋体" w:hAnsi="宋体"/>
                <w:color w:val="000000" w:themeColor="text1"/>
                <w:sz w:val="24"/>
                <w:szCs w:val="21"/>
                <w:highlight w:val="none"/>
                <w14:textFill>
                  <w14:solidFill>
                    <w14:schemeClr w14:val="tx1"/>
                  </w14:solidFill>
                </w14:textFill>
              </w:rPr>
            </w:pPr>
          </w:p>
        </w:tc>
      </w:tr>
      <w:tr w14:paraId="520D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74" w:type="dxa"/>
            <w:vMerge w:val="continue"/>
            <w:vAlign w:val="center"/>
          </w:tcPr>
          <w:p w14:paraId="7C460EC5">
            <w:pPr>
              <w:pStyle w:val="14"/>
              <w:spacing w:after="0"/>
              <w:jc w:val="left"/>
              <w:rPr>
                <w:rFonts w:ascii="宋体" w:hAnsi="宋体"/>
                <w:bCs/>
                <w:color w:val="000000" w:themeColor="text1"/>
                <w:sz w:val="24"/>
                <w:szCs w:val="21"/>
                <w:highlight w:val="none"/>
                <w14:textFill>
                  <w14:solidFill>
                    <w14:schemeClr w14:val="tx1"/>
                  </w14:solidFill>
                </w14:textFill>
              </w:rPr>
            </w:pPr>
          </w:p>
        </w:tc>
        <w:tc>
          <w:tcPr>
            <w:tcW w:w="6159" w:type="dxa"/>
            <w:tcBorders>
              <w:bottom w:val="single" w:color="auto" w:sz="4" w:space="0"/>
            </w:tcBorders>
            <w:vAlign w:val="center"/>
          </w:tcPr>
          <w:p w14:paraId="37ED6345">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小写：</w:t>
            </w:r>
            <w:r>
              <w:rPr>
                <w:rFonts w:hint="eastAsia" w:ascii="宋体" w:hAnsi="宋体"/>
                <w:bCs/>
                <w:color w:val="000000" w:themeColor="text1"/>
                <w:sz w:val="24"/>
                <w:szCs w:val="21"/>
                <w:highlight w:val="none"/>
                <w:u w:val="single"/>
                <w14:textFill>
                  <w14:solidFill>
                    <w14:schemeClr w14:val="tx1"/>
                  </w14:solidFill>
                </w14:textFill>
              </w:rPr>
              <w:t xml:space="preserve">                             </w:t>
            </w:r>
          </w:p>
        </w:tc>
        <w:tc>
          <w:tcPr>
            <w:tcW w:w="1631" w:type="dxa"/>
            <w:vMerge w:val="continue"/>
            <w:tcBorders>
              <w:bottom w:val="single" w:color="auto" w:sz="4" w:space="0"/>
            </w:tcBorders>
            <w:vAlign w:val="center"/>
          </w:tcPr>
          <w:p w14:paraId="7EAA1D60">
            <w:pPr>
              <w:pStyle w:val="14"/>
              <w:spacing w:after="0"/>
              <w:jc w:val="left"/>
              <w:rPr>
                <w:rFonts w:ascii="宋体" w:hAnsi="宋体"/>
                <w:color w:val="000000" w:themeColor="text1"/>
                <w:sz w:val="24"/>
                <w:szCs w:val="21"/>
                <w:highlight w:val="none"/>
                <w14:textFill>
                  <w14:solidFill>
                    <w14:schemeClr w14:val="tx1"/>
                  </w14:solidFill>
                </w14:textFill>
              </w:rPr>
            </w:pPr>
          </w:p>
        </w:tc>
      </w:tr>
      <w:tr w14:paraId="458C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74" w:type="dxa"/>
            <w:vAlign w:val="center"/>
          </w:tcPr>
          <w:p w14:paraId="5C97FFB1">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响应文件份数</w:t>
            </w:r>
          </w:p>
        </w:tc>
        <w:tc>
          <w:tcPr>
            <w:tcW w:w="6159" w:type="dxa"/>
            <w:vAlign w:val="center"/>
          </w:tcPr>
          <w:p w14:paraId="0ACD9CE2">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正本：</w:t>
            </w:r>
            <w:r>
              <w:rPr>
                <w:rFonts w:hint="eastAsia" w:ascii="宋体" w:hAnsi="宋体"/>
                <w:bCs/>
                <w:color w:val="000000" w:themeColor="text1"/>
                <w:sz w:val="24"/>
                <w:szCs w:val="21"/>
                <w:highlight w:val="none"/>
                <w:u w:val="single"/>
                <w14:textFill>
                  <w14:solidFill>
                    <w14:schemeClr w14:val="tx1"/>
                  </w14:solidFill>
                </w14:textFill>
              </w:rPr>
              <w:t xml:space="preserve">      </w:t>
            </w:r>
            <w:r>
              <w:rPr>
                <w:rFonts w:hint="eastAsia" w:ascii="宋体" w:hAnsi="宋体"/>
                <w:bCs/>
                <w:color w:val="000000" w:themeColor="text1"/>
                <w:sz w:val="24"/>
                <w:szCs w:val="21"/>
                <w:highlight w:val="none"/>
                <w14:textFill>
                  <w14:solidFill>
                    <w14:schemeClr w14:val="tx1"/>
                  </w14:solidFill>
                </w14:textFill>
              </w:rPr>
              <w:t>份              副本：</w:t>
            </w:r>
            <w:r>
              <w:rPr>
                <w:rFonts w:hint="eastAsia" w:ascii="宋体" w:hAnsi="宋体"/>
                <w:bCs/>
                <w:color w:val="000000" w:themeColor="text1"/>
                <w:sz w:val="24"/>
                <w:szCs w:val="21"/>
                <w:highlight w:val="none"/>
                <w:u w:val="single"/>
                <w14:textFill>
                  <w14:solidFill>
                    <w14:schemeClr w14:val="tx1"/>
                  </w14:solidFill>
                </w14:textFill>
              </w:rPr>
              <w:t xml:space="preserve">     </w:t>
            </w:r>
            <w:r>
              <w:rPr>
                <w:rFonts w:hint="eastAsia" w:ascii="宋体" w:hAnsi="宋体"/>
                <w:bCs/>
                <w:color w:val="000000" w:themeColor="text1"/>
                <w:sz w:val="24"/>
                <w:szCs w:val="21"/>
                <w:highlight w:val="none"/>
                <w14:textFill>
                  <w14:solidFill>
                    <w14:schemeClr w14:val="tx1"/>
                  </w14:solidFill>
                </w14:textFill>
              </w:rPr>
              <w:t>份</w:t>
            </w:r>
          </w:p>
        </w:tc>
        <w:tc>
          <w:tcPr>
            <w:tcW w:w="1631" w:type="dxa"/>
            <w:vAlign w:val="center"/>
          </w:tcPr>
          <w:p w14:paraId="19D5AF87">
            <w:pPr>
              <w:pStyle w:val="14"/>
              <w:spacing w:after="0"/>
              <w:jc w:val="left"/>
              <w:rPr>
                <w:rFonts w:ascii="宋体" w:hAnsi="宋体"/>
                <w:color w:val="000000" w:themeColor="text1"/>
                <w:sz w:val="24"/>
                <w:szCs w:val="21"/>
                <w:highlight w:val="none"/>
                <w14:textFill>
                  <w14:solidFill>
                    <w14:schemeClr w14:val="tx1"/>
                  </w14:solidFill>
                </w14:textFill>
              </w:rPr>
            </w:pPr>
          </w:p>
        </w:tc>
      </w:tr>
      <w:tr w14:paraId="2E38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74" w:type="dxa"/>
            <w:vAlign w:val="center"/>
          </w:tcPr>
          <w:p w14:paraId="48D86338">
            <w:pPr>
              <w:pStyle w:val="14"/>
              <w:spacing w:after="0"/>
              <w:jc w:val="left"/>
              <w:rPr>
                <w:rFonts w:ascii="宋体" w:hAnsi="宋体"/>
                <w:bCs/>
                <w:color w:val="000000" w:themeColor="text1"/>
                <w:sz w:val="24"/>
                <w:szCs w:val="21"/>
                <w:highlight w:val="none"/>
                <w14:textFill>
                  <w14:solidFill>
                    <w14:schemeClr w14:val="tx1"/>
                  </w14:solidFill>
                </w14:textFill>
              </w:rPr>
            </w:pPr>
            <w:r>
              <w:rPr>
                <w:rFonts w:ascii="宋体" w:hAnsi="宋体"/>
                <w:bCs/>
                <w:color w:val="000000" w:themeColor="text1"/>
                <w:sz w:val="24"/>
                <w:szCs w:val="21"/>
                <w:highlight w:val="none"/>
                <w14:textFill>
                  <w14:solidFill>
                    <w14:schemeClr w14:val="tx1"/>
                  </w14:solidFill>
                </w14:textFill>
              </w:rPr>
              <w:t>项目负责人</w:t>
            </w:r>
          </w:p>
        </w:tc>
        <w:tc>
          <w:tcPr>
            <w:tcW w:w="6159" w:type="dxa"/>
            <w:vAlign w:val="center"/>
          </w:tcPr>
          <w:p w14:paraId="1E9850A2">
            <w:pPr>
              <w:pStyle w:val="14"/>
              <w:spacing w:after="0"/>
              <w:jc w:val="left"/>
              <w:rPr>
                <w:rFonts w:ascii="宋体" w:hAnsi="宋体"/>
                <w:bCs/>
                <w:color w:val="000000" w:themeColor="text1"/>
                <w:sz w:val="24"/>
                <w:szCs w:val="21"/>
                <w:highlight w:val="none"/>
                <w14:textFill>
                  <w14:solidFill>
                    <w14:schemeClr w14:val="tx1"/>
                  </w14:solidFill>
                </w14:textFill>
              </w:rPr>
            </w:pPr>
          </w:p>
        </w:tc>
        <w:tc>
          <w:tcPr>
            <w:tcW w:w="1631" w:type="dxa"/>
            <w:vAlign w:val="center"/>
          </w:tcPr>
          <w:p w14:paraId="4A2F655C">
            <w:pPr>
              <w:pStyle w:val="14"/>
              <w:spacing w:after="0"/>
              <w:jc w:val="left"/>
              <w:rPr>
                <w:rFonts w:ascii="宋体" w:hAnsi="宋体"/>
                <w:color w:val="000000" w:themeColor="text1"/>
                <w:sz w:val="24"/>
                <w:szCs w:val="21"/>
                <w:highlight w:val="none"/>
                <w14:textFill>
                  <w14:solidFill>
                    <w14:schemeClr w14:val="tx1"/>
                  </w14:solidFill>
                </w14:textFill>
              </w:rPr>
            </w:pPr>
          </w:p>
        </w:tc>
      </w:tr>
      <w:tr w14:paraId="0DAC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674" w:type="dxa"/>
            <w:vAlign w:val="center"/>
          </w:tcPr>
          <w:p w14:paraId="42FF04E1">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服务期</w:t>
            </w:r>
          </w:p>
        </w:tc>
        <w:tc>
          <w:tcPr>
            <w:tcW w:w="6159" w:type="dxa"/>
            <w:vAlign w:val="center"/>
          </w:tcPr>
          <w:p w14:paraId="505C46D3">
            <w:pPr>
              <w:pStyle w:val="14"/>
              <w:spacing w:after="0"/>
              <w:jc w:val="left"/>
              <w:rPr>
                <w:rFonts w:ascii="宋体" w:hAnsi="宋体" w:cs="宋体"/>
                <w:color w:val="000000" w:themeColor="text1"/>
                <w:sz w:val="24"/>
                <w:szCs w:val="21"/>
                <w:highlight w:val="none"/>
                <w:lang w:val="zh-CN"/>
                <w14:textFill>
                  <w14:solidFill>
                    <w14:schemeClr w14:val="tx1"/>
                  </w14:solidFill>
                </w14:textFill>
              </w:rPr>
            </w:pPr>
          </w:p>
        </w:tc>
        <w:tc>
          <w:tcPr>
            <w:tcW w:w="1631" w:type="dxa"/>
            <w:vAlign w:val="center"/>
          </w:tcPr>
          <w:p w14:paraId="655A79DD">
            <w:pPr>
              <w:pStyle w:val="14"/>
              <w:spacing w:after="0"/>
              <w:jc w:val="left"/>
              <w:rPr>
                <w:rFonts w:ascii="宋体" w:hAnsi="宋体"/>
                <w:color w:val="000000" w:themeColor="text1"/>
                <w:sz w:val="24"/>
                <w:szCs w:val="21"/>
                <w:highlight w:val="none"/>
                <w14:textFill>
                  <w14:solidFill>
                    <w14:schemeClr w14:val="tx1"/>
                  </w14:solidFill>
                </w14:textFill>
              </w:rPr>
            </w:pPr>
          </w:p>
        </w:tc>
      </w:tr>
      <w:tr w14:paraId="2A26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74" w:type="dxa"/>
            <w:vAlign w:val="center"/>
          </w:tcPr>
          <w:p w14:paraId="1332795F">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是否小微企业</w:t>
            </w:r>
          </w:p>
        </w:tc>
        <w:tc>
          <w:tcPr>
            <w:tcW w:w="6159" w:type="dxa"/>
            <w:vAlign w:val="center"/>
          </w:tcPr>
          <w:p w14:paraId="336FAE43">
            <w:pPr>
              <w:pStyle w:val="14"/>
              <w:spacing w:after="0"/>
              <w:ind w:firstLine="2400" w:firstLineChars="1000"/>
              <w:jc w:val="left"/>
              <w:rPr>
                <w:rFonts w:ascii="宋体" w:hAnsi="宋体" w:cs="宋体"/>
                <w:color w:val="000000" w:themeColor="text1"/>
                <w:sz w:val="24"/>
                <w:szCs w:val="21"/>
                <w:highlight w:val="none"/>
                <w:lang w:val="zh-CN"/>
                <w14:textFill>
                  <w14:solidFill>
                    <w14:schemeClr w14:val="tx1"/>
                  </w14:solidFill>
                </w14:textFill>
              </w:rPr>
            </w:pPr>
            <w:r>
              <w:rPr>
                <w:rFonts w:ascii="宋体" w:hAnsi="宋体" w:cs="宋体"/>
                <w:color w:val="000000" w:themeColor="text1"/>
                <w:sz w:val="24"/>
                <w:szCs w:val="21"/>
                <w:highlight w:val="none"/>
                <w:lang w:val="zh-CN"/>
                <w14:textFill>
                  <w14:solidFill>
                    <w14:schemeClr w14:val="tx1"/>
                  </w14:solidFill>
                </w14:textFill>
              </w:rPr>
              <w:t>是</w:t>
            </w:r>
            <w:r>
              <w:rPr>
                <w:rFonts w:hint="eastAsia" w:ascii="宋体" w:hAnsi="宋体" w:cs="宋体"/>
                <w:color w:val="000000" w:themeColor="text1"/>
                <w:sz w:val="24"/>
                <w:szCs w:val="21"/>
                <w:highlight w:val="none"/>
                <w:lang w:val="zh-CN"/>
                <w14:textFill>
                  <w14:solidFill>
                    <w14:schemeClr w14:val="tx1"/>
                  </w14:solidFill>
                </w14:textFill>
              </w:rPr>
              <w:t xml:space="preserve">       否</w:t>
            </w:r>
          </w:p>
        </w:tc>
        <w:tc>
          <w:tcPr>
            <w:tcW w:w="1631" w:type="dxa"/>
            <w:vAlign w:val="center"/>
          </w:tcPr>
          <w:p w14:paraId="2BE31C64">
            <w:pPr>
              <w:pStyle w:val="14"/>
              <w:spacing w:after="0"/>
              <w:jc w:val="left"/>
              <w:rPr>
                <w:rFonts w:ascii="宋体" w:hAnsi="宋体"/>
                <w:color w:val="000000" w:themeColor="text1"/>
                <w:sz w:val="24"/>
                <w:szCs w:val="21"/>
                <w:highlight w:val="none"/>
                <w14:textFill>
                  <w14:solidFill>
                    <w14:schemeClr w14:val="tx1"/>
                  </w14:solidFill>
                </w14:textFill>
              </w:rPr>
            </w:pPr>
          </w:p>
        </w:tc>
      </w:tr>
      <w:tr w14:paraId="07D2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74" w:type="dxa"/>
            <w:vAlign w:val="center"/>
          </w:tcPr>
          <w:p w14:paraId="3EA85869">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其它</w:t>
            </w:r>
          </w:p>
        </w:tc>
        <w:tc>
          <w:tcPr>
            <w:tcW w:w="6159" w:type="dxa"/>
            <w:vAlign w:val="center"/>
          </w:tcPr>
          <w:p w14:paraId="77E99B0A">
            <w:pPr>
              <w:pStyle w:val="14"/>
              <w:spacing w:after="0"/>
              <w:jc w:val="left"/>
              <w:rPr>
                <w:rFonts w:ascii="宋体" w:hAnsi="宋体"/>
                <w:bCs/>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（如有优惠条件须在此注明）</w:t>
            </w:r>
          </w:p>
        </w:tc>
        <w:tc>
          <w:tcPr>
            <w:tcW w:w="1631" w:type="dxa"/>
            <w:vAlign w:val="center"/>
          </w:tcPr>
          <w:p w14:paraId="4793C106">
            <w:pPr>
              <w:pStyle w:val="14"/>
              <w:spacing w:after="0"/>
              <w:jc w:val="left"/>
              <w:rPr>
                <w:rFonts w:ascii="宋体" w:hAnsi="宋体"/>
                <w:color w:val="000000" w:themeColor="text1"/>
                <w:sz w:val="24"/>
                <w:szCs w:val="21"/>
                <w:highlight w:val="none"/>
                <w14:textFill>
                  <w14:solidFill>
                    <w14:schemeClr w14:val="tx1"/>
                  </w14:solidFill>
                </w14:textFill>
              </w:rPr>
            </w:pPr>
          </w:p>
        </w:tc>
      </w:tr>
    </w:tbl>
    <w:p w14:paraId="1BDD792E">
      <w:pPr>
        <w:wordWrap w:val="0"/>
        <w:autoSpaceDE w:val="0"/>
        <w:autoSpaceDN w:val="0"/>
        <w:adjustRightInd w:val="0"/>
        <w:jc w:val="left"/>
        <w:rPr>
          <w:rFonts w:ascii="宋体" w:hAnsi="宋体" w:cs="宋体"/>
          <w:color w:val="000000" w:themeColor="text1"/>
          <w:sz w:val="24"/>
          <w:szCs w:val="21"/>
          <w:highlight w:val="none"/>
          <w:lang w:val="zh-CN"/>
          <w14:textFill>
            <w14:solidFill>
              <w14:schemeClr w14:val="tx1"/>
            </w14:solidFill>
          </w14:textFill>
        </w:rPr>
      </w:pPr>
    </w:p>
    <w:p w14:paraId="2066A3C4">
      <w:pPr>
        <w:spacing w:line="500" w:lineRule="exact"/>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供应商名称（盖章）:            </w:t>
      </w:r>
    </w:p>
    <w:p w14:paraId="21009054">
      <w:pPr>
        <w:spacing w:line="500" w:lineRule="exact"/>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被授权人签字：                 </w:t>
      </w:r>
    </w:p>
    <w:p w14:paraId="3E8493F1">
      <w:pPr>
        <w:tabs>
          <w:tab w:val="left" w:pos="1440"/>
        </w:tabs>
        <w:spacing w:line="500" w:lineRule="exact"/>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日    期：       年    月    日</w:t>
      </w:r>
    </w:p>
    <w:p w14:paraId="5314116D">
      <w:pPr>
        <w:autoSpaceDE w:val="0"/>
        <w:autoSpaceDN w:val="0"/>
        <w:adjustRightInd w:val="0"/>
        <w:jc w:val="left"/>
        <w:rPr>
          <w:rFonts w:ascii="宋体" w:hAnsi="宋体" w:cs="宋体"/>
          <w:color w:val="000000" w:themeColor="text1"/>
          <w:sz w:val="24"/>
          <w:szCs w:val="21"/>
          <w:highlight w:val="none"/>
          <w14:textFill>
            <w14:solidFill>
              <w14:schemeClr w14:val="tx1"/>
            </w14:solidFill>
          </w14:textFill>
        </w:rPr>
      </w:pPr>
    </w:p>
    <w:p w14:paraId="008D287B">
      <w:pPr>
        <w:ind w:firstLine="480" w:firstLineChars="20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说明:  </w:t>
      </w:r>
    </w:p>
    <w:p w14:paraId="3DC8056B">
      <w:pPr>
        <w:ind w:firstLine="42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1、采购人对每一项货物和服务仅接受一个价格，</w:t>
      </w:r>
      <w:r>
        <w:rPr>
          <w:rFonts w:hint="eastAsia" w:ascii="宋体" w:hAnsi="宋体"/>
          <w:color w:val="000000" w:themeColor="text1"/>
          <w:sz w:val="24"/>
          <w:szCs w:val="21"/>
          <w:highlight w:val="none"/>
          <w:shd w:val="pct10" w:color="auto" w:fill="FFFFFF"/>
          <w14:textFill>
            <w14:solidFill>
              <w14:schemeClr w14:val="tx1"/>
            </w14:solidFill>
          </w14:textFill>
        </w:rPr>
        <w:t>不得填报有选择性报价方案</w:t>
      </w:r>
      <w:r>
        <w:rPr>
          <w:rFonts w:hint="eastAsia" w:ascii="宋体" w:hAnsi="宋体"/>
          <w:color w:val="000000" w:themeColor="text1"/>
          <w:sz w:val="24"/>
          <w:szCs w:val="21"/>
          <w:highlight w:val="none"/>
          <w14:textFill>
            <w14:solidFill>
              <w14:schemeClr w14:val="tx1"/>
            </w14:solidFill>
          </w14:textFill>
        </w:rPr>
        <w:t>。若有优惠条款须注明，但不得影响报价，影响产品整体功能。</w:t>
      </w:r>
    </w:p>
    <w:p w14:paraId="2E5DE996">
      <w:pPr>
        <w:ind w:firstLine="42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磋商报价是磋商文件所确定的采购范围内的全部货物或服务的价格体现。磋商报价：包括但不限于人员劳资、交通费、风险评估费等，应包括供应商为完成任务所承担的全部费用、利润、税金、政策性文件规定及及合同包含内的所有风险、责任等各项应有费用，不论其在采购文件中是否有提及。响应供应商应根据上述因素自行考虑磋商报价</w:t>
      </w:r>
      <w:bookmarkStart w:id="147" w:name="_Hlt460314991"/>
      <w:bookmarkEnd w:id="147"/>
      <w:bookmarkStart w:id="148" w:name="_Toc479931772"/>
      <w:bookmarkStart w:id="149" w:name="_Toc12980"/>
      <w:bookmarkStart w:id="150" w:name="_Toc12002"/>
      <w:bookmarkStart w:id="151" w:name="_Toc354594118"/>
      <w:bookmarkStart w:id="152" w:name="_Toc341184785"/>
    </w:p>
    <w:p w14:paraId="2506A0D3">
      <w:pPr>
        <w:bidi w:val="0"/>
        <w:rPr>
          <w:highlight w:val="none"/>
        </w:rPr>
      </w:pPr>
    </w:p>
    <w:p w14:paraId="689FB30D">
      <w:pPr>
        <w:bidi w:val="0"/>
        <w:rPr>
          <w:highlight w:val="none"/>
        </w:rPr>
      </w:pPr>
    </w:p>
    <w:p w14:paraId="6C81F6CD">
      <w:pPr>
        <w:bidi w:val="0"/>
        <w:rPr>
          <w:highlight w:val="none"/>
        </w:rPr>
      </w:pPr>
    </w:p>
    <w:p w14:paraId="304A5143">
      <w:pPr>
        <w:bidi w:val="0"/>
        <w:rPr>
          <w:highlight w:val="none"/>
        </w:rPr>
      </w:pPr>
    </w:p>
    <w:p w14:paraId="69AAAF9E">
      <w:pPr>
        <w:bidi w:val="0"/>
        <w:rPr>
          <w:highlight w:val="none"/>
        </w:rPr>
      </w:pPr>
    </w:p>
    <w:p w14:paraId="35934BC2">
      <w:pPr>
        <w:bidi w:val="0"/>
        <w:rPr>
          <w:highlight w:val="none"/>
        </w:rPr>
      </w:pPr>
    </w:p>
    <w:p w14:paraId="51B0FD07">
      <w:pPr>
        <w:bidi w:val="0"/>
        <w:rPr>
          <w:highlight w:val="none"/>
        </w:rPr>
      </w:pPr>
    </w:p>
    <w:p w14:paraId="1CB80DAA">
      <w:pPr>
        <w:bidi w:val="0"/>
        <w:rPr>
          <w:highlight w:val="none"/>
        </w:rPr>
      </w:pPr>
    </w:p>
    <w:p w14:paraId="5DA5FFD6">
      <w:pPr>
        <w:bidi w:val="0"/>
        <w:rPr>
          <w:rFonts w:hint="eastAsia"/>
          <w:highlight w:val="none"/>
          <w:lang w:val="en-US" w:eastAsia="zh-CN"/>
        </w:rPr>
      </w:pPr>
      <w:r>
        <w:rPr>
          <w:rFonts w:hint="eastAsia"/>
          <w:highlight w:val="none"/>
          <w:lang w:val="en-US" w:eastAsia="zh-CN"/>
        </w:rPr>
        <w:t>附件：分项报价表</w:t>
      </w:r>
    </w:p>
    <w:tbl>
      <w:tblPr>
        <w:tblStyle w:val="37"/>
        <w:tblW w:w="94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1056"/>
        <w:gridCol w:w="752"/>
        <w:gridCol w:w="1662"/>
        <w:gridCol w:w="752"/>
        <w:gridCol w:w="752"/>
        <w:gridCol w:w="752"/>
        <w:gridCol w:w="752"/>
        <w:gridCol w:w="2362"/>
      </w:tblGrid>
      <w:tr w14:paraId="1BD3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52E3">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序号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2E40">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服务内容</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648B">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名称</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2882">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说明</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4A8F">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EEB7">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数  量</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BED3">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单 价</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1C9F">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合  价</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DB1C">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备注</w:t>
            </w:r>
          </w:p>
        </w:tc>
      </w:tr>
      <w:tr w14:paraId="18C4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B944">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运维服务</w:t>
            </w:r>
          </w:p>
        </w:tc>
      </w:tr>
      <w:tr w14:paraId="4F22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F9B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3BA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气站全托管运维（2台PAMS分析仪5900cc）</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8CF1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人工费</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95A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人员工资（含基本工资、绩效工资、社保公积金）</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89D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1C8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ACB6">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0C08">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B9D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涵盖设备维护、数据审核、报告编制等核心工作人力成本</w:t>
            </w:r>
          </w:p>
        </w:tc>
      </w:tr>
      <w:tr w14:paraId="3D9A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F6D7">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98BB">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3BFB">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20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差旅费（含交通、住宿费用）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074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A21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232B">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E5D9">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E95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用于现场维护、应急处理等跨区域出行开支</w:t>
            </w:r>
          </w:p>
        </w:tc>
      </w:tr>
      <w:tr w14:paraId="69F8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7115">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785D4">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7210">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A6A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餐费补贴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8DA4">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E81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8F6A">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A870">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DB3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按运维期间实际出勤天数核算</w:t>
            </w:r>
          </w:p>
        </w:tc>
      </w:tr>
      <w:tr w14:paraId="34B9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D42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DD92">
            <w:pPr>
              <w:bidi w:val="0"/>
              <w:jc w:val="center"/>
              <w:rPr>
                <w:rFonts w:hint="eastAsia" w:ascii="宋体" w:hAnsi="宋体" w:eastAsia="宋体" w:cs="宋体"/>
                <w:sz w:val="21"/>
                <w:szCs w:val="21"/>
                <w:highlight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0977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车辆费</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E1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车辆损耗费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8CF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4A2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0E0D">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C890">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AEC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根据车辆使用年限及运维里程核算</w:t>
            </w:r>
          </w:p>
        </w:tc>
      </w:tr>
      <w:tr w14:paraId="3191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5991">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0FD9">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B42E">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DD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油费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B6A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AD9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C1A4">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5200">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0CA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按年均运维行驶里程及市场油价估算</w:t>
            </w:r>
          </w:p>
        </w:tc>
      </w:tr>
      <w:tr w14:paraId="70EA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6F15">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780B">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E1109">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C1A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过路费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A8B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1C9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6319">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B8E">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6D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根据运维路线规划及实际通行情况核算</w:t>
            </w:r>
          </w:p>
        </w:tc>
      </w:tr>
      <w:tr w14:paraId="596D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A3F7">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3B493">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D004">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012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停车费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007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5B5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A95A">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056">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316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主要为站点及沿途停车开支</w:t>
            </w:r>
          </w:p>
        </w:tc>
      </w:tr>
      <w:tr w14:paraId="584C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EB2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24CE">
            <w:pPr>
              <w:bidi w:val="0"/>
              <w:jc w:val="center"/>
              <w:rPr>
                <w:rFonts w:hint="eastAsia" w:ascii="宋体" w:hAnsi="宋体" w:eastAsia="宋体" w:cs="宋体"/>
                <w:sz w:val="21"/>
                <w:szCs w:val="21"/>
                <w:highlight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8C53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耗材</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1D3F">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变色硅胶（500g / 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DAD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FB66">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F6C2">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719A">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52C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每月更换，每台设备每月 2 瓶</w:t>
            </w:r>
          </w:p>
        </w:tc>
      </w:tr>
      <w:tr w14:paraId="6314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C4BF">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93F0">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8D12">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66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PAMS 标气（10L / 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1E3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6E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36B9">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9A4E">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3D4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每年更换，每台设备每年 1 瓶，用于仪器校准</w:t>
            </w:r>
          </w:p>
        </w:tc>
      </w:tr>
      <w:tr w14:paraId="7C62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0F1D">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9E74">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15CD">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5D1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高纯氮气（40L / 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FCB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FD2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48</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3C16">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968E">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DE9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每两周 1 瓶，用于载气补给及仪器吹扫</w:t>
            </w:r>
          </w:p>
        </w:tc>
      </w:tr>
      <w:tr w14:paraId="0906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85ED">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B4E3">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3B08">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92C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纯水（20L / 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36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FAC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D46">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CDBC">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84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每月 1 桶，用于仪器清洗及配套设备补水</w:t>
            </w:r>
          </w:p>
        </w:tc>
      </w:tr>
      <w:tr w14:paraId="400B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8DD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B168">
            <w:pPr>
              <w:bidi w:val="0"/>
              <w:jc w:val="center"/>
              <w:rPr>
                <w:rFonts w:hint="eastAsia" w:ascii="宋体" w:hAnsi="宋体" w:eastAsia="宋体" w:cs="宋体"/>
                <w:sz w:val="21"/>
                <w:szCs w:val="21"/>
                <w:highlight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93D7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配件</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0F9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站房维修配件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740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DBA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BAE">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9111">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4E6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含站房内电气、通风、安防等设施损耗配件更换</w:t>
            </w:r>
          </w:p>
        </w:tc>
      </w:tr>
      <w:tr w14:paraId="6B27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DE65">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C7C5">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7D14">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324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仪器维修配件（PAMS 分析仪专用）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E6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FAB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088">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D84">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8B00">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含富集 / 解析模块、分析模块等核心部件损耗更换</w:t>
            </w:r>
          </w:p>
        </w:tc>
      </w:tr>
      <w:tr w14:paraId="13C9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A2A4">
            <w:pPr>
              <w:bidi w:val="0"/>
              <w:jc w:val="center"/>
              <w:rPr>
                <w:rFonts w:hint="eastAsia" w:ascii="宋体" w:hAnsi="宋体" w:eastAsia="宋体" w:cs="宋体"/>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4DA6">
            <w:pPr>
              <w:bidi w:val="0"/>
              <w:jc w:val="center"/>
              <w:rPr>
                <w:rFonts w:hint="eastAsia" w:ascii="宋体" w:hAnsi="宋体" w:eastAsia="宋体" w:cs="宋体"/>
                <w:sz w:val="21"/>
                <w:szCs w:val="21"/>
                <w:highlight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FDC0">
            <w:pPr>
              <w:bidi w:val="0"/>
              <w:jc w:val="center"/>
              <w:rPr>
                <w:rFonts w:hint="eastAsia" w:ascii="宋体" w:hAnsi="宋体" w:eastAsia="宋体" w:cs="宋体"/>
                <w:sz w:val="21"/>
                <w:szCs w:val="21"/>
                <w:highlight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790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系统维修配件（数据传输、控制模块）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E97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F9F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592D">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39B2">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D764">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含通信模块、控制主板等配件更换</w:t>
            </w:r>
          </w:p>
        </w:tc>
      </w:tr>
      <w:tr w14:paraId="07CD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2AB5">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B762">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71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网络费</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707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C669">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C60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DD5D">
            <w:pPr>
              <w:bidi w:val="0"/>
              <w:jc w:val="center"/>
              <w:rPr>
                <w:rFonts w:hint="eastAsia" w:ascii="宋体" w:hAnsi="宋体" w:eastAsia="宋体" w:cs="宋体"/>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A6EE">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C6AB">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每台设备独立网络专线，保障数据稳定传输</w:t>
            </w:r>
          </w:p>
        </w:tc>
      </w:tr>
      <w:tr w14:paraId="1F64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DED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0FD9">
            <w:pPr>
              <w:bidi w:val="0"/>
              <w:jc w:val="center"/>
              <w:rPr>
                <w:rFonts w:hint="eastAsia" w:ascii="宋体" w:hAnsi="宋体" w:eastAsia="宋体" w:cs="宋体"/>
                <w:sz w:val="21"/>
                <w:szCs w:val="21"/>
                <w:highlight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5281">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不可预估费用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F15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4CB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341C">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5D4C">
            <w:pPr>
              <w:bidi w:val="0"/>
              <w:jc w:val="center"/>
              <w:rPr>
                <w:rFonts w:hint="eastAsia" w:ascii="宋体" w:hAnsi="宋体" w:eastAsia="宋体" w:cs="宋体"/>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292B">
            <w:pPr>
              <w:bidi w:val="0"/>
              <w:jc w:val="center"/>
              <w:rPr>
                <w:rFonts w:hint="eastAsia" w:ascii="宋体" w:hAnsi="宋体" w:eastAsia="宋体" w:cs="宋体"/>
                <w:sz w:val="21"/>
                <w:szCs w:val="21"/>
                <w:highlight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5942">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用于应对停电、极端天气等突发情况的额外开支、用于突发小额维修、临时耗材补给等</w:t>
            </w:r>
          </w:p>
        </w:tc>
      </w:tr>
      <w:tr w14:paraId="0110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9687">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7664">
            <w:pPr>
              <w:bidi w:val="0"/>
              <w:jc w:val="center"/>
              <w:rPr>
                <w:rFonts w:hint="eastAsia" w:ascii="宋体" w:hAnsi="宋体" w:eastAsia="宋体" w:cs="宋体"/>
                <w:sz w:val="21"/>
                <w:szCs w:val="21"/>
                <w:highlight w:val="none"/>
              </w:rPr>
            </w:pPr>
          </w:p>
        </w:tc>
      </w:tr>
    </w:tbl>
    <w:p w14:paraId="31619CC3">
      <w:pPr>
        <w:bidi w:val="0"/>
        <w:rPr>
          <w:rFonts w:hint="default"/>
          <w:highlight w:val="none"/>
          <w:lang w:val="en-US" w:eastAsia="zh-CN"/>
        </w:rPr>
      </w:pPr>
    </w:p>
    <w:p w14:paraId="517AB601">
      <w:pPr>
        <w:bidi w:val="0"/>
        <w:rPr>
          <w:rFonts w:hint="eastAsia"/>
          <w:highlight w:val="none"/>
          <w:lang w:val="en-US" w:eastAsia="zh-CN"/>
        </w:rPr>
      </w:pPr>
    </w:p>
    <w:p w14:paraId="5E36E364">
      <w:pPr>
        <w:bidi w:val="0"/>
        <w:rPr>
          <w:rFonts w:hint="default"/>
          <w:highlight w:val="none"/>
          <w:lang w:val="en-US" w:eastAsia="zh-CN"/>
        </w:rPr>
      </w:pPr>
    </w:p>
    <w:bookmarkEnd w:id="148"/>
    <w:bookmarkEnd w:id="149"/>
    <w:bookmarkEnd w:id="150"/>
    <w:p w14:paraId="063D737C">
      <w:pPr>
        <w:rPr>
          <w:rFonts w:hint="eastAsia" w:ascii="宋体" w:hAnsi="宋体"/>
          <w:b/>
          <w:color w:val="000000" w:themeColor="text1"/>
          <w:sz w:val="24"/>
          <w:highlight w:val="none"/>
          <w14:textFill>
            <w14:solidFill>
              <w14:schemeClr w14:val="tx1"/>
            </w14:solidFill>
          </w14:textFill>
        </w:rPr>
      </w:pPr>
      <w:bookmarkStart w:id="153" w:name="_Toc27011"/>
      <w:bookmarkStart w:id="154" w:name="_Toc12860"/>
      <w:bookmarkStart w:id="155" w:name="_Toc459109593"/>
      <w:bookmarkStart w:id="156" w:name="_Toc185323388"/>
      <w:r>
        <w:rPr>
          <w:rFonts w:hint="eastAsia" w:ascii="宋体" w:hAnsi="宋体"/>
          <w:b/>
          <w:color w:val="000000" w:themeColor="text1"/>
          <w:sz w:val="24"/>
          <w:highlight w:val="none"/>
          <w14:textFill>
            <w14:solidFill>
              <w14:schemeClr w14:val="tx1"/>
            </w14:solidFill>
          </w14:textFill>
        </w:rPr>
        <w:br w:type="page"/>
      </w:r>
    </w:p>
    <w:p w14:paraId="21C9CADB">
      <w:pPr>
        <w:jc w:val="left"/>
        <w:outlineLvl w:val="1"/>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w:t>
      </w:r>
      <w:bookmarkEnd w:id="153"/>
      <w:bookmarkEnd w:id="154"/>
      <w:bookmarkEnd w:id="155"/>
      <w:r>
        <w:rPr>
          <w:rFonts w:hint="eastAsia" w:ascii="宋体" w:hAnsi="宋体" w:cs="黑体"/>
          <w:b/>
          <w:bCs/>
          <w:color w:val="000000" w:themeColor="text1"/>
          <w:sz w:val="24"/>
          <w:szCs w:val="21"/>
          <w:highlight w:val="none"/>
          <w:lang w:val="zh-CN"/>
          <w14:textFill>
            <w14:solidFill>
              <w14:schemeClr w14:val="tx1"/>
            </w14:solidFill>
          </w14:textFill>
        </w:rPr>
        <w:t>资格证明文件</w:t>
      </w:r>
      <w:bookmarkEnd w:id="156"/>
    </w:p>
    <w:p w14:paraId="5B17BDD5">
      <w:pPr>
        <w:jc w:val="center"/>
        <w:rPr>
          <w:b/>
          <w:color w:val="000000" w:themeColor="text1"/>
          <w:sz w:val="30"/>
          <w:szCs w:val="30"/>
          <w:highlight w:val="none"/>
          <w:lang w:val="zh-CN"/>
          <w14:textFill>
            <w14:solidFill>
              <w14:schemeClr w14:val="tx1"/>
            </w14:solidFill>
          </w14:textFill>
        </w:rPr>
      </w:pPr>
      <w:bookmarkStart w:id="157" w:name="_Toc13890"/>
      <w:bookmarkStart w:id="158" w:name="_Toc506199229"/>
      <w:bookmarkStart w:id="159" w:name="_Toc2864"/>
      <w:bookmarkStart w:id="160" w:name="_Toc2759"/>
      <w:r>
        <w:rPr>
          <w:rFonts w:hint="eastAsia"/>
          <w:b/>
          <w:color w:val="000000" w:themeColor="text1"/>
          <w:sz w:val="30"/>
          <w:szCs w:val="30"/>
          <w:highlight w:val="none"/>
          <w:lang w:val="zh-CN"/>
          <w14:textFill>
            <w14:solidFill>
              <w14:schemeClr w14:val="tx1"/>
            </w14:solidFill>
          </w14:textFill>
        </w:rPr>
        <w:t>资格证明文件（参考）</w:t>
      </w:r>
      <w:bookmarkEnd w:id="157"/>
      <w:bookmarkEnd w:id="158"/>
      <w:bookmarkEnd w:id="159"/>
      <w:bookmarkEnd w:id="160"/>
    </w:p>
    <w:p w14:paraId="07862AC8">
      <w:pPr>
        <w:autoSpaceDE w:val="0"/>
        <w:autoSpaceDN w:val="0"/>
        <w:adjustRightInd w:val="0"/>
        <w:spacing w:line="500" w:lineRule="exact"/>
        <w:jc w:val="left"/>
        <w:rPr>
          <w:rFonts w:ascii="宋体" w:cs="宋体"/>
          <w:color w:val="000000" w:themeColor="text1"/>
          <w:sz w:val="24"/>
          <w:szCs w:val="21"/>
          <w:highlight w:val="none"/>
          <w:lang w:val="zh-CN"/>
          <w14:textFill>
            <w14:solidFill>
              <w14:schemeClr w14:val="tx1"/>
            </w14:solidFill>
          </w14:textFill>
        </w:rPr>
      </w:pPr>
      <w:r>
        <w:rPr>
          <w:rFonts w:ascii="宋体" w:cs="宋体"/>
          <w:color w:val="000000" w:themeColor="text1"/>
          <w:sz w:val="24"/>
          <w:szCs w:val="21"/>
          <w:highlight w:val="none"/>
          <w:lang w:val="zh-CN"/>
          <w14:textFill>
            <w14:solidFill>
              <w14:schemeClr w14:val="tx1"/>
            </w14:solidFill>
          </w14:textFill>
        </w:rPr>
        <w:t>1.</w:t>
      </w:r>
      <w:r>
        <w:rPr>
          <w:rFonts w:hint="eastAsia" w:ascii="宋体" w:hAnsi="宋体" w:cs="宋体"/>
          <w:b/>
          <w:bCs/>
          <w:color w:val="000000" w:themeColor="text1"/>
          <w:kern w:val="0"/>
          <w:sz w:val="24"/>
          <w:highlight w:val="none"/>
          <w14:textFill>
            <w14:solidFill>
              <w14:schemeClr w14:val="tx1"/>
            </w14:solidFill>
          </w14:textFill>
        </w:rPr>
        <w:t xml:space="preserve"> 磋商公告2.1 参加政府采购活动的供应商应当具备政府采购法第二十二条第一款规定的条件证明材料</w:t>
      </w:r>
    </w:p>
    <w:p w14:paraId="34364000">
      <w:pPr>
        <w:autoSpaceDE w:val="0"/>
        <w:autoSpaceDN w:val="0"/>
        <w:adjustRightInd w:val="0"/>
        <w:spacing w:line="500" w:lineRule="exact"/>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2</w:t>
      </w:r>
      <w:r>
        <w:rPr>
          <w:rFonts w:ascii="宋体" w:cs="宋体"/>
          <w:color w:val="000000" w:themeColor="text1"/>
          <w:sz w:val="24"/>
          <w:szCs w:val="21"/>
          <w:highlight w:val="none"/>
          <w:lang w:val="zh-CN"/>
          <w14:textFill>
            <w14:solidFill>
              <w14:schemeClr w14:val="tx1"/>
            </w14:solidFill>
          </w14:textFill>
        </w:rPr>
        <w:t>.</w:t>
      </w:r>
      <w:r>
        <w:rPr>
          <w:rFonts w:ascii="宋体" w:hAnsi="宋体" w:cs="宋体"/>
          <w:b/>
          <w:bCs/>
          <w:color w:val="000000" w:themeColor="text1"/>
          <w:kern w:val="0"/>
          <w:sz w:val="24"/>
          <w:highlight w:val="none"/>
          <w14:textFill>
            <w14:solidFill>
              <w14:schemeClr w14:val="tx1"/>
            </w14:solidFill>
          </w14:textFill>
        </w:rPr>
        <w:t>磋商公告</w:t>
      </w:r>
      <w:r>
        <w:rPr>
          <w:rFonts w:hint="eastAsia" w:ascii="宋体" w:hAnsi="宋体" w:cs="宋体"/>
          <w:b/>
          <w:bCs/>
          <w:color w:val="000000" w:themeColor="text1"/>
          <w:kern w:val="0"/>
          <w:sz w:val="24"/>
          <w:highlight w:val="none"/>
          <w14:textFill>
            <w14:solidFill>
              <w14:schemeClr w14:val="tx1"/>
            </w14:solidFill>
          </w14:textFill>
        </w:rPr>
        <w:t xml:space="preserve"> 2.2 采购人根据采购项目的特殊要求规定的特定条件证明材料</w:t>
      </w:r>
    </w:p>
    <w:p w14:paraId="679C301A">
      <w:pPr>
        <w:autoSpaceDE w:val="0"/>
        <w:autoSpaceDN w:val="0"/>
        <w:adjustRightInd w:val="0"/>
        <w:spacing w:line="500" w:lineRule="exact"/>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14:textFill>
            <w14:solidFill>
              <w14:schemeClr w14:val="tx1"/>
            </w14:solidFill>
          </w14:textFill>
        </w:rPr>
        <w:t>3</w:t>
      </w:r>
      <w:r>
        <w:rPr>
          <w:rFonts w:hint="eastAsia" w:ascii="宋体" w:cs="宋体"/>
          <w:color w:val="000000" w:themeColor="text1"/>
          <w:sz w:val="24"/>
          <w:szCs w:val="21"/>
          <w:highlight w:val="none"/>
          <w:lang w:val="zh-CN"/>
          <w14:textFill>
            <w14:solidFill>
              <w14:schemeClr w14:val="tx1"/>
            </w14:solidFill>
          </w14:textFill>
        </w:rPr>
        <w:t>.南京市政府采购供应商信用记录表暨信用承诺书</w:t>
      </w:r>
    </w:p>
    <w:p w14:paraId="2A37FC07">
      <w:pPr>
        <w:autoSpaceDE w:val="0"/>
        <w:autoSpaceDN w:val="0"/>
        <w:adjustRightInd w:val="0"/>
        <w:spacing w:line="500" w:lineRule="exact"/>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14:textFill>
            <w14:solidFill>
              <w14:schemeClr w14:val="tx1"/>
            </w14:solidFill>
          </w14:textFill>
        </w:rPr>
        <w:t>4.</w:t>
      </w:r>
      <w:r>
        <w:rPr>
          <w:rFonts w:hint="eastAsia" w:ascii="宋体" w:cs="宋体"/>
          <w:color w:val="000000" w:themeColor="text1"/>
          <w:sz w:val="24"/>
          <w:szCs w:val="21"/>
          <w:highlight w:val="none"/>
          <w:lang w:val="zh-CN"/>
          <w14:textFill>
            <w14:solidFill>
              <w14:schemeClr w14:val="tx1"/>
            </w14:solidFill>
          </w14:textFill>
        </w:rPr>
        <w:t>投标人认为有必要有其他证明文件</w:t>
      </w:r>
    </w:p>
    <w:p w14:paraId="020CF3AF">
      <w:pPr>
        <w:spacing w:line="440" w:lineRule="exact"/>
        <w:jc w:val="left"/>
        <w:rPr>
          <w:rFonts w:ascii="宋体" w:hAnsi="宋体"/>
          <w:color w:val="000000" w:themeColor="text1"/>
          <w:sz w:val="24"/>
          <w:szCs w:val="21"/>
          <w:highlight w:val="none"/>
          <w14:textFill>
            <w14:solidFill>
              <w14:schemeClr w14:val="tx1"/>
            </w14:solidFill>
          </w14:textFill>
        </w:rPr>
      </w:pPr>
    </w:p>
    <w:p w14:paraId="50E41821">
      <w:pPr>
        <w:autoSpaceDE w:val="0"/>
        <w:autoSpaceDN w:val="0"/>
        <w:adjustRightInd w:val="0"/>
        <w:spacing w:line="600" w:lineRule="exact"/>
        <w:ind w:right="480" w:firstLine="6480" w:firstLineChars="2700"/>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供应商</w:t>
      </w:r>
      <w:r>
        <w:rPr>
          <w:rFonts w:hint="eastAsia" w:ascii="宋体" w:hAnsi="宋体"/>
          <w:color w:val="000000" w:themeColor="text1"/>
          <w:sz w:val="24"/>
          <w:szCs w:val="21"/>
          <w:highlight w:val="none"/>
          <w14:textFill>
            <w14:solidFill>
              <w14:schemeClr w14:val="tx1"/>
            </w14:solidFill>
          </w14:textFill>
        </w:rPr>
        <w:t xml:space="preserve">（盖章）：            </w:t>
      </w:r>
    </w:p>
    <w:p w14:paraId="3F01BB16">
      <w:pPr>
        <w:autoSpaceDE w:val="0"/>
        <w:autoSpaceDN w:val="0"/>
        <w:adjustRightInd w:val="0"/>
        <w:spacing w:line="600" w:lineRule="exact"/>
        <w:ind w:right="480" w:firstLine="6480" w:firstLineChars="2700"/>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授权代表签字：             </w:t>
      </w:r>
    </w:p>
    <w:p w14:paraId="4BC86F4D">
      <w:pPr>
        <w:autoSpaceDE w:val="0"/>
        <w:autoSpaceDN w:val="0"/>
        <w:adjustRightInd w:val="0"/>
        <w:spacing w:line="600" w:lineRule="exact"/>
        <w:ind w:right="240"/>
        <w:jc w:val="righ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日  期：     年  月  日</w:t>
      </w:r>
    </w:p>
    <w:p w14:paraId="18EAB0F4">
      <w:pPr>
        <w:ind w:firstLine="964" w:firstLineChars="400"/>
        <w:jc w:val="left"/>
        <w:outlineLvl w:val="1"/>
        <w:rPr>
          <w:rFonts w:ascii="宋体" w:hAnsi="宋体"/>
          <w:b/>
          <w:color w:val="000000" w:themeColor="text1"/>
          <w:sz w:val="24"/>
          <w:szCs w:val="21"/>
          <w:highlight w:val="none"/>
          <w14:textFill>
            <w14:solidFill>
              <w14:schemeClr w14:val="tx1"/>
            </w14:solidFill>
          </w14:textFill>
        </w:rPr>
      </w:pPr>
    </w:p>
    <w:p w14:paraId="428C7ACE">
      <w:pPr>
        <w:jc w:val="left"/>
        <w:outlineLvl w:val="1"/>
        <w:rPr>
          <w:rFonts w:ascii="宋体" w:hAnsi="宋体"/>
          <w:b/>
          <w:color w:val="000000" w:themeColor="text1"/>
          <w:sz w:val="24"/>
          <w:szCs w:val="21"/>
          <w:highlight w:val="none"/>
          <w14:textFill>
            <w14:solidFill>
              <w14:schemeClr w14:val="tx1"/>
            </w14:solidFill>
          </w14:textFill>
        </w:rPr>
      </w:pPr>
    </w:p>
    <w:p w14:paraId="6D5DCFBF">
      <w:pPr>
        <w:jc w:val="left"/>
        <w:outlineLvl w:val="1"/>
        <w:rPr>
          <w:rFonts w:ascii="宋体" w:hAnsi="宋体"/>
          <w:b/>
          <w:color w:val="000000" w:themeColor="text1"/>
          <w:sz w:val="24"/>
          <w:szCs w:val="21"/>
          <w:highlight w:val="none"/>
          <w14:textFill>
            <w14:solidFill>
              <w14:schemeClr w14:val="tx1"/>
            </w14:solidFill>
          </w14:textFill>
        </w:rPr>
      </w:pPr>
    </w:p>
    <w:p w14:paraId="2B3DAE5F">
      <w:pPr>
        <w:jc w:val="left"/>
        <w:outlineLvl w:val="1"/>
        <w:rPr>
          <w:rFonts w:ascii="宋体" w:cs="宋体"/>
          <w:b/>
          <w:color w:val="000000" w:themeColor="text1"/>
          <w:sz w:val="24"/>
          <w:szCs w:val="21"/>
          <w:highlight w:val="none"/>
          <w:lang w:val="zh-CN"/>
          <w14:textFill>
            <w14:solidFill>
              <w14:schemeClr w14:val="tx1"/>
            </w14:solidFill>
          </w14:textFill>
        </w:rPr>
      </w:pPr>
      <w:bookmarkStart w:id="161" w:name="_Toc19964"/>
      <w:bookmarkStart w:id="162" w:name="_Toc459109596"/>
      <w:bookmarkStart w:id="163" w:name="_Toc28955"/>
      <w:bookmarkStart w:id="164" w:name="_Toc185323389"/>
      <w:r>
        <w:rPr>
          <w:rFonts w:hint="eastAsia" w:ascii="宋体" w:cs="宋体"/>
          <w:b/>
          <w:color w:val="000000" w:themeColor="text1"/>
          <w:sz w:val="24"/>
          <w:szCs w:val="21"/>
          <w:highlight w:val="none"/>
          <w14:textFill>
            <w14:solidFill>
              <w14:schemeClr w14:val="tx1"/>
            </w14:solidFill>
          </w14:textFill>
        </w:rPr>
        <w:t>五</w:t>
      </w:r>
      <w:r>
        <w:rPr>
          <w:rFonts w:hint="eastAsia" w:ascii="宋体" w:cs="宋体"/>
          <w:b/>
          <w:color w:val="000000" w:themeColor="text1"/>
          <w:sz w:val="24"/>
          <w:szCs w:val="21"/>
          <w:highlight w:val="none"/>
          <w:lang w:val="zh-CN"/>
          <w14:textFill>
            <w14:solidFill>
              <w14:schemeClr w14:val="tx1"/>
            </w14:solidFill>
          </w14:textFill>
        </w:rPr>
        <w:t>、供应商基本情况说明</w:t>
      </w:r>
      <w:bookmarkEnd w:id="161"/>
      <w:bookmarkEnd w:id="162"/>
      <w:bookmarkEnd w:id="163"/>
      <w:bookmarkEnd w:id="164"/>
    </w:p>
    <w:p w14:paraId="5D6E71C5">
      <w:pPr>
        <w:ind w:firstLine="643" w:firstLineChars="200"/>
        <w:jc w:val="left"/>
        <w:rPr>
          <w:rFonts w:ascii="宋体" w:cs="宋体"/>
          <w:b/>
          <w:color w:val="000000" w:themeColor="text1"/>
          <w:sz w:val="32"/>
          <w:highlight w:val="none"/>
          <w:lang w:val="zh-CN"/>
          <w14:textFill>
            <w14:solidFill>
              <w14:schemeClr w14:val="tx1"/>
            </w14:solidFill>
          </w14:textFill>
        </w:rPr>
      </w:pPr>
      <w:r>
        <w:rPr>
          <w:rFonts w:hint="eastAsia" w:ascii="宋体" w:cs="宋体"/>
          <w:b/>
          <w:color w:val="000000" w:themeColor="text1"/>
          <w:sz w:val="32"/>
          <w:highlight w:val="none"/>
          <w:lang w:val="zh-CN"/>
          <w14:textFill>
            <w14:solidFill>
              <w14:schemeClr w14:val="tx1"/>
            </w14:solidFill>
          </w14:textFill>
        </w:rPr>
        <w:t>供应商基本情况说明</w:t>
      </w:r>
    </w:p>
    <w:p w14:paraId="3CCF86CD">
      <w:pPr>
        <w:ind w:firstLine="600" w:firstLineChars="250"/>
        <w:jc w:val="left"/>
        <w:rPr>
          <w:rFonts w:ascii="宋体" w:cs="宋体"/>
          <w:color w:val="000000" w:themeColor="text1"/>
          <w:sz w:val="24"/>
          <w:szCs w:val="21"/>
          <w:highlight w:val="none"/>
          <w:lang w:val="zh-CN"/>
          <w14:textFill>
            <w14:solidFill>
              <w14:schemeClr w14:val="tx1"/>
            </w14:solidFill>
          </w14:textFill>
        </w:rPr>
      </w:pPr>
    </w:p>
    <w:p w14:paraId="6762C4E7">
      <w:pPr>
        <w:ind w:firstLine="600" w:firstLineChars="25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要求尽可能简短精炼。</w:t>
      </w:r>
    </w:p>
    <w:p w14:paraId="2764D370">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（一）名称及有关情况：</w:t>
      </w:r>
    </w:p>
    <w:p w14:paraId="22211ACC">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（1）名称：</w:t>
      </w:r>
    </w:p>
    <w:p w14:paraId="131A6A89">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（2）地址：　　　　　　　　　传真/电话：　　　　　邮编：</w:t>
      </w:r>
    </w:p>
    <w:p w14:paraId="2EE8F73A">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（3）成立或注册日期：</w:t>
      </w:r>
    </w:p>
    <w:p w14:paraId="5638814A">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（4）法人代表姓名：</w:t>
      </w:r>
    </w:p>
    <w:p w14:paraId="29844124">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（5）开户银行名称及地址：</w:t>
      </w:r>
    </w:p>
    <w:p w14:paraId="6A67183A">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（6）供应商在南京地区的代表姓名和地址邮编、传真、电话</w:t>
      </w:r>
    </w:p>
    <w:p w14:paraId="1D356280">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（二）供应商简介：主要包括以下内容</w:t>
      </w:r>
    </w:p>
    <w:p w14:paraId="1F7FD6A2">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（1）企业发展简史</w:t>
      </w:r>
    </w:p>
    <w:p w14:paraId="6EAAAFA0">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（2）企业获得的荣誉、受过的违规处罚情况等</w:t>
      </w:r>
    </w:p>
    <w:p w14:paraId="5016EF71">
      <w:pPr>
        <w:ind w:firstLine="480" w:firstLineChars="20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（三）供应商认为需要说明的其它情况</w:t>
      </w:r>
    </w:p>
    <w:p w14:paraId="6D770DDC">
      <w:pPr>
        <w:autoSpaceDE w:val="0"/>
        <w:autoSpaceDN w:val="0"/>
        <w:adjustRightInd w:val="0"/>
        <w:spacing w:line="600" w:lineRule="exact"/>
        <w:ind w:right="480"/>
        <w:jc w:val="center"/>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                                               供应商</w:t>
      </w:r>
      <w:r>
        <w:rPr>
          <w:rFonts w:hint="eastAsia" w:ascii="宋体" w:hAnsi="宋体"/>
          <w:color w:val="000000" w:themeColor="text1"/>
          <w:sz w:val="24"/>
          <w:szCs w:val="21"/>
          <w:highlight w:val="none"/>
          <w14:textFill>
            <w14:solidFill>
              <w14:schemeClr w14:val="tx1"/>
            </w14:solidFill>
          </w14:textFill>
        </w:rPr>
        <w:t xml:space="preserve">（盖章）：            </w:t>
      </w:r>
    </w:p>
    <w:p w14:paraId="0196826D">
      <w:pPr>
        <w:autoSpaceDE w:val="0"/>
        <w:autoSpaceDN w:val="0"/>
        <w:adjustRightInd w:val="0"/>
        <w:spacing w:line="600" w:lineRule="exact"/>
        <w:ind w:right="480" w:firstLine="6480" w:firstLineChars="2700"/>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授权代表签字：             </w:t>
      </w:r>
    </w:p>
    <w:p w14:paraId="7BF100BC">
      <w:pPr>
        <w:autoSpaceDE w:val="0"/>
        <w:autoSpaceDN w:val="0"/>
        <w:adjustRightInd w:val="0"/>
        <w:spacing w:line="600" w:lineRule="exact"/>
        <w:ind w:right="480"/>
        <w:jc w:val="righ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日  期：   年  月  日</w:t>
      </w:r>
    </w:p>
    <w:p w14:paraId="555F019E">
      <w:pPr>
        <w:ind w:firstLine="964" w:firstLineChars="400"/>
        <w:jc w:val="left"/>
        <w:outlineLvl w:val="1"/>
        <w:rPr>
          <w:rFonts w:ascii="宋体" w:hAnsi="宋体"/>
          <w:b/>
          <w:color w:val="000000" w:themeColor="text1"/>
          <w:sz w:val="24"/>
          <w:szCs w:val="21"/>
          <w:highlight w:val="none"/>
          <w14:textFill>
            <w14:solidFill>
              <w14:schemeClr w14:val="tx1"/>
            </w14:solidFill>
          </w14:textFill>
        </w:rPr>
      </w:pPr>
    </w:p>
    <w:p w14:paraId="2F947974">
      <w:pPr>
        <w:ind w:firstLine="964" w:firstLineChars="400"/>
        <w:jc w:val="left"/>
        <w:outlineLvl w:val="1"/>
        <w:rPr>
          <w:rFonts w:ascii="宋体" w:hAnsi="宋体"/>
          <w:b/>
          <w:color w:val="000000" w:themeColor="text1"/>
          <w:sz w:val="24"/>
          <w:szCs w:val="21"/>
          <w:highlight w:val="none"/>
          <w14:textFill>
            <w14:solidFill>
              <w14:schemeClr w14:val="tx1"/>
            </w14:solidFill>
          </w14:textFill>
        </w:rPr>
      </w:pPr>
    </w:p>
    <w:p w14:paraId="36D94138">
      <w:pPr>
        <w:jc w:val="left"/>
        <w:outlineLvl w:val="1"/>
        <w:rPr>
          <w:rFonts w:ascii="宋体" w:hAnsi="宋体"/>
          <w:b/>
          <w:color w:val="000000" w:themeColor="text1"/>
          <w:sz w:val="24"/>
          <w:szCs w:val="21"/>
          <w:highlight w:val="none"/>
          <w14:textFill>
            <w14:solidFill>
              <w14:schemeClr w14:val="tx1"/>
            </w14:solidFill>
          </w14:textFill>
        </w:rPr>
      </w:pPr>
      <w:bookmarkStart w:id="165" w:name="_Toc9482"/>
      <w:bookmarkStart w:id="166" w:name="_Toc29395"/>
      <w:bookmarkStart w:id="167" w:name="_Toc185323390"/>
      <w:r>
        <w:rPr>
          <w:rFonts w:hint="eastAsia" w:ascii="宋体" w:hAnsi="宋体"/>
          <w:b/>
          <w:color w:val="000000" w:themeColor="text1"/>
          <w:sz w:val="24"/>
          <w:szCs w:val="21"/>
          <w:highlight w:val="none"/>
          <w14:textFill>
            <w14:solidFill>
              <w14:schemeClr w14:val="tx1"/>
            </w14:solidFill>
          </w14:textFill>
        </w:rPr>
        <w:t>六、</w:t>
      </w:r>
      <w:bookmarkEnd w:id="151"/>
      <w:bookmarkEnd w:id="165"/>
      <w:bookmarkEnd w:id="166"/>
      <w:r>
        <w:rPr>
          <w:rFonts w:hint="eastAsia" w:ascii="宋体" w:hAnsi="宋体"/>
          <w:b/>
          <w:color w:val="000000" w:themeColor="text1"/>
          <w:sz w:val="24"/>
          <w:szCs w:val="21"/>
          <w:highlight w:val="none"/>
          <w14:textFill>
            <w14:solidFill>
              <w14:schemeClr w14:val="tx1"/>
            </w14:solidFill>
          </w14:textFill>
        </w:rPr>
        <w:t>技术要求</w:t>
      </w:r>
      <w:bookmarkEnd w:id="167"/>
    </w:p>
    <w:bookmarkEnd w:id="152"/>
    <w:p w14:paraId="2ACE9E28">
      <w:pPr>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设计方案</w:t>
      </w:r>
      <w:r>
        <w:rPr>
          <w:rFonts w:hint="eastAsia" w:ascii="宋体" w:cs="宋体"/>
          <w:color w:val="000000" w:themeColor="text1"/>
          <w:sz w:val="24"/>
          <w:szCs w:val="21"/>
          <w:highlight w:val="none"/>
          <w:lang w:val="zh-CN"/>
          <w14:textFill>
            <w14:solidFill>
              <w14:schemeClr w14:val="tx1"/>
            </w14:solidFill>
          </w14:textFill>
        </w:rPr>
        <w:t>（格式自拟）</w:t>
      </w:r>
    </w:p>
    <w:p w14:paraId="4FF863CE">
      <w:pPr>
        <w:autoSpaceDE w:val="0"/>
        <w:autoSpaceDN w:val="0"/>
        <w:adjustRightInd w:val="0"/>
        <w:jc w:val="left"/>
        <w:rPr>
          <w:rFonts w:ascii="宋体" w:hAnsi="宋体" w:cs="宋体"/>
          <w:b/>
          <w:bCs/>
          <w:color w:val="000000" w:themeColor="text1"/>
          <w:sz w:val="24"/>
          <w:szCs w:val="21"/>
          <w:highlight w:val="none"/>
          <w14:textFill>
            <w14:solidFill>
              <w14:schemeClr w14:val="tx1"/>
            </w14:solidFill>
          </w14:textFill>
        </w:rPr>
      </w:pPr>
    </w:p>
    <w:p w14:paraId="58B39801">
      <w:pPr>
        <w:autoSpaceDE w:val="0"/>
        <w:autoSpaceDN w:val="0"/>
        <w:adjustRightInd w:val="0"/>
        <w:jc w:val="left"/>
        <w:rPr>
          <w:rFonts w:ascii="宋体" w:hAnsi="宋体" w:cs="宋体"/>
          <w:b/>
          <w:bCs/>
          <w:color w:val="000000" w:themeColor="text1"/>
          <w:sz w:val="24"/>
          <w:szCs w:val="21"/>
          <w:highlight w:val="none"/>
          <w:lang w:val="zh-CN"/>
          <w14:textFill>
            <w14:solidFill>
              <w14:schemeClr w14:val="tx1"/>
            </w14:solidFill>
          </w14:textFill>
        </w:rPr>
      </w:pPr>
    </w:p>
    <w:p w14:paraId="690B4B04">
      <w:pPr>
        <w:autoSpaceDE w:val="0"/>
        <w:autoSpaceDN w:val="0"/>
        <w:adjustRightInd w:val="0"/>
        <w:jc w:val="left"/>
        <w:rPr>
          <w:rFonts w:ascii="宋体" w:hAnsi="宋体" w:cs="宋体"/>
          <w:b/>
          <w:bCs/>
          <w:color w:val="000000" w:themeColor="text1"/>
          <w:sz w:val="24"/>
          <w:szCs w:val="21"/>
          <w:highlight w:val="none"/>
          <w:lang w:val="zh-CN"/>
          <w14:textFill>
            <w14:solidFill>
              <w14:schemeClr w14:val="tx1"/>
            </w14:solidFill>
          </w14:textFill>
        </w:rPr>
      </w:pPr>
    </w:p>
    <w:p w14:paraId="68FA211E">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供应商</w:t>
      </w:r>
      <w:r>
        <w:rPr>
          <w:rFonts w:hint="eastAsia" w:ascii="宋体" w:hAnsi="宋体"/>
          <w:color w:val="000000" w:themeColor="text1"/>
          <w:sz w:val="24"/>
          <w:szCs w:val="21"/>
          <w:highlight w:val="none"/>
          <w14:textFill>
            <w14:solidFill>
              <w14:schemeClr w14:val="tx1"/>
            </w14:solidFill>
          </w14:textFill>
        </w:rPr>
        <w:t xml:space="preserve">（盖章）：            </w:t>
      </w:r>
    </w:p>
    <w:p w14:paraId="150E3842">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授权代表签字：             </w:t>
      </w:r>
    </w:p>
    <w:p w14:paraId="378B9618">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日期：   年   月  日</w:t>
      </w:r>
    </w:p>
    <w:p w14:paraId="3EF13216">
      <w:pPr>
        <w:autoSpaceDE w:val="0"/>
        <w:autoSpaceDN w:val="0"/>
        <w:adjustRightInd w:val="0"/>
        <w:jc w:val="left"/>
        <w:rPr>
          <w:rFonts w:ascii="宋体" w:hAnsi="宋体" w:cs="宋体"/>
          <w:b/>
          <w:bCs/>
          <w:color w:val="000000" w:themeColor="text1"/>
          <w:sz w:val="24"/>
          <w:szCs w:val="21"/>
          <w:highlight w:val="none"/>
          <w:lang w:val="zh-CN"/>
          <w14:textFill>
            <w14:solidFill>
              <w14:schemeClr w14:val="tx1"/>
            </w14:solidFill>
          </w14:textFill>
        </w:rPr>
      </w:pPr>
    </w:p>
    <w:p w14:paraId="0C923988">
      <w:pPr>
        <w:jc w:val="left"/>
        <w:outlineLvl w:val="1"/>
        <w:rPr>
          <w:rFonts w:ascii="宋体" w:hAnsi="宋体"/>
          <w:b/>
          <w:color w:val="000000" w:themeColor="text1"/>
          <w:sz w:val="24"/>
          <w:szCs w:val="21"/>
          <w:highlight w:val="none"/>
          <w14:textFill>
            <w14:solidFill>
              <w14:schemeClr w14:val="tx1"/>
            </w14:solidFill>
          </w14:textFill>
        </w:rPr>
      </w:pPr>
      <w:bookmarkStart w:id="168" w:name="_Toc354594120"/>
    </w:p>
    <w:p w14:paraId="4B1F2639">
      <w:pPr>
        <w:jc w:val="left"/>
        <w:outlineLvl w:val="1"/>
        <w:rPr>
          <w:rFonts w:ascii="宋体" w:hAnsi="宋体"/>
          <w:b/>
          <w:color w:val="000000" w:themeColor="text1"/>
          <w:sz w:val="24"/>
          <w:szCs w:val="21"/>
          <w:highlight w:val="none"/>
          <w14:textFill>
            <w14:solidFill>
              <w14:schemeClr w14:val="tx1"/>
            </w14:solidFill>
          </w14:textFill>
        </w:rPr>
      </w:pPr>
    </w:p>
    <w:p w14:paraId="051F745E">
      <w:pPr>
        <w:jc w:val="left"/>
        <w:outlineLvl w:val="1"/>
        <w:rPr>
          <w:rFonts w:ascii="宋体" w:hAnsi="宋体"/>
          <w:b/>
          <w:color w:val="000000" w:themeColor="text1"/>
          <w:sz w:val="24"/>
          <w:szCs w:val="21"/>
          <w:highlight w:val="none"/>
          <w14:textFill>
            <w14:solidFill>
              <w14:schemeClr w14:val="tx1"/>
            </w14:solidFill>
          </w14:textFill>
        </w:rPr>
      </w:pPr>
      <w:bookmarkStart w:id="169" w:name="_Toc5649"/>
      <w:bookmarkStart w:id="170" w:name="_Toc28031"/>
    </w:p>
    <w:p w14:paraId="23375155">
      <w:pPr>
        <w:jc w:val="left"/>
        <w:outlineLvl w:val="1"/>
        <w:rPr>
          <w:rFonts w:ascii="宋体" w:hAnsi="宋体"/>
          <w:b/>
          <w:color w:val="000000" w:themeColor="text1"/>
          <w:sz w:val="24"/>
          <w:szCs w:val="21"/>
          <w:highlight w:val="none"/>
          <w14:textFill>
            <w14:solidFill>
              <w14:schemeClr w14:val="tx1"/>
            </w14:solidFill>
          </w14:textFill>
        </w:rPr>
      </w:pPr>
      <w:bookmarkStart w:id="171" w:name="_Toc185323391"/>
      <w:r>
        <w:rPr>
          <w:rFonts w:hint="eastAsia" w:ascii="宋体" w:hAnsi="宋体"/>
          <w:b/>
          <w:color w:val="000000" w:themeColor="text1"/>
          <w:sz w:val="24"/>
          <w:szCs w:val="21"/>
          <w:highlight w:val="none"/>
          <w14:textFill>
            <w14:solidFill>
              <w14:schemeClr w14:val="tx1"/>
            </w14:solidFill>
          </w14:textFill>
        </w:rPr>
        <w:t>七、项目组成员一览表</w:t>
      </w:r>
      <w:bookmarkEnd w:id="168"/>
      <w:bookmarkEnd w:id="169"/>
      <w:bookmarkEnd w:id="170"/>
      <w:bookmarkEnd w:id="171"/>
    </w:p>
    <w:p w14:paraId="0FE5AFB2">
      <w:pPr>
        <w:autoSpaceDE w:val="0"/>
        <w:autoSpaceDN w:val="0"/>
        <w:adjustRightInd w:val="0"/>
        <w:spacing w:line="460" w:lineRule="exact"/>
        <w:jc w:val="center"/>
        <w:rPr>
          <w:rFonts w:ascii="黑体" w:eastAsia="黑体" w:cs="黑体"/>
          <w:b/>
          <w:bCs/>
          <w:color w:val="000000" w:themeColor="text1"/>
          <w:sz w:val="36"/>
          <w:szCs w:val="28"/>
          <w:highlight w:val="none"/>
          <w:lang w:val="zh-CN"/>
          <w14:textFill>
            <w14:solidFill>
              <w14:schemeClr w14:val="tx1"/>
            </w14:solidFill>
          </w14:textFill>
        </w:rPr>
      </w:pPr>
      <w:bookmarkStart w:id="172" w:name="_Toc341184788"/>
      <w:r>
        <w:rPr>
          <w:rFonts w:hint="eastAsia" w:ascii="黑体" w:eastAsia="黑体" w:cs="黑体"/>
          <w:b/>
          <w:bCs/>
          <w:color w:val="000000" w:themeColor="text1"/>
          <w:sz w:val="36"/>
          <w:szCs w:val="28"/>
          <w:highlight w:val="none"/>
          <w:lang w:val="zh-CN"/>
          <w14:textFill>
            <w14:solidFill>
              <w14:schemeClr w14:val="tx1"/>
            </w14:solidFill>
          </w14:textFill>
        </w:rPr>
        <w:t>项目组成员一览表</w:t>
      </w:r>
      <w:bookmarkEnd w:id="172"/>
    </w:p>
    <w:p w14:paraId="3D26244C">
      <w:pPr>
        <w:autoSpaceDE w:val="0"/>
        <w:autoSpaceDN w:val="0"/>
        <w:adjustRightInd w:val="0"/>
        <w:ind w:firstLine="420"/>
        <w:jc w:val="left"/>
        <w:rPr>
          <w:rFonts w:ascii="宋体" w:hAnsi="宋体"/>
          <w:color w:val="000000" w:themeColor="text1"/>
          <w:sz w:val="24"/>
          <w:szCs w:val="21"/>
          <w:highlight w:val="none"/>
          <w:lang w:val="zh-CN"/>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1276"/>
        <w:gridCol w:w="1701"/>
        <w:gridCol w:w="1985"/>
        <w:gridCol w:w="1948"/>
      </w:tblGrid>
      <w:tr w14:paraId="2BF2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gridSpan w:val="4"/>
            <w:vAlign w:val="center"/>
          </w:tcPr>
          <w:p w14:paraId="28663538">
            <w:pPr>
              <w:autoSpaceDE w:val="0"/>
              <w:autoSpaceDN w:val="0"/>
              <w:adjustRightInd w:val="0"/>
              <w:spacing w:line="360" w:lineRule="auto"/>
              <w:jc w:val="left"/>
              <w:rPr>
                <w:rFonts w:hint="eastAsia" w:ascii="宋体" w:hAnsi="宋体" w:eastAsia="宋体"/>
                <w:bCs/>
                <w:color w:val="000000" w:themeColor="text1"/>
                <w:sz w:val="24"/>
                <w:szCs w:val="21"/>
                <w:highlight w:val="none"/>
                <w:lang w:eastAsia="zh-CN"/>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2026年园区VOCs站运维服务项目</w:t>
            </w:r>
          </w:p>
        </w:tc>
        <w:tc>
          <w:tcPr>
            <w:tcW w:w="3933" w:type="dxa"/>
            <w:gridSpan w:val="2"/>
            <w:vAlign w:val="center"/>
          </w:tcPr>
          <w:p w14:paraId="3A132D57">
            <w:pPr>
              <w:autoSpaceDE w:val="0"/>
              <w:autoSpaceDN w:val="0"/>
              <w:adjustRightInd w:val="0"/>
              <w:jc w:val="lef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项目编号：</w:t>
            </w:r>
            <w:r>
              <w:rPr>
                <w:rFonts w:hint="eastAsia" w:ascii="宋体" w:hAnsi="宋体"/>
                <w:color w:val="000000" w:themeColor="text1"/>
                <w:sz w:val="24"/>
                <w:szCs w:val="21"/>
                <w:highlight w:val="none"/>
                <w:lang w:eastAsia="zh-CN"/>
                <w14:textFill>
                  <w14:solidFill>
                    <w14:schemeClr w14:val="tx1"/>
                  </w14:solidFill>
                </w14:textFill>
              </w:rPr>
              <w:t>NJMT-CG2026-09</w:t>
            </w:r>
            <w:r>
              <w:rPr>
                <w:rFonts w:hint="eastAsia" w:ascii="宋体" w:hAnsi="宋体"/>
                <w:color w:val="000000" w:themeColor="text1"/>
                <w:sz w:val="24"/>
                <w:szCs w:val="21"/>
                <w:highlight w:val="none"/>
                <w14:textFill>
                  <w14:solidFill>
                    <w14:schemeClr w14:val="tx1"/>
                  </w14:solidFill>
                </w14:textFill>
              </w:rPr>
              <w:t xml:space="preserve"> </w:t>
            </w:r>
          </w:p>
        </w:tc>
      </w:tr>
      <w:tr w14:paraId="63D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01" w:type="dxa"/>
          </w:tcPr>
          <w:p w14:paraId="74A1D622">
            <w:pPr>
              <w:autoSpaceDE w:val="0"/>
              <w:autoSpaceDN w:val="0"/>
              <w:adjustRightInd w:val="0"/>
              <w:jc w:val="center"/>
              <w:rPr>
                <w:rFonts w:ascii="宋体"/>
                <w:b/>
                <w:color w:val="000000" w:themeColor="text1"/>
                <w:sz w:val="24"/>
                <w:szCs w:val="21"/>
                <w:highlight w:val="none"/>
                <w:lang w:val="zh-CN"/>
                <w14:textFill>
                  <w14:solidFill>
                    <w14:schemeClr w14:val="tx1"/>
                  </w14:solidFill>
                </w14:textFill>
              </w:rPr>
            </w:pPr>
            <w:r>
              <w:rPr>
                <w:rFonts w:hint="eastAsia" w:ascii="宋体"/>
                <w:b/>
                <w:color w:val="000000" w:themeColor="text1"/>
                <w:sz w:val="24"/>
                <w:szCs w:val="21"/>
                <w:highlight w:val="none"/>
                <w:lang w:val="zh-CN"/>
                <w14:textFill>
                  <w14:solidFill>
                    <w14:schemeClr w14:val="tx1"/>
                  </w14:solidFill>
                </w14:textFill>
              </w:rPr>
              <w:t>序号</w:t>
            </w:r>
          </w:p>
        </w:tc>
        <w:tc>
          <w:tcPr>
            <w:tcW w:w="1275" w:type="dxa"/>
            <w:vAlign w:val="center"/>
          </w:tcPr>
          <w:p w14:paraId="4DEB0DF6">
            <w:pPr>
              <w:autoSpaceDE w:val="0"/>
              <w:autoSpaceDN w:val="0"/>
              <w:adjustRightInd w:val="0"/>
              <w:jc w:val="center"/>
              <w:rPr>
                <w:rFonts w:ascii="宋体"/>
                <w:b/>
                <w:color w:val="000000" w:themeColor="text1"/>
                <w:sz w:val="24"/>
                <w:szCs w:val="21"/>
                <w:highlight w:val="none"/>
                <w:lang w:val="zh-CN"/>
                <w14:textFill>
                  <w14:solidFill>
                    <w14:schemeClr w14:val="tx1"/>
                  </w14:solidFill>
                </w14:textFill>
              </w:rPr>
            </w:pPr>
            <w:r>
              <w:rPr>
                <w:rFonts w:hint="eastAsia" w:ascii="宋体"/>
                <w:b/>
                <w:color w:val="000000" w:themeColor="text1"/>
                <w:sz w:val="24"/>
                <w:szCs w:val="21"/>
                <w:highlight w:val="none"/>
                <w:lang w:val="zh-CN"/>
                <w14:textFill>
                  <w14:solidFill>
                    <w14:schemeClr w14:val="tx1"/>
                  </w14:solidFill>
                </w14:textFill>
              </w:rPr>
              <w:t>姓名</w:t>
            </w:r>
          </w:p>
        </w:tc>
        <w:tc>
          <w:tcPr>
            <w:tcW w:w="1276" w:type="dxa"/>
            <w:vAlign w:val="center"/>
          </w:tcPr>
          <w:p w14:paraId="0E873EA2">
            <w:pPr>
              <w:autoSpaceDE w:val="0"/>
              <w:autoSpaceDN w:val="0"/>
              <w:adjustRightInd w:val="0"/>
              <w:jc w:val="center"/>
              <w:rPr>
                <w:rFonts w:ascii="宋体"/>
                <w:b/>
                <w:color w:val="000000" w:themeColor="text1"/>
                <w:sz w:val="24"/>
                <w:szCs w:val="21"/>
                <w:highlight w:val="none"/>
                <w:lang w:val="zh-CN"/>
                <w14:textFill>
                  <w14:solidFill>
                    <w14:schemeClr w14:val="tx1"/>
                  </w14:solidFill>
                </w14:textFill>
              </w:rPr>
            </w:pPr>
            <w:r>
              <w:rPr>
                <w:rFonts w:hint="eastAsia" w:ascii="宋体"/>
                <w:b/>
                <w:color w:val="000000" w:themeColor="text1"/>
                <w:sz w:val="24"/>
                <w:szCs w:val="21"/>
                <w:highlight w:val="none"/>
                <w:lang w:val="zh-CN"/>
                <w14:textFill>
                  <w14:solidFill>
                    <w14:schemeClr w14:val="tx1"/>
                  </w14:solidFill>
                </w14:textFill>
              </w:rPr>
              <w:t>性别</w:t>
            </w:r>
          </w:p>
        </w:tc>
        <w:tc>
          <w:tcPr>
            <w:tcW w:w="1701" w:type="dxa"/>
            <w:vAlign w:val="center"/>
          </w:tcPr>
          <w:p w14:paraId="404D56F8">
            <w:pPr>
              <w:autoSpaceDE w:val="0"/>
              <w:autoSpaceDN w:val="0"/>
              <w:adjustRightInd w:val="0"/>
              <w:jc w:val="center"/>
              <w:rPr>
                <w:rFonts w:ascii="宋体"/>
                <w:b/>
                <w:color w:val="000000" w:themeColor="text1"/>
                <w:sz w:val="24"/>
                <w:szCs w:val="21"/>
                <w:highlight w:val="none"/>
                <w:lang w:val="zh-CN"/>
                <w14:textFill>
                  <w14:solidFill>
                    <w14:schemeClr w14:val="tx1"/>
                  </w14:solidFill>
                </w14:textFill>
              </w:rPr>
            </w:pPr>
            <w:r>
              <w:rPr>
                <w:rFonts w:hint="eastAsia" w:ascii="宋体"/>
                <w:b/>
                <w:color w:val="000000" w:themeColor="text1"/>
                <w:sz w:val="24"/>
                <w:szCs w:val="21"/>
                <w:highlight w:val="none"/>
                <w:lang w:val="zh-CN"/>
                <w14:textFill>
                  <w14:solidFill>
                    <w14:schemeClr w14:val="tx1"/>
                  </w14:solidFill>
                </w14:textFill>
              </w:rPr>
              <w:t>岗位</w:t>
            </w:r>
          </w:p>
        </w:tc>
        <w:tc>
          <w:tcPr>
            <w:tcW w:w="1985" w:type="dxa"/>
            <w:vAlign w:val="center"/>
          </w:tcPr>
          <w:p w14:paraId="4CF76B6A">
            <w:pPr>
              <w:autoSpaceDE w:val="0"/>
              <w:autoSpaceDN w:val="0"/>
              <w:adjustRightInd w:val="0"/>
              <w:jc w:val="center"/>
              <w:rPr>
                <w:rFonts w:ascii="宋体"/>
                <w:b/>
                <w:color w:val="000000" w:themeColor="text1"/>
                <w:sz w:val="24"/>
                <w:szCs w:val="21"/>
                <w:highlight w:val="none"/>
                <w:lang w:val="zh-CN"/>
                <w14:textFill>
                  <w14:solidFill>
                    <w14:schemeClr w14:val="tx1"/>
                  </w14:solidFill>
                </w14:textFill>
              </w:rPr>
            </w:pPr>
            <w:r>
              <w:rPr>
                <w:rFonts w:hint="eastAsia" w:ascii="宋体"/>
                <w:b/>
                <w:color w:val="000000" w:themeColor="text1"/>
                <w:sz w:val="24"/>
                <w:szCs w:val="21"/>
                <w:highlight w:val="none"/>
                <w:lang w:val="zh-CN"/>
                <w14:textFill>
                  <w14:solidFill>
                    <w14:schemeClr w14:val="tx1"/>
                  </w14:solidFill>
                </w14:textFill>
              </w:rPr>
              <w:t>技术职称（如有）</w:t>
            </w:r>
          </w:p>
        </w:tc>
        <w:tc>
          <w:tcPr>
            <w:tcW w:w="1948" w:type="dxa"/>
            <w:vAlign w:val="center"/>
          </w:tcPr>
          <w:p w14:paraId="1BD74268">
            <w:pPr>
              <w:autoSpaceDE w:val="0"/>
              <w:autoSpaceDN w:val="0"/>
              <w:adjustRightInd w:val="0"/>
              <w:jc w:val="center"/>
              <w:rPr>
                <w:rFonts w:ascii="宋体"/>
                <w:b/>
                <w:color w:val="000000" w:themeColor="text1"/>
                <w:sz w:val="24"/>
                <w:szCs w:val="21"/>
                <w:highlight w:val="none"/>
                <w:lang w:val="zh-CN"/>
                <w14:textFill>
                  <w14:solidFill>
                    <w14:schemeClr w14:val="tx1"/>
                  </w14:solidFill>
                </w14:textFill>
              </w:rPr>
            </w:pPr>
            <w:r>
              <w:rPr>
                <w:rFonts w:hint="eastAsia" w:ascii="宋体"/>
                <w:b/>
                <w:color w:val="000000" w:themeColor="text1"/>
                <w:sz w:val="24"/>
                <w:szCs w:val="21"/>
                <w:highlight w:val="none"/>
                <w:lang w:val="zh-CN"/>
                <w14:textFill>
                  <w14:solidFill>
                    <w14:schemeClr w14:val="tx1"/>
                  </w14:solidFill>
                </w14:textFill>
              </w:rPr>
              <w:t>备    注</w:t>
            </w:r>
          </w:p>
        </w:tc>
      </w:tr>
      <w:tr w14:paraId="17AA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5ABE218">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52A37F3A">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323195AB">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7B95D2D1">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184CE7D0">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5824724A">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r w14:paraId="0EE9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1EE2F01">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40338E34">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284316BC">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0B16FDEE">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21E17FBE">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645B9000">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r w14:paraId="423A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AA44FE2">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1AA66335">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15F381BC">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0656B0FF">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77B58092">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496FC649">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r w14:paraId="3E58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3B7456F">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34CDB313">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04D6068A">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7F6E743C">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46EFC11C">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3BED897E">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r w14:paraId="1BA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AE9BB2F">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09011EED">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20180FD9">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152EEBFB">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1044B891">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7B8FCCF6">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r w14:paraId="1707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426544E">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665363E5">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7736AAFC">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534E34DF">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2F0FD5E9">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13FB41C3">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r w14:paraId="1BD5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35E5136">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29CFED44">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2F182136">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4EE16792">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44B814A7">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446E9DF2">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r w14:paraId="3390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15BDECB">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518EAA2F">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224F6839">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4816A07F">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3C2A0C49">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15F0EF85">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r w14:paraId="1A34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05EE78B">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5" w:type="dxa"/>
          </w:tcPr>
          <w:p w14:paraId="77B46190">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276" w:type="dxa"/>
          </w:tcPr>
          <w:p w14:paraId="07E8AB66">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701" w:type="dxa"/>
          </w:tcPr>
          <w:p w14:paraId="4C206240">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85" w:type="dxa"/>
          </w:tcPr>
          <w:p w14:paraId="7C44CC4C">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c>
          <w:tcPr>
            <w:tcW w:w="1948" w:type="dxa"/>
          </w:tcPr>
          <w:p w14:paraId="4AA644F1">
            <w:pPr>
              <w:autoSpaceDE w:val="0"/>
              <w:autoSpaceDN w:val="0"/>
              <w:adjustRightInd w:val="0"/>
              <w:jc w:val="left"/>
              <w:rPr>
                <w:rFonts w:ascii="宋体"/>
                <w:color w:val="000000" w:themeColor="text1"/>
                <w:sz w:val="24"/>
                <w:szCs w:val="21"/>
                <w:highlight w:val="none"/>
                <w:lang w:val="zh-CN"/>
                <w14:textFill>
                  <w14:solidFill>
                    <w14:schemeClr w14:val="tx1"/>
                  </w14:solidFill>
                </w14:textFill>
              </w:rPr>
            </w:pPr>
          </w:p>
        </w:tc>
      </w:tr>
    </w:tbl>
    <w:p w14:paraId="6C6E0172">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p>
    <w:p w14:paraId="250B5BFC">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供应商</w:t>
      </w:r>
      <w:r>
        <w:rPr>
          <w:rFonts w:hint="eastAsia" w:ascii="宋体" w:hAnsi="宋体"/>
          <w:color w:val="000000" w:themeColor="text1"/>
          <w:sz w:val="24"/>
          <w:szCs w:val="21"/>
          <w:highlight w:val="none"/>
          <w14:textFill>
            <w14:solidFill>
              <w14:schemeClr w14:val="tx1"/>
            </w14:solidFill>
          </w14:textFill>
        </w:rPr>
        <w:t xml:space="preserve">（盖章）：            </w:t>
      </w:r>
    </w:p>
    <w:p w14:paraId="150DCCE7">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授权代表签字：             </w:t>
      </w:r>
    </w:p>
    <w:p w14:paraId="6D3B4905">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日期：   年   月   日</w:t>
      </w:r>
    </w:p>
    <w:p w14:paraId="56D08203">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p>
    <w:p w14:paraId="7955A4E6">
      <w:pPr>
        <w:autoSpaceDE w:val="0"/>
        <w:autoSpaceDN w:val="0"/>
        <w:adjustRightInd w:val="0"/>
        <w:jc w:val="left"/>
        <w:rPr>
          <w:rFonts w:hint="eastAsia" w:ascii="宋体"/>
          <w:color w:val="000000" w:themeColor="text1"/>
          <w:sz w:val="24"/>
          <w:szCs w:val="21"/>
          <w:highlight w:val="none"/>
          <w:lang w:val="zh-CN"/>
          <w14:textFill>
            <w14:solidFill>
              <w14:schemeClr w14:val="tx1"/>
            </w14:solidFill>
          </w14:textFill>
        </w:rPr>
      </w:pPr>
      <w:r>
        <w:rPr>
          <w:rFonts w:hint="eastAsia" w:ascii="宋体"/>
          <w:color w:val="000000" w:themeColor="text1"/>
          <w:sz w:val="24"/>
          <w:szCs w:val="21"/>
          <w:highlight w:val="none"/>
          <w:lang w:val="zh-CN"/>
          <w14:textFill>
            <w14:solidFill>
              <w14:schemeClr w14:val="tx1"/>
            </w14:solidFill>
          </w14:textFill>
        </w:rPr>
        <w:t>备注栏，可填写该人员擅长的工种，附相关证件复印件加盖公章。</w:t>
      </w:r>
    </w:p>
    <w:p w14:paraId="6C1707F1">
      <w:pPr>
        <w:autoSpaceDE w:val="0"/>
        <w:autoSpaceDN w:val="0"/>
        <w:adjustRightInd w:val="0"/>
        <w:jc w:val="left"/>
        <w:rPr>
          <w:rFonts w:hint="eastAsia" w:ascii="宋体"/>
          <w:color w:val="000000" w:themeColor="text1"/>
          <w:sz w:val="24"/>
          <w:szCs w:val="21"/>
          <w:highlight w:val="none"/>
          <w:lang w:val="zh-CN"/>
          <w14:textFill>
            <w14:solidFill>
              <w14:schemeClr w14:val="tx1"/>
            </w14:solidFill>
          </w14:textFill>
        </w:rPr>
      </w:pPr>
    </w:p>
    <w:p w14:paraId="7089AD50">
      <w:pPr>
        <w:autoSpaceDE w:val="0"/>
        <w:autoSpaceDN w:val="0"/>
        <w:adjustRightInd w:val="0"/>
        <w:jc w:val="left"/>
        <w:rPr>
          <w:rFonts w:hint="eastAsia" w:ascii="宋体"/>
          <w:color w:val="000000" w:themeColor="text1"/>
          <w:sz w:val="24"/>
          <w:szCs w:val="21"/>
          <w:highlight w:val="none"/>
          <w:lang w:val="zh-CN"/>
          <w14:textFill>
            <w14:solidFill>
              <w14:schemeClr w14:val="tx1"/>
            </w14:solidFill>
          </w14:textFill>
        </w:rPr>
      </w:pPr>
    </w:p>
    <w:p w14:paraId="7856CFBE">
      <w:pPr>
        <w:autoSpaceDE w:val="0"/>
        <w:autoSpaceDN w:val="0"/>
        <w:adjustRightInd w:val="0"/>
        <w:jc w:val="left"/>
        <w:rPr>
          <w:rFonts w:hint="eastAsia" w:ascii="宋体"/>
          <w:color w:val="000000" w:themeColor="text1"/>
          <w:sz w:val="24"/>
          <w:szCs w:val="21"/>
          <w:highlight w:val="none"/>
          <w:lang w:val="zh-CN"/>
          <w14:textFill>
            <w14:solidFill>
              <w14:schemeClr w14:val="tx1"/>
            </w14:solidFill>
          </w14:textFill>
        </w:rPr>
      </w:pPr>
    </w:p>
    <w:p w14:paraId="1F070CF6">
      <w:pPr>
        <w:widowControl/>
        <w:adjustRightInd w:val="0"/>
        <w:spacing w:line="240" w:lineRule="atLeast"/>
        <w:jc w:val="left"/>
        <w:outlineLvl w:val="1"/>
        <w:rPr>
          <w:b/>
          <w:color w:val="000000" w:themeColor="text1"/>
          <w:sz w:val="24"/>
          <w:highlight w:val="none"/>
          <w14:textFill>
            <w14:solidFill>
              <w14:schemeClr w14:val="tx1"/>
            </w14:solidFill>
          </w14:textFill>
        </w:rPr>
      </w:pPr>
      <w:bookmarkStart w:id="173" w:name="_Toc14286"/>
      <w:bookmarkStart w:id="174" w:name="_Toc185323392"/>
      <w:bookmarkStart w:id="175" w:name="_Toc11058"/>
      <w:bookmarkStart w:id="176" w:name="_Toc459109600"/>
      <w:bookmarkStart w:id="177" w:name="_Toc354594121"/>
      <w:r>
        <w:rPr>
          <w:rFonts w:hint="eastAsia"/>
          <w:b/>
          <w:color w:val="000000" w:themeColor="text1"/>
          <w:sz w:val="24"/>
          <w:highlight w:val="none"/>
          <w14:textFill>
            <w14:solidFill>
              <w14:schemeClr w14:val="tx1"/>
            </w14:solidFill>
          </w14:textFill>
        </w:rPr>
        <w:t>八、无重大违法记录声明格式</w:t>
      </w:r>
      <w:bookmarkEnd w:id="173"/>
      <w:bookmarkEnd w:id="174"/>
      <w:bookmarkEnd w:id="175"/>
      <w:bookmarkEnd w:id="176"/>
    </w:p>
    <w:p w14:paraId="3CD8F2CA">
      <w:pPr>
        <w:jc w:val="center"/>
        <w:rPr>
          <w:rFonts w:ascii="黑体" w:eastAsia="黑体"/>
          <w:color w:val="000000" w:themeColor="text1"/>
          <w:sz w:val="44"/>
          <w:szCs w:val="36"/>
          <w:highlight w:val="none"/>
          <w14:textFill>
            <w14:solidFill>
              <w14:schemeClr w14:val="tx1"/>
            </w14:solidFill>
          </w14:textFill>
        </w:rPr>
      </w:pPr>
      <w:r>
        <w:rPr>
          <w:rFonts w:hint="eastAsia" w:ascii="宋体" w:hAnsi="宋体" w:cs="黑体"/>
          <w:b/>
          <w:bCs/>
          <w:color w:val="000000" w:themeColor="text1"/>
          <w:sz w:val="36"/>
          <w:szCs w:val="28"/>
          <w:highlight w:val="none"/>
          <w:lang w:val="zh-CN"/>
          <w14:textFill>
            <w14:solidFill>
              <w14:schemeClr w14:val="tx1"/>
            </w14:solidFill>
          </w14:textFill>
        </w:rPr>
        <w:t>无重大违法记录声明</w:t>
      </w:r>
    </w:p>
    <w:p w14:paraId="77055662">
      <w:pPr>
        <w:spacing w:line="360" w:lineRule="auto"/>
        <w:jc w:val="left"/>
        <w:rPr>
          <w:rFonts w:ascii="宋体" w:hAnsi="宋体" w:cs="仿宋_GB2312"/>
          <w:color w:val="000000" w:themeColor="text1"/>
          <w:spacing w:val="6"/>
          <w:sz w:val="24"/>
          <w:szCs w:val="21"/>
          <w:highlight w:val="none"/>
          <w14:textFill>
            <w14:solidFill>
              <w14:schemeClr w14:val="tx1"/>
            </w14:solidFill>
          </w14:textFill>
        </w:rPr>
      </w:pPr>
      <w:r>
        <w:rPr>
          <w:rFonts w:hint="eastAsia" w:ascii="宋体" w:hAnsi="宋体" w:cs="仿宋_GB2312"/>
          <w:color w:val="000000" w:themeColor="text1"/>
          <w:spacing w:val="6"/>
          <w:sz w:val="24"/>
          <w:szCs w:val="21"/>
          <w:highlight w:val="none"/>
          <w14:textFill>
            <w14:solidFill>
              <w14:schemeClr w14:val="tx1"/>
            </w14:solidFill>
          </w14:textFill>
        </w:rPr>
        <w:t xml:space="preserve"> </w:t>
      </w:r>
      <w:r>
        <w:rPr>
          <w:rFonts w:hint="eastAsia" w:ascii="宋体" w:hAnsi="宋体" w:cs="仿宋_GB2312"/>
          <w:color w:val="000000" w:themeColor="text1"/>
          <w:spacing w:val="6"/>
          <w:sz w:val="24"/>
          <w:szCs w:val="21"/>
          <w:highlight w:val="none"/>
          <w:lang w:eastAsia="zh-CN"/>
          <w14:textFill>
            <w14:solidFill>
              <w14:schemeClr w14:val="tx1"/>
            </w14:solidFill>
          </w14:textFill>
        </w:rPr>
        <w:t>南京江宁滨江经济开发区管理委员会</w:t>
      </w:r>
      <w:r>
        <w:rPr>
          <w:rFonts w:hint="eastAsia" w:ascii="宋体" w:hAnsi="宋体" w:cs="仿宋_GB2312"/>
          <w:color w:val="000000" w:themeColor="text1"/>
          <w:spacing w:val="6"/>
          <w:sz w:val="24"/>
          <w:szCs w:val="21"/>
          <w:highlight w:val="none"/>
          <w14:textFill>
            <w14:solidFill>
              <w14:schemeClr w14:val="tx1"/>
            </w14:solidFill>
          </w14:textFill>
        </w:rPr>
        <w:t xml:space="preserve"> ：</w:t>
      </w:r>
    </w:p>
    <w:p w14:paraId="3B788994">
      <w:pPr>
        <w:spacing w:line="360" w:lineRule="auto"/>
        <w:jc w:val="left"/>
        <w:rPr>
          <w:rFonts w:ascii="宋体" w:hAnsi="宋体" w:cs="仿宋_GB2312"/>
          <w:color w:val="000000" w:themeColor="text1"/>
          <w:spacing w:val="6"/>
          <w:sz w:val="24"/>
          <w:szCs w:val="21"/>
          <w:highlight w:val="none"/>
          <w14:textFill>
            <w14:solidFill>
              <w14:schemeClr w14:val="tx1"/>
            </w14:solidFill>
          </w14:textFill>
        </w:rPr>
      </w:pPr>
      <w:r>
        <w:rPr>
          <w:rFonts w:hint="eastAsia" w:ascii="宋体" w:hAnsi="宋体" w:cs="仿宋_GB2312"/>
          <w:color w:val="000000" w:themeColor="text1"/>
          <w:spacing w:val="6"/>
          <w:sz w:val="24"/>
          <w:szCs w:val="21"/>
          <w:highlight w:val="none"/>
          <w14:textFill>
            <w14:solidFill>
              <w14:schemeClr w14:val="tx1"/>
            </w14:solidFill>
          </w14:textFill>
        </w:rPr>
        <w:t xml:space="preserve">    我单位</w:t>
      </w:r>
      <w:r>
        <w:rPr>
          <w:rFonts w:hint="eastAsia" w:ascii="宋体" w:hAnsi="宋体" w:cs="仿宋_GB2312"/>
          <w:color w:val="000000" w:themeColor="text1"/>
          <w:spacing w:val="6"/>
          <w:sz w:val="24"/>
          <w:szCs w:val="21"/>
          <w:highlight w:val="none"/>
          <w:u w:val="single"/>
          <w14:textFill>
            <w14:solidFill>
              <w14:schemeClr w14:val="tx1"/>
            </w14:solidFill>
          </w14:textFill>
        </w:rPr>
        <w:t xml:space="preserve">       </w:t>
      </w:r>
      <w:r>
        <w:rPr>
          <w:rFonts w:hint="eastAsia" w:ascii="宋体" w:hAnsi="宋体" w:cs="仿宋_GB2312"/>
          <w:color w:val="000000" w:themeColor="text1"/>
          <w:spacing w:val="6"/>
          <w:sz w:val="24"/>
          <w:szCs w:val="21"/>
          <w:highlight w:val="none"/>
          <w14:textFill>
            <w14:solidFill>
              <w14:schemeClr w14:val="tx1"/>
            </w14:solidFill>
          </w14:textFill>
        </w:rPr>
        <w:t>（供应商名称）郑重声明：</w:t>
      </w:r>
    </w:p>
    <w:p w14:paraId="2CCF98E6">
      <w:pPr>
        <w:spacing w:line="360" w:lineRule="auto"/>
        <w:jc w:val="left"/>
        <w:rPr>
          <w:rFonts w:ascii="宋体" w:hAnsi="宋体" w:cs="仿宋_GB2312"/>
          <w:color w:val="000000" w:themeColor="text1"/>
          <w:spacing w:val="6"/>
          <w:sz w:val="24"/>
          <w:szCs w:val="21"/>
          <w:highlight w:val="none"/>
          <w14:textFill>
            <w14:solidFill>
              <w14:schemeClr w14:val="tx1"/>
            </w14:solidFill>
          </w14:textFill>
        </w:rPr>
      </w:pPr>
      <w:r>
        <w:rPr>
          <w:rFonts w:hint="eastAsia" w:ascii="宋体" w:hAnsi="宋体" w:cs="仿宋_GB2312"/>
          <w:color w:val="000000" w:themeColor="text1"/>
          <w:spacing w:val="6"/>
          <w:sz w:val="24"/>
          <w:szCs w:val="21"/>
          <w:highlight w:val="none"/>
          <w14:textFill>
            <w14:solidFill>
              <w14:schemeClr w14:val="tx1"/>
            </w14:solidFill>
          </w14:textFill>
        </w:rPr>
        <w:t xml:space="preserve">    参加政府采购活动前3年内在经营活动中</w:t>
      </w:r>
      <w:r>
        <w:rPr>
          <w:rFonts w:hint="eastAsia" w:ascii="宋体" w:hAnsi="宋体" w:cs="仿宋_GB2312"/>
          <w:color w:val="000000" w:themeColor="text1"/>
          <w:spacing w:val="6"/>
          <w:sz w:val="24"/>
          <w:szCs w:val="21"/>
          <w:highlight w:val="none"/>
          <w:u w:val="single"/>
          <w14:textFill>
            <w14:solidFill>
              <w14:schemeClr w14:val="tx1"/>
            </w14:solidFill>
          </w14:textFill>
        </w:rPr>
        <w:t xml:space="preserve">         </w:t>
      </w:r>
      <w:r>
        <w:rPr>
          <w:rFonts w:hint="eastAsia" w:ascii="宋体" w:hAnsi="宋体" w:cs="仿宋_GB2312"/>
          <w:color w:val="000000" w:themeColor="text1"/>
          <w:spacing w:val="6"/>
          <w:sz w:val="24"/>
          <w:szCs w:val="21"/>
          <w:highlight w:val="none"/>
          <w14:textFill>
            <w14:solidFill>
              <w14:schemeClr w14:val="tx1"/>
            </w14:solidFill>
          </w14:textFill>
        </w:rPr>
        <w:t>（在下划线上如实填写：有或没有）重大违法记录。</w:t>
      </w:r>
    </w:p>
    <w:p w14:paraId="21DF92B2">
      <w:pPr>
        <w:spacing w:line="600" w:lineRule="exact"/>
        <w:jc w:val="left"/>
        <w:rPr>
          <w:rFonts w:ascii="宋体" w:hAnsi="宋体" w:cs="仿宋_GB2312"/>
          <w:color w:val="000000" w:themeColor="text1"/>
          <w:spacing w:val="6"/>
          <w:sz w:val="24"/>
          <w:szCs w:val="21"/>
          <w:highlight w:val="none"/>
          <w14:textFill>
            <w14:solidFill>
              <w14:schemeClr w14:val="tx1"/>
            </w14:solidFill>
          </w14:textFill>
        </w:rPr>
      </w:pPr>
      <w:r>
        <w:rPr>
          <w:rFonts w:hint="eastAsia" w:ascii="宋体" w:hAnsi="宋体" w:cs="仿宋_GB2312"/>
          <w:color w:val="000000" w:themeColor="text1"/>
          <w:spacing w:val="6"/>
          <w:sz w:val="24"/>
          <w:szCs w:val="21"/>
          <w:highlight w:val="none"/>
          <w14:textFill>
            <w14:solidFill>
              <w14:schemeClr w14:val="tx1"/>
            </w14:solidFill>
          </w14:textFill>
        </w:rPr>
        <w:t xml:space="preserve">    （说明：政府采购法第二十二条第一款第五项所称重大违法记录，是指供应商因违法经营受到刑事处罚或者责令停产停业、吊销许可证或者执照、较大数额罚款等行政处罚。）</w:t>
      </w:r>
    </w:p>
    <w:p w14:paraId="027864D8">
      <w:pPr>
        <w:autoSpaceDE w:val="0"/>
        <w:autoSpaceDN w:val="0"/>
        <w:adjustRightInd w:val="0"/>
        <w:spacing w:line="600" w:lineRule="exact"/>
        <w:ind w:right="924"/>
        <w:jc w:val="righ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供应商</w:t>
      </w:r>
      <w:r>
        <w:rPr>
          <w:rFonts w:hint="eastAsia" w:ascii="宋体" w:hAnsi="宋体"/>
          <w:color w:val="000000" w:themeColor="text1"/>
          <w:sz w:val="24"/>
          <w:szCs w:val="21"/>
          <w:highlight w:val="none"/>
          <w14:textFill>
            <w14:solidFill>
              <w14:schemeClr w14:val="tx1"/>
            </w14:solidFill>
          </w14:textFill>
        </w:rPr>
        <w:t xml:space="preserve">（盖章）：            </w:t>
      </w:r>
    </w:p>
    <w:p w14:paraId="7A94D5CF">
      <w:pPr>
        <w:autoSpaceDE w:val="0"/>
        <w:autoSpaceDN w:val="0"/>
        <w:adjustRightInd w:val="0"/>
        <w:spacing w:line="600" w:lineRule="exact"/>
        <w:ind w:right="480" w:firstLine="6600" w:firstLineChars="2750"/>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授权代表签字：             </w:t>
      </w:r>
    </w:p>
    <w:p w14:paraId="336042B6">
      <w:pPr>
        <w:autoSpaceDE w:val="0"/>
        <w:autoSpaceDN w:val="0"/>
        <w:adjustRightInd w:val="0"/>
        <w:spacing w:line="600" w:lineRule="exact"/>
        <w:jc w:val="right"/>
        <w:rPr>
          <w:rFonts w:ascii="宋体" w:hAnsi="宋体"/>
          <w:b/>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日  期：    年   月   日</w:t>
      </w:r>
    </w:p>
    <w:p w14:paraId="72AD2E4E">
      <w:pPr>
        <w:autoSpaceDE w:val="0"/>
        <w:autoSpaceDN w:val="0"/>
        <w:adjustRightInd w:val="0"/>
        <w:spacing w:line="600" w:lineRule="exact"/>
        <w:jc w:val="left"/>
        <w:outlineLvl w:val="1"/>
        <w:rPr>
          <w:rFonts w:ascii="宋体" w:hAnsi="宋体" w:cs="黑体"/>
          <w:b/>
          <w:bCs/>
          <w:color w:val="000000" w:themeColor="text1"/>
          <w:sz w:val="24"/>
          <w:szCs w:val="21"/>
          <w:highlight w:val="none"/>
          <w14:textFill>
            <w14:solidFill>
              <w14:schemeClr w14:val="tx1"/>
            </w14:solidFill>
          </w14:textFill>
        </w:rPr>
      </w:pPr>
      <w:bookmarkStart w:id="178" w:name="_Toc504126844"/>
      <w:bookmarkStart w:id="179" w:name="_Toc506199234"/>
    </w:p>
    <w:p w14:paraId="50B79E51">
      <w:pPr>
        <w:autoSpaceDE w:val="0"/>
        <w:autoSpaceDN w:val="0"/>
        <w:adjustRightInd w:val="0"/>
        <w:spacing w:line="460" w:lineRule="exact"/>
        <w:jc w:val="left"/>
        <w:outlineLvl w:val="1"/>
        <w:rPr>
          <w:rFonts w:ascii="宋体" w:hAnsi="宋体" w:cs="黑体"/>
          <w:b/>
          <w:bCs/>
          <w:color w:val="000000" w:themeColor="text1"/>
          <w:sz w:val="24"/>
          <w:szCs w:val="21"/>
          <w:highlight w:val="none"/>
          <w14:textFill>
            <w14:solidFill>
              <w14:schemeClr w14:val="tx1"/>
            </w14:solidFill>
          </w14:textFill>
        </w:rPr>
      </w:pPr>
    </w:p>
    <w:p w14:paraId="37DDFD67">
      <w:pPr>
        <w:autoSpaceDE w:val="0"/>
        <w:autoSpaceDN w:val="0"/>
        <w:adjustRightInd w:val="0"/>
        <w:spacing w:line="460" w:lineRule="exact"/>
        <w:jc w:val="left"/>
        <w:outlineLvl w:val="1"/>
        <w:rPr>
          <w:rFonts w:ascii="宋体" w:hAnsi="宋体" w:cs="黑体"/>
          <w:b/>
          <w:bCs/>
          <w:color w:val="000000" w:themeColor="text1"/>
          <w:sz w:val="24"/>
          <w:szCs w:val="21"/>
          <w:highlight w:val="none"/>
          <w14:textFill>
            <w14:solidFill>
              <w14:schemeClr w14:val="tx1"/>
            </w14:solidFill>
          </w14:textFill>
        </w:rPr>
      </w:pPr>
    </w:p>
    <w:p w14:paraId="14E4113B">
      <w:pPr>
        <w:autoSpaceDE w:val="0"/>
        <w:autoSpaceDN w:val="0"/>
        <w:adjustRightInd w:val="0"/>
        <w:spacing w:line="460" w:lineRule="exact"/>
        <w:jc w:val="left"/>
        <w:outlineLvl w:val="1"/>
        <w:rPr>
          <w:rFonts w:ascii="宋体" w:hAnsi="宋体" w:cs="黑体"/>
          <w:b/>
          <w:bCs/>
          <w:color w:val="000000" w:themeColor="text1"/>
          <w:sz w:val="24"/>
          <w:szCs w:val="21"/>
          <w:highlight w:val="none"/>
          <w14:textFill>
            <w14:solidFill>
              <w14:schemeClr w14:val="tx1"/>
            </w14:solidFill>
          </w14:textFill>
        </w:rPr>
      </w:pPr>
    </w:p>
    <w:p w14:paraId="3D328A65">
      <w:pPr>
        <w:autoSpaceDE w:val="0"/>
        <w:autoSpaceDN w:val="0"/>
        <w:adjustRightInd w:val="0"/>
        <w:spacing w:line="460" w:lineRule="exact"/>
        <w:jc w:val="left"/>
        <w:outlineLvl w:val="1"/>
        <w:rPr>
          <w:rFonts w:ascii="宋体" w:hAnsi="宋体" w:cs="黑体"/>
          <w:b/>
          <w:bCs/>
          <w:color w:val="000000" w:themeColor="text1"/>
          <w:sz w:val="24"/>
          <w:szCs w:val="21"/>
          <w:highlight w:val="none"/>
          <w:lang w:val="zh-CN"/>
          <w14:textFill>
            <w14:solidFill>
              <w14:schemeClr w14:val="tx1"/>
            </w14:solidFill>
          </w14:textFill>
        </w:rPr>
      </w:pPr>
      <w:bookmarkStart w:id="180" w:name="_Toc11616"/>
      <w:bookmarkStart w:id="181" w:name="_Toc185323393"/>
      <w:bookmarkStart w:id="182" w:name="_Toc27923"/>
      <w:r>
        <w:rPr>
          <w:rFonts w:hint="eastAsia" w:ascii="宋体" w:hAnsi="宋体" w:cs="黑体"/>
          <w:b/>
          <w:bCs/>
          <w:color w:val="000000" w:themeColor="text1"/>
          <w:sz w:val="24"/>
          <w:szCs w:val="21"/>
          <w:highlight w:val="none"/>
          <w14:textFill>
            <w14:solidFill>
              <w14:schemeClr w14:val="tx1"/>
            </w14:solidFill>
          </w14:textFill>
        </w:rPr>
        <w:t>九</w:t>
      </w:r>
      <w:r>
        <w:rPr>
          <w:rFonts w:hint="eastAsia" w:ascii="宋体" w:hAnsi="宋体" w:cs="黑体"/>
          <w:b/>
          <w:bCs/>
          <w:color w:val="000000" w:themeColor="text1"/>
          <w:sz w:val="24"/>
          <w:szCs w:val="21"/>
          <w:highlight w:val="none"/>
          <w:lang w:val="zh-CN"/>
          <w14:textFill>
            <w14:solidFill>
              <w14:schemeClr w14:val="tx1"/>
            </w14:solidFill>
          </w14:textFill>
        </w:rPr>
        <w:t>、具备履行合同所必需的设备和专业技术能力的书面声明</w:t>
      </w:r>
      <w:bookmarkEnd w:id="178"/>
      <w:bookmarkEnd w:id="179"/>
      <w:bookmarkEnd w:id="180"/>
      <w:bookmarkEnd w:id="181"/>
      <w:bookmarkEnd w:id="182"/>
    </w:p>
    <w:p w14:paraId="1BD8DEAE">
      <w:pPr>
        <w:spacing w:line="360" w:lineRule="auto"/>
        <w:ind w:firstLine="504" w:firstLineChars="200"/>
        <w:jc w:val="left"/>
        <w:rPr>
          <w:color w:val="000000" w:themeColor="text1"/>
          <w:spacing w:val="6"/>
          <w:sz w:val="24"/>
          <w:szCs w:val="21"/>
          <w:highlight w:val="none"/>
          <w14:textFill>
            <w14:solidFill>
              <w14:schemeClr w14:val="tx1"/>
            </w14:solidFill>
          </w14:textFill>
        </w:rPr>
      </w:pPr>
    </w:p>
    <w:p w14:paraId="357C9FF1">
      <w:pPr>
        <w:autoSpaceDE w:val="0"/>
        <w:autoSpaceDN w:val="0"/>
        <w:adjustRightInd w:val="0"/>
        <w:spacing w:line="5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    我单位郑重声明：我单位具备履行本项采购合同所必需的设备和专业技术能力，为履行本项采购合同我公司具备如下主要设备和主要专业技术能力：</w:t>
      </w:r>
    </w:p>
    <w:p w14:paraId="2AB8EB9E">
      <w:pPr>
        <w:autoSpaceDE w:val="0"/>
        <w:autoSpaceDN w:val="0"/>
        <w:adjustRightInd w:val="0"/>
        <w:spacing w:line="5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    主要设备有：</w:t>
      </w:r>
      <w:r>
        <w:rPr>
          <w:rFonts w:hint="eastAsia" w:ascii="宋体" w:hAnsi="宋体" w:cs="宋体"/>
          <w:color w:val="000000" w:themeColor="text1"/>
          <w:sz w:val="24"/>
          <w:szCs w:val="21"/>
          <w:highlight w:val="none"/>
          <w:u w:val="single"/>
          <w:lang w:val="zh-CN"/>
          <w14:textFill>
            <w14:solidFill>
              <w14:schemeClr w14:val="tx1"/>
            </w14:solidFill>
          </w14:textFill>
        </w:rPr>
        <w:t xml:space="preserve">             </w:t>
      </w:r>
      <w:r>
        <w:rPr>
          <w:rFonts w:hint="eastAsia" w:ascii="宋体" w:hAnsi="宋体" w:cs="宋体"/>
          <w:color w:val="000000" w:themeColor="text1"/>
          <w:sz w:val="24"/>
          <w:szCs w:val="21"/>
          <w:highlight w:val="none"/>
          <w:lang w:val="zh-CN"/>
          <w14:textFill>
            <w14:solidFill>
              <w14:schemeClr w14:val="tx1"/>
            </w14:solidFill>
          </w14:textFill>
        </w:rPr>
        <w:t>。</w:t>
      </w:r>
    </w:p>
    <w:p w14:paraId="7034DE91">
      <w:pPr>
        <w:autoSpaceDE w:val="0"/>
        <w:autoSpaceDN w:val="0"/>
        <w:adjustRightInd w:val="0"/>
        <w:spacing w:line="5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    主要专业技术能力有：</w:t>
      </w:r>
      <w:r>
        <w:rPr>
          <w:rFonts w:hint="eastAsia" w:ascii="宋体" w:hAnsi="宋体" w:cs="宋体"/>
          <w:color w:val="000000" w:themeColor="text1"/>
          <w:sz w:val="24"/>
          <w:szCs w:val="21"/>
          <w:highlight w:val="none"/>
          <w:u w:val="single"/>
          <w:lang w:val="zh-CN"/>
          <w14:textFill>
            <w14:solidFill>
              <w14:schemeClr w14:val="tx1"/>
            </w14:solidFill>
          </w14:textFill>
        </w:rPr>
        <w:t xml:space="preserve">           </w:t>
      </w:r>
      <w:r>
        <w:rPr>
          <w:rFonts w:hint="eastAsia" w:ascii="宋体" w:hAnsi="宋体" w:cs="宋体"/>
          <w:color w:val="000000" w:themeColor="text1"/>
          <w:sz w:val="24"/>
          <w:szCs w:val="21"/>
          <w:highlight w:val="none"/>
          <w:lang w:val="zh-CN"/>
          <w14:textFill>
            <w14:solidFill>
              <w14:schemeClr w14:val="tx1"/>
            </w14:solidFill>
          </w14:textFill>
        </w:rPr>
        <w:t>。</w:t>
      </w:r>
    </w:p>
    <w:p w14:paraId="44CD05BA">
      <w:pPr>
        <w:autoSpaceDE w:val="0"/>
        <w:autoSpaceDN w:val="0"/>
        <w:adjustRightInd w:val="0"/>
        <w:jc w:val="left"/>
        <w:rPr>
          <w:rFonts w:ascii="宋体" w:hAnsi="宋体" w:cs="宋体"/>
          <w:color w:val="000000" w:themeColor="text1"/>
          <w:sz w:val="24"/>
          <w:szCs w:val="21"/>
          <w:highlight w:val="none"/>
          <w:lang w:val="zh-CN"/>
          <w14:textFill>
            <w14:solidFill>
              <w14:schemeClr w14:val="tx1"/>
            </w14:solidFill>
          </w14:textFill>
        </w:rPr>
      </w:pPr>
    </w:p>
    <w:p w14:paraId="28B03ECB">
      <w:pPr>
        <w:autoSpaceDE w:val="0"/>
        <w:autoSpaceDN w:val="0"/>
        <w:adjustRightInd w:val="0"/>
        <w:snapToGrid w:val="0"/>
        <w:spacing w:line="600" w:lineRule="exact"/>
        <w:ind w:right="840"/>
        <w:jc w:val="left"/>
        <w:rPr>
          <w:color w:val="000000" w:themeColor="text1"/>
          <w:sz w:val="24"/>
          <w:szCs w:val="21"/>
          <w:highlight w:val="none"/>
          <w:lang w:val="zh-CN"/>
          <w14:textFill>
            <w14:solidFill>
              <w14:schemeClr w14:val="tx1"/>
            </w14:solidFill>
          </w14:textFill>
        </w:rPr>
      </w:pPr>
      <w:r>
        <w:rPr>
          <w:color w:val="000000" w:themeColor="text1"/>
          <w:sz w:val="24"/>
          <w:szCs w:val="21"/>
          <w:highlight w:val="none"/>
          <w:lang w:val="zh-CN"/>
          <w14:textFill>
            <w14:solidFill>
              <w14:schemeClr w14:val="tx1"/>
            </w14:solidFill>
          </w14:textFill>
        </w:rPr>
        <w:t>供应商</w:t>
      </w:r>
      <w:r>
        <w:rPr>
          <w:color w:val="000000" w:themeColor="text1"/>
          <w:sz w:val="24"/>
          <w:szCs w:val="21"/>
          <w:highlight w:val="none"/>
          <w14:textFill>
            <w14:solidFill>
              <w14:schemeClr w14:val="tx1"/>
            </w14:solidFill>
          </w14:textFill>
        </w:rPr>
        <w:t xml:space="preserve">（盖章）：           </w:t>
      </w:r>
    </w:p>
    <w:p w14:paraId="3370E558">
      <w:pPr>
        <w:autoSpaceDE w:val="0"/>
        <w:autoSpaceDN w:val="0"/>
        <w:adjustRightInd w:val="0"/>
        <w:snapToGrid w:val="0"/>
        <w:spacing w:line="600" w:lineRule="exact"/>
        <w:ind w:right="420"/>
        <w:jc w:val="left"/>
        <w:rPr>
          <w:color w:val="000000" w:themeColor="text1"/>
          <w:sz w:val="24"/>
          <w:szCs w:val="21"/>
          <w:highlight w:val="none"/>
          <w:lang w:val="zh-CN"/>
          <w14:textFill>
            <w14:solidFill>
              <w14:schemeClr w14:val="tx1"/>
            </w14:solidFill>
          </w14:textFill>
        </w:rPr>
      </w:pPr>
      <w:r>
        <w:rPr>
          <w:color w:val="000000" w:themeColor="text1"/>
          <w:sz w:val="24"/>
          <w:szCs w:val="21"/>
          <w:highlight w:val="none"/>
          <w:lang w:val="zh-CN"/>
          <w14:textFill>
            <w14:solidFill>
              <w14:schemeClr w14:val="tx1"/>
            </w14:solidFill>
          </w14:textFill>
        </w:rPr>
        <w:t xml:space="preserve">授权代表签字：            </w:t>
      </w:r>
    </w:p>
    <w:p w14:paraId="32A19FFC">
      <w:pPr>
        <w:autoSpaceDE w:val="0"/>
        <w:autoSpaceDN w:val="0"/>
        <w:adjustRightInd w:val="0"/>
        <w:snapToGrid w:val="0"/>
        <w:spacing w:line="600" w:lineRule="exact"/>
        <w:jc w:val="left"/>
        <w:rPr>
          <w:rFonts w:ascii="宋体" w:hAnsi="宋体"/>
          <w:color w:val="000000" w:themeColor="text1"/>
          <w:sz w:val="24"/>
          <w:highlight w:val="none"/>
          <w14:textFill>
            <w14:solidFill>
              <w14:schemeClr w14:val="tx1"/>
            </w14:solidFill>
          </w14:textFill>
        </w:rPr>
      </w:pPr>
      <w:r>
        <w:rPr>
          <w:color w:val="000000" w:themeColor="text1"/>
          <w:sz w:val="24"/>
          <w:szCs w:val="21"/>
          <w:highlight w:val="none"/>
          <w:lang w:val="zh-CN"/>
          <w14:textFill>
            <w14:solidFill>
              <w14:schemeClr w14:val="tx1"/>
            </w14:solidFill>
          </w14:textFill>
        </w:rPr>
        <w:t>日    期：    年    月   日</w:t>
      </w:r>
    </w:p>
    <w:p w14:paraId="5365D72E">
      <w:pPr>
        <w:wordWrap w:val="0"/>
        <w:ind w:right="444"/>
        <w:jc w:val="left"/>
        <w:rPr>
          <w:rFonts w:ascii="宋体" w:hAnsi="宋体"/>
          <w:b/>
          <w:color w:val="000000" w:themeColor="text1"/>
          <w:sz w:val="24"/>
          <w:szCs w:val="21"/>
          <w:highlight w:val="none"/>
          <w14:textFill>
            <w14:solidFill>
              <w14:schemeClr w14:val="tx1"/>
            </w14:solidFill>
          </w14:textFill>
        </w:rPr>
      </w:pPr>
    </w:p>
    <w:p w14:paraId="1B3770DF">
      <w:pPr>
        <w:wordWrap w:val="0"/>
        <w:ind w:right="444"/>
        <w:jc w:val="left"/>
        <w:rPr>
          <w:rFonts w:ascii="宋体" w:hAnsi="宋体"/>
          <w:b/>
          <w:color w:val="000000" w:themeColor="text1"/>
          <w:sz w:val="24"/>
          <w:szCs w:val="21"/>
          <w:highlight w:val="none"/>
          <w14:textFill>
            <w14:solidFill>
              <w14:schemeClr w14:val="tx1"/>
            </w14:solidFill>
          </w14:textFill>
        </w:rPr>
      </w:pPr>
    </w:p>
    <w:p w14:paraId="17E976C2">
      <w:pPr>
        <w:jc w:val="left"/>
        <w:outlineLvl w:val="1"/>
        <w:rPr>
          <w:rFonts w:ascii="宋体" w:hAnsi="宋体"/>
          <w:b/>
          <w:color w:val="000000" w:themeColor="text1"/>
          <w:sz w:val="24"/>
          <w:szCs w:val="21"/>
          <w:highlight w:val="none"/>
          <w14:textFill>
            <w14:solidFill>
              <w14:schemeClr w14:val="tx1"/>
            </w14:solidFill>
          </w14:textFill>
        </w:rPr>
      </w:pPr>
      <w:bookmarkStart w:id="183" w:name="_Toc13813"/>
      <w:bookmarkStart w:id="184" w:name="_Toc28457"/>
      <w:bookmarkStart w:id="185" w:name="_Toc185323394"/>
      <w:r>
        <w:rPr>
          <w:rFonts w:hint="eastAsia" w:ascii="宋体" w:hAnsi="宋体"/>
          <w:b/>
          <w:color w:val="000000" w:themeColor="text1"/>
          <w:sz w:val="24"/>
          <w:szCs w:val="21"/>
          <w:highlight w:val="none"/>
          <w14:textFill>
            <w14:solidFill>
              <w14:schemeClr w14:val="tx1"/>
            </w14:solidFill>
          </w14:textFill>
        </w:rPr>
        <w:t>十、</w:t>
      </w:r>
      <w:bookmarkEnd w:id="177"/>
      <w:bookmarkEnd w:id="183"/>
      <w:bookmarkEnd w:id="184"/>
      <w:r>
        <w:rPr>
          <w:rFonts w:hint="eastAsia" w:ascii="宋体" w:hAnsi="宋体"/>
          <w:b/>
          <w:color w:val="000000" w:themeColor="text1"/>
          <w:sz w:val="24"/>
          <w:szCs w:val="21"/>
          <w:highlight w:val="none"/>
          <w14:textFill>
            <w14:solidFill>
              <w14:schemeClr w14:val="tx1"/>
            </w14:solidFill>
          </w14:textFill>
        </w:rPr>
        <w:t>售后服务承诺书</w:t>
      </w:r>
      <w:bookmarkEnd w:id="185"/>
    </w:p>
    <w:p w14:paraId="1333C05D">
      <w:pPr>
        <w:autoSpaceDE w:val="0"/>
        <w:autoSpaceDN w:val="0"/>
        <w:adjustRightInd w:val="0"/>
        <w:spacing w:line="460" w:lineRule="exact"/>
        <w:jc w:val="center"/>
        <w:rPr>
          <w:rFonts w:ascii="黑体" w:eastAsia="黑体" w:cs="黑体"/>
          <w:b/>
          <w:bCs/>
          <w:color w:val="000000" w:themeColor="text1"/>
          <w:sz w:val="36"/>
          <w:szCs w:val="28"/>
          <w:highlight w:val="none"/>
          <w:lang w:val="zh-CN"/>
          <w14:textFill>
            <w14:solidFill>
              <w14:schemeClr w14:val="tx1"/>
            </w14:solidFill>
          </w14:textFill>
        </w:rPr>
      </w:pPr>
      <w:r>
        <w:rPr>
          <w:rFonts w:hint="eastAsia" w:ascii="黑体" w:eastAsia="黑体" w:cs="黑体"/>
          <w:b/>
          <w:bCs/>
          <w:color w:val="000000" w:themeColor="text1"/>
          <w:sz w:val="36"/>
          <w:szCs w:val="28"/>
          <w:highlight w:val="none"/>
          <w:lang w:val="zh-CN"/>
          <w14:textFill>
            <w14:solidFill>
              <w14:schemeClr w14:val="tx1"/>
            </w14:solidFill>
          </w14:textFill>
        </w:rPr>
        <w:t>售后服务承诺书</w:t>
      </w:r>
    </w:p>
    <w:p w14:paraId="6908EDAB">
      <w:pPr>
        <w:autoSpaceDE w:val="0"/>
        <w:autoSpaceDN w:val="0"/>
        <w:adjustRightInd w:val="0"/>
        <w:jc w:val="left"/>
        <w:rPr>
          <w:rFonts w:eastAsia="黑体"/>
          <w:color w:val="000000" w:themeColor="text1"/>
          <w:sz w:val="24"/>
          <w:szCs w:val="21"/>
          <w:highlight w:val="none"/>
          <w14:textFill>
            <w14:solidFill>
              <w14:schemeClr w14:val="tx1"/>
            </w14:solidFill>
          </w14:textFill>
        </w:rPr>
      </w:pPr>
    </w:p>
    <w:p w14:paraId="4D12415E">
      <w:pPr>
        <w:autoSpaceDE w:val="0"/>
        <w:autoSpaceDN w:val="0"/>
        <w:adjustRightInd w:val="0"/>
        <w:spacing w:line="360" w:lineRule="auto"/>
        <w:jc w:val="left"/>
        <w:rPr>
          <w:rFonts w:ascii="宋体" w:hAnsi="宋体"/>
          <w:bCs/>
          <w:color w:val="000000" w:themeColor="text1"/>
          <w:sz w:val="24"/>
          <w:szCs w:val="21"/>
          <w:highlight w:val="none"/>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ab/>
      </w:r>
      <w:r>
        <w:rPr>
          <w:rFonts w:hint="eastAsia" w:ascii="宋体" w:cs="宋体"/>
          <w:color w:val="000000" w:themeColor="text1"/>
          <w:sz w:val="24"/>
          <w:szCs w:val="21"/>
          <w:highlight w:val="none"/>
          <w:lang w:val="zh-CN"/>
          <w14:textFill>
            <w14:solidFill>
              <w14:schemeClr w14:val="tx1"/>
            </w14:solidFill>
          </w14:textFill>
        </w:rPr>
        <w:t>我公司就项目编号为“NJMT-CG2026-09”的</w:t>
      </w:r>
      <w:r>
        <w:rPr>
          <w:rFonts w:hint="eastAsia" w:ascii="宋体" w:hAnsi="宋体" w:cs="宋体"/>
          <w:color w:val="000000" w:themeColor="text1"/>
          <w:kern w:val="0"/>
          <w:sz w:val="24"/>
          <w:highlight w:val="none"/>
          <w:u w:val="single"/>
          <w:lang w:eastAsia="zh-CN"/>
          <w14:textFill>
            <w14:solidFill>
              <w14:schemeClr w14:val="tx1"/>
            </w14:solidFill>
          </w14:textFill>
        </w:rPr>
        <w:t>2026年园区VOCs站运维服务项目</w:t>
      </w:r>
      <w:r>
        <w:rPr>
          <w:rFonts w:hint="eastAsia" w:ascii="宋体" w:cs="宋体"/>
          <w:color w:val="000000" w:themeColor="text1"/>
          <w:sz w:val="24"/>
          <w:szCs w:val="21"/>
          <w:highlight w:val="none"/>
          <w:u w:val="single"/>
          <w:lang w:val="zh-CN"/>
          <w14:textFill>
            <w14:solidFill>
              <w14:schemeClr w14:val="tx1"/>
            </w14:solidFill>
          </w14:textFill>
        </w:rPr>
        <w:t xml:space="preserve"> </w:t>
      </w:r>
      <w:r>
        <w:rPr>
          <w:rFonts w:hint="eastAsia" w:ascii="宋体" w:cs="宋体"/>
          <w:color w:val="000000" w:themeColor="text1"/>
          <w:sz w:val="24"/>
          <w:szCs w:val="21"/>
          <w:highlight w:val="none"/>
          <w:lang w:val="zh-CN"/>
          <w14:textFill>
            <w14:solidFill>
              <w14:schemeClr w14:val="tx1"/>
            </w14:solidFill>
          </w14:textFill>
        </w:rPr>
        <w:t>质量保证及服务承诺如下：</w:t>
      </w:r>
    </w:p>
    <w:p w14:paraId="6D3FA064">
      <w:pPr>
        <w:autoSpaceDE w:val="0"/>
        <w:autoSpaceDN w:val="0"/>
        <w:adjustRightInd w:val="0"/>
        <w:spacing w:line="500" w:lineRule="exact"/>
        <w:ind w:firstLine="360"/>
        <w:jc w:val="left"/>
        <w:rPr>
          <w:rFonts w:ascii="宋体" w:cs="宋体"/>
          <w:color w:val="000000" w:themeColor="text1"/>
          <w:sz w:val="24"/>
          <w:szCs w:val="21"/>
          <w:highlight w:val="none"/>
          <w:lang w:val="zh-CN"/>
          <w14:textFill>
            <w14:solidFill>
              <w14:schemeClr w14:val="tx1"/>
            </w14:solidFill>
          </w14:textFill>
        </w:rPr>
      </w:pPr>
    </w:p>
    <w:p w14:paraId="0488BAE6">
      <w:pPr>
        <w:autoSpaceDE w:val="0"/>
        <w:autoSpaceDN w:val="0"/>
        <w:adjustRightInd w:val="0"/>
        <w:spacing w:line="500" w:lineRule="exact"/>
        <w:ind w:firstLine="360"/>
        <w:jc w:val="left"/>
        <w:rPr>
          <w:rFonts w:ascii="宋体" w:cs="宋体"/>
          <w:color w:val="000000" w:themeColor="text1"/>
          <w:sz w:val="24"/>
          <w:szCs w:val="21"/>
          <w:highlight w:val="none"/>
          <w:lang w:val="zh-CN"/>
          <w14:textFill>
            <w14:solidFill>
              <w14:schemeClr w14:val="tx1"/>
            </w14:solidFill>
          </w14:textFill>
        </w:rPr>
      </w:pPr>
      <w:r>
        <w:rPr>
          <w:rFonts w:hint="eastAsia" w:ascii="宋体" w:cs="宋体"/>
          <w:color w:val="000000" w:themeColor="text1"/>
          <w:sz w:val="24"/>
          <w:szCs w:val="21"/>
          <w:highlight w:val="none"/>
          <w:lang w:val="zh-CN"/>
          <w14:textFill>
            <w14:solidFill>
              <w14:schemeClr w14:val="tx1"/>
            </w14:solidFill>
          </w14:textFill>
        </w:rPr>
        <w:t>（其他售后服务承诺供应商自拟）</w:t>
      </w:r>
    </w:p>
    <w:p w14:paraId="35DBF6F3">
      <w:pPr>
        <w:autoSpaceDE w:val="0"/>
        <w:autoSpaceDN w:val="0"/>
        <w:adjustRightInd w:val="0"/>
        <w:ind w:firstLine="360"/>
        <w:jc w:val="left"/>
        <w:rPr>
          <w:rFonts w:ascii="宋体" w:cs="宋体"/>
          <w:color w:val="000000" w:themeColor="text1"/>
          <w:sz w:val="24"/>
          <w:szCs w:val="21"/>
          <w:highlight w:val="none"/>
          <w:lang w:val="zh-CN"/>
          <w14:textFill>
            <w14:solidFill>
              <w14:schemeClr w14:val="tx1"/>
            </w14:solidFill>
          </w14:textFill>
        </w:rPr>
      </w:pPr>
    </w:p>
    <w:p w14:paraId="2BEA0D66">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供应商</w:t>
      </w:r>
      <w:r>
        <w:rPr>
          <w:rFonts w:hint="eastAsia" w:ascii="宋体" w:hAnsi="宋体"/>
          <w:color w:val="000000" w:themeColor="text1"/>
          <w:sz w:val="24"/>
          <w:szCs w:val="21"/>
          <w:highlight w:val="none"/>
          <w14:textFill>
            <w14:solidFill>
              <w14:schemeClr w14:val="tx1"/>
            </w14:solidFill>
          </w14:textFill>
        </w:rPr>
        <w:t xml:space="preserve">（盖章）：            </w:t>
      </w:r>
    </w:p>
    <w:p w14:paraId="6EA3BBE0">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授权代表签字：             </w:t>
      </w:r>
    </w:p>
    <w:p w14:paraId="55BAA131">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日  期：    年   月  日</w:t>
      </w:r>
    </w:p>
    <w:p w14:paraId="0A3A7EDB">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p>
    <w:p w14:paraId="20086579">
      <w:pPr>
        <w:jc w:val="left"/>
        <w:outlineLvl w:val="1"/>
        <w:rPr>
          <w:rFonts w:ascii="宋体" w:hAnsi="宋体"/>
          <w:b/>
          <w:color w:val="000000" w:themeColor="text1"/>
          <w:sz w:val="24"/>
          <w:szCs w:val="21"/>
          <w:highlight w:val="none"/>
          <w14:textFill>
            <w14:solidFill>
              <w14:schemeClr w14:val="tx1"/>
            </w14:solidFill>
          </w14:textFill>
        </w:rPr>
      </w:pPr>
    </w:p>
    <w:p w14:paraId="2000DF6C">
      <w:pPr>
        <w:jc w:val="left"/>
        <w:outlineLvl w:val="1"/>
        <w:rPr>
          <w:rFonts w:ascii="宋体" w:hAnsi="宋体"/>
          <w:b/>
          <w:color w:val="000000" w:themeColor="text1"/>
          <w:sz w:val="24"/>
          <w:szCs w:val="21"/>
          <w:highlight w:val="none"/>
          <w14:textFill>
            <w14:solidFill>
              <w14:schemeClr w14:val="tx1"/>
            </w14:solidFill>
          </w14:textFill>
        </w:rPr>
      </w:pPr>
      <w:bookmarkStart w:id="186" w:name="_Toc185323395"/>
      <w:bookmarkStart w:id="187" w:name="_Toc20990"/>
      <w:bookmarkStart w:id="188" w:name="_Toc29039"/>
      <w:r>
        <w:rPr>
          <w:rFonts w:hint="eastAsia" w:ascii="宋体" w:hAnsi="宋体"/>
          <w:b/>
          <w:color w:val="000000" w:themeColor="text1"/>
          <w:sz w:val="24"/>
          <w:szCs w:val="21"/>
          <w:highlight w:val="none"/>
          <w14:textFill>
            <w14:solidFill>
              <w14:schemeClr w14:val="tx1"/>
            </w14:solidFill>
          </w14:textFill>
        </w:rPr>
        <w:t>十一、</w:t>
      </w:r>
      <w:bookmarkStart w:id="189" w:name="_Toc354594122"/>
      <w:r>
        <w:rPr>
          <w:rFonts w:hint="eastAsia" w:ascii="宋体" w:hAnsi="宋体"/>
          <w:b/>
          <w:color w:val="000000" w:themeColor="text1"/>
          <w:sz w:val="24"/>
          <w:szCs w:val="21"/>
          <w:highlight w:val="none"/>
          <w14:textFill>
            <w14:solidFill>
              <w14:schemeClr w14:val="tx1"/>
            </w14:solidFill>
          </w14:textFill>
        </w:rPr>
        <w:t>中小企业声明函</w:t>
      </w:r>
      <w:bookmarkEnd w:id="186"/>
      <w:bookmarkEnd w:id="187"/>
      <w:bookmarkEnd w:id="188"/>
      <w:bookmarkEnd w:id="189"/>
    </w:p>
    <w:p w14:paraId="6595126F">
      <w:pPr>
        <w:autoSpaceDE w:val="0"/>
        <w:autoSpaceDN w:val="0"/>
        <w:adjustRightInd w:val="0"/>
        <w:spacing w:line="460" w:lineRule="exact"/>
        <w:jc w:val="center"/>
        <w:rPr>
          <w:rFonts w:ascii="黑体" w:eastAsia="黑体" w:cs="黑体"/>
          <w:b/>
          <w:bCs/>
          <w:color w:val="000000" w:themeColor="text1"/>
          <w:sz w:val="36"/>
          <w:szCs w:val="28"/>
          <w:highlight w:val="none"/>
          <w:lang w:val="zh-CN"/>
          <w14:textFill>
            <w14:solidFill>
              <w14:schemeClr w14:val="tx1"/>
            </w14:solidFill>
          </w14:textFill>
        </w:rPr>
      </w:pPr>
      <w:bookmarkStart w:id="190" w:name="_Toc341184790"/>
      <w:r>
        <w:rPr>
          <w:rFonts w:hint="eastAsia" w:ascii="黑体" w:eastAsia="黑体" w:cs="黑体"/>
          <w:b/>
          <w:bCs/>
          <w:color w:val="000000" w:themeColor="text1"/>
          <w:sz w:val="36"/>
          <w:szCs w:val="28"/>
          <w:highlight w:val="none"/>
          <w:lang w:val="zh-CN"/>
          <w14:textFill>
            <w14:solidFill>
              <w14:schemeClr w14:val="tx1"/>
            </w14:solidFill>
          </w14:textFill>
        </w:rPr>
        <w:t>中小企业声明函</w:t>
      </w:r>
      <w:bookmarkEnd w:id="190"/>
    </w:p>
    <w:p w14:paraId="6B3FFBF8">
      <w:pPr>
        <w:jc w:val="left"/>
        <w:rPr>
          <w:rFonts w:ascii="宋体" w:hAnsi="宋体"/>
          <w:b/>
          <w:color w:val="000000" w:themeColor="text1"/>
          <w:sz w:val="24"/>
          <w:szCs w:val="21"/>
          <w:highlight w:val="none"/>
          <w14:textFill>
            <w14:solidFill>
              <w14:schemeClr w14:val="tx1"/>
            </w14:solidFill>
          </w14:textFill>
        </w:rPr>
      </w:pPr>
    </w:p>
    <w:p w14:paraId="3B25D753">
      <w:pPr>
        <w:spacing w:line="500" w:lineRule="exact"/>
        <w:ind w:firstLine="504" w:firstLineChars="200"/>
        <w:jc w:val="left"/>
        <w:rPr>
          <w:rFonts w:ascii="宋体" w:hAnsi="宋体"/>
          <w:color w:val="000000" w:themeColor="text1"/>
          <w:spacing w:val="6"/>
          <w:sz w:val="24"/>
          <w:szCs w:val="21"/>
          <w:highlight w:val="none"/>
          <w14:textFill>
            <w14:solidFill>
              <w14:schemeClr w14:val="tx1"/>
            </w14:solidFill>
          </w14:textFill>
        </w:rPr>
      </w:pPr>
      <w:r>
        <w:rPr>
          <w:rFonts w:hint="eastAsia" w:ascii="宋体" w:hAnsi="宋体" w:cs="仿宋_GB2312"/>
          <w:color w:val="000000" w:themeColor="text1"/>
          <w:spacing w:val="6"/>
          <w:sz w:val="24"/>
          <w:szCs w:val="21"/>
          <w:highlight w:val="none"/>
          <w14:textFill>
            <w14:solidFill>
              <w14:schemeClr w14:val="tx1"/>
            </w14:solidFill>
          </w14:textFill>
        </w:rPr>
        <w:t>本公司郑重声明，根据《政府采购促进中小企业发展暂行办法》（财库</w:t>
      </w:r>
      <w:r>
        <w:rPr>
          <w:rFonts w:ascii="宋体" w:hAnsi="宋体" w:cs="仿宋_GB2312"/>
          <w:color w:val="000000" w:themeColor="text1"/>
          <w:spacing w:val="6"/>
          <w:sz w:val="24"/>
          <w:szCs w:val="21"/>
          <w:highlight w:val="none"/>
          <w14:textFill>
            <w14:solidFill>
              <w14:schemeClr w14:val="tx1"/>
            </w14:solidFill>
          </w14:textFill>
        </w:rPr>
        <w:t>[2011]181</w:t>
      </w:r>
      <w:r>
        <w:rPr>
          <w:rFonts w:hint="eastAsia" w:ascii="宋体" w:hAnsi="宋体" w:cs="仿宋_GB2312"/>
          <w:color w:val="000000" w:themeColor="text1"/>
          <w:spacing w:val="6"/>
          <w:sz w:val="24"/>
          <w:szCs w:val="21"/>
          <w:highlight w:val="none"/>
          <w14:textFill>
            <w14:solidFill>
              <w14:schemeClr w14:val="tx1"/>
            </w14:solidFill>
          </w14:textFill>
        </w:rPr>
        <w:t>号）的规定，本公司为</w:t>
      </w:r>
      <w:bookmarkStart w:id="191" w:name="OLE_LINK5"/>
      <w:bookmarkStart w:id="192" w:name="OLE_LINK2"/>
      <w:r>
        <w:rPr>
          <w:rFonts w:ascii="宋体" w:hAnsi="宋体" w:cs="仿宋_GB2312"/>
          <w:color w:val="000000" w:themeColor="text1"/>
          <w:spacing w:val="6"/>
          <w:sz w:val="24"/>
          <w:szCs w:val="21"/>
          <w:highlight w:val="none"/>
          <w14:textFill>
            <w14:solidFill>
              <w14:schemeClr w14:val="tx1"/>
            </w14:solidFill>
          </w14:textFill>
        </w:rPr>
        <w:t>______</w:t>
      </w:r>
      <w:r>
        <w:rPr>
          <w:rFonts w:hint="eastAsia" w:ascii="宋体" w:hAnsi="宋体" w:cs="仿宋_GB2312"/>
          <w:color w:val="000000" w:themeColor="text1"/>
          <w:spacing w:val="6"/>
          <w:sz w:val="24"/>
          <w:szCs w:val="21"/>
          <w:highlight w:val="none"/>
          <w14:textFill>
            <w14:solidFill>
              <w14:schemeClr w14:val="tx1"/>
            </w14:solidFill>
          </w14:textFill>
        </w:rPr>
        <w:t>（请填写：中型、小型、微型）企业</w:t>
      </w:r>
      <w:bookmarkEnd w:id="191"/>
      <w:bookmarkEnd w:id="192"/>
      <w:r>
        <w:rPr>
          <w:rFonts w:hint="eastAsia" w:ascii="宋体" w:hAnsi="宋体" w:cs="仿宋_GB2312"/>
          <w:color w:val="000000" w:themeColor="text1"/>
          <w:spacing w:val="6"/>
          <w:sz w:val="24"/>
          <w:szCs w:val="21"/>
          <w:highlight w:val="none"/>
          <w14:textFill>
            <w14:solidFill>
              <w14:schemeClr w14:val="tx1"/>
            </w14:solidFill>
          </w14:textFill>
        </w:rPr>
        <w:t>。即，本公司同时满足以下条件：</w:t>
      </w:r>
    </w:p>
    <w:p w14:paraId="0CB34047">
      <w:pPr>
        <w:spacing w:line="500" w:lineRule="exact"/>
        <w:ind w:firstLine="504" w:firstLineChars="200"/>
        <w:jc w:val="left"/>
        <w:rPr>
          <w:rFonts w:ascii="宋体" w:hAnsi="宋体"/>
          <w:color w:val="000000" w:themeColor="text1"/>
          <w:spacing w:val="6"/>
          <w:sz w:val="24"/>
          <w:szCs w:val="21"/>
          <w:highlight w:val="none"/>
          <w14:textFill>
            <w14:solidFill>
              <w14:schemeClr w14:val="tx1"/>
            </w14:solidFill>
          </w14:textFill>
        </w:rPr>
      </w:pPr>
      <w:r>
        <w:rPr>
          <w:rFonts w:ascii="宋体" w:hAnsi="宋体" w:cs="仿宋_GB2312"/>
          <w:color w:val="000000" w:themeColor="text1"/>
          <w:spacing w:val="6"/>
          <w:sz w:val="24"/>
          <w:szCs w:val="21"/>
          <w:highlight w:val="none"/>
          <w14:textFill>
            <w14:solidFill>
              <w14:schemeClr w14:val="tx1"/>
            </w14:solidFill>
          </w14:textFill>
        </w:rPr>
        <w:t>1.</w:t>
      </w:r>
      <w:r>
        <w:rPr>
          <w:rFonts w:hint="eastAsia" w:ascii="宋体" w:hAnsi="宋体" w:cs="仿宋_GB2312"/>
          <w:color w:val="000000" w:themeColor="text1"/>
          <w:spacing w:val="6"/>
          <w:sz w:val="24"/>
          <w:szCs w:val="2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仿宋_GB2312"/>
          <w:color w:val="000000" w:themeColor="text1"/>
          <w:spacing w:val="6"/>
          <w:sz w:val="24"/>
          <w:szCs w:val="21"/>
          <w:highlight w:val="none"/>
          <w14:textFill>
            <w14:solidFill>
              <w14:schemeClr w14:val="tx1"/>
            </w14:solidFill>
          </w14:textFill>
        </w:rPr>
        <w:t>[2011]300</w:t>
      </w:r>
      <w:r>
        <w:rPr>
          <w:rFonts w:hint="eastAsia" w:ascii="宋体" w:hAnsi="宋体" w:cs="仿宋_GB2312"/>
          <w:color w:val="000000" w:themeColor="text1"/>
          <w:spacing w:val="6"/>
          <w:sz w:val="24"/>
          <w:szCs w:val="21"/>
          <w:highlight w:val="none"/>
          <w14:textFill>
            <w14:solidFill>
              <w14:schemeClr w14:val="tx1"/>
            </w14:solidFill>
          </w14:textFill>
        </w:rPr>
        <w:t>号）规定的划分标准，本公司为</w:t>
      </w:r>
      <w:r>
        <w:rPr>
          <w:rFonts w:ascii="宋体" w:hAnsi="宋体" w:cs="仿宋_GB2312"/>
          <w:color w:val="000000" w:themeColor="text1"/>
          <w:spacing w:val="6"/>
          <w:sz w:val="24"/>
          <w:szCs w:val="21"/>
          <w:highlight w:val="none"/>
          <w14:textFill>
            <w14:solidFill>
              <w14:schemeClr w14:val="tx1"/>
            </w14:solidFill>
          </w14:textFill>
        </w:rPr>
        <w:t>______</w:t>
      </w:r>
      <w:r>
        <w:rPr>
          <w:rFonts w:hint="eastAsia" w:ascii="宋体" w:hAnsi="宋体" w:cs="仿宋_GB2312"/>
          <w:color w:val="000000" w:themeColor="text1"/>
          <w:spacing w:val="6"/>
          <w:sz w:val="24"/>
          <w:szCs w:val="21"/>
          <w:highlight w:val="none"/>
          <w14:textFill>
            <w14:solidFill>
              <w14:schemeClr w14:val="tx1"/>
            </w14:solidFill>
          </w14:textFill>
        </w:rPr>
        <w:t>（请填写：中型、小型、微型）企业。</w:t>
      </w:r>
    </w:p>
    <w:p w14:paraId="4FDB3D4A">
      <w:pPr>
        <w:spacing w:line="500" w:lineRule="exact"/>
        <w:ind w:firstLine="504" w:firstLineChars="200"/>
        <w:jc w:val="left"/>
        <w:rPr>
          <w:rFonts w:ascii="宋体" w:hAnsi="宋体"/>
          <w:color w:val="000000" w:themeColor="text1"/>
          <w:spacing w:val="6"/>
          <w:sz w:val="24"/>
          <w:szCs w:val="21"/>
          <w:highlight w:val="none"/>
          <w14:textFill>
            <w14:solidFill>
              <w14:schemeClr w14:val="tx1"/>
            </w14:solidFill>
          </w14:textFill>
        </w:rPr>
      </w:pPr>
      <w:r>
        <w:rPr>
          <w:rFonts w:ascii="宋体" w:hAnsi="宋体" w:cs="仿宋_GB2312"/>
          <w:color w:val="000000" w:themeColor="text1"/>
          <w:spacing w:val="6"/>
          <w:sz w:val="24"/>
          <w:szCs w:val="21"/>
          <w:highlight w:val="none"/>
          <w14:textFill>
            <w14:solidFill>
              <w14:schemeClr w14:val="tx1"/>
            </w14:solidFill>
          </w14:textFill>
        </w:rPr>
        <w:t>2.</w:t>
      </w:r>
      <w:r>
        <w:rPr>
          <w:rFonts w:hint="eastAsia" w:ascii="宋体" w:hAnsi="宋体" w:cs="仿宋_GB2312"/>
          <w:color w:val="000000" w:themeColor="text1"/>
          <w:spacing w:val="6"/>
          <w:sz w:val="24"/>
          <w:szCs w:val="21"/>
          <w:highlight w:val="none"/>
          <w14:textFill>
            <w14:solidFill>
              <w14:schemeClr w14:val="tx1"/>
            </w14:solidFill>
          </w14:textFill>
        </w:rPr>
        <w:t>本公司参加</w:t>
      </w:r>
      <w:r>
        <w:rPr>
          <w:rFonts w:ascii="宋体" w:hAnsi="宋体" w:cs="仿宋_GB2312"/>
          <w:color w:val="000000" w:themeColor="text1"/>
          <w:spacing w:val="6"/>
          <w:sz w:val="24"/>
          <w:szCs w:val="21"/>
          <w:highlight w:val="none"/>
          <w14:textFill>
            <w14:solidFill>
              <w14:schemeClr w14:val="tx1"/>
            </w14:solidFill>
          </w14:textFill>
        </w:rPr>
        <w:t>______</w:t>
      </w:r>
      <w:r>
        <w:rPr>
          <w:rFonts w:hint="eastAsia" w:ascii="宋体" w:hAnsi="宋体" w:cs="仿宋_GB2312"/>
          <w:color w:val="000000" w:themeColor="text1"/>
          <w:spacing w:val="6"/>
          <w:sz w:val="24"/>
          <w:szCs w:val="21"/>
          <w:highlight w:val="none"/>
          <w14:textFill>
            <w14:solidFill>
              <w14:schemeClr w14:val="tx1"/>
            </w14:solidFill>
          </w14:textFill>
        </w:rPr>
        <w:t>单位的</w:t>
      </w:r>
      <w:r>
        <w:rPr>
          <w:rFonts w:ascii="宋体" w:hAnsi="宋体" w:cs="仿宋_GB2312"/>
          <w:color w:val="000000" w:themeColor="text1"/>
          <w:spacing w:val="6"/>
          <w:sz w:val="24"/>
          <w:szCs w:val="21"/>
          <w:highlight w:val="none"/>
          <w14:textFill>
            <w14:solidFill>
              <w14:schemeClr w14:val="tx1"/>
            </w14:solidFill>
          </w14:textFill>
        </w:rPr>
        <w:t>______</w:t>
      </w:r>
      <w:r>
        <w:rPr>
          <w:rFonts w:hint="eastAsia" w:ascii="宋体" w:hAnsi="宋体" w:cs="仿宋_GB2312"/>
          <w:color w:val="000000" w:themeColor="text1"/>
          <w:spacing w:val="6"/>
          <w:sz w:val="24"/>
          <w:szCs w:val="21"/>
          <w:highlight w:val="none"/>
          <w14:textFill>
            <w14:solidFill>
              <w14:schemeClr w14:val="tx1"/>
            </w14:solidFill>
          </w14:textFill>
        </w:rPr>
        <w:t>项目采购活动提供本企业制造的货物，由本企业承担工程、提供服务，或者提供其他</w:t>
      </w:r>
      <w:r>
        <w:rPr>
          <w:rFonts w:ascii="宋体" w:hAnsi="宋体" w:cs="仿宋_GB2312"/>
          <w:color w:val="000000" w:themeColor="text1"/>
          <w:spacing w:val="6"/>
          <w:sz w:val="24"/>
          <w:szCs w:val="21"/>
          <w:highlight w:val="none"/>
          <w14:textFill>
            <w14:solidFill>
              <w14:schemeClr w14:val="tx1"/>
            </w14:solidFill>
          </w14:textFill>
        </w:rPr>
        <w:t>______</w:t>
      </w:r>
      <w:r>
        <w:rPr>
          <w:rFonts w:hint="eastAsia" w:ascii="宋体" w:hAnsi="宋体" w:cs="仿宋_GB2312"/>
          <w:color w:val="000000" w:themeColor="text1"/>
          <w:spacing w:val="6"/>
          <w:sz w:val="24"/>
          <w:szCs w:val="21"/>
          <w:highlight w:val="none"/>
          <w14:textFill>
            <w14:solidFill>
              <w14:schemeClr w14:val="tx1"/>
            </w14:solidFill>
          </w14:textFill>
        </w:rPr>
        <w:t>（请填写：中型、小型、微型）企业制造的货物。本条所称货物不包括使用大型企业注册商标的货物。</w:t>
      </w:r>
    </w:p>
    <w:p w14:paraId="0079D4EB">
      <w:pPr>
        <w:spacing w:line="500" w:lineRule="exact"/>
        <w:ind w:firstLine="504" w:firstLineChars="200"/>
        <w:jc w:val="left"/>
        <w:rPr>
          <w:rFonts w:ascii="宋体" w:hAnsi="宋体"/>
          <w:color w:val="000000" w:themeColor="text1"/>
          <w:spacing w:val="6"/>
          <w:sz w:val="24"/>
          <w:szCs w:val="21"/>
          <w:highlight w:val="none"/>
          <w14:textFill>
            <w14:solidFill>
              <w14:schemeClr w14:val="tx1"/>
            </w14:solidFill>
          </w14:textFill>
        </w:rPr>
      </w:pPr>
      <w:r>
        <w:rPr>
          <w:rFonts w:hint="eastAsia" w:ascii="宋体" w:hAnsi="宋体" w:cs="仿宋_GB2312"/>
          <w:color w:val="000000" w:themeColor="text1"/>
          <w:spacing w:val="6"/>
          <w:sz w:val="24"/>
          <w:szCs w:val="21"/>
          <w:highlight w:val="none"/>
          <w14:textFill>
            <w14:solidFill>
              <w14:schemeClr w14:val="tx1"/>
            </w14:solidFill>
          </w14:textFill>
        </w:rPr>
        <w:t>本公司对上述声明的真实性负责。如有虚假，将依法承担相应责任。</w:t>
      </w:r>
    </w:p>
    <w:p w14:paraId="0670E2CE">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供应商</w:t>
      </w:r>
      <w:r>
        <w:rPr>
          <w:rFonts w:hint="eastAsia" w:ascii="宋体" w:hAnsi="宋体"/>
          <w:color w:val="000000" w:themeColor="text1"/>
          <w:sz w:val="24"/>
          <w:szCs w:val="21"/>
          <w:highlight w:val="none"/>
          <w14:textFill>
            <w14:solidFill>
              <w14:schemeClr w14:val="tx1"/>
            </w14:solidFill>
          </w14:textFill>
        </w:rPr>
        <w:t xml:space="preserve">（盖章）：            </w:t>
      </w:r>
    </w:p>
    <w:p w14:paraId="75260ABD">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 xml:space="preserve">授权代表签字：             </w:t>
      </w:r>
    </w:p>
    <w:p w14:paraId="3BDC06B4">
      <w:pPr>
        <w:autoSpaceDE w:val="0"/>
        <w:autoSpaceDN w:val="0"/>
        <w:adjustRightInd w:val="0"/>
        <w:spacing w:line="600" w:lineRule="exact"/>
        <w:jc w:val="left"/>
        <w:rPr>
          <w:rFonts w:ascii="宋体" w:hAnsi="宋体" w:cs="宋体"/>
          <w:color w:val="000000" w:themeColor="text1"/>
          <w:sz w:val="24"/>
          <w:szCs w:val="21"/>
          <w:highlight w:val="none"/>
          <w:lang w:val="zh-CN"/>
          <w14:textFill>
            <w14:solidFill>
              <w14:schemeClr w14:val="tx1"/>
            </w14:solidFill>
          </w14:textFill>
        </w:rPr>
      </w:pPr>
      <w:r>
        <w:rPr>
          <w:rFonts w:hint="eastAsia" w:ascii="宋体" w:hAnsi="宋体" w:cs="宋体"/>
          <w:color w:val="000000" w:themeColor="text1"/>
          <w:sz w:val="24"/>
          <w:szCs w:val="21"/>
          <w:highlight w:val="none"/>
          <w:lang w:val="zh-CN"/>
          <w14:textFill>
            <w14:solidFill>
              <w14:schemeClr w14:val="tx1"/>
            </w14:solidFill>
          </w14:textFill>
        </w:rPr>
        <w:t>日期：    年   月  日</w:t>
      </w:r>
    </w:p>
    <w:p w14:paraId="4C6D4CFB">
      <w:pPr>
        <w:jc w:val="left"/>
        <w:outlineLvl w:val="1"/>
        <w:rPr>
          <w:rFonts w:ascii="宋体" w:hAnsi="宋体"/>
          <w:b/>
          <w:color w:val="000000" w:themeColor="text1"/>
          <w:sz w:val="24"/>
          <w:szCs w:val="21"/>
          <w:highlight w:val="none"/>
          <w14:textFill>
            <w14:solidFill>
              <w14:schemeClr w14:val="tx1"/>
            </w14:solidFill>
          </w14:textFill>
        </w:rPr>
      </w:pPr>
      <w:bookmarkStart w:id="193" w:name="_Toc16865"/>
      <w:bookmarkStart w:id="194" w:name="_Toc30604"/>
      <w:bookmarkStart w:id="195" w:name="_Toc5281"/>
      <w:bookmarkStart w:id="196" w:name="_Toc185323396"/>
      <w:r>
        <w:rPr>
          <w:rFonts w:hint="eastAsia" w:ascii="宋体" w:hAnsi="宋体"/>
          <w:b/>
          <w:color w:val="000000" w:themeColor="text1"/>
          <w:sz w:val="24"/>
          <w:szCs w:val="21"/>
          <w:highlight w:val="none"/>
          <w14:textFill>
            <w14:solidFill>
              <w14:schemeClr w14:val="tx1"/>
            </w14:solidFill>
          </w14:textFill>
        </w:rPr>
        <w:t>十二、残疾人福利性单位声明函</w:t>
      </w:r>
      <w:bookmarkEnd w:id="193"/>
      <w:bookmarkEnd w:id="194"/>
      <w:bookmarkEnd w:id="195"/>
      <w:bookmarkEnd w:id="196"/>
    </w:p>
    <w:p w14:paraId="356D4A18">
      <w:pPr>
        <w:widowControl/>
        <w:ind w:firstLine="723" w:firstLineChars="200"/>
        <w:jc w:val="center"/>
        <w:rPr>
          <w:color w:val="000000" w:themeColor="text1"/>
          <w:sz w:val="24"/>
          <w:highlight w:val="none"/>
          <w14:textFill>
            <w14:solidFill>
              <w14:schemeClr w14:val="tx1"/>
            </w14:solidFill>
          </w14:textFill>
        </w:rPr>
      </w:pPr>
      <w:r>
        <w:rPr>
          <w:rFonts w:eastAsia="黑体"/>
          <w:b/>
          <w:bCs/>
          <w:color w:val="000000" w:themeColor="text1"/>
          <w:sz w:val="36"/>
          <w:szCs w:val="28"/>
          <w:highlight w:val="none"/>
          <w14:textFill>
            <w14:solidFill>
              <w14:schemeClr w14:val="tx1"/>
            </w14:solidFill>
          </w14:textFill>
        </w:rPr>
        <w:t>残疾人福利性单位声明函</w:t>
      </w:r>
    </w:p>
    <w:p w14:paraId="6ED9033A">
      <w:pPr>
        <w:spacing w:line="500" w:lineRule="exact"/>
        <w:ind w:firstLine="504" w:firstLineChars="200"/>
        <w:jc w:val="left"/>
        <w:rPr>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本单位郑重声明，根据《财政部民政部中国残疾人联合会关于促进残疾人就业政府采购政策的通知》（财库〔2017〕 141号）的规定，本单位为</w:t>
      </w:r>
      <w:r>
        <w:rPr>
          <w:rFonts w:hint="eastAsia"/>
          <w:color w:val="000000" w:themeColor="text1"/>
          <w:spacing w:val="6"/>
          <w:sz w:val="24"/>
          <w:szCs w:val="21"/>
          <w:highlight w:val="none"/>
          <w:u w:val="single"/>
          <w:lang w:val="zh-CN"/>
          <w14:textFill>
            <w14:solidFill>
              <w14:schemeClr w14:val="tx1"/>
            </w14:solidFill>
          </w14:textFill>
        </w:rPr>
        <w:t xml:space="preserve">        </w:t>
      </w:r>
      <w:r>
        <w:rPr>
          <w:rFonts w:hint="eastAsia"/>
          <w:color w:val="000000" w:themeColor="text1"/>
          <w:spacing w:val="6"/>
          <w:sz w:val="24"/>
          <w:szCs w:val="21"/>
          <w:highlight w:val="none"/>
          <w:lang w:val="zh-CN"/>
          <w14:textFill>
            <w14:solidFill>
              <w14:schemeClr w14:val="tx1"/>
            </w14:solidFill>
          </w14:textFill>
        </w:rPr>
        <w:t>（符合/不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B7D0FC">
      <w:pPr>
        <w:spacing w:line="500" w:lineRule="exact"/>
        <w:ind w:firstLine="504" w:firstLineChars="200"/>
        <w:jc w:val="left"/>
        <w:rPr>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本单位对上述声明的真实性负责。如有虚假，将依法承担相应责任。</w:t>
      </w:r>
    </w:p>
    <w:p w14:paraId="53267ED2">
      <w:pPr>
        <w:autoSpaceDE w:val="0"/>
        <w:autoSpaceDN w:val="0"/>
        <w:adjustRightInd w:val="0"/>
        <w:spacing w:line="600" w:lineRule="exact"/>
        <w:jc w:val="left"/>
        <w:rPr>
          <w:color w:val="000000" w:themeColor="text1"/>
          <w:sz w:val="24"/>
          <w:szCs w:val="21"/>
          <w:highlight w:val="none"/>
          <w:lang w:val="zh-CN"/>
          <w14:textFill>
            <w14:solidFill>
              <w14:schemeClr w14:val="tx1"/>
            </w14:solidFill>
          </w14:textFill>
        </w:rPr>
      </w:pPr>
    </w:p>
    <w:p w14:paraId="2ACEE6A5">
      <w:pPr>
        <w:autoSpaceDE w:val="0"/>
        <w:autoSpaceDN w:val="0"/>
        <w:adjustRightInd w:val="0"/>
        <w:spacing w:line="600" w:lineRule="exact"/>
        <w:jc w:val="left"/>
        <w:rPr>
          <w:color w:val="000000" w:themeColor="text1"/>
          <w:sz w:val="24"/>
          <w:szCs w:val="21"/>
          <w:highlight w:val="none"/>
          <w:lang w:val="zh-CN"/>
          <w14:textFill>
            <w14:solidFill>
              <w14:schemeClr w14:val="tx1"/>
            </w14:solidFill>
          </w14:textFill>
        </w:rPr>
      </w:pPr>
      <w:r>
        <w:rPr>
          <w:color w:val="000000" w:themeColor="text1"/>
          <w:sz w:val="24"/>
          <w:szCs w:val="21"/>
          <w:highlight w:val="none"/>
          <w:lang w:val="zh-CN"/>
          <w14:textFill>
            <w14:solidFill>
              <w14:schemeClr w14:val="tx1"/>
            </w14:solidFill>
          </w14:textFill>
        </w:rPr>
        <w:t>供应商</w:t>
      </w:r>
      <w:r>
        <w:rPr>
          <w:color w:val="000000" w:themeColor="text1"/>
          <w:sz w:val="24"/>
          <w:szCs w:val="21"/>
          <w:highlight w:val="none"/>
          <w14:textFill>
            <w14:solidFill>
              <w14:schemeClr w14:val="tx1"/>
            </w14:solidFill>
          </w14:textFill>
        </w:rPr>
        <w:t xml:space="preserve">（盖章）：            </w:t>
      </w:r>
    </w:p>
    <w:p w14:paraId="5395AB0C">
      <w:pPr>
        <w:autoSpaceDE w:val="0"/>
        <w:autoSpaceDN w:val="0"/>
        <w:adjustRightInd w:val="0"/>
        <w:spacing w:line="600" w:lineRule="exact"/>
        <w:jc w:val="left"/>
        <w:rPr>
          <w:color w:val="000000" w:themeColor="text1"/>
          <w:sz w:val="24"/>
          <w:szCs w:val="21"/>
          <w:highlight w:val="none"/>
          <w:lang w:val="zh-CN"/>
          <w14:textFill>
            <w14:solidFill>
              <w14:schemeClr w14:val="tx1"/>
            </w14:solidFill>
          </w14:textFill>
        </w:rPr>
      </w:pPr>
      <w:r>
        <w:rPr>
          <w:color w:val="000000" w:themeColor="text1"/>
          <w:sz w:val="24"/>
          <w:szCs w:val="21"/>
          <w:highlight w:val="none"/>
          <w:lang w:val="zh-CN"/>
          <w14:textFill>
            <w14:solidFill>
              <w14:schemeClr w14:val="tx1"/>
            </w14:solidFill>
          </w14:textFill>
        </w:rPr>
        <w:t xml:space="preserve">授权代表签字：             </w:t>
      </w:r>
    </w:p>
    <w:p w14:paraId="457B3290">
      <w:pPr>
        <w:autoSpaceDE w:val="0"/>
        <w:autoSpaceDN w:val="0"/>
        <w:adjustRightInd w:val="0"/>
        <w:spacing w:line="600" w:lineRule="exact"/>
        <w:jc w:val="left"/>
        <w:rPr>
          <w:color w:val="000000" w:themeColor="text1"/>
          <w:sz w:val="24"/>
          <w:szCs w:val="21"/>
          <w:highlight w:val="none"/>
          <w:lang w:val="zh-CN"/>
          <w14:textFill>
            <w14:solidFill>
              <w14:schemeClr w14:val="tx1"/>
            </w14:solidFill>
          </w14:textFill>
        </w:rPr>
      </w:pPr>
      <w:r>
        <w:rPr>
          <w:color w:val="000000" w:themeColor="text1"/>
          <w:sz w:val="24"/>
          <w:szCs w:val="21"/>
          <w:highlight w:val="none"/>
          <w:lang w:val="zh-CN"/>
          <w14:textFill>
            <w14:solidFill>
              <w14:schemeClr w14:val="tx1"/>
            </w14:solidFill>
          </w14:textFill>
        </w:rPr>
        <w:t>日    期：    年    月   日</w:t>
      </w:r>
    </w:p>
    <w:p w14:paraId="4FA8E4A4">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bookmarkStart w:id="197" w:name="_Toc5074"/>
      <w:bookmarkStart w:id="198" w:name="_Toc24113"/>
      <w:bookmarkStart w:id="199" w:name="_Toc27059"/>
    </w:p>
    <w:p w14:paraId="237A9453">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5F584458">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2B3F2339">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0E0632FA">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46E106D6">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10863859">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5D16731F">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5D8B3D8C">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26A37990">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4238A04D">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1C654BD4">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05A1CEC8">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5585BA33">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22A176A9">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369CD551">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p>
    <w:p w14:paraId="352BDF21">
      <w:pPr>
        <w:widowControl/>
        <w:adjustRightInd w:val="0"/>
        <w:spacing w:line="360" w:lineRule="auto"/>
        <w:jc w:val="left"/>
        <w:outlineLvl w:val="1"/>
        <w:rPr>
          <w:rFonts w:ascii="宋体" w:hAnsi="宋体"/>
          <w:b/>
          <w:color w:val="000000" w:themeColor="text1"/>
          <w:sz w:val="24"/>
          <w:szCs w:val="21"/>
          <w:highlight w:val="none"/>
          <w14:textFill>
            <w14:solidFill>
              <w14:schemeClr w14:val="tx1"/>
            </w14:solidFill>
          </w14:textFill>
        </w:rPr>
      </w:pPr>
      <w:bookmarkStart w:id="200" w:name="_Toc185323397"/>
      <w:r>
        <w:rPr>
          <w:rFonts w:hint="eastAsia" w:ascii="宋体" w:hAnsi="宋体"/>
          <w:b/>
          <w:color w:val="000000" w:themeColor="text1"/>
          <w:sz w:val="24"/>
          <w:szCs w:val="21"/>
          <w:highlight w:val="none"/>
          <w14:textFill>
            <w14:solidFill>
              <w14:schemeClr w14:val="tx1"/>
            </w14:solidFill>
          </w14:textFill>
        </w:rPr>
        <w:t>十三：技术条款偏离表格式</w:t>
      </w:r>
      <w:bookmarkEnd w:id="200"/>
    </w:p>
    <w:p w14:paraId="238B5C59">
      <w:pPr>
        <w:widowControl/>
        <w:adjustRightInd w:val="0"/>
        <w:ind w:firstLine="723" w:firstLineChars="200"/>
        <w:jc w:val="center"/>
        <w:rPr>
          <w:rFonts w:eastAsia="黑体"/>
          <w:b/>
          <w:bCs/>
          <w:color w:val="000000" w:themeColor="text1"/>
          <w:sz w:val="36"/>
          <w:szCs w:val="28"/>
          <w:highlight w:val="none"/>
          <w14:textFill>
            <w14:solidFill>
              <w14:schemeClr w14:val="tx1"/>
            </w14:solidFill>
          </w14:textFill>
        </w:rPr>
      </w:pPr>
      <w:r>
        <w:rPr>
          <w:rFonts w:hint="eastAsia" w:eastAsia="黑体"/>
          <w:b/>
          <w:bCs/>
          <w:color w:val="000000" w:themeColor="text1"/>
          <w:sz w:val="36"/>
          <w:szCs w:val="28"/>
          <w:highlight w:val="none"/>
          <w14:textFill>
            <w14:solidFill>
              <w14:schemeClr w14:val="tx1"/>
            </w14:solidFill>
          </w14:textFill>
        </w:rPr>
        <w:t>技术条款偏离表</w:t>
      </w:r>
    </w:p>
    <w:tbl>
      <w:tblPr>
        <w:tblStyle w:val="3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2338"/>
        <w:gridCol w:w="2693"/>
        <w:gridCol w:w="2410"/>
        <w:gridCol w:w="1229"/>
      </w:tblGrid>
      <w:tr w14:paraId="2D3B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9435" w:type="dxa"/>
            <w:gridSpan w:val="5"/>
            <w:tcBorders>
              <w:top w:val="nil"/>
              <w:left w:val="nil"/>
              <w:bottom w:val="single" w:color="auto" w:sz="4" w:space="0"/>
              <w:right w:val="nil"/>
            </w:tcBorders>
            <w:vAlign w:val="center"/>
          </w:tcPr>
          <w:p w14:paraId="118B1A77">
            <w:pPr>
              <w:jc w:val="left"/>
              <w:rPr>
                <w:rFonts w:hint="eastAsia" w:eastAsia="宋体"/>
                <w:color w:val="000000" w:themeColor="text1"/>
                <w:spacing w:val="6"/>
                <w:sz w:val="24"/>
                <w:szCs w:val="21"/>
                <w:highlight w:val="none"/>
                <w:lang w:val="zh-CN" w:eastAsia="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项目编号：</w:t>
            </w:r>
            <w:r>
              <w:rPr>
                <w:rFonts w:hint="eastAsia" w:ascii="宋体" w:hAnsi="宋体"/>
                <w:bCs/>
                <w:color w:val="000000" w:themeColor="text1"/>
                <w:sz w:val="24"/>
                <w:szCs w:val="21"/>
                <w:highlight w:val="none"/>
                <w:lang w:eastAsia="zh-CN"/>
                <w14:textFill>
                  <w14:solidFill>
                    <w14:schemeClr w14:val="tx1"/>
                  </w14:solidFill>
                </w14:textFill>
              </w:rPr>
              <w:t>NJMT-CG2026-09</w:t>
            </w:r>
          </w:p>
          <w:p w14:paraId="15D42D81">
            <w:pPr>
              <w:autoSpaceDE w:val="0"/>
              <w:autoSpaceDN w:val="0"/>
              <w:adjustRightInd w:val="0"/>
              <w:spacing w:line="360" w:lineRule="auto"/>
              <w:jc w:val="left"/>
              <w:rPr>
                <w:rFonts w:hint="eastAsia" w:ascii="宋体" w:hAnsi="宋体" w:eastAsia="宋体"/>
                <w:bCs/>
                <w:color w:val="000000" w:themeColor="text1"/>
                <w:sz w:val="24"/>
                <w:szCs w:val="21"/>
                <w:highlight w:val="none"/>
                <w:lang w:eastAsia="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项目名称：</w:t>
            </w:r>
            <w:r>
              <w:rPr>
                <w:rFonts w:hint="eastAsia" w:ascii="宋体" w:hAnsi="宋体"/>
                <w:bCs/>
                <w:color w:val="000000" w:themeColor="text1"/>
                <w:sz w:val="24"/>
                <w:szCs w:val="21"/>
                <w:highlight w:val="none"/>
                <w:lang w:eastAsia="zh-CN"/>
                <w14:textFill>
                  <w14:solidFill>
                    <w14:schemeClr w14:val="tx1"/>
                  </w14:solidFill>
                </w14:textFill>
              </w:rPr>
              <w:t>2026年园区VOCs站运维服务项目</w:t>
            </w:r>
          </w:p>
        </w:tc>
      </w:tr>
      <w:tr w14:paraId="1640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5" w:type="dxa"/>
            <w:tcBorders>
              <w:top w:val="single" w:color="auto" w:sz="4" w:space="0"/>
            </w:tcBorders>
            <w:vAlign w:val="center"/>
          </w:tcPr>
          <w:p w14:paraId="7B166BE7">
            <w:pPr>
              <w:jc w:val="center"/>
              <w:rPr>
                <w:color w:val="000000" w:themeColor="text1"/>
                <w:spacing w:val="6"/>
                <w:sz w:val="24"/>
                <w:highlight w:val="none"/>
                <w:lang w:val="zh-CN"/>
                <w14:textFill>
                  <w14:solidFill>
                    <w14:schemeClr w14:val="tx1"/>
                  </w14:solidFill>
                </w14:textFill>
              </w:rPr>
            </w:pPr>
            <w:r>
              <w:rPr>
                <w:rFonts w:hint="eastAsia"/>
                <w:color w:val="000000" w:themeColor="text1"/>
                <w:spacing w:val="6"/>
                <w:sz w:val="24"/>
                <w:highlight w:val="none"/>
                <w:lang w:val="zh-CN"/>
                <w14:textFill>
                  <w14:solidFill>
                    <w14:schemeClr w14:val="tx1"/>
                  </w14:solidFill>
                </w14:textFill>
              </w:rPr>
              <w:t>序号</w:t>
            </w:r>
          </w:p>
        </w:tc>
        <w:tc>
          <w:tcPr>
            <w:tcW w:w="2338" w:type="dxa"/>
            <w:tcBorders>
              <w:top w:val="single" w:color="auto" w:sz="4" w:space="0"/>
            </w:tcBorders>
            <w:vAlign w:val="center"/>
          </w:tcPr>
          <w:p w14:paraId="5478112F">
            <w:pPr>
              <w:widowControl/>
              <w:adjustRightInd w:val="0"/>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采购文件的技术条款</w:t>
            </w:r>
          </w:p>
        </w:tc>
        <w:tc>
          <w:tcPr>
            <w:tcW w:w="2693" w:type="dxa"/>
            <w:tcBorders>
              <w:top w:val="single" w:color="auto" w:sz="4" w:space="0"/>
            </w:tcBorders>
            <w:vAlign w:val="center"/>
          </w:tcPr>
          <w:p w14:paraId="4149C523">
            <w:pPr>
              <w:widowControl/>
              <w:adjustRightInd w:val="0"/>
              <w:spacing w:line="360" w:lineRule="auto"/>
              <w:jc w:val="center"/>
              <w:rPr>
                <w:color w:val="000000" w:themeColor="text1"/>
                <w:spacing w:val="6"/>
                <w:sz w:val="24"/>
                <w:highlight w:val="none"/>
                <w:lang w:val="zh-CN"/>
                <w14:textFill>
                  <w14:solidFill>
                    <w14:schemeClr w14:val="tx1"/>
                  </w14:solidFill>
                </w14:textFill>
              </w:rPr>
            </w:pPr>
            <w:r>
              <w:rPr>
                <w:rFonts w:hint="eastAsia"/>
                <w:color w:val="000000" w:themeColor="text1"/>
                <w:spacing w:val="6"/>
                <w:sz w:val="24"/>
                <w:highlight w:val="none"/>
                <w:lang w:val="zh-CN"/>
                <w14:textFill>
                  <w14:solidFill>
                    <w14:schemeClr w14:val="tx1"/>
                  </w14:solidFill>
                </w14:textFill>
              </w:rPr>
              <w:t>响应文件中响应条款</w:t>
            </w:r>
          </w:p>
        </w:tc>
        <w:tc>
          <w:tcPr>
            <w:tcW w:w="2410" w:type="dxa"/>
            <w:tcBorders>
              <w:top w:val="single" w:color="auto" w:sz="4" w:space="0"/>
            </w:tcBorders>
            <w:vAlign w:val="center"/>
          </w:tcPr>
          <w:p w14:paraId="0C3AABBC">
            <w:pPr>
              <w:widowControl/>
              <w:adjustRightInd w:val="0"/>
              <w:spacing w:line="360" w:lineRule="auto"/>
              <w:jc w:val="center"/>
              <w:rPr>
                <w:color w:val="000000" w:themeColor="text1"/>
                <w:spacing w:val="6"/>
                <w:sz w:val="24"/>
                <w:highlight w:val="none"/>
                <w:lang w:val="zh-CN"/>
                <w14:textFill>
                  <w14:solidFill>
                    <w14:schemeClr w14:val="tx1"/>
                  </w14:solidFill>
                </w14:textFill>
              </w:rPr>
            </w:pPr>
            <w:r>
              <w:rPr>
                <w:rFonts w:hint="eastAsia"/>
                <w:color w:val="000000" w:themeColor="text1"/>
                <w:spacing w:val="6"/>
                <w:sz w:val="24"/>
                <w:highlight w:val="none"/>
                <w:lang w:val="zh-CN"/>
                <w14:textFill>
                  <w14:solidFill>
                    <w14:schemeClr w14:val="tx1"/>
                  </w14:solidFill>
                </w14:textFill>
              </w:rPr>
              <w:t>符合/正偏离/负偏离</w:t>
            </w:r>
          </w:p>
        </w:tc>
        <w:tc>
          <w:tcPr>
            <w:tcW w:w="1229" w:type="dxa"/>
            <w:tcBorders>
              <w:top w:val="single" w:color="auto" w:sz="4" w:space="0"/>
            </w:tcBorders>
            <w:vAlign w:val="center"/>
          </w:tcPr>
          <w:p w14:paraId="6A3FFCE0">
            <w:pPr>
              <w:widowControl/>
              <w:adjustRightInd w:val="0"/>
              <w:spacing w:line="360" w:lineRule="auto"/>
              <w:jc w:val="center"/>
              <w:rPr>
                <w:color w:val="000000" w:themeColor="text1"/>
                <w:spacing w:val="6"/>
                <w:sz w:val="24"/>
                <w:highlight w:val="none"/>
                <w:lang w:val="zh-CN"/>
                <w14:textFill>
                  <w14:solidFill>
                    <w14:schemeClr w14:val="tx1"/>
                  </w14:solidFill>
                </w14:textFill>
              </w:rPr>
            </w:pPr>
            <w:r>
              <w:rPr>
                <w:rFonts w:hint="eastAsia"/>
                <w:color w:val="000000" w:themeColor="text1"/>
                <w:spacing w:val="6"/>
                <w:sz w:val="24"/>
                <w:highlight w:val="none"/>
                <w:lang w:val="zh-CN"/>
                <w14:textFill>
                  <w14:solidFill>
                    <w14:schemeClr w14:val="tx1"/>
                  </w14:solidFill>
                </w14:textFill>
              </w:rPr>
              <w:t>备注</w:t>
            </w:r>
          </w:p>
        </w:tc>
      </w:tr>
      <w:tr w14:paraId="3F16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5" w:type="dxa"/>
            <w:vAlign w:val="center"/>
          </w:tcPr>
          <w:p w14:paraId="6280CC9B">
            <w:pPr>
              <w:jc w:val="center"/>
              <w:rPr>
                <w:color w:val="000000" w:themeColor="text1"/>
                <w:spacing w:val="6"/>
                <w:sz w:val="20"/>
                <w:szCs w:val="20"/>
                <w:highlight w:val="none"/>
                <w:lang w:val="zh-CN"/>
                <w14:textFill>
                  <w14:solidFill>
                    <w14:schemeClr w14:val="tx1"/>
                  </w14:solidFill>
                </w14:textFill>
              </w:rPr>
            </w:pPr>
            <w:r>
              <w:rPr>
                <w:rFonts w:hint="eastAsia"/>
                <w:color w:val="000000" w:themeColor="text1"/>
                <w:spacing w:val="6"/>
                <w:sz w:val="20"/>
                <w:szCs w:val="20"/>
                <w:highlight w:val="none"/>
                <w:lang w:val="zh-CN"/>
                <w14:textFill>
                  <w14:solidFill>
                    <w14:schemeClr w14:val="tx1"/>
                  </w14:solidFill>
                </w14:textFill>
              </w:rPr>
              <w:t>1</w:t>
            </w:r>
          </w:p>
        </w:tc>
        <w:tc>
          <w:tcPr>
            <w:tcW w:w="2338" w:type="dxa"/>
            <w:vAlign w:val="center"/>
          </w:tcPr>
          <w:p w14:paraId="721C8498">
            <w:pPr>
              <w:ind w:firstLine="424" w:firstLineChars="200"/>
              <w:jc w:val="center"/>
              <w:rPr>
                <w:color w:val="000000" w:themeColor="text1"/>
                <w:spacing w:val="6"/>
                <w:sz w:val="20"/>
                <w:szCs w:val="20"/>
                <w:highlight w:val="none"/>
                <w:lang w:val="zh-CN"/>
                <w14:textFill>
                  <w14:solidFill>
                    <w14:schemeClr w14:val="tx1"/>
                  </w14:solidFill>
                </w14:textFill>
              </w:rPr>
            </w:pPr>
          </w:p>
        </w:tc>
        <w:tc>
          <w:tcPr>
            <w:tcW w:w="2693" w:type="dxa"/>
            <w:vAlign w:val="center"/>
          </w:tcPr>
          <w:p w14:paraId="18549CAB">
            <w:pPr>
              <w:ind w:firstLine="424" w:firstLineChars="200"/>
              <w:jc w:val="center"/>
              <w:rPr>
                <w:color w:val="000000" w:themeColor="text1"/>
                <w:spacing w:val="6"/>
                <w:sz w:val="20"/>
                <w:szCs w:val="20"/>
                <w:highlight w:val="none"/>
                <w:lang w:val="zh-CN"/>
                <w14:textFill>
                  <w14:solidFill>
                    <w14:schemeClr w14:val="tx1"/>
                  </w14:solidFill>
                </w14:textFill>
              </w:rPr>
            </w:pPr>
          </w:p>
        </w:tc>
        <w:tc>
          <w:tcPr>
            <w:tcW w:w="2410" w:type="dxa"/>
            <w:vAlign w:val="center"/>
          </w:tcPr>
          <w:p w14:paraId="45711643">
            <w:pPr>
              <w:ind w:firstLine="424" w:firstLineChars="200"/>
              <w:jc w:val="center"/>
              <w:rPr>
                <w:color w:val="000000" w:themeColor="text1"/>
                <w:spacing w:val="6"/>
                <w:sz w:val="20"/>
                <w:szCs w:val="20"/>
                <w:highlight w:val="none"/>
                <w:lang w:val="zh-CN"/>
                <w14:textFill>
                  <w14:solidFill>
                    <w14:schemeClr w14:val="tx1"/>
                  </w14:solidFill>
                </w14:textFill>
              </w:rPr>
            </w:pPr>
          </w:p>
        </w:tc>
        <w:tc>
          <w:tcPr>
            <w:tcW w:w="1229" w:type="dxa"/>
            <w:vAlign w:val="center"/>
          </w:tcPr>
          <w:p w14:paraId="137D2948">
            <w:pPr>
              <w:ind w:firstLine="424" w:firstLineChars="200"/>
              <w:jc w:val="center"/>
              <w:rPr>
                <w:color w:val="000000" w:themeColor="text1"/>
                <w:spacing w:val="6"/>
                <w:sz w:val="20"/>
                <w:szCs w:val="20"/>
                <w:highlight w:val="none"/>
                <w:lang w:val="zh-CN"/>
                <w14:textFill>
                  <w14:solidFill>
                    <w14:schemeClr w14:val="tx1"/>
                  </w14:solidFill>
                </w14:textFill>
              </w:rPr>
            </w:pPr>
          </w:p>
        </w:tc>
      </w:tr>
      <w:tr w14:paraId="34A1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5" w:type="dxa"/>
            <w:vAlign w:val="center"/>
          </w:tcPr>
          <w:p w14:paraId="2B3E21E0">
            <w:pPr>
              <w:jc w:val="center"/>
              <w:rPr>
                <w:color w:val="000000" w:themeColor="text1"/>
                <w:spacing w:val="6"/>
                <w:sz w:val="20"/>
                <w:szCs w:val="20"/>
                <w:highlight w:val="none"/>
                <w:lang w:val="zh-CN"/>
                <w14:textFill>
                  <w14:solidFill>
                    <w14:schemeClr w14:val="tx1"/>
                  </w14:solidFill>
                </w14:textFill>
              </w:rPr>
            </w:pPr>
            <w:r>
              <w:rPr>
                <w:rFonts w:hint="eastAsia"/>
                <w:color w:val="000000" w:themeColor="text1"/>
                <w:spacing w:val="6"/>
                <w:sz w:val="20"/>
                <w:szCs w:val="20"/>
                <w:highlight w:val="none"/>
                <w:lang w:val="zh-CN"/>
                <w14:textFill>
                  <w14:solidFill>
                    <w14:schemeClr w14:val="tx1"/>
                  </w14:solidFill>
                </w14:textFill>
              </w:rPr>
              <w:t>2</w:t>
            </w:r>
          </w:p>
        </w:tc>
        <w:tc>
          <w:tcPr>
            <w:tcW w:w="2338" w:type="dxa"/>
            <w:vAlign w:val="center"/>
          </w:tcPr>
          <w:p w14:paraId="7BE6E755">
            <w:pPr>
              <w:ind w:firstLine="424" w:firstLineChars="200"/>
              <w:jc w:val="center"/>
              <w:rPr>
                <w:color w:val="000000" w:themeColor="text1"/>
                <w:spacing w:val="6"/>
                <w:sz w:val="20"/>
                <w:szCs w:val="20"/>
                <w:highlight w:val="none"/>
                <w:lang w:val="zh-CN"/>
                <w14:textFill>
                  <w14:solidFill>
                    <w14:schemeClr w14:val="tx1"/>
                  </w14:solidFill>
                </w14:textFill>
              </w:rPr>
            </w:pPr>
          </w:p>
        </w:tc>
        <w:tc>
          <w:tcPr>
            <w:tcW w:w="2693" w:type="dxa"/>
            <w:vAlign w:val="center"/>
          </w:tcPr>
          <w:p w14:paraId="070EE9FC">
            <w:pPr>
              <w:ind w:firstLine="424" w:firstLineChars="200"/>
              <w:jc w:val="center"/>
              <w:rPr>
                <w:color w:val="000000" w:themeColor="text1"/>
                <w:spacing w:val="6"/>
                <w:sz w:val="20"/>
                <w:szCs w:val="20"/>
                <w:highlight w:val="none"/>
                <w:lang w:val="zh-CN"/>
                <w14:textFill>
                  <w14:solidFill>
                    <w14:schemeClr w14:val="tx1"/>
                  </w14:solidFill>
                </w14:textFill>
              </w:rPr>
            </w:pPr>
          </w:p>
        </w:tc>
        <w:tc>
          <w:tcPr>
            <w:tcW w:w="2410" w:type="dxa"/>
            <w:vAlign w:val="center"/>
          </w:tcPr>
          <w:p w14:paraId="2363F91D">
            <w:pPr>
              <w:ind w:firstLine="424" w:firstLineChars="200"/>
              <w:jc w:val="center"/>
              <w:rPr>
                <w:color w:val="000000" w:themeColor="text1"/>
                <w:spacing w:val="6"/>
                <w:sz w:val="20"/>
                <w:szCs w:val="20"/>
                <w:highlight w:val="none"/>
                <w:lang w:val="zh-CN"/>
                <w14:textFill>
                  <w14:solidFill>
                    <w14:schemeClr w14:val="tx1"/>
                  </w14:solidFill>
                </w14:textFill>
              </w:rPr>
            </w:pPr>
          </w:p>
        </w:tc>
        <w:tc>
          <w:tcPr>
            <w:tcW w:w="1229" w:type="dxa"/>
            <w:vAlign w:val="center"/>
          </w:tcPr>
          <w:p w14:paraId="16BE4A6E">
            <w:pPr>
              <w:ind w:firstLine="424" w:firstLineChars="200"/>
              <w:jc w:val="center"/>
              <w:rPr>
                <w:color w:val="000000" w:themeColor="text1"/>
                <w:spacing w:val="6"/>
                <w:sz w:val="20"/>
                <w:szCs w:val="20"/>
                <w:highlight w:val="none"/>
                <w:lang w:val="zh-CN"/>
                <w14:textFill>
                  <w14:solidFill>
                    <w14:schemeClr w14:val="tx1"/>
                  </w14:solidFill>
                </w14:textFill>
              </w:rPr>
            </w:pPr>
          </w:p>
        </w:tc>
      </w:tr>
      <w:tr w14:paraId="6041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765" w:type="dxa"/>
            <w:vAlign w:val="center"/>
          </w:tcPr>
          <w:p w14:paraId="011E450D">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3</w:t>
            </w:r>
          </w:p>
        </w:tc>
        <w:tc>
          <w:tcPr>
            <w:tcW w:w="2338" w:type="dxa"/>
            <w:vAlign w:val="center"/>
          </w:tcPr>
          <w:p w14:paraId="439F7BCC">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p>
        </w:tc>
        <w:tc>
          <w:tcPr>
            <w:tcW w:w="2693" w:type="dxa"/>
            <w:vAlign w:val="center"/>
          </w:tcPr>
          <w:p w14:paraId="2E0EEE62">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p>
        </w:tc>
        <w:tc>
          <w:tcPr>
            <w:tcW w:w="2410" w:type="dxa"/>
            <w:vAlign w:val="center"/>
          </w:tcPr>
          <w:p w14:paraId="3D696476">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p>
        </w:tc>
        <w:tc>
          <w:tcPr>
            <w:tcW w:w="1229" w:type="dxa"/>
            <w:vAlign w:val="center"/>
          </w:tcPr>
          <w:p w14:paraId="34FBB623">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p>
        </w:tc>
      </w:tr>
      <w:tr w14:paraId="252A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765" w:type="dxa"/>
            <w:vAlign w:val="center"/>
          </w:tcPr>
          <w:p w14:paraId="4D90BF18">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4</w:t>
            </w:r>
          </w:p>
        </w:tc>
        <w:tc>
          <w:tcPr>
            <w:tcW w:w="2338" w:type="dxa"/>
            <w:vAlign w:val="center"/>
          </w:tcPr>
          <w:p w14:paraId="45771DFE">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p>
        </w:tc>
        <w:tc>
          <w:tcPr>
            <w:tcW w:w="2693" w:type="dxa"/>
            <w:vAlign w:val="center"/>
          </w:tcPr>
          <w:p w14:paraId="3C467AFE">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p>
        </w:tc>
        <w:tc>
          <w:tcPr>
            <w:tcW w:w="2410" w:type="dxa"/>
            <w:vAlign w:val="center"/>
          </w:tcPr>
          <w:p w14:paraId="2D5EF11F">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p>
        </w:tc>
        <w:tc>
          <w:tcPr>
            <w:tcW w:w="1229" w:type="dxa"/>
            <w:vAlign w:val="center"/>
          </w:tcPr>
          <w:p w14:paraId="346514B1">
            <w:pPr>
              <w:autoSpaceDE w:val="0"/>
              <w:autoSpaceDN w:val="0"/>
              <w:adjustRightInd w:val="0"/>
              <w:spacing w:line="360" w:lineRule="auto"/>
              <w:jc w:val="center"/>
              <w:rPr>
                <w:rFonts w:ascii="宋体" w:hAnsi="宋体" w:cs="宋体"/>
                <w:b/>
                <w:bCs/>
                <w:color w:val="000000" w:themeColor="text1"/>
                <w:szCs w:val="21"/>
                <w:highlight w:val="none"/>
                <w:lang w:val="zh-CN"/>
                <w14:textFill>
                  <w14:solidFill>
                    <w14:schemeClr w14:val="tx1"/>
                  </w14:solidFill>
                </w14:textFill>
              </w:rPr>
            </w:pPr>
          </w:p>
        </w:tc>
      </w:tr>
    </w:tbl>
    <w:p w14:paraId="25C3167E">
      <w:pPr>
        <w:spacing w:line="360" w:lineRule="auto"/>
        <w:jc w:val="left"/>
        <w:rPr>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 xml:space="preserve"> 我方承诺，除上表所列内容外，我方完全响应本次招标文件技术条款要求。</w:t>
      </w:r>
    </w:p>
    <w:p w14:paraId="2289E156">
      <w:pPr>
        <w:spacing w:line="360" w:lineRule="auto"/>
        <w:jc w:val="left"/>
        <w:rPr>
          <w:color w:val="000000" w:themeColor="text1"/>
          <w:spacing w:val="6"/>
          <w:sz w:val="24"/>
          <w:szCs w:val="21"/>
          <w:highlight w:val="none"/>
          <w:lang w:val="zh-CN"/>
          <w14:textFill>
            <w14:solidFill>
              <w14:schemeClr w14:val="tx1"/>
            </w14:solidFill>
          </w14:textFill>
        </w:rPr>
      </w:pPr>
    </w:p>
    <w:p w14:paraId="210A70A6">
      <w:pPr>
        <w:spacing w:line="360" w:lineRule="auto"/>
        <w:jc w:val="left"/>
        <w:rPr>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供应商名称：（盖章）</w:t>
      </w:r>
    </w:p>
    <w:p w14:paraId="4DF32B08">
      <w:pPr>
        <w:spacing w:line="360" w:lineRule="auto"/>
        <w:jc w:val="left"/>
        <w:rPr>
          <w:color w:val="000000" w:themeColor="text1"/>
          <w:spacing w:val="6"/>
          <w:sz w:val="24"/>
          <w:szCs w:val="21"/>
          <w:highlight w:val="none"/>
          <w:lang w:val="zh-CN"/>
          <w14:textFill>
            <w14:solidFill>
              <w14:schemeClr w14:val="tx1"/>
            </w14:solidFill>
          </w14:textFill>
        </w:rPr>
      </w:pPr>
      <w:r>
        <w:rPr>
          <w:color w:val="000000" w:themeColor="text1"/>
          <w:sz w:val="24"/>
          <w:szCs w:val="21"/>
          <w:highlight w:val="none"/>
          <w:lang w:val="zh-CN"/>
          <w14:textFill>
            <w14:solidFill>
              <w14:schemeClr w14:val="tx1"/>
            </w14:solidFill>
          </w14:textFill>
        </w:rPr>
        <w:t>日    期：    年    月   日</w:t>
      </w:r>
    </w:p>
    <w:p w14:paraId="79C8C3EA">
      <w:pPr>
        <w:spacing w:line="360" w:lineRule="auto"/>
        <w:jc w:val="left"/>
        <w:rPr>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说明：如果行数不够，请自行增加。</w:t>
      </w:r>
      <w:bookmarkStart w:id="201" w:name="_Toc23139"/>
      <w:bookmarkStart w:id="202" w:name="_Toc11155"/>
      <w:bookmarkStart w:id="203" w:name="_Toc26433"/>
    </w:p>
    <w:p w14:paraId="56BF7E70">
      <w:pPr>
        <w:rPr>
          <w:rFonts w:ascii="宋体" w:cs="宋体"/>
          <w:b/>
          <w:color w:val="000000" w:themeColor="text1"/>
          <w:kern w:val="0"/>
          <w:szCs w:val="21"/>
          <w:highlight w:val="none"/>
          <w:lang w:val="zh-CN"/>
          <w14:textFill>
            <w14:solidFill>
              <w14:schemeClr w14:val="tx1"/>
            </w14:solidFill>
          </w14:textFill>
        </w:rPr>
      </w:pPr>
      <w:r>
        <w:rPr>
          <w:rFonts w:ascii="宋体" w:cs="宋体"/>
          <w:b/>
          <w:color w:val="000000" w:themeColor="text1"/>
          <w:kern w:val="0"/>
          <w:szCs w:val="21"/>
          <w:highlight w:val="none"/>
          <w:lang w:val="zh-CN"/>
          <w14:textFill>
            <w14:solidFill>
              <w14:schemeClr w14:val="tx1"/>
            </w14:solidFill>
          </w14:textFill>
        </w:rPr>
        <w:br w:type="page"/>
      </w:r>
    </w:p>
    <w:p w14:paraId="2CA7D13E">
      <w:pPr>
        <w:widowControl/>
        <w:adjustRightInd w:val="0"/>
        <w:spacing w:line="360" w:lineRule="auto"/>
        <w:jc w:val="left"/>
        <w:outlineLvl w:val="1"/>
        <w:rPr>
          <w:rFonts w:ascii="宋体" w:hAnsi="宋体"/>
          <w:b/>
          <w:color w:val="000000" w:themeColor="text1"/>
          <w:sz w:val="24"/>
          <w:szCs w:val="21"/>
          <w:highlight w:val="none"/>
          <w14:textFill>
            <w14:solidFill>
              <w14:schemeClr w14:val="tx1"/>
            </w14:solidFill>
          </w14:textFill>
        </w:rPr>
      </w:pPr>
      <w:bookmarkStart w:id="204" w:name="_Toc185323398"/>
      <w:r>
        <w:rPr>
          <w:rFonts w:hint="eastAsia" w:ascii="宋体" w:hAnsi="宋体"/>
          <w:b/>
          <w:color w:val="000000" w:themeColor="text1"/>
          <w:sz w:val="24"/>
          <w:szCs w:val="21"/>
          <w:highlight w:val="none"/>
          <w14:textFill>
            <w14:solidFill>
              <w14:schemeClr w14:val="tx1"/>
            </w14:solidFill>
          </w14:textFill>
        </w:rPr>
        <w:t>十四：商务条款偏离表格式</w:t>
      </w:r>
      <w:bookmarkEnd w:id="201"/>
      <w:bookmarkEnd w:id="202"/>
      <w:bookmarkEnd w:id="203"/>
      <w:bookmarkEnd w:id="204"/>
    </w:p>
    <w:p w14:paraId="4D56C217">
      <w:pPr>
        <w:widowControl/>
        <w:adjustRightInd w:val="0"/>
        <w:spacing w:line="360" w:lineRule="auto"/>
        <w:ind w:firstLine="723" w:firstLineChars="200"/>
        <w:jc w:val="center"/>
        <w:rPr>
          <w:rFonts w:eastAsia="黑体"/>
          <w:b/>
          <w:bCs/>
          <w:color w:val="000000" w:themeColor="text1"/>
          <w:sz w:val="36"/>
          <w:szCs w:val="28"/>
          <w:highlight w:val="none"/>
          <w14:textFill>
            <w14:solidFill>
              <w14:schemeClr w14:val="tx1"/>
            </w14:solidFill>
          </w14:textFill>
        </w:rPr>
      </w:pPr>
      <w:r>
        <w:rPr>
          <w:rFonts w:hint="eastAsia" w:eastAsia="黑体"/>
          <w:b/>
          <w:bCs/>
          <w:color w:val="000000" w:themeColor="text1"/>
          <w:sz w:val="36"/>
          <w:szCs w:val="28"/>
          <w:highlight w:val="none"/>
          <w14:textFill>
            <w14:solidFill>
              <w14:schemeClr w14:val="tx1"/>
            </w14:solidFill>
          </w14:textFill>
        </w:rPr>
        <w:t>商务条款偏离表</w:t>
      </w:r>
    </w:p>
    <w:tbl>
      <w:tblPr>
        <w:tblStyle w:val="37"/>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2342"/>
        <w:gridCol w:w="2835"/>
        <w:gridCol w:w="2368"/>
        <w:gridCol w:w="1020"/>
      </w:tblGrid>
      <w:tr w14:paraId="62F1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9216" w:type="dxa"/>
            <w:gridSpan w:val="5"/>
            <w:tcBorders>
              <w:top w:val="nil"/>
              <w:left w:val="nil"/>
              <w:right w:val="nil"/>
            </w:tcBorders>
            <w:vAlign w:val="center"/>
          </w:tcPr>
          <w:p w14:paraId="412333DC">
            <w:pPr>
              <w:widowControl/>
              <w:adjustRightInd w:val="0"/>
              <w:spacing w:line="360" w:lineRule="auto"/>
              <w:jc w:val="left"/>
              <w:rPr>
                <w:rFonts w:hint="eastAsia" w:eastAsia="宋体"/>
                <w:color w:val="000000" w:themeColor="text1"/>
                <w:spacing w:val="6"/>
                <w:sz w:val="24"/>
                <w:szCs w:val="21"/>
                <w:highlight w:val="none"/>
                <w:lang w:val="zh-CN" w:eastAsia="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项目编号：</w:t>
            </w:r>
            <w:r>
              <w:rPr>
                <w:rFonts w:hint="eastAsia" w:ascii="宋体" w:hAnsi="宋体"/>
                <w:bCs/>
                <w:color w:val="000000" w:themeColor="text1"/>
                <w:sz w:val="24"/>
                <w:szCs w:val="21"/>
                <w:highlight w:val="none"/>
                <w:lang w:eastAsia="zh-CN"/>
                <w14:textFill>
                  <w14:solidFill>
                    <w14:schemeClr w14:val="tx1"/>
                  </w14:solidFill>
                </w14:textFill>
              </w:rPr>
              <w:t>NJMT-CG2026-09</w:t>
            </w:r>
          </w:p>
          <w:p w14:paraId="706B2E29">
            <w:pPr>
              <w:widowControl/>
              <w:adjustRightInd w:val="0"/>
              <w:spacing w:line="360" w:lineRule="auto"/>
              <w:jc w:val="left"/>
              <w:rPr>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项目名称：2026年园区VOCs站运维服务项目</w:t>
            </w:r>
          </w:p>
        </w:tc>
      </w:tr>
      <w:tr w14:paraId="2E46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651" w:type="dxa"/>
            <w:vAlign w:val="center"/>
          </w:tcPr>
          <w:p w14:paraId="6DD8C38A">
            <w:pPr>
              <w:widowControl/>
              <w:adjustRightInd w:val="0"/>
              <w:spacing w:line="360" w:lineRule="auto"/>
              <w:jc w:val="center"/>
              <w:rPr>
                <w:color w:val="000000" w:themeColor="text1"/>
                <w:spacing w:val="6"/>
                <w:sz w:val="24"/>
                <w:highlight w:val="none"/>
                <w:lang w:val="zh-CN"/>
                <w14:textFill>
                  <w14:solidFill>
                    <w14:schemeClr w14:val="tx1"/>
                  </w14:solidFill>
                </w14:textFill>
              </w:rPr>
            </w:pPr>
            <w:r>
              <w:rPr>
                <w:rFonts w:hint="eastAsia"/>
                <w:color w:val="000000" w:themeColor="text1"/>
                <w:spacing w:val="6"/>
                <w:sz w:val="24"/>
                <w:highlight w:val="none"/>
                <w:lang w:val="zh-CN"/>
                <w14:textFill>
                  <w14:solidFill>
                    <w14:schemeClr w14:val="tx1"/>
                  </w14:solidFill>
                </w14:textFill>
              </w:rPr>
              <w:t>序号</w:t>
            </w:r>
          </w:p>
        </w:tc>
        <w:tc>
          <w:tcPr>
            <w:tcW w:w="2342" w:type="dxa"/>
            <w:vAlign w:val="center"/>
          </w:tcPr>
          <w:p w14:paraId="1B7D8EA7">
            <w:pPr>
              <w:widowControl/>
              <w:adjustRightInd w:val="0"/>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采购文件的商务条款</w:t>
            </w:r>
          </w:p>
        </w:tc>
        <w:tc>
          <w:tcPr>
            <w:tcW w:w="2835" w:type="dxa"/>
            <w:vAlign w:val="center"/>
          </w:tcPr>
          <w:p w14:paraId="05993975">
            <w:pPr>
              <w:widowControl/>
              <w:adjustRightInd w:val="0"/>
              <w:spacing w:line="360" w:lineRule="auto"/>
              <w:jc w:val="center"/>
              <w:rPr>
                <w:color w:val="000000" w:themeColor="text1"/>
                <w:spacing w:val="6"/>
                <w:sz w:val="24"/>
                <w:highlight w:val="none"/>
                <w:lang w:val="zh-CN"/>
                <w14:textFill>
                  <w14:solidFill>
                    <w14:schemeClr w14:val="tx1"/>
                  </w14:solidFill>
                </w14:textFill>
              </w:rPr>
            </w:pPr>
            <w:r>
              <w:rPr>
                <w:rFonts w:hint="eastAsia"/>
                <w:color w:val="000000" w:themeColor="text1"/>
                <w:spacing w:val="6"/>
                <w:sz w:val="24"/>
                <w:highlight w:val="none"/>
                <w:lang w:val="zh-CN"/>
                <w14:textFill>
                  <w14:solidFill>
                    <w14:schemeClr w14:val="tx1"/>
                  </w14:solidFill>
                </w14:textFill>
              </w:rPr>
              <w:t>响应文件中响应条款</w:t>
            </w:r>
          </w:p>
        </w:tc>
        <w:tc>
          <w:tcPr>
            <w:tcW w:w="2368" w:type="dxa"/>
            <w:vAlign w:val="center"/>
          </w:tcPr>
          <w:p w14:paraId="54238924">
            <w:pPr>
              <w:widowControl/>
              <w:adjustRightInd w:val="0"/>
              <w:spacing w:line="360" w:lineRule="auto"/>
              <w:jc w:val="center"/>
              <w:rPr>
                <w:color w:val="000000" w:themeColor="text1"/>
                <w:spacing w:val="6"/>
                <w:sz w:val="24"/>
                <w:highlight w:val="none"/>
                <w:lang w:val="zh-CN"/>
                <w14:textFill>
                  <w14:solidFill>
                    <w14:schemeClr w14:val="tx1"/>
                  </w14:solidFill>
                </w14:textFill>
              </w:rPr>
            </w:pPr>
            <w:r>
              <w:rPr>
                <w:rFonts w:hint="eastAsia"/>
                <w:color w:val="000000" w:themeColor="text1"/>
                <w:spacing w:val="6"/>
                <w:sz w:val="24"/>
                <w:highlight w:val="none"/>
                <w:lang w:val="zh-CN"/>
                <w14:textFill>
                  <w14:solidFill>
                    <w14:schemeClr w14:val="tx1"/>
                  </w14:solidFill>
                </w14:textFill>
              </w:rPr>
              <w:t>符合/正偏离/负偏离</w:t>
            </w:r>
          </w:p>
        </w:tc>
        <w:tc>
          <w:tcPr>
            <w:tcW w:w="1020" w:type="dxa"/>
            <w:vAlign w:val="center"/>
          </w:tcPr>
          <w:p w14:paraId="75813E9A">
            <w:pPr>
              <w:widowControl/>
              <w:adjustRightInd w:val="0"/>
              <w:spacing w:line="360" w:lineRule="auto"/>
              <w:jc w:val="center"/>
              <w:rPr>
                <w:color w:val="000000" w:themeColor="text1"/>
                <w:spacing w:val="6"/>
                <w:sz w:val="24"/>
                <w:highlight w:val="none"/>
                <w:lang w:val="zh-CN"/>
                <w14:textFill>
                  <w14:solidFill>
                    <w14:schemeClr w14:val="tx1"/>
                  </w14:solidFill>
                </w14:textFill>
              </w:rPr>
            </w:pPr>
            <w:r>
              <w:rPr>
                <w:rFonts w:hint="eastAsia"/>
                <w:color w:val="000000" w:themeColor="text1"/>
                <w:spacing w:val="6"/>
                <w:sz w:val="24"/>
                <w:highlight w:val="none"/>
                <w:lang w:val="zh-CN"/>
                <w14:textFill>
                  <w14:solidFill>
                    <w14:schemeClr w14:val="tx1"/>
                  </w14:solidFill>
                </w14:textFill>
              </w:rPr>
              <w:t>备注</w:t>
            </w:r>
          </w:p>
        </w:tc>
      </w:tr>
      <w:tr w14:paraId="6D02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D60AB8D">
            <w:pPr>
              <w:widowControl/>
              <w:adjustRightInd w:val="0"/>
              <w:spacing w:line="360" w:lineRule="auto"/>
              <w:jc w:val="center"/>
              <w:rPr>
                <w:color w:val="000000" w:themeColor="text1"/>
                <w:spacing w:val="6"/>
                <w:sz w:val="20"/>
                <w:szCs w:val="20"/>
                <w:highlight w:val="none"/>
                <w:lang w:val="zh-CN"/>
                <w14:textFill>
                  <w14:solidFill>
                    <w14:schemeClr w14:val="tx1"/>
                  </w14:solidFill>
                </w14:textFill>
              </w:rPr>
            </w:pPr>
            <w:r>
              <w:rPr>
                <w:rFonts w:hint="eastAsia"/>
                <w:color w:val="000000" w:themeColor="text1"/>
                <w:spacing w:val="6"/>
                <w:sz w:val="20"/>
                <w:szCs w:val="20"/>
                <w:highlight w:val="none"/>
                <w:lang w:val="zh-CN"/>
                <w14:textFill>
                  <w14:solidFill>
                    <w14:schemeClr w14:val="tx1"/>
                  </w14:solidFill>
                </w14:textFill>
              </w:rPr>
              <w:t>1</w:t>
            </w:r>
          </w:p>
        </w:tc>
        <w:tc>
          <w:tcPr>
            <w:tcW w:w="2342" w:type="dxa"/>
            <w:vAlign w:val="center"/>
          </w:tcPr>
          <w:p w14:paraId="40CFA3C2">
            <w:pPr>
              <w:widowControl/>
              <w:adjustRightInd w:val="0"/>
              <w:spacing w:line="360" w:lineRule="auto"/>
              <w:jc w:val="center"/>
              <w:rPr>
                <w:rFonts w:ascii="宋体" w:hAnsi="宋体"/>
                <w:color w:val="000000" w:themeColor="text1"/>
                <w:sz w:val="20"/>
                <w:szCs w:val="20"/>
                <w:highlight w:val="none"/>
                <w14:textFill>
                  <w14:solidFill>
                    <w14:schemeClr w14:val="tx1"/>
                  </w14:solidFill>
                </w14:textFill>
              </w:rPr>
            </w:pPr>
            <w:r>
              <w:rPr>
                <w:rFonts w:hint="eastAsia" w:ascii="宋体" w:hAnsi="宋体"/>
                <w:bCs/>
                <w:color w:val="000000" w:themeColor="text1"/>
                <w:sz w:val="20"/>
                <w:szCs w:val="20"/>
                <w:highlight w:val="none"/>
                <w14:textFill>
                  <w14:solidFill>
                    <w14:schemeClr w14:val="tx1"/>
                  </w14:solidFill>
                </w14:textFill>
              </w:rPr>
              <w:t>磋商申请及声明</w:t>
            </w:r>
          </w:p>
        </w:tc>
        <w:tc>
          <w:tcPr>
            <w:tcW w:w="2835" w:type="dxa"/>
            <w:vAlign w:val="center"/>
          </w:tcPr>
          <w:p w14:paraId="01D588B6">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c>
          <w:tcPr>
            <w:tcW w:w="2368" w:type="dxa"/>
            <w:vAlign w:val="center"/>
          </w:tcPr>
          <w:p w14:paraId="460B8424">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c>
          <w:tcPr>
            <w:tcW w:w="1020" w:type="dxa"/>
            <w:vAlign w:val="center"/>
          </w:tcPr>
          <w:p w14:paraId="7F74788A">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r>
      <w:tr w14:paraId="7A35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54187F8">
            <w:pPr>
              <w:widowControl/>
              <w:adjustRightInd w:val="0"/>
              <w:spacing w:line="360" w:lineRule="auto"/>
              <w:jc w:val="center"/>
              <w:rPr>
                <w:color w:val="000000" w:themeColor="text1"/>
                <w:spacing w:val="6"/>
                <w:sz w:val="20"/>
                <w:szCs w:val="20"/>
                <w:highlight w:val="none"/>
                <w:lang w:val="zh-CN"/>
                <w14:textFill>
                  <w14:solidFill>
                    <w14:schemeClr w14:val="tx1"/>
                  </w14:solidFill>
                </w14:textFill>
              </w:rPr>
            </w:pPr>
            <w:r>
              <w:rPr>
                <w:rFonts w:hint="eastAsia"/>
                <w:color w:val="000000" w:themeColor="text1"/>
                <w:spacing w:val="6"/>
                <w:sz w:val="20"/>
                <w:szCs w:val="20"/>
                <w:highlight w:val="none"/>
                <w:lang w:val="zh-CN"/>
                <w14:textFill>
                  <w14:solidFill>
                    <w14:schemeClr w14:val="tx1"/>
                  </w14:solidFill>
                </w14:textFill>
              </w:rPr>
              <w:t>2</w:t>
            </w:r>
          </w:p>
        </w:tc>
        <w:tc>
          <w:tcPr>
            <w:tcW w:w="2342" w:type="dxa"/>
            <w:vAlign w:val="center"/>
          </w:tcPr>
          <w:p w14:paraId="25813F74">
            <w:pPr>
              <w:widowControl/>
              <w:adjustRightInd w:val="0"/>
              <w:spacing w:line="360" w:lineRule="auto"/>
              <w:jc w:val="center"/>
              <w:rPr>
                <w:rFonts w:ascii="宋体" w:hAnsi="宋体"/>
                <w:bCs/>
                <w:color w:val="000000" w:themeColor="text1"/>
                <w:sz w:val="20"/>
                <w:szCs w:val="20"/>
                <w:highlight w:val="none"/>
                <w14:textFill>
                  <w14:solidFill>
                    <w14:schemeClr w14:val="tx1"/>
                  </w14:solidFill>
                </w14:textFill>
              </w:rPr>
            </w:pPr>
            <w:r>
              <w:rPr>
                <w:rFonts w:hint="eastAsia" w:ascii="宋体" w:hAnsi="宋体"/>
                <w:bCs/>
                <w:color w:val="000000" w:themeColor="text1"/>
                <w:sz w:val="20"/>
                <w:szCs w:val="20"/>
                <w:highlight w:val="none"/>
                <w14:textFill>
                  <w14:solidFill>
                    <w14:schemeClr w14:val="tx1"/>
                  </w14:solidFill>
                </w14:textFill>
              </w:rPr>
              <w:t>法定代表人授权委托书</w:t>
            </w:r>
          </w:p>
        </w:tc>
        <w:tc>
          <w:tcPr>
            <w:tcW w:w="2835" w:type="dxa"/>
            <w:vAlign w:val="center"/>
          </w:tcPr>
          <w:p w14:paraId="51CB630A">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c>
          <w:tcPr>
            <w:tcW w:w="2368" w:type="dxa"/>
            <w:vAlign w:val="center"/>
          </w:tcPr>
          <w:p w14:paraId="419D842D">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c>
          <w:tcPr>
            <w:tcW w:w="1020" w:type="dxa"/>
            <w:vAlign w:val="center"/>
          </w:tcPr>
          <w:p w14:paraId="08CC8D00">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r>
      <w:tr w14:paraId="61DF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FBB2ED4">
            <w:pPr>
              <w:widowControl/>
              <w:adjustRightInd w:val="0"/>
              <w:spacing w:line="360" w:lineRule="auto"/>
              <w:jc w:val="center"/>
              <w:rPr>
                <w:color w:val="000000" w:themeColor="text1"/>
                <w:spacing w:val="6"/>
                <w:sz w:val="20"/>
                <w:szCs w:val="20"/>
                <w:highlight w:val="none"/>
                <w:lang w:val="zh-CN"/>
                <w14:textFill>
                  <w14:solidFill>
                    <w14:schemeClr w14:val="tx1"/>
                  </w14:solidFill>
                </w14:textFill>
              </w:rPr>
            </w:pPr>
            <w:r>
              <w:rPr>
                <w:rFonts w:hint="eastAsia"/>
                <w:color w:val="000000" w:themeColor="text1"/>
                <w:spacing w:val="6"/>
                <w:sz w:val="20"/>
                <w:szCs w:val="20"/>
                <w:highlight w:val="none"/>
                <w:lang w:val="zh-CN"/>
                <w14:textFill>
                  <w14:solidFill>
                    <w14:schemeClr w14:val="tx1"/>
                  </w14:solidFill>
                </w14:textFill>
              </w:rPr>
              <w:t>3</w:t>
            </w:r>
          </w:p>
        </w:tc>
        <w:tc>
          <w:tcPr>
            <w:tcW w:w="2342" w:type="dxa"/>
            <w:vAlign w:val="center"/>
          </w:tcPr>
          <w:p w14:paraId="248D5E0D">
            <w:pPr>
              <w:widowControl/>
              <w:adjustRightInd w:val="0"/>
              <w:spacing w:line="360" w:lineRule="auto"/>
              <w:jc w:val="center"/>
              <w:rPr>
                <w:rFonts w:ascii="宋体" w:hAnsi="宋体"/>
                <w:bCs/>
                <w:color w:val="000000" w:themeColor="text1"/>
                <w:sz w:val="20"/>
                <w:szCs w:val="20"/>
                <w:highlight w:val="none"/>
                <w14:textFill>
                  <w14:solidFill>
                    <w14:schemeClr w14:val="tx1"/>
                  </w14:solidFill>
                </w14:textFill>
              </w:rPr>
            </w:pPr>
            <w:r>
              <w:rPr>
                <w:rFonts w:hint="eastAsia" w:ascii="宋体" w:hAnsi="宋体"/>
                <w:bCs/>
                <w:color w:val="000000" w:themeColor="text1"/>
                <w:sz w:val="20"/>
                <w:szCs w:val="20"/>
                <w:highlight w:val="none"/>
                <w14:textFill>
                  <w14:solidFill>
                    <w14:schemeClr w14:val="tx1"/>
                  </w14:solidFill>
                </w14:textFill>
              </w:rPr>
              <w:t>磋商报价汇总表</w:t>
            </w:r>
          </w:p>
        </w:tc>
        <w:tc>
          <w:tcPr>
            <w:tcW w:w="2835" w:type="dxa"/>
            <w:vAlign w:val="center"/>
          </w:tcPr>
          <w:p w14:paraId="67F487F5">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c>
          <w:tcPr>
            <w:tcW w:w="2368" w:type="dxa"/>
            <w:vAlign w:val="center"/>
          </w:tcPr>
          <w:p w14:paraId="3131D3B2">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c>
          <w:tcPr>
            <w:tcW w:w="1020" w:type="dxa"/>
            <w:vAlign w:val="center"/>
          </w:tcPr>
          <w:p w14:paraId="7D4C2ABD">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r>
      <w:tr w14:paraId="6D10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A13FD30">
            <w:pPr>
              <w:widowControl/>
              <w:adjustRightInd w:val="0"/>
              <w:spacing w:line="360" w:lineRule="auto"/>
              <w:jc w:val="center"/>
              <w:rPr>
                <w:color w:val="000000" w:themeColor="text1"/>
                <w:spacing w:val="6"/>
                <w:sz w:val="20"/>
                <w:szCs w:val="20"/>
                <w:highlight w:val="none"/>
                <w:lang w:val="zh-CN"/>
                <w14:textFill>
                  <w14:solidFill>
                    <w14:schemeClr w14:val="tx1"/>
                  </w14:solidFill>
                </w14:textFill>
              </w:rPr>
            </w:pPr>
            <w:r>
              <w:rPr>
                <w:rFonts w:hint="eastAsia"/>
                <w:color w:val="000000" w:themeColor="text1"/>
                <w:spacing w:val="6"/>
                <w:sz w:val="20"/>
                <w:szCs w:val="20"/>
                <w:highlight w:val="none"/>
                <w:lang w:val="zh-CN"/>
                <w14:textFill>
                  <w14:solidFill>
                    <w14:schemeClr w14:val="tx1"/>
                  </w14:solidFill>
                </w14:textFill>
              </w:rPr>
              <w:t>4</w:t>
            </w:r>
          </w:p>
        </w:tc>
        <w:tc>
          <w:tcPr>
            <w:tcW w:w="2342" w:type="dxa"/>
            <w:vAlign w:val="center"/>
          </w:tcPr>
          <w:p w14:paraId="18FF03C4">
            <w:pPr>
              <w:widowControl/>
              <w:adjustRightInd w:val="0"/>
              <w:spacing w:line="360" w:lineRule="auto"/>
              <w:ind w:firstLine="400" w:firstLineChars="200"/>
              <w:jc w:val="center"/>
              <w:rPr>
                <w:rFonts w:ascii="黑体" w:hAnsi="黑体" w:eastAsia="黑体" w:cs="黑体"/>
                <w:color w:val="000000" w:themeColor="text1"/>
                <w:sz w:val="20"/>
                <w:szCs w:val="20"/>
                <w:highlight w:val="none"/>
                <w14:textFill>
                  <w14:solidFill>
                    <w14:schemeClr w14:val="tx1"/>
                  </w14:solidFill>
                </w14:textFill>
              </w:rPr>
            </w:pPr>
          </w:p>
        </w:tc>
        <w:tc>
          <w:tcPr>
            <w:tcW w:w="2835" w:type="dxa"/>
            <w:vAlign w:val="center"/>
          </w:tcPr>
          <w:p w14:paraId="44865A89">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c>
          <w:tcPr>
            <w:tcW w:w="2368" w:type="dxa"/>
            <w:vAlign w:val="center"/>
          </w:tcPr>
          <w:p w14:paraId="3E1E2F24">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c>
          <w:tcPr>
            <w:tcW w:w="1020" w:type="dxa"/>
            <w:vAlign w:val="center"/>
          </w:tcPr>
          <w:p w14:paraId="66275018">
            <w:pPr>
              <w:widowControl/>
              <w:adjustRightInd w:val="0"/>
              <w:spacing w:line="360" w:lineRule="auto"/>
              <w:ind w:firstLine="424" w:firstLineChars="200"/>
              <w:jc w:val="center"/>
              <w:rPr>
                <w:color w:val="000000" w:themeColor="text1"/>
                <w:spacing w:val="6"/>
                <w:sz w:val="20"/>
                <w:szCs w:val="20"/>
                <w:highlight w:val="none"/>
                <w:lang w:val="zh-CN"/>
                <w14:textFill>
                  <w14:solidFill>
                    <w14:schemeClr w14:val="tx1"/>
                  </w14:solidFill>
                </w14:textFill>
              </w:rPr>
            </w:pPr>
          </w:p>
        </w:tc>
      </w:tr>
    </w:tbl>
    <w:p w14:paraId="4D0379AA">
      <w:pPr>
        <w:widowControl/>
        <w:adjustRightInd w:val="0"/>
        <w:spacing w:line="360" w:lineRule="auto"/>
        <w:jc w:val="left"/>
        <w:rPr>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我方承诺，除上表所列内容外，我方完全响应招标文件商务条款要求。</w:t>
      </w:r>
    </w:p>
    <w:p w14:paraId="7FE8B145">
      <w:pPr>
        <w:widowControl/>
        <w:adjustRightInd w:val="0"/>
        <w:spacing w:line="360" w:lineRule="auto"/>
        <w:jc w:val="left"/>
        <w:rPr>
          <w:color w:val="000000" w:themeColor="text1"/>
          <w:spacing w:val="6"/>
          <w:sz w:val="24"/>
          <w:szCs w:val="21"/>
          <w:highlight w:val="none"/>
          <w:lang w:val="zh-CN"/>
          <w14:textFill>
            <w14:solidFill>
              <w14:schemeClr w14:val="tx1"/>
            </w14:solidFill>
          </w14:textFill>
        </w:rPr>
      </w:pPr>
    </w:p>
    <w:p w14:paraId="767CDAF4">
      <w:pPr>
        <w:widowControl/>
        <w:adjustRightInd w:val="0"/>
        <w:spacing w:line="360" w:lineRule="auto"/>
        <w:jc w:val="left"/>
        <w:rPr>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供应商名称：（盖章）</w:t>
      </w:r>
    </w:p>
    <w:p w14:paraId="1FDE16BF">
      <w:pPr>
        <w:widowControl/>
        <w:adjustRightInd w:val="0"/>
        <w:spacing w:line="360" w:lineRule="auto"/>
        <w:jc w:val="left"/>
        <w:rPr>
          <w:color w:val="000000" w:themeColor="text1"/>
          <w:spacing w:val="6"/>
          <w:sz w:val="24"/>
          <w:szCs w:val="21"/>
          <w:highlight w:val="none"/>
          <w:lang w:val="zh-CN"/>
          <w14:textFill>
            <w14:solidFill>
              <w14:schemeClr w14:val="tx1"/>
            </w14:solidFill>
          </w14:textFill>
        </w:rPr>
      </w:pPr>
      <w:r>
        <w:rPr>
          <w:color w:val="000000" w:themeColor="text1"/>
          <w:sz w:val="24"/>
          <w:szCs w:val="21"/>
          <w:highlight w:val="none"/>
          <w:lang w:val="zh-CN"/>
          <w14:textFill>
            <w14:solidFill>
              <w14:schemeClr w14:val="tx1"/>
            </w14:solidFill>
          </w14:textFill>
        </w:rPr>
        <w:t>日    期：    年    月   日</w:t>
      </w:r>
    </w:p>
    <w:p w14:paraId="11FA0181">
      <w:pPr>
        <w:spacing w:line="360" w:lineRule="exact"/>
        <w:rPr>
          <w:rFonts w:hint="eastAsia"/>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t>说明：如果行数不够，请自行增加。</w:t>
      </w:r>
    </w:p>
    <w:p w14:paraId="0E06F548">
      <w:pPr>
        <w:rPr>
          <w:rFonts w:hint="eastAsia"/>
          <w:color w:val="000000" w:themeColor="text1"/>
          <w:spacing w:val="6"/>
          <w:sz w:val="24"/>
          <w:szCs w:val="21"/>
          <w:highlight w:val="none"/>
          <w:lang w:val="zh-CN"/>
          <w14:textFill>
            <w14:solidFill>
              <w14:schemeClr w14:val="tx1"/>
            </w14:solidFill>
          </w14:textFill>
        </w:rPr>
      </w:pPr>
      <w:r>
        <w:rPr>
          <w:rFonts w:hint="eastAsia"/>
          <w:color w:val="000000" w:themeColor="text1"/>
          <w:spacing w:val="6"/>
          <w:sz w:val="24"/>
          <w:szCs w:val="21"/>
          <w:highlight w:val="none"/>
          <w:lang w:val="zh-CN"/>
          <w14:textFill>
            <w14:solidFill>
              <w14:schemeClr w14:val="tx1"/>
            </w14:solidFill>
          </w14:textFill>
        </w:rPr>
        <w:br w:type="page"/>
      </w:r>
    </w:p>
    <w:p w14:paraId="2D57956A">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bookmarkStart w:id="205" w:name="_Toc185323399"/>
      <w:r>
        <w:rPr>
          <w:rFonts w:hint="eastAsia" w:ascii="宋体" w:hAnsi="宋体" w:cs="黑体"/>
          <w:b/>
          <w:bCs/>
          <w:color w:val="000000" w:themeColor="text1"/>
          <w:sz w:val="24"/>
          <w:szCs w:val="21"/>
          <w:highlight w:val="none"/>
          <w14:textFill>
            <w14:solidFill>
              <w14:schemeClr w14:val="tx1"/>
            </w14:solidFill>
          </w14:textFill>
        </w:rPr>
        <w:t>十五、南京市政府采购供应商信用记录表暨信用承诺书</w:t>
      </w:r>
      <w:bookmarkEnd w:id="197"/>
      <w:bookmarkEnd w:id="198"/>
      <w:bookmarkEnd w:id="199"/>
      <w:r>
        <w:rPr>
          <w:rFonts w:hint="eastAsia" w:ascii="宋体" w:hAnsi="宋体" w:cs="黑体"/>
          <w:b/>
          <w:bCs/>
          <w:color w:val="000000" w:themeColor="text1"/>
          <w:sz w:val="24"/>
          <w:szCs w:val="21"/>
          <w:highlight w:val="none"/>
          <w14:textFill>
            <w14:solidFill>
              <w14:schemeClr w14:val="tx1"/>
            </w14:solidFill>
          </w14:textFill>
        </w:rPr>
        <w:t>（附件）</w:t>
      </w:r>
      <w:bookmarkEnd w:id="205"/>
    </w:p>
    <w:tbl>
      <w:tblPr>
        <w:tblStyle w:val="37"/>
        <w:tblW w:w="0" w:type="auto"/>
        <w:tblInd w:w="0" w:type="dxa"/>
        <w:tblLayout w:type="fixed"/>
        <w:tblCellMar>
          <w:top w:w="15" w:type="dxa"/>
          <w:left w:w="15" w:type="dxa"/>
          <w:bottom w:w="15" w:type="dxa"/>
          <w:right w:w="15" w:type="dxa"/>
        </w:tblCellMar>
      </w:tblPr>
      <w:tblGrid>
        <w:gridCol w:w="1871"/>
        <w:gridCol w:w="2275"/>
        <w:gridCol w:w="2610"/>
        <w:gridCol w:w="2473"/>
      </w:tblGrid>
      <w:tr w14:paraId="582C7075">
        <w:tblPrEx>
          <w:tblCellMar>
            <w:top w:w="15" w:type="dxa"/>
            <w:left w:w="15" w:type="dxa"/>
            <w:bottom w:w="15" w:type="dxa"/>
            <w:right w:w="15" w:type="dxa"/>
          </w:tblCellMar>
        </w:tblPrEx>
        <w:trPr>
          <w:trHeight w:val="600" w:hRule="atLeast"/>
        </w:trPr>
        <w:tc>
          <w:tcPr>
            <w:tcW w:w="9229" w:type="dxa"/>
            <w:gridSpan w:val="4"/>
            <w:vAlign w:val="center"/>
          </w:tcPr>
          <w:p w14:paraId="01C6944E">
            <w:pPr>
              <w:widowControl/>
              <w:jc w:val="center"/>
              <w:textAlignment w:val="center"/>
              <w:rPr>
                <w:rFonts w:ascii="黑体" w:hAnsi="宋体" w:eastAsia="黑体" w:cs="黑体"/>
                <w:color w:val="000000" w:themeColor="text1"/>
                <w:sz w:val="36"/>
                <w:szCs w:val="36"/>
                <w:highlight w:val="none"/>
                <w14:textFill>
                  <w14:solidFill>
                    <w14:schemeClr w14:val="tx1"/>
                  </w14:solidFill>
                </w14:textFill>
              </w:rPr>
            </w:pPr>
            <w:r>
              <w:rPr>
                <w:rFonts w:hint="eastAsia" w:ascii="黑体" w:hAnsi="宋体" w:eastAsia="黑体" w:cs="黑体"/>
                <w:color w:val="000000" w:themeColor="text1"/>
                <w:kern w:val="0"/>
                <w:sz w:val="36"/>
                <w:szCs w:val="36"/>
                <w:highlight w:val="none"/>
                <w14:textFill>
                  <w14:solidFill>
                    <w14:schemeClr w14:val="tx1"/>
                  </w14:solidFill>
                </w14:textFill>
              </w:rPr>
              <w:t>南京市政府采购供应商信用记录表暨信用承诺书（附件）</w:t>
            </w:r>
          </w:p>
        </w:tc>
      </w:tr>
      <w:tr w14:paraId="240268D4">
        <w:tblPrEx>
          <w:tblCellMar>
            <w:top w:w="15" w:type="dxa"/>
            <w:left w:w="15" w:type="dxa"/>
            <w:bottom w:w="15" w:type="dxa"/>
            <w:right w:w="15" w:type="dxa"/>
          </w:tblCellMar>
        </w:tblPrEx>
        <w:trPr>
          <w:trHeight w:val="570" w:hRule="atLeast"/>
        </w:trPr>
        <w:tc>
          <w:tcPr>
            <w:tcW w:w="9229" w:type="dxa"/>
            <w:gridSpan w:val="4"/>
            <w:vAlign w:val="center"/>
          </w:tcPr>
          <w:p w14:paraId="7A3EC23D">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（仅为示范格式，直接填写无效，需至“南京政府采购供应商诚信档案管理系统”在线打印）</w:t>
            </w:r>
          </w:p>
        </w:tc>
      </w:tr>
      <w:tr w14:paraId="65B5E274">
        <w:tblPrEx>
          <w:tblCellMar>
            <w:top w:w="15" w:type="dxa"/>
            <w:left w:w="15" w:type="dxa"/>
            <w:bottom w:w="15" w:type="dxa"/>
            <w:right w:w="15" w:type="dxa"/>
          </w:tblCellMar>
        </w:tblPrEx>
        <w:trPr>
          <w:trHeight w:val="624" w:hRule="atLeast"/>
        </w:trPr>
        <w:tc>
          <w:tcPr>
            <w:tcW w:w="1871" w:type="dxa"/>
            <w:tcBorders>
              <w:top w:val="single" w:color="000000" w:sz="18" w:space="0"/>
              <w:left w:val="single" w:color="000000" w:sz="18" w:space="0"/>
              <w:bottom w:val="single" w:color="000000" w:sz="4" w:space="0"/>
              <w:right w:val="single" w:color="000000" w:sz="4" w:space="0"/>
            </w:tcBorders>
            <w:vAlign w:val="center"/>
          </w:tcPr>
          <w:p w14:paraId="5B55BAD1">
            <w:pPr>
              <w:widowControl/>
              <w:jc w:val="left"/>
              <w:textAlignment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kern w:val="0"/>
                <w:sz w:val="24"/>
                <w:szCs w:val="22"/>
                <w:highlight w:val="none"/>
                <w14:textFill>
                  <w14:solidFill>
                    <w14:schemeClr w14:val="tx1"/>
                  </w14:solidFill>
                </w14:textFill>
              </w:rPr>
              <w:t>单位名称</w:t>
            </w:r>
          </w:p>
        </w:tc>
        <w:tc>
          <w:tcPr>
            <w:tcW w:w="2275" w:type="dxa"/>
            <w:tcBorders>
              <w:top w:val="single" w:color="000000" w:sz="18" w:space="0"/>
              <w:left w:val="single" w:color="000000" w:sz="4" w:space="0"/>
              <w:bottom w:val="single" w:color="000000" w:sz="4" w:space="0"/>
              <w:right w:val="single" w:color="000000" w:sz="4" w:space="0"/>
            </w:tcBorders>
            <w:vAlign w:val="center"/>
          </w:tcPr>
          <w:p w14:paraId="100EE532">
            <w:pPr>
              <w:jc w:val="left"/>
              <w:rPr>
                <w:rFonts w:ascii="宋体" w:hAnsi="宋体" w:cs="宋体"/>
                <w:color w:val="000000" w:themeColor="text1"/>
                <w:sz w:val="24"/>
                <w:szCs w:val="22"/>
                <w:highlight w:val="none"/>
                <w14:textFill>
                  <w14:solidFill>
                    <w14:schemeClr w14:val="tx1"/>
                  </w14:solidFill>
                </w14:textFill>
              </w:rPr>
            </w:pPr>
          </w:p>
        </w:tc>
        <w:tc>
          <w:tcPr>
            <w:tcW w:w="2610" w:type="dxa"/>
            <w:tcBorders>
              <w:top w:val="single" w:color="000000" w:sz="18" w:space="0"/>
              <w:left w:val="single" w:color="000000" w:sz="4" w:space="0"/>
              <w:bottom w:val="single" w:color="000000" w:sz="4" w:space="0"/>
              <w:right w:val="single" w:color="000000" w:sz="4" w:space="0"/>
            </w:tcBorders>
            <w:vAlign w:val="center"/>
          </w:tcPr>
          <w:p w14:paraId="1876122B">
            <w:pPr>
              <w:widowControl/>
              <w:jc w:val="left"/>
              <w:textAlignment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kern w:val="0"/>
                <w:sz w:val="24"/>
                <w:szCs w:val="22"/>
                <w:highlight w:val="none"/>
                <w14:textFill>
                  <w14:solidFill>
                    <w14:schemeClr w14:val="tx1"/>
                  </w14:solidFill>
                </w14:textFill>
              </w:rPr>
              <w:t>统一社会信用代码</w:t>
            </w:r>
          </w:p>
        </w:tc>
        <w:tc>
          <w:tcPr>
            <w:tcW w:w="2473" w:type="dxa"/>
            <w:tcBorders>
              <w:top w:val="single" w:color="000000" w:sz="18" w:space="0"/>
              <w:left w:val="single" w:color="000000" w:sz="4" w:space="0"/>
              <w:bottom w:val="single" w:color="000000" w:sz="4" w:space="0"/>
              <w:right w:val="single" w:color="000000" w:sz="18" w:space="0"/>
            </w:tcBorders>
            <w:vAlign w:val="center"/>
          </w:tcPr>
          <w:p w14:paraId="0B27DEE4">
            <w:pPr>
              <w:jc w:val="left"/>
              <w:rPr>
                <w:rFonts w:ascii="宋体" w:hAnsi="宋体" w:cs="宋体"/>
                <w:color w:val="000000" w:themeColor="text1"/>
                <w:sz w:val="24"/>
                <w:szCs w:val="22"/>
                <w:highlight w:val="none"/>
                <w14:textFill>
                  <w14:solidFill>
                    <w14:schemeClr w14:val="tx1"/>
                  </w14:solidFill>
                </w14:textFill>
              </w:rPr>
            </w:pPr>
          </w:p>
        </w:tc>
      </w:tr>
      <w:tr w14:paraId="60CC2C49">
        <w:tblPrEx>
          <w:tblCellMar>
            <w:top w:w="15" w:type="dxa"/>
            <w:left w:w="15" w:type="dxa"/>
            <w:bottom w:w="15" w:type="dxa"/>
            <w:right w:w="15" w:type="dxa"/>
          </w:tblCellMar>
        </w:tblPrEx>
        <w:trPr>
          <w:trHeight w:val="585"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4E95C9CE">
            <w:pPr>
              <w:widowControl/>
              <w:jc w:val="left"/>
              <w:textAlignment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kern w:val="0"/>
                <w:sz w:val="24"/>
                <w:szCs w:val="22"/>
                <w:highlight w:val="none"/>
                <w14:textFill>
                  <w14:solidFill>
                    <w14:schemeClr w14:val="tx1"/>
                  </w14:solidFill>
                </w14:textFill>
              </w:rPr>
              <w:t>法定代表人</w:t>
            </w:r>
          </w:p>
        </w:tc>
        <w:tc>
          <w:tcPr>
            <w:tcW w:w="2275" w:type="dxa"/>
            <w:tcBorders>
              <w:top w:val="single" w:color="000000" w:sz="4" w:space="0"/>
              <w:left w:val="single" w:color="000000" w:sz="4" w:space="0"/>
              <w:bottom w:val="single" w:color="000000" w:sz="4" w:space="0"/>
              <w:right w:val="single" w:color="000000" w:sz="4" w:space="0"/>
            </w:tcBorders>
            <w:vAlign w:val="center"/>
          </w:tcPr>
          <w:p w14:paraId="36852818">
            <w:pPr>
              <w:jc w:val="left"/>
              <w:rPr>
                <w:rFonts w:ascii="宋体" w:hAnsi="宋体" w:cs="宋体"/>
                <w:color w:val="000000" w:themeColor="text1"/>
                <w:sz w:val="24"/>
                <w:szCs w:val="22"/>
                <w:highlight w:val="none"/>
                <w14:textFill>
                  <w14:solidFill>
                    <w14:schemeClr w14:val="tx1"/>
                  </w14:solidFill>
                </w14:textFill>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09358856">
            <w:pPr>
              <w:widowControl/>
              <w:jc w:val="left"/>
              <w:textAlignment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kern w:val="0"/>
                <w:sz w:val="24"/>
                <w:szCs w:val="22"/>
                <w:highlight w:val="none"/>
                <w14:textFill>
                  <w14:solidFill>
                    <w14:schemeClr w14:val="tx1"/>
                  </w14:solidFill>
                </w14:textFill>
              </w:rPr>
              <w:t>联系人</w:t>
            </w:r>
          </w:p>
        </w:tc>
        <w:tc>
          <w:tcPr>
            <w:tcW w:w="2473" w:type="dxa"/>
            <w:tcBorders>
              <w:top w:val="single" w:color="000000" w:sz="4" w:space="0"/>
              <w:left w:val="single" w:color="000000" w:sz="4" w:space="0"/>
              <w:bottom w:val="single" w:color="000000" w:sz="4" w:space="0"/>
              <w:right w:val="single" w:color="000000" w:sz="18" w:space="0"/>
            </w:tcBorders>
            <w:vAlign w:val="center"/>
          </w:tcPr>
          <w:p w14:paraId="078498D4">
            <w:pPr>
              <w:jc w:val="left"/>
              <w:rPr>
                <w:rFonts w:ascii="宋体" w:hAnsi="宋体" w:cs="宋体"/>
                <w:color w:val="000000" w:themeColor="text1"/>
                <w:sz w:val="24"/>
                <w:szCs w:val="22"/>
                <w:highlight w:val="none"/>
                <w14:textFill>
                  <w14:solidFill>
                    <w14:schemeClr w14:val="tx1"/>
                  </w14:solidFill>
                </w14:textFill>
              </w:rPr>
            </w:pPr>
          </w:p>
        </w:tc>
      </w:tr>
      <w:tr w14:paraId="6E95C0CD">
        <w:tblPrEx>
          <w:tblCellMar>
            <w:top w:w="15" w:type="dxa"/>
            <w:left w:w="15" w:type="dxa"/>
            <w:bottom w:w="15" w:type="dxa"/>
            <w:right w:w="15" w:type="dxa"/>
          </w:tblCellMar>
        </w:tblPrEx>
        <w:trPr>
          <w:trHeight w:val="720"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0AF662B0">
            <w:pPr>
              <w:widowControl/>
              <w:jc w:val="left"/>
              <w:textAlignment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kern w:val="0"/>
                <w:sz w:val="24"/>
                <w:szCs w:val="22"/>
                <w:highlight w:val="none"/>
                <w14:textFill>
                  <w14:solidFill>
                    <w14:schemeClr w14:val="tx1"/>
                  </w14:solidFill>
                </w14:textFill>
              </w:rPr>
              <w:t>联系地址</w:t>
            </w:r>
          </w:p>
        </w:tc>
        <w:tc>
          <w:tcPr>
            <w:tcW w:w="2275" w:type="dxa"/>
            <w:tcBorders>
              <w:top w:val="single" w:color="000000" w:sz="4" w:space="0"/>
              <w:left w:val="single" w:color="000000" w:sz="4" w:space="0"/>
              <w:bottom w:val="single" w:color="000000" w:sz="4" w:space="0"/>
              <w:right w:val="single" w:color="000000" w:sz="4" w:space="0"/>
            </w:tcBorders>
            <w:vAlign w:val="center"/>
          </w:tcPr>
          <w:p w14:paraId="60FA85C7">
            <w:pPr>
              <w:jc w:val="left"/>
              <w:rPr>
                <w:rFonts w:ascii="宋体" w:hAnsi="宋体" w:cs="宋体"/>
                <w:color w:val="000000" w:themeColor="text1"/>
                <w:sz w:val="24"/>
                <w:szCs w:val="22"/>
                <w:highlight w:val="none"/>
                <w14:textFill>
                  <w14:solidFill>
                    <w14:schemeClr w14:val="tx1"/>
                  </w14:solidFill>
                </w14:textFill>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526DE193">
            <w:pPr>
              <w:widowControl/>
              <w:jc w:val="left"/>
              <w:textAlignment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kern w:val="0"/>
                <w:sz w:val="24"/>
                <w:szCs w:val="22"/>
                <w:highlight w:val="none"/>
                <w14:textFill>
                  <w14:solidFill>
                    <w14:schemeClr w14:val="tx1"/>
                  </w14:solidFill>
                </w14:textFill>
              </w:rPr>
              <w:t>联系电话</w:t>
            </w:r>
          </w:p>
        </w:tc>
        <w:tc>
          <w:tcPr>
            <w:tcW w:w="2473" w:type="dxa"/>
            <w:tcBorders>
              <w:top w:val="single" w:color="000000" w:sz="4" w:space="0"/>
              <w:left w:val="single" w:color="000000" w:sz="4" w:space="0"/>
              <w:bottom w:val="single" w:color="000000" w:sz="4" w:space="0"/>
              <w:right w:val="single" w:color="000000" w:sz="18" w:space="0"/>
            </w:tcBorders>
            <w:vAlign w:val="center"/>
          </w:tcPr>
          <w:p w14:paraId="39A37E62">
            <w:pPr>
              <w:jc w:val="left"/>
              <w:rPr>
                <w:rFonts w:ascii="宋体" w:hAnsi="宋体" w:cs="宋体"/>
                <w:color w:val="000000" w:themeColor="text1"/>
                <w:sz w:val="24"/>
                <w:szCs w:val="22"/>
                <w:highlight w:val="none"/>
                <w14:textFill>
                  <w14:solidFill>
                    <w14:schemeClr w14:val="tx1"/>
                  </w14:solidFill>
                </w14:textFill>
              </w:rPr>
            </w:pPr>
          </w:p>
        </w:tc>
      </w:tr>
      <w:tr w14:paraId="42FC5DA9">
        <w:tblPrEx>
          <w:tblCellMar>
            <w:top w:w="15" w:type="dxa"/>
            <w:left w:w="15" w:type="dxa"/>
            <w:bottom w:w="15" w:type="dxa"/>
            <w:right w:w="15" w:type="dxa"/>
          </w:tblCellMar>
        </w:tblPrEx>
        <w:trPr>
          <w:trHeight w:val="953"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5553B9D5">
            <w:pPr>
              <w:widowControl/>
              <w:jc w:val="left"/>
              <w:textAlignment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kern w:val="0"/>
                <w:sz w:val="24"/>
                <w:szCs w:val="22"/>
                <w:highlight w:val="none"/>
                <w14:textFill>
                  <w14:solidFill>
                    <w14:schemeClr w14:val="tx1"/>
                  </w14:solidFill>
                </w14:textFill>
              </w:rPr>
              <w:t>诚信档案记录情况</w:t>
            </w:r>
          </w:p>
        </w:tc>
        <w:tc>
          <w:tcPr>
            <w:tcW w:w="7358" w:type="dxa"/>
            <w:gridSpan w:val="3"/>
            <w:tcBorders>
              <w:top w:val="single" w:color="000000" w:sz="4" w:space="0"/>
              <w:left w:val="single" w:color="000000" w:sz="4" w:space="0"/>
              <w:bottom w:val="single" w:color="000000" w:sz="4" w:space="0"/>
              <w:right w:val="single" w:color="000000" w:sz="18" w:space="0"/>
            </w:tcBorders>
            <w:vAlign w:val="center"/>
          </w:tcPr>
          <w:p w14:paraId="0FAAA496">
            <w:pPr>
              <w:jc w:val="left"/>
              <w:rPr>
                <w:rFonts w:ascii="宋体" w:hAnsi="宋体" w:cs="宋体"/>
                <w:color w:val="000000" w:themeColor="text1"/>
                <w:sz w:val="24"/>
                <w:szCs w:val="22"/>
                <w:highlight w:val="none"/>
                <w14:textFill>
                  <w14:solidFill>
                    <w14:schemeClr w14:val="tx1"/>
                  </w14:solidFill>
                </w14:textFill>
              </w:rPr>
            </w:pPr>
          </w:p>
        </w:tc>
      </w:tr>
      <w:tr w14:paraId="682C352D">
        <w:tblPrEx>
          <w:tblCellMar>
            <w:top w:w="15" w:type="dxa"/>
            <w:left w:w="15" w:type="dxa"/>
            <w:bottom w:w="15" w:type="dxa"/>
            <w:right w:w="15" w:type="dxa"/>
          </w:tblCellMar>
        </w:tblPrEx>
        <w:trPr>
          <w:trHeight w:val="3512" w:hRule="atLeast"/>
        </w:trPr>
        <w:tc>
          <w:tcPr>
            <w:tcW w:w="1871" w:type="dxa"/>
            <w:tcBorders>
              <w:top w:val="single" w:color="000000" w:sz="4" w:space="0"/>
              <w:left w:val="single" w:color="000000" w:sz="18" w:space="0"/>
              <w:bottom w:val="single" w:color="000000" w:sz="18" w:space="0"/>
              <w:right w:val="single" w:color="000000" w:sz="4" w:space="0"/>
            </w:tcBorders>
            <w:vAlign w:val="center"/>
          </w:tcPr>
          <w:p w14:paraId="7FD7159B">
            <w:pPr>
              <w:widowControl/>
              <w:jc w:val="left"/>
              <w:textAlignment w:val="center"/>
              <w:rPr>
                <w:rFonts w:ascii="宋体" w:hAnsi="宋体" w:cs="宋体"/>
                <w:b/>
                <w:color w:val="000000" w:themeColor="text1"/>
                <w:sz w:val="24"/>
                <w:szCs w:val="22"/>
                <w:highlight w:val="none"/>
                <w14:textFill>
                  <w14:solidFill>
                    <w14:schemeClr w14:val="tx1"/>
                  </w14:solidFill>
                </w14:textFill>
              </w:rPr>
            </w:pPr>
            <w:r>
              <w:rPr>
                <w:rFonts w:hint="eastAsia" w:ascii="宋体" w:hAnsi="宋体" w:cs="宋体"/>
                <w:b/>
                <w:color w:val="000000" w:themeColor="text1"/>
                <w:kern w:val="0"/>
                <w:sz w:val="24"/>
                <w:szCs w:val="22"/>
                <w:highlight w:val="none"/>
                <w14:textFill>
                  <w14:solidFill>
                    <w14:schemeClr w14:val="tx1"/>
                  </w14:solidFill>
                </w14:textFill>
              </w:rPr>
              <w:t>信用承诺</w:t>
            </w:r>
          </w:p>
        </w:tc>
        <w:tc>
          <w:tcPr>
            <w:tcW w:w="7358" w:type="dxa"/>
            <w:gridSpan w:val="3"/>
            <w:tcBorders>
              <w:top w:val="single" w:color="000000" w:sz="4" w:space="0"/>
              <w:left w:val="single" w:color="000000" w:sz="4" w:space="0"/>
              <w:bottom w:val="single" w:color="000000" w:sz="18" w:space="0"/>
              <w:right w:val="single" w:color="000000" w:sz="18" w:space="0"/>
            </w:tcBorders>
            <w:vAlign w:val="center"/>
          </w:tcPr>
          <w:p w14:paraId="04F5E7B2">
            <w:pPr>
              <w:widowControl/>
              <w:spacing w:line="400" w:lineRule="exact"/>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信用承诺：</w:t>
            </w:r>
          </w:p>
          <w:p w14:paraId="673FDBB2">
            <w:pPr>
              <w:widowControl/>
              <w:spacing w:line="400" w:lineRule="exact"/>
              <w:ind w:firstLine="240" w:firstLineChars="1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①具有独立承担民事责任的能力；②具有良好的商业信誉和健全的财务会计制度；③有履行合同所必需的设备和专业技术能力；④有依法缴纳税收和社会保障资金的良好记录；⑤参加政府采购活动前三年内，在经营活动中没有重大违法记录；⑥符合法律、行政法规和采购文件规定的其他条件。如有弄虚作假或其他违法违规行为，愿承担一切法律责任，接受各级政府采购监管部门和有权机关的审查和处罚。</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 xml:space="preserve">                      供应商名称（盖章）：</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 xml:space="preserve">                      法定代表人（签字）：</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 xml:space="preserve">                      二〇    年  月    日</w:t>
            </w:r>
          </w:p>
        </w:tc>
      </w:tr>
    </w:tbl>
    <w:p w14:paraId="38F4401F">
      <w:pPr>
        <w:autoSpaceDE w:val="0"/>
        <w:autoSpaceDN w:val="0"/>
        <w:adjustRightInd w:val="0"/>
        <w:jc w:val="left"/>
        <w:rPr>
          <w:rFonts w:ascii="宋体" w:hAnsi="宋体" w:cs="宋体"/>
          <w:b/>
          <w:color w:val="000000" w:themeColor="text1"/>
          <w:sz w:val="24"/>
          <w:szCs w:val="21"/>
          <w:highlight w:val="none"/>
          <w:lang w:val="zh-CN"/>
          <w14:textFill>
            <w14:solidFill>
              <w14:schemeClr w14:val="tx1"/>
            </w14:solidFill>
          </w14:textFill>
        </w:rPr>
      </w:pPr>
      <w:r>
        <w:rPr>
          <w:rFonts w:hint="eastAsia" w:ascii="宋体" w:hAnsi="宋体" w:cs="宋体"/>
          <w:b/>
          <w:color w:val="000000" w:themeColor="text1"/>
          <w:sz w:val="24"/>
          <w:szCs w:val="21"/>
          <w:highlight w:val="none"/>
          <w:lang w:val="zh-CN"/>
          <w14:textFill>
            <w14:solidFill>
              <w14:schemeClr w14:val="tx1"/>
            </w14:solidFill>
          </w14:textFill>
        </w:rPr>
        <w:t>注：1、供应商在中标（成交）后，应按采购文件要求，将上述由信用承诺书替代的证明材料提交采购人或采购代理机构核验。经核验无误后，由采购人或采购代理机构发出中标（成交）通知书。</w:t>
      </w:r>
    </w:p>
    <w:p w14:paraId="33EA6E8C">
      <w:pPr>
        <w:autoSpaceDE w:val="0"/>
        <w:autoSpaceDN w:val="0"/>
        <w:adjustRightInd w:val="0"/>
        <w:jc w:val="left"/>
        <w:rPr>
          <w:rFonts w:ascii="宋体" w:hAnsi="宋体" w:cs="宋体"/>
          <w:b/>
          <w:color w:val="000000" w:themeColor="text1"/>
          <w:sz w:val="24"/>
          <w:szCs w:val="21"/>
          <w:highlight w:val="none"/>
          <w:lang w:val="zh-CN"/>
          <w14:textFill>
            <w14:solidFill>
              <w14:schemeClr w14:val="tx1"/>
            </w14:solidFill>
          </w14:textFill>
        </w:rPr>
      </w:pPr>
      <w:r>
        <w:rPr>
          <w:rFonts w:hint="eastAsia" w:ascii="宋体" w:hAnsi="宋体" w:cs="宋体"/>
          <w:b/>
          <w:color w:val="000000" w:themeColor="text1"/>
          <w:sz w:val="24"/>
          <w:szCs w:val="21"/>
          <w:highlight w:val="none"/>
          <w:lang w:val="zh-CN"/>
          <w14:textFill>
            <w14:solidFill>
              <w14:schemeClr w14:val="tx1"/>
            </w14:solidFill>
          </w14:textFill>
        </w:rPr>
        <w:t xml:space="preserve">    2、供应商对信用承诺内容真实性、合法性、有效性负责。如做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197B5A0B">
      <w:pPr>
        <w:autoSpaceDE w:val="0"/>
        <w:autoSpaceDN w:val="0"/>
        <w:adjustRightInd w:val="0"/>
        <w:jc w:val="left"/>
        <w:rPr>
          <w:rFonts w:ascii="宋体" w:hAnsi="宋体" w:cs="宋体"/>
          <w:b/>
          <w:color w:val="000000" w:themeColor="text1"/>
          <w:sz w:val="24"/>
          <w:szCs w:val="21"/>
          <w:highlight w:val="none"/>
          <w:lang w:val="zh-CN"/>
          <w14:textFill>
            <w14:solidFill>
              <w14:schemeClr w14:val="tx1"/>
            </w14:solidFill>
          </w14:textFill>
        </w:rPr>
      </w:pPr>
    </w:p>
    <w:p w14:paraId="124CC551">
      <w:pPr>
        <w:autoSpaceDE w:val="0"/>
        <w:autoSpaceDN w:val="0"/>
        <w:adjustRightInd w:val="0"/>
        <w:jc w:val="left"/>
        <w:rPr>
          <w:rFonts w:ascii="宋体" w:hAnsi="宋体" w:cs="宋体"/>
          <w:b/>
          <w:color w:val="000000" w:themeColor="text1"/>
          <w:sz w:val="24"/>
          <w:szCs w:val="21"/>
          <w:highlight w:val="none"/>
          <w:lang w:val="zh-CN"/>
          <w14:textFill>
            <w14:solidFill>
              <w14:schemeClr w14:val="tx1"/>
            </w14:solidFill>
          </w14:textFill>
        </w:rPr>
      </w:pPr>
    </w:p>
    <w:p w14:paraId="543BA6A4">
      <w:pPr>
        <w:autoSpaceDE w:val="0"/>
        <w:autoSpaceDN w:val="0"/>
        <w:adjustRightInd w:val="0"/>
        <w:jc w:val="left"/>
        <w:rPr>
          <w:rFonts w:ascii="宋体" w:hAnsi="宋体" w:cs="宋体"/>
          <w:b/>
          <w:color w:val="000000" w:themeColor="text1"/>
          <w:sz w:val="24"/>
          <w:szCs w:val="21"/>
          <w:highlight w:val="none"/>
          <w:lang w:val="zh-CN"/>
          <w14:textFill>
            <w14:solidFill>
              <w14:schemeClr w14:val="tx1"/>
            </w14:solidFill>
          </w14:textFill>
        </w:rPr>
      </w:pPr>
    </w:p>
    <w:p w14:paraId="3FD43226">
      <w:pPr>
        <w:autoSpaceDE w:val="0"/>
        <w:autoSpaceDN w:val="0"/>
        <w:adjustRightInd w:val="0"/>
        <w:spacing w:line="360" w:lineRule="auto"/>
        <w:jc w:val="left"/>
        <w:outlineLvl w:val="1"/>
        <w:rPr>
          <w:rFonts w:ascii="宋体" w:hAnsi="宋体" w:cs="黑体"/>
          <w:b/>
          <w:bCs/>
          <w:color w:val="000000" w:themeColor="text1"/>
          <w:sz w:val="24"/>
          <w:szCs w:val="21"/>
          <w:highlight w:val="none"/>
          <w14:textFill>
            <w14:solidFill>
              <w14:schemeClr w14:val="tx1"/>
            </w14:solidFill>
          </w14:textFill>
        </w:rPr>
      </w:pPr>
      <w:bookmarkStart w:id="206" w:name="_Toc185323400"/>
      <w:r>
        <w:rPr>
          <w:rFonts w:hint="eastAsia" w:ascii="宋体" w:hAnsi="宋体" w:cs="黑体"/>
          <w:b/>
          <w:bCs/>
          <w:color w:val="000000" w:themeColor="text1"/>
          <w:sz w:val="24"/>
          <w:szCs w:val="21"/>
          <w:highlight w:val="none"/>
          <w14:textFill>
            <w14:solidFill>
              <w14:schemeClr w14:val="tx1"/>
            </w14:solidFill>
          </w14:textFill>
        </w:rPr>
        <w:t>十六、其他</w:t>
      </w:r>
      <w:bookmarkEnd w:id="206"/>
    </w:p>
    <w:p w14:paraId="602F5179">
      <w:pPr>
        <w:pStyle w:val="122"/>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（供应商认为需要提供的其他资料，格式自拟）</w:t>
      </w:r>
    </w:p>
    <w:p w14:paraId="3D768E2B">
      <w:pPr>
        <w:autoSpaceDE w:val="0"/>
        <w:autoSpaceDN w:val="0"/>
        <w:adjustRightInd w:val="0"/>
        <w:jc w:val="left"/>
        <w:rPr>
          <w:rFonts w:ascii="宋体" w:hAnsi="宋体" w:cs="宋体"/>
          <w:b/>
          <w:color w:val="000000" w:themeColor="text1"/>
          <w:sz w:val="24"/>
          <w:szCs w:val="21"/>
          <w:highlight w:val="none"/>
          <w14:textFill>
            <w14:solidFill>
              <w14:schemeClr w14:val="tx1"/>
            </w14:solidFill>
          </w14:textFill>
        </w:rPr>
      </w:pPr>
    </w:p>
    <w:sectPr>
      <w:headerReference r:id="rId3" w:type="default"/>
      <w:footerReference r:id="rId4" w:type="default"/>
      <w:pgSz w:w="11906" w:h="16838"/>
      <w:pgMar w:top="1418" w:right="113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魏碑">
    <w:altName w:val="宋体"/>
    <w:panose1 w:val="00000000000000000000"/>
    <w:charset w:val="86"/>
    <w:family w:val="modern"/>
    <w:pitch w:val="default"/>
    <w:sig w:usb0="00000000" w:usb1="00000000" w:usb2="0000001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7A"/>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Ar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CB33">
    <w:pPr>
      <w:pStyle w:val="23"/>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39</w:t>
    </w:r>
    <w:r>
      <w:rPr>
        <w:rFonts w:eastAsia="仿宋_GB2312"/>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02C9">
    <w:pPr>
      <w:pStyle w:val="24"/>
      <w:wordWrap w:val="0"/>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A45E5"/>
    <w:multiLevelType w:val="singleLevel"/>
    <w:tmpl w:val="9AFA45E5"/>
    <w:lvl w:ilvl="0" w:tentative="0">
      <w:start w:val="2"/>
      <w:numFmt w:val="decimal"/>
      <w:suff w:val="nothing"/>
      <w:lvlText w:val="（%1）"/>
      <w:lvlJc w:val="left"/>
    </w:lvl>
  </w:abstractNum>
  <w:abstractNum w:abstractNumId="1">
    <w:nsid w:val="B0828650"/>
    <w:multiLevelType w:val="singleLevel"/>
    <w:tmpl w:val="B0828650"/>
    <w:lvl w:ilvl="0" w:tentative="0">
      <w:start w:val="6"/>
      <w:numFmt w:val="chineseCounting"/>
      <w:suff w:val="space"/>
      <w:lvlText w:val="第%1章"/>
      <w:lvlJc w:val="left"/>
      <w:rPr>
        <w:rFonts w:hint="eastAsia"/>
      </w:rPr>
    </w:lvl>
  </w:abstractNum>
  <w:abstractNum w:abstractNumId="2">
    <w:nsid w:val="D8F53AC6"/>
    <w:multiLevelType w:val="singleLevel"/>
    <w:tmpl w:val="D8F53AC6"/>
    <w:lvl w:ilvl="0" w:tentative="0">
      <w:start w:val="1"/>
      <w:numFmt w:val="chineseCounting"/>
      <w:suff w:val="space"/>
      <w:lvlText w:val="第%1章"/>
      <w:lvlJc w:val="left"/>
      <w:rPr>
        <w:rFonts w:hint="eastAsia"/>
      </w:rPr>
    </w:lvl>
  </w:abstractNum>
  <w:abstractNum w:abstractNumId="3">
    <w:nsid w:val="3B1E3A3F"/>
    <w:multiLevelType w:val="multilevel"/>
    <w:tmpl w:val="3B1E3A3F"/>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4F541BB4"/>
    <w:multiLevelType w:val="multilevel"/>
    <w:tmpl w:val="4F541BB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4409"/>
        </w:tabs>
        <w:ind w:left="4409"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58CA562E"/>
    <w:multiLevelType w:val="singleLevel"/>
    <w:tmpl w:val="58CA562E"/>
    <w:lvl w:ilvl="0" w:tentative="0">
      <w:start w:val="2"/>
      <w:numFmt w:val="chineseCounting"/>
      <w:suff w:val="nothing"/>
      <w:lvlText w:val="%1、"/>
      <w:lvlJc w:val="left"/>
    </w:lvl>
  </w:abstractNum>
  <w:abstractNum w:abstractNumId="6">
    <w:nsid w:val="71531671"/>
    <w:multiLevelType w:val="singleLevel"/>
    <w:tmpl w:val="71531671"/>
    <w:lvl w:ilvl="0" w:tentative="0">
      <w:start w:val="1"/>
      <w:numFmt w:val="decimal"/>
      <w:suff w:val="nothing"/>
      <w:lvlText w:val="%1、"/>
      <w:lvlJc w:val="left"/>
    </w:lvl>
  </w:abstractNum>
  <w:num w:numId="1">
    <w:abstractNumId w:val="3"/>
  </w:num>
  <w:num w:numId="2">
    <w:abstractNumId w:val="4"/>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3F"/>
    <w:rsid w:val="001944CA"/>
    <w:rsid w:val="0026362F"/>
    <w:rsid w:val="00284D08"/>
    <w:rsid w:val="00443823"/>
    <w:rsid w:val="00596456"/>
    <w:rsid w:val="00847C3F"/>
    <w:rsid w:val="00960E53"/>
    <w:rsid w:val="00CE7582"/>
    <w:rsid w:val="00F272E6"/>
    <w:rsid w:val="00FE7C58"/>
    <w:rsid w:val="02703BC7"/>
    <w:rsid w:val="02D877E5"/>
    <w:rsid w:val="03820109"/>
    <w:rsid w:val="04746539"/>
    <w:rsid w:val="04F1416A"/>
    <w:rsid w:val="07592DCF"/>
    <w:rsid w:val="0F3F46B5"/>
    <w:rsid w:val="12D35B44"/>
    <w:rsid w:val="14755F67"/>
    <w:rsid w:val="14FF125B"/>
    <w:rsid w:val="16716F55"/>
    <w:rsid w:val="175C2D82"/>
    <w:rsid w:val="1A741ECA"/>
    <w:rsid w:val="1AA016C0"/>
    <w:rsid w:val="1B4560C7"/>
    <w:rsid w:val="1B65374B"/>
    <w:rsid w:val="1BEA08FC"/>
    <w:rsid w:val="1E451FD4"/>
    <w:rsid w:val="1F2C1838"/>
    <w:rsid w:val="1F884B1C"/>
    <w:rsid w:val="22F3199B"/>
    <w:rsid w:val="2364154A"/>
    <w:rsid w:val="24D623BD"/>
    <w:rsid w:val="261824A6"/>
    <w:rsid w:val="2A204F4A"/>
    <w:rsid w:val="2EE73B4D"/>
    <w:rsid w:val="2EF01B85"/>
    <w:rsid w:val="31182B58"/>
    <w:rsid w:val="34180991"/>
    <w:rsid w:val="345668A2"/>
    <w:rsid w:val="34A31575"/>
    <w:rsid w:val="36D36A86"/>
    <w:rsid w:val="3D323E5C"/>
    <w:rsid w:val="42912E0C"/>
    <w:rsid w:val="43013C16"/>
    <w:rsid w:val="46327384"/>
    <w:rsid w:val="4DB53C33"/>
    <w:rsid w:val="4F1577AB"/>
    <w:rsid w:val="505946C8"/>
    <w:rsid w:val="53CF287B"/>
    <w:rsid w:val="567964AD"/>
    <w:rsid w:val="56E111CC"/>
    <w:rsid w:val="5A9C567B"/>
    <w:rsid w:val="5B981976"/>
    <w:rsid w:val="5BEA0FF6"/>
    <w:rsid w:val="6208766F"/>
    <w:rsid w:val="652760C7"/>
    <w:rsid w:val="65846249"/>
    <w:rsid w:val="65DD71D3"/>
    <w:rsid w:val="667D4935"/>
    <w:rsid w:val="66D87994"/>
    <w:rsid w:val="67A3546D"/>
    <w:rsid w:val="68502248"/>
    <w:rsid w:val="6C3070A9"/>
    <w:rsid w:val="708B2A68"/>
    <w:rsid w:val="732F6002"/>
    <w:rsid w:val="733907AC"/>
    <w:rsid w:val="78D9054E"/>
    <w:rsid w:val="7912645E"/>
    <w:rsid w:val="7ACB0136"/>
    <w:rsid w:val="7E483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numPr>
        <w:ilvl w:val="0"/>
        <w:numId w:val="1"/>
      </w:numPr>
      <w:autoSpaceDE w:val="0"/>
      <w:autoSpaceDN w:val="0"/>
      <w:adjustRightInd w:val="0"/>
      <w:snapToGrid w:val="0"/>
      <w:spacing w:before="340" w:after="330" w:line="578" w:lineRule="auto"/>
      <w:outlineLvl w:val="0"/>
    </w:pPr>
    <w:rPr>
      <w:rFonts w:ascii="宋体"/>
      <w:b/>
      <w:color w:val="000000"/>
      <w:kern w:val="44"/>
      <w:sz w:val="44"/>
      <w:szCs w:val="20"/>
    </w:rPr>
  </w:style>
  <w:style w:type="paragraph" w:styleId="3">
    <w:name w:val="heading 2"/>
    <w:basedOn w:val="1"/>
    <w:next w:val="1"/>
    <w:link w:val="50"/>
    <w:qFormat/>
    <w:uiPriority w:val="0"/>
    <w:pPr>
      <w:ind w:left="3062"/>
      <w:jc w:val="left"/>
      <w:outlineLvl w:val="1"/>
    </w:pPr>
    <w:rPr>
      <w:rFonts w:ascii="楷体" w:hAnsi="楷体" w:eastAsia="楷体"/>
      <w:kern w:val="0"/>
      <w:sz w:val="44"/>
      <w:szCs w:val="44"/>
      <w:lang w:eastAsia="en-US"/>
    </w:rPr>
  </w:style>
  <w:style w:type="paragraph" w:styleId="4">
    <w:name w:val="heading 3"/>
    <w:basedOn w:val="1"/>
    <w:next w:val="5"/>
    <w:link w:val="51"/>
    <w:qFormat/>
    <w:uiPriority w:val="0"/>
    <w:pPr>
      <w:keepNext/>
      <w:keepLines/>
      <w:numPr>
        <w:ilvl w:val="2"/>
        <w:numId w:val="1"/>
      </w:numPr>
      <w:autoSpaceDE w:val="0"/>
      <w:autoSpaceDN w:val="0"/>
      <w:adjustRightInd w:val="0"/>
      <w:snapToGrid w:val="0"/>
      <w:spacing w:before="260" w:after="260" w:line="416" w:lineRule="auto"/>
      <w:outlineLvl w:val="2"/>
    </w:pPr>
    <w:rPr>
      <w:rFonts w:ascii="宋体"/>
      <w:b/>
      <w:color w:val="000000"/>
      <w:sz w:val="32"/>
      <w:szCs w:val="20"/>
    </w:rPr>
  </w:style>
  <w:style w:type="paragraph" w:styleId="6">
    <w:name w:val="heading 4"/>
    <w:basedOn w:val="1"/>
    <w:next w:val="1"/>
    <w:link w:val="52"/>
    <w:qFormat/>
    <w:uiPriority w:val="9"/>
    <w:pPr>
      <w:keepNext/>
      <w:keepLines/>
      <w:numPr>
        <w:ilvl w:val="3"/>
        <w:numId w:val="2"/>
      </w:numPr>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0"/>
    <w:pPr>
      <w:keepNext/>
      <w:keepLines/>
      <w:spacing w:before="280" w:after="290" w:line="372" w:lineRule="auto"/>
      <w:outlineLvl w:val="4"/>
    </w:pPr>
    <w:rPr>
      <w:b/>
      <w:bCs/>
      <w:sz w:val="28"/>
      <w:szCs w:val="28"/>
    </w:rPr>
  </w:style>
  <w:style w:type="paragraph" w:styleId="8">
    <w:name w:val="heading 6"/>
    <w:basedOn w:val="1"/>
    <w:next w:val="1"/>
    <w:link w:val="54"/>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5"/>
    <w:qFormat/>
    <w:uiPriority w:val="0"/>
    <w:pPr>
      <w:keepNext/>
      <w:keepLines/>
      <w:spacing w:before="240" w:after="64" w:line="317" w:lineRule="auto"/>
      <w:outlineLvl w:val="6"/>
    </w:pPr>
    <w:rPr>
      <w:b/>
      <w:bCs/>
      <w:sz w:val="24"/>
    </w:rPr>
  </w:style>
  <w:style w:type="paragraph" w:styleId="10">
    <w:name w:val="heading 8"/>
    <w:basedOn w:val="1"/>
    <w:next w:val="1"/>
    <w:link w:val="56"/>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57"/>
    <w:qFormat/>
    <w:uiPriority w:val="0"/>
    <w:pPr>
      <w:keepNext/>
      <w:keepLines/>
      <w:spacing w:before="240" w:after="64" w:line="317" w:lineRule="auto"/>
      <w:outlineLvl w:val="8"/>
    </w:pPr>
    <w:rPr>
      <w:rFonts w:ascii="Cambria" w:hAnsi="Cambria"/>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12">
    <w:name w:val="Document Map"/>
    <w:basedOn w:val="1"/>
    <w:link w:val="58"/>
    <w:qFormat/>
    <w:uiPriority w:val="0"/>
    <w:pPr>
      <w:shd w:val="clear" w:color="auto" w:fill="000080"/>
    </w:pPr>
  </w:style>
  <w:style w:type="paragraph" w:styleId="13">
    <w:name w:val="annotation text"/>
    <w:basedOn w:val="1"/>
    <w:link w:val="59"/>
    <w:qFormat/>
    <w:uiPriority w:val="0"/>
    <w:pPr>
      <w:jc w:val="left"/>
    </w:pPr>
    <w:rPr>
      <w:szCs w:val="20"/>
    </w:rPr>
  </w:style>
  <w:style w:type="paragraph" w:styleId="14">
    <w:name w:val="Body Text"/>
    <w:basedOn w:val="1"/>
    <w:next w:val="1"/>
    <w:link w:val="60"/>
    <w:qFormat/>
    <w:uiPriority w:val="99"/>
    <w:pPr>
      <w:spacing w:after="120"/>
    </w:pPr>
  </w:style>
  <w:style w:type="paragraph" w:styleId="15">
    <w:name w:val="Body Text Indent"/>
    <w:basedOn w:val="1"/>
    <w:next w:val="1"/>
    <w:link w:val="61"/>
    <w:qFormat/>
    <w:uiPriority w:val="0"/>
    <w:pPr>
      <w:spacing w:after="120"/>
      <w:ind w:left="420" w:leftChars="200"/>
    </w:pPr>
  </w:style>
  <w:style w:type="paragraph" w:styleId="16">
    <w:name w:val="index 4"/>
    <w:basedOn w:val="1"/>
    <w:next w:val="1"/>
    <w:qFormat/>
    <w:uiPriority w:val="0"/>
    <w:pPr>
      <w:ind w:left="600" w:leftChars="600"/>
    </w:p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62"/>
    <w:unhideWhenUsed/>
    <w:qFormat/>
    <w:uiPriority w:val="0"/>
    <w:rPr>
      <w:rFonts w:ascii="宋体" w:hAnsi="Courier New"/>
      <w:szCs w:val="21"/>
    </w:rPr>
  </w:style>
  <w:style w:type="paragraph" w:styleId="20">
    <w:name w:val="Date"/>
    <w:basedOn w:val="1"/>
    <w:next w:val="1"/>
    <w:link w:val="63"/>
    <w:qFormat/>
    <w:uiPriority w:val="0"/>
    <w:pPr>
      <w:ind w:left="100" w:leftChars="2500"/>
    </w:pPr>
  </w:style>
  <w:style w:type="paragraph" w:styleId="21">
    <w:name w:val="Body Text Indent 2"/>
    <w:basedOn w:val="1"/>
    <w:next w:val="1"/>
    <w:link w:val="64"/>
    <w:qFormat/>
    <w:uiPriority w:val="0"/>
    <w:pPr>
      <w:ind w:left="630" w:firstLine="645"/>
    </w:pPr>
    <w:rPr>
      <w:rFonts w:ascii="Arial" w:hAnsi="Arial" w:eastAsia="仿宋_GB2312"/>
      <w:sz w:val="32"/>
      <w:szCs w:val="20"/>
    </w:rPr>
  </w:style>
  <w:style w:type="paragraph" w:styleId="22">
    <w:name w:val="Balloon Text"/>
    <w:basedOn w:val="1"/>
    <w:link w:val="65"/>
    <w:qFormat/>
    <w:uiPriority w:val="0"/>
    <w:rPr>
      <w:sz w:val="18"/>
      <w:szCs w:val="18"/>
    </w:rPr>
  </w:style>
  <w:style w:type="paragraph" w:styleId="23">
    <w:name w:val="footer"/>
    <w:basedOn w:val="1"/>
    <w:link w:val="66"/>
    <w:qFormat/>
    <w:uiPriority w:val="99"/>
    <w:pPr>
      <w:tabs>
        <w:tab w:val="center" w:pos="4153"/>
        <w:tab w:val="right" w:pos="8306"/>
      </w:tabs>
      <w:snapToGrid w:val="0"/>
      <w:jc w:val="left"/>
    </w:pPr>
    <w:rPr>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0"/>
    <w:pPr>
      <w:ind w:left="1260" w:leftChars="600"/>
    </w:p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pPr>
      <w:jc w:val="center"/>
    </w:pPr>
    <w:rPr>
      <w:bCs/>
      <w:szCs w:val="20"/>
    </w:rPr>
  </w:style>
  <w:style w:type="paragraph" w:styleId="29">
    <w:name w:val="Subtitle"/>
    <w:basedOn w:val="1"/>
    <w:next w:val="1"/>
    <w:link w:val="68"/>
    <w:qFormat/>
    <w:uiPriority w:val="0"/>
    <w:pPr>
      <w:spacing w:before="240" w:after="60" w:line="312" w:lineRule="auto"/>
      <w:jc w:val="center"/>
      <w:outlineLvl w:val="1"/>
    </w:pPr>
    <w:rPr>
      <w:rFonts w:ascii="Cambria" w:hAnsi="Cambria"/>
      <w:b/>
      <w:bCs/>
      <w:kern w:val="28"/>
      <w:sz w:val="32"/>
      <w:szCs w:val="32"/>
    </w:rPr>
  </w:style>
  <w:style w:type="paragraph" w:styleId="30">
    <w:name w:val="toc 2"/>
    <w:basedOn w:val="1"/>
    <w:next w:val="1"/>
    <w:qFormat/>
    <w:uiPriority w:val="39"/>
    <w:pPr>
      <w:ind w:left="420" w:leftChars="200"/>
    </w:pPr>
  </w:style>
  <w:style w:type="paragraph" w:styleId="31">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kern w:val="0"/>
      <w:sz w:val="11"/>
      <w:szCs w:val="11"/>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link w:val="70"/>
    <w:qFormat/>
    <w:uiPriority w:val="0"/>
    <w:pPr>
      <w:spacing w:before="240" w:after="60"/>
      <w:jc w:val="center"/>
      <w:outlineLvl w:val="0"/>
    </w:pPr>
    <w:rPr>
      <w:rFonts w:ascii="Cambria" w:hAnsi="Cambria"/>
      <w:b/>
      <w:bCs/>
      <w:sz w:val="32"/>
      <w:szCs w:val="32"/>
    </w:rPr>
  </w:style>
  <w:style w:type="paragraph" w:styleId="34">
    <w:name w:val="annotation subject"/>
    <w:basedOn w:val="13"/>
    <w:next w:val="13"/>
    <w:link w:val="71"/>
    <w:qFormat/>
    <w:uiPriority w:val="0"/>
    <w:rPr>
      <w:rFonts w:ascii="宋体"/>
      <w:b/>
      <w:bCs/>
      <w:kern w:val="0"/>
      <w:sz w:val="28"/>
    </w:rPr>
  </w:style>
  <w:style w:type="paragraph" w:styleId="35">
    <w:name w:val="Body Text First Indent"/>
    <w:basedOn w:val="14"/>
    <w:link w:val="72"/>
    <w:qFormat/>
    <w:uiPriority w:val="99"/>
    <w:pPr>
      <w:spacing w:after="0"/>
      <w:ind w:firstLine="420" w:firstLineChars="100"/>
    </w:pPr>
    <w:rPr>
      <w:rFonts w:ascii="Calibri" w:hAnsi="Calibri" w:eastAsia="黑体"/>
      <w:b/>
      <w:bCs/>
      <w:spacing w:val="20"/>
      <w:kern w:val="52"/>
      <w:sz w:val="56"/>
    </w:rPr>
  </w:style>
  <w:style w:type="paragraph" w:styleId="36">
    <w:name w:val="Body Text First Indent 2"/>
    <w:basedOn w:val="15"/>
    <w:qFormat/>
    <w:uiPriority w:val="0"/>
    <w:pPr>
      <w:tabs>
        <w:tab w:val="left" w:pos="0"/>
        <w:tab w:val="left" w:pos="993"/>
        <w:tab w:val="left" w:pos="1134"/>
      </w:tabs>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unhideWhenUsed/>
    <w:qFormat/>
    <w:uiPriority w:val="99"/>
    <w:rPr>
      <w:color w:val="800080"/>
      <w:u w:val="single"/>
    </w:rPr>
  </w:style>
  <w:style w:type="character" w:styleId="43">
    <w:name w:val="Emphasis"/>
    <w:qFormat/>
    <w:uiPriority w:val="0"/>
    <w:rPr>
      <w:i/>
      <w:iCs/>
    </w:rPr>
  </w:style>
  <w:style w:type="character" w:styleId="44">
    <w:name w:val="Hyperlink"/>
    <w:qFormat/>
    <w:uiPriority w:val="99"/>
    <w:rPr>
      <w:color w:val="0000FF"/>
      <w:u w:val="single"/>
    </w:rPr>
  </w:style>
  <w:style w:type="character" w:styleId="45">
    <w:name w:val="annotation reference"/>
    <w:qFormat/>
    <w:uiPriority w:val="0"/>
    <w:rPr>
      <w:rFonts w:cs="Times New Roman"/>
      <w:sz w:val="21"/>
      <w:szCs w:val="21"/>
    </w:rPr>
  </w:style>
  <w:style w:type="paragraph" w:customStyle="1" w:styleId="46">
    <w:name w:val="正文文本1"/>
    <w:basedOn w:val="1"/>
    <w:next w:val="47"/>
    <w:qFormat/>
    <w:uiPriority w:val="0"/>
    <w:pPr>
      <w:autoSpaceDE w:val="0"/>
      <w:autoSpaceDN w:val="0"/>
      <w:spacing w:line="463" w:lineRule="auto"/>
      <w:ind w:firstLine="400"/>
    </w:pPr>
    <w:rPr>
      <w:rFonts w:ascii="宋体" w:hAnsi="宋体" w:eastAsia="宋体" w:cs="宋体"/>
      <w:sz w:val="40"/>
      <w:szCs w:val="40"/>
      <w:lang w:val="zh-CN" w:eastAsia="zh-CN" w:bidi="zh-CN"/>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8">
    <w:name w:val="List Paragraph"/>
    <w:basedOn w:val="1"/>
    <w:qFormat/>
    <w:uiPriority w:val="34"/>
  </w:style>
  <w:style w:type="character" w:customStyle="1" w:styleId="49">
    <w:name w:val="标题 1 Char"/>
    <w:link w:val="2"/>
    <w:qFormat/>
    <w:uiPriority w:val="0"/>
    <w:rPr>
      <w:rFonts w:ascii="宋体" w:eastAsia="宋体"/>
      <w:b/>
      <w:color w:val="000000"/>
      <w:kern w:val="44"/>
      <w:sz w:val="44"/>
      <w:lang w:val="en-US" w:eastAsia="zh-CN" w:bidi="ar-SA"/>
    </w:rPr>
  </w:style>
  <w:style w:type="character" w:customStyle="1" w:styleId="50">
    <w:name w:val="标题 2 Char"/>
    <w:link w:val="3"/>
    <w:qFormat/>
    <w:locked/>
    <w:uiPriority w:val="0"/>
    <w:rPr>
      <w:rFonts w:ascii="楷体" w:hAnsi="楷体" w:eastAsia="楷体"/>
      <w:sz w:val="44"/>
      <w:szCs w:val="44"/>
      <w:lang w:val="en-US" w:eastAsia="en-US" w:bidi="ar-SA"/>
    </w:rPr>
  </w:style>
  <w:style w:type="character" w:customStyle="1" w:styleId="51">
    <w:name w:val="标题 3 Char"/>
    <w:link w:val="4"/>
    <w:qFormat/>
    <w:uiPriority w:val="0"/>
    <w:rPr>
      <w:rFonts w:ascii="宋体" w:eastAsia="宋体"/>
      <w:b/>
      <w:color w:val="000000"/>
      <w:kern w:val="2"/>
      <w:sz w:val="32"/>
      <w:lang w:val="en-US" w:eastAsia="zh-CN" w:bidi="ar-SA"/>
    </w:rPr>
  </w:style>
  <w:style w:type="character" w:customStyle="1" w:styleId="52">
    <w:name w:val="标题 4 Char"/>
    <w:link w:val="6"/>
    <w:qFormat/>
    <w:uiPriority w:val="0"/>
    <w:rPr>
      <w:rFonts w:ascii="Arial" w:hAnsi="Arial" w:eastAsia="黑体"/>
      <w:b/>
      <w:bCs/>
      <w:kern w:val="2"/>
      <w:sz w:val="28"/>
      <w:szCs w:val="28"/>
      <w:lang w:val="en-US" w:eastAsia="zh-CN" w:bidi="ar-SA"/>
    </w:rPr>
  </w:style>
  <w:style w:type="character" w:customStyle="1" w:styleId="53">
    <w:name w:val="标题 5 Char"/>
    <w:link w:val="7"/>
    <w:qFormat/>
    <w:uiPriority w:val="0"/>
    <w:rPr>
      <w:b/>
      <w:bCs/>
      <w:kern w:val="2"/>
      <w:sz w:val="28"/>
      <w:szCs w:val="28"/>
    </w:rPr>
  </w:style>
  <w:style w:type="character" w:customStyle="1" w:styleId="54">
    <w:name w:val="标题 6 Char"/>
    <w:link w:val="8"/>
    <w:qFormat/>
    <w:uiPriority w:val="0"/>
    <w:rPr>
      <w:rFonts w:ascii="Cambria" w:hAnsi="Cambria"/>
      <w:b/>
      <w:bCs/>
      <w:kern w:val="2"/>
      <w:sz w:val="24"/>
      <w:szCs w:val="24"/>
    </w:rPr>
  </w:style>
  <w:style w:type="character" w:customStyle="1" w:styleId="55">
    <w:name w:val="标题 7 Char"/>
    <w:link w:val="9"/>
    <w:qFormat/>
    <w:uiPriority w:val="0"/>
    <w:rPr>
      <w:b/>
      <w:bCs/>
      <w:kern w:val="2"/>
      <w:sz w:val="24"/>
      <w:szCs w:val="24"/>
    </w:rPr>
  </w:style>
  <w:style w:type="character" w:customStyle="1" w:styleId="56">
    <w:name w:val="标题 8 Char"/>
    <w:link w:val="10"/>
    <w:qFormat/>
    <w:uiPriority w:val="0"/>
    <w:rPr>
      <w:rFonts w:ascii="Cambria" w:hAnsi="Cambria"/>
      <w:kern w:val="2"/>
      <w:sz w:val="24"/>
      <w:szCs w:val="24"/>
    </w:rPr>
  </w:style>
  <w:style w:type="character" w:customStyle="1" w:styleId="57">
    <w:name w:val="标题 9 Char"/>
    <w:link w:val="11"/>
    <w:qFormat/>
    <w:uiPriority w:val="0"/>
    <w:rPr>
      <w:rFonts w:ascii="Cambria" w:hAnsi="Cambria"/>
      <w:kern w:val="2"/>
      <w:sz w:val="21"/>
      <w:szCs w:val="21"/>
    </w:rPr>
  </w:style>
  <w:style w:type="character" w:customStyle="1" w:styleId="58">
    <w:name w:val="文档结构图 Char"/>
    <w:link w:val="12"/>
    <w:qFormat/>
    <w:uiPriority w:val="0"/>
    <w:rPr>
      <w:kern w:val="2"/>
      <w:sz w:val="21"/>
      <w:szCs w:val="24"/>
      <w:shd w:val="clear" w:color="auto" w:fill="000080"/>
    </w:rPr>
  </w:style>
  <w:style w:type="character" w:customStyle="1" w:styleId="59">
    <w:name w:val="批注文字 Char"/>
    <w:link w:val="13"/>
    <w:qFormat/>
    <w:uiPriority w:val="0"/>
    <w:rPr>
      <w:kern w:val="2"/>
      <w:sz w:val="21"/>
    </w:rPr>
  </w:style>
  <w:style w:type="character" w:customStyle="1" w:styleId="60">
    <w:name w:val="正文文本 Char"/>
    <w:link w:val="14"/>
    <w:qFormat/>
    <w:uiPriority w:val="0"/>
    <w:rPr>
      <w:kern w:val="2"/>
      <w:sz w:val="21"/>
      <w:szCs w:val="24"/>
    </w:rPr>
  </w:style>
  <w:style w:type="character" w:customStyle="1" w:styleId="61">
    <w:name w:val="正文文本缩进 Char"/>
    <w:link w:val="15"/>
    <w:qFormat/>
    <w:uiPriority w:val="0"/>
    <w:rPr>
      <w:kern w:val="2"/>
      <w:sz w:val="21"/>
      <w:szCs w:val="24"/>
    </w:rPr>
  </w:style>
  <w:style w:type="character" w:customStyle="1" w:styleId="62">
    <w:name w:val="纯文本 Char1"/>
    <w:link w:val="19"/>
    <w:qFormat/>
    <w:locked/>
    <w:uiPriority w:val="0"/>
    <w:rPr>
      <w:rFonts w:ascii="宋体" w:hAnsi="Courier New" w:cs="金山简魏碑"/>
      <w:kern w:val="2"/>
      <w:sz w:val="21"/>
      <w:szCs w:val="21"/>
    </w:rPr>
  </w:style>
  <w:style w:type="character" w:customStyle="1" w:styleId="63">
    <w:name w:val="日期 Char"/>
    <w:link w:val="20"/>
    <w:qFormat/>
    <w:uiPriority w:val="0"/>
    <w:rPr>
      <w:kern w:val="2"/>
      <w:sz w:val="21"/>
      <w:szCs w:val="24"/>
    </w:rPr>
  </w:style>
  <w:style w:type="character" w:customStyle="1" w:styleId="64">
    <w:name w:val="正文文本缩进 2 Char"/>
    <w:link w:val="21"/>
    <w:qFormat/>
    <w:uiPriority w:val="0"/>
    <w:rPr>
      <w:rFonts w:ascii="Arial" w:hAnsi="Arial" w:eastAsia="仿宋_GB2312"/>
      <w:kern w:val="2"/>
      <w:sz w:val="32"/>
    </w:rPr>
  </w:style>
  <w:style w:type="character" w:customStyle="1" w:styleId="65">
    <w:name w:val="批注框文本 Char"/>
    <w:link w:val="22"/>
    <w:qFormat/>
    <w:uiPriority w:val="0"/>
    <w:rPr>
      <w:kern w:val="2"/>
      <w:sz w:val="18"/>
      <w:szCs w:val="18"/>
    </w:rPr>
  </w:style>
  <w:style w:type="character" w:customStyle="1" w:styleId="66">
    <w:name w:val="页脚 Char"/>
    <w:link w:val="23"/>
    <w:qFormat/>
    <w:uiPriority w:val="99"/>
    <w:rPr>
      <w:kern w:val="2"/>
      <w:sz w:val="18"/>
      <w:szCs w:val="18"/>
    </w:rPr>
  </w:style>
  <w:style w:type="character" w:customStyle="1" w:styleId="67">
    <w:name w:val="页眉 Char"/>
    <w:link w:val="24"/>
    <w:qFormat/>
    <w:uiPriority w:val="0"/>
    <w:rPr>
      <w:kern w:val="2"/>
      <w:sz w:val="18"/>
      <w:szCs w:val="18"/>
    </w:rPr>
  </w:style>
  <w:style w:type="character" w:customStyle="1" w:styleId="68">
    <w:name w:val="副标题 Char"/>
    <w:link w:val="29"/>
    <w:qFormat/>
    <w:uiPriority w:val="0"/>
    <w:rPr>
      <w:rFonts w:ascii="Cambria" w:hAnsi="Cambria"/>
      <w:b/>
      <w:bCs/>
      <w:kern w:val="28"/>
      <w:sz w:val="32"/>
      <w:szCs w:val="32"/>
    </w:rPr>
  </w:style>
  <w:style w:type="character" w:customStyle="1" w:styleId="69">
    <w:name w:val="HTML 预设格式 Char"/>
    <w:link w:val="31"/>
    <w:qFormat/>
    <w:uiPriority w:val="99"/>
    <w:rPr>
      <w:rFonts w:ascii="Arial" w:hAnsi="Arial"/>
      <w:sz w:val="11"/>
      <w:szCs w:val="11"/>
    </w:rPr>
  </w:style>
  <w:style w:type="character" w:customStyle="1" w:styleId="70">
    <w:name w:val="标题 Char"/>
    <w:link w:val="33"/>
    <w:qFormat/>
    <w:uiPriority w:val="0"/>
    <w:rPr>
      <w:rFonts w:ascii="Cambria" w:hAnsi="Cambria" w:cs="Times New Roman"/>
      <w:b/>
      <w:bCs/>
      <w:kern w:val="2"/>
      <w:sz w:val="32"/>
      <w:szCs w:val="32"/>
    </w:rPr>
  </w:style>
  <w:style w:type="character" w:customStyle="1" w:styleId="71">
    <w:name w:val="批注主题 Char"/>
    <w:link w:val="34"/>
    <w:qFormat/>
    <w:uiPriority w:val="0"/>
    <w:rPr>
      <w:rFonts w:ascii="宋体" w:hAnsi="Times New Roman"/>
      <w:b/>
      <w:bCs/>
      <w:sz w:val="28"/>
    </w:rPr>
  </w:style>
  <w:style w:type="character" w:customStyle="1" w:styleId="72">
    <w:name w:val="正文首行缩进 Char"/>
    <w:basedOn w:val="60"/>
    <w:link w:val="35"/>
    <w:qFormat/>
    <w:uiPriority w:val="99"/>
    <w:rPr>
      <w:rFonts w:ascii="Calibri" w:hAnsi="Calibri" w:eastAsia="黑体"/>
      <w:b/>
      <w:bCs/>
      <w:spacing w:val="20"/>
      <w:kern w:val="52"/>
      <w:sz w:val="56"/>
      <w:szCs w:val="24"/>
    </w:rPr>
  </w:style>
  <w:style w:type="character" w:customStyle="1" w:styleId="73">
    <w:name w:val="引用 Char"/>
    <w:link w:val="74"/>
    <w:qFormat/>
    <w:uiPriority w:val="0"/>
    <w:rPr>
      <w:i/>
      <w:iCs/>
      <w:color w:val="000000"/>
      <w:kern w:val="2"/>
      <w:sz w:val="21"/>
      <w:szCs w:val="22"/>
    </w:rPr>
  </w:style>
  <w:style w:type="paragraph" w:customStyle="1" w:styleId="74">
    <w:name w:val="引用1"/>
    <w:basedOn w:val="1"/>
    <w:next w:val="1"/>
    <w:link w:val="73"/>
    <w:qFormat/>
    <w:uiPriority w:val="0"/>
    <w:rPr>
      <w:i/>
      <w:iCs/>
      <w:color w:val="000000"/>
      <w:szCs w:val="22"/>
    </w:rPr>
  </w:style>
  <w:style w:type="character" w:customStyle="1" w:styleId="75">
    <w:name w:val="明显引用 Char1"/>
    <w:qFormat/>
    <w:uiPriority w:val="99"/>
    <w:rPr>
      <w:b/>
      <w:bCs/>
      <w:i/>
      <w:iCs/>
      <w:color w:val="4F81BD"/>
      <w:kern w:val="2"/>
      <w:sz w:val="21"/>
      <w:szCs w:val="24"/>
    </w:rPr>
  </w:style>
  <w:style w:type="character" w:customStyle="1" w:styleId="76">
    <w:name w:val="rvts13"/>
    <w:qFormat/>
    <w:uiPriority w:val="0"/>
    <w:rPr>
      <w:rFonts w:hint="default" w:ascii="KNLe" w:hAnsi="KNLe"/>
      <w:color w:val="000000"/>
    </w:rPr>
  </w:style>
  <w:style w:type="character" w:customStyle="1" w:styleId="77">
    <w:name w:val="文档结构图 Char1"/>
    <w:qFormat/>
    <w:uiPriority w:val="99"/>
    <w:rPr>
      <w:rFonts w:ascii="宋体"/>
      <w:kern w:val="2"/>
      <w:sz w:val="18"/>
      <w:szCs w:val="18"/>
    </w:rPr>
  </w:style>
  <w:style w:type="character" w:customStyle="1" w:styleId="78">
    <w:name w:val="标题 Char1"/>
    <w:qFormat/>
    <w:uiPriority w:val="10"/>
    <w:rPr>
      <w:rFonts w:ascii="Cambria" w:hAnsi="Cambria" w:eastAsia="宋体" w:cs="Times New Roman"/>
      <w:b/>
      <w:bCs/>
      <w:sz w:val="32"/>
      <w:szCs w:val="32"/>
    </w:rPr>
  </w:style>
  <w:style w:type="character" w:customStyle="1" w:styleId="79">
    <w:name w:val="标题 3 Char1"/>
    <w:semiHidden/>
    <w:qFormat/>
    <w:uiPriority w:val="0"/>
    <w:rPr>
      <w:b/>
      <w:bCs/>
      <w:kern w:val="2"/>
      <w:sz w:val="32"/>
      <w:szCs w:val="32"/>
    </w:rPr>
  </w:style>
  <w:style w:type="character" w:customStyle="1" w:styleId="80">
    <w:name w:val="font21"/>
    <w:basedOn w:val="39"/>
    <w:qFormat/>
    <w:uiPriority w:val="0"/>
    <w:rPr>
      <w:rFonts w:hint="eastAsia" w:ascii="微软雅黑" w:hAnsi="微软雅黑" w:eastAsia="微软雅黑" w:cs="微软雅黑"/>
      <w:color w:val="000000"/>
      <w:sz w:val="24"/>
      <w:szCs w:val="24"/>
      <w:u w:val="none"/>
    </w:rPr>
  </w:style>
  <w:style w:type="character" w:customStyle="1" w:styleId="81">
    <w:name w:val="标题 4 Char1"/>
    <w:semiHidden/>
    <w:qFormat/>
    <w:uiPriority w:val="0"/>
    <w:rPr>
      <w:rFonts w:ascii="Cambria" w:hAnsi="Cambria" w:eastAsia="宋体" w:cs="Times New Roman"/>
      <w:b/>
      <w:bCs/>
      <w:kern w:val="2"/>
      <w:sz w:val="28"/>
      <w:szCs w:val="28"/>
    </w:rPr>
  </w:style>
  <w:style w:type="character" w:customStyle="1" w:styleId="82">
    <w:name w:val="标题4 Char Char"/>
    <w:link w:val="83"/>
    <w:qFormat/>
    <w:uiPriority w:val="0"/>
    <w:rPr>
      <w:rFonts w:ascii="Arial" w:hAnsi="Arial"/>
      <w:b/>
      <w:bCs/>
      <w:sz w:val="24"/>
      <w:szCs w:val="32"/>
    </w:rPr>
  </w:style>
  <w:style w:type="paragraph" w:customStyle="1" w:styleId="83">
    <w:name w:val="标题4"/>
    <w:basedOn w:val="3"/>
    <w:next w:val="16"/>
    <w:link w:val="82"/>
    <w:qFormat/>
    <w:uiPriority w:val="0"/>
    <w:pPr>
      <w:keepNext/>
      <w:keepLines/>
      <w:spacing w:before="260" w:after="260" w:line="413" w:lineRule="auto"/>
      <w:ind w:left="0"/>
      <w:jc w:val="both"/>
    </w:pPr>
    <w:rPr>
      <w:rFonts w:ascii="Arial" w:hAnsi="Arial" w:eastAsia="宋体"/>
      <w:b/>
      <w:bCs/>
      <w:sz w:val="24"/>
      <w:szCs w:val="32"/>
    </w:rPr>
  </w:style>
  <w:style w:type="character" w:customStyle="1" w:styleId="84">
    <w:name w:val="批注框文本 Char1"/>
    <w:qFormat/>
    <w:uiPriority w:val="99"/>
    <w:rPr>
      <w:kern w:val="2"/>
      <w:sz w:val="18"/>
      <w:szCs w:val="18"/>
    </w:rPr>
  </w:style>
  <w:style w:type="character" w:customStyle="1" w:styleId="85">
    <w:name w:val="_Style 78"/>
    <w:qFormat/>
    <w:uiPriority w:val="0"/>
    <w:rPr>
      <w:b/>
      <w:bCs/>
      <w:smallCaps/>
      <w:spacing w:val="5"/>
    </w:rPr>
  </w:style>
  <w:style w:type="character" w:customStyle="1" w:styleId="86">
    <w:name w:val="副标题 Char1"/>
    <w:qFormat/>
    <w:uiPriority w:val="0"/>
    <w:rPr>
      <w:rFonts w:ascii="Cambria" w:hAnsi="Cambria" w:cs="Times New Roman"/>
      <w:b/>
      <w:bCs/>
      <w:kern w:val="28"/>
      <w:sz w:val="32"/>
      <w:szCs w:val="32"/>
    </w:rPr>
  </w:style>
  <w:style w:type="character" w:customStyle="1" w:styleId="87">
    <w:name w:val="批注文字 Char Char"/>
    <w:qFormat/>
    <w:uiPriority w:val="0"/>
    <w:rPr>
      <w:rFonts w:ascii="宋体" w:hAnsi="Times New Roman" w:eastAsia="宋体" w:cs="Times New Roman"/>
      <w:sz w:val="28"/>
      <w:szCs w:val="20"/>
    </w:rPr>
  </w:style>
  <w:style w:type="character" w:customStyle="1" w:styleId="88">
    <w:name w:val="批注主题 Char1"/>
    <w:qFormat/>
    <w:uiPriority w:val="0"/>
    <w:rPr>
      <w:b/>
      <w:bCs/>
      <w:kern w:val="2"/>
      <w:sz w:val="21"/>
      <w:szCs w:val="22"/>
    </w:rPr>
  </w:style>
  <w:style w:type="character" w:customStyle="1" w:styleId="89">
    <w:name w:val="_Style 82"/>
    <w:qFormat/>
    <w:uiPriority w:val="0"/>
    <w:rPr>
      <w:b/>
      <w:bCs/>
      <w:smallCaps/>
      <w:color w:val="C0504D"/>
      <w:spacing w:val="5"/>
      <w:u w:val="single"/>
    </w:rPr>
  </w:style>
  <w:style w:type="character" w:customStyle="1" w:styleId="90">
    <w:name w:val="rvts10"/>
    <w:qFormat/>
    <w:uiPriority w:val="0"/>
    <w:rPr>
      <w:rFonts w:hint="default" w:ascii="KNLe" w:hAnsi="KNLe"/>
      <w:b/>
      <w:bCs/>
    </w:rPr>
  </w:style>
  <w:style w:type="character" w:customStyle="1" w:styleId="91">
    <w:name w:val="font11"/>
    <w:basedOn w:val="39"/>
    <w:qFormat/>
    <w:uiPriority w:val="0"/>
    <w:rPr>
      <w:rFonts w:hint="eastAsia" w:ascii="微软雅黑" w:hAnsi="微软雅黑" w:eastAsia="微软雅黑" w:cs="微软雅黑"/>
      <w:color w:val="000000"/>
      <w:sz w:val="24"/>
      <w:szCs w:val="24"/>
      <w:u w:val="none"/>
      <w:vertAlign w:val="superscript"/>
    </w:rPr>
  </w:style>
  <w:style w:type="character" w:customStyle="1" w:styleId="92">
    <w:name w:val="引用 Char1"/>
    <w:qFormat/>
    <w:uiPriority w:val="99"/>
    <w:rPr>
      <w:i/>
      <w:iCs/>
      <w:color w:val="000000"/>
      <w:kern w:val="2"/>
      <w:sz w:val="21"/>
      <w:szCs w:val="24"/>
    </w:rPr>
  </w:style>
  <w:style w:type="character" w:customStyle="1" w:styleId="93">
    <w:name w:val="纯文本 Char"/>
    <w:qFormat/>
    <w:uiPriority w:val="99"/>
    <w:rPr>
      <w:rFonts w:ascii="宋体" w:hAnsi="Courier New" w:cs="Courier New"/>
      <w:kern w:val="2"/>
      <w:sz w:val="21"/>
      <w:szCs w:val="21"/>
    </w:rPr>
  </w:style>
  <w:style w:type="character" w:customStyle="1" w:styleId="94">
    <w:name w:val="日期 Char1"/>
    <w:qFormat/>
    <w:uiPriority w:val="99"/>
    <w:rPr>
      <w:kern w:val="2"/>
      <w:sz w:val="21"/>
      <w:szCs w:val="22"/>
    </w:rPr>
  </w:style>
  <w:style w:type="character" w:customStyle="1" w:styleId="95">
    <w:name w:val="NormalCharacter"/>
    <w:qFormat/>
    <w:uiPriority w:val="0"/>
  </w:style>
  <w:style w:type="character" w:customStyle="1" w:styleId="96">
    <w:name w:val="批注主题 Char2"/>
    <w:qFormat/>
    <w:uiPriority w:val="0"/>
    <w:rPr>
      <w:b/>
      <w:bCs/>
      <w:kern w:val="2"/>
      <w:sz w:val="21"/>
      <w:szCs w:val="24"/>
    </w:rPr>
  </w:style>
  <w:style w:type="character" w:customStyle="1" w:styleId="97">
    <w:name w:val="批注文字 字符"/>
    <w:semiHidden/>
    <w:qFormat/>
    <w:uiPriority w:val="0"/>
    <w:rPr>
      <w:kern w:val="2"/>
      <w:sz w:val="21"/>
    </w:rPr>
  </w:style>
  <w:style w:type="character" w:customStyle="1" w:styleId="98">
    <w:name w:val="_Style 91"/>
    <w:qFormat/>
    <w:uiPriority w:val="0"/>
    <w:rPr>
      <w:smallCaps/>
      <w:color w:val="C0504D"/>
      <w:u w:val="single"/>
    </w:rPr>
  </w:style>
  <w:style w:type="character" w:customStyle="1" w:styleId="99">
    <w:name w:val="_Style 92"/>
    <w:qFormat/>
    <w:uiPriority w:val="0"/>
    <w:rPr>
      <w:i/>
      <w:iCs/>
      <w:color w:val="808080"/>
    </w:rPr>
  </w:style>
  <w:style w:type="character" w:customStyle="1" w:styleId="100">
    <w:name w:val="rvts11"/>
    <w:qFormat/>
    <w:uiPriority w:val="0"/>
    <w:rPr>
      <w:rFonts w:hint="default" w:ascii="KNLe" w:hAnsi="KNLe"/>
      <w:u w:val="single"/>
    </w:rPr>
  </w:style>
  <w:style w:type="character" w:customStyle="1" w:styleId="101">
    <w:name w:val="标题3 Char"/>
    <w:link w:val="102"/>
    <w:qFormat/>
    <w:uiPriority w:val="0"/>
    <w:rPr>
      <w:rFonts w:ascii="黑体" w:hAnsi="黑体" w:eastAsia="黑体"/>
      <w:b/>
      <w:kern w:val="2"/>
      <w:sz w:val="32"/>
      <w:szCs w:val="32"/>
    </w:rPr>
  </w:style>
  <w:style w:type="paragraph" w:customStyle="1" w:styleId="102">
    <w:name w:val="标题3"/>
    <w:basedOn w:val="1"/>
    <w:link w:val="101"/>
    <w:qFormat/>
    <w:uiPriority w:val="0"/>
    <w:pPr>
      <w:pageBreakBefore/>
      <w:jc w:val="center"/>
      <w:outlineLvl w:val="2"/>
    </w:pPr>
    <w:rPr>
      <w:rFonts w:ascii="黑体" w:hAnsi="黑体" w:eastAsia="黑体"/>
      <w:b/>
      <w:sz w:val="32"/>
      <w:szCs w:val="32"/>
    </w:rPr>
  </w:style>
  <w:style w:type="character" w:customStyle="1" w:styleId="103">
    <w:name w:val="_Style 96"/>
    <w:qFormat/>
    <w:uiPriority w:val="0"/>
    <w:rPr>
      <w:b/>
      <w:bCs/>
      <w:i/>
      <w:iCs/>
      <w:color w:val="4F81BD"/>
    </w:rPr>
  </w:style>
  <w:style w:type="character" w:customStyle="1" w:styleId="104">
    <w:name w:val="标题 1 Char1"/>
    <w:qFormat/>
    <w:uiPriority w:val="0"/>
    <w:rPr>
      <w:b/>
      <w:bCs/>
      <w:kern w:val="44"/>
      <w:sz w:val="44"/>
      <w:szCs w:val="44"/>
    </w:rPr>
  </w:style>
  <w:style w:type="character" w:customStyle="1" w:styleId="105">
    <w:name w:val="明显引用 Char"/>
    <w:link w:val="106"/>
    <w:qFormat/>
    <w:uiPriority w:val="0"/>
    <w:rPr>
      <w:b/>
      <w:bCs/>
      <w:i/>
      <w:iCs/>
      <w:color w:val="4F81BD"/>
      <w:kern w:val="2"/>
      <w:sz w:val="21"/>
      <w:szCs w:val="22"/>
    </w:rPr>
  </w:style>
  <w:style w:type="paragraph" w:customStyle="1" w:styleId="106">
    <w:name w:val="明显引用1"/>
    <w:basedOn w:val="1"/>
    <w:next w:val="1"/>
    <w:link w:val="105"/>
    <w:qFormat/>
    <w:uiPriority w:val="0"/>
    <w:pPr>
      <w:pBdr>
        <w:bottom w:val="single" w:color="4F81BD" w:sz="4" w:space="4"/>
      </w:pBdr>
      <w:spacing w:before="200" w:after="280"/>
      <w:ind w:left="936" w:right="936"/>
    </w:pPr>
    <w:rPr>
      <w:b/>
      <w:bCs/>
      <w:i/>
      <w:iCs/>
      <w:color w:val="4F81BD"/>
      <w:szCs w:val="22"/>
    </w:rPr>
  </w:style>
  <w:style w:type="character" w:customStyle="1" w:styleId="107">
    <w:name w:val="正文文本 Char1"/>
    <w:qFormat/>
    <w:uiPriority w:val="99"/>
    <w:rPr>
      <w:kern w:val="2"/>
      <w:sz w:val="21"/>
      <w:szCs w:val="22"/>
    </w:rPr>
  </w:style>
  <w:style w:type="character" w:customStyle="1" w:styleId="108">
    <w:name w:val="textcontents"/>
    <w:qFormat/>
    <w:uiPriority w:val="0"/>
    <w:rPr>
      <w:rFonts w:cs="Times New Roman"/>
    </w:rPr>
  </w:style>
  <w:style w:type="character" w:customStyle="1" w:styleId="109">
    <w:name w:val="p21"/>
    <w:qFormat/>
    <w:uiPriority w:val="0"/>
    <w:rPr>
      <w:sz w:val="9"/>
      <w:szCs w:val="9"/>
    </w:rPr>
  </w:style>
  <w:style w:type="character" w:customStyle="1" w:styleId="110">
    <w:name w:val="标题5 Char Char"/>
    <w:link w:val="111"/>
    <w:qFormat/>
    <w:uiPriority w:val="0"/>
    <w:rPr>
      <w:rFonts w:ascii="Arial" w:hAnsi="Arial"/>
      <w:b/>
      <w:bCs/>
      <w:sz w:val="24"/>
      <w:szCs w:val="32"/>
    </w:rPr>
  </w:style>
  <w:style w:type="paragraph" w:customStyle="1" w:styleId="111">
    <w:name w:val="标题5"/>
    <w:basedOn w:val="4"/>
    <w:link w:val="110"/>
    <w:qFormat/>
    <w:uiPriority w:val="0"/>
    <w:pPr>
      <w:numPr>
        <w:ilvl w:val="0"/>
        <w:numId w:val="0"/>
      </w:numPr>
      <w:autoSpaceDE/>
      <w:autoSpaceDN/>
      <w:adjustRightInd/>
      <w:snapToGrid/>
      <w:spacing w:line="413" w:lineRule="auto"/>
    </w:pPr>
    <w:rPr>
      <w:rFonts w:ascii="Arial" w:hAnsi="Arial"/>
      <w:bCs/>
      <w:color w:val="auto"/>
      <w:kern w:val="0"/>
      <w:sz w:val="24"/>
      <w:szCs w:val="32"/>
    </w:rPr>
  </w:style>
  <w:style w:type="character" w:customStyle="1" w:styleId="112">
    <w:name w:val="标题 2 Char_0"/>
    <w:link w:val="113"/>
    <w:qFormat/>
    <w:uiPriority w:val="0"/>
    <w:rPr>
      <w:rFonts w:ascii="Cambria" w:hAnsi="Cambria" w:eastAsia="黑体"/>
      <w:b/>
      <w:bCs/>
      <w:sz w:val="32"/>
      <w:szCs w:val="32"/>
    </w:rPr>
  </w:style>
  <w:style w:type="paragraph" w:customStyle="1" w:styleId="113">
    <w:name w:val="标题 21"/>
    <w:basedOn w:val="114"/>
    <w:next w:val="114"/>
    <w:link w:val="112"/>
    <w:qFormat/>
    <w:uiPriority w:val="0"/>
    <w:pPr>
      <w:keepNext/>
      <w:keepLines/>
      <w:spacing w:before="260" w:after="260" w:line="416" w:lineRule="auto"/>
      <w:jc w:val="center"/>
      <w:outlineLvl w:val="1"/>
    </w:pPr>
    <w:rPr>
      <w:rFonts w:ascii="Cambria" w:hAnsi="Cambria" w:eastAsia="黑体"/>
      <w:b/>
      <w:bCs/>
      <w:sz w:val="32"/>
      <w:szCs w:val="32"/>
    </w:rPr>
  </w:style>
  <w:style w:type="paragraph" w:customStyle="1" w:styleId="114">
    <w:name w:val="Normal_0"/>
    <w:qFormat/>
    <w:uiPriority w:val="0"/>
    <w:pPr>
      <w:widowControl w:val="0"/>
    </w:pPr>
    <w:rPr>
      <w:rFonts w:ascii="Times New Roman" w:hAnsi="Times New Roman" w:eastAsia="宋体" w:cs="Times New Roman"/>
      <w:lang w:val="en-US" w:eastAsia="zh-CN" w:bidi="ar-SA"/>
    </w:rPr>
  </w:style>
  <w:style w:type="character" w:customStyle="1" w:styleId="115">
    <w:name w:val="rvts9"/>
    <w:qFormat/>
    <w:uiPriority w:val="0"/>
    <w:rPr>
      <w:rFonts w:hint="default" w:ascii="KNLe" w:hAnsi="KNLe"/>
    </w:rPr>
  </w:style>
  <w:style w:type="paragraph" w:customStyle="1" w:styleId="116">
    <w:name w:val="Char7"/>
    <w:basedOn w:val="12"/>
    <w:qFormat/>
    <w:uiPriority w:val="0"/>
    <w:pPr>
      <w:adjustRightInd w:val="0"/>
      <w:snapToGrid w:val="0"/>
      <w:spacing w:line="360" w:lineRule="auto"/>
    </w:pPr>
    <w:rPr>
      <w:rFonts w:ascii="Tahoma" w:hAnsi="Tahoma"/>
      <w:sz w:val="24"/>
    </w:rPr>
  </w:style>
  <w:style w:type="paragraph" w:customStyle="1" w:styleId="117">
    <w:name w:val="列出段落2"/>
    <w:basedOn w:val="1"/>
    <w:qFormat/>
    <w:uiPriority w:val="0"/>
    <w:pPr>
      <w:ind w:firstLine="420" w:firstLineChars="200"/>
    </w:pPr>
    <w:rPr>
      <w:rFonts w:ascii="Calibri" w:hAnsi="Calibri"/>
      <w:szCs w:val="22"/>
    </w:rPr>
  </w:style>
  <w:style w:type="paragraph" w:customStyle="1" w:styleId="118">
    <w:name w:val="列出段落1"/>
    <w:basedOn w:val="1"/>
    <w:qFormat/>
    <w:uiPriority w:val="34"/>
    <w:pPr>
      <w:ind w:firstLine="420" w:firstLineChars="200"/>
    </w:pPr>
    <w:rPr>
      <w:szCs w:val="20"/>
    </w:rPr>
  </w:style>
  <w:style w:type="paragraph" w:customStyle="1" w:styleId="11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0">
    <w:name w:val="Normal_0_0"/>
    <w:qFormat/>
    <w:uiPriority w:val="0"/>
    <w:pPr>
      <w:widowControl w:val="0"/>
    </w:pPr>
    <w:rPr>
      <w:rFonts w:ascii="Times New Roman" w:hAnsi="Times New Roman" w:eastAsia="宋体" w:cs="Times New Roman"/>
      <w:szCs w:val="24"/>
      <w:lang w:val="en-US" w:eastAsia="zh-CN" w:bidi="ar-SA"/>
    </w:rPr>
  </w:style>
  <w:style w:type="paragraph" w:customStyle="1" w:styleId="121">
    <w:name w:val="t_black_12_b"/>
    <w:basedOn w:val="1"/>
    <w:qFormat/>
    <w:uiPriority w:val="0"/>
    <w:pPr>
      <w:widowControl/>
      <w:jc w:val="left"/>
    </w:pPr>
    <w:rPr>
      <w:rFonts w:ascii="宋体" w:hAnsi="宋体" w:cs="宋体"/>
      <w:b/>
      <w:bCs/>
      <w:color w:val="212121"/>
      <w:kern w:val="0"/>
      <w:sz w:val="9"/>
      <w:szCs w:val="9"/>
    </w:rPr>
  </w:style>
  <w:style w:type="paragraph" w:customStyle="1" w:styleId="122">
    <w:name w:val="无间隔1"/>
    <w:link w:val="17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pa-2"/>
    <w:basedOn w:val="1"/>
    <w:qFormat/>
    <w:uiPriority w:val="0"/>
    <w:pPr>
      <w:widowControl/>
      <w:spacing w:line="320" w:lineRule="atLeast"/>
      <w:ind w:firstLine="700"/>
    </w:pPr>
    <w:rPr>
      <w:rFonts w:ascii="宋体" w:hAnsi="宋体" w:cs="宋体"/>
      <w:kern w:val="0"/>
      <w:sz w:val="24"/>
    </w:rPr>
  </w:style>
  <w:style w:type="paragraph" w:customStyle="1" w:styleId="124">
    <w:name w:val="Char Char Char Char Char Char Char1 Char"/>
    <w:basedOn w:val="1"/>
    <w:qFormat/>
    <w:uiPriority w:val="0"/>
    <w:rPr>
      <w:rFonts w:ascii="Tahoma" w:hAnsi="Tahoma" w:cs="Tahoma"/>
      <w:sz w:val="24"/>
    </w:rPr>
  </w:style>
  <w:style w:type="paragraph" w:customStyle="1" w:styleId="12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小四 段前: 5 磅 段后: 5 磅 首行缩进:  2 字符"/>
    <w:basedOn w:val="1"/>
    <w:qFormat/>
    <w:uiPriority w:val="0"/>
    <w:pPr>
      <w:spacing w:line="360" w:lineRule="auto"/>
    </w:pPr>
    <w:rPr>
      <w:rFonts w:ascii="宋体" w:hAnsi="宋体"/>
      <w:szCs w:val="21"/>
    </w:rPr>
  </w:style>
  <w:style w:type="paragraph" w:customStyle="1" w:styleId="12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9">
    <w:name w:val="_Style 122"/>
    <w:basedOn w:val="2"/>
    <w:next w:val="1"/>
    <w:qFormat/>
    <w:uiPriority w:val="39"/>
    <w:pPr>
      <w:numPr>
        <w:numId w:val="0"/>
      </w:numPr>
      <w:autoSpaceDE/>
      <w:autoSpaceDN/>
      <w:adjustRightInd/>
      <w:snapToGrid/>
      <w:outlineLvl w:val="9"/>
    </w:pPr>
    <w:rPr>
      <w:rFonts w:ascii="Calibri"/>
      <w:bCs/>
      <w:color w:val="auto"/>
      <w:szCs w:val="44"/>
    </w:rPr>
  </w:style>
  <w:style w:type="paragraph" w:customStyle="1" w:styleId="130">
    <w:name w:val="正文2"/>
    <w:qFormat/>
    <w:uiPriority w:val="99"/>
    <w:pPr>
      <w:widowControl w:val="0"/>
      <w:jc w:val="both"/>
    </w:pPr>
    <w:rPr>
      <w:rFonts w:ascii="Times New Roman" w:hAnsi="Times New Roman" w:eastAsia="Times New Roman" w:cs="Times New Roman"/>
      <w:lang w:val="en-US" w:eastAsia="zh-CN" w:bidi="ar-SA"/>
    </w:rPr>
  </w:style>
  <w:style w:type="paragraph" w:customStyle="1" w:styleId="131">
    <w:name w:val="正文1"/>
    <w:qFormat/>
    <w:uiPriority w:val="0"/>
    <w:pPr>
      <w:widowControl w:val="0"/>
    </w:pPr>
    <w:rPr>
      <w:rFonts w:ascii="Times New Roman" w:hAnsi="Times New Roman" w:eastAsia="Times New Roman" w:cs="Times New Roman"/>
      <w:lang w:val="en-US" w:eastAsia="zh-CN" w:bidi="ar-SA"/>
    </w:rPr>
  </w:style>
  <w:style w:type="paragraph" w:customStyle="1" w:styleId="132">
    <w:name w:val="TOC 标题1"/>
    <w:basedOn w:val="2"/>
    <w:next w:val="1"/>
    <w:qFormat/>
    <w:uiPriority w:val="0"/>
    <w:pPr>
      <w:keepNext w:val="0"/>
      <w:keepLines w:val="0"/>
      <w:numPr>
        <w:numId w:val="0"/>
      </w:numPr>
      <w:adjustRightInd/>
      <w:snapToGrid/>
      <w:spacing w:before="0" w:after="0" w:line="240" w:lineRule="auto"/>
      <w:ind w:left="8"/>
      <w:jc w:val="center"/>
      <w:outlineLvl w:val="9"/>
    </w:pPr>
    <w:rPr>
      <w:rFonts w:ascii="黑体" w:hAnsi="黑体" w:eastAsia="黑体" w:cs="黑体"/>
      <w:b w:val="0"/>
      <w:color w:val="auto"/>
      <w:kern w:val="0"/>
      <w:sz w:val="30"/>
      <w:szCs w:val="30"/>
      <w:lang w:val="zh-CN" w:bidi="zh-CN"/>
    </w:rPr>
  </w:style>
  <w:style w:type="paragraph" w:customStyle="1" w:styleId="133">
    <w:name w:val="正文_0"/>
    <w:qFormat/>
    <w:uiPriority w:val="0"/>
    <w:pPr>
      <w:widowControl w:val="0"/>
    </w:pPr>
    <w:rPr>
      <w:rFonts w:ascii="Times New Roman" w:hAnsi="Times New Roman" w:eastAsia="宋体" w:cs="Times New Roman"/>
      <w:szCs w:val="24"/>
      <w:lang w:val="en-US" w:eastAsia="zh-CN" w:bidi="ar-SA"/>
    </w:rPr>
  </w:style>
  <w:style w:type="paragraph" w:customStyle="1" w:styleId="13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711"/>
    <w:basedOn w:val="12"/>
    <w:qFormat/>
    <w:uiPriority w:val="0"/>
    <w:pPr>
      <w:adjustRightInd w:val="0"/>
      <w:snapToGrid w:val="0"/>
      <w:spacing w:line="360" w:lineRule="auto"/>
    </w:pPr>
    <w:rPr>
      <w:rFonts w:ascii="Tahoma" w:hAnsi="Tahoma"/>
      <w:sz w:val="24"/>
    </w:rPr>
  </w:style>
  <w:style w:type="paragraph" w:customStyle="1" w:styleId="136">
    <w:name w:val="列出段落4"/>
    <w:basedOn w:val="1"/>
    <w:qFormat/>
    <w:uiPriority w:val="0"/>
    <w:pPr>
      <w:ind w:firstLine="420" w:firstLineChars="200"/>
    </w:pPr>
    <w:rPr>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纯文本1"/>
    <w:basedOn w:val="1"/>
    <w:qFormat/>
    <w:uiPriority w:val="0"/>
    <w:pPr>
      <w:adjustRightInd w:val="0"/>
      <w:textAlignment w:val="baseline"/>
    </w:pPr>
    <w:rPr>
      <w:rFonts w:ascii="宋体" w:hAnsi="Courier New" w:eastAsia="楷体_GB2312"/>
      <w:sz w:val="26"/>
      <w:szCs w:val="20"/>
    </w:rPr>
  </w:style>
  <w:style w:type="paragraph" w:customStyle="1" w:styleId="139">
    <w:name w:val="样式 标题 3 + (中文) 黑体 小四 非加粗 段前: 7.8 磅 段后: 0 磅 行距: 固定值 20 磅"/>
    <w:basedOn w:val="4"/>
    <w:qFormat/>
    <w:uiPriority w:val="0"/>
    <w:pPr>
      <w:numPr>
        <w:ilvl w:val="0"/>
        <w:numId w:val="0"/>
      </w:numPr>
      <w:autoSpaceDE/>
      <w:autoSpaceDN/>
      <w:adjustRightInd/>
      <w:snapToGrid/>
      <w:spacing w:before="0" w:after="0" w:line="400" w:lineRule="exact"/>
    </w:pPr>
    <w:rPr>
      <w:rFonts w:ascii="Times New Roman" w:eastAsia="黑体" w:cs="宋体"/>
      <w:b w:val="0"/>
      <w:color w:val="auto"/>
      <w:sz w:val="24"/>
    </w:rPr>
  </w:style>
  <w:style w:type="paragraph" w:customStyle="1" w:styleId="140">
    <w:name w:val="列出段落3"/>
    <w:basedOn w:val="1"/>
    <w:qFormat/>
    <w:uiPriority w:val="99"/>
    <w:pPr>
      <w:widowControl/>
      <w:ind w:left="720"/>
      <w:contextualSpacing/>
      <w:jc w:val="left"/>
    </w:pPr>
    <w:rPr>
      <w:rFonts w:ascii="Arial" w:hAnsi="Arial" w:eastAsia="黑体"/>
      <w:kern w:val="0"/>
      <w:sz w:val="24"/>
      <w:lang w:eastAsia="en-US"/>
    </w:rPr>
  </w:style>
  <w:style w:type="paragraph" w:customStyle="1" w:styleId="141">
    <w:name w:val="列出段落11"/>
    <w:basedOn w:val="1"/>
    <w:qFormat/>
    <w:uiPriority w:val="34"/>
    <w:pPr>
      <w:ind w:firstLine="420" w:firstLineChars="200"/>
    </w:pPr>
    <w:rPr>
      <w:rFonts w:ascii="Calibri" w:hAnsi="Calibri"/>
      <w:szCs w:val="22"/>
    </w:rPr>
  </w:style>
  <w:style w:type="paragraph" w:customStyle="1" w:styleId="142">
    <w:name w:val="正文_0_0"/>
    <w:qFormat/>
    <w:uiPriority w:val="0"/>
    <w:pPr>
      <w:widowControl w:val="0"/>
    </w:pPr>
    <w:rPr>
      <w:rFonts w:ascii="Times New Roman" w:hAnsi="Times New Roman" w:eastAsia="宋体" w:cs="Times New Roman"/>
      <w:szCs w:val="24"/>
      <w:lang w:val="en-US" w:eastAsia="zh-CN" w:bidi="ar-SA"/>
    </w:rPr>
  </w:style>
  <w:style w:type="paragraph" w:customStyle="1" w:styleId="143">
    <w:name w:val="默认段落字体 Para Char Char Char Char Char Char Char"/>
    <w:basedOn w:val="1"/>
    <w:qFormat/>
    <w:uiPriority w:val="0"/>
    <w:rPr>
      <w:rFonts w:ascii="Tahoma" w:hAnsi="Tahoma"/>
      <w:sz w:val="24"/>
      <w:szCs w:val="20"/>
    </w:rPr>
  </w:style>
  <w:style w:type="paragraph" w:customStyle="1" w:styleId="144">
    <w:name w:val="Table Paragraph"/>
    <w:basedOn w:val="1"/>
    <w:qFormat/>
    <w:uiPriority w:val="1"/>
    <w:pPr>
      <w:jc w:val="left"/>
    </w:pPr>
    <w:rPr>
      <w:rFonts w:ascii="Calibri" w:hAnsi="Calibri"/>
      <w:kern w:val="0"/>
      <w:sz w:val="22"/>
      <w:szCs w:val="22"/>
      <w:lang w:eastAsia="en-US"/>
    </w:rPr>
  </w:style>
  <w:style w:type="paragraph" w:customStyle="1" w:styleId="145">
    <w:name w:val="Heading 3_0_0_0"/>
    <w:basedOn w:val="120"/>
    <w:next w:val="120"/>
    <w:qFormat/>
    <w:uiPriority w:val="0"/>
    <w:pPr>
      <w:keepNext/>
      <w:keepLines/>
      <w:adjustRightInd w:val="0"/>
      <w:snapToGrid w:val="0"/>
      <w:spacing w:line="400" w:lineRule="exact"/>
      <w:outlineLvl w:val="2"/>
    </w:pPr>
    <w:rPr>
      <w:rFonts w:ascii="黑体" w:hAnsi="黑体" w:eastAsia="黑体"/>
      <w:bCs/>
      <w:color w:val="FF0000"/>
      <w:kern w:val="2"/>
      <w:szCs w:val="21"/>
    </w:rPr>
  </w:style>
  <w:style w:type="paragraph" w:customStyle="1" w:styleId="146">
    <w:name w:val="_Style 140"/>
    <w:qFormat/>
    <w:uiPriority w:val="0"/>
    <w:rPr>
      <w:rFonts w:ascii="Times New Roman" w:hAnsi="Times New Roman" w:eastAsia="宋体" w:cs="Times New Roman"/>
      <w:kern w:val="2"/>
      <w:sz w:val="21"/>
      <w:szCs w:val="24"/>
      <w:lang w:val="en-US" w:eastAsia="zh-CN" w:bidi="ar-SA"/>
    </w:rPr>
  </w:style>
  <w:style w:type="paragraph" w:customStyle="1" w:styleId="147">
    <w:name w:val="正文缩进4"/>
    <w:next w:val="1"/>
    <w:qFormat/>
    <w:uiPriority w:val="99"/>
    <w:pPr>
      <w:wordWrap w:val="0"/>
      <w:ind w:left="3400"/>
      <w:jc w:val="both"/>
    </w:pPr>
    <w:rPr>
      <w:rFonts w:ascii="Times New Roman" w:hAnsi="Times New Roman" w:eastAsia="宋体" w:cs="Times New Roman"/>
      <w:sz w:val="21"/>
      <w:lang w:val="en-US" w:eastAsia="zh-CN" w:bidi="ar-SA"/>
    </w:rPr>
  </w:style>
  <w:style w:type="paragraph" w:customStyle="1" w:styleId="148">
    <w:name w:val="contentartic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149">
    <w:name w:val="列出段落5"/>
    <w:basedOn w:val="1"/>
    <w:qFormat/>
    <w:uiPriority w:val="34"/>
    <w:pPr>
      <w:autoSpaceDE w:val="0"/>
      <w:autoSpaceDN w:val="0"/>
      <w:ind w:left="323" w:firstLine="420"/>
      <w:jc w:val="left"/>
    </w:pPr>
    <w:rPr>
      <w:rFonts w:ascii="宋体" w:hAnsi="宋体" w:cs="宋体"/>
      <w:kern w:val="0"/>
      <w:sz w:val="22"/>
      <w:szCs w:val="22"/>
      <w:lang w:val="zh-CN" w:bidi="zh-CN"/>
    </w:rPr>
  </w:style>
  <w:style w:type="paragraph" w:customStyle="1" w:styleId="150">
    <w:name w:val="_Style 2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Char71"/>
    <w:basedOn w:val="12"/>
    <w:qFormat/>
    <w:uiPriority w:val="0"/>
    <w:pPr>
      <w:adjustRightInd w:val="0"/>
      <w:snapToGrid w:val="0"/>
      <w:spacing w:line="360" w:lineRule="auto"/>
    </w:pPr>
    <w:rPr>
      <w:rFonts w:ascii="Tahoma" w:hAnsi="Tahoma"/>
      <w:sz w:val="24"/>
    </w:rPr>
  </w:style>
  <w:style w:type="table" w:customStyle="1" w:styleId="152">
    <w:name w:val="Table Normal"/>
    <w:unhideWhenUsed/>
    <w:qFormat/>
    <w:uiPriority w:val="2"/>
    <w:tblPr>
      <w:tblCellMar>
        <w:top w:w="0" w:type="dxa"/>
        <w:left w:w="0" w:type="dxa"/>
        <w:bottom w:w="0" w:type="dxa"/>
        <w:right w:w="0" w:type="dxa"/>
      </w:tblCellMar>
    </w:tblPr>
  </w:style>
  <w:style w:type="character" w:customStyle="1" w:styleId="153">
    <w:name w:val="15"/>
    <w:basedOn w:val="39"/>
    <w:qFormat/>
    <w:uiPriority w:val="0"/>
    <w:rPr>
      <w:rFonts w:hint="default" w:ascii="Calibri" w:hAnsi="Calibri"/>
    </w:rPr>
  </w:style>
  <w:style w:type="paragraph" w:customStyle="1" w:styleId="154">
    <w:name w:val="正文首缩两字"/>
    <w:basedOn w:val="1"/>
    <w:qFormat/>
    <w:uiPriority w:val="0"/>
    <w:pPr>
      <w:spacing w:afterLines="30" w:line="360" w:lineRule="auto"/>
      <w:ind w:left="210" w:right="210" w:firstLine="480" w:firstLineChars="200"/>
      <w:jc w:val="left"/>
    </w:pPr>
    <w:rPr>
      <w:rFonts w:ascii="宋体" w:hAnsi="宋体" w:eastAsia="仿宋_GB2312"/>
      <w:kern w:val="0"/>
      <w:sz w:val="24"/>
    </w:rPr>
  </w:style>
  <w:style w:type="paragraph" w:customStyle="1" w:styleId="155">
    <w:name w:val="列出段落51"/>
    <w:basedOn w:val="1"/>
    <w:qFormat/>
    <w:uiPriority w:val="0"/>
    <w:pPr>
      <w:ind w:firstLine="420" w:firstLineChars="200"/>
    </w:pPr>
    <w:rPr>
      <w:rFonts w:ascii="Calibri" w:hAnsi="Calibri"/>
      <w:szCs w:val="22"/>
    </w:rPr>
  </w:style>
  <w:style w:type="character" w:customStyle="1" w:styleId="156">
    <w:name w:val="font121"/>
    <w:qFormat/>
    <w:uiPriority w:val="0"/>
    <w:rPr>
      <w:rFonts w:hint="eastAsia" w:ascii="宋体" w:hAnsi="宋体" w:eastAsia="宋体" w:cs="宋体"/>
      <w:color w:val="FF0000"/>
      <w:sz w:val="24"/>
      <w:szCs w:val="24"/>
      <w:u w:val="none"/>
    </w:rPr>
  </w:style>
  <w:style w:type="character" w:customStyle="1" w:styleId="157">
    <w:name w:val="font101"/>
    <w:qFormat/>
    <w:uiPriority w:val="0"/>
    <w:rPr>
      <w:rFonts w:hint="eastAsia" w:ascii="宋体" w:hAnsi="宋体" w:eastAsia="宋体" w:cs="宋体"/>
      <w:color w:val="000000"/>
      <w:sz w:val="22"/>
      <w:szCs w:val="22"/>
      <w:u w:val="none"/>
    </w:rPr>
  </w:style>
  <w:style w:type="character" w:customStyle="1" w:styleId="158">
    <w:name w:val="font131"/>
    <w:qFormat/>
    <w:uiPriority w:val="0"/>
    <w:rPr>
      <w:rFonts w:hint="eastAsia" w:ascii="宋体" w:hAnsi="宋体" w:eastAsia="宋体" w:cs="宋体"/>
      <w:color w:val="000000"/>
      <w:sz w:val="22"/>
      <w:szCs w:val="22"/>
      <w:u w:val="none"/>
    </w:rPr>
  </w:style>
  <w:style w:type="paragraph" w:customStyle="1" w:styleId="159">
    <w:name w:val="Index4"/>
    <w:basedOn w:val="1"/>
    <w:next w:val="1"/>
    <w:semiHidden/>
    <w:qFormat/>
    <w:uiPriority w:val="0"/>
    <w:pPr>
      <w:widowControl/>
      <w:ind w:left="1260"/>
      <w:textAlignment w:val="baseline"/>
    </w:pPr>
    <w:rPr>
      <w:rFonts w:ascii="Calibri" w:hAnsi="Calibri" w:eastAsia="Calibri"/>
      <w:kern w:val="0"/>
      <w:sz w:val="20"/>
      <w:szCs w:val="20"/>
      <w:lang w:val="zh-CN"/>
    </w:rPr>
  </w:style>
  <w:style w:type="paragraph" w:customStyle="1" w:styleId="1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6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63">
    <w:name w:val="xl6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22"/>
      <w:szCs w:val="22"/>
    </w:rPr>
  </w:style>
  <w:style w:type="paragraph" w:customStyle="1" w:styleId="164">
    <w:name w:val="xl6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6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6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67">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7"/>
      <w:szCs w:val="17"/>
    </w:rPr>
  </w:style>
  <w:style w:type="paragraph" w:customStyle="1" w:styleId="168">
    <w:name w:val="xl7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7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7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table" w:customStyle="1" w:styleId="173">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character" w:customStyle="1" w:styleId="174">
    <w:name w:val="无间隔 Char"/>
    <w:link w:val="122"/>
    <w:qFormat/>
    <w:uiPriority w:val="0"/>
    <w:rPr>
      <w:kern w:val="2"/>
      <w:sz w:val="21"/>
      <w:szCs w:val="22"/>
    </w:rPr>
  </w:style>
  <w:style w:type="paragraph" w:customStyle="1" w:styleId="175">
    <w:name w:val="Body text|1"/>
    <w:qFormat/>
    <w:uiPriority w:val="0"/>
    <w:pPr>
      <w:widowControl w:val="0"/>
      <w:spacing w:line="391" w:lineRule="auto"/>
      <w:ind w:firstLine="400"/>
      <w:jc w:val="both"/>
    </w:pPr>
    <w:rPr>
      <w:rFonts w:ascii="宋体" w:hAnsi="宋体" w:eastAsia="宋体" w:cs="宋体"/>
      <w:sz w:val="30"/>
      <w:szCs w:val="30"/>
      <w:lang w:val="zh-TW" w:eastAsia="zh-TW" w:bidi="zh-TW"/>
    </w:rPr>
  </w:style>
  <w:style w:type="paragraph" w:customStyle="1" w:styleId="176">
    <w:name w:val="普通(网站)1"/>
    <w:basedOn w:val="1"/>
    <w:qFormat/>
    <w:uiPriority w:val="0"/>
    <w:pPr>
      <w:widowControl/>
      <w:spacing w:before="100" w:beforeAutospacing="1" w:after="100" w:afterAutospacing="1"/>
      <w:jc w:val="left"/>
    </w:pPr>
    <w:rPr>
      <w:rFonts w:ascii="宋体" w:hAnsi="宋体" w:eastAsia="Arial"/>
      <w:kern w:val="0"/>
      <w:sz w:val="24"/>
      <w:szCs w:val="20"/>
    </w:rPr>
  </w:style>
  <w:style w:type="character" w:customStyle="1" w:styleId="177">
    <w:name w:val="geb-input-inline"/>
    <w:basedOn w:val="39"/>
    <w:qFormat/>
    <w:uiPriority w:val="0"/>
  </w:style>
  <w:style w:type="character" w:customStyle="1" w:styleId="178">
    <w:name w:val="UserStyle_1"/>
    <w:link w:val="179"/>
    <w:qFormat/>
    <w:uiPriority w:val="0"/>
    <w:rPr>
      <w:rFonts w:asciiTheme="minorHAnsi" w:hAnsiTheme="minorHAnsi" w:eastAsiaTheme="minorEastAsia" w:cstheme="minorBidi"/>
      <w:kern w:val="2"/>
      <w:sz w:val="21"/>
      <w:szCs w:val="22"/>
    </w:rPr>
  </w:style>
  <w:style w:type="paragraph" w:customStyle="1" w:styleId="179">
    <w:name w:val="AnnotationText"/>
    <w:basedOn w:val="1"/>
    <w:link w:val="178"/>
    <w:qFormat/>
    <w:uiPriority w:val="0"/>
    <w:pPr>
      <w:widowControl/>
      <w:jc w:val="left"/>
      <w:textAlignment w:val="baseline"/>
    </w:pPr>
    <w:rPr>
      <w:rFonts w:asciiTheme="minorHAnsi" w:hAnsiTheme="minorHAnsi" w:eastAsiaTheme="minorEastAsia" w:cstheme="minorBidi"/>
      <w:szCs w:val="22"/>
    </w:rPr>
  </w:style>
  <w:style w:type="paragraph" w:customStyle="1" w:styleId="180">
    <w:name w:val="_Style 305"/>
    <w:basedOn w:val="1"/>
    <w:next w:val="1"/>
    <w:qFormat/>
    <w:uiPriority w:val="99"/>
    <w:pPr>
      <w:autoSpaceDE w:val="0"/>
      <w:autoSpaceDN w:val="0"/>
      <w:ind w:left="323" w:firstLine="420"/>
      <w:jc w:val="left"/>
    </w:pPr>
    <w:rPr>
      <w:rFonts w:ascii="宋体" w:hAnsi="宋体" w:cs="宋体"/>
      <w:sz w:val="22"/>
      <w:szCs w:val="22"/>
      <w:lang w:val="zh-CN" w:bidi="zh-CN"/>
    </w:rPr>
  </w:style>
  <w:style w:type="paragraph" w:customStyle="1" w:styleId="181">
    <w:name w:val="表格"/>
    <w:basedOn w:val="36"/>
    <w:next w:val="1"/>
    <w:autoRedefine/>
    <w:qFormat/>
    <w:uiPriority w:val="0"/>
    <w:pPr>
      <w:ind w:left="0" w:firstLine="0"/>
      <w:jc w:val="center"/>
    </w:pPr>
    <w:rPr>
      <w:rFonts w:ascii="Times New Roman" w:hAnsi="Times New Roman"/>
      <w:sz w:val="24"/>
      <w:szCs w:val="24"/>
    </w:rPr>
  </w:style>
  <w:style w:type="paragraph" w:customStyle="1" w:styleId="182">
    <w:name w:val="正文首行缩进 21"/>
    <w:basedOn w:val="183"/>
    <w:autoRedefine/>
    <w:qFormat/>
    <w:uiPriority w:val="0"/>
    <w:pPr>
      <w:ind w:firstLine="420"/>
    </w:pPr>
  </w:style>
  <w:style w:type="paragraph" w:customStyle="1" w:styleId="183">
    <w:name w:val="正文文本缩进1"/>
    <w:basedOn w:val="1"/>
    <w:next w:val="184"/>
    <w:autoRedefine/>
    <w:qFormat/>
    <w:uiPriority w:val="99"/>
    <w:pPr>
      <w:spacing w:after="120"/>
      <w:ind w:left="420"/>
    </w:pPr>
  </w:style>
  <w:style w:type="paragraph" w:customStyle="1" w:styleId="184">
    <w:name w:val="寄信人地址1"/>
    <w:basedOn w:val="1"/>
    <w:autoRedefine/>
    <w:qFormat/>
    <w:uiPriority w:val="0"/>
    <w:rPr>
      <w:rFonts w:ascii="Arial" w:hAnsi="Arial"/>
    </w:rPr>
  </w:style>
  <w:style w:type="character" w:customStyle="1" w:styleId="185">
    <w:name w:val="font51"/>
    <w:basedOn w:val="39"/>
    <w:qFormat/>
    <w:uiPriority w:val="0"/>
    <w:rPr>
      <w:rFonts w:hint="eastAsia" w:ascii="方正仿宋_GBK" w:hAnsi="方正仿宋_GBK" w:eastAsia="方正仿宋_GBK" w:cs="方正仿宋_GBK"/>
      <w:color w:val="000000"/>
      <w:sz w:val="24"/>
      <w:szCs w:val="24"/>
      <w:u w:val="none"/>
    </w:rPr>
  </w:style>
  <w:style w:type="character" w:customStyle="1" w:styleId="186">
    <w:name w:val="font41"/>
    <w:basedOn w:val="3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16688</Words>
  <Characters>17787</Characters>
  <Lines>189</Lines>
  <Paragraphs>53</Paragraphs>
  <TotalTime>16</TotalTime>
  <ScaleCrop>false</ScaleCrop>
  <LinksUpToDate>false</LinksUpToDate>
  <CharactersWithSpaces>17918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2024-06-06T16:51:00Z</dcterms:created>
  <dc:creator>徐宁海</dc:creator>
  <cp:lastModifiedBy>微信用户</cp:lastModifiedBy>
  <cp:lastPrinted>2025-07-17T07:03:00Z</cp:lastPrinted>
  <dcterms:modified xsi:type="dcterms:W3CDTF">2026-04-16T09:26:38Z</dcterms:modified>
  <dc:title>谈 判 文 件</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7696AF815E574B8FBABB1BE40EA91E4B_13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1660621218</vt:lpwstr>
  </property>
  <property fmtid="{D5CDD505-2E9C-101B-9397-08002B2CF9AE}" pid="8" name="_2015_ms_pID_725343">
    <vt:lpwstr>(2)2yI/CsqhJNraz9yqqvficuuJfrG84EwvrCBP10pQGpUysXnocBhsifImHTtwQCZ/Ef44b8du
zc9k1YXPJ7mhqlCWFx7B0RAoikTykgcp59VYyrbgpMrbBsCYJlBsTaP0G0WLJInF0oL8dRjn
flc4MWE5BsQ0TY2blEM+Lg1MO1aigt9WLNtv28C3BCcCax/zbfsm5vzU/TDqn6wbQI7n5ft9
LpWiKlXTZ3+rwzJ7f0</vt:lpwstr>
  </property>
  <property fmtid="{D5CDD505-2E9C-101B-9397-08002B2CF9AE}" pid="9" name="_2015_ms_pID_7253431">
    <vt:lpwstr>XFqWLQHJ67Wed0p5dIGnB9f0fekuIh3L95FcQAjQRUXDl3A9brH2Wb
liUk7bLuEEdvPi9MZpWOCzQVSJF8BrgxtsR7cjCj4QIFxeVylQDfKsB6Ay5vd23dayGuAkxH
eb55ojaGB+W6xh0h+oR+kryxNU2SFMu7Ivsyz4XEh6JyBctq25ld/neslfZH6ghwwgM=</vt:lpwstr>
  </property>
  <property fmtid="{D5CDD505-2E9C-101B-9397-08002B2CF9AE}" pid="10" name="KSOTemplateDocerSaveRecord">
    <vt:lpwstr>eyJoZGlkIjoiMjY2NGYzYzM3MTBlZjZlZTk3YzE0MzYwMWMxMGRjYWIiLCJ1c2VySWQiOiIxMzQ3MjkyMTE5In0=</vt:lpwstr>
  </property>
</Properties>
</file>