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5539" w14:textId="77777777" w:rsidR="00DB0C93" w:rsidRDefault="00000000">
      <w:pPr>
        <w:snapToGrid w:val="0"/>
        <w:spacing w:line="300" w:lineRule="auto"/>
        <w:jc w:val="center"/>
        <w:rPr>
          <w:rFonts w:ascii="华文中宋" w:eastAsia="华文中宋" w:hAnsi="华文中宋" w:cs="Times New Roman" w:hint="eastAsia"/>
          <w:b/>
          <w:sz w:val="32"/>
          <w:szCs w:val="32"/>
        </w:rPr>
      </w:pPr>
      <w:r>
        <w:rPr>
          <w:rFonts w:ascii="华文中宋" w:eastAsia="华文中宋" w:hAnsi="华文中宋" w:cs="Times New Roman" w:hint="eastAsia"/>
          <w:b/>
          <w:sz w:val="32"/>
          <w:szCs w:val="32"/>
        </w:rPr>
        <w:t>工程量清单编制说明</w:t>
      </w:r>
    </w:p>
    <w:tbl>
      <w:tblPr>
        <w:tblpPr w:leftFromText="180" w:rightFromText="180" w:vertAnchor="text" w:horzAnchor="margin" w:tblpXSpec="center" w:tblpY="346"/>
        <w:tblOverlap w:val="never"/>
        <w:tblW w:w="8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18"/>
      </w:tblGrid>
      <w:tr w:rsidR="00DB0C93" w14:paraId="2C877A5A" w14:textId="77777777" w:rsidTr="000C64AF">
        <w:trPr>
          <w:trHeight w:val="12474"/>
        </w:trPr>
        <w:tc>
          <w:tcPr>
            <w:tcW w:w="8818" w:type="dxa"/>
            <w:tcBorders>
              <w:top w:val="single" w:sz="4" w:space="0" w:color="auto"/>
              <w:left w:val="single" w:sz="4" w:space="0" w:color="auto"/>
              <w:bottom w:val="single" w:sz="4" w:space="0" w:color="auto"/>
              <w:right w:val="single" w:sz="4" w:space="0" w:color="auto"/>
            </w:tcBorders>
          </w:tcPr>
          <w:p w14:paraId="15222F4C"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一、工程概况</w:t>
            </w:r>
          </w:p>
          <w:p w14:paraId="5B7D23F1" w14:textId="328FE675" w:rsidR="00DB0C93" w:rsidRDefault="00000000">
            <w:pPr>
              <w:numPr>
                <w:ilvl w:val="0"/>
                <w:numId w:val="1"/>
              </w:numPr>
              <w:adjustRightInd w:val="0"/>
              <w:snapToGrid w:val="0"/>
              <w:spacing w:line="360" w:lineRule="auto"/>
              <w:ind w:left="0" w:firstLineChars="200" w:firstLine="480"/>
              <w:jc w:val="left"/>
              <w:rPr>
                <w:rFonts w:cs="Times New Roman" w:hint="eastAsia"/>
                <w:sz w:val="24"/>
                <w:szCs w:val="24"/>
              </w:rPr>
            </w:pPr>
            <w:r>
              <w:rPr>
                <w:rFonts w:cs="Times New Roman" w:hint="eastAsia"/>
                <w:sz w:val="24"/>
                <w:szCs w:val="24"/>
              </w:rPr>
              <w:t>工程</w:t>
            </w:r>
            <w:r>
              <w:rPr>
                <w:rFonts w:ascii="Calibri" w:hAnsi="Calibri" w:cs="Times New Roman" w:hint="eastAsia"/>
                <w:sz w:val="24"/>
                <w:szCs w:val="24"/>
              </w:rPr>
              <w:t>名称</w:t>
            </w:r>
            <w:r>
              <w:rPr>
                <w:rFonts w:hint="eastAsia"/>
                <w:sz w:val="24"/>
              </w:rPr>
              <w:t>：</w:t>
            </w:r>
            <w:proofErr w:type="gramStart"/>
            <w:r w:rsidR="004120C2" w:rsidRPr="004120C2">
              <w:rPr>
                <w:rFonts w:cs="Times New Roman" w:hint="eastAsia"/>
                <w:sz w:val="24"/>
                <w:szCs w:val="24"/>
              </w:rPr>
              <w:t>桥荫路</w:t>
            </w:r>
            <w:proofErr w:type="gramEnd"/>
            <w:r w:rsidR="004120C2" w:rsidRPr="004120C2">
              <w:rPr>
                <w:rFonts w:cs="Times New Roman" w:hint="eastAsia"/>
                <w:sz w:val="24"/>
                <w:szCs w:val="24"/>
              </w:rPr>
              <w:t>市政综合体水电改造工程</w:t>
            </w:r>
          </w:p>
          <w:p w14:paraId="6AD8AA44" w14:textId="77777777" w:rsidR="00DB0C93" w:rsidRDefault="00000000">
            <w:pPr>
              <w:numPr>
                <w:ilvl w:val="0"/>
                <w:numId w:val="1"/>
              </w:numPr>
              <w:adjustRightInd w:val="0"/>
              <w:snapToGrid w:val="0"/>
              <w:spacing w:line="360" w:lineRule="auto"/>
              <w:ind w:left="0" w:firstLineChars="200" w:firstLine="480"/>
              <w:jc w:val="left"/>
              <w:rPr>
                <w:rFonts w:cs="Times New Roman" w:hint="eastAsia"/>
                <w:sz w:val="24"/>
                <w:szCs w:val="24"/>
              </w:rPr>
            </w:pPr>
            <w:r>
              <w:rPr>
                <w:rFonts w:cs="Times New Roman" w:hint="eastAsia"/>
                <w:sz w:val="24"/>
                <w:szCs w:val="24"/>
              </w:rPr>
              <w:t>建设地点</w:t>
            </w:r>
            <w:r>
              <w:rPr>
                <w:rFonts w:hint="eastAsia"/>
                <w:sz w:val="24"/>
              </w:rPr>
              <w:t>：</w:t>
            </w:r>
            <w:r>
              <w:rPr>
                <w:rFonts w:cs="Times New Roman" w:hint="eastAsia"/>
                <w:sz w:val="24"/>
                <w:szCs w:val="24"/>
              </w:rPr>
              <w:t>南京市江北新区</w:t>
            </w:r>
          </w:p>
          <w:p w14:paraId="1508EB1E" w14:textId="77777777" w:rsidR="00DB0C93" w:rsidRDefault="00000000">
            <w:pPr>
              <w:numPr>
                <w:ilvl w:val="0"/>
                <w:numId w:val="1"/>
              </w:numPr>
              <w:adjustRightInd w:val="0"/>
              <w:snapToGrid w:val="0"/>
              <w:spacing w:line="360" w:lineRule="auto"/>
              <w:ind w:left="0" w:firstLineChars="200" w:firstLine="480"/>
              <w:jc w:val="left"/>
              <w:rPr>
                <w:rFonts w:cs="Times New Roman" w:hint="eastAsia"/>
                <w:sz w:val="24"/>
                <w:szCs w:val="24"/>
              </w:rPr>
            </w:pPr>
            <w:r>
              <w:rPr>
                <w:rFonts w:cs="Times New Roman" w:hint="eastAsia"/>
                <w:sz w:val="24"/>
                <w:szCs w:val="24"/>
              </w:rPr>
              <w:t>建设单位</w:t>
            </w:r>
            <w:r>
              <w:rPr>
                <w:rFonts w:hint="eastAsia"/>
                <w:sz w:val="24"/>
              </w:rPr>
              <w:t>：</w:t>
            </w:r>
            <w:r>
              <w:rPr>
                <w:rFonts w:cs="Times New Roman" w:hint="eastAsia"/>
                <w:sz w:val="24"/>
                <w:szCs w:val="24"/>
              </w:rPr>
              <w:t>南京市江北新区公共工程建设中心</w:t>
            </w:r>
          </w:p>
          <w:p w14:paraId="12308D7B" w14:textId="77777777" w:rsidR="00DB0C93" w:rsidRDefault="00000000">
            <w:pPr>
              <w:numPr>
                <w:ilvl w:val="0"/>
                <w:numId w:val="1"/>
              </w:numPr>
              <w:adjustRightInd w:val="0"/>
              <w:snapToGrid w:val="0"/>
              <w:spacing w:line="360" w:lineRule="auto"/>
              <w:ind w:left="0" w:firstLineChars="200" w:firstLine="480"/>
              <w:rPr>
                <w:rFonts w:cs="Times New Roman" w:hint="eastAsia"/>
                <w:sz w:val="24"/>
                <w:szCs w:val="24"/>
              </w:rPr>
            </w:pPr>
            <w:r>
              <w:rPr>
                <w:rFonts w:cs="Times New Roman" w:hint="eastAsia"/>
                <w:sz w:val="24"/>
                <w:szCs w:val="24"/>
              </w:rPr>
              <w:t>工程规模</w:t>
            </w:r>
            <w:r>
              <w:rPr>
                <w:rFonts w:hint="eastAsia"/>
                <w:sz w:val="24"/>
              </w:rPr>
              <w:t>：</w:t>
            </w:r>
            <w:proofErr w:type="gramStart"/>
            <w:r>
              <w:rPr>
                <w:rFonts w:hint="eastAsia"/>
                <w:sz w:val="24"/>
              </w:rPr>
              <w:t>桥荫路</w:t>
            </w:r>
            <w:proofErr w:type="gramEnd"/>
            <w:r>
              <w:rPr>
                <w:rFonts w:hint="eastAsia"/>
                <w:sz w:val="24"/>
              </w:rPr>
              <w:t>市政综合体项目新建改造5只水表；垃圾站</w:t>
            </w:r>
            <w:r>
              <w:rPr>
                <w:rFonts w:cs="Times New Roman" w:hint="eastAsia"/>
                <w:sz w:val="24"/>
                <w:szCs w:val="24"/>
              </w:rPr>
              <w:t>新建1座</w:t>
            </w:r>
            <w:r>
              <w:rPr>
                <w:rFonts w:cs="Times New Roman"/>
                <w:sz w:val="24"/>
                <w:szCs w:val="24"/>
              </w:rPr>
              <w:t>630 kVA</w:t>
            </w:r>
            <w:r>
              <w:rPr>
                <w:rFonts w:cs="Times New Roman" w:hint="eastAsia"/>
                <w:sz w:val="24"/>
                <w:szCs w:val="24"/>
              </w:rPr>
              <w:t xml:space="preserve"> 的变配电、10KV受</w:t>
            </w:r>
            <w:proofErr w:type="gramStart"/>
            <w:r>
              <w:rPr>
                <w:rFonts w:cs="Times New Roman" w:hint="eastAsia"/>
                <w:sz w:val="24"/>
                <w:szCs w:val="24"/>
              </w:rPr>
              <w:t>电</w:t>
            </w:r>
            <w:proofErr w:type="gramEnd"/>
            <w:r>
              <w:rPr>
                <w:rFonts w:cs="Times New Roman" w:hint="eastAsia"/>
                <w:sz w:val="24"/>
                <w:szCs w:val="24"/>
              </w:rPr>
              <w:t>电缆62m和1KV出线电缆500m；消防站新建1座500</w:t>
            </w:r>
            <w:r>
              <w:rPr>
                <w:rFonts w:cs="Times New Roman"/>
                <w:sz w:val="24"/>
                <w:szCs w:val="24"/>
              </w:rPr>
              <w:t xml:space="preserve"> kVA</w:t>
            </w:r>
            <w:r>
              <w:rPr>
                <w:rFonts w:cs="Times New Roman" w:hint="eastAsia"/>
                <w:sz w:val="24"/>
                <w:szCs w:val="24"/>
              </w:rPr>
              <w:t>的箱式变、10KV受</w:t>
            </w:r>
            <w:proofErr w:type="gramStart"/>
            <w:r>
              <w:rPr>
                <w:rFonts w:cs="Times New Roman" w:hint="eastAsia"/>
                <w:sz w:val="24"/>
                <w:szCs w:val="24"/>
              </w:rPr>
              <w:t>电</w:t>
            </w:r>
            <w:proofErr w:type="gramEnd"/>
            <w:r>
              <w:rPr>
                <w:rFonts w:cs="Times New Roman" w:hint="eastAsia"/>
                <w:sz w:val="24"/>
                <w:szCs w:val="24"/>
              </w:rPr>
              <w:t>电缆20m和1KV出线电缆580m。</w:t>
            </w:r>
            <w:r>
              <w:rPr>
                <w:rFonts w:cs="Times New Roman"/>
                <w:sz w:val="24"/>
                <w:szCs w:val="24"/>
              </w:rPr>
              <w:t xml:space="preserve"> </w:t>
            </w:r>
          </w:p>
          <w:p w14:paraId="6BB06845"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二、编制范围</w:t>
            </w:r>
          </w:p>
          <w:p w14:paraId="47DA032E" w14:textId="061069D0" w:rsidR="00DB0C93" w:rsidRDefault="00000000">
            <w:pPr>
              <w:numPr>
                <w:ilvl w:val="0"/>
                <w:numId w:val="2"/>
              </w:numPr>
              <w:adjustRightInd w:val="0"/>
              <w:snapToGrid w:val="0"/>
              <w:spacing w:line="360" w:lineRule="auto"/>
              <w:ind w:left="0" w:firstLineChars="200" w:firstLine="480"/>
              <w:jc w:val="left"/>
              <w:rPr>
                <w:rFonts w:cs="Times New Roman" w:hint="eastAsia"/>
                <w:sz w:val="24"/>
                <w:szCs w:val="24"/>
              </w:rPr>
            </w:pPr>
            <w:bookmarkStart w:id="0" w:name="_Hlk89780820"/>
            <w:r>
              <w:rPr>
                <w:rFonts w:cs="Times New Roman" w:hint="eastAsia"/>
                <w:sz w:val="24"/>
                <w:szCs w:val="24"/>
              </w:rPr>
              <w:t>给水分区计量改造：新建5只水表、配套的</w:t>
            </w:r>
            <w:r w:rsidR="004120C2">
              <w:rPr>
                <w:rFonts w:cs="Times New Roman" w:hint="eastAsia"/>
                <w:sz w:val="24"/>
                <w:szCs w:val="24"/>
              </w:rPr>
              <w:t>管道、</w:t>
            </w:r>
            <w:r>
              <w:rPr>
                <w:rFonts w:cs="Times New Roman" w:hint="eastAsia"/>
                <w:sz w:val="24"/>
                <w:szCs w:val="24"/>
              </w:rPr>
              <w:t>水表井和闸阀等。</w:t>
            </w:r>
          </w:p>
          <w:p w14:paraId="62B62735" w14:textId="77777777" w:rsidR="00DB0C93" w:rsidRDefault="00000000">
            <w:pPr>
              <w:numPr>
                <w:ilvl w:val="0"/>
                <w:numId w:val="2"/>
              </w:numPr>
              <w:adjustRightInd w:val="0"/>
              <w:snapToGrid w:val="0"/>
              <w:spacing w:line="360" w:lineRule="auto"/>
              <w:ind w:left="0" w:firstLineChars="200" w:firstLine="480"/>
              <w:jc w:val="left"/>
              <w:rPr>
                <w:rFonts w:cs="Times New Roman" w:hint="eastAsia"/>
                <w:sz w:val="24"/>
                <w:szCs w:val="24"/>
              </w:rPr>
            </w:pPr>
            <w:r>
              <w:rPr>
                <w:rFonts w:cs="Times New Roman" w:hint="eastAsia"/>
                <w:sz w:val="24"/>
                <w:szCs w:val="24"/>
              </w:rPr>
              <w:t>垃圾站电力改造和消防站电力改造</w:t>
            </w:r>
          </w:p>
          <w:p w14:paraId="699D0EEF" w14:textId="77777777" w:rsidR="00DB0C93" w:rsidRDefault="00000000">
            <w:pPr>
              <w:adjustRightInd w:val="0"/>
              <w:snapToGrid w:val="0"/>
              <w:spacing w:line="360" w:lineRule="auto"/>
              <w:ind w:left="480"/>
              <w:jc w:val="left"/>
              <w:rPr>
                <w:rFonts w:cs="Times New Roman" w:hint="eastAsia"/>
                <w:sz w:val="24"/>
                <w:szCs w:val="24"/>
              </w:rPr>
            </w:pPr>
            <w:r>
              <w:rPr>
                <w:rFonts w:cs="Times New Roman" w:hint="eastAsia"/>
                <w:sz w:val="24"/>
                <w:szCs w:val="24"/>
              </w:rPr>
              <w:t>（1）安装工程：受电、高低压配电柜、低压出线、照明、通风、接地、电力监控系统和电气调试等。</w:t>
            </w:r>
          </w:p>
          <w:p w14:paraId="4952C802" w14:textId="77777777" w:rsidR="00DB0C93" w:rsidRDefault="00000000">
            <w:pPr>
              <w:adjustRightInd w:val="0"/>
              <w:snapToGrid w:val="0"/>
              <w:spacing w:line="360" w:lineRule="auto"/>
              <w:ind w:left="480"/>
              <w:jc w:val="left"/>
              <w:rPr>
                <w:rFonts w:cs="Times New Roman" w:hint="eastAsia"/>
                <w:sz w:val="24"/>
                <w:szCs w:val="24"/>
              </w:rPr>
            </w:pPr>
            <w:r>
              <w:rPr>
                <w:rFonts w:cs="Times New Roman" w:hint="eastAsia"/>
                <w:sz w:val="24"/>
                <w:szCs w:val="24"/>
              </w:rPr>
              <w:t>（2）土建工程：变电所电缆沟、电缆钢支架、盖板、现浇地面、预埋件；消防站室外电缆沟、电缆排管、电缆标识；箱式变电站基础（</w:t>
            </w:r>
            <w:proofErr w:type="gramStart"/>
            <w:r>
              <w:rPr>
                <w:rFonts w:cs="Times New Roman" w:hint="eastAsia"/>
                <w:sz w:val="24"/>
                <w:szCs w:val="24"/>
              </w:rPr>
              <w:t>砼</w:t>
            </w:r>
            <w:proofErr w:type="gramEnd"/>
            <w:r>
              <w:rPr>
                <w:rFonts w:cs="Times New Roman" w:hint="eastAsia"/>
                <w:sz w:val="24"/>
                <w:szCs w:val="24"/>
              </w:rPr>
              <w:t>、钢筋、抹灰、百叶窗等）等。</w:t>
            </w:r>
          </w:p>
          <w:bookmarkEnd w:id="0"/>
          <w:p w14:paraId="47D5DDA3"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三、编制依据</w:t>
            </w:r>
          </w:p>
          <w:p w14:paraId="72A482CA"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招标文件；</w:t>
            </w:r>
          </w:p>
          <w:p w14:paraId="2C3A71A6"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委托方提供的施工图电子版（</w:t>
            </w:r>
            <w:r>
              <w:rPr>
                <w:rFonts w:ascii="Calibri" w:hAnsi="Calibri" w:cs="Times New Roman"/>
                <w:sz w:val="24"/>
                <w:szCs w:val="24"/>
              </w:rPr>
              <w:t>202</w:t>
            </w:r>
            <w:r>
              <w:rPr>
                <w:rFonts w:ascii="Calibri" w:hAnsi="Calibri" w:cs="Times New Roman" w:hint="eastAsia"/>
                <w:sz w:val="24"/>
                <w:szCs w:val="24"/>
              </w:rPr>
              <w:t>5.03</w:t>
            </w:r>
            <w:r>
              <w:rPr>
                <w:rFonts w:ascii="Calibri" w:hAnsi="Calibri" w:cs="Times New Roman" w:hint="eastAsia"/>
                <w:sz w:val="24"/>
                <w:szCs w:val="24"/>
              </w:rPr>
              <w:t>）以及设计院回复的相关问题；</w:t>
            </w:r>
            <w:r>
              <w:rPr>
                <w:rFonts w:ascii="Calibri" w:hAnsi="Calibri" w:cs="Times New Roman"/>
                <w:sz w:val="24"/>
                <w:szCs w:val="24"/>
              </w:rPr>
              <w:t xml:space="preserve"> </w:t>
            </w:r>
          </w:p>
          <w:p w14:paraId="5926C74B"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中华人民共和国建设部《建设工程工程量清单计价规范》（</w:t>
            </w:r>
            <w:r>
              <w:rPr>
                <w:rFonts w:ascii="Calibri" w:hAnsi="Calibri" w:cs="Times New Roman" w:hint="eastAsia"/>
                <w:sz w:val="24"/>
                <w:szCs w:val="24"/>
              </w:rPr>
              <w:t>GB50500-2013</w:t>
            </w:r>
            <w:r>
              <w:rPr>
                <w:rFonts w:ascii="Calibri" w:hAnsi="Calibri" w:cs="Times New Roman" w:hint="eastAsia"/>
                <w:sz w:val="24"/>
                <w:szCs w:val="24"/>
              </w:rPr>
              <w:t>）、《房屋建筑与装饰工程量计算规范》（</w:t>
            </w:r>
            <w:r>
              <w:rPr>
                <w:rFonts w:ascii="Calibri" w:hAnsi="Calibri" w:cs="Times New Roman" w:hint="eastAsia"/>
                <w:sz w:val="24"/>
                <w:szCs w:val="24"/>
              </w:rPr>
              <w:t>GB50854-2013</w:t>
            </w:r>
            <w:r>
              <w:rPr>
                <w:rFonts w:ascii="Calibri" w:hAnsi="Calibri" w:cs="Times New Roman" w:hint="eastAsia"/>
                <w:sz w:val="24"/>
                <w:szCs w:val="24"/>
              </w:rPr>
              <w:t>）、《通用安装工程工程量计算规范》（</w:t>
            </w:r>
            <w:r>
              <w:rPr>
                <w:rFonts w:ascii="Calibri" w:hAnsi="Calibri" w:cs="Times New Roman" w:hint="eastAsia"/>
                <w:sz w:val="24"/>
                <w:szCs w:val="24"/>
              </w:rPr>
              <w:t>GB50856-2013</w:t>
            </w:r>
            <w:r>
              <w:rPr>
                <w:rFonts w:ascii="Calibri" w:hAnsi="Calibri" w:cs="Times New Roman" w:hint="eastAsia"/>
                <w:sz w:val="24"/>
                <w:szCs w:val="24"/>
              </w:rPr>
              <w:t>）；</w:t>
            </w:r>
          </w:p>
          <w:p w14:paraId="3FB867DB"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江苏省住房和城乡建设厅《江苏省建设工程费用定额》（</w:t>
            </w:r>
            <w:r>
              <w:rPr>
                <w:rFonts w:ascii="Calibri" w:hAnsi="Calibri" w:cs="Times New Roman" w:hint="eastAsia"/>
                <w:sz w:val="24"/>
                <w:szCs w:val="24"/>
              </w:rPr>
              <w:t>2014</w:t>
            </w:r>
            <w:r>
              <w:rPr>
                <w:rFonts w:ascii="Calibri" w:hAnsi="Calibri" w:cs="Times New Roman" w:hint="eastAsia"/>
                <w:sz w:val="24"/>
                <w:szCs w:val="24"/>
              </w:rPr>
              <w:t>年）、《江苏省建筑与装饰工程计价定额》（</w:t>
            </w:r>
            <w:r>
              <w:rPr>
                <w:rFonts w:ascii="Calibri" w:hAnsi="Calibri" w:cs="Times New Roman" w:hint="eastAsia"/>
                <w:sz w:val="24"/>
                <w:szCs w:val="24"/>
              </w:rPr>
              <w:t>2014</w:t>
            </w:r>
            <w:r>
              <w:rPr>
                <w:rFonts w:ascii="Calibri" w:hAnsi="Calibri" w:cs="Times New Roman" w:hint="eastAsia"/>
                <w:sz w:val="24"/>
                <w:szCs w:val="24"/>
              </w:rPr>
              <w:t>年）、《江苏省安装工程计价定额》（</w:t>
            </w:r>
            <w:r>
              <w:rPr>
                <w:rFonts w:ascii="Calibri" w:hAnsi="Calibri" w:cs="Times New Roman" w:hint="eastAsia"/>
                <w:sz w:val="24"/>
                <w:szCs w:val="24"/>
              </w:rPr>
              <w:t>2014</w:t>
            </w:r>
            <w:r>
              <w:rPr>
                <w:rFonts w:ascii="Calibri" w:hAnsi="Calibri" w:cs="Times New Roman" w:hint="eastAsia"/>
                <w:sz w:val="24"/>
                <w:szCs w:val="24"/>
              </w:rPr>
              <w:t>年）；</w:t>
            </w:r>
          </w:p>
          <w:p w14:paraId="20750DB5" w14:textId="30BA8823"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w:t>
            </w:r>
            <w:r w:rsidR="004120C2" w:rsidRPr="004120C2">
              <w:rPr>
                <w:rFonts w:ascii="Calibri" w:hAnsi="Calibri" w:cs="Times New Roman" w:hint="eastAsia"/>
                <w:sz w:val="24"/>
                <w:szCs w:val="24"/>
              </w:rPr>
              <w:t>关于明确材料预算价格中含税价和除税价计算方式的通知</w:t>
            </w:r>
            <w:r>
              <w:rPr>
                <w:rFonts w:ascii="Calibri" w:hAnsi="Calibri" w:cs="Times New Roman" w:hint="eastAsia"/>
                <w:sz w:val="24"/>
                <w:szCs w:val="24"/>
              </w:rPr>
              <w:t>》（苏</w:t>
            </w:r>
            <w:proofErr w:type="gramStart"/>
            <w:r>
              <w:rPr>
                <w:rFonts w:ascii="Calibri" w:hAnsi="Calibri" w:cs="Times New Roman" w:hint="eastAsia"/>
                <w:sz w:val="24"/>
                <w:szCs w:val="24"/>
              </w:rPr>
              <w:t>建函价〔</w:t>
            </w:r>
            <w:r>
              <w:rPr>
                <w:rFonts w:ascii="Calibri" w:hAnsi="Calibri" w:cs="Times New Roman"/>
                <w:sz w:val="24"/>
                <w:szCs w:val="24"/>
              </w:rPr>
              <w:t>20</w:t>
            </w:r>
            <w:r w:rsidR="004120C2">
              <w:rPr>
                <w:rFonts w:ascii="Calibri" w:hAnsi="Calibri" w:cs="Times New Roman" w:hint="eastAsia"/>
                <w:sz w:val="24"/>
                <w:szCs w:val="24"/>
              </w:rPr>
              <w:t>25</w:t>
            </w:r>
            <w:r>
              <w:rPr>
                <w:rFonts w:ascii="Calibri" w:hAnsi="Calibri" w:cs="Times New Roman"/>
                <w:sz w:val="24"/>
                <w:szCs w:val="24"/>
              </w:rPr>
              <w:t>〕</w:t>
            </w:r>
            <w:proofErr w:type="gramEnd"/>
            <w:r w:rsidR="004120C2">
              <w:rPr>
                <w:rFonts w:ascii="Calibri" w:hAnsi="Calibri" w:cs="Times New Roman" w:hint="eastAsia"/>
                <w:sz w:val="24"/>
                <w:szCs w:val="24"/>
              </w:rPr>
              <w:t>2</w:t>
            </w:r>
            <w:r>
              <w:rPr>
                <w:rFonts w:ascii="Calibri" w:hAnsi="Calibri" w:cs="Times New Roman"/>
                <w:sz w:val="24"/>
                <w:szCs w:val="24"/>
              </w:rPr>
              <w:t>号）</w:t>
            </w:r>
            <w:r>
              <w:rPr>
                <w:rFonts w:ascii="Calibri" w:hAnsi="Calibri" w:cs="Times New Roman" w:hint="eastAsia"/>
                <w:sz w:val="24"/>
                <w:szCs w:val="24"/>
              </w:rPr>
              <w:t>；</w:t>
            </w:r>
          </w:p>
          <w:p w14:paraId="459BA7BA"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相关标准图集以及现行有关清单编制文件；</w:t>
            </w:r>
          </w:p>
          <w:p w14:paraId="7F7E75A4" w14:textId="77777777" w:rsidR="00DB0C93" w:rsidRDefault="00000000">
            <w:pPr>
              <w:numPr>
                <w:ilvl w:val="0"/>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lastRenderedPageBreak/>
              <w:t>施工现场情况、工程特点及常规施工方案。</w:t>
            </w:r>
          </w:p>
          <w:p w14:paraId="31740413"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四、工程质量</w:t>
            </w:r>
          </w:p>
          <w:p w14:paraId="4ACD0B2B" w14:textId="77777777" w:rsidR="00DB0C93" w:rsidRDefault="00000000">
            <w:pPr>
              <w:adjustRightInd w:val="0"/>
              <w:snapToGrid w:val="0"/>
              <w:spacing w:line="360" w:lineRule="auto"/>
              <w:ind w:firstLineChars="200" w:firstLine="480"/>
              <w:jc w:val="left"/>
              <w:rPr>
                <w:rFonts w:ascii="Calibri" w:hAnsi="Calibri" w:cs="Times New Roman"/>
                <w:sz w:val="24"/>
                <w:szCs w:val="24"/>
              </w:rPr>
            </w:pPr>
            <w:r>
              <w:rPr>
                <w:rFonts w:ascii="Calibri" w:hAnsi="Calibri" w:cs="Times New Roman" w:hint="eastAsia"/>
                <w:sz w:val="24"/>
                <w:szCs w:val="24"/>
              </w:rPr>
              <w:t>详见招标文件</w:t>
            </w:r>
          </w:p>
          <w:p w14:paraId="3732484A"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五、其他项目费用</w:t>
            </w:r>
          </w:p>
          <w:p w14:paraId="1F0C064B" w14:textId="5188BE86" w:rsidR="00DB0C93" w:rsidRDefault="00000000">
            <w:pPr>
              <w:numPr>
                <w:ilvl w:val="3"/>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暂列金额：</w:t>
            </w:r>
            <w:r w:rsidR="004120C2">
              <w:rPr>
                <w:rFonts w:ascii="Calibri" w:hAnsi="Calibri" w:cs="Times New Roman" w:hint="eastAsia"/>
                <w:sz w:val="24"/>
                <w:szCs w:val="24"/>
              </w:rPr>
              <w:t>详见招标工程量清单。</w:t>
            </w:r>
          </w:p>
          <w:p w14:paraId="2B5A22B2" w14:textId="0601FEB6" w:rsidR="00DB0C93" w:rsidRDefault="00000000">
            <w:pPr>
              <w:numPr>
                <w:ilvl w:val="3"/>
                <w:numId w:val="3"/>
              </w:numPr>
              <w:adjustRightInd w:val="0"/>
              <w:snapToGrid w:val="0"/>
              <w:spacing w:line="360" w:lineRule="auto"/>
              <w:ind w:left="0" w:firstLineChars="200" w:firstLine="480"/>
              <w:jc w:val="left"/>
              <w:rPr>
                <w:rFonts w:ascii="Calibri" w:hAnsi="Calibri" w:cs="Times New Roman"/>
                <w:sz w:val="24"/>
                <w:szCs w:val="24"/>
              </w:rPr>
            </w:pPr>
            <w:r>
              <w:rPr>
                <w:rFonts w:ascii="Calibri" w:hAnsi="Calibri" w:cs="Times New Roman" w:hint="eastAsia"/>
                <w:sz w:val="24"/>
                <w:szCs w:val="24"/>
              </w:rPr>
              <w:t>暂估价：无</w:t>
            </w:r>
            <w:r w:rsidR="004120C2">
              <w:rPr>
                <w:rFonts w:ascii="Calibri" w:hAnsi="Calibri" w:cs="Times New Roman" w:hint="eastAsia"/>
                <w:sz w:val="24"/>
                <w:szCs w:val="24"/>
              </w:rPr>
              <w:t>。</w:t>
            </w:r>
          </w:p>
          <w:p w14:paraId="3BF1CA06" w14:textId="77777777" w:rsidR="00DB0C93" w:rsidRDefault="00000000">
            <w:pPr>
              <w:adjustRightInd w:val="0"/>
              <w:snapToGrid w:val="0"/>
              <w:spacing w:line="360" w:lineRule="auto"/>
              <w:ind w:firstLineChars="200" w:firstLine="482"/>
              <w:jc w:val="left"/>
              <w:rPr>
                <w:rFonts w:ascii="Calibri" w:hAnsi="Calibri" w:cs="Times New Roman"/>
                <w:b/>
                <w:bCs/>
                <w:sz w:val="24"/>
                <w:szCs w:val="24"/>
              </w:rPr>
            </w:pPr>
            <w:r>
              <w:rPr>
                <w:rFonts w:ascii="Calibri" w:hAnsi="Calibri" w:cs="Times New Roman" w:hint="eastAsia"/>
                <w:b/>
                <w:bCs/>
                <w:sz w:val="24"/>
                <w:szCs w:val="24"/>
              </w:rPr>
              <w:t>六、编制说明</w:t>
            </w:r>
          </w:p>
          <w:p w14:paraId="5F12FF13" w14:textId="77777777" w:rsidR="00DB0C93" w:rsidRDefault="00000000">
            <w:pPr>
              <w:adjustRightInd w:val="0"/>
              <w:snapToGrid w:val="0"/>
              <w:spacing w:line="360" w:lineRule="auto"/>
              <w:ind w:firstLineChars="200" w:firstLine="480"/>
              <w:jc w:val="left"/>
              <w:rPr>
                <w:rFonts w:ascii="Calibri" w:hAnsi="Calibri" w:cs="Times New Roman"/>
                <w:sz w:val="24"/>
                <w:szCs w:val="24"/>
              </w:rPr>
            </w:pPr>
            <w:r>
              <w:rPr>
                <w:rFonts w:ascii="Calibri" w:hAnsi="Calibri" w:cs="Times New Roman" w:hint="eastAsia"/>
                <w:sz w:val="24"/>
                <w:szCs w:val="24"/>
              </w:rPr>
              <w:t>（一）一般说明</w:t>
            </w:r>
          </w:p>
          <w:p w14:paraId="76D069E5"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施工现场情况</w:t>
            </w:r>
            <w:r>
              <w:rPr>
                <w:rFonts w:ascii="Calibri" w:hAnsi="Calibri" w:cs="Times New Roman"/>
                <w:sz w:val="24"/>
                <w:szCs w:val="24"/>
              </w:rPr>
              <w:t>:</w:t>
            </w:r>
            <w:r>
              <w:rPr>
                <w:rFonts w:ascii="Calibri" w:hAnsi="Calibri" w:cs="Times New Roman"/>
                <w:sz w:val="24"/>
                <w:szCs w:val="24"/>
              </w:rPr>
              <w:t>以现场踏勘情况为准。</w:t>
            </w:r>
          </w:p>
          <w:p w14:paraId="347B7FE9"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交通运输情况</w:t>
            </w:r>
            <w:r>
              <w:rPr>
                <w:rFonts w:ascii="Calibri" w:hAnsi="Calibri" w:cs="Times New Roman"/>
                <w:sz w:val="24"/>
                <w:szCs w:val="24"/>
              </w:rPr>
              <w:t>:</w:t>
            </w:r>
            <w:r>
              <w:rPr>
                <w:rFonts w:ascii="Calibri" w:hAnsi="Calibri" w:cs="Times New Roman"/>
                <w:sz w:val="24"/>
                <w:szCs w:val="24"/>
              </w:rPr>
              <w:t>以现场踏勘情况为准。</w:t>
            </w:r>
          </w:p>
          <w:p w14:paraId="00E6E218"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环境保护要求</w:t>
            </w:r>
            <w:r>
              <w:rPr>
                <w:rFonts w:ascii="Calibri" w:hAnsi="Calibri" w:cs="Times New Roman"/>
                <w:sz w:val="24"/>
                <w:szCs w:val="24"/>
              </w:rPr>
              <w:t>:</w:t>
            </w:r>
            <w:r>
              <w:rPr>
                <w:rFonts w:ascii="Calibri" w:hAnsi="Calibri" w:cs="Times New Roman"/>
                <w:sz w:val="24"/>
                <w:szCs w:val="24"/>
              </w:rPr>
              <w:t>满足江苏省、南京市及</w:t>
            </w:r>
            <w:r>
              <w:rPr>
                <w:rFonts w:ascii="Calibri" w:hAnsi="Calibri" w:cs="Times New Roman" w:hint="eastAsia"/>
                <w:sz w:val="24"/>
                <w:szCs w:val="24"/>
              </w:rPr>
              <w:t>江北新区</w:t>
            </w:r>
            <w:r>
              <w:rPr>
                <w:rFonts w:ascii="Calibri" w:hAnsi="Calibri" w:cs="Times New Roman"/>
                <w:sz w:val="24"/>
                <w:szCs w:val="24"/>
              </w:rPr>
              <w:t>政府对环境保护的相关要求和规定。</w:t>
            </w:r>
          </w:p>
          <w:p w14:paraId="347C5B08"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本工程投标报价按《建设工程工程量清单计价规范》和相应计算规范的规定及要求，使用表格及格式按《建设工程工程量清单计价规范》要求执行。</w:t>
            </w:r>
          </w:p>
          <w:p w14:paraId="21BD111C"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工程量清单中的每一个项目，都需填入综合单价及合价</w:t>
            </w:r>
            <w:r>
              <w:rPr>
                <w:rFonts w:ascii="Calibri" w:hAnsi="Calibri" w:cs="Times New Roman"/>
                <w:sz w:val="24"/>
                <w:szCs w:val="24"/>
              </w:rPr>
              <w:t>;</w:t>
            </w:r>
            <w:r>
              <w:rPr>
                <w:rFonts w:ascii="Calibri" w:hAnsi="Calibri" w:cs="Times New Roman"/>
                <w:sz w:val="24"/>
                <w:szCs w:val="24"/>
              </w:rPr>
              <w:t>不同单项及单位工程中的分部分项工程量清单中相同项目</w:t>
            </w:r>
            <w:r>
              <w:rPr>
                <w:rFonts w:ascii="Calibri" w:hAnsi="Calibri" w:cs="Times New Roman" w:hint="eastAsia"/>
                <w:sz w:val="24"/>
                <w:szCs w:val="24"/>
              </w:rPr>
              <w:t>（</w:t>
            </w:r>
            <w:r>
              <w:rPr>
                <w:rFonts w:ascii="Calibri" w:hAnsi="Calibri" w:cs="Times New Roman"/>
                <w:sz w:val="24"/>
                <w:szCs w:val="24"/>
              </w:rPr>
              <w:t>项目特征及工作内容相同）的报价应统一，如有差异，按最低一个报价进行结算。</w:t>
            </w:r>
          </w:p>
          <w:p w14:paraId="6D461DEC"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本工程量清单中的分部分项工程量及措施项目工程量均是根据本工程施工图、按照</w:t>
            </w:r>
            <w:r>
              <w:rPr>
                <w:rFonts w:ascii="Calibri" w:hAnsi="Calibri" w:cs="Times New Roman"/>
                <w:sz w:val="24"/>
                <w:szCs w:val="24"/>
              </w:rPr>
              <w:t>“</w:t>
            </w:r>
            <w:r>
              <w:rPr>
                <w:rFonts w:ascii="Calibri" w:hAnsi="Calibri" w:cs="Times New Roman"/>
                <w:sz w:val="24"/>
                <w:szCs w:val="24"/>
              </w:rPr>
              <w:t>工程量计算规范</w:t>
            </w:r>
            <w:r>
              <w:rPr>
                <w:rFonts w:ascii="Calibri" w:hAnsi="Calibri" w:cs="Times New Roman"/>
                <w:sz w:val="24"/>
                <w:szCs w:val="24"/>
              </w:rPr>
              <w:t>”</w:t>
            </w:r>
            <w:r>
              <w:rPr>
                <w:rFonts w:ascii="Calibri" w:hAnsi="Calibri" w:cs="Times New Roman"/>
                <w:sz w:val="24"/>
                <w:szCs w:val="24"/>
              </w:rPr>
              <w:t>的规定进行计算的，仅作为施工企业投标报价的共同基础，不能作为最终结算与支付价款的依据。</w:t>
            </w:r>
          </w:p>
          <w:p w14:paraId="35F6D884"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工程量清单及其计价格式中的任何内容不得随意删除或涂改，若有错误，在招标答疑时及时提出，以</w:t>
            </w:r>
            <w:r>
              <w:rPr>
                <w:rFonts w:ascii="Calibri" w:hAnsi="Calibri" w:cs="Times New Roman"/>
                <w:sz w:val="24"/>
                <w:szCs w:val="24"/>
              </w:rPr>
              <w:t>“</w:t>
            </w:r>
            <w:r>
              <w:rPr>
                <w:rFonts w:ascii="Calibri" w:hAnsi="Calibri" w:cs="Times New Roman"/>
                <w:sz w:val="24"/>
                <w:szCs w:val="24"/>
              </w:rPr>
              <w:t>补遗</w:t>
            </w:r>
            <w:r>
              <w:rPr>
                <w:rFonts w:ascii="Calibri" w:hAnsi="Calibri" w:cs="Times New Roman"/>
                <w:sz w:val="24"/>
                <w:szCs w:val="24"/>
              </w:rPr>
              <w:t>”</w:t>
            </w:r>
            <w:r>
              <w:rPr>
                <w:rFonts w:ascii="Calibri" w:hAnsi="Calibri" w:cs="Times New Roman"/>
                <w:sz w:val="24"/>
                <w:szCs w:val="24"/>
              </w:rPr>
              <w:t>资料为准。</w:t>
            </w:r>
          </w:p>
          <w:p w14:paraId="0B4E2C89" w14:textId="77777777" w:rsidR="00DB0C93" w:rsidRDefault="00000000">
            <w:pPr>
              <w:pStyle w:val="a7"/>
              <w:numPr>
                <w:ilvl w:val="6"/>
                <w:numId w:val="4"/>
              </w:numPr>
              <w:adjustRightInd w:val="0"/>
              <w:snapToGrid w:val="0"/>
              <w:spacing w:line="360" w:lineRule="auto"/>
              <w:ind w:left="0" w:firstLine="480"/>
              <w:rPr>
                <w:rFonts w:ascii="Calibri" w:hAnsi="Calibri" w:cs="Times New Roman"/>
                <w:sz w:val="24"/>
                <w:szCs w:val="24"/>
              </w:rPr>
            </w:pPr>
            <w:r>
              <w:rPr>
                <w:rFonts w:ascii="Calibri" w:hAnsi="Calibri" w:cs="Times New Roman"/>
                <w:sz w:val="24"/>
                <w:szCs w:val="24"/>
              </w:rPr>
              <w:t>分部分项工程量清单中对工程项目的项目特征及具体做法制作重点描述，详细情况见施工图设计、技术说明及相关标准图集。</w:t>
            </w:r>
            <w:proofErr w:type="gramStart"/>
            <w:r>
              <w:rPr>
                <w:rFonts w:ascii="Calibri" w:hAnsi="Calibri" w:cs="Times New Roman"/>
                <w:sz w:val="24"/>
                <w:szCs w:val="24"/>
              </w:rPr>
              <w:t>组价时</w:t>
            </w:r>
            <w:proofErr w:type="gramEnd"/>
            <w:r>
              <w:rPr>
                <w:rFonts w:ascii="Calibri" w:hAnsi="Calibri" w:cs="Times New Roman"/>
                <w:sz w:val="24"/>
                <w:szCs w:val="24"/>
              </w:rPr>
              <w:t>应结合投标人现场勘查情况包括完成所有工序工作内容的全部费用。</w:t>
            </w:r>
          </w:p>
          <w:p w14:paraId="4AC28E17" w14:textId="77777777" w:rsidR="00DB0C93" w:rsidRDefault="00000000">
            <w:pPr>
              <w:adjustRightInd w:val="0"/>
              <w:snapToGrid w:val="0"/>
              <w:spacing w:line="360" w:lineRule="auto"/>
              <w:ind w:firstLineChars="200" w:firstLine="480"/>
              <w:rPr>
                <w:rFonts w:ascii="Calibri" w:hAnsi="Calibri" w:cs="Times New Roman"/>
                <w:sz w:val="24"/>
                <w:szCs w:val="24"/>
              </w:rPr>
            </w:pPr>
            <w:r>
              <w:rPr>
                <w:rFonts w:ascii="Calibri" w:hAnsi="Calibri" w:cs="Times New Roman" w:hint="eastAsia"/>
                <w:sz w:val="24"/>
                <w:szCs w:val="24"/>
              </w:rPr>
              <w:t>（二）特殊说明</w:t>
            </w:r>
          </w:p>
          <w:p w14:paraId="3ACB2AEA"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rPr>
            </w:pPr>
            <w:r>
              <w:rPr>
                <w:rFonts w:ascii="Calibri" w:hAnsi="Calibri" w:cs="Times New Roman" w:hint="eastAsia"/>
                <w:sz w:val="24"/>
              </w:rPr>
              <w:t>给水分区计量改造工程</w:t>
            </w:r>
          </w:p>
          <w:p w14:paraId="4B8F1BDD" w14:textId="77777777" w:rsidR="004120C2" w:rsidRDefault="00000000" w:rsidP="004120C2">
            <w:pPr>
              <w:pStyle w:val="a7"/>
              <w:numPr>
                <w:ilvl w:val="0"/>
                <w:numId w:val="7"/>
              </w:numPr>
              <w:adjustRightInd w:val="0"/>
              <w:snapToGrid w:val="0"/>
              <w:spacing w:line="360" w:lineRule="auto"/>
              <w:ind w:firstLineChars="0"/>
              <w:rPr>
                <w:rFonts w:ascii="Calibri" w:hAnsi="Calibri" w:cs="Times New Roman"/>
                <w:sz w:val="24"/>
              </w:rPr>
            </w:pPr>
            <w:r w:rsidRPr="004120C2">
              <w:rPr>
                <w:rFonts w:ascii="Calibri" w:hAnsi="Calibri" w:cs="Times New Roman" w:hint="eastAsia"/>
                <w:sz w:val="24"/>
              </w:rPr>
              <w:t>水表</w:t>
            </w:r>
            <w:proofErr w:type="gramStart"/>
            <w:r w:rsidRPr="004120C2">
              <w:rPr>
                <w:rFonts w:ascii="Calibri" w:hAnsi="Calibri" w:cs="Times New Roman" w:hint="eastAsia"/>
                <w:sz w:val="24"/>
              </w:rPr>
              <w:t>井做法</w:t>
            </w:r>
            <w:proofErr w:type="gramEnd"/>
            <w:r w:rsidRPr="004120C2">
              <w:rPr>
                <w:rFonts w:ascii="Calibri" w:hAnsi="Calibri" w:cs="Times New Roman" w:hint="eastAsia"/>
                <w:sz w:val="24"/>
              </w:rPr>
              <w:t>由投标人根据设计图纸、相关规范和现场实际情况综合考虑，结算时不调整。</w:t>
            </w:r>
          </w:p>
          <w:p w14:paraId="154E7B9C" w14:textId="42261F64" w:rsidR="004120C2" w:rsidRDefault="004120C2" w:rsidP="004120C2">
            <w:pPr>
              <w:pStyle w:val="a7"/>
              <w:numPr>
                <w:ilvl w:val="0"/>
                <w:numId w:val="7"/>
              </w:numPr>
              <w:adjustRightInd w:val="0"/>
              <w:snapToGrid w:val="0"/>
              <w:spacing w:line="360" w:lineRule="auto"/>
              <w:ind w:firstLineChars="0"/>
              <w:rPr>
                <w:rFonts w:ascii="Calibri" w:hAnsi="Calibri" w:cs="Times New Roman"/>
                <w:sz w:val="24"/>
              </w:rPr>
            </w:pPr>
            <w:r>
              <w:rPr>
                <w:rFonts w:ascii="Calibri" w:hAnsi="Calibri" w:cs="Times New Roman" w:hint="eastAsia"/>
                <w:sz w:val="24"/>
              </w:rPr>
              <w:lastRenderedPageBreak/>
              <w:t>新旧管连接</w:t>
            </w:r>
            <w:r>
              <w:rPr>
                <w:rFonts w:hint="eastAsia"/>
                <w:sz w:val="24"/>
                <w:szCs w:val="28"/>
              </w:rPr>
              <w:t>按项包干，结算时不调整。</w:t>
            </w:r>
          </w:p>
          <w:p w14:paraId="1B3103BF"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rPr>
            </w:pPr>
            <w:r>
              <w:rPr>
                <w:rFonts w:ascii="Calibri" w:hAnsi="Calibri" w:cs="Times New Roman" w:hint="eastAsia"/>
                <w:sz w:val="24"/>
              </w:rPr>
              <w:t>电力改造工程</w:t>
            </w:r>
          </w:p>
          <w:p w14:paraId="45E02D55" w14:textId="77777777" w:rsidR="00DB0C93" w:rsidRDefault="00000000">
            <w:pPr>
              <w:adjustRightInd w:val="0"/>
              <w:snapToGrid w:val="0"/>
              <w:spacing w:line="360" w:lineRule="auto"/>
              <w:ind w:left="480"/>
              <w:rPr>
                <w:rFonts w:ascii="Calibri" w:hAnsi="Calibri" w:cs="Times New Roman"/>
                <w:sz w:val="24"/>
              </w:rPr>
            </w:pPr>
            <w:r>
              <w:rPr>
                <w:rFonts w:ascii="Calibri" w:hAnsi="Calibri" w:cs="Times New Roman" w:hint="eastAsia"/>
                <w:sz w:val="24"/>
              </w:rPr>
              <w:t>（</w:t>
            </w:r>
            <w:r>
              <w:rPr>
                <w:rFonts w:ascii="Calibri" w:hAnsi="Calibri" w:cs="Times New Roman" w:hint="eastAsia"/>
                <w:sz w:val="24"/>
              </w:rPr>
              <w:t>1</w:t>
            </w:r>
            <w:r>
              <w:rPr>
                <w:rFonts w:ascii="Calibri" w:hAnsi="Calibri" w:cs="Times New Roman" w:hint="eastAsia"/>
                <w:sz w:val="24"/>
              </w:rPr>
              <w:t>）土建工程</w:t>
            </w:r>
          </w:p>
          <w:p w14:paraId="4437F7F6" w14:textId="77777777" w:rsidR="00DB0C93" w:rsidRDefault="00000000">
            <w:pPr>
              <w:pStyle w:val="a7"/>
              <w:numPr>
                <w:ilvl w:val="0"/>
                <w:numId w:val="6"/>
              </w:numPr>
              <w:adjustRightInd w:val="0"/>
              <w:snapToGrid w:val="0"/>
              <w:spacing w:line="360" w:lineRule="auto"/>
              <w:ind w:firstLineChars="0"/>
              <w:rPr>
                <w:rFonts w:cs="Times New Roman" w:hint="eastAsia"/>
                <w:sz w:val="24"/>
                <w:szCs w:val="24"/>
              </w:rPr>
            </w:pPr>
            <w:r>
              <w:rPr>
                <w:rFonts w:cs="Times New Roman" w:hint="eastAsia"/>
                <w:sz w:val="24"/>
                <w:szCs w:val="24"/>
              </w:rPr>
              <w:t>依据设计回复，垃圾站配电房地面空腔除采用轻质骨料回填，地面混凝土现浇，钢筋与四周墙体采用植筋处理；</w:t>
            </w:r>
          </w:p>
          <w:p w14:paraId="3230694A" w14:textId="77777777" w:rsidR="00DB0C93" w:rsidRDefault="00000000">
            <w:pPr>
              <w:pStyle w:val="a7"/>
              <w:numPr>
                <w:ilvl w:val="0"/>
                <w:numId w:val="6"/>
              </w:numPr>
              <w:adjustRightInd w:val="0"/>
              <w:snapToGrid w:val="0"/>
              <w:spacing w:line="360" w:lineRule="auto"/>
              <w:ind w:firstLineChars="0"/>
              <w:rPr>
                <w:rFonts w:cs="Times New Roman" w:hint="eastAsia"/>
                <w:sz w:val="24"/>
                <w:szCs w:val="24"/>
              </w:rPr>
            </w:pPr>
            <w:r>
              <w:rPr>
                <w:rFonts w:cs="Times New Roman" w:hint="eastAsia"/>
                <w:sz w:val="24"/>
                <w:szCs w:val="24"/>
              </w:rPr>
              <w:t>依据设计回复，新建</w:t>
            </w:r>
            <w:proofErr w:type="gramStart"/>
            <w:r>
              <w:rPr>
                <w:rFonts w:cs="Times New Roman" w:hint="eastAsia"/>
                <w:sz w:val="24"/>
                <w:szCs w:val="24"/>
              </w:rPr>
              <w:t>门扇甲</w:t>
            </w:r>
            <w:proofErr w:type="gramEnd"/>
            <w:r>
              <w:rPr>
                <w:rFonts w:cs="Times New Roman" w:hint="eastAsia"/>
                <w:sz w:val="24"/>
                <w:szCs w:val="24"/>
              </w:rPr>
              <w:t>FM1525，原有门扇拆除；</w:t>
            </w:r>
          </w:p>
          <w:p w14:paraId="06441C52" w14:textId="77777777" w:rsidR="00DB0C93" w:rsidRDefault="00000000">
            <w:pPr>
              <w:pStyle w:val="a7"/>
              <w:numPr>
                <w:ilvl w:val="0"/>
                <w:numId w:val="6"/>
              </w:numPr>
              <w:adjustRightInd w:val="0"/>
              <w:snapToGrid w:val="0"/>
              <w:spacing w:line="360" w:lineRule="auto"/>
              <w:ind w:firstLineChars="0"/>
              <w:rPr>
                <w:rFonts w:cs="Times New Roman" w:hint="eastAsia"/>
                <w:sz w:val="24"/>
                <w:szCs w:val="24"/>
              </w:rPr>
            </w:pPr>
            <w:r>
              <w:rPr>
                <w:rFonts w:cs="Times New Roman" w:hint="eastAsia"/>
                <w:sz w:val="24"/>
                <w:szCs w:val="24"/>
              </w:rPr>
              <w:t>消防站室外排管及电缆沟经过人行道及绿化，自行踏勘现场，施工完成后，按原状恢复，清单按项考虑，包含拆除、恢复、垃圾清运等全部费用。</w:t>
            </w:r>
          </w:p>
          <w:p w14:paraId="7DFF207F" w14:textId="77777777" w:rsidR="00DB0C93" w:rsidRDefault="00000000">
            <w:pPr>
              <w:adjustRightInd w:val="0"/>
              <w:snapToGrid w:val="0"/>
              <w:spacing w:line="360" w:lineRule="auto"/>
              <w:ind w:left="480"/>
              <w:rPr>
                <w:rFonts w:ascii="Calibri" w:hAnsi="Calibri" w:cs="Times New Roman"/>
                <w:sz w:val="24"/>
              </w:rPr>
            </w:pPr>
            <w:r>
              <w:rPr>
                <w:rFonts w:ascii="Calibri" w:hAnsi="Calibri" w:cs="Times New Roman" w:hint="eastAsia"/>
                <w:sz w:val="24"/>
              </w:rPr>
              <w:t>（</w:t>
            </w:r>
            <w:r>
              <w:rPr>
                <w:rFonts w:ascii="Calibri" w:hAnsi="Calibri" w:cs="Times New Roman" w:hint="eastAsia"/>
                <w:sz w:val="24"/>
              </w:rPr>
              <w:t>2</w:t>
            </w:r>
            <w:r>
              <w:rPr>
                <w:rFonts w:ascii="Calibri" w:hAnsi="Calibri" w:cs="Times New Roman" w:hint="eastAsia"/>
                <w:sz w:val="24"/>
              </w:rPr>
              <w:t>）安装工程：</w:t>
            </w:r>
          </w:p>
          <w:p w14:paraId="55946213" w14:textId="77777777" w:rsidR="00DB0C93" w:rsidRDefault="00000000" w:rsidP="004120C2">
            <w:pPr>
              <w:pStyle w:val="a7"/>
              <w:numPr>
                <w:ilvl w:val="0"/>
                <w:numId w:val="9"/>
              </w:numPr>
              <w:adjustRightInd w:val="0"/>
              <w:snapToGrid w:val="0"/>
              <w:spacing w:line="360" w:lineRule="auto"/>
              <w:ind w:firstLineChars="0"/>
              <w:rPr>
                <w:rFonts w:ascii="Calibri" w:hAnsi="Calibri" w:cs="Times New Roman"/>
                <w:sz w:val="24"/>
              </w:rPr>
            </w:pPr>
            <w:r>
              <w:rPr>
                <w:rFonts w:hint="eastAsia"/>
                <w:sz w:val="24"/>
                <w:szCs w:val="28"/>
              </w:rPr>
              <w:t>受电电缆、</w:t>
            </w:r>
            <w:proofErr w:type="gramStart"/>
            <w:r>
              <w:rPr>
                <w:rFonts w:hint="eastAsia"/>
                <w:sz w:val="24"/>
                <w:szCs w:val="28"/>
              </w:rPr>
              <w:t>低压出线</w:t>
            </w:r>
            <w:proofErr w:type="gramEnd"/>
            <w:r>
              <w:rPr>
                <w:rFonts w:hint="eastAsia"/>
                <w:sz w:val="24"/>
                <w:szCs w:val="28"/>
              </w:rPr>
              <w:t>和桥架工程量按图纸材料表编制，</w:t>
            </w:r>
            <w:proofErr w:type="gramStart"/>
            <w:r>
              <w:rPr>
                <w:rFonts w:ascii="Calibri" w:hAnsi="Calibri" w:cs="Times New Roman" w:hint="eastAsia"/>
                <w:sz w:val="24"/>
              </w:rPr>
              <w:t>结算按</w:t>
            </w:r>
            <w:proofErr w:type="gramEnd"/>
            <w:r>
              <w:rPr>
                <w:rFonts w:ascii="Calibri" w:hAnsi="Calibri" w:cs="Times New Roman" w:hint="eastAsia"/>
                <w:sz w:val="24"/>
              </w:rPr>
              <w:t>实调整</w:t>
            </w:r>
            <w:r>
              <w:rPr>
                <w:rFonts w:hint="eastAsia"/>
                <w:sz w:val="24"/>
                <w:szCs w:val="28"/>
              </w:rPr>
              <w:t>。</w:t>
            </w:r>
          </w:p>
          <w:p w14:paraId="388356EF" w14:textId="77777777" w:rsidR="00DB0C93" w:rsidRDefault="00000000" w:rsidP="004120C2">
            <w:pPr>
              <w:pStyle w:val="a7"/>
              <w:numPr>
                <w:ilvl w:val="0"/>
                <w:numId w:val="9"/>
              </w:numPr>
              <w:adjustRightInd w:val="0"/>
              <w:snapToGrid w:val="0"/>
              <w:spacing w:line="360" w:lineRule="auto"/>
              <w:ind w:firstLineChars="0"/>
              <w:rPr>
                <w:rFonts w:ascii="Calibri" w:hAnsi="Calibri" w:cs="Times New Roman"/>
                <w:sz w:val="24"/>
              </w:rPr>
            </w:pPr>
            <w:r>
              <w:rPr>
                <w:rFonts w:hint="eastAsia"/>
                <w:sz w:val="24"/>
                <w:szCs w:val="28"/>
              </w:rPr>
              <w:t>防火堵洞按项包干，结算时不调整。</w:t>
            </w:r>
          </w:p>
          <w:p w14:paraId="21AAD51C" w14:textId="77777777" w:rsidR="00DB0C93" w:rsidRDefault="00000000" w:rsidP="004120C2">
            <w:pPr>
              <w:pStyle w:val="a7"/>
              <w:numPr>
                <w:ilvl w:val="0"/>
                <w:numId w:val="9"/>
              </w:numPr>
              <w:adjustRightInd w:val="0"/>
              <w:snapToGrid w:val="0"/>
              <w:spacing w:line="360" w:lineRule="auto"/>
              <w:ind w:firstLineChars="0"/>
              <w:rPr>
                <w:rFonts w:ascii="Calibri" w:hAnsi="Calibri" w:cs="Times New Roman"/>
                <w:sz w:val="24"/>
              </w:rPr>
            </w:pPr>
            <w:r>
              <w:rPr>
                <w:rFonts w:hint="eastAsia"/>
                <w:sz w:val="24"/>
                <w:szCs w:val="28"/>
              </w:rPr>
              <w:t>本项目风管按不锈钢材质考虑。</w:t>
            </w:r>
          </w:p>
          <w:p w14:paraId="41E8A789" w14:textId="77777777" w:rsidR="00DB0C93" w:rsidRDefault="00000000" w:rsidP="004120C2">
            <w:pPr>
              <w:pStyle w:val="a7"/>
              <w:numPr>
                <w:ilvl w:val="0"/>
                <w:numId w:val="9"/>
              </w:numPr>
              <w:adjustRightInd w:val="0"/>
              <w:snapToGrid w:val="0"/>
              <w:spacing w:line="360" w:lineRule="auto"/>
              <w:ind w:firstLineChars="0"/>
              <w:rPr>
                <w:rFonts w:ascii="Calibri" w:hAnsi="Calibri" w:cs="Times New Roman"/>
                <w:sz w:val="24"/>
              </w:rPr>
            </w:pPr>
            <w:r>
              <w:rPr>
                <w:rFonts w:ascii="Calibri" w:hAnsi="Calibri" w:cs="Times New Roman" w:hint="eastAsia"/>
                <w:sz w:val="24"/>
              </w:rPr>
              <w:t>送配电调试费用</w:t>
            </w:r>
            <w:proofErr w:type="gramStart"/>
            <w:r>
              <w:rPr>
                <w:rFonts w:ascii="Calibri" w:hAnsi="Calibri" w:cs="Times New Roman" w:hint="eastAsia"/>
                <w:sz w:val="24"/>
              </w:rPr>
              <w:t>结算按</w:t>
            </w:r>
            <w:proofErr w:type="gramEnd"/>
            <w:r>
              <w:rPr>
                <w:rFonts w:ascii="Calibri" w:hAnsi="Calibri" w:cs="Times New Roman" w:hint="eastAsia"/>
                <w:sz w:val="24"/>
              </w:rPr>
              <w:t>实调整。</w:t>
            </w:r>
          </w:p>
          <w:p w14:paraId="06FE62CC" w14:textId="77777777" w:rsidR="00DB0C93" w:rsidRDefault="00000000" w:rsidP="004120C2">
            <w:pPr>
              <w:pStyle w:val="a7"/>
              <w:numPr>
                <w:ilvl w:val="0"/>
                <w:numId w:val="9"/>
              </w:numPr>
              <w:adjustRightInd w:val="0"/>
              <w:snapToGrid w:val="0"/>
              <w:spacing w:line="360" w:lineRule="auto"/>
              <w:ind w:firstLineChars="0"/>
              <w:rPr>
                <w:rFonts w:ascii="Calibri" w:hAnsi="Calibri" w:cs="Times New Roman"/>
                <w:sz w:val="24"/>
              </w:rPr>
            </w:pPr>
            <w:r>
              <w:rPr>
                <w:rFonts w:ascii="Calibri" w:hAnsi="Calibri" w:cs="Times New Roman" w:hint="eastAsia"/>
                <w:sz w:val="24"/>
              </w:rPr>
              <w:t>变压器及低压柜规格以变压器及低压柜排列订货图为准。</w:t>
            </w:r>
          </w:p>
          <w:p w14:paraId="6DD6C6E3"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本工程由投标人自购的设备材料，其规格、技术指标、质量等级详见施工图及工程量清单，同时必须满足相应技术规范或技术标准的要求。</w:t>
            </w:r>
            <w:r>
              <w:rPr>
                <w:rFonts w:cs="宋体" w:hint="eastAsia"/>
                <w:sz w:val="24"/>
                <w:szCs w:val="24"/>
              </w:rPr>
              <w:t>投标人在进货前应先选送样品供招标人选样后再批量进货，如未选样而造成的损失由投标人负责。</w:t>
            </w:r>
          </w:p>
          <w:p w14:paraId="6398D1FF"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工程量清单应与招标文件、招标项目图纸等文件结合起来查阅与理解</w:t>
            </w:r>
            <w:r>
              <w:rPr>
                <w:rFonts w:ascii="Calibri" w:hAnsi="Calibri" w:cs="Times New Roman"/>
                <w:sz w:val="24"/>
                <w:szCs w:val="24"/>
              </w:rPr>
              <w:t>,</w:t>
            </w:r>
            <w:r>
              <w:rPr>
                <w:rFonts w:ascii="Calibri" w:hAnsi="Calibri" w:cs="Times New Roman"/>
                <w:sz w:val="24"/>
                <w:szCs w:val="24"/>
              </w:rPr>
              <w:t>工程量清单中所描述的项目特征仅为招标人对该分部分项工程特征的概述</w:t>
            </w:r>
            <w:r>
              <w:rPr>
                <w:rFonts w:ascii="Calibri" w:hAnsi="Calibri" w:cs="Times New Roman"/>
                <w:sz w:val="24"/>
                <w:szCs w:val="24"/>
              </w:rPr>
              <w:t>,</w:t>
            </w:r>
            <w:r>
              <w:rPr>
                <w:rFonts w:ascii="Calibri" w:hAnsi="Calibri" w:cs="Times New Roman"/>
                <w:sz w:val="24"/>
                <w:szCs w:val="24"/>
              </w:rPr>
              <w:t>而非是工程特征的全面描述</w:t>
            </w:r>
            <w:r>
              <w:rPr>
                <w:rFonts w:ascii="Calibri" w:hAnsi="Calibri" w:cs="Times New Roman"/>
                <w:sz w:val="24"/>
                <w:szCs w:val="24"/>
              </w:rPr>
              <w:t>,</w:t>
            </w:r>
            <w:r>
              <w:rPr>
                <w:rFonts w:ascii="Calibri" w:hAnsi="Calibri" w:cs="Times New Roman"/>
                <w:sz w:val="24"/>
                <w:szCs w:val="24"/>
              </w:rPr>
              <w:t>工程量清单特征描述不全时，应结合设计图纸、招标文件，并应当综合考虑专业技术要求、施工规范、地方规章等要求，所产生的费用计入投标报价中；清单特征中未描述的，但</w:t>
            </w:r>
            <w:r>
              <w:rPr>
                <w:rFonts w:ascii="Calibri" w:hAnsi="Calibri" w:cs="Times New Roman" w:hint="eastAsia"/>
                <w:sz w:val="24"/>
                <w:szCs w:val="24"/>
              </w:rPr>
              <w:t>2</w:t>
            </w:r>
            <w:r>
              <w:rPr>
                <w:rFonts w:ascii="Calibri" w:hAnsi="Calibri" w:cs="Times New Roman"/>
                <w:sz w:val="24"/>
                <w:szCs w:val="24"/>
              </w:rPr>
              <w:t>013</w:t>
            </w:r>
            <w:r>
              <w:rPr>
                <w:rFonts w:ascii="Calibri" w:hAnsi="Calibri" w:cs="Times New Roman"/>
                <w:sz w:val="24"/>
                <w:szCs w:val="24"/>
              </w:rPr>
              <w:t>计价规范中注明的工程内容，承包人在报价中应充分考虑</w:t>
            </w:r>
            <w:r>
              <w:rPr>
                <w:rFonts w:ascii="Calibri" w:hAnsi="Calibri" w:cs="Times New Roman"/>
                <w:sz w:val="24"/>
                <w:szCs w:val="24"/>
              </w:rPr>
              <w:t>“</w:t>
            </w:r>
            <w:r>
              <w:rPr>
                <w:rFonts w:ascii="Calibri" w:hAnsi="Calibri" w:cs="Times New Roman"/>
                <w:sz w:val="24"/>
                <w:szCs w:val="24"/>
              </w:rPr>
              <w:t>工程内容</w:t>
            </w:r>
            <w:r>
              <w:rPr>
                <w:rFonts w:ascii="Calibri" w:hAnsi="Calibri" w:cs="Times New Roman"/>
                <w:sz w:val="24"/>
                <w:szCs w:val="24"/>
              </w:rPr>
              <w:t>”</w:t>
            </w:r>
            <w:r>
              <w:rPr>
                <w:rFonts w:ascii="Calibri" w:hAnsi="Calibri" w:cs="Times New Roman"/>
                <w:sz w:val="24"/>
                <w:szCs w:val="24"/>
              </w:rPr>
              <w:t>而产生的费用，列入相应报价中。</w:t>
            </w:r>
          </w:p>
          <w:p w14:paraId="08BEDBAE"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投标报价应根据投标人实际情况自主进行，并最大限度地满足招标文件的要求，但不得低于成本，应充分考虑政策性风险、市场风险、环保措施、有害物质排放指标控制、处理和施工过程中可能发生的其他费用进行报价。</w:t>
            </w:r>
          </w:p>
          <w:p w14:paraId="1CFE6294"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投标人于投标前应勘察现场，分析施工条件（水、电、路、渣土堆放、施工便道的修建等）、现场水电条件是否满足施工要求等，涉及到以上须增加投入的因素，在投标报价中予以考虑。</w:t>
            </w:r>
          </w:p>
          <w:p w14:paraId="66187C5D"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lastRenderedPageBreak/>
              <w:t>本工程未单独列出超高部分的工程量，投标人根据图纸在各项清单中综合考虑超高费，结算时不增加任何费用。</w:t>
            </w:r>
          </w:p>
          <w:p w14:paraId="5467E941"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投标人在施工过程中应充分考虑对已完工程设备的保护，不得野蛮暴力施工，如因投标人野蛮施工导致原结构破坏，增加加固工程工作量，该部分费用由投标人自行承担，同时承担相应责任。</w:t>
            </w:r>
          </w:p>
          <w:p w14:paraId="316C4AEA"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本工程建筑垃圾外运、二次转运、运距及弃置、消纳、保洁费及渣土费、城镇垃圾处理费等，投标人应结合实际施工情况自行考虑在投标报价中。</w:t>
            </w:r>
          </w:p>
          <w:p w14:paraId="608DE112"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需要进行二次深化设计的项目所涉及的设计费用由投标人自行综合考虑在投标报价范围内，结算时不调整。</w:t>
            </w:r>
          </w:p>
          <w:p w14:paraId="24DEE29B"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总价措施项目清单</w:t>
            </w:r>
            <w:r>
              <w:rPr>
                <w:rFonts w:ascii="Calibri" w:hAnsi="Calibri" w:cs="Times New Roman"/>
                <w:sz w:val="24"/>
                <w:szCs w:val="24"/>
              </w:rPr>
              <w:t>除安全文明施工措施费以外，其他项目报价包干使用，中标后不作调整。单价措施项目费中除模板费用</w:t>
            </w:r>
            <w:r>
              <w:rPr>
                <w:rFonts w:ascii="Calibri" w:hAnsi="Calibri" w:cs="Times New Roman"/>
                <w:sz w:val="24"/>
                <w:szCs w:val="24"/>
              </w:rPr>
              <w:t>(</w:t>
            </w:r>
            <w:r>
              <w:rPr>
                <w:rFonts w:ascii="Calibri" w:hAnsi="Calibri" w:cs="Times New Roman"/>
                <w:sz w:val="24"/>
                <w:szCs w:val="24"/>
              </w:rPr>
              <w:t>按接触面积结算</w:t>
            </w:r>
            <w:r>
              <w:rPr>
                <w:rFonts w:ascii="Calibri" w:hAnsi="Calibri" w:cs="Times New Roman"/>
                <w:sz w:val="24"/>
                <w:szCs w:val="24"/>
              </w:rPr>
              <w:t>)</w:t>
            </w:r>
            <w:r>
              <w:rPr>
                <w:rFonts w:ascii="Calibri" w:hAnsi="Calibri" w:cs="Times New Roman"/>
                <w:sz w:val="24"/>
                <w:szCs w:val="24"/>
              </w:rPr>
              <w:t>可根据分部分项工程量变化、设计变更、现场签证相应调整外，其余单价措施费均已由投标人在投标报价中充分考虑，结算时均不调整。</w:t>
            </w:r>
          </w:p>
          <w:p w14:paraId="0A411AFD" w14:textId="56726CAE"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施工用水电费</w:t>
            </w:r>
            <w:r w:rsidR="007071EB">
              <w:rPr>
                <w:rFonts w:ascii="Calibri" w:hAnsi="Calibri" w:cs="Times New Roman" w:hint="eastAsia"/>
                <w:sz w:val="24"/>
                <w:szCs w:val="24"/>
              </w:rPr>
              <w:t>由投标人承担，</w:t>
            </w:r>
            <w:r>
              <w:rPr>
                <w:rFonts w:ascii="Calibri" w:hAnsi="Calibri" w:cs="Times New Roman" w:hint="eastAsia"/>
                <w:sz w:val="24"/>
                <w:szCs w:val="24"/>
              </w:rPr>
              <w:t>需计入投标报价内。</w:t>
            </w:r>
          </w:p>
          <w:p w14:paraId="53456DBD" w14:textId="77777777" w:rsidR="00DB0C93" w:rsidRDefault="00000000">
            <w:pPr>
              <w:numPr>
                <w:ilvl w:val="0"/>
                <w:numId w:val="5"/>
              </w:numPr>
              <w:adjustRightInd w:val="0"/>
              <w:snapToGrid w:val="0"/>
              <w:spacing w:line="360" w:lineRule="auto"/>
              <w:ind w:left="0" w:firstLineChars="200" w:firstLine="480"/>
              <w:rPr>
                <w:rFonts w:ascii="Calibri" w:hAnsi="Calibri" w:cs="Times New Roman"/>
                <w:sz w:val="24"/>
                <w:szCs w:val="24"/>
              </w:rPr>
            </w:pPr>
            <w:r w:rsidRPr="007071EB">
              <w:rPr>
                <w:rFonts w:ascii="Calibri" w:hAnsi="Calibri" w:cs="Times New Roman" w:hint="eastAsia"/>
                <w:sz w:val="24"/>
                <w:szCs w:val="24"/>
              </w:rPr>
              <w:t>本工程</w:t>
            </w:r>
            <w:proofErr w:type="gramStart"/>
            <w:r w:rsidRPr="007071EB">
              <w:rPr>
                <w:rFonts w:ascii="Calibri" w:hAnsi="Calibri" w:cs="Times New Roman" w:hint="eastAsia"/>
                <w:sz w:val="24"/>
                <w:szCs w:val="24"/>
              </w:rPr>
              <w:t>无创建</w:t>
            </w:r>
            <w:proofErr w:type="gramEnd"/>
            <w:r w:rsidRPr="007071EB">
              <w:rPr>
                <w:rFonts w:ascii="Calibri" w:hAnsi="Calibri" w:cs="Times New Roman" w:hint="eastAsia"/>
                <w:sz w:val="24"/>
                <w:szCs w:val="24"/>
              </w:rPr>
              <w:t>文明工地要求，对于江苏省、南京市及江北新区相关部门对工程施工要求所发的文件规定，特别是对于工程围挡、扬尘控制等的要求，请投标人在报价中充分考虑，结算时不得增加与此有关的费用。</w:t>
            </w:r>
          </w:p>
          <w:p w14:paraId="165F5093" w14:textId="77777777" w:rsidR="000C64AF" w:rsidRDefault="000C64AF">
            <w:pPr>
              <w:numPr>
                <w:ilvl w:val="0"/>
                <w:numId w:val="5"/>
              </w:numPr>
              <w:adjustRightInd w:val="0"/>
              <w:snapToGrid w:val="0"/>
              <w:spacing w:line="360" w:lineRule="auto"/>
              <w:ind w:left="0" w:firstLineChars="200" w:firstLine="480"/>
              <w:rPr>
                <w:rFonts w:ascii="Calibri" w:hAnsi="Calibri" w:cs="Times New Roman"/>
                <w:sz w:val="24"/>
                <w:szCs w:val="24"/>
              </w:rPr>
            </w:pPr>
            <w:r>
              <w:rPr>
                <w:rFonts w:ascii="Calibri" w:hAnsi="Calibri" w:cs="Times New Roman" w:hint="eastAsia"/>
                <w:sz w:val="24"/>
                <w:szCs w:val="24"/>
              </w:rPr>
              <w:t>材料品牌详见附表。</w:t>
            </w:r>
          </w:p>
          <w:p w14:paraId="4127DF0D" w14:textId="77777777" w:rsidR="000C64AF" w:rsidRDefault="000C64AF" w:rsidP="000C64AF">
            <w:pPr>
              <w:adjustRightInd w:val="0"/>
              <w:snapToGrid w:val="0"/>
              <w:spacing w:line="360" w:lineRule="auto"/>
              <w:ind w:left="480"/>
              <w:rPr>
                <w:rFonts w:ascii="Calibri" w:hAnsi="Calibri" w:cs="Times New Roman"/>
                <w:sz w:val="24"/>
                <w:szCs w:val="24"/>
              </w:rPr>
            </w:pPr>
          </w:p>
          <w:p w14:paraId="1B8D6F8C" w14:textId="77777777" w:rsidR="000C64AF" w:rsidRDefault="000C64AF" w:rsidP="000C64AF">
            <w:pPr>
              <w:adjustRightInd w:val="0"/>
              <w:snapToGrid w:val="0"/>
              <w:spacing w:line="360" w:lineRule="auto"/>
              <w:ind w:left="480"/>
              <w:rPr>
                <w:rFonts w:ascii="Calibri" w:hAnsi="Calibri" w:cs="Times New Roman"/>
                <w:sz w:val="24"/>
                <w:szCs w:val="24"/>
              </w:rPr>
            </w:pPr>
          </w:p>
          <w:p w14:paraId="7F5CEAE8" w14:textId="77777777" w:rsidR="000C64AF" w:rsidRDefault="000C64AF" w:rsidP="000C64AF">
            <w:pPr>
              <w:adjustRightInd w:val="0"/>
              <w:snapToGrid w:val="0"/>
              <w:spacing w:line="360" w:lineRule="auto"/>
              <w:ind w:left="480"/>
              <w:rPr>
                <w:rFonts w:ascii="Calibri" w:hAnsi="Calibri" w:cs="Times New Roman"/>
                <w:sz w:val="24"/>
                <w:szCs w:val="24"/>
              </w:rPr>
            </w:pPr>
          </w:p>
          <w:p w14:paraId="42EDE1DC" w14:textId="77777777" w:rsidR="000C64AF" w:rsidRDefault="000C64AF" w:rsidP="000C64AF">
            <w:pPr>
              <w:adjustRightInd w:val="0"/>
              <w:snapToGrid w:val="0"/>
              <w:spacing w:line="360" w:lineRule="auto"/>
              <w:ind w:left="480"/>
              <w:rPr>
                <w:rFonts w:ascii="Calibri" w:hAnsi="Calibri" w:cs="Times New Roman"/>
                <w:sz w:val="24"/>
                <w:szCs w:val="24"/>
              </w:rPr>
            </w:pPr>
          </w:p>
          <w:p w14:paraId="5030DD9C" w14:textId="77777777" w:rsidR="000C64AF" w:rsidRDefault="000C64AF" w:rsidP="000C64AF">
            <w:pPr>
              <w:adjustRightInd w:val="0"/>
              <w:snapToGrid w:val="0"/>
              <w:spacing w:line="360" w:lineRule="auto"/>
              <w:ind w:left="480"/>
              <w:rPr>
                <w:rFonts w:ascii="Calibri" w:hAnsi="Calibri" w:cs="Times New Roman"/>
                <w:sz w:val="24"/>
                <w:szCs w:val="24"/>
              </w:rPr>
            </w:pPr>
          </w:p>
          <w:p w14:paraId="4554DFC9" w14:textId="77777777" w:rsidR="000C64AF" w:rsidRDefault="000C64AF" w:rsidP="000C64AF">
            <w:pPr>
              <w:adjustRightInd w:val="0"/>
              <w:snapToGrid w:val="0"/>
              <w:spacing w:line="360" w:lineRule="auto"/>
              <w:ind w:left="480"/>
              <w:rPr>
                <w:rFonts w:ascii="Calibri" w:hAnsi="Calibri" w:cs="Times New Roman"/>
                <w:sz w:val="24"/>
                <w:szCs w:val="24"/>
              </w:rPr>
            </w:pPr>
          </w:p>
          <w:p w14:paraId="55896574" w14:textId="77777777" w:rsidR="000C64AF" w:rsidRDefault="000C64AF" w:rsidP="000C64AF">
            <w:pPr>
              <w:adjustRightInd w:val="0"/>
              <w:snapToGrid w:val="0"/>
              <w:spacing w:line="360" w:lineRule="auto"/>
              <w:ind w:left="480"/>
              <w:rPr>
                <w:rFonts w:ascii="Calibri" w:hAnsi="Calibri" w:cs="Times New Roman"/>
                <w:sz w:val="24"/>
                <w:szCs w:val="24"/>
              </w:rPr>
            </w:pPr>
          </w:p>
          <w:p w14:paraId="65E564E8" w14:textId="77777777" w:rsidR="000C64AF" w:rsidRDefault="000C64AF" w:rsidP="000C64AF">
            <w:pPr>
              <w:adjustRightInd w:val="0"/>
              <w:snapToGrid w:val="0"/>
              <w:spacing w:line="360" w:lineRule="auto"/>
              <w:ind w:left="480"/>
              <w:rPr>
                <w:rFonts w:ascii="Calibri" w:hAnsi="Calibri" w:cs="Times New Roman"/>
                <w:sz w:val="24"/>
                <w:szCs w:val="24"/>
              </w:rPr>
            </w:pPr>
          </w:p>
          <w:p w14:paraId="05065DD5" w14:textId="77777777" w:rsidR="000C64AF" w:rsidRDefault="000C64AF" w:rsidP="000C64AF">
            <w:pPr>
              <w:adjustRightInd w:val="0"/>
              <w:snapToGrid w:val="0"/>
              <w:spacing w:line="360" w:lineRule="auto"/>
              <w:ind w:left="480"/>
              <w:rPr>
                <w:rFonts w:ascii="Calibri" w:hAnsi="Calibri" w:cs="Times New Roman"/>
                <w:sz w:val="24"/>
                <w:szCs w:val="24"/>
              </w:rPr>
            </w:pPr>
          </w:p>
          <w:p w14:paraId="23DAB313" w14:textId="77777777" w:rsidR="000C64AF" w:rsidRDefault="000C64AF" w:rsidP="000C64AF">
            <w:pPr>
              <w:adjustRightInd w:val="0"/>
              <w:snapToGrid w:val="0"/>
              <w:spacing w:line="360" w:lineRule="auto"/>
              <w:ind w:left="480"/>
              <w:rPr>
                <w:rFonts w:ascii="Calibri" w:hAnsi="Calibri" w:cs="Times New Roman"/>
                <w:sz w:val="24"/>
                <w:szCs w:val="24"/>
              </w:rPr>
            </w:pPr>
          </w:p>
          <w:p w14:paraId="6ADF2575" w14:textId="77777777" w:rsidR="000C64AF" w:rsidRDefault="000C64AF" w:rsidP="000C64AF">
            <w:pPr>
              <w:adjustRightInd w:val="0"/>
              <w:snapToGrid w:val="0"/>
              <w:spacing w:line="360" w:lineRule="auto"/>
              <w:ind w:left="480"/>
              <w:rPr>
                <w:rFonts w:ascii="Calibri" w:hAnsi="Calibri" w:cs="Times New Roman"/>
                <w:sz w:val="24"/>
                <w:szCs w:val="24"/>
              </w:rPr>
            </w:pPr>
          </w:p>
          <w:p w14:paraId="3C3FD12E" w14:textId="77777777" w:rsidR="000C64AF" w:rsidRDefault="000C64AF" w:rsidP="000C64AF">
            <w:pPr>
              <w:adjustRightInd w:val="0"/>
              <w:snapToGrid w:val="0"/>
              <w:spacing w:line="360" w:lineRule="auto"/>
              <w:ind w:left="480"/>
              <w:rPr>
                <w:rFonts w:ascii="Calibri" w:hAnsi="Calibri" w:cs="Times New Roman"/>
                <w:sz w:val="24"/>
                <w:szCs w:val="24"/>
              </w:rPr>
            </w:pPr>
          </w:p>
          <w:p w14:paraId="19DD915E" w14:textId="1F64B223" w:rsidR="000C64AF" w:rsidRDefault="000C64AF" w:rsidP="000C64AF">
            <w:pPr>
              <w:adjustRightInd w:val="0"/>
              <w:snapToGrid w:val="0"/>
              <w:spacing w:line="360" w:lineRule="auto"/>
              <w:ind w:left="480"/>
              <w:rPr>
                <w:rFonts w:ascii="Calibri" w:hAnsi="Calibri" w:cs="Times New Roman"/>
                <w:sz w:val="24"/>
                <w:szCs w:val="24"/>
              </w:rPr>
            </w:pPr>
          </w:p>
          <w:tbl>
            <w:tblPr>
              <w:tblW w:w="5000" w:type="pct"/>
              <w:shd w:val="clear" w:color="auto" w:fill="FFFFFF" w:themeFill="background1"/>
              <w:tblLook w:val="04A0" w:firstRow="1" w:lastRow="0" w:firstColumn="1" w:lastColumn="0" w:noHBand="0" w:noVBand="1"/>
            </w:tblPr>
            <w:tblGrid>
              <w:gridCol w:w="765"/>
              <w:gridCol w:w="3727"/>
              <w:gridCol w:w="2961"/>
              <w:gridCol w:w="1139"/>
            </w:tblGrid>
            <w:tr w:rsidR="000C64AF" w:rsidRPr="000C64AF" w14:paraId="30172D6D" w14:textId="77777777" w:rsidTr="000C64AF">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59CA4" w14:textId="77777777" w:rsidR="000C64AF" w:rsidRPr="000C64AF" w:rsidRDefault="000C64AF" w:rsidP="000C64AF">
                  <w:pPr>
                    <w:framePr w:hSpace="180" w:wrap="around" w:vAnchor="text" w:hAnchor="margin" w:xAlign="center" w:y="346"/>
                    <w:widowControl/>
                    <w:suppressOverlap/>
                    <w:jc w:val="center"/>
                    <w:rPr>
                      <w:rFonts w:cs="宋体"/>
                      <w:b/>
                      <w:bCs/>
                      <w:kern w:val="0"/>
                      <w:sz w:val="20"/>
                      <w:szCs w:val="20"/>
                    </w:rPr>
                  </w:pPr>
                  <w:bookmarkStart w:id="1" w:name="RANGE!A1:D12"/>
                  <w:proofErr w:type="gramStart"/>
                  <w:r w:rsidRPr="000C64AF">
                    <w:rPr>
                      <w:rFonts w:cs="宋体" w:hint="eastAsia"/>
                      <w:b/>
                      <w:bCs/>
                      <w:kern w:val="0"/>
                      <w:sz w:val="24"/>
                      <w:szCs w:val="24"/>
                    </w:rPr>
                    <w:t>品牌表</w:t>
                  </w:r>
                  <w:bookmarkEnd w:id="1"/>
                  <w:proofErr w:type="gramEnd"/>
                </w:p>
              </w:tc>
            </w:tr>
            <w:tr w:rsidR="000C64AF" w:rsidRPr="000C64AF" w14:paraId="4DCAD915"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366D04" w14:textId="77777777" w:rsidR="000C64AF" w:rsidRPr="000C64AF" w:rsidRDefault="000C64AF" w:rsidP="000C64AF">
                  <w:pPr>
                    <w:framePr w:hSpace="180" w:wrap="around" w:vAnchor="text" w:hAnchor="margin" w:xAlign="center" w:y="346"/>
                    <w:widowControl/>
                    <w:suppressOverlap/>
                    <w:jc w:val="center"/>
                    <w:rPr>
                      <w:rFonts w:cs="宋体" w:hint="eastAsia"/>
                      <w:b/>
                      <w:bCs/>
                      <w:kern w:val="0"/>
                      <w:sz w:val="20"/>
                      <w:szCs w:val="20"/>
                    </w:rPr>
                  </w:pPr>
                  <w:r w:rsidRPr="000C64AF">
                    <w:rPr>
                      <w:rFonts w:cs="宋体" w:hint="eastAsia"/>
                      <w:b/>
                      <w:bCs/>
                      <w:kern w:val="0"/>
                      <w:sz w:val="20"/>
                      <w:szCs w:val="20"/>
                    </w:rPr>
                    <w:t>序号</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3700F1B2" w14:textId="77777777" w:rsidR="000C64AF" w:rsidRPr="000C64AF" w:rsidRDefault="000C64AF" w:rsidP="000C64AF">
                  <w:pPr>
                    <w:framePr w:hSpace="180" w:wrap="around" w:vAnchor="text" w:hAnchor="margin" w:xAlign="center" w:y="346"/>
                    <w:widowControl/>
                    <w:suppressOverlap/>
                    <w:jc w:val="center"/>
                    <w:rPr>
                      <w:rFonts w:cs="宋体" w:hint="eastAsia"/>
                      <w:b/>
                      <w:bCs/>
                      <w:kern w:val="0"/>
                      <w:sz w:val="20"/>
                      <w:szCs w:val="20"/>
                    </w:rPr>
                  </w:pPr>
                  <w:r w:rsidRPr="000C64AF">
                    <w:rPr>
                      <w:rFonts w:cs="宋体" w:hint="eastAsia"/>
                      <w:b/>
                      <w:bCs/>
                      <w:kern w:val="0"/>
                      <w:sz w:val="20"/>
                      <w:szCs w:val="20"/>
                    </w:rPr>
                    <w:t>设备及材料名称</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3A44F8D4" w14:textId="77777777" w:rsidR="000C64AF" w:rsidRPr="000C64AF" w:rsidRDefault="000C64AF" w:rsidP="000C64AF">
                  <w:pPr>
                    <w:framePr w:hSpace="180" w:wrap="around" w:vAnchor="text" w:hAnchor="margin" w:xAlign="center" w:y="346"/>
                    <w:widowControl/>
                    <w:suppressOverlap/>
                    <w:jc w:val="center"/>
                    <w:rPr>
                      <w:rFonts w:cs="宋体" w:hint="eastAsia"/>
                      <w:b/>
                      <w:bCs/>
                      <w:kern w:val="0"/>
                      <w:sz w:val="20"/>
                      <w:szCs w:val="20"/>
                    </w:rPr>
                  </w:pPr>
                  <w:r w:rsidRPr="000C64AF">
                    <w:rPr>
                      <w:rFonts w:cs="宋体" w:hint="eastAsia"/>
                      <w:b/>
                      <w:bCs/>
                      <w:kern w:val="0"/>
                      <w:sz w:val="20"/>
                      <w:szCs w:val="20"/>
                    </w:rPr>
                    <w:t>品牌、产地、厂家</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030ABB94" w14:textId="77777777" w:rsidR="000C64AF" w:rsidRPr="000C64AF" w:rsidRDefault="000C64AF" w:rsidP="000C64AF">
                  <w:pPr>
                    <w:framePr w:hSpace="180" w:wrap="around" w:vAnchor="text" w:hAnchor="margin" w:xAlign="center" w:y="346"/>
                    <w:widowControl/>
                    <w:suppressOverlap/>
                    <w:jc w:val="center"/>
                    <w:rPr>
                      <w:rFonts w:cs="宋体" w:hint="eastAsia"/>
                      <w:b/>
                      <w:bCs/>
                      <w:kern w:val="0"/>
                      <w:sz w:val="20"/>
                      <w:szCs w:val="20"/>
                    </w:rPr>
                  </w:pPr>
                  <w:r w:rsidRPr="000C64AF">
                    <w:rPr>
                      <w:rFonts w:cs="宋体" w:hint="eastAsia"/>
                      <w:b/>
                      <w:bCs/>
                      <w:kern w:val="0"/>
                      <w:sz w:val="20"/>
                      <w:szCs w:val="20"/>
                    </w:rPr>
                    <w:t>备注</w:t>
                  </w:r>
                </w:p>
              </w:tc>
            </w:tr>
            <w:tr w:rsidR="000C64AF" w:rsidRPr="000C64AF" w14:paraId="0E86B9A8" w14:textId="77777777" w:rsidTr="000C64AF">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6DCEF" w14:textId="77777777" w:rsidR="000C64AF" w:rsidRPr="000C64AF" w:rsidRDefault="000C64AF" w:rsidP="000C64AF">
                  <w:pPr>
                    <w:framePr w:hSpace="180" w:wrap="around" w:vAnchor="text" w:hAnchor="margin" w:xAlign="center" w:y="346"/>
                    <w:widowControl/>
                    <w:suppressOverlap/>
                    <w:jc w:val="left"/>
                    <w:rPr>
                      <w:rFonts w:cs="宋体" w:hint="eastAsia"/>
                      <w:b/>
                      <w:bCs/>
                      <w:kern w:val="0"/>
                      <w:sz w:val="20"/>
                      <w:szCs w:val="20"/>
                    </w:rPr>
                  </w:pPr>
                  <w:r w:rsidRPr="000C64AF">
                    <w:rPr>
                      <w:rFonts w:cs="宋体" w:hint="eastAsia"/>
                      <w:b/>
                      <w:bCs/>
                      <w:kern w:val="0"/>
                      <w:sz w:val="20"/>
                      <w:szCs w:val="20"/>
                    </w:rPr>
                    <w:t>安装工程</w:t>
                  </w:r>
                </w:p>
              </w:tc>
            </w:tr>
            <w:tr w:rsidR="000C64AF" w:rsidRPr="000C64AF" w14:paraId="000B4509" w14:textId="77777777" w:rsidTr="000C64AF">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D2D2F" w14:textId="77777777" w:rsidR="000C64AF" w:rsidRPr="000C64AF" w:rsidRDefault="000C64AF" w:rsidP="000C64AF">
                  <w:pPr>
                    <w:framePr w:hSpace="180" w:wrap="around" w:vAnchor="text" w:hAnchor="margin" w:xAlign="center" w:y="346"/>
                    <w:widowControl/>
                    <w:suppressOverlap/>
                    <w:jc w:val="left"/>
                    <w:rPr>
                      <w:rFonts w:cs="宋体" w:hint="eastAsia"/>
                      <w:b/>
                      <w:bCs/>
                      <w:kern w:val="0"/>
                      <w:sz w:val="20"/>
                      <w:szCs w:val="20"/>
                    </w:rPr>
                  </w:pPr>
                  <w:r w:rsidRPr="000C64AF">
                    <w:rPr>
                      <w:rFonts w:cs="宋体" w:hint="eastAsia"/>
                      <w:b/>
                      <w:bCs/>
                      <w:kern w:val="0"/>
                      <w:sz w:val="20"/>
                      <w:szCs w:val="20"/>
                    </w:rPr>
                    <w:t>1、给排水类</w:t>
                  </w:r>
                </w:p>
              </w:tc>
            </w:tr>
            <w:tr w:rsidR="000C64AF" w:rsidRPr="000C64AF" w14:paraId="6C4A3AD9"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641F65"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1</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5B153737"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阀门类</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57F41212"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上海冠龙、上海沪航、上海沪工、南京消防</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49661541"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7406CFB2"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6C087AC"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2</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5321C09A"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镀锌钢管及配件</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50E6BC2B"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上海劳动、天津友发、浙江金洲</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3ECDB0DC"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6AD595A4" w14:textId="77777777" w:rsidTr="000C64AF">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ACF75" w14:textId="77777777" w:rsidR="000C64AF" w:rsidRPr="000C64AF" w:rsidRDefault="000C64AF" w:rsidP="000C64AF">
                  <w:pPr>
                    <w:framePr w:hSpace="180" w:wrap="around" w:vAnchor="text" w:hAnchor="margin" w:xAlign="center" w:y="346"/>
                    <w:widowControl/>
                    <w:suppressOverlap/>
                    <w:jc w:val="left"/>
                    <w:rPr>
                      <w:rFonts w:cs="宋体" w:hint="eastAsia"/>
                      <w:b/>
                      <w:bCs/>
                      <w:kern w:val="0"/>
                      <w:sz w:val="20"/>
                      <w:szCs w:val="20"/>
                    </w:rPr>
                  </w:pPr>
                  <w:r w:rsidRPr="000C64AF">
                    <w:rPr>
                      <w:rFonts w:cs="宋体" w:hint="eastAsia"/>
                      <w:b/>
                      <w:bCs/>
                      <w:kern w:val="0"/>
                      <w:sz w:val="20"/>
                      <w:szCs w:val="20"/>
                    </w:rPr>
                    <w:t>2、强电</w:t>
                  </w:r>
                </w:p>
              </w:tc>
            </w:tr>
            <w:tr w:rsidR="000C64AF" w:rsidRPr="000C64AF" w14:paraId="20C58382"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1EDAA220"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1</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448A6EAE"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环网柜</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0DC4E6E0"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proofErr w:type="gramStart"/>
                  <w:r w:rsidRPr="000C64AF">
                    <w:rPr>
                      <w:rFonts w:cs="宋体" w:hint="eastAsia"/>
                      <w:kern w:val="0"/>
                      <w:sz w:val="20"/>
                      <w:szCs w:val="20"/>
                    </w:rPr>
                    <w:t>金陵华赛</w:t>
                  </w:r>
                  <w:proofErr w:type="gramEnd"/>
                  <w:r w:rsidRPr="000C64AF">
                    <w:rPr>
                      <w:rFonts w:cs="宋体" w:hint="eastAsia"/>
                      <w:kern w:val="0"/>
                      <w:sz w:val="20"/>
                      <w:szCs w:val="20"/>
                    </w:rPr>
                    <w:t>、南京乾</w:t>
                  </w:r>
                  <w:proofErr w:type="gramStart"/>
                  <w:r w:rsidRPr="000C64AF">
                    <w:rPr>
                      <w:rFonts w:cs="宋体" w:hint="eastAsia"/>
                      <w:kern w:val="0"/>
                      <w:sz w:val="20"/>
                      <w:szCs w:val="20"/>
                    </w:rPr>
                    <w:t>鑫</w:t>
                  </w:r>
                  <w:proofErr w:type="gramEnd"/>
                  <w:r w:rsidRPr="000C64AF">
                    <w:rPr>
                      <w:rFonts w:cs="宋体" w:hint="eastAsia"/>
                      <w:kern w:val="0"/>
                      <w:sz w:val="20"/>
                      <w:szCs w:val="20"/>
                    </w:rPr>
                    <w:t>、南京</w:t>
                  </w:r>
                  <w:proofErr w:type="gramStart"/>
                  <w:r w:rsidRPr="000C64AF">
                    <w:rPr>
                      <w:rFonts w:cs="宋体" w:hint="eastAsia"/>
                      <w:kern w:val="0"/>
                      <w:sz w:val="20"/>
                      <w:szCs w:val="20"/>
                    </w:rPr>
                    <w:t>新虹佳</w:t>
                  </w:r>
                  <w:proofErr w:type="gramEnd"/>
                </w:p>
              </w:tc>
              <w:tc>
                <w:tcPr>
                  <w:tcW w:w="663" w:type="pct"/>
                  <w:tcBorders>
                    <w:top w:val="nil"/>
                    <w:left w:val="nil"/>
                    <w:bottom w:val="single" w:sz="4" w:space="0" w:color="auto"/>
                    <w:right w:val="single" w:sz="4" w:space="0" w:color="auto"/>
                  </w:tcBorders>
                  <w:shd w:val="clear" w:color="auto" w:fill="FFFFFF" w:themeFill="background1"/>
                  <w:vAlign w:val="center"/>
                  <w:hideMark/>
                </w:tcPr>
                <w:p w14:paraId="55D9D4CC"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4CC7438D"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52CD32"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2</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0796CF22"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断路器</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3F950845"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施耐德、 ABB、西门子</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536B0C64"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5B839D1B"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13774F4B"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3</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6329A644"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多功能表、智能仪表</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4FDC7D7B"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上海源春、南京帝诺、南京伊顿</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58C6BE69"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7C0658E5"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F0247"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4</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1D774618"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变压器</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03C8DA91"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特变电工、许继电气、江苏源通</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4B75A9F7"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r w:rsidR="000C64AF" w:rsidRPr="000C64AF" w14:paraId="6050B049" w14:textId="77777777" w:rsidTr="000C64AF">
              <w:trPr>
                <w:trHeight w:val="600"/>
              </w:trPr>
              <w:tc>
                <w:tcPr>
                  <w:tcW w:w="445"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8D462D"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5</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38C9DEED"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无功补偿及有源滤波</w:t>
                  </w:r>
                </w:p>
              </w:tc>
              <w:tc>
                <w:tcPr>
                  <w:tcW w:w="1723" w:type="pct"/>
                  <w:tcBorders>
                    <w:top w:val="nil"/>
                    <w:left w:val="nil"/>
                    <w:bottom w:val="single" w:sz="4" w:space="0" w:color="auto"/>
                    <w:right w:val="single" w:sz="4" w:space="0" w:color="auto"/>
                  </w:tcBorders>
                  <w:shd w:val="clear" w:color="auto" w:fill="FFFFFF" w:themeFill="background1"/>
                  <w:vAlign w:val="center"/>
                  <w:hideMark/>
                </w:tcPr>
                <w:p w14:paraId="3379F4E1"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爱科赛博 、拉赛、恒</w:t>
                  </w:r>
                  <w:proofErr w:type="gramStart"/>
                  <w:r w:rsidRPr="000C64AF">
                    <w:rPr>
                      <w:rFonts w:cs="宋体" w:hint="eastAsia"/>
                      <w:kern w:val="0"/>
                      <w:sz w:val="20"/>
                      <w:szCs w:val="20"/>
                    </w:rPr>
                    <w:t>电</w:t>
                  </w:r>
                  <w:proofErr w:type="gramEnd"/>
                  <w:r w:rsidRPr="000C64AF">
                    <w:rPr>
                      <w:rFonts w:cs="宋体" w:hint="eastAsia"/>
                      <w:kern w:val="0"/>
                      <w:sz w:val="20"/>
                      <w:szCs w:val="20"/>
                    </w:rPr>
                    <w:t xml:space="preserve">电气           </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68B419DA" w14:textId="77777777" w:rsidR="000C64AF" w:rsidRPr="000C64AF" w:rsidRDefault="000C64AF" w:rsidP="000C64AF">
                  <w:pPr>
                    <w:framePr w:hSpace="180" w:wrap="around" w:vAnchor="text" w:hAnchor="margin" w:xAlign="center" w:y="346"/>
                    <w:widowControl/>
                    <w:suppressOverlap/>
                    <w:jc w:val="left"/>
                    <w:rPr>
                      <w:rFonts w:cs="宋体" w:hint="eastAsia"/>
                      <w:kern w:val="0"/>
                      <w:sz w:val="20"/>
                      <w:szCs w:val="20"/>
                    </w:rPr>
                  </w:pPr>
                  <w:r w:rsidRPr="000C64AF">
                    <w:rPr>
                      <w:rFonts w:cs="宋体" w:hint="eastAsia"/>
                      <w:kern w:val="0"/>
                      <w:sz w:val="20"/>
                      <w:szCs w:val="20"/>
                    </w:rPr>
                    <w:t xml:space="preserve">　</w:t>
                  </w:r>
                </w:p>
              </w:tc>
            </w:tr>
          </w:tbl>
          <w:p w14:paraId="3E004C9A" w14:textId="78ECEAEC" w:rsidR="000C64AF" w:rsidRPr="000C64AF" w:rsidRDefault="000C64AF" w:rsidP="000C64AF">
            <w:pPr>
              <w:adjustRightInd w:val="0"/>
              <w:snapToGrid w:val="0"/>
              <w:spacing w:line="360" w:lineRule="auto"/>
              <w:ind w:left="480"/>
              <w:rPr>
                <w:rFonts w:ascii="Calibri" w:hAnsi="Calibri" w:cs="Times New Roman" w:hint="eastAsia"/>
                <w:sz w:val="24"/>
                <w:szCs w:val="24"/>
              </w:rPr>
            </w:pPr>
          </w:p>
        </w:tc>
      </w:tr>
    </w:tbl>
    <w:p w14:paraId="646D9055" w14:textId="77777777" w:rsidR="00DB0C93" w:rsidRDefault="00DB0C93">
      <w:pPr>
        <w:ind w:firstLineChars="200" w:firstLine="420"/>
        <w:rPr>
          <w:rFonts w:hint="eastAsia"/>
        </w:rPr>
      </w:pPr>
    </w:p>
    <w:sectPr w:rsidR="00DB0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9E8"/>
    <w:multiLevelType w:val="multilevel"/>
    <w:tmpl w:val="0C8329E8"/>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E44191B"/>
    <w:multiLevelType w:val="multilevel"/>
    <w:tmpl w:val="2E44191B"/>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4D6CEF"/>
    <w:multiLevelType w:val="multilevel"/>
    <w:tmpl w:val="3D4D6CEF"/>
    <w:lvl w:ilvl="0">
      <w:start w:val="1"/>
      <w:numFmt w:val="decimal"/>
      <w:lvlText w:val="%1."/>
      <w:lvlJc w:val="left"/>
      <w:pPr>
        <w:ind w:left="283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7B257B"/>
    <w:multiLevelType w:val="hybridMultilevel"/>
    <w:tmpl w:val="DEB45776"/>
    <w:lvl w:ilvl="0" w:tplc="46CEAD5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0CC0783"/>
    <w:multiLevelType w:val="multilevel"/>
    <w:tmpl w:val="40CC07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083B0C"/>
    <w:multiLevelType w:val="multilevel"/>
    <w:tmpl w:val="48083B0C"/>
    <w:lvl w:ilvl="0">
      <w:start w:val="1"/>
      <w:numFmt w:val="decimal"/>
      <w:lvlText w:val="%1)"/>
      <w:lvlJc w:val="left"/>
      <w:pPr>
        <w:ind w:left="920" w:hanging="440"/>
      </w:pPr>
      <w:rPr>
        <w:rFonts w:ascii="宋体" w:eastAsia="宋体" w:hAnsi="宋体"/>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67521B8"/>
    <w:multiLevelType w:val="multilevel"/>
    <w:tmpl w:val="567521B8"/>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C3471B5"/>
    <w:multiLevelType w:val="multilevel"/>
    <w:tmpl w:val="48083B0C"/>
    <w:lvl w:ilvl="0">
      <w:start w:val="1"/>
      <w:numFmt w:val="decimal"/>
      <w:lvlText w:val="%1)"/>
      <w:lvlJc w:val="left"/>
      <w:pPr>
        <w:ind w:left="920" w:hanging="440"/>
      </w:pPr>
      <w:rPr>
        <w:rFonts w:ascii="宋体" w:eastAsia="宋体" w:hAnsi="宋体"/>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5D4B51B9"/>
    <w:multiLevelType w:val="multilevel"/>
    <w:tmpl w:val="5D4B51B9"/>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2125925319">
    <w:abstractNumId w:val="6"/>
  </w:num>
  <w:num w:numId="2" w16cid:durableId="1666979187">
    <w:abstractNumId w:val="1"/>
  </w:num>
  <w:num w:numId="3" w16cid:durableId="1127049376">
    <w:abstractNumId w:val="4"/>
  </w:num>
  <w:num w:numId="4" w16cid:durableId="114561791">
    <w:abstractNumId w:val="8"/>
  </w:num>
  <w:num w:numId="5" w16cid:durableId="912856681">
    <w:abstractNumId w:val="2"/>
  </w:num>
  <w:num w:numId="6" w16cid:durableId="1886410328">
    <w:abstractNumId w:val="0"/>
  </w:num>
  <w:num w:numId="7" w16cid:durableId="2066097879">
    <w:abstractNumId w:val="5"/>
  </w:num>
  <w:num w:numId="8" w16cid:durableId="1909992478">
    <w:abstractNumId w:val="3"/>
  </w:num>
  <w:num w:numId="9" w16cid:durableId="2126271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41"/>
    <w:rsid w:val="0002030A"/>
    <w:rsid w:val="00021A03"/>
    <w:rsid w:val="00042BA7"/>
    <w:rsid w:val="00064742"/>
    <w:rsid w:val="000B679C"/>
    <w:rsid w:val="000C64AF"/>
    <w:rsid w:val="000E17E0"/>
    <w:rsid w:val="000E1C7B"/>
    <w:rsid w:val="00120681"/>
    <w:rsid w:val="001468FB"/>
    <w:rsid w:val="001747C0"/>
    <w:rsid w:val="001A15EA"/>
    <w:rsid w:val="001A39A9"/>
    <w:rsid w:val="001A39F2"/>
    <w:rsid w:val="001B2FE3"/>
    <w:rsid w:val="001E2923"/>
    <w:rsid w:val="002143E8"/>
    <w:rsid w:val="002528CE"/>
    <w:rsid w:val="00254330"/>
    <w:rsid w:val="0025496A"/>
    <w:rsid w:val="002808A2"/>
    <w:rsid w:val="002A7846"/>
    <w:rsid w:val="002E7CB8"/>
    <w:rsid w:val="00317FCF"/>
    <w:rsid w:val="00333820"/>
    <w:rsid w:val="00344738"/>
    <w:rsid w:val="00351F3E"/>
    <w:rsid w:val="003600BA"/>
    <w:rsid w:val="003607D2"/>
    <w:rsid w:val="0036170F"/>
    <w:rsid w:val="0036467F"/>
    <w:rsid w:val="003678AC"/>
    <w:rsid w:val="00371F55"/>
    <w:rsid w:val="00372036"/>
    <w:rsid w:val="003900F4"/>
    <w:rsid w:val="00396830"/>
    <w:rsid w:val="003A5BC3"/>
    <w:rsid w:val="003A5DD8"/>
    <w:rsid w:val="003B29EE"/>
    <w:rsid w:val="003B784C"/>
    <w:rsid w:val="003B7F07"/>
    <w:rsid w:val="00401F46"/>
    <w:rsid w:val="00402537"/>
    <w:rsid w:val="004120C2"/>
    <w:rsid w:val="0042574D"/>
    <w:rsid w:val="00463DF2"/>
    <w:rsid w:val="004854FD"/>
    <w:rsid w:val="004913D4"/>
    <w:rsid w:val="00492501"/>
    <w:rsid w:val="004A11E4"/>
    <w:rsid w:val="004A4DE6"/>
    <w:rsid w:val="004C73EA"/>
    <w:rsid w:val="004E3051"/>
    <w:rsid w:val="004F01D8"/>
    <w:rsid w:val="004F2A58"/>
    <w:rsid w:val="005362D2"/>
    <w:rsid w:val="00555171"/>
    <w:rsid w:val="0057791D"/>
    <w:rsid w:val="00582E8F"/>
    <w:rsid w:val="00585C69"/>
    <w:rsid w:val="005A7AB4"/>
    <w:rsid w:val="005D6613"/>
    <w:rsid w:val="005E6166"/>
    <w:rsid w:val="005E7288"/>
    <w:rsid w:val="006218CC"/>
    <w:rsid w:val="00627F38"/>
    <w:rsid w:val="006975D0"/>
    <w:rsid w:val="006A3063"/>
    <w:rsid w:val="006B2E77"/>
    <w:rsid w:val="006B7A5B"/>
    <w:rsid w:val="006C7335"/>
    <w:rsid w:val="006E0BA2"/>
    <w:rsid w:val="006E19C7"/>
    <w:rsid w:val="006E212B"/>
    <w:rsid w:val="006F646E"/>
    <w:rsid w:val="00703CFB"/>
    <w:rsid w:val="00705D78"/>
    <w:rsid w:val="007071EB"/>
    <w:rsid w:val="0070796D"/>
    <w:rsid w:val="00714795"/>
    <w:rsid w:val="00720403"/>
    <w:rsid w:val="0072102A"/>
    <w:rsid w:val="0072205A"/>
    <w:rsid w:val="00741822"/>
    <w:rsid w:val="007922D5"/>
    <w:rsid w:val="00794FD4"/>
    <w:rsid w:val="007A3A64"/>
    <w:rsid w:val="007A502D"/>
    <w:rsid w:val="007E2D79"/>
    <w:rsid w:val="007E60FE"/>
    <w:rsid w:val="0086108A"/>
    <w:rsid w:val="008705C7"/>
    <w:rsid w:val="00883C50"/>
    <w:rsid w:val="00887179"/>
    <w:rsid w:val="00891B48"/>
    <w:rsid w:val="008A1941"/>
    <w:rsid w:val="008A46CA"/>
    <w:rsid w:val="008C1633"/>
    <w:rsid w:val="008D44F6"/>
    <w:rsid w:val="008D7743"/>
    <w:rsid w:val="008F3802"/>
    <w:rsid w:val="008F723F"/>
    <w:rsid w:val="00903933"/>
    <w:rsid w:val="009219F4"/>
    <w:rsid w:val="009276E8"/>
    <w:rsid w:val="009328B6"/>
    <w:rsid w:val="00932F21"/>
    <w:rsid w:val="00934E79"/>
    <w:rsid w:val="00945D15"/>
    <w:rsid w:val="00950F5E"/>
    <w:rsid w:val="009568AE"/>
    <w:rsid w:val="00977D60"/>
    <w:rsid w:val="00987223"/>
    <w:rsid w:val="009A133C"/>
    <w:rsid w:val="009B4D71"/>
    <w:rsid w:val="009D5E43"/>
    <w:rsid w:val="009E2586"/>
    <w:rsid w:val="00A00121"/>
    <w:rsid w:val="00A23588"/>
    <w:rsid w:val="00A47C60"/>
    <w:rsid w:val="00A50A6C"/>
    <w:rsid w:val="00A52ADD"/>
    <w:rsid w:val="00A54E4B"/>
    <w:rsid w:val="00A5587C"/>
    <w:rsid w:val="00A656FD"/>
    <w:rsid w:val="00A73A11"/>
    <w:rsid w:val="00A81E4E"/>
    <w:rsid w:val="00AA7561"/>
    <w:rsid w:val="00AB5D19"/>
    <w:rsid w:val="00AE430C"/>
    <w:rsid w:val="00B14AB1"/>
    <w:rsid w:val="00B20284"/>
    <w:rsid w:val="00B2357B"/>
    <w:rsid w:val="00B246EF"/>
    <w:rsid w:val="00B24EC7"/>
    <w:rsid w:val="00B61068"/>
    <w:rsid w:val="00B85341"/>
    <w:rsid w:val="00B8570D"/>
    <w:rsid w:val="00B972BB"/>
    <w:rsid w:val="00BA7E82"/>
    <w:rsid w:val="00BC6608"/>
    <w:rsid w:val="00BE79FC"/>
    <w:rsid w:val="00C2632E"/>
    <w:rsid w:val="00C26D56"/>
    <w:rsid w:val="00C55352"/>
    <w:rsid w:val="00C6267C"/>
    <w:rsid w:val="00C82E02"/>
    <w:rsid w:val="00C858EC"/>
    <w:rsid w:val="00C95D45"/>
    <w:rsid w:val="00CA2BED"/>
    <w:rsid w:val="00CC2446"/>
    <w:rsid w:val="00CF2D5B"/>
    <w:rsid w:val="00CF73D9"/>
    <w:rsid w:val="00D105A2"/>
    <w:rsid w:val="00D21891"/>
    <w:rsid w:val="00D35506"/>
    <w:rsid w:val="00D36BFB"/>
    <w:rsid w:val="00D44F04"/>
    <w:rsid w:val="00D509EB"/>
    <w:rsid w:val="00D67707"/>
    <w:rsid w:val="00D80014"/>
    <w:rsid w:val="00D948DF"/>
    <w:rsid w:val="00DA0A67"/>
    <w:rsid w:val="00DB0C93"/>
    <w:rsid w:val="00DB4D4C"/>
    <w:rsid w:val="00DD0B1A"/>
    <w:rsid w:val="00DD1044"/>
    <w:rsid w:val="00DE4C1A"/>
    <w:rsid w:val="00DF5A4C"/>
    <w:rsid w:val="00DF728B"/>
    <w:rsid w:val="00E125F8"/>
    <w:rsid w:val="00E22E45"/>
    <w:rsid w:val="00E4054F"/>
    <w:rsid w:val="00E55706"/>
    <w:rsid w:val="00E60EB3"/>
    <w:rsid w:val="00E7402C"/>
    <w:rsid w:val="00E7528C"/>
    <w:rsid w:val="00EA3F12"/>
    <w:rsid w:val="00EA66EF"/>
    <w:rsid w:val="00EA739A"/>
    <w:rsid w:val="00F05FFD"/>
    <w:rsid w:val="00F0601A"/>
    <w:rsid w:val="00F070C7"/>
    <w:rsid w:val="00F21B46"/>
    <w:rsid w:val="00F237E0"/>
    <w:rsid w:val="00F31AB0"/>
    <w:rsid w:val="00F32FA1"/>
    <w:rsid w:val="00F4377B"/>
    <w:rsid w:val="00F454AE"/>
    <w:rsid w:val="00F8027D"/>
    <w:rsid w:val="00FA21F6"/>
    <w:rsid w:val="00FB1D94"/>
    <w:rsid w:val="00FB1E6E"/>
    <w:rsid w:val="00FB3761"/>
    <w:rsid w:val="00FD1EB7"/>
    <w:rsid w:val="00FD4D15"/>
    <w:rsid w:val="00FE2CF6"/>
    <w:rsid w:val="00FE7CFE"/>
    <w:rsid w:val="00FE7D3D"/>
    <w:rsid w:val="00FF5418"/>
    <w:rsid w:val="09C54D10"/>
    <w:rsid w:val="30133D15"/>
    <w:rsid w:val="30F65134"/>
    <w:rsid w:val="45641992"/>
    <w:rsid w:val="49455BE1"/>
    <w:rsid w:val="5137339E"/>
    <w:rsid w:val="6C99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2731"/>
  <w15:docId w15:val="{6E4DC5B2-FF53-4214-9307-D59D6CE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3998">
      <w:bodyDiv w:val="1"/>
      <w:marLeft w:val="0"/>
      <w:marRight w:val="0"/>
      <w:marTop w:val="0"/>
      <w:marBottom w:val="0"/>
      <w:divBdr>
        <w:top w:val="none" w:sz="0" w:space="0" w:color="auto"/>
        <w:left w:val="none" w:sz="0" w:space="0" w:color="auto"/>
        <w:bottom w:val="none" w:sz="0" w:space="0" w:color="auto"/>
        <w:right w:val="none" w:sz="0" w:space="0" w:color="auto"/>
      </w:divBdr>
    </w:div>
    <w:div w:id="1600793240">
      <w:bodyDiv w:val="1"/>
      <w:marLeft w:val="0"/>
      <w:marRight w:val="0"/>
      <w:marTop w:val="0"/>
      <w:marBottom w:val="0"/>
      <w:divBdr>
        <w:top w:val="none" w:sz="0" w:space="0" w:color="auto"/>
        <w:left w:val="none" w:sz="0" w:space="0" w:color="auto"/>
        <w:bottom w:val="none" w:sz="0" w:space="0" w:color="auto"/>
        <w:right w:val="none" w:sz="0" w:space="0" w:color="auto"/>
      </w:divBdr>
    </w:div>
    <w:div w:id="165197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dc:creator>
  <cp:lastModifiedBy>L D</cp:lastModifiedBy>
  <cp:revision>56</cp:revision>
  <dcterms:created xsi:type="dcterms:W3CDTF">2023-08-22T07:52:00Z</dcterms:created>
  <dcterms:modified xsi:type="dcterms:W3CDTF">2025-05-30T02:36:00Z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eyJoZGlkIjoiYTMzYmFhYzg0MTU3NGQxZDg1NTk1N2M4YTY5OTcwNzkiLCJ1c2VySWQiOiIzNjE2MjkwMTEifQ==</vt:lpwstr>
  </property>
  <property fmtid="{D5CDD505-2E9C-101B-9397-08002B2CF9AE}" pid="4" name="ICV">
    <vt:lpwstr>195494B1B93B4E9F97AAED4A222BB941_12</vt:lpwstr>
  </property>
</Properties>
</file>