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0"/>
        <w:jc w:val="both"/>
        <w:rPr>
          <w:rFonts w:hint="eastAsia" w:ascii="仿宋" w:hAnsi="仿宋" w:eastAsia="仿宋" w:cs="仿宋"/>
          <w:b/>
          <w:bCs/>
          <w:color w:val="000000"/>
          <w:sz w:val="32"/>
          <w:highlight w:val="none"/>
        </w:rPr>
      </w:pPr>
      <w:r/>
      <w:bookmarkStart w:id="0" w:name="_Toc21520"/>
      <w:r/>
      <w:bookmarkStart w:id="1" w:name="_Toc5939"/>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eastAsia="zh-CN"/>
        </w:rPr>
        <w:t xml:space="preserve">2026年“百校巡回招引”系列活动引才活动执行采购项目（二次）</w:t>
      </w:r>
      <w:r>
        <w:rPr>
          <w:rFonts w:hint="eastAsia" w:ascii="仿宋" w:hAnsi="仿宋" w:eastAsia="仿宋" w:cs="仿宋"/>
          <w:b/>
          <w:bCs/>
          <w:color w:val="000000"/>
          <w:sz w:val="32"/>
          <w:highlight w:val="none"/>
        </w:rPr>
      </w:r>
      <w:r/>
    </w:p>
    <w:p>
      <w:pPr>
        <w:pStyle w:val="1200"/>
        <w:ind w:left="630" w:firstLine="0"/>
        <w:jc w:val="both"/>
        <w:rPr>
          <w:rFonts w:ascii="仿宋" w:hAnsi="仿宋" w:eastAsia="仿宋" w:cs="仿宋"/>
          <w:b/>
          <w:bCs/>
          <w:color w:val="000000"/>
          <w:sz w:val="32"/>
          <w:highlight w:val="none"/>
          <w:lang w:val="en-US" w:eastAsia="zh-CN"/>
        </w:rPr>
      </w:pPr>
      <w:r/>
      <w:bookmarkStart w:id="2" w:name="_Toc31166"/>
      <w:r/>
      <w:bookmarkStart w:id="3" w:name="_Toc19122"/>
      <w:r>
        <w:rPr>
          <w:rFonts w:hint="eastAsia" w:ascii="仿宋" w:hAnsi="仿宋" w:eastAsia="仿宋" w:cs="仿宋"/>
          <w:b/>
          <w:bCs/>
          <w:color w:val="000000"/>
          <w:sz w:val="32"/>
          <w:highlight w:val="none"/>
          <w:lang w:val="en-US" w:eastAsia="zh-CN"/>
        </w:rPr>
        <w:t xml:space="preserve">苏采云项目编号：JSZC-320100-JSQC-C2026-0011</w:t>
      </w:r>
      <w:r/>
    </w:p>
    <w:p>
      <w:pPr>
        <w:pStyle w:val="1200"/>
        <w:ind w:left="630" w:firstLine="0"/>
        <w:jc w:val="both"/>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磋商文件编号</w:t>
      </w:r>
      <w:r>
        <w:rPr>
          <w:rFonts w:hint="eastAsia" w:ascii="仿宋" w:hAnsi="仿宋" w:eastAsia="仿宋" w:cs="仿宋"/>
          <w:b/>
          <w:bCs/>
          <w:color w:val="000000"/>
          <w:sz w:val="32"/>
          <w:highlight w:val="none"/>
        </w:rPr>
        <w:t xml:space="preserve">：</w:t>
      </w:r>
      <w:bookmarkEnd w:id="2"/>
      <w:r/>
      <w:bookmarkEnd w:id="3"/>
      <w:r>
        <w:rPr>
          <w:rFonts w:hint="eastAsia" w:ascii="仿宋" w:hAnsi="仿宋" w:eastAsia="仿宋" w:cs="仿宋"/>
          <w:b/>
          <w:bCs/>
          <w:color w:val="000000"/>
          <w:sz w:val="32"/>
          <w:highlight w:val="none"/>
          <w:lang w:eastAsia="zh-CN"/>
        </w:rPr>
        <w:t xml:space="preserve">QC-2026032710C2</w:t>
      </w:r>
      <w:r>
        <w:rPr>
          <w:rFonts w:hint="eastAsia" w:ascii="仿宋" w:hAnsi="仿宋" w:eastAsia="仿宋" w:cs="仿宋"/>
          <w:b/>
          <w:bCs/>
          <w:color w:val="000000"/>
          <w:sz w:val="32"/>
          <w:highlight w:val="none"/>
          <w:lang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jc w:val="both"/>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eastAsia="zh-CN"/>
        </w:rPr>
        <w:t xml:space="preserve">南京市劳动就业服务管理中心（南京市毕业生就业指导服务中心）</w:t>
      </w:r>
      <w:r>
        <w:rPr>
          <w:rFonts w:hint="eastAsia" w:ascii="仿宋" w:hAnsi="仿宋" w:eastAsia="仿宋" w:cs="仿宋"/>
          <w:b/>
          <w:bCs/>
          <w:color w:val="000000"/>
          <w:sz w:val="32"/>
          <w:highlight w:val="none"/>
          <w:lang w:eastAsia="zh-CN"/>
        </w:rPr>
      </w:r>
      <w:r/>
    </w:p>
    <w:p>
      <w:pPr>
        <w:pStyle w:val="1200"/>
        <w:ind w:left="840" w:firstLine="0"/>
        <w:jc w:val="both"/>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0"/>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2026年4月</w:t>
      </w:r>
      <w:r>
        <w:rPr>
          <w:rFonts w:hint="eastAsia" w:ascii="仿宋" w:hAnsi="仿宋" w:eastAsia="仿宋" w:cs="仿宋"/>
          <w:b/>
          <w:bCs/>
          <w:color w:val="000000"/>
          <w:sz w:val="32"/>
          <w:highlight w:val="none"/>
          <w:lang w:eastAsia="zh-CN"/>
        </w:rPr>
      </w:r>
      <w:r/>
    </w:p>
    <w:p>
      <w:pPr>
        <w:pStyle w:val="1200"/>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133"/>
        <w:jc w:val="center"/>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13710"/>
      <w:r/>
      <w:bookmarkStart w:id="7" w:name="_Toc12646"/>
      <w:r/>
      <w:bookmarkStart w:id="8" w:name="_Toc3016"/>
      <w:r/>
      <w:bookmarkStart w:id="9" w:name="_Toc28368"/>
      <w:r/>
      <w:bookmarkStart w:id="10" w:name="_Toc31274"/>
      <w:r/>
      <w:bookmarkStart w:id="11" w:name="_Toc18348"/>
      <w:r/>
      <w:bookmarkStart w:id="12" w:name="_Toc2635"/>
      <w:r/>
      <w:bookmarkStart w:id="13" w:name="_Toc32125"/>
      <w:r/>
      <w:bookmarkStart w:id="14" w:name="_Toc1912"/>
      <w:r/>
      <w:bookmarkStart w:id="15" w:name="_Toc5031"/>
      <w:r/>
      <w:bookmarkStart w:id="16" w:name="_Toc28121"/>
      <w:r/>
      <w:bookmarkStart w:id="17" w:name="_Toc24790"/>
      <w:r/>
      <w:bookmarkStart w:id="18" w:name="_Toc120614210"/>
      <w:r/>
      <w:bookmarkStart w:id="19" w:name="_Toc479757206"/>
      <w:r/>
      <w:bookmarkStart w:id="20" w:name="_Toc20823272"/>
      <w:r/>
      <w:bookmarkStart w:id="21" w:name="_Toc523127445"/>
      <w:r/>
      <w:bookmarkStart w:id="22" w:name="_Toc16938516"/>
      <w:r/>
      <w:bookmarkStart w:id="23" w:name="_Toc513029200"/>
      <w:r>
        <w:rPr>
          <w:rFonts w:hint="eastAsia" w:ascii="仿宋" w:hAnsi="仿宋" w:eastAsia="仿宋" w:cs="仿宋"/>
          <w:b/>
          <w:color w:val="000000"/>
          <w:sz w:val="44"/>
          <w:highlight w:val="none"/>
        </w:rPr>
        <w:t xml:space="preserve">目录</w:t>
      </w:r>
      <w:bookmarkEnd w:id="6"/>
      <w:r/>
      <w:bookmarkEnd w:id="7"/>
      <w:r/>
      <w:bookmarkEnd w:id="8"/>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color w:val="000000"/>
          <w:sz w:val="44"/>
          <w:highlight w:val="none"/>
        </w:rPr>
      </w:r>
      <w:r/>
    </w:p>
    <w:p>
      <w:pPr>
        <w:pStyle w:val="1169"/>
        <w:tabs>
          <w:tab w:val="right" w:pos="9180" w:leader="dot"/>
        </w:tabs>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TOC \o "1-2" \h \u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_Toc2635 </w:instrText>
      </w:r>
      <w:r>
        <w:rPr>
          <w:rFonts w:hint="eastAsia" w:ascii="仿宋" w:hAnsi="仿宋" w:eastAsia="仿宋" w:cs="仿宋"/>
          <w:szCs w:val="22"/>
          <w:highlight w:val="none"/>
        </w:rPr>
        <w:fldChar w:fldCharType="separate"/>
      </w:r>
      <w:r>
        <w:rPr>
          <w:rFonts w:hint="eastAsia" w:ascii="仿宋" w:hAnsi="仿宋" w:eastAsia="仿宋" w:cs="仿宋"/>
          <w:highlight w:val="none"/>
        </w:rPr>
        <w:t xml:space="preserve">目录</w:t>
      </w:r>
      <w:r>
        <w:tab/>
      </w:r>
      <w:r>
        <w:fldChar w:fldCharType="begin"/>
      </w:r>
      <w:r>
        <w:instrText xml:space="preserve"> PAGEREF _Toc2635 \h </w:instrText>
      </w:r>
      <w:r>
        <w:fldChar w:fldCharType="separate"/>
      </w:r>
      <w:r>
        <w:t xml:space="preserve">2</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_Toc20606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第一章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磋商邀请</w:t>
      </w:r>
      <w:r>
        <w:tab/>
      </w:r>
      <w:r>
        <w:fldChar w:fldCharType="begin"/>
      </w:r>
      <w:r>
        <w:instrText xml:space="preserve"> PAGEREF _Toc20606 \h </w:instrText>
      </w:r>
      <w:r>
        <w:fldChar w:fldCharType="separate"/>
      </w:r>
      <w:r>
        <w:t xml:space="preserve">1</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_Toc14288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一、项目基本情况</w:t>
      </w:r>
      <w:r>
        <w:tab/>
      </w:r>
      <w:r>
        <w:fldChar w:fldCharType="begin"/>
      </w:r>
      <w:r>
        <w:instrText xml:space="preserve"> PAGEREF _Toc14288 \h </w:instrText>
      </w:r>
      <w:r>
        <w:fldChar w:fldCharType="separate"/>
      </w:r>
      <w:r>
        <w:t xml:space="preserve">1</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_Toc23754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二、供应商的资格要求</w:t>
      </w:r>
      <w:r>
        <w:tab/>
      </w:r>
      <w:r>
        <w:fldChar w:fldCharType="begin"/>
      </w:r>
      <w:r>
        <w:instrText xml:space="preserve"> PAGEREF _Toc23754 \h </w:instrText>
      </w:r>
      <w:r>
        <w:fldChar w:fldCharType="separate"/>
      </w:r>
      <w:r>
        <w:t xml:space="preserve">1</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_Toc761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三、获取磋商文件</w:t>
      </w:r>
      <w:r>
        <w:tab/>
      </w:r>
      <w:r>
        <w:fldChar w:fldCharType="begin"/>
      </w:r>
      <w:r>
        <w:instrText xml:space="preserve"> PAGEREF _Toc761 \h </w:instrText>
      </w:r>
      <w:r>
        <w:fldChar w:fldCharType="separate"/>
      </w:r>
      <w:r>
        <w:t xml:space="preserve">3</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_Toc8003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四、提交</w:t>
      </w:r>
      <w:r>
        <w:rPr>
          <w:rFonts w:hint="eastAsia" w:ascii="仿宋" w:hAnsi="仿宋" w:eastAsia="仿宋" w:cs="仿宋"/>
          <w:bCs/>
          <w:szCs w:val="24"/>
          <w:highlight w:val="none"/>
          <w:lang w:eastAsia="zh-CN"/>
        </w:rPr>
        <w:t xml:space="preserve">响应文件</w:t>
      </w:r>
      <w:r>
        <w:rPr>
          <w:rFonts w:hint="eastAsia" w:ascii="仿宋" w:hAnsi="仿宋" w:eastAsia="仿宋" w:cs="仿宋"/>
          <w:bCs/>
          <w:szCs w:val="24"/>
          <w:highlight w:val="none"/>
        </w:rPr>
        <w:t xml:space="preserve">截止时间、开标时间和地点</w:t>
      </w:r>
      <w:r>
        <w:tab/>
      </w:r>
      <w:r>
        <w:fldChar w:fldCharType="begin"/>
      </w:r>
      <w:r>
        <w:instrText xml:space="preserve"> PAGEREF _Toc8003 \h </w:instrText>
      </w:r>
      <w:r>
        <w:fldChar w:fldCharType="separate"/>
      </w:r>
      <w:r>
        <w:t xml:space="preserve">3</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_Toc29523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五、公告期限</w:t>
      </w:r>
      <w:r>
        <w:tab/>
      </w:r>
      <w:r>
        <w:fldChar w:fldCharType="begin"/>
      </w:r>
      <w:r>
        <w:instrText xml:space="preserve"> PAGEREF _Toc29523 \h </w:instrText>
      </w:r>
      <w:r>
        <w:fldChar w:fldCharType="separate"/>
      </w:r>
      <w:r>
        <w:t xml:space="preserve">5</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_Toc15372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六、其他补充事宜</w:t>
      </w:r>
      <w:r>
        <w:tab/>
      </w:r>
      <w:r>
        <w:fldChar w:fldCharType="begin"/>
      </w:r>
      <w:r>
        <w:instrText xml:space="preserve"> PAGEREF _Toc15372 \h </w:instrText>
      </w:r>
      <w:r>
        <w:fldChar w:fldCharType="separate"/>
      </w:r>
      <w:r>
        <w:t xml:space="preserve">5</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_Toc5136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七、</w:t>
      </w:r>
      <w:r>
        <w:rPr>
          <w:rFonts w:hint="eastAsia" w:ascii="仿宋" w:hAnsi="仿宋" w:eastAsia="仿宋" w:cs="仿宋"/>
          <w:bCs/>
          <w:szCs w:val="24"/>
          <w:highlight w:val="none"/>
        </w:rPr>
        <w:t xml:space="preserve">本次</w:t>
      </w:r>
      <w:r>
        <w:rPr>
          <w:rFonts w:hint="eastAsia" w:ascii="仿宋" w:hAnsi="仿宋" w:eastAsia="仿宋" w:cs="仿宋"/>
          <w:szCs w:val="24"/>
          <w:highlight w:val="none"/>
        </w:rPr>
        <w:t xml:space="preserve">磋商联系方式</w:t>
      </w:r>
      <w:r>
        <w:tab/>
      </w:r>
      <w:r>
        <w:fldChar w:fldCharType="begin"/>
      </w:r>
      <w:r>
        <w:instrText xml:space="preserve"> PAGEREF _Toc5136 \h </w:instrText>
      </w:r>
      <w:r>
        <w:fldChar w:fldCharType="separate"/>
      </w:r>
      <w:r>
        <w:t xml:space="preserve">5</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_Toc12973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八、其他</w:t>
      </w:r>
      <w:r>
        <w:tab/>
      </w:r>
      <w:r>
        <w:fldChar w:fldCharType="begin"/>
      </w:r>
      <w:r>
        <w:instrText xml:space="preserve"> PAGEREF _Toc12973 \h </w:instrText>
      </w:r>
      <w:r>
        <w:fldChar w:fldCharType="separate"/>
      </w:r>
      <w:r>
        <w:t xml:space="preserve">6</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_Toc27471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第二章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供应商须知</w:t>
      </w:r>
      <w:r>
        <w:tab/>
      </w:r>
      <w:r>
        <w:fldChar w:fldCharType="begin"/>
      </w:r>
      <w:r>
        <w:instrText xml:space="preserve"> PAGEREF _Toc27471 \h </w:instrText>
      </w:r>
      <w:r>
        <w:fldChar w:fldCharType="separate"/>
      </w:r>
      <w:r>
        <w:t xml:space="preserve">7</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_Toc10922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供应商须知前附表</w:t>
      </w:r>
      <w:r>
        <w:tab/>
      </w:r>
      <w:r>
        <w:fldChar w:fldCharType="begin"/>
      </w:r>
      <w:r>
        <w:instrText xml:space="preserve"> PAGEREF _Toc10922 \h </w:instrText>
      </w:r>
      <w:r>
        <w:fldChar w:fldCharType="separate"/>
      </w:r>
      <w:r>
        <w:t xml:space="preserve">7</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_Toc31940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第三章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合同文本（服务）</w:t>
      </w:r>
      <w:r>
        <w:tab/>
      </w:r>
      <w:r>
        <w:fldChar w:fldCharType="begin"/>
      </w:r>
      <w:r>
        <w:instrText xml:space="preserve"> PAGEREF _Toc31940 \h </w:instrText>
      </w:r>
      <w:r>
        <w:fldChar w:fldCharType="separate"/>
      </w:r>
      <w:r>
        <w:t xml:space="preserve">21</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_Toc12842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第四章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项目需求</w:t>
      </w:r>
      <w:r>
        <w:tab/>
      </w:r>
      <w:r>
        <w:fldChar w:fldCharType="begin"/>
      </w:r>
      <w:r>
        <w:instrText xml:space="preserve"> PAGEREF _Toc12842 \h </w:instrText>
      </w:r>
      <w:r>
        <w:fldChar w:fldCharType="separate"/>
      </w:r>
      <w:r>
        <w:t xml:space="preserve">26</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_Toc14922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rPr>
        <w:t xml:space="preserve">一、项目</w:t>
      </w:r>
      <w:r>
        <w:rPr>
          <w:rFonts w:hint="eastAsia" w:ascii="仿宋" w:hAnsi="仿宋" w:eastAsia="仿宋" w:cs="仿宋"/>
          <w:szCs w:val="24"/>
          <w:highlight w:val="none"/>
          <w:lang w:val="en-US" w:eastAsia="zh-CN"/>
        </w:rPr>
        <w:t xml:space="preserve">概括</w:t>
      </w:r>
      <w:r>
        <w:tab/>
      </w:r>
      <w:r>
        <w:fldChar w:fldCharType="begin"/>
      </w:r>
      <w:r>
        <w:instrText xml:space="preserve"> PAGEREF _Toc14922 \h </w:instrText>
      </w:r>
      <w:r>
        <w:fldChar w:fldCharType="separate"/>
      </w:r>
      <w:r>
        <w:t xml:space="preserve">26</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_Toc26273 </w:instrText>
      </w:r>
      <w:r>
        <w:rPr>
          <w:rFonts w:hint="eastAsia" w:ascii="仿宋" w:hAnsi="仿宋" w:eastAsia="仿宋" w:cs="仿宋"/>
          <w:szCs w:val="22"/>
          <w:highlight w:val="none"/>
        </w:rPr>
        <w:fldChar w:fldCharType="separate"/>
      </w:r>
      <w:r>
        <w:rPr>
          <w:rFonts w:ascii="仿宋" w:hAnsi="仿宋" w:eastAsia="仿宋" w:cs="仿宋"/>
          <w:bCs/>
          <w:spacing w:val="-6"/>
          <w:szCs w:val="24"/>
          <w:highlight w:val="none"/>
        </w:rPr>
        <w:t xml:space="preserve">二、</w:t>
      </w:r>
      <w:r>
        <w:rPr>
          <w:rFonts w:hint="eastAsia" w:ascii="仿宋" w:hAnsi="仿宋" w:eastAsia="仿宋" w:cs="仿宋"/>
          <w:bCs/>
          <w:szCs w:val="24"/>
          <w:highlight w:val="none"/>
        </w:rPr>
        <w:t xml:space="preserve">采购</w:t>
      </w:r>
      <w:r>
        <w:rPr>
          <w:rFonts w:ascii="仿宋" w:hAnsi="仿宋" w:eastAsia="仿宋" w:cs="仿宋"/>
          <w:bCs/>
          <w:spacing w:val="-6"/>
          <w:szCs w:val="24"/>
          <w:highlight w:val="none"/>
        </w:rPr>
        <w:t xml:space="preserve">需求</w:t>
      </w:r>
      <w:r>
        <w:tab/>
      </w:r>
      <w:r>
        <w:fldChar w:fldCharType="begin"/>
      </w:r>
      <w:r>
        <w:instrText xml:space="preserve"> PAGEREF _Toc26273 \h </w:instrText>
      </w:r>
      <w:r>
        <w:fldChar w:fldCharType="separate"/>
      </w:r>
      <w:r>
        <w:t xml:space="preserve">26</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_Toc6765 </w:instrText>
      </w:r>
      <w:r>
        <w:rPr>
          <w:rFonts w:hint="eastAsia" w:ascii="仿宋" w:hAnsi="仿宋" w:eastAsia="仿宋" w:cs="仿宋"/>
          <w:szCs w:val="22"/>
          <w:highlight w:val="none"/>
        </w:rPr>
        <w:fldChar w:fldCharType="separate"/>
      </w:r>
      <w:r>
        <w:rPr>
          <w:rFonts w:hint="eastAsia" w:ascii="仿宋" w:hAnsi="仿宋" w:eastAsia="仿宋" w:cs="仿宋"/>
          <w:szCs w:val="24"/>
          <w:highlight w:val="none"/>
          <w:lang w:val="en-US" w:eastAsia="zh-CN" w:bidi="ar-SA"/>
        </w:rPr>
        <w:t xml:space="preserve">三、其他要求</w:t>
      </w:r>
      <w:r>
        <w:tab/>
      </w:r>
      <w:r>
        <w:fldChar w:fldCharType="begin"/>
      </w:r>
      <w:r>
        <w:instrText xml:space="preserve"> PAGEREF _Toc6765 \h </w:instrText>
      </w:r>
      <w:r>
        <w:fldChar w:fldCharType="separate"/>
      </w:r>
      <w:r>
        <w:t xml:space="preserve">27</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_Toc32710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第五章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评审方法与评审标准</w:t>
      </w:r>
      <w:r>
        <w:tab/>
      </w:r>
      <w:r>
        <w:fldChar w:fldCharType="begin"/>
      </w:r>
      <w:r>
        <w:instrText xml:space="preserve"> PAGEREF _Toc32710 \h </w:instrText>
      </w:r>
      <w:r>
        <w:fldChar w:fldCharType="separate"/>
      </w:r>
      <w:r>
        <w:t xml:space="preserve">30</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_Toc3060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一、定标办法</w:t>
      </w:r>
      <w:r>
        <w:tab/>
      </w:r>
      <w:r>
        <w:fldChar w:fldCharType="begin"/>
      </w:r>
      <w:r>
        <w:instrText xml:space="preserve"> PAGEREF _Toc3060 \h </w:instrText>
      </w:r>
      <w:r>
        <w:fldChar w:fldCharType="separate"/>
      </w:r>
      <w:r>
        <w:t xml:space="preserve">30</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_Toc14189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二、政府采购政策功能落实</w:t>
      </w:r>
      <w:r>
        <w:tab/>
      </w:r>
      <w:r>
        <w:fldChar w:fldCharType="begin"/>
      </w:r>
      <w:r>
        <w:instrText xml:space="preserve"> PAGEREF _Toc14189 \h </w:instrText>
      </w:r>
      <w:r>
        <w:fldChar w:fldCharType="separate"/>
      </w:r>
      <w:r>
        <w:t xml:space="preserve">30</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_Toc30439 </w:instrText>
      </w:r>
      <w:r>
        <w:rPr>
          <w:rFonts w:hint="eastAsia" w:ascii="仿宋" w:hAnsi="仿宋" w:eastAsia="仿宋" w:cs="仿宋"/>
          <w:szCs w:val="22"/>
          <w:highlight w:val="none"/>
        </w:rPr>
        <w:fldChar w:fldCharType="separate"/>
      </w:r>
      <w:r>
        <w:rPr>
          <w:rFonts w:hint="eastAsia" w:ascii="仿宋" w:hAnsi="仿宋" w:eastAsia="仿宋" w:cs="仿宋"/>
          <w:bCs/>
          <w:szCs w:val="24"/>
          <w:highlight w:val="none"/>
        </w:rPr>
        <w:t xml:space="preserve">三、评审办法和评审标准</w:t>
      </w:r>
      <w:r>
        <w:tab/>
      </w:r>
      <w:r>
        <w:fldChar w:fldCharType="begin"/>
      </w:r>
      <w:r>
        <w:instrText xml:space="preserve"> PAGEREF _Toc30439 \h </w:instrText>
      </w:r>
      <w:r>
        <w:fldChar w:fldCharType="separate"/>
      </w:r>
      <w:r>
        <w:t xml:space="preserve">32</w:t>
      </w:r>
      <w:r>
        <w:fldChar w:fldCharType="end"/>
      </w:r>
      <w:r>
        <w:rPr>
          <w:rFonts w:hint="eastAsia" w:ascii="仿宋" w:hAnsi="仿宋" w:eastAsia="仿宋" w:cs="仿宋"/>
          <w:color w:val="000000"/>
          <w:szCs w:val="22"/>
          <w:highlight w:val="none"/>
        </w:rPr>
        <w:fldChar w:fldCharType="end"/>
      </w:r>
      <w:r/>
    </w:p>
    <w:p>
      <w:pPr>
        <w:pStyle w:val="1169"/>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_Toc7417 </w:instrText>
      </w:r>
      <w:r>
        <w:rPr>
          <w:rFonts w:hint="eastAsia" w:ascii="仿宋" w:hAnsi="仿宋" w:eastAsia="仿宋" w:cs="仿宋"/>
          <w:szCs w:val="22"/>
          <w:highlight w:val="none"/>
        </w:rPr>
        <w:fldChar w:fldCharType="separate"/>
      </w:r>
      <w:r>
        <w:rPr>
          <w:rFonts w:hint="eastAsia" w:ascii="仿宋" w:hAnsi="仿宋" w:eastAsia="仿宋" w:cs="仿宋"/>
          <w:bCs/>
          <w:szCs w:val="40"/>
          <w:highlight w:val="none"/>
        </w:rPr>
        <w:t xml:space="preserve">第六章</w:t>
      </w:r>
      <w:r>
        <w:rPr>
          <w:rFonts w:hint="eastAsia" w:ascii="仿宋" w:hAnsi="仿宋" w:eastAsia="仿宋" w:cs="仿宋"/>
          <w:bCs/>
          <w:szCs w:val="40"/>
          <w:highlight w:val="none"/>
          <w:lang w:val="en-US" w:eastAsia="zh-CN"/>
        </w:rPr>
        <w:t xml:space="preserve"> </w:t>
      </w:r>
      <w:r>
        <w:rPr>
          <w:rFonts w:hint="eastAsia" w:ascii="仿宋" w:hAnsi="仿宋" w:eastAsia="仿宋" w:cs="仿宋"/>
          <w:bCs/>
          <w:szCs w:val="40"/>
          <w:highlight w:val="none"/>
        </w:rPr>
        <w:t xml:space="preserve">响应文件格式</w:t>
      </w:r>
      <w:r>
        <w:tab/>
      </w:r>
      <w:r>
        <w:fldChar w:fldCharType="begin"/>
      </w:r>
      <w:r>
        <w:instrText xml:space="preserve"> PAGEREF _Toc7417 \h </w:instrText>
      </w:r>
      <w:r>
        <w:fldChar w:fldCharType="separate"/>
      </w:r>
      <w:r>
        <w:t xml:space="preserve">36</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_Toc16047 </w:instrText>
      </w:r>
      <w:r>
        <w:rPr>
          <w:rFonts w:hint="eastAsia" w:ascii="仿宋" w:hAnsi="仿宋" w:eastAsia="仿宋" w:cs="仿宋"/>
          <w:szCs w:val="22"/>
          <w:highlight w:val="none"/>
        </w:rPr>
        <w:fldChar w:fldCharType="separate"/>
      </w:r>
      <w:r>
        <w:rPr>
          <w:rFonts w:hint="eastAsia" w:ascii="仿宋" w:hAnsi="仿宋" w:eastAsia="仿宋" w:cs="仿宋"/>
          <w:i/>
          <w:szCs w:val="36"/>
          <w:highlight w:val="none"/>
        </w:rPr>
        <w:t xml:space="preserve">资格证明文件（第一项-第七项）</w:t>
      </w:r>
      <w:r>
        <w:tab/>
      </w:r>
      <w:r>
        <w:fldChar w:fldCharType="begin"/>
      </w:r>
      <w:r>
        <w:instrText xml:space="preserve"> PAGEREF _Toc16047 \h </w:instrText>
      </w:r>
      <w:r>
        <w:fldChar w:fldCharType="separate"/>
      </w:r>
      <w:r>
        <w:t xml:space="preserve">38</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_Toc6524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一、法人或其他组织的营业执照等证明文件，自然人的身份证明</w:t>
      </w:r>
      <w:r>
        <w:tab/>
      </w:r>
      <w:r>
        <w:fldChar w:fldCharType="begin"/>
      </w:r>
      <w:r>
        <w:instrText xml:space="preserve"> PAGEREF _Toc6524 \h </w:instrText>
      </w:r>
      <w:r>
        <w:fldChar w:fldCharType="separate"/>
      </w:r>
      <w:r>
        <w:t xml:space="preserve">38</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_Toc20931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二、响应文件截止时间前一年的财务状况报告或银行出具的资信证明或其他会计报表等</w:t>
      </w:r>
      <w:r>
        <w:tab/>
      </w:r>
      <w:r>
        <w:fldChar w:fldCharType="begin"/>
      </w:r>
      <w:r>
        <w:instrText xml:space="preserve"> PAGEREF _Toc20931 \h </w:instrText>
      </w:r>
      <w:r>
        <w:fldChar w:fldCharType="separate"/>
      </w:r>
      <w:r>
        <w:t xml:space="preserve">38</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_Toc15950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三、依法缴纳税收和社会保障资金的相关材料</w:t>
      </w:r>
      <w:r>
        <w:tab/>
      </w:r>
      <w:r>
        <w:fldChar w:fldCharType="begin"/>
      </w:r>
      <w:r>
        <w:instrText xml:space="preserve"> PAGEREF _Toc15950 \h </w:instrText>
      </w:r>
      <w:r>
        <w:fldChar w:fldCharType="separate"/>
      </w:r>
      <w:r>
        <w:t xml:space="preserve">38</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_Toc15843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四、具备履行合同所必需的设备和专业技术能力的书面声明</w:t>
      </w:r>
      <w:r>
        <w:tab/>
      </w:r>
      <w:r>
        <w:fldChar w:fldCharType="begin"/>
      </w:r>
      <w:r>
        <w:instrText xml:space="preserve"> PAGEREF _Toc15843 \h </w:instrText>
      </w:r>
      <w:r>
        <w:fldChar w:fldCharType="separate"/>
      </w:r>
      <w:r>
        <w:t xml:space="preserve">39</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_Toc18294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五、参加政府采购活动前3年内在经营活动中没有重大违法记录的书面声明</w:t>
      </w:r>
      <w:r>
        <w:tab/>
      </w:r>
      <w:r>
        <w:fldChar w:fldCharType="begin"/>
      </w:r>
      <w:r>
        <w:instrText xml:space="preserve"> PAGEREF _Toc18294 \h </w:instrText>
      </w:r>
      <w:r>
        <w:fldChar w:fldCharType="separate"/>
      </w:r>
      <w:r>
        <w:t xml:space="preserve">39</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_Toc18939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六、特定资格要求的证明文件</w:t>
      </w:r>
      <w:r>
        <w:tab/>
      </w:r>
      <w:r>
        <w:fldChar w:fldCharType="begin"/>
      </w:r>
      <w:r>
        <w:instrText xml:space="preserve"> PAGEREF _Toc18939 \h </w:instrText>
      </w:r>
      <w:r>
        <w:fldChar w:fldCharType="separate"/>
      </w:r>
      <w:r>
        <w:t xml:space="preserve">40</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_Toc31773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七、承诺函</w:t>
      </w:r>
      <w:r>
        <w:tab/>
      </w:r>
      <w:r>
        <w:fldChar w:fldCharType="begin"/>
      </w:r>
      <w:r>
        <w:instrText xml:space="preserve"> PAGEREF _Toc31773 \h </w:instrText>
      </w:r>
      <w:r>
        <w:fldChar w:fldCharType="separate"/>
      </w:r>
      <w:r>
        <w:t xml:space="preserve">40</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_Toc12880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八、法人授权书</w:t>
      </w:r>
      <w:r>
        <w:tab/>
      </w:r>
      <w:r>
        <w:fldChar w:fldCharType="begin"/>
      </w:r>
      <w:r>
        <w:instrText xml:space="preserve"> PAGEREF _Toc12880 \h </w:instrText>
      </w:r>
      <w:r>
        <w:fldChar w:fldCharType="separate"/>
      </w:r>
      <w:r>
        <w:t xml:space="preserve">41</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_Toc31969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九、响应函</w:t>
      </w:r>
      <w:r>
        <w:tab/>
      </w:r>
      <w:r>
        <w:fldChar w:fldCharType="begin"/>
      </w:r>
      <w:r>
        <w:instrText xml:space="preserve"> PAGEREF _Toc31969 \h </w:instrText>
      </w:r>
      <w:r>
        <w:fldChar w:fldCharType="separate"/>
      </w:r>
      <w:r>
        <w:t xml:space="preserve">42</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_Toc7397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十、小微企业声明函（服务）</w:t>
      </w:r>
      <w:r>
        <w:tab/>
      </w:r>
      <w:r>
        <w:fldChar w:fldCharType="begin"/>
      </w:r>
      <w:r>
        <w:instrText xml:space="preserve"> PAGEREF _Toc7397 \h </w:instrText>
      </w:r>
      <w:r>
        <w:fldChar w:fldCharType="separate"/>
      </w:r>
      <w:r>
        <w:t xml:space="preserve">43</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_Toc10274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十一、残疾人福利性单位声明函</w:t>
      </w:r>
      <w:r>
        <w:tab/>
      </w:r>
      <w:r>
        <w:fldChar w:fldCharType="begin"/>
      </w:r>
      <w:r>
        <w:instrText xml:space="preserve"> PAGEREF _Toc10274 \h </w:instrText>
      </w:r>
      <w:r>
        <w:fldChar w:fldCharType="separate"/>
      </w:r>
      <w:r>
        <w:t xml:space="preserve">44</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_Toc17727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十二、监狱企业声明函</w:t>
      </w:r>
      <w:r>
        <w:tab/>
      </w:r>
      <w:r>
        <w:fldChar w:fldCharType="begin"/>
      </w:r>
      <w:r>
        <w:instrText xml:space="preserve"> PAGEREF _Toc17727 \h </w:instrText>
      </w:r>
      <w:r>
        <w:fldChar w:fldCharType="separate"/>
      </w:r>
      <w:r>
        <w:t xml:space="preserve">45</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_Toc28500 </w:instrText>
      </w:r>
      <w:r>
        <w:rPr>
          <w:rFonts w:hint="eastAsia" w:ascii="仿宋" w:hAnsi="仿宋" w:eastAsia="仿宋" w:cs="仿宋"/>
          <w:szCs w:val="22"/>
          <w:highlight w:val="none"/>
        </w:rPr>
        <w:fldChar w:fldCharType="separate"/>
      </w:r>
      <w:r>
        <w:rPr>
          <w:rFonts w:hint="eastAsia" w:ascii="仿宋" w:hAnsi="仿宋" w:eastAsia="仿宋" w:cs="仿宋"/>
          <w:bCs/>
          <w:i w:val="0"/>
          <w:iCs/>
          <w:szCs w:val="32"/>
          <w:lang w:eastAsia="zh-CN"/>
        </w:rPr>
        <w:t xml:space="preserve">十三、</w:t>
      </w:r>
      <w:r>
        <w:rPr>
          <w:rFonts w:hint="eastAsia" w:ascii="仿宋" w:hAnsi="仿宋" w:eastAsia="仿宋" w:cs="仿宋"/>
          <w:bCs/>
          <w:i w:val="0"/>
          <w:iCs/>
          <w:szCs w:val="32"/>
        </w:rPr>
        <w:t xml:space="preserve">关于符合本国产品标准的声明函（采购包号：**）</w:t>
      </w:r>
      <w:r>
        <w:tab/>
      </w:r>
      <w:r>
        <w:fldChar w:fldCharType="begin"/>
      </w:r>
      <w:r>
        <w:instrText xml:space="preserve"> PAGEREF _Toc28500 \h </w:instrText>
      </w:r>
      <w:r>
        <w:fldChar w:fldCharType="separate"/>
      </w:r>
      <w:r>
        <w:t xml:space="preserve">46</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_Toc29442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四</w:t>
      </w:r>
      <w:r>
        <w:rPr>
          <w:rFonts w:hint="eastAsia" w:ascii="仿宋" w:hAnsi="仿宋" w:eastAsia="仿宋" w:cs="仿宋"/>
          <w:iCs/>
          <w:szCs w:val="32"/>
          <w:highlight w:val="none"/>
        </w:rPr>
        <w:t xml:space="preserve">、报价表</w:t>
      </w:r>
      <w:r>
        <w:tab/>
      </w:r>
      <w:r>
        <w:fldChar w:fldCharType="begin"/>
      </w:r>
      <w:r>
        <w:instrText xml:space="preserve"> PAGEREF _Toc29442 \h </w:instrText>
      </w:r>
      <w:r>
        <w:fldChar w:fldCharType="separate"/>
      </w:r>
      <w:r>
        <w:t xml:space="preserve">47</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_Toc4003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五</w:t>
      </w:r>
      <w:r>
        <w:rPr>
          <w:rFonts w:hint="eastAsia" w:ascii="仿宋" w:hAnsi="仿宋" w:eastAsia="仿宋" w:cs="仿宋"/>
          <w:iCs/>
          <w:szCs w:val="32"/>
          <w:highlight w:val="none"/>
        </w:rPr>
        <w:t xml:space="preserve">、</w:t>
      </w:r>
      <w:r>
        <w:rPr>
          <w:rFonts w:hint="eastAsia" w:ascii="仿宋" w:hAnsi="仿宋" w:eastAsia="仿宋" w:cs="仿宋"/>
          <w:iCs/>
          <w:szCs w:val="32"/>
          <w:highlight w:val="none"/>
          <w:lang w:val="en-US" w:eastAsia="zh-CN"/>
        </w:rPr>
        <w:t xml:space="preserve">服务和</w:t>
      </w:r>
      <w:r>
        <w:rPr>
          <w:rFonts w:hint="eastAsia" w:ascii="仿宋" w:hAnsi="仿宋" w:eastAsia="仿宋" w:cs="仿宋"/>
          <w:iCs/>
          <w:szCs w:val="32"/>
          <w:highlight w:val="none"/>
        </w:rPr>
        <w:t xml:space="preserve">技术要求响应及偏离表</w:t>
      </w:r>
      <w:r>
        <w:tab/>
      </w:r>
      <w:r>
        <w:fldChar w:fldCharType="begin"/>
      </w:r>
      <w:r>
        <w:instrText xml:space="preserve"> PAGEREF _Toc4003 \h </w:instrText>
      </w:r>
      <w:r>
        <w:fldChar w:fldCharType="separate"/>
      </w:r>
      <w:r>
        <w:t xml:space="preserve">48</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_Toc31345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六</w:t>
      </w:r>
      <w:r>
        <w:rPr>
          <w:rFonts w:hint="eastAsia" w:ascii="仿宋" w:hAnsi="仿宋" w:eastAsia="仿宋" w:cs="仿宋"/>
          <w:iCs/>
          <w:szCs w:val="32"/>
          <w:highlight w:val="none"/>
        </w:rPr>
        <w:t xml:space="preserve">、其他证明文件</w:t>
      </w:r>
      <w:r>
        <w:tab/>
      </w:r>
      <w:r>
        <w:fldChar w:fldCharType="begin"/>
      </w:r>
      <w:r>
        <w:instrText xml:space="preserve"> PAGEREF _Toc31345 \h </w:instrText>
      </w:r>
      <w:r>
        <w:fldChar w:fldCharType="separate"/>
      </w:r>
      <w:r>
        <w:t xml:space="preserve">49</w:t>
      </w:r>
      <w:r>
        <w:fldChar w:fldCharType="end"/>
      </w:r>
      <w:r>
        <w:rPr>
          <w:rFonts w:hint="eastAsia" w:ascii="仿宋" w:hAnsi="仿宋" w:eastAsia="仿宋" w:cs="仿宋"/>
          <w:color w:val="000000"/>
          <w:szCs w:val="22"/>
          <w:highlight w:val="none"/>
        </w:rPr>
        <w:fldChar w:fldCharType="end"/>
      </w:r>
      <w:r/>
    </w:p>
    <w:p>
      <w:pPr>
        <w:pStyle w:val="1175"/>
        <w:tabs>
          <w:tab w:val="right" w:pos="9180" w:leader="dot"/>
        </w:tabs>
      </w:pPr>
      <w:r>
        <w:rPr>
          <w:rFonts w:hint="eastAsia" w:ascii="仿宋" w:hAnsi="仿宋" w:eastAsia="仿宋" w:cs="仿宋"/>
          <w:color w:val="000000"/>
          <w:szCs w:val="22"/>
          <w:highlight w:val="none"/>
        </w:rPr>
        <w:fldChar w:fldCharType="begin"/>
      </w:r>
      <w:r>
        <w:rPr>
          <w:rFonts w:hint="eastAsia" w:ascii="仿宋" w:hAnsi="仿宋" w:eastAsia="仿宋" w:cs="仿宋"/>
          <w:szCs w:val="22"/>
          <w:highlight w:val="none"/>
        </w:rPr>
        <w:instrText xml:space="preserve"> HYPERLINK \l _Toc4323 </w:instrText>
      </w:r>
      <w:r>
        <w:rPr>
          <w:rFonts w:hint="eastAsia" w:ascii="仿宋" w:hAnsi="仿宋" w:eastAsia="仿宋" w:cs="仿宋"/>
          <w:szCs w:val="22"/>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七</w:t>
      </w:r>
      <w:r>
        <w:rPr>
          <w:rFonts w:hint="eastAsia" w:ascii="仿宋" w:hAnsi="仿宋" w:eastAsia="仿宋" w:cs="仿宋"/>
          <w:iCs/>
          <w:szCs w:val="32"/>
          <w:highlight w:val="none"/>
        </w:rPr>
        <w:t xml:space="preserve">、其他需填写内容</w:t>
      </w:r>
      <w:r>
        <w:tab/>
      </w:r>
      <w:r>
        <w:fldChar w:fldCharType="begin"/>
      </w:r>
      <w:r>
        <w:instrText xml:space="preserve"> PAGEREF _Toc4323 \h </w:instrText>
      </w:r>
      <w:r>
        <w:fldChar w:fldCharType="separate"/>
      </w:r>
      <w:r>
        <w:t xml:space="preserve">50</w:t>
      </w:r>
      <w:r>
        <w:fldChar w:fldCharType="end"/>
      </w:r>
      <w:r>
        <w:rPr>
          <w:rFonts w:hint="eastAsia" w:ascii="仿宋" w:hAnsi="仿宋" w:eastAsia="仿宋" w:cs="仿宋"/>
          <w:color w:val="000000"/>
          <w:szCs w:val="22"/>
          <w:highlight w:val="none"/>
        </w:rPr>
        <w:fldChar w:fldCharType="end"/>
      </w:r>
      <w:r/>
    </w:p>
    <w:p>
      <w:pPr>
        <w:pStyle w:val="1133"/>
        <w:ind w:left="0" w:firstLine="42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bCs/>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4" w:name="_Toc10055"/>
      <w:r>
        <w:rPr>
          <w:rFonts w:hint="eastAsia" w:ascii="仿宋" w:hAnsi="仿宋" w:eastAsia="仿宋" w:cs="仿宋"/>
          <w:b/>
          <w:bCs/>
          <w:color w:val="000000"/>
          <w:sz w:val="40"/>
          <w:szCs w:val="40"/>
          <w:highlight w:val="none"/>
        </w:rPr>
      </w:r>
      <w:r/>
    </w:p>
    <w:p>
      <w:pPr>
        <w:pStyle w:val="1134"/>
        <w:rPr>
          <w:rFonts w:hint="eastAsia" w:ascii="仿宋" w:hAnsi="仿宋" w:eastAsia="仿宋" w:cs="仿宋"/>
          <w:b/>
          <w:bCs/>
          <w:color w:val="000000"/>
          <w:sz w:val="40"/>
          <w:szCs w:val="40"/>
          <w:highlight w:val="none"/>
        </w:rPr>
      </w:pPr>
      <w:r/>
      <w:bookmarkStart w:id="25" w:name="_Toc20606"/>
      <w:r>
        <w:rPr>
          <w:rFonts w:hint="eastAsia" w:ascii="仿宋" w:hAnsi="仿宋" w:eastAsia="仿宋" w:cs="仿宋"/>
          <w:b/>
          <w:bCs/>
          <w:color w:val="000000"/>
          <w:sz w:val="40"/>
          <w:szCs w:val="40"/>
          <w:highlight w:val="none"/>
        </w:rPr>
        <w:t xml:space="preserve">第一章</w:t>
      </w:r>
      <w:bookmarkEnd w:id="18"/>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磋商邀请</w:t>
      </w:r>
      <w:bookmarkEnd w:id="24"/>
      <w:r/>
      <w:bookmarkEnd w:id="25"/>
      <w:r>
        <w:rPr>
          <w:rFonts w:hint="eastAsia" w:ascii="仿宋" w:hAnsi="仿宋" w:eastAsia="仿宋" w:cs="仿宋"/>
          <w:b/>
          <w:bCs/>
          <w:color w:val="000000"/>
          <w:sz w:val="40"/>
          <w:szCs w:val="40"/>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rPr>
        <w:t xml:space="preserve">的委托，江苏柒采招标代理有限公司就</w:t>
      </w:r>
      <w:r>
        <w:rPr>
          <w:rFonts w:hint="eastAsia" w:ascii="仿宋" w:hAnsi="仿宋" w:eastAsia="仿宋" w:cs="仿宋"/>
          <w:b/>
          <w:bCs/>
          <w:color w:val="000000"/>
          <w:sz w:val="24"/>
          <w:szCs w:val="24"/>
          <w:highlight w:val="none"/>
          <w:lang w:eastAsia="zh-CN"/>
        </w:rPr>
        <w:t xml:space="preserve">2026年“百校巡回招引”系列活动引才活动执行采购项目（二次）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苏采云项目编号：JSZC-320100-JSQC-C2026-0011</w:t>
      </w:r>
      <w:r>
        <w:rPr>
          <w:rFonts w:hint="eastAsia" w:ascii="仿宋" w:hAnsi="仿宋" w:eastAsia="仿宋" w:cs="仿宋"/>
          <w:color w:val="000000"/>
          <w:sz w:val="24"/>
          <w:szCs w:val="24"/>
          <w:highlight w:val="none"/>
          <w:lang w:eastAsia="zh-CN"/>
        </w:rPr>
        <w:t xml:space="preserve">、磋商文件编号：QC-2026032710C2</w:t>
      </w:r>
      <w:r>
        <w:rPr>
          <w:rFonts w:hint="eastAsia" w:ascii="仿宋" w:hAnsi="仿宋" w:eastAsia="仿宋" w:cs="仿宋"/>
          <w:color w:val="000000"/>
          <w:sz w:val="24"/>
          <w:szCs w:val="24"/>
          <w:highlight w:val="none"/>
        </w:rPr>
        <w:t xml:space="preserve">）实施政府采购，本次采购采用竞争性磋商方式，欢迎符合条件的供应商参加磋商。</w:t>
      </w:r>
      <w:r>
        <w:rPr>
          <w:rFonts w:hint="eastAsia" w:ascii="仿宋" w:hAnsi="仿宋" w:eastAsia="仿宋" w:cs="仿宋"/>
          <w:color w:val="000000"/>
          <w:sz w:val="24"/>
          <w:szCs w:val="24"/>
          <w:highlight w:val="none"/>
        </w:rPr>
      </w:r>
      <w:r/>
    </w:p>
    <w:p>
      <w:pPr>
        <w:pStyle w:val="1133"/>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1133"/>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2026年“百校巡回招引”系列活动引才活动执行采购项目（二次）的潜在供应商应在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获取磋商文件，并于2026年4月28日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时</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6" w:name="_Toc28359002"/>
      <w:r/>
      <w:bookmarkStart w:id="27" w:name="_Toc9101"/>
      <w:r/>
      <w:bookmarkStart w:id="28" w:name="_Toc31798"/>
      <w:r/>
      <w:bookmarkStart w:id="29" w:name="_Hlk24379207"/>
      <w:r/>
      <w:bookmarkStart w:id="30" w:name="_Toc28359079"/>
      <w:r/>
      <w:bookmarkStart w:id="31" w:name="_Toc38985263"/>
      <w:r/>
      <w:bookmarkStart w:id="32" w:name="_Toc35393621"/>
      <w:r/>
      <w:bookmarkStart w:id="33" w:name="_Toc14288"/>
      <w:r/>
      <w:bookmarkStart w:id="34" w:name="_Toc35393790"/>
      <w:r>
        <w:rPr>
          <w:rFonts w:hint="eastAsia" w:ascii="仿宋" w:hAnsi="仿宋" w:eastAsia="仿宋" w:cs="仿宋"/>
          <w:color w:val="000000"/>
          <w:sz w:val="24"/>
          <w:szCs w:val="24"/>
          <w:highlight w:val="none"/>
        </w:rPr>
        <w:t xml:space="preserve">一、项目基本情况</w:t>
      </w:r>
      <w:bookmarkEnd w:id="26"/>
      <w:r/>
      <w:bookmarkEnd w:id="27"/>
      <w:r/>
      <w:bookmarkEnd w:id="28"/>
      <w:r/>
      <w:bookmarkEnd w:id="30"/>
      <w:r/>
      <w:bookmarkEnd w:id="31"/>
      <w:r/>
      <w:bookmarkEnd w:id="32"/>
      <w:r/>
      <w:bookmarkEnd w:id="33"/>
      <w:r/>
      <w:bookmarkEnd w:id="34"/>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苏采云项目编号：JSZC-320100-JSQC-C2026-0011</w:t>
      </w:r>
      <w:r>
        <w:rPr>
          <w:rFonts w:hint="eastAsia" w:ascii="仿宋" w:hAnsi="仿宋" w:eastAsia="仿宋" w:cs="仿宋"/>
          <w:color w:val="000000"/>
          <w:sz w:val="24"/>
          <w:szCs w:val="24"/>
          <w:highlight w:val="none"/>
          <w:lang w:eastAsia="zh-CN"/>
        </w:rPr>
        <w:t xml:space="preserve">（磋商文件编号：QC-2026032710C2）</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2026年“百校巡回招引”系列活动引才活动执行采购项目（二次）</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bookmarkEnd w:id="29"/>
      <w:r>
        <w:rPr>
          <w:rFonts w:hint="eastAsia" w:ascii="仿宋" w:hAnsi="仿宋" w:eastAsia="仿宋" w:cs="仿宋"/>
          <w:color w:val="000000"/>
          <w:sz w:val="24"/>
          <w:szCs w:val="24"/>
          <w:highlight w:val="none"/>
          <w:lang w:eastAsia="zh-CN"/>
        </w:rPr>
        <w:t xml:space="preserve">采购人方式</w:t>
      </w: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4.预算金额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color w:val="000000"/>
          <w:sz w:val="24"/>
          <w:szCs w:val="24"/>
          <w:highlight w:val="none"/>
          <w:lang w:val="en-US" w:eastAsia="zh-CN"/>
        </w:rPr>
        <w:t xml:space="preserve">叁佰</w:t>
      </w:r>
      <w:r>
        <w:rPr>
          <w:rFonts w:hint="eastAsia" w:ascii="仿宋" w:hAnsi="仿宋" w:eastAsia="仿宋" w:cs="仿宋"/>
          <w:color w:val="000000"/>
          <w:sz w:val="24"/>
          <w:szCs w:val="24"/>
          <w:highlight w:val="none"/>
          <w:lang w:eastAsia="zh-CN"/>
        </w:rPr>
        <w:t xml:space="preserve">万元整（¥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eastAsia="zh-CN"/>
        </w:rPr>
        <w:t xml:space="preserve">00,000.00元）</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5.最高限价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人民币贰佰伍拾万元整（¥2,500,000.00元），投标人报价超过招标（</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）文件中规定的最高限价的，投标无效。</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6.采购需求：</w:t>
      </w: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集聚更多青年人才来宁就业创业，我市拟于2026年开展“百校巡回招引”系列活动，赴京津冀、粤港澳、长三角等地区重点高校，开展专题宣介、专场招聘、校地对接等引才活动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本项目拟采购一家供应商提供</w:t>
      </w:r>
      <w:r>
        <w:rPr>
          <w:rFonts w:hint="eastAsia" w:ascii="仿宋" w:hAnsi="仿宋" w:eastAsia="仿宋" w:cs="仿宋"/>
          <w:color w:val="000000"/>
          <w:sz w:val="24"/>
          <w:szCs w:val="24"/>
          <w:highlight w:val="none"/>
          <w:lang w:eastAsia="zh-CN"/>
        </w:rPr>
        <w:t xml:space="preserve">“百校巡回招引”系列活动引才活动执行</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eastAsia="zh-CN"/>
        </w:rPr>
        <w:t xml:space="preserve">，具体</w:t>
      </w:r>
      <w:r>
        <w:rPr>
          <w:rFonts w:hint="eastAsia" w:ascii="仿宋" w:hAnsi="仿宋" w:eastAsia="仿宋" w:cs="仿宋"/>
          <w:color w:val="000000"/>
          <w:sz w:val="24"/>
          <w:szCs w:val="24"/>
          <w:highlight w:val="none"/>
          <w:lang w:val="en-US" w:eastAsia="zh-CN"/>
        </w:rPr>
        <w:t xml:space="preserve">采购需求</w:t>
      </w:r>
      <w:r>
        <w:rPr>
          <w:rFonts w:hint="eastAsia" w:ascii="仿宋" w:hAnsi="仿宋" w:eastAsia="仿宋" w:cs="仿宋"/>
          <w:color w:val="000000"/>
          <w:sz w:val="24"/>
          <w:szCs w:val="24"/>
          <w:highlight w:val="none"/>
          <w:lang w:eastAsia="zh-CN"/>
        </w:rPr>
        <w:t xml:space="preserve">详见</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文件第四章。</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7.合同履行期限：</w:t>
      </w:r>
      <w:r>
        <w:rPr>
          <w:rFonts w:hint="eastAsia" w:ascii="仿宋" w:hAnsi="仿宋" w:eastAsia="仿宋" w:cs="仿宋"/>
          <w:color w:val="000000"/>
          <w:sz w:val="24"/>
          <w:szCs w:val="24"/>
          <w:highlight w:val="none"/>
          <w:lang w:val="en-US" w:eastAsia="zh-CN"/>
        </w:rPr>
        <w:t xml:space="preserve">自合同签订生效之日起至2026年12月31日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1162"/>
        <w:ind w:firstLine="480"/>
        <w:spacing w:line="360" w:lineRule="auto"/>
        <w:rPr>
          <w:rFonts w:hint="eastAsia" w:ascii="仿宋" w:hAnsi="仿宋" w:eastAsia="仿宋" w:cs="仿宋"/>
          <w:color w:val="000000"/>
          <w:sz w:val="24"/>
          <w:szCs w:val="24"/>
          <w:highlight w:val="none"/>
        </w:rPr>
      </w:pPr>
      <w:r/>
      <w:bookmarkStart w:id="35" w:name="_Toc28359080"/>
      <w:r/>
      <w:bookmarkStart w:id="36" w:name="_Toc28359003"/>
      <w:r/>
      <w:bookmarkStart w:id="37" w:name="_Toc38985264"/>
      <w:r/>
      <w:bookmarkStart w:id="38" w:name="_Toc11258"/>
      <w:r/>
      <w:bookmarkStart w:id="39" w:name="_Toc35393622"/>
      <w:r/>
      <w:bookmarkStart w:id="40" w:name="_Toc35393791"/>
      <w:r>
        <w:rPr>
          <w:rFonts w:hint="eastAsia" w:ascii="仿宋" w:hAnsi="仿宋" w:eastAsia="仿宋" w:cs="仿宋"/>
          <w:color w:val="000000"/>
          <w:sz w:val="24"/>
          <w:szCs w:val="24"/>
          <w:highlight w:val="none"/>
        </w:rPr>
        <w:t xml:space="preserve">8.本项目是否属于专门面向中小企业采购项目：否。</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1" w:name="_Toc14057"/>
      <w:r/>
      <w:bookmarkStart w:id="42" w:name="_Toc23754"/>
      <w:r>
        <w:rPr>
          <w:rFonts w:hint="eastAsia" w:ascii="仿宋" w:hAnsi="仿宋" w:eastAsia="仿宋" w:cs="仿宋"/>
          <w:color w:val="000000"/>
          <w:sz w:val="24"/>
          <w:szCs w:val="24"/>
          <w:highlight w:val="none"/>
        </w:rPr>
        <w:t xml:space="preserve">二、供应商的资格要求</w:t>
      </w:r>
      <w:bookmarkEnd w:id="35"/>
      <w:r/>
      <w:bookmarkEnd w:id="36"/>
      <w:r/>
      <w:bookmarkEnd w:id="37"/>
      <w:r/>
      <w:bookmarkEnd w:id="38"/>
      <w:r/>
      <w:bookmarkEnd w:id="39"/>
      <w:r/>
      <w:bookmarkEnd w:id="40"/>
      <w:r/>
      <w:bookmarkEnd w:id="41"/>
      <w:r/>
      <w:bookmarkEnd w:id="42"/>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bookmarkStart w:id="43" w:name="_Toc35393623"/>
      <w:r/>
      <w:bookmarkStart w:id="44" w:name="_Toc28359081"/>
      <w:r/>
      <w:bookmarkStart w:id="45" w:name="_Toc35393792"/>
      <w:r/>
      <w:bookmarkStart w:id="46" w:name="_Toc28359004"/>
      <w:r/>
      <w:bookmarkStart w:id="47" w:name="_Toc38985265"/>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满足《中华人民共和国政府采购法》第二十二条规定，并提供下列材料：</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具有独立承担民事责任的能力（提供最新的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营业执照</w:t>
      </w:r>
      <w:r>
        <w:rPr>
          <w:rFonts w:hint="eastAsia" w:ascii="仿宋" w:hAnsi="仿宋" w:eastAsia="仿宋" w:cs="仿宋"/>
          <w:color w:val="000000"/>
          <w:sz w:val="24"/>
          <w:szCs w:val="24"/>
          <w:highlight w:val="none"/>
          <w:lang w:val="en-US" w:eastAsia="zh-CN"/>
        </w:rPr>
        <w:t xml:space="preserve">等证明材料</w:t>
      </w:r>
      <w:r>
        <w:rPr>
          <w:rFonts w:hint="eastAsia" w:ascii="仿宋" w:hAnsi="仿宋" w:eastAsia="仿宋" w:cs="仿宋"/>
          <w:color w:val="000000"/>
          <w:sz w:val="24"/>
          <w:szCs w:val="24"/>
          <w:highlight w:val="none"/>
        </w:rPr>
        <w:t xml:space="preserve">副本复印件；依法经国务院批准免予登记的社会组织的，应提供相应文件证明其依法免予登记。如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为自然人的需提供自然人身份证明。）；</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具有良好的商业信誉和健全的财务会计制度（提供提交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任一月份的财务报表（至少包括资产负债表、利润表、现金流量表），或2024年度（或2025年度）经审计的财务报告，或响应文件截止时间前三个月内供应商基本存款账户开户银行出具的资信证明。</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有依法缴纳税收和社会保障资金的良好记录（提供提交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w:t>
      </w:r>
      <w:r>
        <w:rPr>
          <w:rFonts w:hint="eastAsia" w:ascii="仿宋" w:hAnsi="仿宋" w:eastAsia="仿宋" w:cs="仿宋"/>
          <w:color w:val="000000"/>
          <w:sz w:val="24"/>
          <w:szCs w:val="24"/>
          <w:highlight w:val="none"/>
        </w:rPr>
        <w:t xml:space="preserve">依法缴纳税收</w:t>
      </w:r>
      <w:r>
        <w:rPr>
          <w:rFonts w:hint="eastAsia" w:ascii="仿宋" w:hAnsi="仿宋" w:eastAsia="仿宋" w:cs="仿宋"/>
          <w:b/>
          <w:bCs/>
          <w:color w:val="000000"/>
          <w:sz w:val="24"/>
          <w:szCs w:val="24"/>
          <w:highlight w:val="none"/>
          <w:lang w:val="en-US" w:eastAsia="zh-CN"/>
        </w:rPr>
        <w:t xml:space="preserve">和</w:t>
      </w:r>
      <w:r>
        <w:rPr>
          <w:rFonts w:hint="eastAsia" w:ascii="仿宋" w:hAnsi="仿宋" w:eastAsia="仿宋" w:cs="仿宋"/>
          <w:color w:val="000000"/>
          <w:sz w:val="24"/>
          <w:szCs w:val="24"/>
          <w:highlight w:val="none"/>
        </w:rPr>
        <w:t xml:space="preserve">缴纳社会保障资金的证明材料。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依法享受缓缴、免缴税收、社会保障资金的提供证明材料。</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具备履行合同所必需的设备和专业技术能力的书面声明</w:t>
      </w:r>
      <w:r>
        <w:rPr>
          <w:rFonts w:hint="eastAsia" w:ascii="仿宋" w:hAnsi="仿宋" w:eastAsia="仿宋" w:cs="仿宋"/>
          <w:color w:val="000000"/>
          <w:sz w:val="24"/>
          <w:szCs w:val="24"/>
          <w:highlight w:val="none"/>
          <w:lang w:eastAsia="zh-CN"/>
        </w:rPr>
        <w:t xml:space="preserve">（根据项目需求提供履行合同所必需的设备和专业技术能力的证明材料或承诺函。）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参加政府采购活动前3年内在经营活动中没有重大违法记录的书面声明</w:t>
      </w:r>
      <w:r>
        <w:rPr>
          <w:rFonts w:hint="eastAsia" w:ascii="仿宋" w:hAnsi="仿宋" w:eastAsia="仿宋" w:cs="仿宋"/>
          <w:color w:val="000000"/>
          <w:sz w:val="24"/>
          <w:szCs w:val="24"/>
          <w:highlight w:val="none"/>
          <w:lang w:eastAsia="zh-CN"/>
        </w:rPr>
        <w:t xml:space="preserve">（成立时间不足三年的自成立之日起，提供参加本次采购活动前三年内在经营活动中没有重大违法记录的书面声明。）；</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法律、行政法规规定的其他条件：无。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w:t>
      </w:r>
      <w:r>
        <w:rPr>
          <w:rFonts w:hint="eastAsia" w:ascii="仿宋" w:hAnsi="仿宋" w:eastAsia="仿宋" w:cs="仿宋"/>
          <w:color w:val="000000"/>
          <w:sz w:val="24"/>
          <w:szCs w:val="24"/>
          <w:highlight w:val="none"/>
        </w:rPr>
        <w:t xml:space="preserve">5条所称重大违法记录，是指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）依据南京市财政局“关于在政府采购中推行信用承诺制的通知”，政府采购供应商只需在资格审查环节针对</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项第2条-</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项第5条</w:t>
      </w:r>
      <w:r>
        <w:rPr>
          <w:rFonts w:hint="eastAsia" w:ascii="仿宋" w:hAnsi="仿宋" w:eastAsia="仿宋" w:cs="仿宋"/>
          <w:color w:val="000000"/>
          <w:sz w:val="24"/>
          <w:szCs w:val="24"/>
          <w:highlight w:val="none"/>
          <w:lang w:eastAsia="zh-CN"/>
        </w:rPr>
        <w:t xml:space="preserve">提供满足相应条件的书面承诺书（</w:t>
      </w:r>
      <w:r>
        <w:rPr>
          <w:rFonts w:hint="eastAsia" w:ascii="仿宋" w:hAnsi="仿宋" w:eastAsia="仿宋" w:cs="仿宋"/>
          <w:color w:val="000000"/>
          <w:sz w:val="24"/>
          <w:szCs w:val="24"/>
          <w:highlight w:val="none"/>
          <w:lang w:val="en-US" w:eastAsia="zh-CN"/>
        </w:rPr>
        <w:t xml:space="preserve">指：</w:t>
      </w:r>
      <w:r>
        <w:rPr>
          <w:rFonts w:hint="eastAsia" w:ascii="仿宋" w:hAnsi="仿宋" w:eastAsia="仿宋" w:cs="仿宋"/>
          <w:color w:val="000000"/>
          <w:sz w:val="24"/>
          <w:szCs w:val="24"/>
          <w:highlight w:val="none"/>
          <w:lang w:eastAsia="zh-CN"/>
        </w:rPr>
        <w:t xml:space="preserve">南京市政府采购供应商信用记录表暨信用承诺书），不再需要提供证明材料。供应商在成交后，应按</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文件要求，将由信用承诺书替代的证明材料提交采购人或采购代理机构核验。经核验无误后，由采购人或采购代理机构发出成交通知书。</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落实政府采购政策需满足的资格要求：无。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本项目的特定资格要求：无。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本项目不接受联合体投标，本项目不允许分包、转包。</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本项目不接受进口产品投标。（注：本文件所称进口产品是指通过中国海关报关验放进入中国境内且产自关境外的产品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拒绝下述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参加本次采购活动：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负责人为同一人或者存在直接控股、管理关系的不同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，不得参加同一合同项下的政府采购活动。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被“信用中国”（www.creditchina.gov.cn）、“中国政府采购网"(www.ccgp.gov.cn)等网站列入失信被执行人、重大税收违法案件当事人名单、政府采购严重违法失信行为记录名单。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拒绝为采购项目提供整体设计、规范编制或者项目管理、监理、检测等服务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参加本项目的采购活动。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lang w:eastAsia="zh-CN"/>
        </w:rPr>
        <w:t xml:space="preserve">供应商诚信档案管理</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根据《南京市政府采购供应商信用管理工作暂行办法》（宁财规〔2018〕10号）有关规定，凡在南京地区参加政府采购活动的供应商，应当事先登录“信用南京”（www.njcredit.gov.cn）或“</w:t>
      </w:r>
      <w:r>
        <w:rPr>
          <w:rFonts w:hint="eastAsia" w:ascii="仿宋" w:hAnsi="仿宋" w:eastAsia="仿宋" w:cs="仿宋"/>
          <w:color w:val="000000"/>
          <w:sz w:val="24"/>
          <w:szCs w:val="24"/>
          <w:highlight w:val="none"/>
          <w:lang w:val="en-US" w:eastAsia="zh-CN"/>
        </w:rPr>
        <w:t xml:space="preserve">南京公共采购信息网</w:t>
      </w:r>
      <w:r>
        <w:rPr>
          <w:rFonts w:hint="eastAsia" w:ascii="仿宋" w:hAnsi="仿宋" w:eastAsia="仿宋" w:cs="仿宋"/>
          <w:color w:val="000000"/>
          <w:sz w:val="24"/>
          <w:szCs w:val="24"/>
          <w:highlight w:val="none"/>
          <w:lang w:eastAsia="zh-CN"/>
        </w:rPr>
        <w:t xml:space="preserve">”（https://njgc.jfh.com/）主页“</w:t>
      </w:r>
      <w:r>
        <w:rPr>
          <w:rFonts w:hint="eastAsia" w:ascii="仿宋" w:hAnsi="仿宋" w:eastAsia="仿宋" w:cs="仿宋"/>
          <w:color w:val="000000"/>
          <w:sz w:val="24"/>
          <w:szCs w:val="24"/>
          <w:highlight w:val="none"/>
          <w:lang w:val="en-US" w:eastAsia="zh-CN"/>
        </w:rPr>
        <w:t xml:space="preserve">南京市</w:t>
      </w:r>
      <w:r>
        <w:rPr>
          <w:rFonts w:hint="eastAsia" w:ascii="仿宋" w:hAnsi="仿宋" w:eastAsia="仿宋" w:cs="仿宋"/>
          <w:color w:val="000000"/>
          <w:sz w:val="24"/>
          <w:szCs w:val="24"/>
          <w:highlight w:val="none"/>
          <w:lang w:eastAsia="zh-CN"/>
        </w:rPr>
        <w:t xml:space="preserve">政府采购供应商诚信档案”栏目进行注册登记。由于特殊原因未及时注册的供应商可先行获取采购文件，但必须在提交响应文件截止日2天前办理登记注册手续。</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供应商申请网上注册的，应当按以下程序进行： </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1、登录</w:t>
      </w:r>
      <w:r>
        <w:rPr>
          <w:rFonts w:hint="eastAsia" w:ascii="仿宋" w:hAnsi="仿宋" w:eastAsia="仿宋" w:cs="仿宋"/>
          <w:color w:val="000000"/>
          <w:sz w:val="24"/>
          <w:szCs w:val="24"/>
          <w:highlight w:val="none"/>
          <w:lang w:eastAsia="zh-CN"/>
        </w:rPr>
        <w:t xml:space="preserve">“信用南京”或“南京公共采购信息网”网站，点击“政府采购供应商诚信档案”图标，在弹出的采购人登录界面，点击“新采购人注册”；</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在“新采购人注册”界面，供应商自行设置采购人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注册成功后，供应商参加本次政府采购活动时，在</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8" w:name="_Toc30251"/>
      <w:r/>
      <w:bookmarkStart w:id="49" w:name="_Toc23404"/>
      <w:r/>
      <w:bookmarkStart w:id="50" w:name="_Toc761"/>
      <w:r>
        <w:rPr>
          <w:rFonts w:hint="eastAsia" w:ascii="仿宋" w:hAnsi="仿宋" w:eastAsia="仿宋" w:cs="仿宋"/>
          <w:color w:val="000000"/>
          <w:sz w:val="24"/>
          <w:szCs w:val="24"/>
          <w:highlight w:val="none"/>
        </w:rPr>
        <w:t xml:space="preserve">三、获取</w:t>
      </w:r>
      <w:bookmarkEnd w:id="43"/>
      <w:r/>
      <w:bookmarkEnd w:id="44"/>
      <w:r/>
      <w:bookmarkEnd w:id="45"/>
      <w:r/>
      <w:bookmarkEnd w:id="46"/>
      <w:r/>
      <w:bookmarkEnd w:id="47"/>
      <w:r/>
      <w:bookmarkEnd w:id="48"/>
      <w:r/>
      <w:bookmarkEnd w:id="49"/>
      <w:r>
        <w:rPr>
          <w:rFonts w:hint="eastAsia" w:ascii="仿宋" w:hAnsi="仿宋" w:eastAsia="仿宋" w:cs="仿宋"/>
          <w:color w:val="000000"/>
          <w:sz w:val="24"/>
          <w:szCs w:val="24"/>
          <w:highlight w:val="none"/>
        </w:rPr>
        <w:t xml:space="preserve">磋商文件</w:t>
      </w:r>
      <w:bookmarkEnd w:id="50"/>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color w:val="000000"/>
          <w:sz w:val="24"/>
          <w:szCs w:val="24"/>
          <w:highlight w:val="none"/>
        </w:rPr>
      </w:pPr>
      <w:r/>
      <w:bookmarkStart w:id="51" w:name="_Toc28359082"/>
      <w:r/>
      <w:bookmarkStart w:id="52" w:name="_Toc28359005"/>
      <w:r/>
      <w:bookmarkStart w:id="53" w:name="_Toc35393624"/>
      <w:r/>
      <w:bookmarkStart w:id="54" w:name="_Toc38985266"/>
      <w:r/>
      <w:bookmarkStart w:id="55" w:name="_Toc7070"/>
      <w:r/>
      <w:bookmarkStart w:id="56" w:name="_Toc35393793"/>
      <w:r/>
      <w:bookmarkStart w:id="57" w:name="_Toc9794"/>
      <w:r/>
      <w:bookmarkStart w:id="58" w:name="_Toc35393796"/>
      <w:r/>
      <w:bookmarkStart w:id="59" w:name="_Toc14169"/>
      <w:r/>
      <w:bookmarkStart w:id="60" w:name="_Toc38985269"/>
      <w:r/>
      <w:bookmarkStart w:id="61" w:name="_Toc28359008"/>
      <w:r/>
      <w:bookmarkStart w:id="62" w:name="_Toc35393627"/>
      <w:r/>
      <w:bookmarkStart w:id="63" w:name="_Toc28359085"/>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4"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4"/>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65"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6" w:name="OLE_LINK85"/>
      <w:r>
        <w:rPr>
          <w:rFonts w:hint="eastAsia" w:ascii="仿宋" w:hAnsi="仿宋" w:eastAsia="仿宋" w:cs="仿宋"/>
          <w:b w:val="0"/>
          <w:bCs w:val="0"/>
          <w:color w:val="000000"/>
          <w:sz w:val="24"/>
          <w:szCs w:val="24"/>
          <w:highlight w:val="none"/>
          <w:u w:val="none"/>
        </w:rPr>
        <w:t xml:space="preserve">作</w:t>
      </w:r>
      <w:bookmarkEnd w:id="66"/>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33"/>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bookmarkEnd w:id="65"/>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67" w:name="_Toc19261"/>
      <w:r/>
      <w:bookmarkStart w:id="68" w:name="_Toc8003"/>
      <w:r/>
      <w:bookmarkStart w:id="69" w:name="_Toc13948"/>
      <w:r>
        <w:rPr>
          <w:rFonts w:hint="eastAsia" w:ascii="仿宋" w:hAnsi="仿宋" w:eastAsia="仿宋" w:cs="仿宋"/>
          <w:b/>
          <w:bCs/>
          <w:color w:val="000000"/>
          <w:sz w:val="24"/>
          <w:szCs w:val="24"/>
          <w:highlight w:val="none"/>
        </w:rPr>
        <w:t xml:space="preserve">四、提交</w:t>
      </w:r>
      <w:bookmarkEnd w:id="51"/>
      <w:r/>
      <w:bookmarkEnd w:id="52"/>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截止时间、开标时间和地点</w:t>
      </w:r>
      <w:bookmarkEnd w:id="53"/>
      <w:r/>
      <w:bookmarkEnd w:id="54"/>
      <w:r/>
      <w:bookmarkEnd w:id="55"/>
      <w:r/>
      <w:bookmarkEnd w:id="56"/>
      <w:r/>
      <w:bookmarkEnd w:id="67"/>
      <w:r/>
      <w:bookmarkEnd w:id="68"/>
      <w:r/>
      <w:bookmarkEnd w:id="69"/>
      <w:r>
        <w:rPr>
          <w:rFonts w:hint="eastAsia" w:ascii="仿宋" w:hAnsi="仿宋" w:eastAsia="仿宋" w:cs="仿宋"/>
          <w:b/>
          <w:bCs/>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bookmarkStart w:id="70" w:name="_Toc28359084"/>
      <w:r/>
      <w:bookmarkStart w:id="71" w:name="_Toc38985267"/>
      <w:r/>
      <w:bookmarkStart w:id="72" w:name="_Toc28359007"/>
      <w:r/>
      <w:bookmarkStart w:id="73" w:name="_Toc35393625"/>
      <w:r/>
      <w:bookmarkStart w:id="74" w:name="_Toc35393794"/>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bidi="ar-SA"/>
        </w:rPr>
        <w:t xml:space="preserve">2026年4月28日</w:t>
      </w:r>
      <w:r>
        <w:rPr>
          <w:rFonts w:hint="eastAsia" w:ascii="仿宋" w:hAnsi="仿宋" w:eastAsia="仿宋" w:cs="仿宋"/>
          <w:b w:val="0"/>
          <w:bCs w:val="0"/>
          <w:color w:val="000000"/>
          <w:sz w:val="24"/>
          <w:szCs w:val="24"/>
          <w:highlight w:val="none"/>
          <w:u w:val="none"/>
          <w:lang w:val="en-US" w:eastAsia="zh-CN"/>
        </w:rPr>
        <w:t xml:space="preserve">09:30（北京时间）</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7.5招标代理机构将数据电文形式的磋商文件加载至“苏采云”系统，供潜在供应商下载或者查阅。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133"/>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5" w:name="_Toc23705"/>
      <w:r/>
      <w:bookmarkStart w:id="76" w:name="_Toc29523"/>
      <w:r/>
      <w:bookmarkStart w:id="77" w:name="_Toc4654"/>
      <w:r>
        <w:rPr>
          <w:rFonts w:hint="eastAsia" w:ascii="仿宋" w:hAnsi="仿宋" w:eastAsia="仿宋" w:cs="仿宋"/>
          <w:b/>
          <w:bCs/>
          <w:color w:val="000000"/>
          <w:sz w:val="24"/>
          <w:szCs w:val="24"/>
          <w:highlight w:val="none"/>
        </w:rPr>
        <w:t xml:space="preserve">五、公告期限</w:t>
      </w:r>
      <w:bookmarkEnd w:id="70"/>
      <w:r/>
      <w:bookmarkEnd w:id="71"/>
      <w:r/>
      <w:bookmarkEnd w:id="72"/>
      <w:r/>
      <w:bookmarkEnd w:id="73"/>
      <w:r/>
      <w:bookmarkEnd w:id="74"/>
      <w:r/>
      <w:bookmarkEnd w:id="75"/>
      <w:r/>
      <w:bookmarkEnd w:id="76"/>
      <w:r/>
      <w:bookmarkEnd w:id="77"/>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eastAsia="zh-CN"/>
        </w:rPr>
      </w:pPr>
      <w:r/>
      <w:bookmarkStart w:id="78" w:name="_Toc35393795"/>
      <w:r/>
      <w:bookmarkStart w:id="79" w:name="_Toc38985268"/>
      <w:r/>
      <w:bookmarkStart w:id="80" w:name="_Toc35393626"/>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lang w:eastAsia="zh-CN"/>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1" w:name="_Toc5160"/>
      <w:r/>
      <w:bookmarkStart w:id="82" w:name="_Toc11996"/>
      <w:r/>
      <w:bookmarkStart w:id="83" w:name="_Toc15372"/>
      <w:r/>
      <w:bookmarkStart w:id="84" w:name="_Toc21286"/>
      <w:r>
        <w:rPr>
          <w:rFonts w:hint="eastAsia" w:ascii="仿宋" w:hAnsi="仿宋" w:eastAsia="仿宋" w:cs="仿宋"/>
          <w:b/>
          <w:bCs/>
          <w:color w:val="000000"/>
          <w:sz w:val="24"/>
          <w:szCs w:val="24"/>
          <w:highlight w:val="none"/>
        </w:rPr>
        <w:t xml:space="preserve">六、其他补充事宜</w:t>
      </w:r>
      <w:bookmarkEnd w:id="78"/>
      <w:r/>
      <w:bookmarkEnd w:id="79"/>
      <w:r/>
      <w:bookmarkEnd w:id="80"/>
      <w:r/>
      <w:bookmarkEnd w:id="81"/>
      <w:r/>
      <w:bookmarkEnd w:id="82"/>
      <w:r/>
      <w:bookmarkEnd w:id="83"/>
      <w:r/>
      <w:bookmarkEnd w:id="84"/>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Start w:id="85" w:name="OLE_LINK216"/>
      <w:r>
        <w:rPr>
          <w:rFonts w:hint="eastAsia" w:ascii="仿宋" w:hAnsi="仿宋" w:eastAsia="仿宋" w:cs="仿宋"/>
          <w:color w:val="000000"/>
          <w:sz w:val="24"/>
          <w:szCs w:val="24"/>
          <w:highlight w:val="none"/>
          <w:lang w:val="en-US" w:eastAsia="zh-CN"/>
        </w:rPr>
        <w:t xml:space="preserve">（一）公示媒体：</w:t>
      </w:r>
      <w:bookmarkEnd w:id="85"/>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（二）有关本次招标事项若存在变动或修改，敬请及时关注江苏柒采招标代理有限公司在江苏政府采购网发布的更正公告。</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（三）供应商对项目磋商文件（供应商的资格要求、服务合同、项目需求、评标办法和评标标准）的询问、质疑由招标代理机构接收、答复。</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（四）供应商对</w:t>
      </w:r>
      <w:bookmarkStart w:id="86" w:name="OLE_LINK130"/>
      <w:r>
        <w:rPr>
          <w:rFonts w:hint="eastAsia" w:ascii="仿宋" w:hAnsi="仿宋" w:eastAsia="仿宋" w:cs="仿宋"/>
          <w:color w:val="000000"/>
          <w:sz w:val="24"/>
          <w:szCs w:val="24"/>
          <w:highlight w:val="none"/>
          <w:lang w:val="en-US" w:eastAsia="zh-CN"/>
        </w:rPr>
        <w:t xml:space="preserve">“苏采云”系统</w:t>
      </w:r>
      <w:bookmarkEnd w:id="86"/>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87" w:name="_Toc5136"/>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57"/>
      <w:r/>
      <w:bookmarkEnd w:id="58"/>
      <w:r/>
      <w:bookmarkEnd w:id="59"/>
      <w:r/>
      <w:bookmarkEnd w:id="60"/>
      <w:r/>
      <w:bookmarkEnd w:id="61"/>
      <w:r/>
      <w:bookmarkEnd w:id="62"/>
      <w:r/>
      <w:bookmarkEnd w:id="63"/>
      <w:r/>
      <w:bookmarkEnd w:id="87"/>
      <w:r>
        <w:rPr>
          <w:rFonts w:hint="eastAsia" w:ascii="仿宋" w:hAnsi="仿宋" w:eastAsia="仿宋" w:cs="仿宋"/>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1.采购人信息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名称：南京市劳动就业服务管理中心（南京市毕业生就业指导服务中心）</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地址：江苏省南京市玄武区北京东路63号人才大厦</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联系人：赵老师</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8" w:name="_Toc28359009"/>
      <w:r/>
      <w:bookmarkStart w:id="89" w:name="_Toc28359086"/>
      <w:r>
        <w:rPr>
          <w:rFonts w:hint="eastAsia" w:ascii="仿宋" w:hAnsi="仿宋" w:eastAsia="仿宋" w:cs="仿宋"/>
          <w:color w:val="000000"/>
          <w:sz w:val="24"/>
          <w:szCs w:val="24"/>
          <w:highlight w:val="none"/>
          <w:lang w:val="en-US" w:eastAsia="zh-CN"/>
        </w:rPr>
        <w:t xml:space="preserve">025-83151908</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End w:id="88"/>
      <w:r/>
      <w:bookmarkEnd w:id="89"/>
      <w:r>
        <w:rPr>
          <w:rFonts w:hint="eastAsia" w:ascii="仿宋" w:hAnsi="仿宋" w:eastAsia="仿宋" w:cs="仿宋"/>
          <w:color w:val="000000"/>
          <w:sz w:val="24"/>
          <w:szCs w:val="24"/>
          <w:highlight w:val="none"/>
          <w:lang w:val="en-US" w:eastAsia="zh-CN"/>
        </w:rPr>
        <w:t xml:space="preserve">2.招标代理信息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名称：江苏柒采招标代理有限公司</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地址：南京市建邺区奥体大街68号（新城科技园国际研发总部园）3幢6楼</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联系人：李可鑫/李金楠/张明立/倪斌</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90" w:name="_Toc28359010"/>
      <w:r/>
      <w:bookmarkStart w:id="91" w:name="_Toc28359087"/>
      <w:r>
        <w:rPr>
          <w:rFonts w:hint="eastAsia" w:ascii="仿宋" w:hAnsi="仿宋" w:eastAsia="仿宋" w:cs="仿宋"/>
          <w:color w:val="000000"/>
          <w:sz w:val="24"/>
          <w:szCs w:val="24"/>
          <w:highlight w:val="none"/>
          <w:lang w:val="en-US" w:eastAsia="zh-CN"/>
        </w:rPr>
        <w:t xml:space="preserve">025-83370296（分机号：707）</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End w:id="90"/>
      <w:r/>
      <w:bookmarkEnd w:id="91"/>
      <w:r/>
      <w:bookmarkStart w:id="92" w:name="_Toc12973"/>
      <w:r/>
      <w:bookmarkStart w:id="93" w:name="_Toc5689"/>
      <w:r/>
      <w:bookmarkStart w:id="94" w:name="_Toc12781"/>
      <w:r>
        <w:rPr>
          <w:rFonts w:hint="eastAsia" w:ascii="仿宋" w:hAnsi="仿宋" w:eastAsia="仿宋" w:cs="仿宋"/>
          <w:color w:val="000000"/>
          <w:sz w:val="24"/>
          <w:szCs w:val="24"/>
          <w:highlight w:val="none"/>
        </w:rPr>
        <w:t xml:space="preserve">八、其他</w:t>
      </w:r>
      <w:bookmarkEnd w:id="92"/>
      <w:r/>
      <w:bookmarkEnd w:id="93"/>
      <w:r/>
      <w:bookmarkEnd w:id="94"/>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（一）采购项目需要落实的政府采购政策</w:t>
      </w:r>
      <w:bookmarkStart w:id="95"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5"/>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（三）请供应商在获取磋商文件后，认真阅读各项内容，按照磋商文件的要求详细填写和编制响应文件，进行必要的准备，并按磋商文件确定的时间、地点准时参加开标活动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6" w:name="_Toc2521"/>
      <w:r/>
      <w:bookmarkStart w:id="97" w:name="_Toc120614211"/>
      <w:r/>
      <w:bookmarkStart w:id="98" w:name="_Toc738"/>
      <w:r>
        <w:rPr>
          <w:rFonts w:hint="eastAsia" w:ascii="仿宋" w:hAnsi="仿宋" w:eastAsia="仿宋" w:cs="仿宋"/>
          <w:bCs/>
          <w:color w:val="000000"/>
          <w:sz w:val="44"/>
          <w:highlight w:val="none"/>
        </w:rPr>
        <w:br w:type="page" w:clear="all"/>
      </w:r>
      <w:bookmarkStart w:id="99" w:name="_Toc27471"/>
      <w:r>
        <w:rPr>
          <w:rFonts w:hint="eastAsia" w:ascii="仿宋" w:hAnsi="仿宋" w:eastAsia="仿宋" w:cs="仿宋"/>
          <w:b/>
          <w:bCs/>
          <w:color w:val="000000"/>
          <w:sz w:val="40"/>
          <w:szCs w:val="40"/>
          <w:highlight w:val="none"/>
        </w:rPr>
        <w:t xml:space="preserve">第二章</w:t>
      </w:r>
      <w:bookmarkStart w:id="100" w:name="_Toc20823274"/>
      <w:r/>
      <w:bookmarkStart w:id="101" w:name="_Toc16938518"/>
      <w:r/>
      <w:bookmarkStart w:id="102" w:name="_Toc120614213"/>
      <w:r/>
      <w:bookmarkStart w:id="103" w:name="_Toc513029202"/>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供应商须知</w:t>
      </w:r>
      <w:bookmarkEnd w:id="99"/>
      <w:r/>
      <w:bookmarkEnd w:id="100"/>
      <w:r/>
      <w:bookmarkEnd w:id="101"/>
      <w:r/>
      <w:bookmarkEnd w:id="102"/>
      <w:r/>
      <w:bookmarkEnd w:id="103"/>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04" w:name="_Toc22634"/>
      <w:r/>
      <w:bookmarkStart w:id="105" w:name="_Toc10922"/>
      <w:r/>
      <w:bookmarkStart w:id="106" w:name="_Toc120614214"/>
      <w:r/>
      <w:bookmarkStart w:id="107" w:name="_Toc16938519"/>
      <w:r/>
      <w:bookmarkStart w:id="108" w:name="_Toc513029203"/>
      <w:r/>
      <w:bookmarkStart w:id="109" w:name="_Toc20823275"/>
      <w:r/>
      <w:bookmarkStart w:id="110" w:name="_Toc24056"/>
      <w:r>
        <w:rPr>
          <w:rFonts w:hint="eastAsia" w:ascii="仿宋" w:hAnsi="仿宋" w:eastAsia="仿宋" w:cs="仿宋"/>
          <w:b/>
          <w:bCs/>
          <w:color w:val="000000"/>
          <w:sz w:val="24"/>
          <w:szCs w:val="24"/>
          <w:highlight w:val="none"/>
        </w:rPr>
        <w:t xml:space="preserve">供应商须知前附表</w:t>
      </w:r>
      <w:bookmarkEnd w:id="104"/>
      <w:r/>
      <w:bookmarkEnd w:id="105"/>
      <w:r>
        <w:rPr>
          <w:rFonts w:hint="eastAsia" w:ascii="仿宋" w:hAnsi="仿宋" w:eastAsia="仿宋" w:cs="仿宋"/>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江苏省南京市玄武区北京东路63号人才大厦</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赵老师</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lang w:val="en-US" w:eastAsia="zh-CN"/>
              </w:rPr>
              <w:t xml:space="preserve">025-83151908</w:t>
            </w:r>
            <w:r>
              <w:rPr>
                <w:rFonts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李可鑫/李金楠/张明立/倪斌</w:t>
            </w:r>
            <w:r>
              <w:rPr>
                <w:rFonts w:hint="eastAsia" w:ascii="仿宋" w:hAnsi="仿宋" w:eastAsia="仿宋" w:cs="仿宋"/>
                <w:color w:val="000000"/>
                <w:sz w:val="24"/>
                <w:szCs w:val="24"/>
                <w:highlight w:val="none"/>
                <w:lang w:eastAsia="zh-CN"/>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联系方式：025-83370296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分机号：707</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2026年“百校巡回招引”系列活动引才活动执行采购项目（二次）</w:t>
            </w:r>
            <w:r>
              <w:rPr>
                <w:rFonts w:hint="eastAsia" w:ascii="仿宋" w:hAnsi="仿宋" w:eastAsia="仿宋" w:cs="仿宋"/>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苏采云项目编号</w:t>
            </w:r>
            <w:r>
              <w:rPr>
                <w:rFonts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JSZC-320100-JSQC-C2026-0011</w:t>
            </w:r>
            <w:r/>
          </w:p>
        </w:tc>
      </w:tr>
      <w:tr>
        <w:trPr>
          <w:trHeight w:val="293"/>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QC-2026032710C2</w:t>
            </w:r>
            <w:r>
              <w:rPr>
                <w:rFonts w:hint="eastAsia" w:ascii="仿宋" w:hAnsi="仿宋" w:eastAsia="仿宋" w:cs="仿宋"/>
                <w:color w:val="000000"/>
                <w:sz w:val="24"/>
                <w:szCs w:val="24"/>
                <w:highlight w:val="none"/>
                <w:lang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color w:val="000000"/>
                <w:sz w:val="24"/>
                <w:szCs w:val="24"/>
                <w:highlight w:val="none"/>
                <w:lang w:val="en-US" w:eastAsia="zh-CN"/>
              </w:rPr>
              <w:t xml:space="preserve">叁佰</w:t>
            </w:r>
            <w:r>
              <w:rPr>
                <w:rFonts w:hint="eastAsia" w:ascii="仿宋" w:hAnsi="仿宋" w:eastAsia="仿宋" w:cs="仿宋"/>
                <w:color w:val="000000"/>
                <w:sz w:val="24"/>
                <w:szCs w:val="24"/>
                <w:highlight w:val="none"/>
                <w:lang w:eastAsia="zh-CN"/>
              </w:rPr>
              <w:t xml:space="preserve">万元整（¥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eastAsia="zh-CN"/>
              </w:rPr>
              <w:t xml:space="preserve">00,000.00元）</w:t>
            </w:r>
            <w:r>
              <w:rPr>
                <w:rFonts w:hint="eastAsia" w:ascii="仿宋" w:hAnsi="仿宋" w:eastAsia="仿宋" w:cs="仿宋"/>
                <w:color w:val="000000"/>
                <w:sz w:val="24"/>
                <w:szCs w:val="24"/>
                <w:highlight w:val="none"/>
                <w:lang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人民币贰佰伍拾万元整（¥2,500,000.00元），投标人报价超过招标（</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）文件中规定的最高限价的，投标无效。</w:t>
            </w:r>
            <w:r>
              <w:rPr>
                <w:rFonts w:hint="eastAsia" w:ascii="仿宋" w:hAnsi="仿宋" w:eastAsia="仿宋" w:cs="仿宋"/>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项目实施地点</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拟定京津冀、粤港澳、长三角等，最终实施地点根据采购人实际要求而定。</w:t>
            </w:r>
            <w:r>
              <w:rPr>
                <w:rFonts w:ascii="仿宋" w:hAnsi="仿宋" w:eastAsia="仿宋" w:cs="仿宋"/>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，供应商可自行联系采购人。未考察现场或考察工作不详细的供应商</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w:t>
            </w:r>
            <w:r>
              <w:rPr>
                <w:rFonts w:hint="eastAsia" w:ascii="仿宋" w:hAnsi="仿宋" w:eastAsia="仿宋" w:cs="仿宋"/>
                <w:color w:val="000000"/>
                <w:sz w:val="24"/>
                <w:szCs w:val="24"/>
                <w:highlight w:val="none"/>
                <w:lang w:val="en-US" w:eastAsia="zh-CN"/>
              </w:rPr>
              <w:t xml:space="preserve">公司</w:t>
            </w:r>
            <w:r>
              <w:rPr>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lang w:val="en-US" w:eastAsia="zh-CN"/>
              </w:rPr>
              <w:t xml:space="preserve">磋商文件</w:t>
            </w:r>
            <w:r>
              <w:rPr>
                <w:rFonts w:hint="eastAsia" w:ascii="仿宋" w:hAnsi="仿宋" w:eastAsia="仿宋" w:cs="仿宋"/>
                <w:color w:val="000000"/>
                <w:sz w:val="24"/>
                <w:szCs w:val="24"/>
                <w:highlight w:val="none"/>
              </w:rPr>
              <w:t xml:space="preserve">进行的答疑、澄清或补充，将会以邮件的方式发送给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的组成部分，对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应主动接收邮件或上网查询，且</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及采购代理机构不承担</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未及时关注相关信息而引发的</w:t>
            </w:r>
            <w:r>
              <w:rPr>
                <w:rFonts w:hint="eastAsia" w:ascii="仿宋" w:hAnsi="仿宋" w:eastAsia="仿宋" w:cs="仿宋"/>
                <w:color w:val="000000"/>
                <w:sz w:val="24"/>
                <w:szCs w:val="24"/>
                <w:highlight w:val="none"/>
                <w:lang w:val="en-US" w:eastAsia="zh-CN"/>
              </w:rPr>
              <w:t xml:space="preserve">一切</w:t>
            </w:r>
            <w:r>
              <w:rPr>
                <w:rFonts w:hint="eastAsia" w:ascii="仿宋" w:hAnsi="仿宋" w:eastAsia="仿宋" w:cs="仿宋"/>
                <w:color w:val="000000"/>
                <w:sz w:val="24"/>
                <w:szCs w:val="24"/>
                <w:highlight w:val="none"/>
              </w:rPr>
              <w:t xml:space="preserve">相关责任。</w:t>
            </w:r>
            <w:r>
              <w:rPr>
                <w:rFonts w:hint="eastAsia" w:ascii="仿宋" w:hAnsi="仿宋" w:eastAsia="仿宋" w:cs="仿宋"/>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2026年4月28日</w:t>
            </w:r>
            <w:r>
              <w:rPr>
                <w:rFonts w:hint="eastAsia" w:ascii="仿宋" w:hAnsi="仿宋" w:eastAsia="仿宋" w:cs="仿宋"/>
                <w:color w:val="000000"/>
                <w:sz w:val="24"/>
                <w:szCs w:val="24"/>
                <w:highlight w:val="none"/>
              </w:rPr>
              <w:t xml:space="preserve">上午09:00-09:30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2026年4月28日</w:t>
            </w:r>
            <w:r>
              <w:rPr>
                <w:rFonts w:hint="eastAsia" w:ascii="仿宋" w:hAnsi="仿宋" w:eastAsia="仿宋" w:cs="仿宋"/>
                <w:color w:val="000000"/>
                <w:sz w:val="24"/>
                <w:szCs w:val="24"/>
                <w:highlight w:val="none"/>
              </w:rPr>
              <w:t xml:space="preserve">上午09:30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合同签订前，成交人应向招标代理机构缴纳招标代理服务费。由成交人领取《成交通知书》时向招标代理机构缴纳，成交人凭《成交通知书》与</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签订合同。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付款形式：网上银行转账或银行电汇（不接受其他形式）</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并在转账或电汇时，备注“</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+代理费”字样。</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开户行：中国银行股份有限公司南京万达广场支行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账号：515769533053</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w:t>
            </w:r>
            <w:r>
              <w:rPr>
                <w:rFonts w:hint="eastAsia" w:ascii="仿宋" w:hAnsi="仿宋" w:eastAsia="仿宋" w:cs="仿宋"/>
                <w:color w:val="000000"/>
                <w:sz w:val="24"/>
                <w:szCs w:val="24"/>
                <w:highlight w:val="none"/>
                <w:lang w:val="en-US" w:eastAsia="zh-CN"/>
              </w:rPr>
              <w:t xml:space="preserve">按照《江苏省政府采购代理服务收费指导意见》在原费用的基础上下浮40%（即打6折）收取代理服务费</w:t>
            </w:r>
            <w:r>
              <w:rPr>
                <w:rFonts w:hint="eastAsia" w:ascii="仿宋" w:hAnsi="仿宋" w:eastAsia="仿宋" w:cs="仿宋"/>
                <w:color w:val="000000"/>
                <w:sz w:val="24"/>
                <w:szCs w:val="24"/>
                <w:highlight w:val="none"/>
              </w:rPr>
              <w:t xml:space="preserve">。此项费用不单独开列而应计入报价。</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项目所属行业及划分标准</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租赁和商务服务业</w:t>
            </w:r>
            <w:r>
              <w:rPr>
                <w:rFonts w:hint="eastAsia" w:ascii="仿宋" w:hAnsi="仿宋" w:eastAsia="仿宋" w:cs="仿宋"/>
                <w:color w:val="000000"/>
                <w:sz w:val="24"/>
                <w:szCs w:val="24"/>
                <w:highlight w:val="none"/>
              </w:rPr>
            </w:r>
            <w:r/>
          </w:p>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划分标准：</w:t>
            </w:r>
            <w:r>
              <w:rPr>
                <w:rFonts w:hint="eastAsia" w:ascii="仿宋" w:hAnsi="仿宋" w:eastAsia="仿宋" w:cs="仿宋"/>
                <w:color w:val="000000"/>
                <w:sz w:val="24"/>
                <w:szCs w:val="24"/>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3"/>
        <w:ind w:firstLine="1785"/>
        <w:pageBreakBefore w:val="0"/>
        <w:spacing w:line="53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bookmarkStart w:id="111" w:name="_Toc1000"/>
      <w:r>
        <w:rPr>
          <w:rFonts w:hint="eastAsia" w:ascii="仿宋" w:hAnsi="仿宋" w:eastAsia="仿宋" w:cs="仿宋"/>
          <w:bCs/>
          <w:color w:val="000000"/>
          <w:sz w:val="24"/>
          <w:szCs w:val="24"/>
          <w:highlight w:val="none"/>
        </w:rPr>
        <w:t xml:space="preserve">（参加竞争性磋商的供应商以下简称“磋商供应商”）</w:t>
      </w:r>
      <w:r>
        <w:rPr>
          <w:rFonts w:hint="eastAsia" w:ascii="仿宋" w:hAnsi="仿宋" w:eastAsia="仿宋" w:cs="仿宋"/>
          <w:b/>
          <w:bCs/>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12" w:name="_Toc5735"/>
      <w:r>
        <w:rPr>
          <w:rFonts w:hint="eastAsia" w:ascii="仿宋" w:hAnsi="仿宋" w:eastAsia="仿宋" w:cs="仿宋"/>
          <w:color w:val="000000"/>
          <w:sz w:val="24"/>
          <w:szCs w:val="24"/>
          <w:highlight w:val="none"/>
        </w:rPr>
        <w:t xml:space="preserve">一、总则</w:t>
      </w:r>
      <w:bookmarkEnd w:id="106"/>
      <w:r/>
      <w:bookmarkEnd w:id="107"/>
      <w:r/>
      <w:bookmarkEnd w:id="108"/>
      <w:r/>
      <w:bookmarkEnd w:id="109"/>
      <w:r/>
      <w:bookmarkEnd w:id="110"/>
      <w:r/>
      <w:bookmarkEnd w:id="111"/>
      <w:r/>
      <w:bookmarkEnd w:id="112"/>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3" w:name="_Toc458694821"/>
      <w:r/>
      <w:bookmarkStart w:id="114" w:name="_Toc513029204"/>
      <w:r/>
      <w:bookmarkStart w:id="115" w:name="_Toc16938520"/>
      <w:r/>
      <w:bookmarkStart w:id="116" w:name="_Toc20823276"/>
      <w:r/>
      <w:bookmarkStart w:id="117" w:name="_Hlt16619475"/>
      <w:r/>
      <w:bookmarkEnd w:id="117"/>
      <w:r>
        <w:rPr>
          <w:rFonts w:hint="eastAsia" w:ascii="仿宋" w:hAnsi="仿宋" w:eastAsia="仿宋" w:cs="仿宋"/>
          <w:color w:val="000000"/>
          <w:sz w:val="24"/>
          <w:szCs w:val="24"/>
          <w:highlight w:val="none"/>
        </w:rPr>
        <w:t xml:space="preserve">1</w:t>
      </w:r>
      <w:bookmarkEnd w:id="113"/>
      <w:r>
        <w:rPr>
          <w:rFonts w:hint="eastAsia" w:ascii="仿宋" w:hAnsi="仿宋" w:eastAsia="仿宋" w:cs="仿宋"/>
          <w:color w:val="000000"/>
          <w:sz w:val="24"/>
          <w:szCs w:val="24"/>
          <w:highlight w:val="none"/>
        </w:rPr>
        <w:t xml:space="preserve">.</w:t>
      </w:r>
      <w:bookmarkEnd w:id="114"/>
      <w:r/>
      <w:bookmarkEnd w:id="115"/>
      <w:r/>
      <w:bookmarkEnd w:id="116"/>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1.1本次采取竞争性磋商的方式，本竞争性磋商文件（以下简称磋商文件）仅适</w:t>
      </w:r>
      <w:r>
        <w:rPr>
          <w:rFonts w:hint="eastAsia" w:ascii="仿宋" w:hAnsi="仿宋" w:eastAsia="仿宋" w:cs="仿宋"/>
          <w:color w:val="000000"/>
          <w:sz w:val="24"/>
          <w:szCs w:val="24"/>
          <w:highlight w:val="none"/>
          <w:lang w:eastAsia="zh-CN"/>
        </w:rPr>
        <w:t xml:space="preserve">用于</w:t>
      </w:r>
      <w:r>
        <w:rPr>
          <w:rFonts w:hint="eastAsia" w:ascii="仿宋" w:hAnsi="仿宋" w:eastAsia="仿宋" w:cs="仿宋"/>
          <w:color w:val="000000"/>
          <w:sz w:val="24"/>
          <w:szCs w:val="24"/>
          <w:highlight w:val="none"/>
        </w:rPr>
        <w:t xml:space="preserve">此项目。</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8" w:name="_Toc513029205"/>
      <w:r/>
      <w:bookmarkStart w:id="119" w:name="_Toc20823277"/>
      <w:r/>
      <w:bookmarkStart w:id="120" w:name="_Toc16938521"/>
      <w:r>
        <w:rPr>
          <w:rFonts w:hint="eastAsia" w:ascii="仿宋" w:hAnsi="仿宋" w:eastAsia="仿宋" w:cs="仿宋"/>
          <w:color w:val="000000"/>
          <w:sz w:val="24"/>
          <w:szCs w:val="24"/>
          <w:highlight w:val="none"/>
        </w:rPr>
        <w:t xml:space="preserve">2.合格的</w:t>
      </w:r>
      <w:bookmarkEnd w:id="118"/>
      <w:r/>
      <w:bookmarkEnd w:id="119"/>
      <w:r/>
      <w:bookmarkEnd w:id="120"/>
      <w:r>
        <w:rPr>
          <w:rFonts w:hint="eastAsia" w:ascii="仿宋" w:hAnsi="仿宋" w:eastAsia="仿宋" w:cs="仿宋"/>
          <w:color w:val="000000"/>
          <w:sz w:val="24"/>
          <w:szCs w:val="24"/>
          <w:highlight w:val="none"/>
        </w:rPr>
        <w:t xml:space="preserve">磋商供应商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1" w:name="_Toc20823278"/>
      <w:r/>
      <w:bookmarkStart w:id="122" w:name="_Toc513029206"/>
      <w:r/>
      <w:bookmarkStart w:id="123" w:name="_Toc16938522"/>
      <w:r>
        <w:rPr>
          <w:rFonts w:hint="eastAsia" w:ascii="仿宋" w:hAnsi="仿宋" w:eastAsia="仿宋" w:cs="仿宋"/>
          <w:color w:val="000000"/>
          <w:sz w:val="24"/>
          <w:szCs w:val="24"/>
          <w:highlight w:val="none"/>
        </w:rPr>
        <w:t xml:space="preserve">2.1满足本磋商文件“磋商邀请”中供应商资格要求的规定。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21"/>
      <w:r/>
      <w:bookmarkEnd w:id="122"/>
      <w:r/>
      <w:bookmarkEnd w:id="123"/>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4" w:name="_Toc16938523"/>
      <w:r/>
      <w:bookmarkStart w:id="125" w:name="_Toc513029207"/>
      <w:r/>
      <w:bookmarkStart w:id="126" w:name="_Toc462564067"/>
      <w:r/>
      <w:bookmarkStart w:id="127" w:name="_Toc20823279"/>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《中华人民共和国政府采购法》《中华人民共和国政府采购法实施条例》《政府采购竞争性磋商采购人式管理暂行办法》等有关法律、规章和规定等。</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4.1政府采购促进中小企业发展，在政府采购活动中，供应商提供的服务符合下列情形的，享受中小企业扶持政策：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5.磋商费用</w:t>
      </w:r>
      <w:bookmarkEnd w:id="124"/>
      <w:r/>
      <w:bookmarkEnd w:id="125"/>
      <w:r/>
      <w:bookmarkEnd w:id="126"/>
      <w:r/>
      <w:bookmarkEnd w:id="12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5.2本次招标代理收取成交服务费，具体详见第二章供应商须知前附表。</w:t>
      </w:r>
      <w:r>
        <w:rPr>
          <w:rFonts w:hint="eastAsia" w:ascii="仿宋" w:hAnsi="仿宋" w:eastAsia="仿宋" w:cs="仿宋"/>
          <w:color w:val="000000"/>
          <w:sz w:val="24"/>
          <w:szCs w:val="24"/>
          <w:highlight w:val="none"/>
          <w:lang w:eastAsia="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28" w:name="_Toc16938525"/>
      <w:r/>
      <w:bookmarkStart w:id="129" w:name="_Toc14044"/>
      <w:r/>
      <w:bookmarkStart w:id="130" w:name="_Toc11598"/>
      <w:r/>
      <w:bookmarkStart w:id="131" w:name="_Toc29366"/>
      <w:r/>
      <w:bookmarkStart w:id="132" w:name="_Toc513029209"/>
      <w:r/>
      <w:bookmarkStart w:id="133" w:name="_Toc20823281"/>
      <w:r/>
      <w:bookmarkStart w:id="134" w:name="_Toc120614215"/>
      <w:r>
        <w:rPr>
          <w:rFonts w:hint="eastAsia" w:ascii="仿宋" w:hAnsi="仿宋" w:eastAsia="仿宋" w:cs="仿宋"/>
          <w:color w:val="000000"/>
          <w:sz w:val="24"/>
          <w:szCs w:val="24"/>
          <w:highlight w:val="none"/>
        </w:rPr>
        <w:t xml:space="preserve">二、</w:t>
      </w:r>
      <w:bookmarkEnd w:id="128"/>
      <w:r/>
      <w:bookmarkEnd w:id="130"/>
      <w:r/>
      <w:bookmarkEnd w:id="131"/>
      <w:r/>
      <w:bookmarkEnd w:id="132"/>
      <w:r/>
      <w:bookmarkEnd w:id="133"/>
      <w:r/>
      <w:bookmarkEnd w:id="134"/>
      <w:r>
        <w:rPr>
          <w:rFonts w:hint="eastAsia" w:ascii="仿宋" w:hAnsi="仿宋" w:eastAsia="仿宋" w:cs="仿宋"/>
          <w:color w:val="000000"/>
          <w:sz w:val="24"/>
          <w:szCs w:val="24"/>
          <w:highlight w:val="none"/>
        </w:rPr>
        <w:t xml:space="preserve">磋商文件</w:t>
      </w:r>
      <w:bookmarkEnd w:id="129"/>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5" w:name="_Toc513029210"/>
      <w:r/>
      <w:bookmarkStart w:id="136" w:name="_Toc16938526"/>
      <w:r/>
      <w:bookmarkStart w:id="137" w:name="_Toc20823282"/>
      <w:r>
        <w:rPr>
          <w:rFonts w:hint="eastAsia" w:ascii="仿宋" w:hAnsi="仿宋" w:eastAsia="仿宋" w:cs="仿宋"/>
          <w:color w:val="000000"/>
          <w:sz w:val="24"/>
          <w:szCs w:val="24"/>
          <w:highlight w:val="none"/>
        </w:rPr>
        <w:t xml:space="preserve">7.磋商文件构成</w:t>
      </w:r>
      <w:bookmarkEnd w:id="135"/>
      <w:r/>
      <w:bookmarkEnd w:id="136"/>
      <w:r/>
      <w:bookmarkEnd w:id="13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7.1磋商文件由以下部分组成：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8" w:name="_Toc16938527"/>
      <w:r/>
      <w:bookmarkStart w:id="139" w:name="_Toc462564070"/>
      <w:r/>
      <w:bookmarkStart w:id="140" w:name="_Toc513029211"/>
      <w:r/>
      <w:bookmarkStart w:id="141" w:name="_Toc20823283"/>
      <w:r>
        <w:rPr>
          <w:rFonts w:hint="eastAsia" w:ascii="仿宋" w:hAnsi="仿宋" w:eastAsia="仿宋" w:cs="仿宋"/>
          <w:color w:val="000000"/>
          <w:sz w:val="24"/>
          <w:szCs w:val="24"/>
          <w:highlight w:val="none"/>
        </w:rPr>
        <w:t xml:space="preserve">8.磋商文件的澄清</w:t>
      </w:r>
      <w:bookmarkEnd w:id="138"/>
      <w:r/>
      <w:bookmarkEnd w:id="139"/>
      <w:r/>
      <w:bookmarkEnd w:id="140"/>
      <w:r/>
      <w:bookmarkEnd w:id="141"/>
      <w:r/>
      <w:bookmarkStart w:id="142" w:name="_Toc20823284"/>
      <w:r/>
      <w:bookmarkStart w:id="143" w:name="_Toc16938528"/>
      <w:r/>
      <w:bookmarkStart w:id="144" w:name="_Toc462564071"/>
      <w:r/>
      <w:bookmarkStart w:id="145" w:name="_Toc513029212"/>
      <w:r>
        <w:rPr>
          <w:rFonts w:hint="eastAsia" w:ascii="仿宋" w:hAnsi="仿宋" w:eastAsia="仿宋" w:cs="仿宋"/>
          <w:color w:val="000000"/>
          <w:sz w:val="24"/>
          <w:szCs w:val="24"/>
          <w:highlight w:val="none"/>
        </w:rPr>
        <w:t xml:space="preserve">及修改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42"/>
      <w:r/>
      <w:bookmarkEnd w:id="143"/>
      <w:r/>
      <w:bookmarkEnd w:id="144"/>
      <w:r/>
      <w:bookmarkEnd w:id="145"/>
      <w:r/>
      <w:bookmarkStart w:id="146" w:name="_Toc14577351"/>
      <w:r/>
      <w:bookmarkStart w:id="147" w:name="_Toc513029213"/>
      <w:r/>
      <w:bookmarkStart w:id="148" w:name="_Toc20771"/>
      <w:r/>
      <w:bookmarkStart w:id="149" w:name="_Toc462564072"/>
      <w:r/>
      <w:bookmarkStart w:id="150" w:name="_Toc61149553"/>
      <w:r/>
      <w:bookmarkStart w:id="151" w:name="_Toc513029232"/>
      <w:r/>
      <w:bookmarkStart w:id="152" w:name="_Toc20823304"/>
      <w:r/>
      <w:bookmarkStart w:id="153" w:name="_Toc16938548"/>
      <w:r>
        <w:rPr>
          <w:rFonts w:hint="eastAsia" w:ascii="仿宋" w:hAnsi="仿宋" w:eastAsia="仿宋" w:cs="仿宋"/>
          <w:color w:val="000000"/>
          <w:sz w:val="24"/>
          <w:szCs w:val="24"/>
          <w:highlight w:val="none"/>
        </w:rPr>
        <w:t xml:space="preserve">三、响应文件的编制</w:t>
      </w:r>
      <w:bookmarkEnd w:id="146"/>
      <w:r/>
      <w:bookmarkEnd w:id="147"/>
      <w:r/>
      <w:bookmarkEnd w:id="148"/>
      <w:r/>
      <w:bookmarkEnd w:id="149"/>
      <w:r/>
      <w:bookmarkEnd w:id="150"/>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4" w:name="_Toc513029223"/>
      <w:r/>
      <w:bookmarkStart w:id="155" w:name="_Toc14577361"/>
      <w:r/>
      <w:bookmarkStart w:id="156" w:name="_Toc61149561"/>
      <w:r>
        <w:rPr>
          <w:rFonts w:hint="eastAsia" w:ascii="仿宋" w:hAnsi="仿宋" w:eastAsia="仿宋" w:cs="仿宋"/>
          <w:color w:val="000000"/>
          <w:sz w:val="24"/>
          <w:szCs w:val="24"/>
          <w:highlight w:val="none"/>
        </w:rPr>
        <w:t xml:space="preserve">9.磋商响应文件份数和签署</w:t>
      </w:r>
      <w:bookmarkEnd w:id="154"/>
      <w:r/>
      <w:bookmarkEnd w:id="155"/>
      <w:r/>
      <w:bookmarkEnd w:id="15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7" w:name="_Toc462564074"/>
      <w:r/>
      <w:bookmarkStart w:id="158" w:name="_Toc14577353"/>
      <w:r/>
      <w:bookmarkStart w:id="159" w:name="_Toc513029215"/>
      <w:r/>
      <w:bookmarkStart w:id="160" w:name="_Toc61149555"/>
      <w:r/>
      <w:bookmarkStart w:id="161" w:name="_Toc61149554"/>
      <w:r/>
      <w:bookmarkStart w:id="162" w:name="_Toc14577352"/>
      <w:r/>
      <w:bookmarkStart w:id="163" w:name="_Toc513029214"/>
      <w:r/>
      <w:bookmarkStart w:id="164" w:name="_Toc462564073"/>
      <w:r>
        <w:rPr>
          <w:rFonts w:hint="eastAsia" w:ascii="仿宋" w:hAnsi="仿宋" w:eastAsia="仿宋" w:cs="仿宋"/>
          <w:color w:val="000000"/>
          <w:sz w:val="24"/>
          <w:szCs w:val="24"/>
          <w:highlight w:val="none"/>
        </w:rPr>
        <w:t xml:space="preserve">10.响应文件</w:t>
      </w:r>
      <w:bookmarkEnd w:id="157"/>
      <w:r/>
      <w:bookmarkEnd w:id="158"/>
      <w:r/>
      <w:bookmarkEnd w:id="159"/>
      <w:r/>
      <w:bookmarkEnd w:id="160"/>
      <w:r>
        <w:rPr>
          <w:rFonts w:hint="eastAsia" w:ascii="仿宋" w:hAnsi="仿宋" w:eastAsia="仿宋" w:cs="仿宋"/>
          <w:color w:val="000000"/>
          <w:sz w:val="24"/>
          <w:szCs w:val="24"/>
          <w:highlight w:val="none"/>
        </w:rPr>
        <w:t xml:space="preserve">编制要求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End w:id="161"/>
      <w:r/>
      <w:bookmarkEnd w:id="162"/>
      <w:r/>
      <w:bookmarkEnd w:id="163"/>
      <w:r/>
      <w:bookmarkEnd w:id="164"/>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5" w:name="_Toc513029219"/>
      <w:r/>
      <w:bookmarkStart w:id="166" w:name="_Toc61149558"/>
      <w:r/>
      <w:bookmarkStart w:id="167" w:name="_Toc14577357"/>
      <w:r/>
      <w:bookmarkStart w:id="168" w:name="_Toc61149557"/>
      <w:r/>
      <w:bookmarkStart w:id="169" w:name="_Toc513029217"/>
      <w:r/>
      <w:bookmarkStart w:id="170" w:name="_Toc14577355"/>
      <w:r>
        <w:rPr>
          <w:rFonts w:hint="eastAsia" w:ascii="仿宋" w:hAnsi="仿宋" w:eastAsia="仿宋" w:cs="仿宋"/>
          <w:color w:val="000000"/>
          <w:sz w:val="24"/>
          <w:szCs w:val="24"/>
          <w:highlight w:val="none"/>
        </w:rPr>
        <w:t xml:space="preserve">11.参加磋商供应商资格的文件</w:t>
      </w:r>
      <w:bookmarkEnd w:id="165"/>
      <w:r/>
      <w:bookmarkEnd w:id="166"/>
      <w:r/>
      <w:bookmarkEnd w:id="167"/>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69"/>
      <w:r/>
      <w:bookmarkEnd w:id="170"/>
      <w:r>
        <w:rPr>
          <w:rFonts w:hint="eastAsia" w:ascii="仿宋" w:hAnsi="仿宋" w:eastAsia="仿宋" w:cs="仿宋"/>
          <w:color w:val="000000"/>
          <w:sz w:val="24"/>
          <w:szCs w:val="24"/>
          <w:highlight w:val="none"/>
        </w:rPr>
        <w:t xml:space="preserve">表</w:t>
      </w:r>
      <w:bookmarkEnd w:id="168"/>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rPr>
        <w:t xml:space="preserve">规定格式填报报价表。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w:t>
      </w:r>
      <w:r>
        <w:rPr>
          <w:rFonts w:hint="eastAsia" w:ascii="仿宋" w:hAnsi="仿宋" w:eastAsia="仿宋" w:cs="仿宋"/>
          <w:color w:val="000000"/>
          <w:sz w:val="24"/>
          <w:szCs w:val="24"/>
          <w:highlight w:val="none"/>
          <w:lang w:eastAsia="zh-CN"/>
        </w:rPr>
        <w:t xml:space="preserve">必需的</w:t>
      </w:r>
      <w:r>
        <w:rPr>
          <w:rFonts w:hint="eastAsia" w:ascii="仿宋" w:hAnsi="仿宋" w:eastAsia="仿宋" w:cs="仿宋"/>
          <w:color w:val="000000"/>
          <w:sz w:val="24"/>
          <w:szCs w:val="24"/>
          <w:highlight w:val="none"/>
        </w:rPr>
        <w:t xml:space="preserve">费用也须列入报价。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12.6磋商响应报价表上的价格应按磋商文件规定填写。</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1" w:name="_Toc513029221"/>
      <w:r/>
      <w:bookmarkStart w:id="172" w:name="_Toc14577359"/>
      <w:r/>
      <w:bookmarkStart w:id="173" w:name="_Toc61149559"/>
      <w:r>
        <w:rPr>
          <w:rFonts w:hint="eastAsia" w:ascii="仿宋" w:hAnsi="仿宋" w:eastAsia="仿宋" w:cs="仿宋"/>
          <w:color w:val="000000"/>
          <w:sz w:val="24"/>
          <w:szCs w:val="24"/>
          <w:highlight w:val="none"/>
        </w:rPr>
        <w:t xml:space="preserve">13.项目需求响应方案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71"/>
      <w:r/>
      <w:bookmarkEnd w:id="172"/>
      <w:r/>
      <w:bookmarkEnd w:id="173"/>
      <w:r/>
      <w:bookmarkStart w:id="174" w:name="_Toc14577362"/>
      <w:r/>
      <w:bookmarkStart w:id="175" w:name="_Toc26124"/>
      <w:r/>
      <w:bookmarkStart w:id="176" w:name="_Toc513029224"/>
      <w:r/>
      <w:bookmarkStart w:id="177" w:name="_Toc61149562"/>
      <w:r>
        <w:rPr>
          <w:rFonts w:hint="eastAsia" w:ascii="仿宋" w:hAnsi="仿宋" w:eastAsia="仿宋" w:cs="仿宋"/>
          <w:color w:val="000000"/>
          <w:sz w:val="24"/>
          <w:szCs w:val="24"/>
          <w:highlight w:val="none"/>
        </w:rPr>
        <w:t xml:space="preserve">四、响应文件的递交</w:t>
      </w:r>
      <w:bookmarkEnd w:id="174"/>
      <w:r/>
      <w:bookmarkEnd w:id="175"/>
      <w:r/>
      <w:bookmarkEnd w:id="176"/>
      <w:r/>
      <w:bookmarkEnd w:id="177"/>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8" w:name="_Toc513029225"/>
      <w:r/>
      <w:bookmarkStart w:id="179" w:name="_Toc14577363"/>
      <w:r/>
      <w:bookmarkStart w:id="180" w:name="_Toc61149563"/>
      <w:r/>
      <w:bookmarkStart w:id="181" w:name="_Toc462564084"/>
      <w:r>
        <w:rPr>
          <w:rFonts w:hint="eastAsia" w:ascii="仿宋" w:hAnsi="仿宋" w:eastAsia="仿宋" w:cs="仿宋"/>
          <w:color w:val="000000"/>
          <w:sz w:val="24"/>
          <w:szCs w:val="24"/>
          <w:highlight w:val="none"/>
        </w:rPr>
        <w:t xml:space="preserve">14.响应文件的密封和标记</w:t>
      </w:r>
      <w:bookmarkEnd w:id="178"/>
      <w:r/>
      <w:bookmarkEnd w:id="179"/>
      <w:r/>
      <w:bookmarkEnd w:id="180"/>
      <w:r/>
      <w:bookmarkEnd w:id="181"/>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14.1磋商供应商应将响应文件正本和所有副本密封。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14.2密封的响应文件应：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（1）按磋商邀请中注明的地址送达规定地点；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（2）注明参加磋商项目名称、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及参加的分包号；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（3）密封包装上应写明磋商供应商名称和地址。</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14.3如果密封包装未按要求密封和加写标记，招标代理对误投或过早启封概不负责。对由此造成提前开封的响应文件，招标代理将予以拒绝，作无效响应处理。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2" w:name="_Toc61149565"/>
      <w:r/>
      <w:bookmarkStart w:id="183" w:name="_Toc513029227"/>
      <w:r/>
      <w:bookmarkStart w:id="184" w:name="_Toc14577365"/>
      <w:r>
        <w:rPr>
          <w:rFonts w:hint="eastAsia" w:ascii="仿宋" w:hAnsi="仿宋" w:eastAsia="仿宋" w:cs="仿宋"/>
          <w:color w:val="000000"/>
          <w:sz w:val="24"/>
          <w:szCs w:val="24"/>
          <w:highlight w:val="none"/>
        </w:rPr>
        <w:t xml:space="preserve">16.迟交的响应文件</w:t>
      </w:r>
      <w:bookmarkEnd w:id="182"/>
      <w:r/>
      <w:bookmarkEnd w:id="183"/>
      <w:r/>
      <w:bookmarkEnd w:id="184"/>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5" w:name="_Toc14577366"/>
      <w:r/>
      <w:bookmarkStart w:id="186" w:name="_Toc61149566"/>
      <w:r/>
      <w:bookmarkStart w:id="187" w:name="_Toc513029228"/>
      <w:r>
        <w:rPr>
          <w:rFonts w:hint="eastAsia" w:ascii="仿宋" w:hAnsi="仿宋" w:eastAsia="仿宋" w:cs="仿宋"/>
          <w:color w:val="000000"/>
          <w:sz w:val="24"/>
          <w:szCs w:val="24"/>
          <w:highlight w:val="none"/>
        </w:rPr>
        <w:t xml:space="preserve">17.响应文件的修改和撤回</w:t>
      </w:r>
      <w:bookmarkEnd w:id="185"/>
      <w:r/>
      <w:bookmarkEnd w:id="186"/>
      <w:r/>
      <w:bookmarkEnd w:id="18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17.3磋商供应商在提交最后报价之前，可以根据磋商情况退出磋商。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仿宋" w:hAnsi="仿宋" w:eastAsia="仿宋" w:cs="仿宋"/>
          <w:color w:val="000000"/>
          <w:sz w:val="24"/>
          <w:szCs w:val="24"/>
          <w:highlight w:val="none"/>
          <w:lang w:eastAsia="zh-CN"/>
        </w:rPr>
        <w:t xml:space="preserve">响应</w:t>
      </w:r>
      <w:r>
        <w:rPr>
          <w:rFonts w:hint="eastAsia" w:ascii="仿宋" w:hAnsi="仿宋" w:eastAsia="仿宋" w:cs="仿宋"/>
          <w:color w:val="000000"/>
          <w:sz w:val="24"/>
          <w:szCs w:val="24"/>
          <w:highlight w:val="none"/>
        </w:rPr>
        <w:t xml:space="preserve">而予以拒绝。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88" w:name="_Toc14342"/>
      <w:r>
        <w:rPr>
          <w:rFonts w:hint="eastAsia" w:ascii="仿宋" w:hAnsi="仿宋" w:eastAsia="仿宋" w:cs="仿宋"/>
          <w:color w:val="000000"/>
          <w:sz w:val="24"/>
          <w:szCs w:val="24"/>
          <w:highlight w:val="none"/>
        </w:rPr>
        <w:t xml:space="preserve">五、磋商与评审</w:t>
      </w:r>
      <w:bookmarkEnd w:id="188"/>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19.磋商仪式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19.1招标代理将在磋商邀请中规定的时间和地点组织磋商开始仪式，仪式由招标代理主持，磋商供应商应委派携带有效证件的代表准时参加，参加仪式的代表需签名以证明其出席。</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9" w:name="_Toc20823303"/>
      <w:r/>
      <w:bookmarkStart w:id="190" w:name="_Toc16938547"/>
      <w:r/>
      <w:bookmarkStart w:id="191" w:name="_Toc513029231"/>
      <w:r>
        <w:rPr>
          <w:rFonts w:hint="eastAsia" w:ascii="仿宋" w:hAnsi="仿宋" w:eastAsia="仿宋" w:cs="仿宋"/>
          <w:color w:val="000000"/>
          <w:sz w:val="24"/>
          <w:szCs w:val="24"/>
          <w:highlight w:val="none"/>
        </w:rPr>
        <w:t xml:space="preserve">20.磋商小组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20.1磋商开始仪式结束后，招标代理将立即组织磋商小组进行评审。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20.2磋商小组由政府采购评审专家、采购人代表组成，且人员构成符合政府采购有关规定。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189"/>
      <w:r/>
      <w:bookmarkEnd w:id="190"/>
      <w:r/>
      <w:bookmarkEnd w:id="191"/>
      <w:r>
        <w:rPr>
          <w:rFonts w:hint="eastAsia" w:ascii="仿宋" w:hAnsi="仿宋" w:eastAsia="仿宋" w:cs="仿宋"/>
          <w:color w:val="000000"/>
          <w:sz w:val="24"/>
          <w:szCs w:val="24"/>
          <w:highlight w:val="none"/>
        </w:rPr>
        <w:t xml:space="preserve">与公正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22.3接到磋商小组澄清要求的供应商如未按规定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23.3被认定为未实质性响应磋商文件的响应文件的情形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和磋商文件中规定的其他实质性要求和条件的（本磋商文件中斜体且有下划线部分为实质性要求和条件）；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及本磋商文件规定的属于未实质性响应的响应文件的情形；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23.4未实质性响应磋商文件的响应文件按无效响应处理，磋商小组将予以拒绝，供应商不得通过修改或撤销</w:t>
      </w:r>
      <w:r>
        <w:rPr>
          <w:rFonts w:hint="eastAsia" w:ascii="仿宋" w:hAnsi="仿宋" w:eastAsia="仿宋" w:cs="仿宋"/>
          <w:color w:val="000000"/>
          <w:sz w:val="24"/>
          <w:szCs w:val="24"/>
          <w:highlight w:val="none"/>
          <w:lang w:eastAsia="zh-CN"/>
        </w:rPr>
        <w:t xml:space="preserve">不符</w:t>
      </w:r>
      <w:r>
        <w:rPr>
          <w:rFonts w:hint="eastAsia" w:ascii="仿宋" w:hAnsi="仿宋" w:eastAsia="仿宋" w:cs="仿宋"/>
          <w:color w:val="000000"/>
          <w:sz w:val="24"/>
          <w:szCs w:val="24"/>
          <w:highlight w:val="none"/>
        </w:rPr>
        <w:t xml:space="preserve">合要求的偏离或保留而使其响应文件成为实质性响应的文件。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24.1.1对于通过资格性和符合性审查的供应商，磋商小组所有成员将集中与单一供应商分别进行磋商。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t xml:space="preserve">管理暂行办法》第三条第四项及《财政部关于竞争性磋商</w:t>
      </w:r>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采购人方式</w:t>
      </w:r>
      <w:r>
        <w:rPr>
          <w:rFonts w:hint="eastAsia" w:ascii="仿宋" w:hAnsi="仿宋" w:eastAsia="仿宋" w:cs="仿宋"/>
          <w:color w:val="000000"/>
          <w:sz w:val="24"/>
          <w:szCs w:val="24"/>
          <w:highlight w:val="none"/>
        </w:rPr>
        <w:t xml:space="preserve">适用情形的；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w:t>
      </w:r>
      <w:r>
        <w:rPr>
          <w:rFonts w:hint="eastAsia" w:ascii="仿宋" w:hAnsi="仿宋" w:eastAsia="仿宋" w:cs="仿宋"/>
          <w:color w:val="000000"/>
          <w:sz w:val="24"/>
          <w:szCs w:val="24"/>
          <w:highlight w:val="none"/>
          <w:lang w:val="en-US" w:eastAsia="zh-CN"/>
        </w:rPr>
        <w:t xml:space="preserve">最高限价</w:t>
      </w:r>
      <w:r>
        <w:rPr>
          <w:rFonts w:hint="eastAsia" w:ascii="仿宋" w:hAnsi="仿宋" w:eastAsia="仿宋" w:cs="仿宋"/>
          <w:color w:val="000000"/>
          <w:sz w:val="24"/>
          <w:szCs w:val="24"/>
          <w:highlight w:val="none"/>
        </w:rPr>
        <w:t xml:space="preserve">的供应商不足3家的。</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2" w:name="_Toc7209"/>
      <w:r>
        <w:rPr>
          <w:rFonts w:hint="eastAsia" w:ascii="仿宋" w:hAnsi="仿宋" w:eastAsia="仿宋" w:cs="仿宋"/>
          <w:color w:val="000000"/>
          <w:sz w:val="24"/>
          <w:szCs w:val="24"/>
          <w:highlight w:val="none"/>
        </w:rPr>
        <w:t xml:space="preserve">六、成交</w:t>
      </w:r>
      <w:bookmarkEnd w:id="192"/>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26.8以下情形的质疑不予受理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26.8.1内容不符合《政府采购质疑和投诉办法》第十二条规定的质疑。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26.8.2超出政府采购法定期限的质疑。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26.8.3以传真、电子邮件等方式递交的非原件形式的质疑。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3" w:name="_Toc31999"/>
      <w:r>
        <w:rPr>
          <w:rFonts w:hint="eastAsia" w:ascii="仿宋" w:hAnsi="仿宋" w:eastAsia="仿宋" w:cs="仿宋"/>
          <w:color w:val="000000"/>
          <w:sz w:val="24"/>
          <w:szCs w:val="24"/>
          <w:highlight w:val="none"/>
        </w:rPr>
        <w:t xml:space="preserve">七、合同签订相关事项</w:t>
      </w:r>
      <w:bookmarkEnd w:id="193"/>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4"/>
          <w:szCs w:val="24"/>
          <w:highlight w:val="none"/>
          <w:lang w:val="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28.2磋商文件、成交供应商的响应文件及磋商采购过程中有关澄清、承诺文件均应作为合同附件。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仿宋" w:hAnsi="仿宋" w:eastAsia="仿宋" w:cs="仿宋"/>
          <w:color w:val="000000"/>
          <w:sz w:val="24"/>
          <w:szCs w:val="24"/>
          <w:highlight w:val="none"/>
        </w:rPr>
      </w:r>
      <w:r/>
    </w:p>
    <w:p>
      <w:pPr>
        <w:pStyle w:val="1133"/>
        <w:rPr>
          <w:rFonts w:hint="eastAsia"/>
          <w:color w:val="000000"/>
          <w:highlight w:val="none"/>
        </w:rPr>
      </w:pPr>
      <w:r/>
      <w:bookmarkEnd w:id="151"/>
      <w:r/>
      <w:bookmarkEnd w:id="152"/>
      <w:r/>
      <w:bookmarkEnd w:id="153"/>
      <w:r/>
      <w:bookmarkStart w:id="194" w:name="_Toc120614221"/>
      <w:r/>
      <w:bookmarkStart w:id="195" w:name="_Toc16938558"/>
      <w:r/>
      <w:bookmarkStart w:id="196" w:name="_Toc479757207"/>
      <w:r/>
      <w:bookmarkStart w:id="197" w:name="_Toc20823314"/>
      <w:r/>
      <w:bookmarkStart w:id="198" w:name="_Toc513029242"/>
      <w:r>
        <w:rPr>
          <w:rFonts w:hint="eastAsia"/>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4"/>
      <w:r/>
      <w:bookmarkEnd w:id="195"/>
      <w:r/>
      <w:bookmarkEnd w:id="196"/>
      <w:r/>
      <w:bookmarkEnd w:id="197"/>
      <w:r/>
      <w:bookmarkEnd w:id="198"/>
      <w:r>
        <w:rPr>
          <w:rFonts w:hint="eastAsia" w:ascii="仿宋" w:hAnsi="仿宋" w:eastAsia="仿宋" w:cs="仿宋"/>
          <w:b/>
          <w:bCs/>
          <w:color w:val="000000"/>
          <w:sz w:val="40"/>
          <w:szCs w:val="40"/>
          <w:highlight w:val="none"/>
        </w:rPr>
        <w:br w:type="page" w:clear="all"/>
      </w:r>
      <w:bookmarkStart w:id="199" w:name="_Toc31940"/>
      <w:r>
        <w:rPr>
          <w:rFonts w:hint="eastAsia" w:ascii="仿宋" w:hAnsi="仿宋" w:eastAsia="仿宋" w:cs="仿宋"/>
          <w:b/>
          <w:bCs/>
          <w:color w:val="000000"/>
          <w:sz w:val="40"/>
          <w:szCs w:val="40"/>
          <w:highlight w:val="none"/>
        </w:rPr>
        <w:t xml:space="preserve">第三章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合同文本</w:t>
      </w:r>
      <w:bookmarkEnd w:id="96"/>
      <w:r>
        <w:rPr>
          <w:rFonts w:hint="eastAsia" w:ascii="仿宋" w:hAnsi="仿宋" w:eastAsia="仿宋" w:cs="仿宋"/>
          <w:b/>
          <w:bCs/>
          <w:color w:val="000000"/>
          <w:sz w:val="40"/>
          <w:szCs w:val="40"/>
          <w:highlight w:val="none"/>
        </w:rPr>
        <w:t xml:space="preserve">（服务）</w:t>
      </w:r>
      <w:bookmarkEnd w:id="199"/>
      <w:r>
        <w:rPr>
          <w:rFonts w:hint="eastAsia" w:ascii="仿宋" w:hAnsi="仿宋" w:eastAsia="仿宋" w:cs="仿宋"/>
          <w:bCs/>
          <w:color w:val="000000"/>
          <w:sz w:val="44"/>
          <w:highlight w:val="none"/>
        </w:rPr>
      </w:r>
      <w:r/>
    </w:p>
    <w:p>
      <w:pPr>
        <w:pStyle w:val="1155"/>
        <w:spacing w:line="244" w:lineRule="auto"/>
        <w:rPr>
          <w:color w:val="000000"/>
          <w:highlight w:val="none"/>
        </w:rPr>
      </w:pPr>
      <w:r/>
      <w:bookmarkStart w:id="200" w:name="_Toc513029243"/>
      <w:r/>
      <w:bookmarkStart w:id="201" w:name="_Toc20823315"/>
      <w:r/>
      <w:bookmarkStart w:id="202" w:name="_Toc16938559"/>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33"/>
        <w:ind w:left="1853"/>
        <w:spacing w:before="169" w:line="223" w:lineRule="auto"/>
        <w:rPr>
          <w:rFonts w:ascii="黑体" w:hAnsi="黑体" w:eastAsia="黑体" w:cs="黑体"/>
          <w:color w:val="000000"/>
          <w:sz w:val="52"/>
          <w:szCs w:val="52"/>
          <w:highlight w:val="none"/>
        </w:rPr>
      </w:pPr>
      <w:r/>
      <w:bookmarkStart w:id="203" w:name="bookmark10"/>
      <w:r/>
      <w:bookmarkEnd w:id="203"/>
      <w:r>
        <w:rPr>
          <w:rFonts w:ascii="黑体" w:hAnsi="黑体" w:eastAsia="黑体" w:cs="黑体"/>
          <w:b/>
          <w:bCs/>
          <w:color w:val="000000"/>
          <w:spacing w:val="-8"/>
          <w:sz w:val="52"/>
          <w:szCs w:val="52"/>
          <w:highlight w:val="none"/>
        </w:rPr>
        <w:t xml:space="preserve">南京市政府采购合同</w:t>
      </w:r>
      <w:r>
        <w:rPr>
          <w:rFonts w:ascii="黑体" w:hAnsi="黑体" w:eastAsia="黑体" w:cs="黑体"/>
          <w:color w:val="000000"/>
          <w:sz w:val="52"/>
          <w:szCs w:val="52"/>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33"/>
        <w:ind w:left="660"/>
        <w:spacing w:before="101"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6"/>
          <w:sz w:val="31"/>
          <w:szCs w:val="31"/>
          <w:highlight w:val="none"/>
        </w:rPr>
        <w:t xml:space="preserve">合同编号：</w:t>
      </w:r>
      <w:r>
        <w:rPr>
          <w:rFonts w:hint="eastAsia" w:ascii="仿宋" w:hAnsi="仿宋" w:eastAsia="仿宋" w:cs="仿宋"/>
          <w:color w:val="000000"/>
          <w:sz w:val="31"/>
          <w:szCs w:val="31"/>
          <w:highlight w:val="none"/>
          <w:lang w:eastAsia="zh-CN"/>
        </w:rPr>
      </w:r>
      <w:r/>
    </w:p>
    <w:p>
      <w:pPr>
        <w:pStyle w:val="1133"/>
        <w:ind w:left="653"/>
        <w:spacing w:before="215"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项目名称：</w:t>
      </w:r>
      <w:r>
        <w:rPr>
          <w:rFonts w:hint="eastAsia" w:ascii="仿宋" w:hAnsi="仿宋" w:eastAsia="仿宋" w:cs="仿宋"/>
          <w:color w:val="000000"/>
          <w:sz w:val="31"/>
          <w:szCs w:val="31"/>
          <w:highlight w:val="none"/>
          <w:lang w:eastAsia="zh-CN"/>
        </w:rPr>
      </w:r>
      <w:r/>
    </w:p>
    <w:p>
      <w:pPr>
        <w:pStyle w:val="1133"/>
        <w:ind w:left="653"/>
        <w:spacing w:before="220"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使用单位：</w:t>
      </w:r>
      <w:r>
        <w:rPr>
          <w:rFonts w:hint="eastAsia" w:ascii="仿宋" w:hAnsi="仿宋" w:eastAsia="仿宋" w:cs="仿宋"/>
          <w:color w:val="000000"/>
          <w:sz w:val="31"/>
          <w:szCs w:val="31"/>
          <w:highlight w:val="none"/>
          <w:lang w:eastAsia="zh-CN"/>
        </w:rPr>
      </w:r>
      <w:r/>
    </w:p>
    <w:p>
      <w:pPr>
        <w:pStyle w:val="1133"/>
        <w:ind w:left="650"/>
        <w:spacing w:before="221"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服务单位：</w:t>
      </w:r>
      <w:r>
        <w:rPr>
          <w:rFonts w:hint="eastAsia" w:ascii="仿宋" w:hAnsi="仿宋" w:eastAsia="仿宋" w:cs="仿宋"/>
          <w:color w:val="000000"/>
          <w:sz w:val="31"/>
          <w:szCs w:val="31"/>
          <w:highlight w:val="none"/>
          <w:lang w:eastAsia="zh-CN"/>
        </w:rPr>
      </w:r>
      <w:r/>
    </w:p>
    <w:p>
      <w:pPr>
        <w:pStyle w:val="1133"/>
        <w:ind w:left="659"/>
        <w:spacing w:before="219"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签订日期：</w:t>
      </w:r>
      <w:r>
        <w:rPr>
          <w:rFonts w:hint="eastAsia" w:ascii="仿宋" w:hAnsi="仿宋" w:eastAsia="仿宋" w:cs="仿宋"/>
          <w:color w:val="000000"/>
          <w:sz w:val="31"/>
          <w:szCs w:val="31"/>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eastAsia="zh-CN"/>
        </w:rPr>
      </w:r>
      <w:r/>
    </w:p>
    <w:p>
      <w:pPr>
        <w:pStyle w:val="113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按照《中华人民共和国民法典》和相关的法律法规规定，经甲乙双方协商一致，签订本合同。</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第一条服务的内容及期限</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1.1服务名称：</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1.2服务期限：</w:t>
      </w:r>
      <w:r>
        <w:rPr>
          <w:rFonts w:hint="eastAsia" w:ascii="仿宋" w:hAnsi="仿宋" w:eastAsia="仿宋" w:cs="仿宋"/>
          <w:color w:val="000000"/>
          <w:sz w:val="24"/>
          <w:szCs w:val="24"/>
          <w:highlight w:val="none"/>
          <w:u w:val="single"/>
        </w:rPr>
        <w:t xml:space="preserve">自合同签订之日起至202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年12月31日</w:t>
      </w:r>
      <w:r>
        <w:rPr>
          <w:rFonts w:hint="eastAsia" w:ascii="仿宋" w:hAnsi="仿宋" w:eastAsia="仿宋" w:cs="仿宋"/>
          <w:color w:val="000000"/>
          <w:sz w:val="24"/>
          <w:szCs w:val="24"/>
          <w:highlight w:val="none"/>
          <w:u w:val="singl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1.3服务地点：</w:t>
      </w:r>
      <w:r>
        <w:rPr>
          <w:rFonts w:hint="eastAsia" w:ascii="仿宋" w:hAnsi="仿宋" w:eastAsia="仿宋" w:cs="仿宋"/>
          <w:color w:val="000000"/>
          <w:sz w:val="24"/>
          <w:szCs w:val="24"/>
          <w:highlight w:val="none"/>
          <w:u w:val="single"/>
          <w:lang w:val="en-US" w:eastAsia="zh-CN"/>
        </w:rPr>
        <w:t xml:space="preserve">拟定京津冀、粤港澳、长三角等，最终实施地点根据甲方实际要求而定。</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（1）在重点城市举办进高校开展“1+1+N”系列活动。主线城市每场至少召开1场专题宣介会、1场专场</w:t>
      </w:r>
      <w:r>
        <w:rPr>
          <w:rFonts w:hint="eastAsia" w:ascii="仿宋" w:hAnsi="仿宋" w:eastAsia="仿宋" w:cs="仿宋"/>
          <w:color w:val="000000"/>
          <w:sz w:val="24"/>
          <w:szCs w:val="24"/>
          <w:highlight w:val="none"/>
          <w:u w:val="single"/>
          <w:lang w:val="en-US" w:eastAsia="zh-CN"/>
        </w:rPr>
        <w:t xml:space="preserve">招聘会，全过程总计不低于8场招聘会，不低于4场宣讲会，以及若干场特色活动。一是城市宣介。开展政策宣讲，集中宣介城市发展环境、引才政策。二是岗位对接。市外每个高校组织不少于30家重点企业进校揽才，专场招聘提供岗位数量不低于1000个；市内每个高校组织不少于100家重点企业进校招聘，提供岗位数量不低于3000个；三是系列活动。主要包括校企合作签约、聘任“引才大使”“转化顾问”、校友座谈，“宁才来”创意市集进校园、“金陵味・人才宴”美食进校园等活动；结合“赢在南京”“创在南京”进高校计划，同步举办分会场赛事路演。</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全面承接系列活动主会场的落地执行工作，具体执行内容包括但不限于：与高校前期对接、各城市主会场（含推介会、招聘会、特色活动）的场地租赁、物料准备、会场布置、设备保障、安全保障、参会企业和求职人才组织发动、供需对接服务、参加活动人员交通食宿费、招聘会期间用餐、招聘会情况跟踪、志愿者及有关人员劳动报酬、税费等。</w:t>
      </w:r>
      <w:r>
        <w:rPr>
          <w:rFonts w:hint="eastAsia"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第二条合同金额及支付方式</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2.1合同金额：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2.2支付方式：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（1）合同签订生效后，乙方开具等额增值税普通发票后，甲方向乙方支付合同价的20%；</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（2）乙方在每场活动结束后，须向甲方提交活动明细，经甲方审核确认后，作为据实结算凭证；</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（3）服务期满后并经甲方验收通过后，按以下方式进行结算：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①全年每场活动的据实结算凭证累计金额未达到本项目成交金额的，按累计金额据实结算；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②全年每场活动的据实结算凭证累计金额达到或超过本项目成交金额的，按中标金额结算。</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2.3甲方每次向乙方付款前，乙方需提供正规发票，否则甲方有权拒绝付款，并不承担任何责任。</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第三条项目验收依据</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3.1合同内容。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3.2国内相应的国家标准、行业标准及规范。</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第四条双方权利和义务</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4.1甲方权利义务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4.1.1负责协助乙方办理本合同数据协调有关事宜。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4.1.2对合同条款及所知悉的乙方商业秘密负有保密义务。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4.1.3充分做好协调，配合乙方完成相关工作。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4.1.4按约定及时拨付资金。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4.2乙方权利义务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4.2.1保证所提供服务符合相关法律法规规定并且满足甲方的需求。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4.2.2保证所提供服务的售后服务，严格依据协议履行相关承诺。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4.2.3保证其</w:t>
      </w:r>
      <w:r>
        <w:rPr>
          <w:rFonts w:hint="eastAsia" w:ascii="仿宋" w:hAnsi="仿宋" w:eastAsia="仿宋" w:cs="仿宋"/>
          <w:color w:val="000000"/>
          <w:sz w:val="24"/>
          <w:szCs w:val="24"/>
          <w:highlight w:val="none"/>
          <w:lang w:eastAsia="zh-CN"/>
        </w:rPr>
        <w:t xml:space="preserve">所提</w:t>
      </w:r>
      <w:r>
        <w:rPr>
          <w:rFonts w:hint="eastAsia" w:ascii="仿宋" w:hAnsi="仿宋" w:eastAsia="仿宋" w:cs="仿宋"/>
          <w:color w:val="000000"/>
          <w:sz w:val="24"/>
          <w:szCs w:val="24"/>
          <w:highlight w:val="none"/>
        </w:rPr>
        <w:t xml:space="preserve">供服务不存在侵犯第三方知识产权的行为，否则由此产生的损失由乙方承担。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第五条违约责任</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5.1乙方提供的服务不符合本合同规定的，甲方有权拒收，并解除合同。并且乙方须向甲方支付本合同服务款金额10%的违约金。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5.2乙方未能按本合同规定交付服务成果，甲方有权解除合同，乙方向甲方支付合同服务款金额5%的违约金。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5.3乙方逾期交付服务成果时，每逾1日乙方向甲方支付合同服务款金额2‰的滞纳金。逾期交付超过30日，甲方有权终止合同，并且赔偿甲方因此所造成的经济损失。</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5.4未经甲方同意乙方不得私自将该服务转、分包第三方完成，如私自转、分包，甲方有权解除合同，乙方承担违约责任，支付合同服务款金额10%的违约金。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5.5甲方无正当理由拒绝接受服务，到期拒付服务款项的，甲方向乙方偿付本合同服务款金额10%的违约金，甲方逾期付款，则每日按逾期金额的万分之五向乙方偿付违约金。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5.6因甲方自身原因导致合同变更、中止或者终止政府采购合同的，甲方对乙方造成的经济损失按实际金额予以赔偿。</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第六条保密条款</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6.1乙方对甲方提供的资料负有保密义务，未经甲方同意，不得向项目无关单位和个人提供有关资料。如发生以上情况，甲方有权索赔。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6.2甲方有义务保护乙方的数据信息，未经乙方同意，甲方对相关数据资料不得向第三方透露。如发生以上情况，乙方有权索赔。</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第七条争议解决</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7.1甲乙双方在合同履行中发生争议或遇不可</w:t>
      </w:r>
      <w:r>
        <w:rPr>
          <w:rFonts w:hint="eastAsia" w:ascii="仿宋" w:hAnsi="仿宋" w:eastAsia="仿宋" w:cs="仿宋"/>
          <w:color w:val="000000"/>
          <w:sz w:val="24"/>
          <w:szCs w:val="24"/>
          <w:highlight w:val="none"/>
          <w:lang w:eastAsia="zh-CN"/>
        </w:rPr>
        <w:t xml:space="preserve">抗力</w:t>
      </w:r>
      <w:r>
        <w:rPr>
          <w:rFonts w:hint="eastAsia" w:ascii="仿宋" w:hAnsi="仿宋" w:eastAsia="仿宋" w:cs="仿宋"/>
          <w:color w:val="000000"/>
          <w:sz w:val="24"/>
          <w:szCs w:val="24"/>
          <w:highlight w:val="none"/>
        </w:rPr>
        <w:t xml:space="preserve">，导致协议不能执行，应通过协商解决。如协商不成，可以向</w:t>
      </w:r>
      <w:r>
        <w:rPr>
          <w:rFonts w:hint="eastAsia" w:ascii="仿宋" w:hAnsi="仿宋" w:eastAsia="仿宋" w:cs="仿宋"/>
          <w:color w:val="000000"/>
          <w:sz w:val="24"/>
          <w:szCs w:val="24"/>
          <w:highlight w:val="none"/>
          <w:lang w:val="en-US" w:eastAsia="zh-CN"/>
        </w:rPr>
        <w:t xml:space="preserve">玄武</w:t>
      </w:r>
      <w:r>
        <w:rPr>
          <w:rFonts w:hint="eastAsia" w:ascii="仿宋" w:hAnsi="仿宋" w:eastAsia="仿宋" w:cs="仿宋"/>
          <w:color w:val="000000"/>
          <w:sz w:val="24"/>
          <w:szCs w:val="24"/>
          <w:highlight w:val="none"/>
        </w:rPr>
        <w:t xml:space="preserve">仲裁委员会仲裁。守约方为此支付的各种费用，包括但不限于诉讼费、评估费、保全费、审计费、律师费等费用全部由违约方承担。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第八条其他</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8.1本合同一式肆份，供需双方各执贰份，合同由甲、乙双方法定代表人（或者被授权代表）签字并加盖单位公章后方为有效。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8.2本合同未尽事宜，双方可以增加条款或补充协议的形式加以补充，但增加或补充协议的条款不得对本合同文件作实质性修改。补充协议与本合同具有相同的法律效力。</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br w:type="page" w:clear="all"/>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甲方（采购人</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2"/>
          <w:sz w:val="24"/>
          <w:szCs w:val="24"/>
          <w:highlight w:val="none"/>
        </w:rPr>
        <w:t xml:space="preserve">盖章）</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乙方（供应商）：（盖章）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rPr>
          <w:rFonts w:hint="eastAsia"/>
          <w:color w:val="000000"/>
          <w:highlight w:val="none"/>
        </w:rPr>
      </w:pPr>
      <w:r/>
      <w:bookmarkEnd w:id="200"/>
      <w:r/>
      <w:bookmarkEnd w:id="201"/>
      <w:r/>
      <w:bookmarkEnd w:id="202"/>
      <w:r>
        <w:rPr>
          <w:rFonts w:hint="eastAsia"/>
          <w:color w:val="000000"/>
          <w:highlight w:val="none"/>
        </w:rPr>
      </w:r>
      <w:r/>
    </w:p>
    <w:p>
      <w:pPr>
        <w:pStyle w:val="1134"/>
        <w:jc w:val="center"/>
        <w:spacing w:before="145" w:after="145" w:line="520" w:lineRule="exact"/>
        <w:rPr>
          <w:rFonts w:hint="eastAsia" w:ascii="仿宋" w:hAnsi="仿宋" w:eastAsia="仿宋" w:cs="仿宋"/>
          <w:color w:val="000000"/>
          <w:sz w:val="24"/>
          <w:szCs w:val="24"/>
          <w:highlight w:val="none"/>
        </w:rPr>
      </w:pPr>
      <w:r/>
      <w:bookmarkEnd w:id="19"/>
      <w:r/>
      <w:bookmarkEnd w:id="20"/>
      <w:r/>
      <w:bookmarkEnd w:id="21"/>
      <w:r/>
      <w:bookmarkEnd w:id="22"/>
      <w:r/>
      <w:bookmarkEnd w:id="23"/>
      <w:r/>
      <w:bookmarkEnd w:id="97"/>
      <w:r/>
      <w:bookmarkEnd w:id="98"/>
      <w:r/>
      <w:bookmarkStart w:id="204" w:name="_Hlt16619350"/>
      <w:r/>
      <w:bookmarkStart w:id="205" w:name="_Toc120614244"/>
      <w:r/>
      <w:bookmarkStart w:id="206" w:name="_Toc20823346"/>
      <w:r/>
      <w:bookmarkStart w:id="207" w:name="_Toc16938590"/>
      <w:r/>
      <w:bookmarkStart w:id="208" w:name="_Toc479757211"/>
      <w:r/>
      <w:bookmarkStart w:id="209" w:name="_Toc462564139"/>
      <w:r>
        <w:rPr>
          <w:rFonts w:hint="eastAsia" w:ascii="仿宋" w:hAnsi="仿宋" w:eastAsia="仿宋" w:cs="仿宋"/>
          <w:b/>
          <w:bCs/>
          <w:color w:val="000000"/>
          <w:sz w:val="40"/>
          <w:szCs w:val="40"/>
          <w:highlight w:val="none"/>
        </w:rPr>
        <w:br w:type="page" w:clear="all"/>
      </w:r>
      <w:bookmarkStart w:id="210" w:name="_Toc12842"/>
      <w:r>
        <w:rPr>
          <w:rFonts w:hint="eastAsia" w:ascii="仿宋" w:hAnsi="仿宋" w:eastAsia="仿宋" w:cs="仿宋"/>
          <w:b/>
          <w:bCs/>
          <w:color w:val="000000"/>
          <w:sz w:val="40"/>
          <w:szCs w:val="40"/>
          <w:highlight w:val="none"/>
        </w:rPr>
        <w:t xml:space="preserve">第</w:t>
      </w:r>
      <w:bookmarkEnd w:id="204"/>
      <w:r>
        <w:rPr>
          <w:rFonts w:hint="eastAsia" w:ascii="仿宋" w:hAnsi="仿宋" w:eastAsia="仿宋" w:cs="仿宋"/>
          <w:b/>
          <w:bCs/>
          <w:color w:val="000000"/>
          <w:sz w:val="40"/>
          <w:szCs w:val="40"/>
          <w:highlight w:val="none"/>
        </w:rPr>
        <w:t xml:space="preserve">四章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项目需求</w:t>
      </w:r>
      <w:bookmarkEnd w:id="205"/>
      <w:r/>
      <w:bookmarkEnd w:id="206"/>
      <w:r/>
      <w:bookmarkEnd w:id="207"/>
      <w:r/>
      <w:bookmarkEnd w:id="210"/>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eastAsia="zh-CN"/>
        </w:rPr>
      </w:pPr>
      <w:r/>
      <w:bookmarkStart w:id="211" w:name="_Toc14922"/>
      <w:r/>
      <w:bookmarkStart w:id="212" w:name="_Toc49090575"/>
      <w:r/>
      <w:bookmarkStart w:id="213" w:name="_Toc26554093"/>
      <w:r>
        <w:rPr>
          <w:rFonts w:hint="eastAsia" w:ascii="仿宋" w:hAnsi="仿宋" w:eastAsia="仿宋" w:cs="仿宋"/>
          <w:color w:val="000000"/>
          <w:sz w:val="24"/>
          <w:szCs w:val="24"/>
          <w:highlight w:val="none"/>
        </w:rPr>
        <w:t xml:space="preserve">一、项目</w:t>
      </w:r>
      <w:r>
        <w:rPr>
          <w:rFonts w:hint="eastAsia" w:ascii="仿宋" w:hAnsi="仿宋" w:eastAsia="仿宋" w:cs="仿宋"/>
          <w:color w:val="000000"/>
          <w:sz w:val="24"/>
          <w:szCs w:val="24"/>
          <w:highlight w:val="none"/>
          <w:lang w:val="en-US" w:eastAsia="zh-CN"/>
        </w:rPr>
        <w:t xml:space="preserve">概括</w:t>
      </w:r>
      <w:bookmarkEnd w:id="211"/>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集聚更多青年人才来宁就业创业，我市拟于2026年开展“百校巡回招引”系列活动，赴京津冀、粤港澳、长三角等地区重点高校，开展专题宣介、专场招聘、校地对接等引才活动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lang w:eastAsia="zh-CN"/>
        </w:rPr>
      </w:pPr>
      <w:r/>
      <w:bookmarkStart w:id="214" w:name="_Toc26273"/>
      <w:r>
        <w:rPr>
          <w:rFonts w:ascii="仿宋" w:hAnsi="仿宋" w:eastAsia="仿宋" w:cs="仿宋"/>
          <w:b/>
          <w:bCs/>
          <w:color w:val="000000"/>
          <w:spacing w:val="-6"/>
          <w:sz w:val="24"/>
          <w:szCs w:val="24"/>
          <w:highlight w:val="none"/>
        </w:rPr>
        <w:t xml:space="preserve">二、</w:t>
      </w:r>
      <w:r>
        <w:rPr>
          <w:rFonts w:hint="eastAsia" w:ascii="仿宋" w:hAnsi="仿宋" w:eastAsia="仿宋" w:cs="仿宋"/>
          <w:b/>
          <w:bCs/>
          <w:color w:val="000000"/>
          <w:sz w:val="24"/>
          <w:szCs w:val="24"/>
          <w:highlight w:val="none"/>
        </w:rPr>
        <w:t xml:space="preserve">采购</w:t>
      </w:r>
      <w:r>
        <w:rPr>
          <w:rFonts w:ascii="仿宋" w:hAnsi="仿宋" w:eastAsia="仿宋" w:cs="仿宋"/>
          <w:b/>
          <w:bCs/>
          <w:color w:val="000000"/>
          <w:spacing w:val="-6"/>
          <w:sz w:val="24"/>
          <w:szCs w:val="24"/>
          <w:highlight w:val="none"/>
        </w:rPr>
        <w:t xml:space="preserve">需求</w:t>
      </w:r>
      <w:bookmarkEnd w:id="214"/>
      <w:r>
        <w:rPr>
          <w:rFonts w:hint="eastAsia" w:ascii="仿宋" w:hAnsi="仿宋" w:eastAsia="仿宋" w:cs="仿宋"/>
          <w:b/>
          <w:bCs/>
          <w:color w:val="000000"/>
          <w:spacing w:val="-6"/>
          <w:sz w:val="24"/>
          <w:szCs w:val="24"/>
          <w:highlight w:val="none"/>
          <w:lang w:eastAsia="zh-CN"/>
        </w:rPr>
      </w:r>
      <w:r/>
    </w:p>
    <w:p>
      <w:pPr>
        <w:pStyle w:val="1136"/>
        <w:ind w:firstLine="482"/>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（一）活动时间</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自合同签订生效之日起至2026年12月31日（具体活动时间以采购人实际需求为准）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（二）活动地点</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京津冀、粤港澳、长三角等片区至少8所重点、头部高校，包括但不限于同济大学、复旦大学、南京大学、东南大学、北京理工大学、北京航空航天大学、武汉大学、华中科技大学，以上为拟重点对接高校，活动线路和高校会在执行过程中根据采购单位的活动安排进行实时调整。</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（三）服务形式</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在重点城市举办进高校开展“1+1+N”系列活动。主线城市每场至少召开1场专题宣介会、1场专场</w:t>
      </w:r>
      <w:r>
        <w:rPr>
          <w:rFonts w:hint="eastAsia" w:ascii="仿宋" w:hAnsi="仿宋" w:eastAsia="仿宋" w:cs="仿宋"/>
          <w:color w:val="000000"/>
          <w:sz w:val="24"/>
          <w:szCs w:val="24"/>
          <w:highlight w:val="none"/>
          <w:lang w:val="en-US" w:eastAsia="zh-CN" w:bidi="ar-SA"/>
        </w:rPr>
        <w:t xml:space="preserve">招聘会，全过程总计不低于8场招聘会，不低于4场宣讲会，以及若干场特色活动。一是城市宣介。开展政策宣讲，集中宣介城市发展环境、引才政策。二是岗位对接。市外每个高校组织不少于30家重点企业进校揽才，专场招聘提供岗位数量不低于1000个；市内每个高校组织不少于100家重点企业进校招聘，提供岗位数量不低于3000个；三是系列活动。主要包括校企合作签约、聘任“引才大使”“转化顾问”、校友座谈，“宁才来”创意市集进校园、“金陵味・人才宴”美食进校园等活动；结合“赢在南京”“创在南京”进高校计划，同步举办分会场赛事路演。</w:t>
      </w:r>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（四）服务内容</w:t>
      </w:r>
      <w:r>
        <w:rPr>
          <w:rFonts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全面承接系列活动主会场的落地执行工作，具体执行内容包括但不限于：与高校前期对接、各城市主会场（含推介会、招聘会、特色活动）的场地租赁、物料准备、会场布置、设备保障、安全保障、参会企业和求职人才组织发动、供需对接服务、参加活动人员交通食宿费、招聘会期间用餐、招聘会情况跟踪、志愿者及有关人员劳动报酬、税费等。</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2、根据采购人要求每次活动开展前做好服务方案的制定。做好契合活动主题的各类宣传资料的设计与制作。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3、供应商招募符合活动主题的企业参与活动，收集各企业基本情况、用工需求及宣传资料，提前定制制作宣传易拉宝、户外喷绘及其他相关宣传资料。</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做好招聘会、宣讲会场地氛围布置、展位搭建等工作。搭建招聘展位（含招聘展位设计制作、桌椅、布景等），包含现场喷绘、企业招聘信息KT、横幅板等，文字内容根据企业要求定制。宣讲会准备好投影、话筒、音响等宣讲设备。</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活动期间供应商统筹做好活动组织工作，接受采购人监督，及时反馈活动运作情况，根据采购人要求做好活动现场的安全保障、应急医疗保障和消防等工作。协调处理招聘会活动现场可能出现的紧急状况或突发事件。</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6、供应商根据参与活动的企业及工作人员的数量做好活动场地、参与人员的吃、住、行等相关事宜。安排有卫生许可资质的经营户进行快餐配送，干净卫生，准时送达；饮用水要求保质期内的各品牌矿泉水。</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7、供应商做好活动的各项数据归集统计，包括参会单位及岗位的全部信息等，及时回收招聘统计表，并形成书面报告。</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8、招聘会所有数据的所有权归采购人所有。制定相应的资料管理及保密措施，采购人为工作所提供的各种项目资料应得到妥善地保管并保密。在项目结束后向采购人一次性移交。</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9、招聘会后事宜包括会场清理，将所有物品归置原处；对场地进行卫生清理；按照采购人要求开展回访调查、绩效评估等与招聘会有关的后续工作。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10、具体活动开展根据采购人要求进行。</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pPr>
      <w:r/>
      <w:bookmarkStart w:id="215" w:name="_Toc6765"/>
      <w:r>
        <w:rPr>
          <w:rFonts w:hint="eastAsia" w:ascii="仿宋" w:hAnsi="仿宋" w:eastAsia="仿宋" w:cs="仿宋"/>
          <w:color w:val="000000"/>
          <w:sz w:val="24"/>
          <w:szCs w:val="24"/>
          <w:highlight w:val="none"/>
          <w:lang w:val="en-US" w:eastAsia="zh-CN" w:bidi="ar-SA"/>
        </w:rPr>
        <w:t xml:space="preserve">三、其他要求</w:t>
      </w:r>
      <w:bookmarkEnd w:id="215"/>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rPr>
          <w:rFonts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1、供应商应针对本项目，成立项目小组，配备专业、高能力、高资质、实施类似项目经验丰富的人员，能提供快捷的服务响应，能够完全参照采购人采购需求，在规定的时限内完成工作任务。</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2、供应商需承担过类似规模和形式的活动，具备跨区域组织大型活动的能力。</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3、供应商需有丰富的校园合作资源，能够与全国重点城市重点及头部高校进行顺畅合作，保障活动顺利举办。</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4、供应商应具备活动物料制作、搭建、布展等相关资质。</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5、供应商应承担过类似活动组织。</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6、供应商针对采购人需求，负责活动其他各类相关工作，包括但不限于：制定活动方案、全程执行、会场布置、用餐安排、物料购买等。</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7、本项目相关活动方案、相关物料设计以及执行团队具体实施时都应体现活动特点，契合活动主题要求。</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8、供应商应尽职尽责为采购人提供服务，按时、按质、按量完成采购人委托的业务，本采购需求未明示的相关需求及服务，按采购人要求执行。</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9、活动无法举办或推迟，供应商要配合采购人的要求调整相关条款内容，以采购人最终确认要求为准。</w:t>
      </w:r>
      <w:r>
        <w:rPr>
          <w:rFonts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10、本项目活动均为公益性招聘活动，不得向用人单位以任何形式收取费用。</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11、本项目活动涉及的活动场地租金、会场布置搭建、物料设计制作、宣传费用、工作人员交通费、住宿费、餐费均由服务单位支付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（二）商务要求</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需派一名具有同类项目服务经验的人员担任项目负责人，统筹做好活动组织、后勤保障、安全保障、应急医疗保障和消防等各项工作的分工职责。原则上不允许中途更换项目负责人，因特殊情况确需更换的，需报采购人同意。项目负责人不按要求履职的，采购人有权要求更换项目负责人。</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需根据每场专场招聘会或宣讲会的实际要求合理安排工作人员，人员不限于随行人员及前期对接和场地布置及安保人员，前期工作的人员需提前前往活动地点安排工作，确保活动正常有序地进行；所有的工作人员安排均需向采购人报备，并经采购人审核同意。</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协调与配合采购人做好招聘会现场的安全保障、应急医疗保障和消防等工作；根据参展企业搭建相应的能遮风挡雨的标准展位，未经采购人同意，线下招聘会现场不得临时搭建展位，确保现场各项工作井然有序。</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4、供应商在合作期间严格按照活动方案完成各项工作，与采购人保持密切的沟通，对采购人所提建议进行及时地调整与反馈，活动过程全程接受采购人的指导、监督和检查。</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5、对于在筹备、举办期间突发的，与活动有关的工作内容，但未在招标文件中体现与明确的，供应商有义务配合采购人开展相关工作。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6、供应商须采取有效的措施确保活动安全、正常进行，确保不发生安全责任事故；如因活</w:t>
      </w:r>
      <w:bookmarkStart w:id="216" w:name="_bookmark5"/>
      <w:r/>
      <w:bookmarkEnd w:id="216"/>
      <w:r>
        <w:rPr>
          <w:rFonts w:hint="eastAsia" w:ascii="仿宋" w:hAnsi="仿宋" w:eastAsia="仿宋" w:cs="仿宋"/>
          <w:color w:val="000000"/>
          <w:sz w:val="24"/>
          <w:szCs w:val="24"/>
          <w:highlight w:val="none"/>
          <w:lang w:val="en-US" w:eastAsia="zh-CN"/>
        </w:rPr>
        <w:t xml:space="preserve">动给采购人或第三人人身、财产造成损害或损失，由供应商全额赔偿和承担全部责任。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7、如果发生因供应商工作失职造成安全事故或其他财产损失和人身伤害，均由供应商承担相关经济和法律责任。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8、供应商在服务过程中应积极主动与采购人进行沟通，本着诚实信用的原则高效率地提供各项服务，按规定的时限范围内高质量地完成工作并提供项目成果。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9、供应商不得利用采购人的委托，从事超越招商代理事宜范围的非正常活动和违法行为。</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10、供应商应对所有非公开的项目信息（无论是由采购人提供或供应商从其他渠道获悉）严格保密，直至相关信息公开为止。供应商应承担其自身原因造成非公开的项目信息泄露所产生的经济和法律责任。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供应商应保证在本项目使用的任何产品和服务（包括部分使用）时，不会产生因第三方提出侵犯其专利权、商标权或其他知识产权而引起的法律和经济纠纷，如因专利权、商标权或其他知识产权而引起法律和经济纠纷，由供应商承担所有相关责任。</w:t>
      </w:r>
      <w:r>
        <w:rPr>
          <w:rFonts w:hint="eastAsia" w:ascii="仿宋" w:hAnsi="仿宋" w:eastAsia="仿宋" w:cs="仿宋"/>
          <w:color w:val="000000"/>
          <w:sz w:val="24"/>
          <w:szCs w:val="24"/>
          <w:highlight w:val="none"/>
          <w:lang w:val="en-US" w:eastAsia="zh-CN"/>
        </w:rPr>
      </w:r>
      <w:r/>
    </w:p>
    <w:p>
      <w:pPr>
        <w:pStyle w:val="1136"/>
        <w:ind w:firstLine="458"/>
        <w:keepLines/>
        <w:keepNext/>
        <w:pageBreakBefore w:val="0"/>
        <w:spacing w:before="0" w:after="0" w:line="360" w:lineRule="auto"/>
        <w:widowControl w:val="off"/>
        <w:rPr>
          <w:rFonts w:ascii="仿宋" w:hAnsi="仿宋" w:eastAsia="仿宋" w:cs="仿宋"/>
          <w:b/>
          <w:bCs/>
          <w:color w:val="000000"/>
          <w:spacing w:val="-6"/>
          <w:sz w:val="24"/>
          <w:szCs w:val="24"/>
          <w:highlight w:val="none"/>
        </w:rPr>
      </w:pPr>
      <w:r>
        <w:rPr>
          <w:rFonts w:hint="eastAsia" w:ascii="仿宋" w:hAnsi="仿宋" w:eastAsia="仿宋" w:cs="仿宋"/>
          <w:b/>
          <w:bCs/>
          <w:color w:val="000000"/>
          <w:spacing w:val="-6"/>
          <w:sz w:val="24"/>
          <w:szCs w:val="24"/>
          <w:highlight w:val="none"/>
          <w:lang w:eastAsia="zh-CN"/>
        </w:rPr>
        <w:t xml:space="preserve">（</w:t>
      </w:r>
      <w:r>
        <w:rPr>
          <w:rFonts w:hint="eastAsia" w:ascii="仿宋" w:hAnsi="仿宋" w:eastAsia="仿宋" w:cs="仿宋"/>
          <w:b/>
          <w:bCs/>
          <w:color w:val="000000"/>
          <w:spacing w:val="-6"/>
          <w:sz w:val="24"/>
          <w:szCs w:val="24"/>
          <w:highlight w:val="none"/>
          <w:lang w:val="en-US" w:eastAsia="zh-CN"/>
        </w:rPr>
        <w:t xml:space="preserve">三</w:t>
      </w:r>
      <w:r>
        <w:rPr>
          <w:rFonts w:hint="eastAsia" w:ascii="仿宋" w:hAnsi="仿宋" w:eastAsia="仿宋" w:cs="仿宋"/>
          <w:b/>
          <w:bCs/>
          <w:color w:val="000000"/>
          <w:spacing w:val="-6"/>
          <w:sz w:val="24"/>
          <w:szCs w:val="24"/>
          <w:highlight w:val="none"/>
          <w:lang w:eastAsia="zh-CN"/>
        </w:rPr>
        <w:t xml:space="preserve">）</w:t>
      </w:r>
      <w:r>
        <w:rPr>
          <w:rFonts w:ascii="仿宋" w:hAnsi="仿宋" w:eastAsia="仿宋" w:cs="仿宋"/>
          <w:b/>
          <w:bCs/>
          <w:color w:val="000000"/>
          <w:spacing w:val="-6"/>
          <w:sz w:val="24"/>
          <w:szCs w:val="24"/>
          <w:highlight w:val="none"/>
        </w:rPr>
        <w:t xml:space="preserve">报价说明</w:t>
      </w:r>
      <w:r>
        <w:rPr>
          <w:rFonts w:ascii="仿宋" w:hAnsi="仿宋" w:eastAsia="仿宋" w:cs="仿宋"/>
          <w:b/>
          <w:bCs/>
          <w:color w:val="000000"/>
          <w:spacing w:val="-6"/>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应充分考虑所有可能影响到报价的价格及政策等风险因素，一旦成交，服务总价将包定，一律不予调整，除采购需求所列服务事项外，未列明的与本项目相关事项的费用也均包含在本次总报价内，供应商应充分全面的考虑为圆满完成</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所</w:t>
      </w:r>
      <w:r>
        <w:rPr>
          <w:rFonts w:hint="eastAsia" w:ascii="仿宋" w:hAnsi="仿宋" w:eastAsia="仿宋" w:cs="仿宋"/>
          <w:color w:val="000000"/>
          <w:sz w:val="24"/>
          <w:szCs w:val="24"/>
          <w:highlight w:val="none"/>
          <w:lang w:eastAsia="zh-CN"/>
        </w:rPr>
        <w:t xml:space="preserve">涉及</w:t>
      </w:r>
      <w:r>
        <w:rPr>
          <w:rFonts w:hint="eastAsia" w:ascii="仿宋" w:hAnsi="仿宋" w:eastAsia="仿宋" w:cs="仿宋"/>
          <w:color w:val="000000"/>
          <w:sz w:val="24"/>
          <w:szCs w:val="24"/>
          <w:highlight w:val="none"/>
        </w:rPr>
        <w:t xml:space="preserve">的一切事项。</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供应商的任何错漏、优惠、竞争性报价不得作为减轻责任、减少服务、增加收费、 降低服务质量的理由。</w:t>
      </w:r>
      <w:r>
        <w:rPr>
          <w:rFonts w:hint="eastAsia" w:ascii="仿宋" w:hAnsi="仿宋" w:eastAsia="仿宋" w:cs="仿宋"/>
          <w:color w:val="000000"/>
          <w:sz w:val="24"/>
          <w:szCs w:val="24"/>
          <w:highlight w:val="none"/>
        </w:rPr>
      </w:r>
      <w:r/>
    </w:p>
    <w:p>
      <w:pPr>
        <w:pStyle w:val="1155"/>
        <w:ind w:firstLine="48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r>
      <w:r/>
    </w:p>
    <w:p>
      <w:pPr>
        <w:pStyle w:val="1134"/>
        <w:rPr>
          <w:rFonts w:hint="eastAsia" w:ascii="仿宋" w:hAnsi="仿宋" w:eastAsia="仿宋" w:cs="仿宋"/>
          <w:color w:val="000000"/>
          <w:highlight w:val="none"/>
        </w:rPr>
      </w:pPr>
      <w:r/>
      <w:bookmarkStart w:id="217" w:name="_Toc8018"/>
      <w:r/>
      <w:bookmarkStart w:id="218" w:name="_Toc120614281"/>
      <w:r>
        <w:rPr>
          <w:rFonts w:hint="eastAsia" w:ascii="仿宋" w:hAnsi="仿宋" w:eastAsia="仿宋" w:cs="仿宋"/>
          <w:bCs/>
          <w:color w:val="000000"/>
          <w:sz w:val="44"/>
          <w:highlight w:val="none"/>
        </w:rPr>
        <w:br w:type="page" w:clear="all"/>
      </w:r>
      <w:bookmarkStart w:id="219" w:name="_Toc32710"/>
      <w:r>
        <w:rPr>
          <w:rFonts w:hint="eastAsia" w:ascii="仿宋" w:hAnsi="仿宋" w:eastAsia="仿宋" w:cs="仿宋"/>
          <w:b/>
          <w:bCs/>
          <w:color w:val="000000"/>
          <w:sz w:val="40"/>
          <w:szCs w:val="40"/>
          <w:highlight w:val="none"/>
        </w:rPr>
        <w:t xml:space="preserve">第五章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评审方法与评审标准</w:t>
      </w:r>
      <w:bookmarkEnd w:id="217"/>
      <w:r/>
      <w:bookmarkEnd w:id="219"/>
      <w:r>
        <w:rPr>
          <w:rFonts w:hint="eastAsia" w:ascii="仿宋" w:hAnsi="仿宋" w:eastAsia="仿宋" w:cs="仿宋"/>
          <w:color w:val="000000"/>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20" w:name="_Toc3060"/>
      <w:r>
        <w:rPr>
          <w:rFonts w:hint="eastAsia" w:ascii="仿宋" w:hAnsi="仿宋" w:eastAsia="仿宋" w:cs="仿宋"/>
          <w:b/>
          <w:bCs/>
          <w:color w:val="000000"/>
          <w:sz w:val="24"/>
          <w:szCs w:val="24"/>
          <w:highlight w:val="none"/>
        </w:rPr>
        <w:t xml:space="preserve">一、定标办法</w:t>
      </w:r>
      <w:bookmarkEnd w:id="220"/>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采用</w:t>
      </w:r>
      <w:r>
        <w:rPr>
          <w:rFonts w:hint="eastAsia" w:ascii="仿宋" w:hAnsi="仿宋" w:eastAsia="仿宋" w:cs="仿宋"/>
          <w:color w:val="000000"/>
          <w:sz w:val="24"/>
          <w:szCs w:val="24"/>
          <w:highlight w:val="none"/>
        </w:rPr>
        <w:t xml:space="preserve">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21" w:name="_Toc20283"/>
      <w:r/>
      <w:bookmarkStart w:id="222" w:name="_Toc14189"/>
      <w:r>
        <w:rPr>
          <w:rFonts w:hint="eastAsia" w:ascii="仿宋" w:hAnsi="仿宋" w:eastAsia="仿宋" w:cs="仿宋"/>
          <w:b/>
          <w:bCs/>
          <w:color w:val="000000"/>
          <w:sz w:val="24"/>
          <w:szCs w:val="24"/>
          <w:highlight w:val="none"/>
        </w:rPr>
        <w:t xml:space="preserve">二、政府采购政策功能落实</w:t>
      </w:r>
      <w:bookmarkEnd w:id="221"/>
      <w:r/>
      <w:bookmarkEnd w:id="222"/>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3" w:name="_Toc8920"/>
      <w:r>
        <w:rPr>
          <w:rFonts w:hint="eastAsia" w:ascii="仿宋" w:hAnsi="仿宋" w:eastAsia="仿宋" w:cs="仿宋"/>
          <w:color w:val="000000"/>
          <w:sz w:val="24"/>
          <w:szCs w:val="24"/>
          <w:highlight w:val="none"/>
          <w:lang w:val="en-US" w:eastAsia="zh-CN" w:bidi="ar-SA"/>
        </w:rPr>
        <w:t xml:space="preserve">1.小微型企业价格扣除</w:t>
      </w:r>
      <w:bookmarkEnd w:id="223"/>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（1）本项目对小型和微型企业提供的服务给予10%的扣除价格，用扣除后的价格参与评审。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（2）供应商需按照磋商文件的要求提供相应的《小微企业声明函》。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4" w:name="_Toc17382"/>
      <w:r>
        <w:rPr>
          <w:rFonts w:hint="eastAsia" w:ascii="仿宋" w:hAnsi="仿宋" w:eastAsia="仿宋" w:cs="仿宋"/>
          <w:color w:val="000000"/>
          <w:sz w:val="24"/>
          <w:szCs w:val="24"/>
          <w:highlight w:val="none"/>
          <w:lang w:val="en-US" w:eastAsia="zh-CN" w:bidi="ar-SA"/>
        </w:rPr>
        <w:t xml:space="preserve">2.残疾人福利单位价格扣除</w:t>
      </w:r>
      <w:bookmarkEnd w:id="224"/>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（1）本项目对残疾人福利性单位视同小型、微型企业，给予10%的价格扣除，用扣除后的价格参与评审。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（2）残疾人福利单位需按照磋商文件的要求提供《残疾人福利性单位声明函》。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5" w:name="_Toc31547"/>
      <w:r>
        <w:rPr>
          <w:rFonts w:hint="eastAsia" w:ascii="仿宋" w:hAnsi="仿宋" w:eastAsia="仿宋" w:cs="仿宋"/>
          <w:color w:val="000000"/>
          <w:sz w:val="24"/>
          <w:szCs w:val="24"/>
          <w:highlight w:val="none"/>
          <w:lang w:val="en-US" w:eastAsia="zh-CN" w:bidi="ar-SA"/>
        </w:rPr>
        <w:t xml:space="preserve">3.监狱和戒毒企业价格扣除</w:t>
      </w:r>
      <w:bookmarkEnd w:id="225"/>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（1）本项目对监狱和戒毒企业（简称监狱企业）视同小型、微型企业，给予10%的价格扣除，用扣除后的价格参与评审。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4.残疾人福利单位、监狱企业属于小型、微型企业的，不重复享受政策。</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6.联合体各方均为小型、微型企业（残疾人福利单位、监狱企业）的，联合体享受10%价格扣除，用扣除后的价格参与评审。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7.所有认证、证明和业绩均以有效的证明文件的复印件为依据。</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8.若供应商提供虚假资料，一经查实按提供虚假材料谋求成交处理。</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9.磋商小组不保证有效报价最低的供应商成交。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10.本项目落实《关于推动解决政府采购异常低价问题的通知》财库〔2026〕2号，采购人应当在磋商文件中明确，政府采购评审中出现下列情形之一的，磋商小组应当启动异常低价响应审查程序：</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（3）响应报价低于采购项目最高限价45%的，即响应报价&lt;采购项目最高限价×45%，</w:t>
      </w:r>
      <w:r>
        <w:rPr>
          <w:rFonts w:hint="eastAsia" w:ascii="仿宋" w:hAnsi="仿宋" w:eastAsia="仿宋" w:cs="仿宋"/>
          <w:b/>
          <w:bCs/>
          <w:color w:val="000000"/>
          <w:sz w:val="24"/>
          <w:szCs w:val="24"/>
          <w:highlight w:val="none"/>
          <w:lang w:val="en-US" w:eastAsia="zh-CN" w:bidi="ar-SA"/>
        </w:rPr>
        <w:t xml:space="preserve">本项目最高限价45%为人民币壹佰壹拾贰万伍仟元整（¥1,125,000.00）</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（4）磋商小组基于专业判断，认为供应商报价过低，有可能影响产品质量或者不能诚信履约的其他情形。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小组启动异常低价响应审查后，属于10.（1）至10.（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color w:val="000000"/>
          <w:sz w:val="24"/>
          <w:szCs w:val="24"/>
          <w:highlight w:val="none"/>
          <w:lang w:val="en-US" w:eastAsia="zh-CN" w:bidi="ar-SA"/>
        </w:rPr>
        <w:t xml:space="preserve">（本项目给予相关供应商的时间为30分钟）</w:t>
      </w:r>
      <w:r>
        <w:rPr>
          <w:rFonts w:hint="eastAsia" w:ascii="仿宋" w:hAnsi="仿宋" w:eastAsia="仿宋" w:cs="仿宋"/>
          <w:color w:val="000000"/>
          <w:sz w:val="24"/>
          <w:szCs w:val="24"/>
          <w:highlight w:val="none"/>
          <w:lang w:val="en-US" w:eastAsia="zh-CN" w:bidi="ar-SA"/>
        </w:rPr>
        <w:t xml:space="preserve">。其中，属于第3项情形，供应商已随响应文件一并提交相关书面说明及必要的证明材料的，在评审现场可不再重复提交。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bidi="ar-SA"/>
        </w:rPr>
      </w:r>
      <w:r/>
    </w:p>
    <w:p>
      <w:pPr>
        <w:pStyle w:val="1133"/>
        <w:ind w:firstLine="442"/>
        <w:spacing w:line="440" w:lineRule="exact"/>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11、采购本国产品的支持政策</w:t>
      </w:r>
      <w:r>
        <w:rPr>
          <w:rFonts w:hint="eastAsia" w:ascii="仿宋" w:hAnsi="仿宋" w:eastAsia="仿宋" w:cs="仿宋"/>
          <w:b/>
          <w:bCs/>
          <w:sz w:val="22"/>
          <w:szCs w:val="22"/>
          <w:lang w:val="en-US" w:eastAsia="zh-CN"/>
        </w:rPr>
      </w:r>
      <w:r/>
    </w:p>
    <w:p>
      <w:pPr>
        <w:pStyle w:val="1133"/>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11</w:t>
      </w:r>
      <w:r>
        <w:rPr>
          <w:rFonts w:ascii="仿宋" w:hAnsi="仿宋" w:eastAsia="仿宋" w:cs="仿宋"/>
          <w:sz w:val="22"/>
          <w:szCs w:val="22"/>
          <w:lang w:val="en-US" w:eastAsia="zh-CN"/>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2"/>
          <w:szCs w:val="22"/>
          <w:lang w:val="en-US" w:eastAsia="zh-CN"/>
        </w:rPr>
      </w:r>
      <w:r/>
    </w:p>
    <w:p>
      <w:pPr>
        <w:pStyle w:val="1133"/>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11</w:t>
      </w:r>
      <w:r>
        <w:rPr>
          <w:rFonts w:ascii="仿宋" w:hAnsi="仿宋" w:eastAsia="仿宋" w:cs="仿宋"/>
          <w:sz w:val="22"/>
          <w:szCs w:val="22"/>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sz w:val="22"/>
          <w:szCs w:val="22"/>
          <w:lang w:val="en-US" w:eastAsia="zh-CN"/>
        </w:rPr>
      </w:r>
      <w:r/>
    </w:p>
    <w:p>
      <w:pPr>
        <w:pStyle w:val="1133"/>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11</w:t>
      </w:r>
      <w:r>
        <w:rPr>
          <w:rFonts w:ascii="仿宋" w:hAnsi="仿宋" w:eastAsia="仿宋" w:cs="仿宋"/>
          <w:sz w:val="22"/>
          <w:szCs w:val="22"/>
          <w:lang w:val="en-US" w:eastAsia="zh-CN"/>
        </w:rPr>
        <w:t xml:space="preserve">.3 供应商需按照招标文件的要求提供《关于符合本国产品标准的声明函》（以下简称《声明函》），如不提供将不享受本国产品价格评审优惠。</w:t>
      </w:r>
      <w:r>
        <w:rPr>
          <w:rFonts w:hint="eastAsia" w:ascii="仿宋" w:hAnsi="仿宋" w:eastAsia="仿宋" w:cs="仿宋"/>
          <w:sz w:val="22"/>
          <w:szCs w:val="22"/>
          <w:lang w:val="en-US" w:eastAsia="zh-CN"/>
        </w:rPr>
      </w:r>
      <w:r/>
    </w:p>
    <w:p>
      <w:pPr>
        <w:pStyle w:val="1133"/>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11</w:t>
      </w:r>
      <w:r>
        <w:rPr>
          <w:rFonts w:ascii="仿宋" w:hAnsi="仿宋" w:eastAsia="仿宋" w:cs="仿宋"/>
          <w:sz w:val="22"/>
          <w:szCs w:val="22"/>
          <w:lang w:val="en-US" w:eastAsia="zh-CN"/>
        </w:rPr>
        <w:t xml:space="preserve">.4 </w:t>
      </w:r>
      <w:r>
        <w:rPr>
          <w:rFonts w:ascii="仿宋" w:hAnsi="仿宋" w:eastAsia="仿宋" w:cs="仿宋"/>
          <w:b/>
          <w:bCs/>
          <w:sz w:val="22"/>
          <w:szCs w:val="22"/>
          <w:lang w:val="en-US" w:eastAsia="zh-CN"/>
        </w:rPr>
        <w:t xml:space="preserve">供应商需在《声明函》中逐一、准确填写产品名称、厂名、生产厂址三项信息，三项信息中任意一项未填写的视为该项产品不符合本国产品标准，不享受本国产品价格评审优惠。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仿宋"/>
          <w:sz w:val="22"/>
          <w:szCs w:val="22"/>
          <w:lang w:val="en-US" w:eastAsia="zh-CN"/>
        </w:rPr>
      </w:r>
      <w:r/>
    </w:p>
    <w:p>
      <w:pPr>
        <w:pStyle w:val="1133"/>
        <w:ind w:firstLine="440"/>
        <w:spacing w:line="44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2"/>
          <w:szCs w:val="22"/>
          <w:lang w:val="en-US" w:eastAsia="zh-CN"/>
        </w:rPr>
        <w:t xml:space="preserve">11</w:t>
      </w:r>
      <w:r>
        <w:rPr>
          <w:rFonts w:ascii="仿宋" w:hAnsi="仿宋" w:eastAsia="仿宋" w:cs="仿宋"/>
          <w:sz w:val="22"/>
          <w:szCs w:val="22"/>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lang w:eastAsia="zh-CN"/>
        </w:rPr>
      </w:pPr>
      <w:r/>
      <w:bookmarkStart w:id="226" w:name="_Toc30439"/>
      <w:r>
        <w:rPr>
          <w:rFonts w:hint="eastAsia" w:ascii="仿宋" w:hAnsi="仿宋" w:eastAsia="仿宋" w:cs="仿宋"/>
          <w:b/>
          <w:bCs/>
          <w:color w:val="000000"/>
          <w:sz w:val="24"/>
          <w:szCs w:val="24"/>
          <w:highlight w:val="none"/>
        </w:rPr>
        <w:t xml:space="preserve">三、评审办法和评审标准</w:t>
      </w:r>
      <w:bookmarkEnd w:id="226"/>
      <w:r>
        <w:rPr>
          <w:rFonts w:hint="eastAsia" w:ascii="仿宋" w:hAnsi="仿宋" w:eastAsia="仿宋" w:cs="仿宋"/>
          <w:b/>
          <w:bCs/>
          <w:color w:val="000000"/>
          <w:sz w:val="24"/>
          <w:szCs w:val="24"/>
          <w:highlight w:val="none"/>
          <w:lang w:eastAsia="zh-CN"/>
        </w:rPr>
      </w:r>
      <w:r/>
    </w:p>
    <w:tbl>
      <w:tblPr>
        <w:tblW w:w="95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30"/>
        <w:gridCol w:w="7497"/>
      </w:tblGrid>
      <w:tr>
        <w:trPr>
          <w:trHeight w:val="437"/>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评标内容及分值</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评标标准</w:t>
            </w:r>
            <w:r>
              <w:rPr>
                <w:rFonts w:hint="eastAsia" w:ascii="仿宋" w:hAnsi="仿宋" w:eastAsia="仿宋" w:cs="仿宋"/>
                <w:b/>
                <w:bCs/>
                <w:color w:val="000000"/>
                <w:sz w:val="24"/>
                <w:szCs w:val="24"/>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一、价格分（</w:t>
            </w: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价格分采用低价优先法计算，即满足</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要求且价格最低的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供应商报价为评标基准价，其价格分为满分</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其他响应供应商</w:t>
            </w:r>
            <w:r>
              <w:rPr>
                <w:rFonts w:hint="eastAsia" w:ascii="仿宋" w:hAnsi="仿宋" w:eastAsia="仿宋" w:cs="仿宋"/>
                <w:color w:val="000000"/>
                <w:sz w:val="24"/>
                <w:szCs w:val="24"/>
                <w:highlight w:val="none"/>
              </w:rPr>
              <w:t xml:space="preserve">的价格分统一按照以下公式计算：</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报价得分=(评标基准价/该</w:t>
            </w:r>
            <w:r>
              <w:rPr>
                <w:rFonts w:hint="eastAsia" w:ascii="仿宋" w:hAnsi="仿宋" w:eastAsia="仿宋" w:cs="仿宋"/>
                <w:color w:val="000000"/>
                <w:sz w:val="24"/>
                <w:szCs w:val="24"/>
                <w:highlight w:val="none"/>
                <w:lang w:eastAsia="zh-CN"/>
              </w:rPr>
              <w:t xml:space="preserve">响应供应商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二、技术部分(</w:t>
            </w:r>
            <w:r>
              <w:rPr>
                <w:rFonts w:hint="eastAsia" w:ascii="仿宋" w:hAnsi="仿宋" w:eastAsia="仿宋" w:cs="仿宋"/>
                <w:b/>
                <w:bCs/>
                <w:color w:val="000000"/>
                <w:sz w:val="24"/>
                <w:szCs w:val="24"/>
                <w:highlight w:val="none"/>
                <w:lang w:val="en-US" w:eastAsia="zh-CN"/>
              </w:rPr>
              <w:t xml:space="preserve">50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高校巡回服务方案—</w:t>
            </w:r>
            <w:r>
              <w:rPr>
                <w:rFonts w:hint="eastAsia" w:ascii="仿宋" w:hAnsi="仿宋" w:eastAsia="仿宋" w:cs="仿宋"/>
                <w:color w:val="000000"/>
                <w:sz w:val="24"/>
                <w:szCs w:val="24"/>
                <w:highlight w:val="none"/>
                <w:lang w:val="en-US" w:eastAsia="zh-CN"/>
              </w:rPr>
              <w:t xml:space="preserve">全年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eastAsia="zh-CN"/>
              </w:rPr>
              <w:t xml:space="preserve">高校巡回服务方案</w:t>
            </w:r>
            <w:r>
              <w:rPr>
                <w:rFonts w:hint="eastAsia" w:ascii="仿宋" w:hAnsi="仿宋" w:eastAsia="仿宋" w:cs="仿宋"/>
                <w:color w:val="000000"/>
                <w:sz w:val="24"/>
                <w:szCs w:val="24"/>
                <w:highlight w:val="none"/>
                <w:lang w:val="en-US" w:eastAsia="zh-CN"/>
              </w:rPr>
              <w:t xml:space="preserve">进行综合打分，包括但不限于</w:t>
            </w:r>
            <w:r>
              <w:rPr>
                <w:rFonts w:hint="eastAsia" w:ascii="仿宋" w:hAnsi="仿宋" w:eastAsia="仿宋" w:cs="仿宋"/>
                <w:b/>
                <w:bCs/>
                <w:color w:val="000000"/>
                <w:sz w:val="24"/>
                <w:szCs w:val="24"/>
                <w:highlight w:val="none"/>
                <w:u w:val="single"/>
                <w:lang w:val="en-US" w:eastAsia="zh-CN"/>
              </w:rPr>
              <w:t xml:space="preserve">①时间分配和效果预估；②高校筛选和路线规划；③行程排布和交通衔接</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lang w:eastAsia="zh-CN"/>
              </w:rPr>
            </w:r>
            <w:r/>
          </w:p>
        </w:tc>
      </w:tr>
      <w:tr>
        <w:trPr>
          <w:trHeight w:val="2831"/>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大型</w:t>
            </w:r>
            <w:r>
              <w:rPr>
                <w:rFonts w:hint="eastAsia" w:ascii="仿宋" w:hAnsi="仿宋" w:eastAsia="仿宋" w:cs="仿宋"/>
                <w:color w:val="000000"/>
                <w:sz w:val="24"/>
                <w:szCs w:val="24"/>
                <w:highlight w:val="none"/>
                <w:lang w:val="en-US" w:eastAsia="zh-CN"/>
              </w:rPr>
              <w:t xml:space="preserve">活动</w:t>
            </w:r>
            <w:r>
              <w:rPr>
                <w:rFonts w:hint="eastAsia" w:ascii="仿宋" w:hAnsi="仿宋" w:eastAsia="仿宋" w:cs="仿宋"/>
                <w:color w:val="000000"/>
                <w:sz w:val="24"/>
                <w:szCs w:val="24"/>
                <w:highlight w:val="none"/>
              </w:rPr>
              <w:t xml:space="preserve">组织</w:t>
            </w:r>
            <w:r>
              <w:rPr>
                <w:rFonts w:hint="eastAsia" w:ascii="仿宋" w:hAnsi="仿宋" w:eastAsia="仿宋" w:cs="仿宋"/>
                <w:color w:val="000000"/>
                <w:sz w:val="24"/>
                <w:szCs w:val="24"/>
                <w:highlight w:val="none"/>
                <w:lang w:eastAsia="zh-CN"/>
              </w:rPr>
              <w:t xml:space="preserve">方案—</w:t>
            </w:r>
            <w:r>
              <w:rPr>
                <w:rFonts w:hint="eastAsia" w:ascii="仿宋" w:hAnsi="仿宋" w:eastAsia="仿宋" w:cs="仿宋"/>
                <w:color w:val="000000"/>
                <w:sz w:val="24"/>
                <w:szCs w:val="24"/>
                <w:highlight w:val="none"/>
                <w:lang w:val="en-US" w:eastAsia="zh-CN"/>
              </w:rPr>
              <w:t xml:space="preserve">单场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供应商以北京线路（2所高校为北京理工大学和北京航空航天大学，在其中1所高校内组织宣介会，2所高校内组织招聘会）为例提供单场大型活动组织方案，磋商小组</w:t>
            </w:r>
            <w:r>
              <w:rPr>
                <w:rFonts w:hint="eastAsia" w:ascii="仿宋" w:hAnsi="仿宋" w:eastAsia="仿宋" w:cs="仿宋"/>
                <w:color w:val="000000"/>
                <w:sz w:val="24"/>
                <w:szCs w:val="24"/>
                <w:highlight w:val="none"/>
              </w:rPr>
              <w:t xml:space="preserve">根据响应文件提供的大型</w:t>
            </w:r>
            <w:r>
              <w:rPr>
                <w:rFonts w:hint="eastAsia" w:ascii="仿宋" w:hAnsi="仿宋" w:eastAsia="仿宋" w:cs="仿宋"/>
                <w:color w:val="000000"/>
                <w:sz w:val="24"/>
                <w:szCs w:val="24"/>
                <w:highlight w:val="none"/>
                <w:lang w:val="en-US" w:eastAsia="zh-CN"/>
              </w:rPr>
              <w:t xml:space="preserve">活动</w:t>
            </w:r>
            <w:r>
              <w:rPr>
                <w:rFonts w:hint="eastAsia" w:ascii="仿宋" w:hAnsi="仿宋" w:eastAsia="仿宋" w:cs="仿宋"/>
                <w:color w:val="000000"/>
                <w:sz w:val="24"/>
                <w:szCs w:val="24"/>
                <w:highlight w:val="none"/>
              </w:rPr>
              <w:t xml:space="preserve">组织</w:t>
            </w:r>
            <w:r>
              <w:rPr>
                <w:rFonts w:hint="eastAsia" w:ascii="仿宋" w:hAnsi="仿宋" w:eastAsia="仿宋" w:cs="仿宋"/>
                <w:color w:val="000000"/>
                <w:sz w:val="24"/>
                <w:szCs w:val="24"/>
                <w:highlight w:val="none"/>
                <w:lang w:eastAsia="zh-CN"/>
              </w:rPr>
              <w:t xml:space="preserve">方案</w:t>
            </w:r>
            <w:r>
              <w:rPr>
                <w:rFonts w:hint="eastAsia" w:ascii="仿宋" w:hAnsi="仿宋" w:eastAsia="仿宋" w:cs="仿宋"/>
                <w:color w:val="000000"/>
                <w:sz w:val="24"/>
                <w:szCs w:val="24"/>
                <w:highlight w:val="none"/>
                <w:lang w:val="en-US" w:eastAsia="zh-CN"/>
              </w:rPr>
              <w:t xml:space="preserve">进行综合打分，包括但不限于</w:t>
            </w:r>
            <w:r>
              <w:rPr>
                <w:rFonts w:hint="eastAsia" w:ascii="仿宋" w:hAnsi="仿宋" w:eastAsia="仿宋" w:cs="仿宋"/>
                <w:b/>
                <w:bCs/>
                <w:color w:val="000000"/>
                <w:sz w:val="24"/>
                <w:szCs w:val="24"/>
                <w:highlight w:val="none"/>
                <w:u w:val="single"/>
                <w:lang w:val="en-US" w:eastAsia="zh-CN"/>
              </w:rPr>
              <w:t xml:space="preserve">①场地选择（设施配套、安全合规、适配招聘会需求等）；②人流管控（入场引导、分流措施、高峰应对、应急疏散、人数管控等）；③现场管理（展位布置、人员值守、秩序维护、后勤保障、纠纷处理等）；④其他服务（政策宣介、合作签约等）</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本项累计最高得12分。</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会场布置与展位搭建方案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单场（8分）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val="en-US" w:eastAsia="zh-CN"/>
              </w:rPr>
              <w:t xml:space="preserve">会场布置与展位搭建方案进行综合打分，包括但不限于</w:t>
            </w:r>
            <w:r>
              <w:rPr>
                <w:rFonts w:hint="eastAsia" w:ascii="仿宋" w:hAnsi="仿宋" w:eastAsia="仿宋" w:cs="仿宋"/>
                <w:b/>
                <w:bCs/>
                <w:color w:val="000000"/>
                <w:sz w:val="24"/>
                <w:szCs w:val="24"/>
                <w:highlight w:val="none"/>
                <w:u w:val="single"/>
                <w:lang w:val="en-US" w:eastAsia="zh-CN"/>
              </w:rPr>
              <w:t xml:space="preserve">①桌椅、喷绘、横幅、背景板、宣传资料；②制作易拉宝、KT板等物料</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方案内容完善、针对性强、重点难点把握准确、措施有力的得4分；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方案内容较完善、针对性较强、重点难点把握较准确、措施较有力的得3分；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上述每项方案内容不可行或未提供方案的不得分。</w:t>
            </w:r>
            <w:r>
              <w:rPr>
                <w:rFonts w:hint="eastAsia" w:ascii="仿宋" w:hAnsi="仿宋" w:eastAsia="仿宋" w:cs="仿宋"/>
                <w:color w:val="000000"/>
                <w:sz w:val="24"/>
                <w:szCs w:val="24"/>
                <w:highlight w:val="none"/>
                <w:lang w:val="en-US" w:eastAsia="zh-CN"/>
              </w:rPr>
            </w:r>
            <w:r/>
          </w:p>
          <w:p>
            <w:pPr>
              <w:pStyle w:val="1133"/>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w:t>
            </w:r>
            <w:r>
              <w:rPr>
                <w:rFonts w:hint="eastAsia" w:ascii="仿宋" w:hAnsi="仿宋" w:eastAsia="仿宋" w:cs="仿宋"/>
                <w:color w:val="000000"/>
                <w:sz w:val="24"/>
                <w:szCs w:val="24"/>
                <w:highlight w:val="none"/>
                <w:lang w:val="en-US" w:eastAsia="zh-CN"/>
              </w:rPr>
              <w:t xml:space="preserve">累计最高得8分。</w:t>
            </w:r>
            <w:r>
              <w:rPr>
                <w:rFonts w:hint="eastAsia" w:ascii="仿宋" w:hAnsi="仿宋" w:eastAsia="仿宋" w:cs="仿宋"/>
                <w:color w:val="000000"/>
                <w:sz w:val="24"/>
                <w:szCs w:val="24"/>
                <w:highlight w:val="none"/>
              </w:rPr>
            </w:r>
            <w:r/>
          </w:p>
        </w:tc>
      </w:tr>
      <w:tr>
        <w:trPr>
          <w:trHeight w:val="2326"/>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设备保障与技术支持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单场（6分）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val="en-US" w:eastAsia="zh-CN"/>
              </w:rPr>
              <w:t xml:space="preserve">设备保障与技术支持方案进行综合打分，包括但不限于</w:t>
            </w:r>
            <w:r>
              <w:rPr>
                <w:rFonts w:hint="eastAsia" w:ascii="仿宋" w:hAnsi="仿宋" w:eastAsia="仿宋" w:cs="仿宋"/>
                <w:b/>
                <w:bCs/>
                <w:color w:val="000000"/>
                <w:sz w:val="24"/>
                <w:szCs w:val="24"/>
                <w:highlight w:val="none"/>
                <w:u w:val="single"/>
                <w:lang w:val="en-US" w:eastAsia="zh-CN"/>
              </w:rPr>
              <w:t xml:space="preserve">①投影、音响、话筒等必要设备方案，②技术环节保障，③备用方案</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项目团队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根据响应文件提供的项目团队</w:t>
            </w:r>
            <w:r>
              <w:rPr>
                <w:rFonts w:hint="eastAsia" w:ascii="仿宋" w:hAnsi="仿宋" w:eastAsia="仿宋" w:cs="仿宋"/>
                <w:color w:val="000000"/>
                <w:sz w:val="24"/>
                <w:szCs w:val="24"/>
                <w:highlight w:val="none"/>
                <w:lang w:val="en-US" w:eastAsia="zh-CN"/>
              </w:rPr>
              <w:t xml:space="preserve">人员进行打分，包括但不限于</w:t>
            </w:r>
            <w:r>
              <w:rPr>
                <w:rFonts w:hint="eastAsia" w:ascii="仿宋" w:hAnsi="仿宋" w:eastAsia="仿宋" w:cs="仿宋"/>
                <w:b/>
                <w:bCs/>
                <w:color w:val="000000"/>
                <w:sz w:val="24"/>
                <w:szCs w:val="24"/>
                <w:highlight w:val="none"/>
                <w:u w:val="single"/>
                <w:lang w:val="en-US" w:eastAsia="zh-CN"/>
              </w:rPr>
              <w:t xml:space="preserve">①</w:t>
            </w:r>
            <w:r>
              <w:rPr>
                <w:rFonts w:hint="eastAsia" w:ascii="仿宋" w:hAnsi="仿宋" w:eastAsia="仿宋" w:cs="仿宋"/>
                <w:b/>
                <w:bCs/>
                <w:color w:val="000000"/>
                <w:sz w:val="24"/>
                <w:szCs w:val="24"/>
                <w:highlight w:val="none"/>
                <w:u w:val="single"/>
              </w:rPr>
              <w:t xml:space="preserve">人员配置</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②</w:t>
            </w:r>
            <w:r>
              <w:rPr>
                <w:rFonts w:hint="eastAsia" w:ascii="仿宋" w:hAnsi="仿宋" w:eastAsia="仿宋" w:cs="仿宋"/>
                <w:b/>
                <w:bCs/>
                <w:color w:val="000000"/>
                <w:sz w:val="24"/>
                <w:szCs w:val="24"/>
                <w:highlight w:val="none"/>
                <w:u w:val="single"/>
              </w:rPr>
              <w:t xml:space="preserve">岗位分工</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③</w:t>
            </w:r>
            <w:r>
              <w:rPr>
                <w:rFonts w:hint="eastAsia" w:ascii="仿宋" w:hAnsi="仿宋" w:eastAsia="仿宋" w:cs="仿宋"/>
                <w:b/>
                <w:bCs/>
                <w:color w:val="000000"/>
                <w:sz w:val="24"/>
                <w:szCs w:val="24"/>
                <w:highlight w:val="none"/>
                <w:u w:val="single"/>
              </w:rPr>
              <w:t xml:space="preserve">职责划分</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后勤保障</w:t>
            </w: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全年（6分）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根据响应文件提供的后勤保障</w:t>
            </w:r>
            <w:r>
              <w:rPr>
                <w:rFonts w:hint="eastAsia" w:ascii="仿宋" w:hAnsi="仿宋" w:eastAsia="仿宋" w:cs="仿宋"/>
                <w:color w:val="000000"/>
                <w:sz w:val="24"/>
                <w:szCs w:val="24"/>
                <w:highlight w:val="none"/>
                <w:lang w:val="en-US" w:eastAsia="zh-CN"/>
              </w:rPr>
              <w:t xml:space="preserve">方案进行综合打分，包括但不限于</w:t>
            </w:r>
            <w:r>
              <w:rPr>
                <w:rFonts w:hint="eastAsia" w:ascii="仿宋" w:hAnsi="仿宋" w:eastAsia="仿宋" w:cs="仿宋"/>
                <w:b/>
                <w:bCs/>
                <w:color w:val="000000"/>
                <w:sz w:val="24"/>
                <w:szCs w:val="24"/>
                <w:highlight w:val="none"/>
                <w:u w:val="single"/>
                <w:lang w:val="en-US" w:eastAsia="zh-CN"/>
              </w:rPr>
              <w:t xml:space="preserve">①交通；②住宿；③用餐</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安全保障与应急管理</w:t>
            </w: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全年（6分）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根据响应文件提供的安全保障与应急管理</w:t>
            </w:r>
            <w:r>
              <w:rPr>
                <w:rFonts w:hint="eastAsia" w:ascii="仿宋" w:hAnsi="仿宋" w:eastAsia="仿宋" w:cs="仿宋"/>
                <w:color w:val="000000"/>
                <w:sz w:val="24"/>
                <w:szCs w:val="24"/>
                <w:highlight w:val="none"/>
                <w:lang w:val="en-US" w:eastAsia="zh-CN"/>
              </w:rPr>
              <w:t xml:space="preserve">方案进行综合打分，包括但不限于</w:t>
            </w:r>
            <w:r>
              <w:rPr>
                <w:rFonts w:hint="eastAsia" w:ascii="仿宋" w:hAnsi="仿宋" w:eastAsia="仿宋" w:cs="仿宋"/>
                <w:b/>
                <w:bCs/>
                <w:color w:val="000000"/>
                <w:sz w:val="24"/>
                <w:szCs w:val="24"/>
                <w:highlight w:val="none"/>
                <w:u w:val="single"/>
                <w:lang w:val="en-US" w:eastAsia="zh-CN"/>
              </w:rPr>
              <w:t xml:space="preserve">①消防；②医疗急救；③突发事件处置</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三、商务部分（</w:t>
            </w:r>
            <w:r>
              <w:rPr>
                <w:rFonts w:hint="eastAsia" w:ascii="仿宋" w:hAnsi="仿宋" w:eastAsia="仿宋" w:cs="仿宋"/>
                <w:b/>
                <w:bCs/>
                <w:color w:val="000000"/>
                <w:sz w:val="24"/>
                <w:szCs w:val="24"/>
                <w:highlight w:val="none"/>
                <w:lang w:val="en-US" w:eastAsia="zh-CN"/>
              </w:rPr>
              <w:t xml:space="preserve">40分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团队实力（6分）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b w:val="0"/>
                <w:bCs w:val="0"/>
                <w:color w:val="000000"/>
                <w:sz w:val="24"/>
                <w:szCs w:val="24"/>
                <w:highlight w:val="none"/>
              </w:rPr>
              <w:t xml:space="preserve">拟投入本项目的团队成员</w:t>
            </w:r>
            <w:r>
              <w:rPr>
                <w:rFonts w:hint="eastAsia" w:ascii="仿宋" w:hAnsi="仿宋" w:eastAsia="仿宋" w:cs="仿宋"/>
                <w:b w:val="0"/>
                <w:bCs w:val="0"/>
                <w:color w:val="000000"/>
                <w:sz w:val="24"/>
                <w:szCs w:val="24"/>
                <w:highlight w:val="none"/>
                <w:lang w:val="en-US" w:eastAsia="zh-CN"/>
              </w:rPr>
              <w:t xml:space="preserve">具有</w:t>
            </w:r>
            <w:r>
              <w:rPr>
                <w:rFonts w:hint="eastAsia" w:ascii="仿宋" w:hAnsi="仿宋" w:eastAsia="仿宋" w:cs="仿宋"/>
                <w:b/>
                <w:bCs/>
                <w:color w:val="000000"/>
                <w:sz w:val="24"/>
                <w:szCs w:val="24"/>
                <w:highlight w:val="none"/>
                <w:lang w:val="en-US" w:eastAsia="zh-CN"/>
              </w:rPr>
              <w:t xml:space="preserve">中级经济师（人力资源管理）及以上职称或人力资源管理师资质证书</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b w:val="0"/>
                <w:bCs w:val="0"/>
                <w:color w:val="000000"/>
                <w:sz w:val="24"/>
                <w:szCs w:val="24"/>
                <w:highlight w:val="none"/>
                <w:lang w:eastAsia="zh-CN"/>
              </w:rPr>
              <w:t xml:space="preserve">,每提供</w:t>
            </w:r>
            <w:r>
              <w:rPr>
                <w:rFonts w:hint="eastAsia" w:ascii="仿宋" w:hAnsi="仿宋" w:eastAsia="仿宋" w:cs="仿宋"/>
                <w:b w:val="0"/>
                <w:bCs w:val="0"/>
                <w:color w:val="000000"/>
                <w:sz w:val="24"/>
                <w:szCs w:val="24"/>
                <w:highlight w:val="none"/>
                <w:lang w:val="en-US" w:eastAsia="zh-CN"/>
              </w:rPr>
              <w:t xml:space="preserve">其中</w:t>
            </w:r>
            <w:r>
              <w:rPr>
                <w:rFonts w:hint="eastAsia" w:ascii="仿宋" w:hAnsi="仿宋" w:eastAsia="仿宋" w:cs="仿宋"/>
                <w:b w:val="0"/>
                <w:bCs w:val="0"/>
                <w:color w:val="000000"/>
                <w:sz w:val="24"/>
                <w:szCs w:val="24"/>
                <w:highlight w:val="none"/>
                <w:lang w:eastAsia="zh-CN"/>
              </w:rPr>
              <w:t xml:space="preserve">一个人员</w:t>
            </w:r>
            <w:r>
              <w:rPr>
                <w:rFonts w:hint="eastAsia" w:ascii="仿宋" w:hAnsi="仿宋" w:eastAsia="仿宋" w:cs="仿宋"/>
                <w:b w:val="0"/>
                <w:bCs w:val="0"/>
                <w:color w:val="000000"/>
                <w:sz w:val="24"/>
                <w:szCs w:val="24"/>
                <w:highlight w:val="none"/>
                <w:lang w:val="en-US" w:eastAsia="zh-CN"/>
              </w:rPr>
              <w:t xml:space="preserve">证书的</w:t>
            </w:r>
            <w:r>
              <w:rPr>
                <w:rFonts w:hint="eastAsia" w:ascii="仿宋" w:hAnsi="仿宋" w:eastAsia="仿宋" w:cs="仿宋"/>
                <w:b w:val="0"/>
                <w:bCs w:val="0"/>
                <w:color w:val="000000"/>
                <w:sz w:val="24"/>
                <w:szCs w:val="24"/>
                <w:highlight w:val="none"/>
                <w:lang w:eastAsia="zh-CN"/>
              </w:rPr>
              <w:t xml:space="preserve">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本项最高6</w:t>
            </w:r>
            <w:r>
              <w:rPr>
                <w:rFonts w:hint="eastAsia" w:ascii="仿宋" w:hAnsi="仿宋" w:eastAsia="仿宋" w:cs="仿宋"/>
                <w:b w:val="0"/>
                <w:bCs w:val="0"/>
                <w:color w:val="000000"/>
                <w:sz w:val="24"/>
                <w:szCs w:val="24"/>
                <w:highlight w:val="none"/>
                <w:lang w:eastAsia="zh-CN"/>
              </w:rPr>
              <w:t xml:space="preserve">分。(提供</w:t>
            </w:r>
            <w:r>
              <w:rPr>
                <w:rFonts w:hint="eastAsia" w:ascii="仿宋" w:hAnsi="仿宋" w:eastAsia="仿宋" w:cs="仿宋"/>
                <w:b w:val="0"/>
                <w:bCs w:val="0"/>
                <w:color w:val="000000"/>
                <w:sz w:val="24"/>
                <w:szCs w:val="24"/>
                <w:highlight w:val="none"/>
                <w:lang w:val="en-US" w:eastAsia="zh-CN"/>
              </w:rPr>
              <w:t xml:space="preserve">证书材料和劳动合同</w:t>
            </w:r>
            <w:r>
              <w:rPr>
                <w:rFonts w:hint="eastAsia" w:ascii="仿宋" w:hAnsi="仿宋" w:eastAsia="仿宋" w:cs="仿宋"/>
                <w:b w:val="0"/>
                <w:bCs w:val="0"/>
                <w:color w:val="000000"/>
                <w:sz w:val="24"/>
                <w:szCs w:val="24"/>
                <w:highlight w:val="none"/>
                <w:lang w:eastAsia="zh-CN"/>
              </w:rPr>
              <w:t xml:space="preserve">复印件，</w:t>
            </w:r>
            <w:r>
              <w:rPr>
                <w:rFonts w:hint="eastAsia" w:ascii="仿宋" w:hAnsi="仿宋" w:eastAsia="仿宋" w:cs="仿宋"/>
                <w:b w:val="0"/>
                <w:bCs w:val="0"/>
                <w:color w:val="000000"/>
                <w:sz w:val="24"/>
                <w:szCs w:val="24"/>
                <w:highlight w:val="none"/>
                <w:lang w:val="en-US" w:eastAsia="zh-CN"/>
              </w:rPr>
              <w:t xml:space="preserve">并</w:t>
            </w:r>
            <w:r>
              <w:rPr>
                <w:rFonts w:hint="eastAsia" w:ascii="仿宋" w:hAnsi="仿宋" w:eastAsia="仿宋" w:cs="仿宋"/>
                <w:b w:val="0"/>
                <w:bCs w:val="0"/>
                <w:color w:val="000000"/>
                <w:sz w:val="24"/>
                <w:szCs w:val="24"/>
                <w:highlight w:val="none"/>
                <w:lang w:eastAsia="zh-CN"/>
              </w:rPr>
              <w:t xml:space="preserve">加盖公章；</w:t>
            </w:r>
            <w:r>
              <w:rPr>
                <w:rFonts w:hint="eastAsia" w:ascii="仿宋" w:hAnsi="仿宋" w:eastAsia="仿宋" w:cs="仿宋"/>
                <w:b w:val="0"/>
                <w:bCs w:val="0"/>
                <w:color w:val="000000"/>
                <w:sz w:val="24"/>
                <w:szCs w:val="24"/>
                <w:highlight w:val="none"/>
                <w:lang w:val="en-US" w:eastAsia="zh-CN"/>
              </w:rPr>
              <w:t xml:space="preserve">不提供或提供材料不全，不得分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1133"/>
              <w:jc w:val="center"/>
              <w:spacing w:line="36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企业实力（22分）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京津冀、粤港澳、长三角等区域与“双一流”高校有校企联合合作项目（或类似合作项目）的，每提供一家“双一流”高校证明材料的得1分，本项最高得5分，不提供或不具有的不得分。（须提供加盖高校公章的证明材料，还须加盖供应商公章。）</w:t>
            </w:r>
            <w:r>
              <w:rPr>
                <w:rFonts w:ascii="仿宋" w:hAnsi="仿宋" w:eastAsia="仿宋" w:cs="仿宋"/>
                <w:color w:val="000000"/>
                <w:sz w:val="24"/>
                <w:szCs w:val="24"/>
                <w:highlight w:val="none"/>
                <w:lang w:val="en-US" w:eastAsia="zh-CN"/>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en-US" w:eastAsia="zh-CN"/>
              </w:rPr>
              <w:t xml:space="preserve">具有专业招聘网站，网站内具备AI面试等功能，且入驻的企业数量超过500家及以上的得5分，400家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499家的得4分，300家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399家的得3分，200家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299家的得2分，100家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199家的得1分，99家及以下或不具有专业招聘网站或网站不具有AI面试等所需功能的不得分。（须提供证明材料，并加盖公章。）</w:t>
            </w:r>
            <w:r>
              <w:rPr>
                <w:rFonts w:hint="eastAsia" w:ascii="仿宋" w:hAnsi="仿宋" w:eastAsia="仿宋" w:cs="仿宋"/>
                <w:color w:val="000000"/>
                <w:sz w:val="24"/>
                <w:szCs w:val="24"/>
                <w:highlight w:val="none"/>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en-US" w:eastAsia="zh-CN"/>
              </w:rPr>
              <w:t xml:space="preserve">具有人力资源服务许可证的得2分，不提供或不具有不得分。（须提供证明材料，并加盖公章。）</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以活动举行时间为准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来组织过与本项目相关类型的活动且活动现场参与企业单位达到100家及以上的，每提供1场得1分，本项最高得5分，达不到或不提供的不得分。（须提供现场照片和签到表复印件，并加盖公章；若体现不出数量，可提供甲方出具加盖红章的证明材料。）</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磋商小组根据供应商提供</w:t>
            </w:r>
            <w:r>
              <w:rPr>
                <w:rFonts w:hint="eastAsia" w:ascii="仿宋" w:hAnsi="仿宋" w:eastAsia="仿宋" w:cs="仿宋"/>
                <w:color w:val="000000"/>
                <w:sz w:val="24"/>
                <w:szCs w:val="24"/>
                <w:highlight w:val="none"/>
                <w:lang w:val="en-US" w:eastAsia="zh-CN"/>
              </w:rPr>
              <w:t xml:space="preserve">曾经服务过一个完整的百校招引</w:t>
            </w:r>
            <w:r>
              <w:rPr>
                <w:rFonts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val="en-US" w:eastAsia="zh-CN"/>
              </w:rPr>
              <w:t xml:space="preserve">服务全过程的</w:t>
            </w:r>
            <w:r>
              <w:rPr>
                <w:rFonts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en-US" w:eastAsia="zh-CN"/>
              </w:rPr>
              <w:t xml:space="preserve">专业性</w:t>
            </w:r>
            <w:r>
              <w:rPr>
                <w:rFonts w:ascii="仿宋" w:hAnsi="仿宋" w:eastAsia="仿宋" w:cs="仿宋"/>
                <w:color w:val="000000"/>
                <w:sz w:val="24"/>
                <w:szCs w:val="24"/>
                <w:highlight w:val="none"/>
                <w:lang w:val="en-US" w:eastAsia="zh-CN"/>
              </w:rPr>
              <w:t xml:space="preserve">进行综合打分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b/>
                <w:bCs/>
                <w:color w:val="000000"/>
                <w:sz w:val="24"/>
                <w:szCs w:val="24"/>
                <w:highlight w:val="none"/>
                <w:u w:val="single"/>
                <w:lang w:val="en-US" w:eastAsia="zh-CN"/>
              </w:rPr>
              <w:t xml:space="preserve">①政策宣讲和岗位对接；②与高校前期对接和各城市主会场（含推介会、招聘会、特色活动）的场地租赁；③物料准备、会场布置、设备保障和安全保障；④参会企业和求职人才组织发动、供需对接服务；⑤参加活动人员交通食宿费、招聘会期间用餐、招聘会情况跟踪、志愿者及有关人员劳动报酬和税费</w:t>
            </w:r>
            <w:r>
              <w:rPr>
                <w:rFonts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上述每项内容完善、针对性强、重点难点把握准确、措施有力的得1分；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上述每项内容较完善、针对性较强、重点难点把握较准确、措施较有力的得0.5分；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上述每项内容不可行或未提供方案的不得分。 </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承诺书（6分）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供应商明确承诺不向用人单位收费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承担场地租金、物料、宣传、食宿等全部</w:t>
            </w:r>
            <w:r>
              <w:rPr>
                <w:rFonts w:hint="eastAsia" w:ascii="仿宋" w:hAnsi="仿宋" w:eastAsia="仿宋" w:cs="仿宋"/>
                <w:color w:val="000000"/>
                <w:sz w:val="24"/>
                <w:szCs w:val="24"/>
                <w:highlight w:val="none"/>
                <w:lang w:eastAsia="zh-CN"/>
              </w:rPr>
              <w:t xml:space="preserve">费用</w:t>
            </w:r>
            <w:r>
              <w:rPr>
                <w:rFonts w:hint="eastAsia" w:ascii="仿宋" w:hAnsi="仿宋" w:eastAsia="仿宋" w:cs="仿宋"/>
                <w:color w:val="000000"/>
                <w:sz w:val="24"/>
                <w:szCs w:val="24"/>
                <w:highlight w:val="none"/>
                <w:lang w:val="en-US" w:eastAsia="zh-CN"/>
              </w:rPr>
              <w:t xml:space="preserve">的得1分，不提供不得分。（须提供承诺函，并加盖公章。）</w:t>
            </w:r>
            <w:r>
              <w:rPr>
                <w:rFonts w:hint="eastAsia" w:ascii="仿宋" w:hAnsi="仿宋" w:eastAsia="仿宋" w:cs="仿宋"/>
                <w:color w:val="000000"/>
                <w:sz w:val="24"/>
                <w:szCs w:val="24"/>
                <w:highlight w:val="none"/>
              </w:rPr>
            </w:r>
            <w:r/>
          </w:p>
        </w:tc>
      </w:tr>
      <w:tr>
        <w:trPr>
          <w:trHeight w:val="1023"/>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供应商明确承诺活动产生的所有资料（图文音视频）著作权与使用权归采购方所有，不侵犯他人在先权利，承担侵权全部责任</w:t>
            </w:r>
            <w:r>
              <w:rPr>
                <w:rFonts w:hint="eastAsia" w:ascii="仿宋" w:hAnsi="仿宋" w:eastAsia="仿宋" w:cs="仿宋"/>
                <w:color w:val="000000"/>
                <w:sz w:val="24"/>
                <w:szCs w:val="24"/>
                <w:highlight w:val="none"/>
                <w:lang w:val="en-US" w:eastAsia="zh-CN"/>
              </w:rPr>
              <w:t xml:space="preserve">的得2分，不提供不得分。（须提供承诺函，并加盖公章。）</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供应商明确承诺</w:t>
            </w:r>
            <w:r>
              <w:rPr>
                <w:rFonts w:hint="eastAsia" w:ascii="仿宋" w:hAnsi="仿宋" w:eastAsia="仿宋" w:cs="仿宋"/>
                <w:color w:val="000000"/>
                <w:sz w:val="24"/>
                <w:szCs w:val="24"/>
                <w:highlight w:val="none"/>
                <w:lang w:val="en-US" w:eastAsia="zh-CN"/>
              </w:rPr>
              <w:t xml:space="preserve">招聘会全部结束后</w:t>
            </w:r>
            <w:r>
              <w:rPr>
                <w:rFonts w:hint="eastAsia" w:ascii="仿宋" w:hAnsi="仿宋" w:eastAsia="仿宋" w:cs="仿宋"/>
                <w:color w:val="000000"/>
                <w:sz w:val="24"/>
                <w:szCs w:val="24"/>
                <w:highlight w:val="none"/>
              </w:rPr>
              <w:t xml:space="preserve">做好招聘数据统计、岗位信息汇总、反馈表回收，并形成书面总结报告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须提供承诺函，并加盖公章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2天（含）以内</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3分；</w:t>
            </w: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3天</w:t>
            </w:r>
            <w:r>
              <w:rPr>
                <w:rFonts w:hint="eastAsia" w:ascii="仿宋" w:hAnsi="仿宋" w:eastAsia="仿宋" w:cs="仿宋"/>
                <w:color w:val="000000"/>
                <w:sz w:val="24"/>
                <w:szCs w:val="24"/>
                <w:highlight w:val="none"/>
                <w:lang w:val="en-US" w:eastAsia="zh-CN"/>
              </w:rPr>
              <w:t xml:space="preserve">-5天</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2分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5天以上</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1分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以合同签订日期或合同内的服务日期为准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以来承担过类似</w:t>
            </w:r>
            <w:r>
              <w:rPr>
                <w:rFonts w:hint="eastAsia" w:ascii="仿宋" w:hAnsi="仿宋" w:eastAsia="仿宋" w:cs="仿宋"/>
                <w:color w:val="000000"/>
                <w:sz w:val="24"/>
                <w:szCs w:val="24"/>
                <w:highlight w:val="none"/>
                <w:lang w:val="en-US" w:eastAsia="zh-CN"/>
              </w:rPr>
              <w:t xml:space="preserve">招聘</w:t>
            </w:r>
            <w:r>
              <w:rPr>
                <w:rFonts w:hint="eastAsia" w:ascii="仿宋" w:hAnsi="仿宋" w:eastAsia="仿宋" w:cs="仿宋"/>
                <w:color w:val="000000"/>
                <w:sz w:val="24"/>
                <w:szCs w:val="24"/>
                <w:highlight w:val="none"/>
              </w:rPr>
              <w:t xml:space="preserve">项目业绩，每提供一个业绩得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本项最高得6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不提供或提供材料不全的不得分</w:t>
            </w:r>
            <w:r>
              <w:rPr>
                <w:rFonts w:hint="eastAsia" w:ascii="仿宋" w:hAnsi="仿宋" w:eastAsia="仿宋" w:cs="仿宋"/>
                <w:color w:val="000000"/>
                <w:sz w:val="24"/>
                <w:szCs w:val="24"/>
                <w:highlight w:val="none"/>
              </w:rPr>
              <w:t xml:space="preserve">。（须提供合同</w:t>
            </w:r>
            <w:r>
              <w:rPr>
                <w:rFonts w:hint="eastAsia" w:ascii="仿宋" w:hAnsi="仿宋" w:eastAsia="仿宋" w:cs="仿宋"/>
                <w:color w:val="000000"/>
                <w:sz w:val="24"/>
                <w:szCs w:val="24"/>
                <w:highlight w:val="none"/>
                <w:lang w:val="en-US" w:eastAsia="zh-CN"/>
              </w:rPr>
              <w:t xml:space="preserve">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并加盖公章；合同内容</w:t>
            </w:r>
            <w:r>
              <w:rPr>
                <w:rFonts w:hint="eastAsia" w:ascii="仿宋" w:hAnsi="仿宋" w:eastAsia="仿宋" w:cs="仿宋"/>
                <w:color w:val="000000"/>
                <w:sz w:val="24"/>
                <w:szCs w:val="24"/>
                <w:highlight w:val="none"/>
              </w:rPr>
              <w:t xml:space="preserve">须能反映出相关</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甲方名称和甲乙双方的公章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4"/>
        <w:rPr>
          <w:rFonts w:hint="eastAsia" w:ascii="仿宋" w:hAnsi="仿宋" w:eastAsia="仿宋" w:cs="仿宋"/>
          <w:b/>
          <w:bCs/>
          <w:color w:val="000000"/>
          <w:sz w:val="40"/>
          <w:szCs w:val="40"/>
          <w:highlight w:val="none"/>
        </w:rPr>
      </w:pPr>
      <w:r/>
      <w:bookmarkStart w:id="227" w:name="_Toc31537"/>
      <w:r>
        <w:rPr>
          <w:rFonts w:hint="eastAsia" w:ascii="仿宋" w:hAnsi="仿宋" w:eastAsia="仿宋" w:cs="仿宋"/>
          <w:b/>
          <w:bCs/>
          <w:color w:val="000000"/>
          <w:sz w:val="40"/>
          <w:szCs w:val="40"/>
          <w:highlight w:val="none"/>
        </w:rPr>
        <w:br w:type="page" w:clear="all"/>
      </w:r>
      <w:bookmarkStart w:id="228" w:name="_Toc7417"/>
      <w:r>
        <w:rPr>
          <w:rFonts w:hint="eastAsia" w:ascii="仿宋" w:hAnsi="仿宋" w:eastAsia="仿宋" w:cs="仿宋"/>
          <w:b/>
          <w:bCs/>
          <w:color w:val="000000"/>
          <w:sz w:val="40"/>
          <w:szCs w:val="40"/>
          <w:highlight w:val="none"/>
        </w:rPr>
        <w:t xml:space="preserve">第六章</w:t>
      </w:r>
      <w:bookmarkEnd w:id="212"/>
      <w:r/>
      <w:bookmarkEnd w:id="213"/>
      <w:r/>
      <w:bookmarkEnd w:id="218"/>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响应文件格式</w:t>
      </w:r>
      <w:bookmarkEnd w:id="227"/>
      <w:r/>
      <w:bookmarkEnd w:id="228"/>
      <w:r>
        <w:rPr>
          <w:rFonts w:hint="eastAsia" w:ascii="仿宋" w:hAnsi="仿宋" w:eastAsia="仿宋" w:cs="仿宋"/>
          <w:b/>
          <w:bCs/>
          <w:color w:val="000000"/>
          <w:sz w:val="40"/>
          <w:szCs w:val="40"/>
          <w:highlight w:val="none"/>
        </w:rPr>
      </w:r>
      <w:r/>
    </w:p>
    <w:p>
      <w:pPr>
        <w:pStyle w:val="1133"/>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1133"/>
        <w:jc w:val="center"/>
        <w:rPr>
          <w:rFonts w:hint="eastAsia" w:ascii="仿宋" w:hAnsi="仿宋" w:eastAsia="仿宋" w:cs="仿宋"/>
          <w:b/>
          <w:color w:val="000000"/>
          <w:sz w:val="72"/>
          <w:highlight w:val="none"/>
        </w:rPr>
      </w:pPr>
      <w:r/>
      <w:bookmarkStart w:id="229" w:name="_Hlt26671244"/>
      <w:r/>
      <w:bookmarkEnd w:id="229"/>
      <w:r/>
      <w:bookmarkStart w:id="230" w:name="_Hlt26955039"/>
      <w:r/>
      <w:bookmarkEnd w:id="230"/>
      <w:r/>
      <w:bookmarkStart w:id="231" w:name="_Toc120614282"/>
      <w:r/>
      <w:bookmarkStart w:id="232" w:name="_Toc49090576"/>
      <w:r/>
      <w:bookmarkStart w:id="233" w:name="_Toc26554094"/>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响应文件</w:t>
      </w: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【正本】</w:t>
      </w:r>
      <w:r>
        <w:rPr>
          <w:rFonts w:hint="eastAsia" w:ascii="仿宋" w:hAnsi="仿宋" w:eastAsia="仿宋" w:cs="仿宋"/>
          <w:b/>
          <w:color w:val="000000"/>
          <w:sz w:val="56"/>
          <w:szCs w:val="20"/>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u w:val="single"/>
          <w:lang w:eastAsia="zh-CN"/>
        </w:rPr>
      </w:pPr>
      <w:r/>
      <w:bookmarkStart w:id="234" w:name="_Toc26914"/>
      <w:r>
        <w:rPr>
          <w:rFonts w:hint="eastAsia" w:ascii="仿宋" w:hAnsi="仿宋" w:eastAsia="仿宋" w:cs="仿宋"/>
          <w:b/>
          <w:color w:val="000000"/>
          <w:sz w:val="36"/>
          <w:highlight w:val="none"/>
        </w:rPr>
        <w:t xml:space="preserve">供应商名称：</w:t>
      </w:r>
      <w:bookmarkEnd w:id="234"/>
      <w:r>
        <w:rPr>
          <w:rFonts w:hint="eastAsia" w:ascii="仿宋" w:hAnsi="仿宋" w:eastAsia="仿宋" w:cs="仿宋"/>
          <w:b/>
          <w:color w:val="000000"/>
          <w:sz w:val="36"/>
          <w:highlight w:val="none"/>
          <w:u w:val="singl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授权代表签字：</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color w:val="000000"/>
          <w:highlight w:val="none"/>
          <w:lang w:eastAsia="zh-CN"/>
        </w:rPr>
      </w:pPr>
      <w:r>
        <w:rPr>
          <w:rFonts w:hint="eastAsia" w:ascii="仿宋" w:hAnsi="仿宋" w:eastAsia="仿宋" w:cs="仿宋"/>
          <w:b/>
          <w:color w:val="000000"/>
          <w:sz w:val="36"/>
          <w:highlight w:val="none"/>
        </w:rPr>
        <w:t xml:space="preserve">日期：</w:t>
      </w:r>
      <w:r>
        <w:rPr>
          <w:rFonts w:hint="eastAsia" w:ascii="仿宋" w:hAnsi="仿宋" w:eastAsia="仿宋" w:cs="仿宋"/>
          <w:color w:val="000000"/>
          <w:highlight w:val="none"/>
          <w:lang w:eastAsia="zh-CN"/>
        </w:rPr>
      </w:r>
      <w:r/>
    </w:p>
    <w:p>
      <w:pPr>
        <w:pStyle w:val="1133"/>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t xml:space="preserve">响应文件主要目录</w:t>
      </w:r>
      <w:r>
        <w:rPr>
          <w:rFonts w:hint="eastAsia" w:ascii="仿宋" w:hAnsi="仿宋" w:eastAsia="仿宋" w:cs="仿宋"/>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仿宋" w:hAnsi="仿宋" w:eastAsia="仿宋" w:cs="仿宋"/>
          <w:iCs/>
          <w:color w:val="000000"/>
          <w:sz w:val="24"/>
          <w:highlight w:val="none"/>
          <w:u w:val="single"/>
        </w:rPr>
      </w:pPr>
      <w:r/>
      <w:bookmarkStart w:id="235" w:name="_Toc30403"/>
      <w:r/>
      <w:bookmarkStart w:id="236" w:name="_Toc30097"/>
      <w:r>
        <w:rPr>
          <w:rFonts w:hint="eastAsia" w:ascii="仿宋" w:hAnsi="仿宋" w:eastAsia="仿宋" w:cs="仿宋"/>
          <w:iCs/>
          <w:color w:val="000000"/>
          <w:sz w:val="24"/>
          <w:highlight w:val="none"/>
          <w:u w:val="single"/>
        </w:rPr>
        <w:t xml:space="preserve">一、法人或者其他组织的营业执照等证明文件，自然人的身份证明</w:t>
      </w:r>
      <w:bookmarkEnd w:id="235"/>
      <w:r/>
      <w:bookmarkEnd w:id="236"/>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二、响应文件截止时间前一年的财务状况报告</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三、依法缴纳税收和社会保障资金的相关材料</w:t>
      </w:r>
      <w:bookmarkStart w:id="237" w:name="_Toc9391"/>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四、具备履行合同所必需的设备和专业技术能力的书面声明</w:t>
      </w:r>
      <w:bookmarkEnd w:id="237"/>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五、参加政府采购活动前3年内在经营活动中没有重大违法记录的书面声明</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六、特定资格要求的证明文件（如果本项目设置特定资格要求，则需要提供）</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七、承诺函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八、法人授权书</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九、</w:t>
      </w:r>
      <w:r>
        <w:rPr>
          <w:rFonts w:hint="eastAsia" w:ascii="仿宋" w:hAnsi="仿宋" w:eastAsia="仿宋" w:cs="仿宋"/>
          <w:iCs/>
          <w:color w:val="000000"/>
          <w:sz w:val="24"/>
          <w:highlight w:val="none"/>
          <w:u w:val="single"/>
          <w:lang w:val="en-US" w:eastAsia="zh-CN"/>
        </w:rPr>
        <w:t xml:space="preserve">响应</w:t>
      </w:r>
      <w:r>
        <w:rPr>
          <w:rFonts w:hint="eastAsia" w:ascii="仿宋" w:hAnsi="仿宋" w:eastAsia="仿宋" w:cs="仿宋"/>
          <w:iCs/>
          <w:color w:val="000000"/>
          <w:sz w:val="24"/>
          <w:highlight w:val="none"/>
          <w:u w:val="single"/>
        </w:rPr>
        <w:t xml:space="preserve">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中小</w:t>
      </w:r>
      <w:r>
        <w:rPr>
          <w:rFonts w:hint="eastAsia" w:ascii="仿宋" w:hAnsi="仿宋" w:eastAsia="仿宋" w:cs="仿宋"/>
          <w:iCs/>
          <w:color w:val="000000"/>
          <w:sz w:val="24"/>
          <w:highlight w:val="none"/>
          <w:u w:val="single"/>
        </w:rPr>
        <w:t xml:space="preserve">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十一、残疾人福利性单位声明函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十二、监狱企业声明函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十三、报价表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四</w:t>
      </w:r>
      <w:r>
        <w:rPr>
          <w:rFonts w:hint="eastAsia" w:ascii="仿宋" w:hAnsi="仿宋" w:eastAsia="仿宋" w:cs="仿宋"/>
          <w:iCs/>
          <w:color w:val="000000"/>
          <w:sz w:val="24"/>
          <w:highlight w:val="none"/>
          <w:u w:val="single"/>
        </w:rPr>
        <w:t xml:space="preserve">、技术要求响应及偏离表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五</w:t>
      </w:r>
      <w:r>
        <w:rPr>
          <w:rFonts w:hint="eastAsia" w:ascii="仿宋" w:hAnsi="仿宋" w:eastAsia="仿宋" w:cs="仿宋"/>
          <w:iCs/>
          <w:color w:val="000000"/>
          <w:sz w:val="24"/>
          <w:highlight w:val="none"/>
          <w:u w:val="single"/>
        </w:rPr>
        <w:t xml:space="preserve">、商务要求响应及偏离表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六</w:t>
      </w:r>
      <w:r>
        <w:rPr>
          <w:rFonts w:hint="eastAsia" w:ascii="仿宋" w:hAnsi="仿宋" w:eastAsia="仿宋" w:cs="仿宋"/>
          <w:iCs/>
          <w:color w:val="000000"/>
          <w:sz w:val="24"/>
          <w:highlight w:val="none"/>
          <w:u w:val="single"/>
        </w:rPr>
        <w:t xml:space="preserve">、其他证明文件</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仿宋" w:hAnsi="仿宋" w:eastAsia="仿宋" w:cs="仿宋"/>
          <w:i/>
          <w:color w:val="000000"/>
          <w:sz w:val="36"/>
          <w:szCs w:val="36"/>
          <w:highlight w:val="none"/>
          <w:u w:val="single"/>
        </w:rPr>
      </w:pPr>
      <w:r/>
      <w:bookmarkStart w:id="238" w:name="_Toc26951"/>
      <w:r/>
      <w:bookmarkStart w:id="239" w:name="_Toc16047"/>
      <w:r/>
      <w:bookmarkStart w:id="240" w:name="_Toc32627"/>
      <w:r>
        <w:rPr>
          <w:rFonts w:hint="eastAsia" w:ascii="仿宋" w:hAnsi="仿宋" w:eastAsia="仿宋" w:cs="仿宋"/>
          <w:i/>
          <w:color w:val="000000"/>
          <w:sz w:val="36"/>
          <w:szCs w:val="36"/>
          <w:highlight w:val="none"/>
          <w:u w:val="single"/>
        </w:rPr>
        <w:t xml:space="preserve">资格证明文件（第一项-第七项）</w:t>
      </w:r>
      <w:bookmarkEnd w:id="238"/>
      <w:r/>
      <w:bookmarkEnd w:id="239"/>
      <w:r/>
      <w:bookmarkEnd w:id="240"/>
      <w:r>
        <w:rPr>
          <w:rFonts w:hint="eastAsia" w:ascii="仿宋" w:hAnsi="仿宋" w:eastAsia="仿宋" w:cs="仿宋"/>
          <w:i/>
          <w:color w:val="000000"/>
          <w:sz w:val="36"/>
          <w:szCs w:val="36"/>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41" w:name="_Toc6524"/>
      <w:r>
        <w:rPr>
          <w:rFonts w:hint="eastAsia" w:ascii="仿宋" w:hAnsi="仿宋" w:eastAsia="仿宋" w:cs="仿宋"/>
          <w:iCs/>
          <w:color w:val="000000"/>
          <w:sz w:val="32"/>
          <w:szCs w:val="32"/>
          <w:highlight w:val="none"/>
        </w:rPr>
        <w:t xml:space="preserve">一、法人或其他组织的营业执照等证明文件，自然人的身份证明</w:t>
      </w:r>
      <w:bookmarkEnd w:id="241"/>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2" w:name="_Toc20931"/>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242"/>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3" w:name="_Toc16111"/>
      <w:r/>
      <w:bookmarkStart w:id="244" w:name="_Toc15950"/>
      <w:r>
        <w:rPr>
          <w:rFonts w:hint="eastAsia" w:ascii="仿宋" w:hAnsi="仿宋" w:eastAsia="仿宋" w:cs="仿宋"/>
          <w:iCs/>
          <w:color w:val="000000"/>
          <w:sz w:val="32"/>
          <w:szCs w:val="32"/>
          <w:highlight w:val="none"/>
        </w:rPr>
        <w:t xml:space="preserve">三、依法缴纳税收和社会保障资金的相关材料</w:t>
      </w:r>
      <w:bookmarkEnd w:id="243"/>
      <w:r/>
      <w:bookmarkEnd w:id="244"/>
      <w:r>
        <w:rPr>
          <w:rFonts w:hint="eastAsia" w:ascii="仿宋" w:hAnsi="仿宋" w:eastAsia="仿宋" w:cs="仿宋"/>
          <w:iCs/>
          <w:color w:val="000000"/>
          <w:sz w:val="32"/>
          <w:szCs w:val="32"/>
          <w:highlight w:val="none"/>
        </w:rPr>
      </w:r>
      <w:r/>
    </w:p>
    <w:p>
      <w:pPr>
        <w:pStyle w:val="1133"/>
        <w:rPr>
          <w:rFonts w:hint="eastAsia"/>
          <w:color w:val="000000"/>
          <w:highlight w:val="none"/>
        </w:rPr>
      </w:pPr>
      <w:r/>
      <w:bookmarkEnd w:id="231"/>
      <w:r/>
      <w:bookmarkEnd w:id="232"/>
      <w:r/>
      <w:bookmarkEnd w:id="233"/>
      <w:r/>
      <w:bookmarkStart w:id="245" w:name="_Toc120614284"/>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6" w:name="_Toc19161"/>
      <w:r>
        <w:rPr>
          <w:rFonts w:hint="eastAsia" w:ascii="仿宋" w:hAnsi="仿宋" w:eastAsia="仿宋" w:cs="仿宋"/>
          <w:iCs/>
          <w:color w:val="000000"/>
          <w:sz w:val="32"/>
          <w:szCs w:val="32"/>
          <w:highlight w:val="none"/>
        </w:rPr>
        <w:br w:type="page" w:clear="all"/>
      </w:r>
      <w:bookmarkStart w:id="247" w:name="_Toc15843"/>
      <w:r>
        <w:rPr>
          <w:rFonts w:hint="eastAsia" w:ascii="仿宋" w:hAnsi="仿宋" w:eastAsia="仿宋" w:cs="仿宋"/>
          <w:iCs/>
          <w:color w:val="000000"/>
          <w:sz w:val="32"/>
          <w:szCs w:val="32"/>
          <w:highlight w:val="none"/>
        </w:rPr>
        <w:t xml:space="preserve">四、具备履行合同所必需的设备和专业技术能力的书面声明</w:t>
      </w:r>
      <w:bookmarkEnd w:id="246"/>
      <w:r/>
      <w:bookmarkEnd w:id="247"/>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rPr>
        <w:t xml:space="preserve">日期：</w:t>
      </w:r>
      <w:r>
        <w:rPr>
          <w:rFonts w:hint="eastAsia" w:ascii="仿宋" w:hAnsi="仿宋" w:eastAsia="仿宋" w:cs="仿宋"/>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仿宋" w:hAnsi="仿宋" w:eastAsia="仿宋" w:cs="仿宋"/>
          <w:b w:val="0"/>
          <w:bCs w:val="0"/>
          <w:color w:val="000000"/>
          <w:sz w:val="36"/>
          <w:szCs w:val="36"/>
          <w:highlight w:val="none"/>
          <w:lang w:eastAsia="zh-CN"/>
        </w:rPr>
      </w:pPr>
      <w:r/>
      <w:bookmarkStart w:id="248" w:name="_Toc778"/>
      <w:r/>
      <w:bookmarkStart w:id="249" w:name="_Toc18294"/>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248"/>
      <w:r/>
      <w:bookmarkEnd w:id="249"/>
      <w:r>
        <w:rPr>
          <w:rFonts w:hint="eastAsia" w:ascii="仿宋" w:hAnsi="仿宋" w:eastAsia="仿宋" w:cs="仿宋"/>
          <w:b w:val="0"/>
          <w:bCs w:val="0"/>
          <w:color w:val="000000"/>
          <w:sz w:val="36"/>
          <w:szCs w:val="36"/>
          <w:highlight w:val="none"/>
          <w:lang w:eastAsia="zh-CN"/>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0" w:name="_Toc17108"/>
      <w:r>
        <w:rPr>
          <w:rFonts w:hint="eastAsia" w:ascii="仿宋" w:hAnsi="仿宋" w:eastAsia="仿宋" w:cs="仿宋"/>
          <w:iCs/>
          <w:color w:val="000000"/>
          <w:sz w:val="32"/>
          <w:szCs w:val="32"/>
          <w:highlight w:val="none"/>
        </w:rPr>
        <w:br w:type="page" w:clear="all"/>
      </w:r>
      <w:bookmarkStart w:id="251" w:name="_Toc18939"/>
      <w:r>
        <w:rPr>
          <w:rFonts w:hint="eastAsia" w:ascii="仿宋" w:hAnsi="仿宋" w:eastAsia="仿宋" w:cs="仿宋"/>
          <w:iCs/>
          <w:color w:val="000000"/>
          <w:sz w:val="32"/>
          <w:szCs w:val="32"/>
          <w:highlight w:val="none"/>
        </w:rPr>
        <w:t xml:space="preserve">六、特定资格要求的证明文件</w:t>
      </w:r>
      <w:bookmarkEnd w:id="250"/>
      <w:r/>
      <w:bookmarkEnd w:id="251"/>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2" w:name="_Toc5587"/>
      <w:r/>
      <w:bookmarkStart w:id="253" w:name="_Toc31773"/>
      <w:r>
        <w:rPr>
          <w:rFonts w:hint="eastAsia" w:ascii="仿宋" w:hAnsi="仿宋" w:eastAsia="仿宋" w:cs="仿宋"/>
          <w:iCs/>
          <w:color w:val="000000"/>
          <w:sz w:val="32"/>
          <w:szCs w:val="32"/>
          <w:highlight w:val="none"/>
        </w:rPr>
        <w:t xml:space="preserve">七、承诺函</w:t>
      </w:r>
      <w:bookmarkEnd w:id="253"/>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磋商文件编号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竞争性磋商公告，我公司郑重承诺：在参加本次政府采购活</w:t>
      </w:r>
      <w:r>
        <w:rPr>
          <w:rFonts w:hint="eastAsia" w:ascii="仿宋" w:hAnsi="仿宋" w:eastAsia="仿宋" w:cs="仿宋"/>
          <w:color w:val="000000"/>
          <w:sz w:val="22"/>
          <w:szCs w:val="22"/>
          <w:highlight w:val="none"/>
          <w:lang w:eastAsia="zh-CN"/>
        </w:rPr>
        <w:t xml:space="preserve">动中</w:t>
      </w:r>
      <w:r>
        <w:rPr>
          <w:rFonts w:hint="eastAsia" w:ascii="仿宋" w:hAnsi="仿宋" w:eastAsia="仿宋" w:cs="仿宋"/>
          <w:color w:val="000000"/>
          <w:sz w:val="22"/>
          <w:szCs w:val="22"/>
          <w:highlight w:val="none"/>
        </w:rPr>
        <w:t xml:space="preserve">不存在（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rPr>
          <w:rFonts w:hint="eastAsia" w:ascii="仿宋" w:hAnsi="仿宋" w:eastAsia="仿宋" w:cs="仿宋"/>
          <w:color w:val="000000"/>
          <w:sz w:val="22"/>
          <w:szCs w:val="22"/>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4" w:name="_Toc12880"/>
      <w:r>
        <w:rPr>
          <w:rFonts w:hint="eastAsia" w:ascii="仿宋" w:hAnsi="仿宋" w:eastAsia="仿宋" w:cs="仿宋"/>
          <w:iCs/>
          <w:color w:val="000000"/>
          <w:sz w:val="32"/>
          <w:szCs w:val="32"/>
          <w:highlight w:val="none"/>
        </w:rPr>
        <w:t xml:space="preserve">八、法人授权书</w:t>
      </w:r>
      <w:bookmarkEnd w:id="252"/>
      <w:r/>
      <w:bookmarkEnd w:id="254"/>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（供应商住址）的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（供应商名称）法定代表人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（姓名、职务）代表本公司授权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（被授权代表姓名、职务）为本公司的合法代表，就贵方组织的</w:t>
      </w:r>
      <w:r>
        <w:rPr>
          <w:rFonts w:hint="eastAsia" w:ascii="仿宋" w:hAnsi="仿宋" w:eastAsia="仿宋" w:cs="仿宋"/>
          <w:color w:val="000000"/>
          <w:sz w:val="24"/>
          <w:szCs w:val="24"/>
          <w:highlight w:val="none"/>
          <w:u w:val="single"/>
          <w:lang w:eastAsia="zh-CN"/>
        </w:rPr>
        <w:t xml:space="preserve">2026年“百校巡回招引”系列活动引才活动执行采购项目（二次）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QC-2026032710C2</w:t>
      </w:r>
      <w:r>
        <w:rPr>
          <w:rFonts w:hint="eastAsia" w:ascii="仿宋" w:hAnsi="仿宋" w:eastAsia="仿宋" w:cs="仿宋"/>
          <w:color w:val="000000"/>
          <w:sz w:val="24"/>
          <w:szCs w:val="24"/>
          <w:highlight w:val="none"/>
        </w:rPr>
        <w:t xml:space="preserve">）投标、合同的执行，以本公司名义处理一切与之有关的事务。</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日生效，特此声明。</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被授权代表无转委托权。</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2"/>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法定代表人和被授权代表身份证复印件。</w:t>
            </w:r>
            <w:r>
              <w:rPr>
                <w:rFonts w:hint="eastAsia" w:ascii="仿宋" w:hAnsi="仿宋" w:eastAsia="仿宋" w:cs="仿宋"/>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tc>
      </w:tr>
    </w:tbl>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被授权代表（签字）：</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2"/>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代表参与投标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仿宋" w:hAnsi="仿宋" w:eastAsia="仿宋" w:cs="仿宋"/>
          <w:color w:val="000000"/>
          <w:sz w:val="24"/>
          <w:szCs w:val="24"/>
          <w:highlight w:val="none"/>
        </w:rPr>
      </w:r>
      <w:r/>
    </w:p>
    <w:p>
      <w:pPr>
        <w:pStyle w:val="1148"/>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55" w:name="_Toc17268"/>
      <w:r/>
      <w:bookmarkStart w:id="256" w:name="_Toc31969"/>
      <w:r>
        <w:rPr>
          <w:rFonts w:hint="eastAsia" w:ascii="仿宋" w:hAnsi="仿宋" w:eastAsia="仿宋" w:cs="仿宋"/>
          <w:iCs/>
          <w:color w:val="000000"/>
          <w:sz w:val="32"/>
          <w:szCs w:val="32"/>
          <w:highlight w:val="none"/>
        </w:rPr>
        <w:t xml:space="preserve">九、响应函</w:t>
      </w:r>
      <w:bookmarkEnd w:id="255"/>
      <w:r/>
      <w:bookmarkEnd w:id="256"/>
      <w:r>
        <w:rPr>
          <w:rFonts w:hint="eastAsia" w:ascii="仿宋" w:hAnsi="仿宋" w:eastAsia="仿宋" w:cs="仿宋"/>
          <w:iCs/>
          <w:color w:val="000000"/>
          <w:sz w:val="32"/>
          <w:szCs w:val="32"/>
          <w:highlight w:val="none"/>
        </w:rPr>
      </w:r>
      <w:r/>
    </w:p>
    <w:p>
      <w:pPr>
        <w:pStyle w:val="1200"/>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磋商文件、</w:t>
      </w:r>
      <w:r>
        <w:rPr>
          <w:rFonts w:hint="eastAsia" w:ascii="仿宋" w:hAnsi="仿宋" w:eastAsia="仿宋" w:cs="仿宋"/>
          <w:color w:val="000000"/>
          <w:highlight w:val="none"/>
          <w:u w:val="single"/>
          <w:lang w:val="en-US" w:eastAsia="zh-CN"/>
        </w:rPr>
        <w:t xml:space="preserve">项目</w:t>
      </w:r>
      <w:r>
        <w:rPr>
          <w:rFonts w:hint="eastAsia" w:ascii="仿宋" w:hAnsi="仿宋" w:eastAsia="仿宋" w:cs="仿宋"/>
          <w:color w:val="000000"/>
          <w:highlight w:val="none"/>
          <w:u w:val="single"/>
          <w:lang w:eastAsia="zh-CN"/>
        </w:rPr>
        <w:t xml:space="preserve">编号</w:t>
      </w:r>
      <w:r>
        <w:rPr>
          <w:rFonts w:hint="eastAsia" w:ascii="仿宋" w:hAnsi="仿宋" w:eastAsia="仿宋" w:cs="仿宋"/>
          <w:color w:val="000000"/>
          <w:highlight w:val="none"/>
          <w:u w:val="none"/>
          <w:lang w:val="en-US" w:eastAsia="zh-CN"/>
        </w:rPr>
        <w:t xml:space="preserve">的</w:t>
      </w:r>
      <w:r>
        <w:rPr>
          <w:rFonts w:hint="eastAsia" w:ascii="仿宋" w:hAnsi="仿宋" w:eastAsia="仿宋" w:cs="仿宋"/>
          <w:color w:val="000000"/>
          <w:szCs w:val="21"/>
          <w:highlight w:val="none"/>
        </w:rPr>
        <w:t xml:space="preserve">磋商文件，正式授权下述签字人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（姓名）代表我方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（供应商的名称），全权处理本次项目磋商的有关事宜。</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签字人兹宣布同意如下：</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w:t>
      </w:r>
      <w:r>
        <w:rPr>
          <w:rFonts w:hint="eastAsia" w:ascii="仿宋" w:hAnsi="仿宋" w:eastAsia="仿宋" w:cs="仿宋"/>
          <w:color w:val="000000"/>
          <w:szCs w:val="21"/>
          <w:highlight w:val="none"/>
          <w:lang w:eastAsia="zh-CN"/>
        </w:rPr>
        <w:t xml:space="preserve">间内</w:t>
      </w:r>
      <w:r>
        <w:rPr>
          <w:rFonts w:hint="eastAsia" w:ascii="仿宋" w:hAnsi="仿宋" w:eastAsia="仿宋" w:cs="仿宋"/>
          <w:color w:val="000000"/>
          <w:szCs w:val="21"/>
          <w:highlight w:val="none"/>
        </w:rPr>
        <w:t xml:space="preserve">完成项目，交付买方验收、使用。</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邮编：</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账户：</w:t>
      </w:r>
      <w:r>
        <w:rPr>
          <w:rFonts w:hint="eastAsia" w:ascii="仿宋" w:hAnsi="仿宋" w:eastAsia="仿宋" w:cs="仿宋"/>
          <w:color w:val="000000"/>
          <w:szCs w:val="21"/>
          <w:highlight w:val="none"/>
          <w:lang w:eastAsia="zh-CN"/>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日期：________年____月____日</w:t>
      </w:r>
      <w:r>
        <w:rPr>
          <w:rFonts w:hint="eastAsia" w:ascii="仿宋" w:hAnsi="仿宋" w:eastAsia="仿宋" w:cs="仿宋"/>
          <w:color w:val="000000"/>
          <w:szCs w:val="21"/>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257"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8" w:name="_Toc7397"/>
      <w:r>
        <w:rPr>
          <w:rFonts w:hint="eastAsia" w:ascii="仿宋" w:hAnsi="仿宋" w:eastAsia="仿宋" w:cs="仿宋"/>
          <w:iCs/>
          <w:color w:val="000000"/>
          <w:sz w:val="32"/>
          <w:szCs w:val="32"/>
          <w:highlight w:val="none"/>
        </w:rPr>
        <w:t xml:space="preserve">十、小微企业声明函（服务）</w:t>
      </w:r>
      <w:bookmarkEnd w:id="257"/>
      <w:r/>
      <w:bookmarkEnd w:id="258"/>
      <w:r>
        <w:rPr>
          <w:rFonts w:hint="eastAsia" w:ascii="仿宋" w:hAnsi="仿宋" w:eastAsia="仿宋" w:cs="仿宋"/>
          <w:iCs/>
          <w:color w:val="000000"/>
          <w:sz w:val="32"/>
          <w:szCs w:val="32"/>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)的规定，本公司参加江苏柒采招标代理有限公司组织的</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)的规定，相关企业的具体情况如下：</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33"/>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rPr>
          <w:rFonts w:hint="eastAsia" w:ascii="仿宋" w:hAnsi="仿宋" w:eastAsia="仿宋" w:cs="仿宋"/>
          <w:color w:val="000000"/>
          <w:sz w:val="24"/>
          <w:szCs w:val="24"/>
          <w:highlight w:val="none"/>
        </w:rPr>
      </w:r>
      <w:r/>
    </w:p>
    <w:p>
      <w:pPr>
        <w:pStyle w:val="1133"/>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3"/>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259" w:name="_Toc8428"/>
      <w:r/>
      <w:bookmarkStart w:id="260" w:name="_Toc23468"/>
      <w:r/>
      <w:bookmarkStart w:id="261" w:name="_Toc10274"/>
      <w:r>
        <w:rPr>
          <w:rFonts w:hint="eastAsia" w:ascii="仿宋" w:hAnsi="仿宋" w:eastAsia="仿宋" w:cs="仿宋"/>
          <w:iCs/>
          <w:color w:val="000000"/>
          <w:sz w:val="32"/>
          <w:szCs w:val="32"/>
          <w:highlight w:val="none"/>
        </w:rPr>
        <w:t xml:space="preserve">十一、残疾人福利性单位声明函</w:t>
      </w:r>
      <w:bookmarkEnd w:id="259"/>
      <w:r/>
      <w:bookmarkEnd w:id="260"/>
      <w:r/>
      <w:bookmarkEnd w:id="261"/>
      <w:r>
        <w:rPr>
          <w:rFonts w:hint="eastAsia" w:ascii="仿宋" w:hAnsi="仿宋" w:eastAsia="仿宋" w:cs="仿宋"/>
          <w:b w:val="0"/>
          <w:color w:val="000000"/>
          <w:sz w:val="32"/>
          <w:szCs w:val="32"/>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highlight w:val="none"/>
        </w:rPr>
      </w:r>
      <w:r/>
    </w:p>
    <w:p>
      <w:pPr>
        <w:pStyle w:val="1133"/>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供应商全称（加盖公章）：</w:t>
      </w:r>
      <w:r>
        <w:rPr>
          <w:rFonts w:hint="eastAsia"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262" w:name="_Toc17727"/>
      <w:r>
        <w:rPr>
          <w:rFonts w:hint="eastAsia" w:ascii="仿宋" w:hAnsi="仿宋" w:eastAsia="仿宋" w:cs="仿宋"/>
          <w:iCs/>
          <w:color w:val="000000"/>
          <w:sz w:val="32"/>
          <w:szCs w:val="32"/>
          <w:highlight w:val="none"/>
        </w:rPr>
        <w:t xml:space="preserve">十二、监狱企业声明函</w:t>
      </w:r>
      <w:bookmarkEnd w:id="262"/>
      <w:r>
        <w:rPr>
          <w:color w:val="000000"/>
          <w:highlight w:val="none"/>
        </w:rPr>
      </w:r>
      <w:r/>
    </w:p>
    <w:p>
      <w:pPr>
        <w:pStyle w:val="1133"/>
        <w:rPr>
          <w:color w:val="000000"/>
          <w:highlight w:val="none"/>
        </w:rPr>
      </w:pPr>
      <w:r>
        <w:rPr>
          <w:color w:val="000000"/>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rPr>
          <w:rFonts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keepLines/>
        <w:keepNext/>
        <w:pageBreakBefore w:val="0"/>
        <w:spacing w:before="0" w:after="100" w:line="416" w:lineRule="auto"/>
        <w:widowControl w:val="off"/>
        <w:rPr>
          <w:rFonts w:hint="eastAsia" w:ascii="仿宋" w:hAnsi="仿宋" w:eastAsia="仿宋" w:cs="仿宋"/>
          <w:b/>
          <w:bCs/>
          <w:i w:val="0"/>
          <w:iCs/>
          <w:sz w:val="32"/>
          <w:szCs w:val="32"/>
          <w:u w:val="none"/>
        </w:rPr>
      </w:pPr>
      <w:r/>
      <w:bookmarkStart w:id="263" w:name="_Toc19298"/>
      <w:r/>
      <w:bookmarkStart w:id="264" w:name="_Toc3428"/>
      <w:r>
        <w:rPr>
          <w:rFonts w:hint="eastAsia" w:ascii="仿宋" w:hAnsi="仿宋" w:eastAsia="仿宋" w:cs="仿宋"/>
          <w:iCs/>
          <w:color w:val="000000"/>
          <w:sz w:val="32"/>
          <w:szCs w:val="32"/>
          <w:highlight w:val="none"/>
        </w:rPr>
        <w:br w:type="page" w:clear="all"/>
      </w:r>
      <w:bookmarkStart w:id="265" w:name="_Toc31293"/>
      <w:r/>
      <w:bookmarkStart w:id="266" w:name="_Toc28500"/>
      <w:r>
        <w:rPr>
          <w:rFonts w:hint="eastAsia" w:ascii="仿宋" w:hAnsi="仿宋" w:eastAsia="仿宋" w:cs="仿宋"/>
          <w:b/>
          <w:bCs/>
          <w:i w:val="0"/>
          <w:iCs/>
          <w:sz w:val="32"/>
          <w:szCs w:val="32"/>
          <w:u w:val="none"/>
          <w:lang w:eastAsia="zh-CN"/>
        </w:rPr>
        <w:t xml:space="preserve">十三、</w:t>
      </w:r>
      <w:r>
        <w:rPr>
          <w:rFonts w:hint="eastAsia" w:ascii="仿宋" w:hAnsi="仿宋" w:eastAsia="仿宋" w:cs="仿宋"/>
          <w:b/>
          <w:bCs/>
          <w:i w:val="0"/>
          <w:iCs/>
          <w:sz w:val="32"/>
          <w:szCs w:val="32"/>
          <w:u w:val="none"/>
        </w:rPr>
        <w:t xml:space="preserve">关于符合本国产品标准的声明函（采购包号：**）</w:t>
      </w:r>
      <w:bookmarkEnd w:id="265"/>
      <w:r/>
      <w:bookmarkEnd w:id="266"/>
      <w:r>
        <w:rPr>
          <w:rFonts w:hint="eastAsia" w:ascii="仿宋" w:hAnsi="仿宋" w:eastAsia="仿宋" w:cs="仿宋"/>
          <w:b/>
          <w:bCs/>
          <w:i w:val="0"/>
          <w:iCs/>
          <w:sz w:val="32"/>
          <w:szCs w:val="32"/>
          <w:u w:val="none"/>
        </w:rPr>
      </w:r>
      <w:r/>
    </w:p>
    <w:p>
      <w:pPr>
        <w:pStyle w:val="1178"/>
        <w:ind w:left="0" w:right="0" w:firstLine="420"/>
        <w:jc w:val="left"/>
        <w:keepLines w:val="0"/>
        <w:keepNext w:val="0"/>
        <w:spacing w:before="0" w:beforeAutospacing="0" w:after="0" w:afterAutospacing="0" w:line="0" w:lineRule="atLeast"/>
        <w:widowControl/>
        <w:suppressLineNumbers w:val="0"/>
      </w:pPr>
      <w:r>
        <w:rPr>
          <w:rFonts w:ascii="方正魏碑_GBK" w:hAnsi="方正魏碑_GBK" w:eastAsia="方正魏碑_GBK" w:cs="方正魏碑_GBK"/>
          <w:b w:val="0"/>
          <w:bCs w:val="0"/>
          <w:i w:val="0"/>
          <w:iCs w:val="0"/>
          <w:color w:val="ff0000"/>
          <w:spacing w:val="0"/>
          <w:sz w:val="24"/>
          <w:szCs w:val="24"/>
          <w:vertAlign w:val="baseline"/>
          <w:lang w:val="en-US"/>
        </w:rPr>
        <w:t xml:space="preserve"> </w:t>
      </w:r>
      <w:r/>
    </w:p>
    <w:p>
      <w:pPr>
        <w:pStyle w:val="1178"/>
        <w:ind w:left="0" w:right="0" w:firstLine="420"/>
        <w:jc w:val="left"/>
        <w:keepLines w:val="0"/>
        <w:keepNext w:val="0"/>
        <w:spacing w:before="0" w:beforeAutospacing="0" w:after="0" w:afterAutospacing="0" w:line="0" w:lineRule="atLeast"/>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4"/>
          <w:szCs w:val="24"/>
        </w:rPr>
      </w:r>
      <w:r/>
    </w:p>
    <w:p>
      <w:pPr>
        <w:pStyle w:val="1133"/>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1.</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000000"/>
          <w:spacing w:val="0"/>
          <w:sz w:val="24"/>
          <w:szCs w:val="24"/>
          <w:shd w:val="clear" w:color="auto" w:fill="ffffff"/>
          <w:vertAlign w:val="superscript"/>
          <w:lang w:val="en-US" w:eastAsia="zh-CN" w:bidi="ar"/>
        </w:rPr>
        <w:t xml:space="preserve">1</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，生产厂为</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（厂名）</w:t>
      </w:r>
      <w:r>
        <w:rPr>
          <w:rFonts w:hint="eastAsia" w:ascii="仿宋" w:hAnsi="仿宋" w:eastAsia="仿宋" w:cs="仿宋"/>
          <w:b w:val="0"/>
          <w:bCs w:val="0"/>
          <w:i w:val="0"/>
          <w:iCs w:val="0"/>
          <w:color w:val="000000"/>
          <w:spacing w:val="0"/>
          <w:sz w:val="24"/>
          <w:szCs w:val="24"/>
          <w:shd w:val="clear" w:color="auto" w:fill="ffffff"/>
          <w:vertAlign w:val="superscript"/>
          <w:lang w:val="en-US" w:eastAsia="zh-CN" w:bidi="ar"/>
        </w:rPr>
        <w:t xml:space="preserve">2</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，厂址为</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（生产厂址）</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 （产品名称1） </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的中国境内生产的组件成本占比≥</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（规定比例）</w:t>
      </w:r>
      <w:r>
        <w:rPr>
          <w:rFonts w:hint="eastAsia" w:ascii="仿宋" w:hAnsi="仿宋" w:eastAsia="仿宋" w:cs="仿宋"/>
          <w:b w:val="0"/>
          <w:bCs w:val="0"/>
          <w:i w:val="0"/>
          <w:iCs w:val="0"/>
          <w:color w:val="000000"/>
          <w:spacing w:val="0"/>
          <w:sz w:val="24"/>
          <w:szCs w:val="24"/>
          <w:shd w:val="clear" w:color="auto" w:fill="ffffff"/>
          <w:vertAlign w:val="superscript"/>
          <w:lang w:val="en-US" w:eastAsia="zh-CN" w:bidi="ar"/>
        </w:rPr>
        <w:t xml:space="preserve">3</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（关键组件）</w:t>
      </w:r>
      <w:r>
        <w:rPr>
          <w:rFonts w:hint="eastAsia" w:ascii="仿宋" w:hAnsi="仿宋" w:eastAsia="仿宋" w:cs="仿宋"/>
          <w:b w:val="0"/>
          <w:bCs w:val="0"/>
          <w:i w:val="0"/>
          <w:iCs w:val="0"/>
          <w:color w:val="000000"/>
          <w:spacing w:val="0"/>
          <w:sz w:val="24"/>
          <w:szCs w:val="24"/>
          <w:shd w:val="clear" w:color="auto" w:fill="ffffff"/>
          <w:vertAlign w:val="superscript"/>
          <w:lang w:val="en-US" w:eastAsia="zh-CN" w:bidi="ar"/>
        </w:rPr>
        <w:t xml:space="preserve">4</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在中国境内生产。</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（关键工序）</w:t>
      </w:r>
      <w:r>
        <w:rPr>
          <w:rFonts w:hint="eastAsia" w:ascii="仿宋" w:hAnsi="仿宋" w:eastAsia="仿宋" w:cs="仿宋"/>
          <w:b w:val="0"/>
          <w:bCs w:val="0"/>
          <w:i w:val="0"/>
          <w:iCs w:val="0"/>
          <w:color w:val="000000"/>
          <w:spacing w:val="0"/>
          <w:sz w:val="24"/>
          <w:szCs w:val="24"/>
          <w:shd w:val="clear" w:color="auto" w:fill="ffffff"/>
          <w:vertAlign w:val="superscript"/>
          <w:lang w:val="en-US" w:eastAsia="zh-CN" w:bidi="ar"/>
        </w:rPr>
        <w:t xml:space="preserve">5</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在中国境内完成。</w:t>
      </w:r>
      <w:r>
        <w:rPr>
          <w:rFonts w:hint="eastAsia" w:ascii="仿宋" w:hAnsi="仿宋" w:eastAsia="仿宋" w:cs="仿宋"/>
          <w:color w:val="000000"/>
          <w:sz w:val="24"/>
          <w:szCs w:val="24"/>
        </w:rPr>
      </w:r>
      <w:r/>
    </w:p>
    <w:p>
      <w:pPr>
        <w:pStyle w:val="1133"/>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2.</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，生产厂为</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（厂名）</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，厂址为</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（生产厂址）</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的中国境内生产的组件成本占比≥</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（规定比例）</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（关键组件）</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在中国境内生产。</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000000"/>
          <w:spacing w:val="0"/>
          <w:sz w:val="24"/>
          <w:szCs w:val="24"/>
          <w:u w:val="single"/>
          <w:shd w:val="clear" w:color="auto" w:fill="ffffff"/>
          <w:vertAlign w:val="baseline"/>
          <w:lang w:val="en-US" w:eastAsia="zh-CN" w:bidi="ar"/>
        </w:rPr>
        <w:t xml:space="preserve">（关键工序）</w:t>
      </w:r>
      <w:r>
        <w:rPr>
          <w:rFonts w:hint="eastAsia" w:ascii="仿宋" w:hAnsi="仿宋" w:eastAsia="仿宋" w:cs="仿宋"/>
          <w:b w:val="0"/>
          <w:bCs w:val="0"/>
          <w:i w:val="0"/>
          <w:iCs w:val="0"/>
          <w:color w:val="000000"/>
          <w:spacing w:val="0"/>
          <w:sz w:val="24"/>
          <w:szCs w:val="24"/>
          <w:shd w:val="clear" w:color="auto" w:fill="ffffff"/>
          <w:vertAlign w:val="baseline"/>
          <w:lang w:val="en-US" w:eastAsia="zh-CN" w:bidi="ar"/>
        </w:rPr>
        <w:t xml:space="preserve">在中国境内完成。</w:t>
      </w:r>
      <w:r>
        <w:rPr>
          <w:rFonts w:hint="eastAsia" w:ascii="仿宋" w:hAnsi="仿宋" w:eastAsia="仿宋" w:cs="仿宋"/>
          <w:color w:val="000000"/>
          <w:sz w:val="24"/>
          <w:szCs w:val="24"/>
        </w:rPr>
      </w:r>
      <w:r/>
    </w:p>
    <w:p>
      <w:pPr>
        <w:pStyle w:val="1178"/>
        <w:ind w:left="0" w:right="0" w:firstLine="420"/>
        <w:jc w:val="left"/>
        <w:keepLines w:val="0"/>
        <w:keepNext w:val="0"/>
        <w:spacing w:before="30" w:beforeAutospacing="0" w:after="30" w:afterAutospacing="0" w:line="0" w:lineRule="atLeast"/>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shd w:val="clear" w:color="auto" w:fill="ffffff"/>
          <w:vertAlign w:val="baseline"/>
        </w:rPr>
        <w:t xml:space="preserve">……</w:t>
      </w:r>
      <w:r>
        <w:rPr>
          <w:rFonts w:hint="eastAsia" w:ascii="仿宋" w:hAnsi="仿宋" w:eastAsia="仿宋" w:cs="仿宋"/>
          <w:color w:val="000000"/>
          <w:sz w:val="24"/>
          <w:szCs w:val="24"/>
        </w:rPr>
      </w:r>
      <w:r/>
    </w:p>
    <w:p>
      <w:pPr>
        <w:pStyle w:val="1178"/>
        <w:ind w:left="0" w:right="0" w:firstLine="420"/>
        <w:jc w:val="right"/>
        <w:keepLines w:val="0"/>
        <w:keepNext w:val="0"/>
        <w:spacing w:before="30" w:beforeAutospacing="0" w:after="30" w:afterAutospacing="0" w:line="0" w:lineRule="atLeast"/>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仿宋" w:hAnsi="仿宋" w:eastAsia="仿宋" w:cs="仿宋"/>
          <w:color w:val="000000"/>
          <w:sz w:val="24"/>
          <w:szCs w:val="24"/>
        </w:rPr>
      </w:r>
      <w:r/>
    </w:p>
    <w:p>
      <w:pPr>
        <w:pStyle w:val="1178"/>
        <w:ind w:left="0" w:right="0"/>
        <w:jc w:val="right"/>
        <w:keepLines w:val="0"/>
        <w:keepNext w:val="0"/>
        <w:spacing w:before="30" w:beforeAutospacing="0" w:after="30" w:afterAutospacing="0" w:line="0" w:lineRule="atLeast"/>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vertAlign w:val="baseline"/>
          <w:lang w:val="en-US"/>
        </w:rPr>
        <w:t xml:space="preserve"> </w:t>
      </w:r>
      <w:r>
        <w:rPr>
          <w:rFonts w:hint="eastAsia" w:ascii="仿宋" w:hAnsi="仿宋" w:eastAsia="仿宋" w:cs="仿宋"/>
          <w:color w:val="000000"/>
          <w:sz w:val="24"/>
          <w:szCs w:val="24"/>
        </w:rPr>
      </w:r>
      <w:r/>
    </w:p>
    <w:p>
      <w:pPr>
        <w:pStyle w:val="1178"/>
        <w:ind w:left="0" w:right="480" w:firstLine="3255"/>
        <w:jc w:val="right"/>
        <w:keepLines w:val="0"/>
        <w:keepNext w:val="0"/>
        <w:spacing w:before="30" w:beforeAutospacing="0" w:after="30" w:afterAutospacing="0" w:line="0" w:lineRule="atLeast"/>
        <w:widowControl/>
        <w:rPr>
          <w:rFonts w:hint="eastAsia" w:ascii="仿宋" w:hAnsi="仿宋" w:eastAsia="仿宋" w:cs="仿宋"/>
          <w:color w:val="000000"/>
          <w:sz w:val="24"/>
          <w:szCs w:val="24"/>
        </w:rPr>
        <w:suppressLineNumbers w:val="0"/>
      </w:pPr>
      <w:r>
        <w:rPr>
          <w:rFonts w:hint="eastAsia" w:ascii="仿宋" w:hAnsi="仿宋" w:eastAsia="仿宋" w:cs="仿宋"/>
          <w:b w:val="0"/>
          <w:bCs w:val="0"/>
          <w:i w:val="0"/>
          <w:iCs w:val="0"/>
          <w:color w:val="000000"/>
          <w:spacing w:val="0"/>
          <w:sz w:val="24"/>
          <w:szCs w:val="24"/>
          <w:shd w:val="clear" w:color="auto" w:fill="ffffff"/>
          <w:vertAlign w:val="baseline"/>
        </w:rPr>
        <w:t xml:space="preserve">公司（单位）名称（盖章）：　        </w:t>
      </w:r>
      <w:r>
        <w:rPr>
          <w:rFonts w:hint="eastAsia" w:ascii="仿宋" w:hAnsi="仿宋" w:eastAsia="仿宋" w:cs="仿宋"/>
          <w:color w:val="000000"/>
          <w:sz w:val="24"/>
          <w:szCs w:val="24"/>
        </w:rPr>
      </w:r>
      <w:r/>
    </w:p>
    <w:p>
      <w:pPr>
        <w:pStyle w:val="1178"/>
        <w:ind w:left="0" w:right="0"/>
        <w:jc w:val="right"/>
        <w:keepLines w:val="0"/>
        <w:keepNext w:val="0"/>
        <w:spacing w:before="30" w:beforeAutospacing="0" w:after="30" w:afterAutospacing="0" w:line="0" w:lineRule="atLeast"/>
        <w:widowControl/>
        <w:suppressLineNumbers w:val="0"/>
      </w:pPr>
      <w:r>
        <w:rPr>
          <w:rFonts w:hint="eastAsia" w:ascii="仿宋" w:hAnsi="仿宋" w:eastAsia="仿宋" w:cs="仿宋"/>
          <w:b w:val="0"/>
          <w:bCs w:val="0"/>
          <w:i w:val="0"/>
          <w:iCs w:val="0"/>
          <w:color w:val="000000"/>
          <w:spacing w:val="0"/>
          <w:sz w:val="24"/>
          <w:szCs w:val="24"/>
          <w:shd w:val="clear" w:color="auto" w:fill="ffffff"/>
          <w:vertAlign w:val="baseline"/>
        </w:rPr>
        <w:t xml:space="preserve">日期：　   年　  月　  日      </w:t>
      </w:r>
      <w:r>
        <w:rPr>
          <w:rFonts w:ascii="方正魏碑_GBK" w:hAnsi="方正魏碑_GBK" w:eastAsia="方正魏碑_GBK" w:cs="方正魏碑_GBK"/>
          <w:b w:val="0"/>
          <w:bCs w:val="0"/>
          <w:i w:val="0"/>
          <w:iCs w:val="0"/>
          <w:color w:val="ff0000"/>
          <w:spacing w:val="0"/>
          <w:sz w:val="24"/>
          <w:szCs w:val="24"/>
          <w:shd w:val="clear" w:color="auto" w:fill="ffffff"/>
          <w:vertAlign w:val="baseline"/>
        </w:rPr>
        <w:t xml:space="preserve">   </w:t>
      </w:r>
      <w:r/>
    </w:p>
    <w:p>
      <w:pPr>
        <w:pStyle w:val="1178"/>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1.产品如有型号，请在“产品名称”栏一并填写。</w:t>
      </w:r>
      <w:r>
        <w:rPr>
          <w:rFonts w:hint="eastAsia" w:ascii="仿宋" w:hAnsi="仿宋" w:eastAsia="仿宋" w:cs="仿宋"/>
          <w:i w:val="0"/>
          <w:iCs w:val="0"/>
          <w:caps w:val="0"/>
          <w:color w:val="333333"/>
          <w:spacing w:val="0"/>
          <w:sz w:val="24"/>
          <w:szCs w:val="24"/>
        </w:rPr>
      </w:r>
      <w:r/>
    </w:p>
    <w:p>
      <w:pPr>
        <w:pStyle w:val="1178"/>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2.生产厂名与厂址应与生产厂营业执照载明的相关信息保持一致。</w:t>
      </w:r>
      <w:r>
        <w:rPr>
          <w:rFonts w:hint="eastAsia" w:ascii="仿宋" w:hAnsi="仿宋" w:eastAsia="仿宋" w:cs="仿宋"/>
          <w:i w:val="0"/>
          <w:iCs w:val="0"/>
          <w:caps w:val="0"/>
          <w:color w:val="333333"/>
          <w:spacing w:val="0"/>
          <w:sz w:val="24"/>
          <w:szCs w:val="24"/>
        </w:rPr>
      </w:r>
      <w:r/>
    </w:p>
    <w:p>
      <w:pPr>
        <w:pStyle w:val="1178"/>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仿宋" w:hAnsi="仿宋" w:eastAsia="仿宋" w:cs="仿宋"/>
          <w:i w:val="0"/>
          <w:iCs w:val="0"/>
          <w:caps w:val="0"/>
          <w:color w:val="333333"/>
          <w:spacing w:val="0"/>
          <w:sz w:val="24"/>
          <w:szCs w:val="24"/>
        </w:rPr>
      </w:r>
      <w:r/>
    </w:p>
    <w:p>
      <w:pPr>
        <w:pStyle w:val="1178"/>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4.该产品的关键组件要求实施前，“关键组件”栏可不填，下同。</w:t>
      </w:r>
      <w:r>
        <w:rPr>
          <w:rFonts w:hint="eastAsia" w:ascii="仿宋" w:hAnsi="仿宋" w:eastAsia="仿宋" w:cs="仿宋"/>
          <w:i w:val="0"/>
          <w:iCs w:val="0"/>
          <w:caps w:val="0"/>
          <w:color w:val="333333"/>
          <w:spacing w:val="0"/>
          <w:sz w:val="24"/>
          <w:szCs w:val="24"/>
        </w:rPr>
      </w:r>
      <w:r/>
    </w:p>
    <w:p>
      <w:pPr>
        <w:pStyle w:val="1178"/>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5.该产品的关键工序要求实施前，“关键工序”栏可不填，下同。</w:t>
      </w:r>
      <w:r>
        <w:rPr>
          <w:rFonts w:hint="eastAsia" w:ascii="仿宋" w:hAnsi="仿宋" w:eastAsia="仿宋" w:cs="仿宋"/>
          <w:i w:val="0"/>
          <w:iCs w:val="0"/>
          <w:caps w:val="0"/>
          <w:color w:val="333333"/>
          <w:spacing w:val="0"/>
          <w:sz w:val="24"/>
          <w:szCs w:val="24"/>
        </w:rPr>
      </w:r>
      <w:r/>
    </w:p>
    <w:p>
      <w:pPr>
        <w:pStyle w:val="1133"/>
        <w:ind w:firstLine="442"/>
        <w:spacing w:line="440" w:lineRule="exact"/>
        <w:rPr>
          <w:rFonts w:hint="eastAsia" w:ascii="仿宋" w:hAnsi="仿宋" w:eastAsia="仿宋" w:cs="仿宋"/>
          <w:sz w:val="22"/>
          <w:szCs w:val="22"/>
          <w:lang w:val="en-US" w:eastAsia="zh-CN"/>
        </w:rPr>
      </w:pPr>
      <w:r>
        <w:rPr>
          <w:rFonts w:ascii="仿宋" w:hAnsi="仿宋" w:eastAsia="仿宋" w:cs="仿宋"/>
          <w:b/>
          <w:bCs/>
          <w:sz w:val="22"/>
          <w:szCs w:val="22"/>
          <w:lang w:val="en-US" w:eastAsia="zh-CN"/>
        </w:rPr>
        <w:t xml:space="preserve">供应商需在《声明函》中逐一、准确填写产品名称、厂名、生产厂址三项信息，三项信息中任意一项未填写的视为该项产品不符合本国产品标准，不享受本国产品价格评审优惠。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仿宋"/>
          <w:sz w:val="22"/>
          <w:szCs w:val="22"/>
          <w:lang w:val="en-US"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7" w:name="_Toc29442"/>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四</w:t>
      </w:r>
      <w:r>
        <w:rPr>
          <w:rFonts w:hint="eastAsia" w:ascii="仿宋" w:hAnsi="仿宋" w:eastAsia="仿宋" w:cs="仿宋"/>
          <w:iCs/>
          <w:color w:val="000000"/>
          <w:sz w:val="32"/>
          <w:szCs w:val="32"/>
          <w:highlight w:val="none"/>
        </w:rPr>
        <w:t xml:space="preserve">、</w:t>
      </w:r>
      <w:bookmarkEnd w:id="263"/>
      <w:r>
        <w:rPr>
          <w:rFonts w:hint="eastAsia" w:ascii="仿宋" w:hAnsi="仿宋" w:eastAsia="仿宋" w:cs="仿宋"/>
          <w:iCs/>
          <w:color w:val="000000"/>
          <w:sz w:val="32"/>
          <w:szCs w:val="32"/>
          <w:highlight w:val="none"/>
        </w:rPr>
        <w:t xml:space="preserve">报价表</w:t>
      </w:r>
      <w:bookmarkEnd w:id="267"/>
      <w:r>
        <w:rPr>
          <w:rFonts w:hint="eastAsia" w:ascii="仿宋" w:hAnsi="仿宋" w:eastAsia="仿宋" w:cs="仿宋"/>
          <w:iCs/>
          <w:color w:val="000000"/>
          <w:sz w:val="32"/>
          <w:szCs w:val="32"/>
          <w:highlight w:val="none"/>
        </w:rPr>
      </w:r>
      <w:r/>
    </w:p>
    <w:p>
      <w:pPr>
        <w:pStyle w:val="1162"/>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lang w:val="en-US" w:eastAsia="zh-CN"/>
        </w:rPr>
        <w:t xml:space="preserve">按照苏采云固定格式填报</w:t>
      </w: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rPr>
      </w:r>
      <w:r/>
    </w:p>
    <w:p>
      <w:pPr>
        <w:pStyle w:val="1133"/>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w:t>
      </w:r>
      <w:r>
        <w:rPr>
          <w:rFonts w:hint="eastAsia" w:ascii="仿宋" w:hAnsi="仿宋" w:eastAsia="仿宋" w:cs="仿宋"/>
          <w:b/>
          <w:bCs/>
          <w:i/>
          <w:iCs/>
          <w:color w:val="000000"/>
          <w:highlight w:val="none"/>
          <w:u w:val="single"/>
        </w:rPr>
        <w:t xml:space="preserve">不得超过磋商文件规定的</w:t>
      </w:r>
      <w:r>
        <w:rPr>
          <w:rFonts w:hint="eastAsia" w:ascii="仿宋" w:hAnsi="仿宋" w:eastAsia="仿宋" w:cs="仿宋"/>
          <w:b/>
          <w:bCs/>
          <w:i/>
          <w:iCs/>
          <w:color w:val="000000"/>
          <w:highlight w:val="none"/>
          <w:u w:val="single"/>
          <w:lang w:val="en-US" w:eastAsia="zh-CN"/>
        </w:rPr>
        <w:t xml:space="preserve">最高</w:t>
      </w:r>
      <w:r>
        <w:rPr>
          <w:rFonts w:hint="eastAsia" w:ascii="仿宋" w:hAnsi="仿宋" w:eastAsia="仿宋" w:cs="仿宋"/>
          <w:b/>
          <w:bCs/>
          <w:i/>
          <w:iCs/>
          <w:color w:val="000000"/>
          <w:highlight w:val="none"/>
          <w:u w:val="single"/>
        </w:rPr>
        <w:t xml:space="preserve">限价，超过磋商文件规定的，按无效响应处理。</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请供应商请勿离开苏采云开标大厅，直至最后报价结束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8" w:name="_Toc4003"/>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五</w:t>
      </w:r>
      <w:r>
        <w:rPr>
          <w:rFonts w:hint="eastAsia" w:ascii="仿宋" w:hAnsi="仿宋" w:eastAsia="仿宋" w:cs="仿宋"/>
          <w:iCs/>
          <w:color w:val="000000"/>
          <w:sz w:val="32"/>
          <w:szCs w:val="32"/>
          <w:highlight w:val="none"/>
        </w:rPr>
        <w:t xml:space="preserve">、</w:t>
      </w:r>
      <w:bookmarkEnd w:id="264"/>
      <w:r/>
      <w:bookmarkStart w:id="269" w:name="_Toc18326"/>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268"/>
      <w:r/>
      <w:bookmarkEnd w:id="269"/>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30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rPr>
                <w:rFonts w:hint="eastAsia" w:ascii="仿宋" w:hAnsi="仿宋" w:eastAsia="仿宋" w:cs="仿宋"/>
                <w:color w:val="000000"/>
                <w:sz w:val="24"/>
                <w:szCs w:val="24"/>
                <w:highlight w:val="none"/>
              </w:rPr>
            </w:r>
            <w:r/>
          </w:p>
        </w:tc>
        <w:tc>
          <w:tcPr>
            <w:tcW w:w="2861"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rPr>
                <w:rFonts w:hint="eastAsia" w:ascii="仿宋" w:hAnsi="仿宋" w:eastAsia="仿宋" w:cs="仿宋"/>
                <w:color w:val="000000"/>
                <w:sz w:val="24"/>
                <w:szCs w:val="24"/>
                <w:highlight w:val="none"/>
              </w:rPr>
            </w:r>
            <w:r/>
          </w:p>
        </w:tc>
        <w:tc>
          <w:tcPr>
            <w:tcW w:w="131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rPr>
                <w:rFonts w:hint="eastAsia" w:ascii="仿宋" w:hAnsi="仿宋" w:eastAsia="仿宋" w:cs="仿宋"/>
                <w:color w:val="000000"/>
                <w:sz w:val="24"/>
                <w:szCs w:val="24"/>
                <w:highlight w:val="none"/>
              </w:rPr>
            </w:r>
            <w:r/>
          </w:p>
        </w:tc>
        <w:tc>
          <w:tcPr>
            <w:tcW w:w="117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jc w:val="left"/>
        <w:rPr>
          <w:rFonts w:ascii="仿宋" w:hAnsi="仿宋" w:eastAsia="仿宋" w:cs="仿宋"/>
          <w:b/>
          <w:bCs/>
          <w:color w:val="000000"/>
          <w:sz w:val="22"/>
          <w:szCs w:val="22"/>
          <w:highlight w:val="none"/>
        </w:rPr>
      </w:pPr>
      <w:r/>
      <w:bookmarkEnd w:id="245"/>
      <w:r/>
      <w:bookmarkStart w:id="271" w:name="_Toc2858"/>
      <w:r>
        <w:rPr>
          <w:rFonts w:hint="eastAsia" w:ascii="仿宋" w:hAnsi="仿宋" w:eastAsia="仿宋" w:cs="仿宋"/>
          <w:b/>
          <w:bCs/>
          <w:color w:val="000000"/>
          <w:sz w:val="22"/>
          <w:szCs w:val="22"/>
          <w:highlight w:val="none"/>
        </w:rPr>
        <w:t xml:space="preserve">注：行数不够，可自行添加。请供应商针对磋商文件第四章</w:t>
      </w:r>
      <w:r>
        <w:rPr>
          <w:rFonts w:hint="eastAsia" w:ascii="仿宋" w:hAnsi="仿宋" w:eastAsia="仿宋" w:cs="仿宋"/>
          <w:b/>
          <w:bCs/>
          <w:color w:val="000000"/>
          <w:sz w:val="22"/>
          <w:szCs w:val="22"/>
          <w:highlight w:val="none"/>
          <w:lang w:val="en-US" w:eastAsia="zh-CN"/>
        </w:rPr>
        <w:t xml:space="preserve">项目需求</w:t>
      </w:r>
      <w:r>
        <w:rPr>
          <w:rFonts w:hint="eastAsia" w:ascii="仿宋" w:hAnsi="仿宋" w:eastAsia="仿宋" w:cs="仿宋"/>
          <w:b/>
          <w:bCs/>
          <w:color w:val="000000"/>
          <w:sz w:val="22"/>
          <w:szCs w:val="22"/>
          <w:highlight w:val="none"/>
        </w:rPr>
        <w:t xml:space="preserve">进行响应。</w:t>
      </w:r>
      <w:r>
        <w:rPr>
          <w:rFonts w:ascii="仿宋" w:hAnsi="仿宋" w:eastAsia="仿宋" w:cs="仿宋"/>
          <w:b/>
          <w:bCs/>
          <w:color w:val="000000"/>
          <w:sz w:val="22"/>
          <w:szCs w:val="22"/>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72" w:name="_Toc31345"/>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六</w:t>
      </w:r>
      <w:r>
        <w:rPr>
          <w:rFonts w:hint="eastAsia" w:ascii="仿宋" w:hAnsi="仿宋" w:eastAsia="仿宋" w:cs="仿宋"/>
          <w:iCs/>
          <w:color w:val="000000"/>
          <w:sz w:val="32"/>
          <w:szCs w:val="32"/>
          <w:highlight w:val="none"/>
        </w:rPr>
        <w:t xml:space="preserve">、</w:t>
      </w:r>
      <w:bookmarkEnd w:id="208"/>
      <w:r/>
      <w:bookmarkEnd w:id="209"/>
      <w:r/>
      <w:bookmarkEnd w:id="271"/>
      <w:r>
        <w:rPr>
          <w:rFonts w:hint="eastAsia" w:ascii="仿宋" w:hAnsi="仿宋" w:eastAsia="仿宋" w:cs="仿宋"/>
          <w:iCs/>
          <w:color w:val="000000"/>
          <w:sz w:val="32"/>
          <w:szCs w:val="32"/>
          <w:highlight w:val="none"/>
        </w:rPr>
        <w:t xml:space="preserve">其他证明文件</w:t>
      </w:r>
      <w:bookmarkEnd w:id="272"/>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rPr>
          <w:rFonts w:hint="eastAsia" w:ascii="仿宋" w:hAnsi="仿宋" w:eastAsia="仿宋" w:cs="仿宋"/>
          <w:color w:val="000000"/>
          <w:sz w:val="24"/>
          <w:szCs w:val="24"/>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rPr>
          <w:rFonts w:hint="eastAsia" w:ascii="仿宋" w:hAnsi="仿宋" w:eastAsia="仿宋" w:cs="仿宋"/>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在本项目中担任的职务</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岗位职称</w:t>
            </w:r>
            <w:r>
              <w:rPr>
                <w:rFonts w:hint="eastAsia" w:ascii="仿宋" w:hAnsi="仿宋" w:eastAsia="仿宋" w:cs="仿宋"/>
                <w:color w:val="000000"/>
                <w:sz w:val="24"/>
                <w:szCs w:val="24"/>
                <w:highlight w:val="none"/>
              </w:rPr>
            </w:r>
            <w:r/>
          </w:p>
        </w:tc>
        <w:tc>
          <w:tcPr>
            <w:tcW w:w="934"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主要资历、经验</w:t>
            </w: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rPr>
          <w:rFonts w:hint="eastAsia" w:ascii="仿宋" w:hAnsi="仿宋" w:eastAsia="仿宋" w:cs="仿宋"/>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rPr>
                <w:rFonts w:hint="eastAsia" w:ascii="仿宋" w:hAnsi="仿宋" w:eastAsia="仿宋" w:cs="仿宋"/>
                <w:color w:val="000000"/>
                <w:sz w:val="24"/>
                <w:szCs w:val="24"/>
                <w:highlight w:val="none"/>
              </w:rPr>
            </w:r>
            <w:r/>
          </w:p>
        </w:tc>
      </w:tr>
      <w:tr>
        <w:trPr>
          <w:trHeight w:val="530"/>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234"/>
        <w:ind w:firstLine="442"/>
        <w:jc w:val="both"/>
        <w:spacing w:before="0" w:after="100"/>
        <w:rPr>
          <w:rFonts w:ascii="宋体" w:cs="宋体"/>
          <w:color w:val="000000"/>
          <w:highlight w:val="none"/>
        </w:rPr>
      </w:pPr>
      <w:r>
        <w:rPr>
          <w:rFonts w:hint="eastAsia"/>
          <w:color w:val="000000"/>
          <w:highlight w:val="none"/>
        </w:rPr>
        <w:br w:type="page" w:clear="all"/>
      </w:r>
      <w:bookmarkStart w:id="273" w:name="_Toc12325"/>
      <w:r/>
      <w:bookmarkStart w:id="274" w:name="_Toc4323"/>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七</w:t>
      </w:r>
      <w:r>
        <w:rPr>
          <w:rFonts w:hint="eastAsia" w:ascii="仿宋" w:hAnsi="仿宋" w:eastAsia="仿宋" w:cs="仿宋"/>
          <w:iCs/>
          <w:color w:val="000000"/>
          <w:sz w:val="32"/>
          <w:szCs w:val="32"/>
          <w:highlight w:val="none"/>
        </w:rPr>
        <w:t xml:space="preserve">、其他需填写内容</w:t>
      </w:r>
      <w:bookmarkEnd w:id="273"/>
      <w:r/>
      <w:bookmarkEnd w:id="274"/>
      <w:r>
        <w:rPr>
          <w:rFonts w:ascii="宋体" w:cs="宋体"/>
          <w:color w:val="000000"/>
          <w:highlight w:val="none"/>
        </w:rPr>
      </w:r>
      <w:r/>
    </w:p>
    <w:p>
      <w:pPr>
        <w:pStyle w:val="1133"/>
        <w:ind w:left="420"/>
        <w:jc w:val="left"/>
        <w:spacing w:before="11" w:line="420" w:lineRule="auto"/>
        <w:rPr>
          <w:rFonts w:ascii="仿宋" w:hAnsi="仿宋" w:eastAsia="仿宋" w:cs="仿宋"/>
          <w:b/>
          <w:bCs/>
          <w:i/>
          <w:iCs/>
          <w:color w:val="000000"/>
          <w:sz w:val="24"/>
          <w:szCs w:val="24"/>
          <w:highlight w:val="none"/>
          <w:u w:val="single"/>
        </w:rPr>
      </w:pPr>
      <w:r>
        <w:rPr>
          <w:rFonts w:hint="eastAsia" w:ascii="仿宋" w:hAnsi="仿宋" w:eastAsia="仿宋" w:cs="仿宋"/>
          <w:b/>
          <w:bCs/>
          <w:i/>
          <w:iCs/>
          <w:color w:val="000000"/>
          <w:sz w:val="24"/>
          <w:szCs w:val="24"/>
          <w:highlight w:val="none"/>
          <w:u w:val="single"/>
        </w:rPr>
        <w:t xml:space="preserve">请把贵公司在项目结束以后，按以下格式（word）发送至负责人邮箱（1530126587@qq.com），谢谢合作。开票信息填好以后请务必核实，我司概不二次开票。（一律默认为增值税普票，如有其他要求务必备注。）</w:t>
      </w:r>
      <w:r>
        <w:rPr>
          <w:rFonts w:ascii="仿宋" w:hAnsi="仿宋" w:eastAsia="仿宋" w:cs="仿宋"/>
          <w:b/>
          <w:bCs/>
          <w:i/>
          <w:iCs/>
          <w:color w:val="000000"/>
          <w:sz w:val="24"/>
          <w:szCs w:val="24"/>
          <w:highlight w:val="none"/>
          <w:u w:val="single"/>
        </w:rPr>
      </w:r>
      <w:r/>
    </w:p>
    <w:p>
      <w:pPr>
        <w:pStyle w:val="1133"/>
        <w:ind w:left="420"/>
        <w:spacing w:line="42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开票格式为：代理服务费*中标服务费，如有其他要求请备注。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公司名称：</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税号：</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地址及电话：</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w:t>
      </w:r>
      <w:r>
        <w:rPr>
          <w:rFonts w:hint="eastAsia" w:ascii="仿宋" w:hAnsi="仿宋" w:eastAsia="仿宋" w:cs="仿宋"/>
          <w:color w:val="000000"/>
          <w:sz w:val="24"/>
          <w:szCs w:val="24"/>
          <w:highlight w:val="none"/>
          <w:lang w:eastAsia="zh-CN"/>
        </w:rPr>
        <w:t xml:space="preserve">及账号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代理服务费*中标服务费：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供应商于成交公告发布后填写此项内容，无须放在响应文件中，未中标的供应商无须填写。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开具电子普通发票：（手机号+邮箱号，请使用QQ邮箱，以防接收不到发票）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ascii="仿宋" w:hAnsi="仿宋" w:eastAsia="仿宋" w:cs="仿宋"/>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2"/>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33"/>
    <w:next w:val="1133"/>
    <w:link w:val="1146"/>
    <w:qFormat/>
    <w:pPr>
      <w:jc w:val="center"/>
      <w:keepNext/>
      <w:outlineLvl w:val="0"/>
    </w:pPr>
    <w:rPr>
      <w:rFonts w:ascii="楷体_GB2312" w:eastAsia="楷体_GB2312"/>
      <w:sz w:val="28"/>
      <w:szCs w:val="28"/>
    </w:rPr>
  </w:style>
  <w:style w:type="paragraph" w:styleId="1135">
    <w:name w:val="标题 2"/>
    <w:basedOn w:val="1133"/>
    <w:next w:val="1133"/>
    <w:link w:val="1147"/>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8"/>
    <w:link w:val="1133"/>
    <w:qFormat/>
    <w:pPr>
      <w:keepLines/>
      <w:keepNext/>
      <w:spacing w:before="260" w:after="260" w:line="416" w:lineRule="auto"/>
      <w:outlineLvl w:val="2"/>
    </w:pPr>
    <w:rPr>
      <w:b/>
      <w:bCs/>
      <w:sz w:val="32"/>
      <w:szCs w:val="32"/>
    </w:rPr>
  </w:style>
  <w:style w:type="paragraph" w:styleId="1137">
    <w:name w:val="标题 4"/>
    <w:basedOn w:val="1133"/>
    <w:next w:val="1133"/>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8"/>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索引 41"/>
    <w:basedOn w:val="1133"/>
    <w:next w:val="1133"/>
    <w:link w:val="1133"/>
    <w:unhideWhenUsed/>
    <w:qFormat/>
    <w:pPr>
      <w:ind w:left="600"/>
    </w:pPr>
  </w:style>
  <w:style w:type="character" w:styleId="1146">
    <w:name w:val="标题 1 Char"/>
    <w:next w:val="1146"/>
    <w:link w:val="1134"/>
    <w:rPr>
      <w:rFonts w:ascii="楷体_GB2312" w:eastAsia="楷体_GB2312"/>
      <w:sz w:val="28"/>
      <w:szCs w:val="28"/>
    </w:rPr>
  </w:style>
  <w:style w:type="character" w:styleId="1147">
    <w:name w:val="标题 2 Char"/>
    <w:next w:val="1147"/>
    <w:link w:val="1135"/>
    <w:rPr>
      <w:rFonts w:ascii="Arial" w:hAnsi="Arial" w:eastAsia="幼圆" w:cs="Arial"/>
      <w:b/>
      <w:bCs/>
      <w:sz w:val="44"/>
      <w:szCs w:val="44"/>
    </w:rPr>
  </w:style>
  <w:style w:type="paragraph" w:styleId="1148">
    <w:name w:val="正文缩进"/>
    <w:basedOn w:val="1133"/>
    <w:next w:val="1148"/>
    <w:link w:val="1149"/>
    <w:pPr>
      <w:ind w:firstLine="420"/>
    </w:pPr>
  </w:style>
  <w:style w:type="character" w:styleId="1149">
    <w:name w:val="正文缩进 Char"/>
    <w:next w:val="1149"/>
    <w:link w:val="1148"/>
    <w:rPr>
      <w:sz w:val="21"/>
      <w:szCs w:val="21"/>
    </w:rPr>
  </w:style>
  <w:style w:type="paragraph" w:styleId="1150">
    <w:name w:val="列表 3"/>
    <w:basedOn w:val="1133"/>
    <w:next w:val="1150"/>
    <w:link w:val="1133"/>
    <w:pPr>
      <w:ind w:left="100" w:hanging="200"/>
    </w:pPr>
  </w:style>
  <w:style w:type="paragraph" w:styleId="1151">
    <w:name w:val="目录 7"/>
    <w:basedOn w:val="1133"/>
    <w:next w:val="1133"/>
    <w:link w:val="1133"/>
    <w:semiHidden/>
    <w:pPr>
      <w:ind w:left="1260"/>
      <w:jc w:val="left"/>
    </w:pPr>
  </w:style>
  <w:style w:type="paragraph" w:styleId="1152">
    <w:name w:val="文档结构图"/>
    <w:basedOn w:val="1133"/>
    <w:next w:val="1152"/>
    <w:link w:val="1133"/>
    <w:semiHidden/>
    <w:pPr>
      <w:shd w:val="clear" w:color="auto" w:fill="000080"/>
    </w:pPr>
  </w:style>
  <w:style w:type="paragraph" w:styleId="1153">
    <w:name w:val="批注文字"/>
    <w:basedOn w:val="1133"/>
    <w:next w:val="1153"/>
    <w:link w:val="1133"/>
    <w:semiHidden/>
    <w:pPr>
      <w:jc w:val="left"/>
    </w:pPr>
  </w:style>
  <w:style w:type="paragraph" w:styleId="1154">
    <w:name w:val="正文文本 3"/>
    <w:basedOn w:val="1133"/>
    <w:next w:val="1154"/>
    <w:link w:val="1133"/>
    <w:rPr>
      <w:rFonts w:ascii="仿宋_GB2312" w:hAnsi="Arial" w:eastAsia="仿宋_GB2312"/>
      <w:sz w:val="32"/>
      <w:szCs w:val="32"/>
    </w:rPr>
  </w:style>
  <w:style w:type="paragraph" w:styleId="1155">
    <w:name w:val="正文文本"/>
    <w:basedOn w:val="1133"/>
    <w:next w:val="1155"/>
    <w:link w:val="1156"/>
    <w:rPr>
      <w:rFonts w:ascii="楷体_GB2312" w:hAnsi="Arial" w:eastAsia="楷体_GB2312"/>
      <w:sz w:val="28"/>
      <w:szCs w:val="28"/>
    </w:rPr>
  </w:style>
  <w:style w:type="character" w:styleId="1156">
    <w:name w:val="正文文本 Char"/>
    <w:next w:val="1156"/>
    <w:link w:val="1155"/>
    <w:uiPriority w:val="99"/>
    <w:unhideWhenUsed/>
    <w:rPr>
      <w:rFonts w:cs="Times New Roman"/>
      <w:sz w:val="21"/>
      <w:szCs w:val="21"/>
    </w:rPr>
  </w:style>
  <w:style w:type="paragraph" w:styleId="1157">
    <w:name w:val="正文文本缩进"/>
    <w:basedOn w:val="1133"/>
    <w:next w:val="1157"/>
    <w:link w:val="1133"/>
    <w:pPr>
      <w:ind w:firstLine="645"/>
    </w:pPr>
    <w:rPr>
      <w:rFonts w:ascii="楷体_GB2312" w:eastAsia="楷体_GB2312"/>
      <w:sz w:val="32"/>
      <w:szCs w:val="32"/>
    </w:rPr>
  </w:style>
  <w:style w:type="paragraph" w:styleId="1158">
    <w:name w:val="列表 2"/>
    <w:basedOn w:val="1133"/>
    <w:next w:val="1158"/>
    <w:link w:val="1133"/>
    <w:pPr>
      <w:ind w:left="100" w:hanging="200"/>
    </w:pPr>
  </w:style>
  <w:style w:type="paragraph" w:styleId="1159">
    <w:name w:val="索引 4"/>
    <w:basedOn w:val="1133"/>
    <w:next w:val="1133"/>
    <w:link w:val="1133"/>
    <w:uiPriority w:val="99"/>
    <w:unhideWhenUsed/>
    <w:qFormat/>
    <w:pPr>
      <w:ind w:left="600"/>
    </w:pPr>
  </w:style>
  <w:style w:type="paragraph" w:styleId="1160">
    <w:name w:val="目录 5"/>
    <w:basedOn w:val="1133"/>
    <w:next w:val="1133"/>
    <w:link w:val="1133"/>
    <w:semiHidden/>
    <w:pPr>
      <w:ind w:left="840"/>
      <w:jc w:val="left"/>
    </w:pPr>
  </w:style>
  <w:style w:type="paragraph" w:styleId="1161">
    <w:name w:val="目录 3"/>
    <w:basedOn w:val="1133"/>
    <w:next w:val="1133"/>
    <w:link w:val="1133"/>
    <w:semiHidden/>
    <w:pPr>
      <w:ind w:left="420"/>
      <w:jc w:val="left"/>
    </w:pPr>
    <w:rPr>
      <w:i/>
      <w:iCs/>
      <w:szCs w:val="24"/>
    </w:rPr>
  </w:style>
  <w:style w:type="paragraph" w:styleId="1162">
    <w:name w:val="纯文本"/>
    <w:basedOn w:val="1133"/>
    <w:next w:val="1133"/>
    <w:link w:val="1133"/>
    <w:rPr>
      <w:rFonts w:ascii="宋体" w:hAnsi="Courier New" w:cs="Courier New"/>
    </w:rPr>
  </w:style>
  <w:style w:type="paragraph" w:styleId="1163">
    <w:name w:val="目录 8"/>
    <w:basedOn w:val="1133"/>
    <w:next w:val="1133"/>
    <w:link w:val="1133"/>
    <w:semiHidden/>
    <w:pPr>
      <w:ind w:left="1470"/>
      <w:jc w:val="left"/>
    </w:pPr>
  </w:style>
  <w:style w:type="paragraph" w:styleId="1164">
    <w:name w:val="日期"/>
    <w:basedOn w:val="1133"/>
    <w:next w:val="1133"/>
    <w:link w:val="1133"/>
    <w:rPr>
      <w:sz w:val="24"/>
      <w:szCs w:val="24"/>
    </w:rPr>
  </w:style>
  <w:style w:type="paragraph" w:styleId="1165">
    <w:name w:val="正文文本缩进 2"/>
    <w:basedOn w:val="1133"/>
    <w:next w:val="1165"/>
    <w:link w:val="1133"/>
    <w:pPr>
      <w:ind w:left="630" w:firstLine="645"/>
    </w:pPr>
    <w:rPr>
      <w:rFonts w:ascii="Arial" w:hAnsi="Arial" w:eastAsia="仿宋_GB2312" w:cs="Arial"/>
      <w:sz w:val="32"/>
      <w:szCs w:val="32"/>
    </w:rPr>
  </w:style>
  <w:style w:type="paragraph" w:styleId="1166">
    <w:name w:val="批注框文本"/>
    <w:basedOn w:val="1133"/>
    <w:next w:val="1166"/>
    <w:link w:val="1133"/>
    <w:semiHidden/>
    <w:rPr>
      <w:sz w:val="18"/>
      <w:szCs w:val="18"/>
    </w:rPr>
  </w:style>
  <w:style w:type="paragraph" w:styleId="1167">
    <w:name w:val="页脚"/>
    <w:basedOn w:val="1133"/>
    <w:next w:val="1167"/>
    <w:link w:val="1133"/>
    <w:pPr>
      <w:jc w:val="left"/>
      <w:tabs>
        <w:tab w:val="center" w:pos="4153" w:leader="none"/>
        <w:tab w:val="right" w:pos="8306" w:leader="none"/>
      </w:tabs>
    </w:pPr>
    <w:rPr>
      <w:sz w:val="18"/>
      <w:szCs w:val="18"/>
    </w:rPr>
  </w:style>
  <w:style w:type="paragraph" w:styleId="1168">
    <w:name w:val="页眉"/>
    <w:basedOn w:val="1133"/>
    <w:next w:val="1168"/>
    <w:link w:val="1133"/>
    <w:pPr>
      <w:jc w:val="center"/>
      <w:tabs>
        <w:tab w:val="center" w:pos="4153" w:leader="none"/>
        <w:tab w:val="right" w:pos="8306" w:leader="none"/>
      </w:tabs>
      <w:pBdr>
        <w:bottom w:val="single" w:color="000000" w:sz="6" w:space="1"/>
      </w:pBdr>
    </w:pPr>
    <w:rPr>
      <w:sz w:val="18"/>
      <w:szCs w:val="18"/>
    </w:rPr>
  </w:style>
  <w:style w:type="paragraph" w:styleId="1169">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0">
    <w:name w:val="目录 4"/>
    <w:basedOn w:val="1133"/>
    <w:next w:val="1133"/>
    <w:link w:val="1133"/>
    <w:semiHidden/>
    <w:pPr>
      <w:ind w:left="630"/>
      <w:jc w:val="left"/>
    </w:pPr>
  </w:style>
  <w:style w:type="paragraph" w:styleId="1171">
    <w:name w:val="列表"/>
    <w:basedOn w:val="1133"/>
    <w:next w:val="1171"/>
    <w:link w:val="1133"/>
    <w:pPr>
      <w:ind w:left="200" w:hanging="200"/>
    </w:pPr>
  </w:style>
  <w:style w:type="paragraph" w:styleId="1172">
    <w:name w:val="目录 6"/>
    <w:basedOn w:val="1133"/>
    <w:next w:val="1133"/>
    <w:link w:val="1133"/>
    <w:semiHidden/>
    <w:pPr>
      <w:ind w:left="1050"/>
      <w:jc w:val="left"/>
    </w:pPr>
  </w:style>
  <w:style w:type="paragraph" w:styleId="1173">
    <w:name w:val="正文文本缩进 3"/>
    <w:basedOn w:val="1133"/>
    <w:next w:val="1173"/>
    <w:link w:val="1133"/>
    <w:pPr>
      <w:ind w:left="645" w:firstLine="645"/>
    </w:pPr>
    <w:rPr>
      <w:rFonts w:ascii="Arial" w:hAnsi="Arial" w:eastAsia="仿宋_GB2312" w:cs="Arial"/>
      <w:color w:val="ffff00"/>
      <w:sz w:val="32"/>
      <w:szCs w:val="32"/>
    </w:rPr>
  </w:style>
  <w:style w:type="paragraph" w:styleId="1174">
    <w:name w:val="图表目录"/>
    <w:basedOn w:val="1133"/>
    <w:next w:val="1133"/>
    <w:link w:val="1133"/>
    <w:semiHidden/>
    <w:pPr>
      <w:ind w:left="840" w:hanging="420"/>
    </w:pPr>
  </w:style>
  <w:style w:type="paragraph" w:styleId="1175">
    <w:name w:val="目录 2"/>
    <w:basedOn w:val="1133"/>
    <w:next w:val="1133"/>
    <w:link w:val="1133"/>
    <w:semiHidden/>
    <w:pPr>
      <w:ind w:left="210"/>
      <w:jc w:val="left"/>
    </w:pPr>
    <w:rPr>
      <w:smallCaps/>
      <w:szCs w:val="24"/>
    </w:rPr>
  </w:style>
  <w:style w:type="paragraph" w:styleId="1176">
    <w:name w:val="目录 9"/>
    <w:basedOn w:val="1133"/>
    <w:next w:val="1133"/>
    <w:link w:val="1133"/>
    <w:semiHidden/>
    <w:pPr>
      <w:ind w:left="1680"/>
      <w:jc w:val="left"/>
    </w:pPr>
  </w:style>
  <w:style w:type="paragraph" w:styleId="1177">
    <w:name w:val="正文文本 2"/>
    <w:basedOn w:val="1133"/>
    <w:next w:val="1177"/>
    <w:link w:val="1133"/>
    <w:pPr>
      <w:jc w:val="center"/>
      <w:widowControl/>
    </w:pPr>
    <w:rPr>
      <w:rFonts w:ascii="楷体_GB2312" w:eastAsia="楷体_GB2312"/>
      <w:sz w:val="28"/>
      <w:szCs w:val="28"/>
    </w:rPr>
  </w:style>
  <w:style w:type="paragraph" w:styleId="1178">
    <w:name w:val="普通(网站)"/>
    <w:basedOn w:val="1133"/>
    <w:next w:val="1178"/>
    <w:link w:val="1133"/>
    <w:uiPriority w:val="99"/>
    <w:pPr>
      <w:jc w:val="left"/>
      <w:spacing w:before="100" w:beforeAutospacing="1" w:after="100" w:afterAutospacing="1"/>
      <w:widowControl/>
    </w:pPr>
    <w:rPr>
      <w:rFonts w:ascii="宋体" w:hAnsi="宋体" w:cs="宋体"/>
      <w:sz w:val="24"/>
      <w:szCs w:val="24"/>
    </w:rPr>
  </w:style>
  <w:style w:type="paragraph" w:styleId="1179">
    <w:name w:val="索引 1"/>
    <w:basedOn w:val="1133"/>
    <w:next w:val="1133"/>
    <w:link w:val="1133"/>
    <w:semiHidden/>
    <w:pPr>
      <w:spacing w:line="240" w:lineRule="atLeast"/>
    </w:pPr>
    <w:rPr>
      <w:b/>
      <w:bCs/>
    </w:rPr>
  </w:style>
  <w:style w:type="paragraph" w:styleId="1180">
    <w:name w:val="批注主题"/>
    <w:basedOn w:val="1153"/>
    <w:next w:val="1153"/>
    <w:link w:val="1133"/>
    <w:semiHidden/>
    <w:rPr>
      <w:b/>
      <w:bCs/>
    </w:rPr>
  </w:style>
  <w:style w:type="paragraph" w:styleId="1181">
    <w:name w:val="正文首行缩进"/>
    <w:basedOn w:val="1155"/>
    <w:next w:val="1181"/>
    <w:link w:val="1133"/>
    <w:pPr>
      <w:ind w:firstLine="200"/>
      <w:spacing w:line="360" w:lineRule="auto"/>
    </w:pPr>
    <w:rPr>
      <w:rFonts w:ascii="仿宋_GB2312" w:eastAsia="仿宋_GB2312"/>
      <w:sz w:val="30"/>
      <w:szCs w:val="30"/>
    </w:rPr>
  </w:style>
  <w:style w:type="paragraph" w:styleId="1182">
    <w:name w:val="正文首行缩进 2"/>
    <w:basedOn w:val="1157"/>
    <w:next w:val="1182"/>
    <w:link w:val="1133"/>
    <w:pPr>
      <w:ind w:firstLine="420"/>
      <w:spacing w:line="360" w:lineRule="auto"/>
    </w:pPr>
    <w:rPr>
      <w:rFonts w:ascii="宋体" w:hAnsi="宋体" w:eastAsia="宋体"/>
      <w:sz w:val="21"/>
      <w:szCs w:val="20"/>
    </w:rPr>
  </w:style>
  <w:style w:type="table" w:styleId="1183">
    <w:name w:val="网格型"/>
    <w:basedOn w:val="1144"/>
    <w:next w:val="1183"/>
    <w:link w:val="1133"/>
    <w:pPr>
      <w:jc w:val="both"/>
      <w:widowControl w:val="off"/>
    </w:pPr>
    <w:tblPr/>
  </w:style>
  <w:style w:type="character" w:styleId="1184">
    <w:name w:val="要点"/>
    <w:next w:val="1184"/>
    <w:link w:val="1133"/>
    <w:qFormat/>
    <w:rPr>
      <w:b/>
      <w:bCs/>
    </w:rPr>
  </w:style>
  <w:style w:type="character" w:styleId="1185">
    <w:name w:val="页码"/>
    <w:next w:val="1185"/>
    <w:link w:val="1133"/>
  </w:style>
  <w:style w:type="character" w:styleId="1186">
    <w:name w:val="已访问的超链接"/>
    <w:next w:val="1186"/>
    <w:link w:val="1133"/>
    <w:rPr>
      <w:color w:val="800080"/>
      <w:u w:val="single"/>
    </w:rPr>
  </w:style>
  <w:style w:type="character" w:styleId="1187">
    <w:name w:val="超链接"/>
    <w:next w:val="1187"/>
    <w:link w:val="1133"/>
    <w:rPr>
      <w:color w:val="0000ff"/>
      <w:u w:val="single"/>
    </w:rPr>
  </w:style>
  <w:style w:type="character" w:styleId="1188">
    <w:name w:val="批注引用"/>
    <w:next w:val="1188"/>
    <w:link w:val="1133"/>
    <w:semiHidden/>
    <w:rPr>
      <w:sz w:val="21"/>
      <w:szCs w:val="21"/>
    </w:rPr>
  </w:style>
  <w:style w:type="character" w:styleId="1189">
    <w:name w:val="默认段落字体11"/>
    <w:next w:val="1189"/>
    <w:link w:val="1133"/>
    <w:uiPriority w:val="1"/>
    <w:unhideWhenUsed/>
    <w:qFormat/>
    <w:rPr>
      <w:sz w:val="21"/>
      <w:szCs w:val="21"/>
      <w:lang w:val="en-US" w:eastAsia="zh-CN" w:bidi="ar-SA"/>
    </w:rPr>
  </w:style>
  <w:style w:type="character" w:styleId="1190">
    <w:name w:val="font5 Char"/>
    <w:next w:val="1190"/>
    <w:link w:val="1133"/>
    <w:rPr>
      <w:rFonts w:ascii="宋体" w:hAnsi="宋体" w:eastAsia="宋体"/>
      <w:sz w:val="28"/>
      <w:szCs w:val="28"/>
      <w:lang w:val="en-US" w:eastAsia="zh-CN" w:bidi="ar-SA"/>
    </w:rPr>
  </w:style>
  <w:style w:type="character" w:styleId="1191">
    <w:name w:val="二级目录 Char"/>
    <w:next w:val="1191"/>
    <w:link w:val="1192"/>
    <w:rPr>
      <w:b/>
      <w:sz w:val="30"/>
      <w:szCs w:val="28"/>
      <w:lang w:val="en-US" w:eastAsia="zh-CN" w:bidi="ar-SA"/>
    </w:rPr>
  </w:style>
  <w:style w:type="paragraph" w:styleId="1192">
    <w:name w:val="二级目录"/>
    <w:next w:val="1133"/>
    <w:link w:val="1191"/>
    <w:pPr>
      <w:numPr>
        <w:ilvl w:val="0"/>
        <w:numId w:val="2"/>
      </w:numPr>
      <w:tabs>
        <w:tab w:val="left" w:pos="907" w:leader="none"/>
        <w:tab w:val="left" w:pos="1145" w:leader="none"/>
      </w:tabs>
      <w:outlineLvl w:val="1"/>
    </w:pPr>
    <w:rPr>
      <w:b/>
      <w:sz w:val="30"/>
      <w:szCs w:val="28"/>
      <w:lang w:val="en-US" w:eastAsia="zh-CN" w:bidi="ar-SA"/>
    </w:rPr>
  </w:style>
  <w:style w:type="character" w:styleId="1193">
    <w:name w:val="列出段落 Char,Bullet List Char,numbered Char,FooterText Char,List Paragraph1 Char,Paragraphe de liste1 Char"/>
    <w:next w:val="1193"/>
    <w:link w:val="1194"/>
    <w:rPr>
      <w:rFonts w:ascii="Calibri" w:hAnsi="Calibri"/>
      <w:sz w:val="24"/>
      <w:szCs w:val="24"/>
      <w:lang w:eastAsia="en-US" w:bidi="en-US"/>
    </w:rPr>
  </w:style>
  <w:style w:type="paragraph" w:styleId="1194">
    <w:name w:val="列出段落1"/>
    <w:basedOn w:val="1133"/>
    <w:next w:val="1194"/>
    <w:link w:val="1193"/>
    <w:qFormat/>
    <w:pPr>
      <w:contextualSpacing/>
      <w:ind w:left="720"/>
      <w:jc w:val="left"/>
      <w:widowControl/>
    </w:pPr>
    <w:rPr>
      <w:rFonts w:ascii="Calibri" w:hAnsi="Calibri"/>
      <w:sz w:val="24"/>
      <w:szCs w:val="24"/>
      <w:lang w:eastAsia="en-US" w:bidi="en-US"/>
    </w:rPr>
  </w:style>
  <w:style w:type="paragraph" w:styleId="1195">
    <w:name w:val="Body Text(ch)"/>
    <w:basedOn w:val="1133"/>
    <w:next w:val="1155"/>
    <w:link w:val="1133"/>
    <w:pPr>
      <w:spacing w:after="120"/>
    </w:pPr>
    <w:rPr>
      <w:rFonts w:ascii="宋体" w:hAnsi="Arial"/>
      <w:bCs/>
      <w:iCs/>
      <w:szCs w:val="24"/>
    </w:rPr>
  </w:style>
  <w:style w:type="paragraph" w:styleId="1196">
    <w:name w:val="xl27"/>
    <w:basedOn w:val="1133"/>
    <w:next w:val="1196"/>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xl26"/>
    <w:basedOn w:val="1133"/>
    <w:next w:val="1197"/>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name w:val="Char"/>
    <w:basedOn w:val="1133"/>
    <w:next w:val="1198"/>
    <w:link w:val="1133"/>
    <w:pPr>
      <w:ind w:firstLine="200"/>
      <w:tabs>
        <w:tab w:val="left" w:pos="360" w:leader="none"/>
      </w:tabs>
    </w:pPr>
    <w:rPr>
      <w:sz w:val="28"/>
      <w:szCs w:val="30"/>
    </w:rPr>
  </w:style>
  <w:style w:type="paragraph" w:styleId="1199">
    <w:name w:val=" Char"/>
    <w:basedOn w:val="1152"/>
    <w:next w:val="1199"/>
    <w:link w:val="1133"/>
    <w:rPr>
      <w:rFonts w:ascii="Tahoma" w:hAnsi="Tahoma"/>
      <w:sz w:val="24"/>
      <w:szCs w:val="24"/>
    </w:rPr>
  </w:style>
  <w:style w:type="paragraph" w:styleId="1200">
    <w:name w:val="普通正文"/>
    <w:basedOn w:val="1133"/>
    <w:next w:val="1200"/>
    <w:link w:val="1133"/>
    <w:pPr>
      <w:ind w:firstLine="480"/>
      <w:jc w:val="left"/>
      <w:spacing w:before="120" w:after="120" w:line="360" w:lineRule="auto"/>
    </w:pPr>
    <w:rPr>
      <w:rFonts w:ascii="Arial" w:hAnsi="Arial"/>
      <w:sz w:val="24"/>
      <w:szCs w:val="24"/>
    </w:rPr>
  </w:style>
  <w:style w:type="paragraph" w:styleId="1201">
    <w:name w:val="table_lines"/>
    <w:basedOn w:val="1133"/>
    <w:next w:val="1201"/>
    <w:link w:val="1133"/>
    <w:pPr>
      <w:jc w:val="left"/>
      <w:widowControl/>
    </w:pPr>
    <w:rPr>
      <w:sz w:val="20"/>
      <w:szCs w:val="20"/>
      <w:lang w:val="de-DE" w:eastAsia="de-DE"/>
    </w:rPr>
  </w:style>
  <w:style w:type="paragraph" w:styleId="1202">
    <w:name w:val="附录1"/>
    <w:next w:val="1202"/>
    <w:link w:val="1133"/>
    <w:pPr>
      <w:numPr>
        <w:ilvl w:val="0"/>
        <w:numId w:val="2"/>
      </w:numPr>
      <w:spacing w:before="240" w:line="600" w:lineRule="atLeast"/>
      <w:tabs>
        <w:tab w:val="left" w:pos="907" w:leader="none"/>
      </w:tabs>
    </w:pPr>
    <w:rPr>
      <w:b/>
      <w:i/>
      <w:sz w:val="28"/>
      <w:lang w:val="en-US" w:eastAsia="zh-CN" w:bidi="ar-SA"/>
    </w:rPr>
  </w:style>
  <w:style w:type="paragraph" w:styleId="1203">
    <w:name w:val="font7"/>
    <w:basedOn w:val="1133"/>
    <w:next w:val="1203"/>
    <w:link w:val="1133"/>
    <w:pPr>
      <w:jc w:val="left"/>
      <w:spacing w:before="100" w:beforeAutospacing="1" w:after="100" w:afterAutospacing="1"/>
      <w:widowControl/>
    </w:pPr>
    <w:rPr>
      <w:rFonts w:hint="eastAsia" w:ascii="宋体" w:hAnsi="宋体"/>
      <w:sz w:val="18"/>
      <w:szCs w:val="18"/>
    </w:rPr>
  </w:style>
  <w:style w:type="paragraph" w:styleId="1204">
    <w:name w:val=" Char Char Char Char"/>
    <w:basedOn w:val="1152"/>
    <w:next w:val="1204"/>
    <w:link w:val="1133"/>
    <w:pPr>
      <w:spacing w:line="360" w:lineRule="auto"/>
    </w:pPr>
    <w:rPr>
      <w:rFonts w:ascii="Tahoma" w:hAnsi="Tahoma"/>
      <w:sz w:val="24"/>
      <w:szCs w:val="24"/>
    </w:rPr>
  </w:style>
  <w:style w:type="paragraph" w:styleId="1205">
    <w:name w:val="列出段落"/>
    <w:basedOn w:val="1133"/>
    <w:next w:val="1205"/>
    <w:link w:val="1133"/>
    <w:qFormat/>
    <w:pPr>
      <w:contextualSpacing/>
      <w:ind w:left="720"/>
      <w:jc w:val="left"/>
      <w:widowControl/>
    </w:pPr>
    <w:rPr>
      <w:rFonts w:ascii="Calibri" w:hAnsi="Calibri"/>
      <w:sz w:val="24"/>
      <w:szCs w:val="24"/>
      <w:lang w:eastAsia="en-US" w:bidi="en-US"/>
    </w:rPr>
  </w:style>
  <w:style w:type="paragraph" w:styleId="1206">
    <w:name w:val="4"/>
    <w:basedOn w:val="1133"/>
    <w:next w:val="1173"/>
    <w:link w:val="1133"/>
    <w:pPr>
      <w:ind w:firstLine="420"/>
      <w:spacing w:line="360" w:lineRule="auto"/>
    </w:pPr>
    <w:rPr>
      <w:color w:val="ff0000"/>
      <w:sz w:val="24"/>
      <w:szCs w:val="24"/>
    </w:rPr>
  </w:style>
  <w:style w:type="paragraph" w:styleId="1207">
    <w:name w:val="普通 (Web)"/>
    <w:basedOn w:val="1133"/>
    <w:next w:val="1207"/>
    <w:link w:val="1133"/>
    <w:pPr>
      <w:jc w:val="left"/>
      <w:spacing w:before="100" w:beforeAutospacing="1" w:after="100" w:afterAutospacing="1"/>
      <w:widowControl/>
    </w:pPr>
    <w:rPr>
      <w:rFonts w:ascii="宋体" w:hAnsi="宋体"/>
      <w:sz w:val="24"/>
      <w:szCs w:val="24"/>
    </w:rPr>
  </w:style>
  <w:style w:type="paragraph" w:styleId="1208">
    <w:name w:val=" Char Char Char Char Char Char Char Char Char Char"/>
    <w:basedOn w:val="1133"/>
    <w:next w:val="1208"/>
    <w:link w:val="1133"/>
    <w:pPr>
      <w:spacing w:line="360" w:lineRule="auto"/>
    </w:pPr>
    <w:rPr>
      <w:sz w:val="24"/>
      <w:szCs w:val="20"/>
    </w:rPr>
  </w:style>
  <w:style w:type="paragraph" w:styleId="1209">
    <w:name w:val="样式1"/>
    <w:basedOn w:val="1133"/>
    <w:next w:val="1209"/>
    <w:link w:val="1133"/>
    <w:pPr>
      <w:numPr>
        <w:ilvl w:val="0"/>
        <w:numId w:val="3"/>
      </w:numPr>
      <w:tabs>
        <w:tab w:val="left" w:pos="709" w:leader="none"/>
      </w:tabs>
    </w:pPr>
    <w:rPr>
      <w:rFonts w:ascii="宋体" w:hAnsi="宋体"/>
    </w:rPr>
  </w:style>
  <w:style w:type="paragraph" w:styleId="1210">
    <w:name w:val="font6"/>
    <w:basedOn w:val="1133"/>
    <w:next w:val="1210"/>
    <w:link w:val="1133"/>
    <w:pPr>
      <w:jc w:val="left"/>
      <w:spacing w:before="100" w:beforeAutospacing="1" w:after="100" w:afterAutospacing="1"/>
      <w:widowControl/>
    </w:pPr>
    <w:rPr>
      <w:rFonts w:hint="eastAsia" w:ascii="宋体" w:hAnsi="宋体"/>
      <w:sz w:val="28"/>
      <w:szCs w:val="28"/>
      <w:u w:val="single"/>
    </w:rPr>
  </w:style>
  <w:style w:type="paragraph" w:styleId="1211">
    <w:name w:val="xl25"/>
    <w:basedOn w:val="1133"/>
    <w:next w:val="1211"/>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2">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3">
    <w:name w:val="标题3"/>
    <w:basedOn w:val="1133"/>
    <w:next w:val="1133"/>
    <w:link w:val="1133"/>
    <w:pPr>
      <w:ind w:firstLine="624"/>
      <w:spacing w:line="590" w:lineRule="atLeast"/>
    </w:pPr>
    <w:rPr>
      <w:rFonts w:ascii="方正黑体_GBK" w:eastAsia="方正黑体_GBK"/>
      <w:sz w:val="32"/>
      <w:szCs w:val="32"/>
    </w:rPr>
  </w:style>
  <w:style w:type="paragraph" w:styleId="1214">
    <w:name w:val="xl24"/>
    <w:basedOn w:val="1133"/>
    <w:next w:val="1214"/>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name w:val="xl29"/>
    <w:basedOn w:val="1133"/>
    <w:next w:val="1215"/>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6">
    <w:name w:val="Char Char Char Char Char Char Char Char"/>
    <w:basedOn w:val="1133"/>
    <w:next w:val="1216"/>
    <w:link w:val="1133"/>
    <w:pPr>
      <w:jc w:val="left"/>
      <w:spacing w:after="160" w:line="240" w:lineRule="exact"/>
      <w:widowControl/>
    </w:pPr>
    <w:rPr>
      <w:rFonts w:ascii="Verdana" w:hAnsi="Verdana"/>
      <w:sz w:val="20"/>
      <w:szCs w:val="20"/>
      <w:lang w:eastAsia="en-US"/>
    </w:rPr>
  </w:style>
  <w:style w:type="paragraph" w:styleId="1217">
    <w:name w:val="xl28"/>
    <w:basedOn w:val="1133"/>
    <w:next w:val="1217"/>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name w:val=" Char Char Char Char Char Char Char Char"/>
    <w:basedOn w:val="1133"/>
    <w:next w:val="1218"/>
    <w:link w:val="1133"/>
    <w:pPr>
      <w:jc w:val="left"/>
      <w:spacing w:after="160" w:line="240" w:lineRule="exact"/>
      <w:widowControl/>
    </w:pPr>
    <w:rPr>
      <w:rFonts w:ascii="Verdana" w:hAnsi="Verdana"/>
      <w:sz w:val="20"/>
      <w:szCs w:val="20"/>
      <w:lang w:eastAsia="en-US"/>
    </w:rPr>
  </w:style>
  <w:style w:type="paragraph" w:styleId="1219">
    <w:name w:val="xl30"/>
    <w:basedOn w:val="1133"/>
    <w:next w:val="1219"/>
    <w:link w:val="1133"/>
    <w:pPr>
      <w:jc w:val="center"/>
      <w:spacing w:before="100" w:beforeAutospacing="1" w:after="100" w:afterAutospacing="1"/>
      <w:widowControl/>
    </w:pPr>
    <w:rPr>
      <w:rFonts w:ascii="宋体" w:hAnsi="宋体"/>
      <w:b/>
      <w:bCs/>
      <w:sz w:val="36"/>
      <w:szCs w:val="36"/>
    </w:rPr>
  </w:style>
  <w:style w:type="paragraph" w:styleId="1220">
    <w:name w:val="Char Char Char Char"/>
    <w:basedOn w:val="1152"/>
    <w:next w:val="1220"/>
    <w:link w:val="1133"/>
    <w:pPr>
      <w:spacing w:line="360" w:lineRule="auto"/>
    </w:pPr>
    <w:rPr>
      <w:rFonts w:ascii="Tahoma" w:hAnsi="Tahoma"/>
      <w:sz w:val="24"/>
      <w:szCs w:val="24"/>
    </w:rPr>
  </w:style>
  <w:style w:type="paragraph" w:styleId="1221">
    <w:name w:val="table_1stline"/>
    <w:basedOn w:val="1133"/>
    <w:next w:val="1221"/>
    <w:link w:val="1133"/>
    <w:pPr>
      <w:jc w:val="left"/>
      <w:spacing w:before="120"/>
      <w:widowControl/>
    </w:pPr>
    <w:rPr>
      <w:bCs/>
      <w:sz w:val="20"/>
      <w:szCs w:val="20"/>
      <w:lang w:val="de-DE" w:eastAsia="de-DE"/>
    </w:rPr>
  </w:style>
  <w:style w:type="paragraph" w:styleId="1222">
    <w:name w:val="font5"/>
    <w:basedOn w:val="1133"/>
    <w:next w:val="1222"/>
    <w:link w:val="1133"/>
    <w:pPr>
      <w:jc w:val="left"/>
      <w:spacing w:before="100" w:beforeAutospacing="1" w:after="100" w:afterAutospacing="1"/>
      <w:widowControl/>
    </w:pPr>
    <w:rPr>
      <w:rFonts w:hint="eastAsia" w:ascii="宋体" w:hAnsi="宋体"/>
      <w:sz w:val="28"/>
      <w:szCs w:val="28"/>
    </w:rPr>
  </w:style>
  <w:style w:type="paragraph" w:styleId="1223">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4">
    <w:name w:val="修订"/>
    <w:next w:val="1224"/>
    <w:link w:val="1133"/>
    <w:uiPriority w:val="99"/>
    <w:semiHidden/>
    <w:rPr>
      <w:sz w:val="21"/>
      <w:szCs w:val="21"/>
      <w:lang w:val="en-US" w:eastAsia="zh-CN" w:bidi="ar-SA"/>
    </w:rPr>
  </w:style>
  <w:style w:type="paragraph" w:styleId="1225">
    <w:name w:val="无间隔"/>
    <w:next w:val="1225"/>
    <w:link w:val="1133"/>
    <w:uiPriority w:val="99"/>
    <w:qFormat/>
    <w:pPr>
      <w:jc w:val="both"/>
      <w:widowControl w:val="off"/>
    </w:pPr>
    <w:rPr>
      <w:sz w:val="21"/>
      <w:szCs w:val="21"/>
      <w:lang w:val="en-US" w:eastAsia="zh-CN" w:bidi="ar-SA"/>
    </w:rPr>
  </w:style>
  <w:style w:type="paragraph" w:styleId="1226">
    <w:name w:val="项目需求正文文本"/>
    <w:basedOn w:val="1133"/>
    <w:next w:val="1226"/>
    <w:link w:val="1133"/>
    <w:qFormat/>
    <w:pPr>
      <w:ind w:firstLine="1682"/>
      <w:spacing w:line="360" w:lineRule="auto"/>
    </w:pPr>
    <w:rPr>
      <w:sz w:val="24"/>
      <w:szCs w:val="20"/>
    </w:rPr>
  </w:style>
  <w:style w:type="paragraph" w:styleId="1227">
    <w:name w:val="表格字体"/>
    <w:basedOn w:val="1133"/>
    <w:next w:val="1227"/>
    <w:link w:val="1133"/>
    <w:qFormat/>
    <w:pPr>
      <w:spacing w:line="360" w:lineRule="auto"/>
    </w:pPr>
  </w:style>
  <w:style w:type="paragraph" w:styleId="1228">
    <w:name w:val="H正文"/>
    <w:basedOn w:val="1133"/>
    <w:next w:val="1228"/>
    <w:link w:val="1133"/>
    <w:qFormat/>
    <w:pPr>
      <w:ind w:firstLine="200"/>
    </w:pPr>
    <w:rPr>
      <w:rFonts w:ascii="宋体"/>
      <w:sz w:val="24"/>
      <w:szCs w:val="20"/>
    </w:rPr>
  </w:style>
  <w:style w:type="paragraph" w:styleId="1229">
    <w:name w:val="WPSOffice手动目录 1"/>
    <w:next w:val="1229"/>
    <w:link w:val="1133"/>
    <w:rPr>
      <w:lang w:val="en-US" w:eastAsia="zh-CN" w:bidi="ar-SA"/>
    </w:rPr>
  </w:style>
  <w:style w:type="paragraph" w:styleId="1230">
    <w:name w:val="WPSOffice手动目录 2"/>
    <w:next w:val="1230"/>
    <w:link w:val="1133"/>
    <w:rPr>
      <w:lang w:val="en-US" w:eastAsia="zh-CN" w:bidi="ar-SA"/>
    </w:rPr>
  </w:style>
  <w:style w:type="paragraph" w:styleId="1231">
    <w:name w:val="首行缩进"/>
    <w:basedOn w:val="1133"/>
    <w:next w:val="1231"/>
    <w:link w:val="1133"/>
    <w:qFormat/>
    <w:pPr>
      <w:ind w:firstLine="420"/>
      <w:spacing w:line="360" w:lineRule="auto"/>
    </w:pPr>
    <w:rPr>
      <w:sz w:val="20"/>
    </w:rPr>
  </w:style>
  <w:style w:type="paragraph" w:styleId="1232">
    <w:name w:val="Table Text"/>
    <w:basedOn w:val="1133"/>
    <w:next w:val="1232"/>
    <w:link w:val="1133"/>
    <w:semiHidden/>
    <w:qFormat/>
    <w:rPr>
      <w:rFonts w:ascii="仿宋" w:hAnsi="仿宋" w:eastAsia="仿宋" w:cs="仿宋"/>
      <w:sz w:val="24"/>
      <w:szCs w:val="24"/>
      <w:lang w:val="en-US" w:eastAsia="en-US" w:bidi="ar-SA"/>
    </w:rPr>
  </w:style>
  <w:style w:type="table" w:styleId="1233">
    <w:name w:val="Table Normal"/>
    <w:next w:val="1233"/>
    <w:link w:val="1133"/>
    <w:unhideWhenUsed/>
    <w:qFormat/>
    <w:tblPr/>
  </w:style>
  <w:style w:type="paragraph" w:styleId="1234">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5">
    <w:name w:val="null3"/>
    <w:next w:val="1235"/>
    <w:link w:val="1133"/>
    <w:qFormat/>
    <w:rPr>
      <w:rFonts w:hint="eastAsia" w:ascii="Calibri" w:hAnsi="Calibri" w:eastAsia="宋体" w:cs="Times New Roman"/>
      <w:lang w:val="en-US" w:eastAsia="en-US"/>
    </w:rPr>
  </w:style>
  <w:style w:type="paragraph" w:styleId="1236">
    <w:name w:val="表格"/>
    <w:basedOn w:val="1133"/>
    <w:next w:val="1236"/>
    <w:link w:val="1133"/>
    <w:pPr>
      <w:spacing w:before="40" w:after="80" w:line="360" w:lineRule="exact"/>
      <w:tabs>
        <w:tab w:val="left" w:pos="840" w:leader="none"/>
      </w:tabs>
    </w:pPr>
  </w:style>
  <w:style w:type="character" w:styleId="1237">
    <w:name w:val="NormalCharacter1"/>
    <w:next w:val="1237"/>
    <w:link w:val="1133"/>
    <w:qFormat/>
    <w:rPr>
      <w:rFonts w:ascii="Times New Roman" w:hAnsi="Times New Roman" w:eastAsia="宋体" w:cs="Times New Roman"/>
    </w:rPr>
  </w:style>
  <w:style w:type="table" w:styleId="1238">
    <w:name w:val="Table Normal_0"/>
    <w:next w:val="1238"/>
    <w:link w:val="1133"/>
    <w:qFormat/>
    <w:tblPr/>
  </w:style>
  <w:style w:type="character" w:styleId="1239" w:default="1">
    <w:name w:val="Default Paragraph Font"/>
    <w:uiPriority w:val="1"/>
    <w:semiHidden/>
    <w:unhideWhenUsed/>
  </w:style>
  <w:style w:type="numbering" w:styleId="1240" w:default="1">
    <w:name w:val="No List"/>
    <w:uiPriority w:val="99"/>
    <w:semiHidden/>
    <w:unhideWhenUsed/>
  </w:style>
  <w:style w:type="table" w:styleId="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李可鑫</cp:lastModifiedBy>
  <cp:revision>6</cp:revision>
  <dcterms:created xsi:type="dcterms:W3CDTF">2023-01-13T03:14:00Z</dcterms:created>
  <dcterms:modified xsi:type="dcterms:W3CDTF">2026-04-17T08:27:51Z</dcterms:modified>
</cp:coreProperties>
</file>