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Arial" w:hAnsi="Arial" w:eastAsia="黑体"/>
          <w:b/>
          <w:bCs/>
          <w:color w:val="000000"/>
          <w:sz w:val="84"/>
          <w:szCs w:val="24"/>
        </w:rPr>
      </w:r>
      <w:r/>
    </w:p>
    <w:p>
      <w:pPr>
        <w:pStyle w:val="883"/>
        <w:rPr>
          <w:rFonts w:hint="eastAsia"/>
        </w:rPr>
      </w:pPr>
      <w:r>
        <w:rPr>
          <w:rFonts w:hint="eastAsia"/>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南京市政务云服务续租项目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eastAsia="宋体" w:cs="Times New Roman"/>
          <w:b/>
          <w:bCs w:val="0"/>
          <w:color w:val="000000"/>
          <w:sz w:val="32"/>
          <w:szCs w:val="32"/>
          <w:u w:val="none"/>
          <w:lang w:val="en-US" w:eastAsia="zh-CN"/>
        </w:rPr>
        <w:t xml:space="preserve">0541</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w:t>
      </w:r>
      <w:r>
        <w:rPr>
          <w:rFonts w:hint="eastAsia" w:eastAsia="宋体" w:cs="Times New Roman"/>
          <w:b/>
          <w:bCs w:val="0"/>
          <w:color w:val="000000"/>
          <w:sz w:val="32"/>
          <w:szCs w:val="32"/>
          <w:u w:val="none"/>
          <w:lang w:val="en-US" w:eastAsia="zh-CN"/>
        </w:rPr>
        <w:t xml:space="preserve">12</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941"/>
        <w:rPr>
          <w:rFonts w:hint="eastAsia"/>
        </w:rPr>
      </w:pPr>
      <w:r>
        <w:rPr>
          <w:rFonts w:hint="eastAsia"/>
        </w:rPr>
      </w:r>
      <w:r/>
    </w:p>
    <w:p>
      <w:pPr>
        <w:pStyle w:val="883"/>
        <w:rPr>
          <w:rFonts w:hint="eastAsia"/>
        </w:rPr>
      </w:pPr>
      <w:r>
        <w:rPr>
          <w:rFonts w:hint="eastAsia"/>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t xml:space="preserve">14</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t xml:space="preserve">17</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t xml:space="preserve">43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t xml:space="preserve">50</w:t>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color w:val="000000"/>
          <w:sz w:val="24"/>
          <w:szCs w:val="24"/>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ascii="宋体" w:hAnsi="宋体"/>
          <w:color w:val="000000"/>
          <w:sz w:val="24"/>
          <w:szCs w:val="24"/>
        </w:rPr>
      </w:r>
      <w:r/>
    </w:p>
    <w:p>
      <w:pPr>
        <w:pStyle w:val="871"/>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Times New Roman"/>
          <w:color w:val="000000"/>
          <w:sz w:val="24"/>
          <w:szCs w:val="24"/>
          <w:lang w:eastAsia="zh-CN"/>
        </w:rPr>
        <w:t xml:space="preserve">南京市城市数字治理中心委托，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color w:val="000000"/>
          <w:sz w:val="24"/>
          <w:szCs w:val="24"/>
          <w:lang w:val="en-US" w:eastAsia="zh-CN"/>
        </w:rPr>
        <w:t xml:space="preserve">南京市政务云服务续租项目</w:t>
      </w:r>
      <w:r>
        <w:rPr>
          <w:rFonts w:hint="eastAsia" w:ascii="宋体" w:hAnsi="宋体" w:eastAsia="宋体" w:cs="Times New Roman"/>
          <w:color w:val="000000"/>
          <w:sz w:val="24"/>
          <w:szCs w:val="24"/>
          <w:lang w:eastAsia="zh-CN"/>
        </w:rPr>
        <w:t xml:space="preserve">进行公</w:t>
      </w:r>
      <w:r>
        <w:rPr>
          <w:rFonts w:hint="eastAsia" w:ascii="宋体" w:hAnsi="宋体"/>
          <w:color w:val="000000"/>
          <w:sz w:val="24"/>
          <w:szCs w:val="24"/>
        </w:rPr>
        <w:t xml:space="preserve">开招标采购，欢迎符合条件的供应商投标。</w:t>
      </w:r>
      <w:r>
        <w:rPr>
          <w:rFonts w:ascii="宋体" w:hAnsi="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olor w:val="000000"/>
          <w:sz w:val="24"/>
          <w:szCs w:val="24"/>
          <w:lang w:val="en-US"/>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0541</w:t>
      </w:r>
      <w:r>
        <w:rPr>
          <w:rFonts w:ascii="宋体" w:hAnsi="宋体"/>
          <w:color w:val="000000"/>
          <w:sz w:val="24"/>
          <w:szCs w:val="24"/>
          <w:lang w:val="en-US"/>
        </w:rPr>
      </w:r>
      <w:r/>
    </w:p>
    <w:p>
      <w:pPr>
        <w:pStyle w:val="87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val="en-US" w:eastAsia="zh-CN"/>
        </w:rPr>
        <w:t xml:space="preserve">南京市政务云服务续租项目</w:t>
      </w:r>
      <w:r>
        <w:rPr>
          <w:rFonts w:hint="eastAsia"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二年共1260万元（每年630万元） </w:t>
      </w:r>
      <w:r>
        <w:rPr>
          <w:rFonts w:hint="eastAsia" w:ascii="宋体" w:hAnsi="宋体"/>
          <w:color w:val="000000"/>
          <w:sz w:val="24"/>
          <w:szCs w:val="24"/>
          <w:lang w:val="en-US" w:eastAsia="zh-CN"/>
        </w:rPr>
      </w:r>
      <w:r/>
    </w:p>
    <w:p>
      <w:pPr>
        <w:pStyle w:val="87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r>
      <w:r/>
    </w:p>
    <w:p>
      <w:pPr>
        <w:pStyle w:val="871"/>
        <w:numPr>
          <w:ilvl w:val="0"/>
          <w:numId w:val="5"/>
        </w:numPr>
        <w:ind w:firstLine="480"/>
        <w:pageBreakBefore w:val="0"/>
        <w:spacing w:line="240" w:lineRule="auto"/>
        <w:widowControl w:val="off"/>
        <w:tabs>
          <w:tab w:val="left" w:pos="312" w:leader="none"/>
        </w:tabs>
        <w:rPr>
          <w:rFonts w:hint="eastAsia" w:ascii="宋体" w:hAnsi="宋体" w:eastAsia="宋体" w:cs="宋体"/>
          <w:color w:val="000000"/>
          <w:sz w:val="24"/>
          <w:szCs w:val="24"/>
          <w:lang w:eastAsia="zh-CN"/>
        </w:rPr>
      </w:pPr>
      <w:r>
        <w:rPr>
          <w:rFonts w:hint="eastAsia" w:ascii="宋体" w:hAnsi="宋体"/>
          <w:color w:val="000000"/>
          <w:sz w:val="24"/>
          <w:szCs w:val="24"/>
        </w:rPr>
        <w:t xml:space="preserve">采购需求（简介）：</w:t>
      </w:r>
      <w:r>
        <w:rPr>
          <w:rFonts w:hint="eastAsia" w:ascii="宋体" w:hAnsi="宋体" w:cs="宋体"/>
          <w:color w:val="000000"/>
          <w:sz w:val="24"/>
          <w:szCs w:val="24"/>
        </w:rPr>
        <w:t xml:space="preserve">南京市城市数字治理中心组织专业技术服务机构，运用云计算技术，统筹利用已有的计算资源、存储资源、网络资源、信息资源、应用支撑等资源和条件，统一建设南京市新一代政务云及数据库，为市委、市政府各部门提供基础设施、支撑软件、应用功能、信息资源、运行保障和信息安全等服务平台，实现服务资源集中管理，健全现有的技术服务管</w:t>
      </w:r>
      <w:r>
        <w:rPr>
          <w:rFonts w:hint="eastAsia" w:ascii="宋体" w:hAnsi="宋体" w:eastAsia="宋体" w:cs="宋体"/>
          <w:color w:val="000000"/>
          <w:sz w:val="24"/>
          <w:szCs w:val="24"/>
        </w:rPr>
        <w:t xml:space="preserve">理模式与队伍建设，本次项目建设内容包括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numPr>
          <w:ilvl w:val="0"/>
          <w:numId w:val="0"/>
        </w:num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（1）计算资源池</w:t>
      </w:r>
      <w:r>
        <w:rPr>
          <w:rFonts w:hint="eastAsia" w:ascii="宋体" w:hAnsi="宋体" w:eastAsia="宋体" w:cs="宋体"/>
          <w:color w:val="000000"/>
          <w:sz w:val="24"/>
          <w:szCs w:val="24"/>
        </w:rPr>
      </w:r>
      <w:r/>
    </w:p>
    <w:p>
      <w:pPr>
        <w:pStyle w:val="871"/>
        <w:numPr>
          <w:ilvl w:val="0"/>
          <w:numId w:val="0"/>
        </w:num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资源池需提供弹性云服务器，支持指定云服务器类型和规格创建云主机，支持根据预制的多种类型的云服务器类型供选择，针对不同的应用场景选择不同规格的弹性云服务器。提供1800台4C16G标准云主机所需软硬件资源。</w:t>
      </w:r>
      <w:r>
        <w:rPr>
          <w:rFonts w:hint="eastAsia" w:ascii="宋体" w:hAnsi="宋体" w:eastAsia="宋体" w:cs="宋体"/>
          <w:color w:val="000000"/>
          <w:sz w:val="24"/>
          <w:szCs w:val="24"/>
        </w:rPr>
      </w:r>
      <w:r/>
    </w:p>
    <w:p>
      <w:pPr>
        <w:pStyle w:val="871"/>
        <w:numPr>
          <w:ilvl w:val="0"/>
          <w:numId w:val="0"/>
        </w:num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（2）存储资源池</w:t>
      </w:r>
      <w:r>
        <w:rPr>
          <w:rFonts w:hint="eastAsia" w:ascii="宋体" w:hAnsi="宋体" w:eastAsia="宋体" w:cs="宋体"/>
          <w:color w:val="000000"/>
          <w:sz w:val="24"/>
          <w:szCs w:val="24"/>
        </w:rPr>
      </w:r>
      <w:r/>
    </w:p>
    <w:p>
      <w:pPr>
        <w:pStyle w:val="871"/>
        <w:numPr>
          <w:ilvl w:val="0"/>
          <w:numId w:val="0"/>
        </w:numPr>
        <w:ind w:firstLine="480"/>
        <w:pageBreakBefore w:val="0"/>
        <w:spacing w:line="240" w:lineRule="auto"/>
        <w:widowControl w:val="off"/>
        <w:rPr>
          <w:rFonts w:hint="eastAsia" w:ascii="宋体" w:hAnsi="宋体" w:eastAsia="宋体" w:cs="宋体"/>
          <w:color w:val="000000"/>
          <w:sz w:val="24"/>
          <w:szCs w:val="24"/>
        </w:rPr>
      </w:pPr>
      <w:r/>
      <w:bookmarkStart w:id="12" w:name="OLE_LINK69"/>
      <w:r>
        <w:rPr>
          <w:rFonts w:hint="eastAsia" w:ascii="宋体" w:hAnsi="宋体" w:eastAsia="宋体" w:cs="宋体"/>
          <w:color w:val="000000"/>
          <w:sz w:val="24"/>
          <w:szCs w:val="24"/>
        </w:rPr>
        <w:t xml:space="preserve">为满足虚拟机数据存储需求，提供配套的900TB块存储和300TB对象存储资源。</w:t>
      </w:r>
      <w:bookmarkEnd w:id="12"/>
      <w:r>
        <w:rPr>
          <w:rFonts w:hint="eastAsia" w:ascii="宋体" w:hAnsi="宋体" w:eastAsia="宋体" w:cs="宋体"/>
          <w:color w:val="000000"/>
          <w:sz w:val="24"/>
          <w:szCs w:val="24"/>
        </w:rPr>
      </w:r>
      <w:r/>
    </w:p>
    <w:p>
      <w:pPr>
        <w:pStyle w:val="871"/>
        <w:numPr>
          <w:ilvl w:val="0"/>
          <w:numId w:val="0"/>
        </w:num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（3）网络资源池</w:t>
      </w:r>
      <w:r>
        <w:rPr>
          <w:rFonts w:hint="eastAsia" w:ascii="宋体" w:hAnsi="宋体" w:eastAsia="宋体" w:cs="宋体"/>
          <w:color w:val="000000"/>
          <w:sz w:val="24"/>
          <w:szCs w:val="24"/>
        </w:rPr>
      </w:r>
      <w:r/>
    </w:p>
    <w:p>
      <w:pPr>
        <w:pStyle w:val="871"/>
        <w:numPr>
          <w:ilvl w:val="0"/>
          <w:numId w:val="0"/>
        </w:numPr>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和现网组成统一的网络资源池，达到等保三级标准。</w:t>
      </w:r>
      <w:r>
        <w:rPr>
          <w:rFonts w:hint="eastAsia" w:ascii="宋体" w:hAnsi="宋体" w:eastAsia="宋体" w:cs="宋体"/>
          <w:color w:val="000000"/>
          <w:sz w:val="24"/>
          <w:szCs w:val="24"/>
        </w:rPr>
      </w:r>
      <w:r/>
    </w:p>
    <w:p>
      <w:pPr>
        <w:pStyle w:val="871"/>
        <w:numPr>
          <w:ilvl w:val="0"/>
          <w:numId w:val="0"/>
        </w:numPr>
        <w:ind w:firstLine="480"/>
        <w:pageBreakBefore w:val="0"/>
        <w:spacing w:line="240" w:lineRule="auto"/>
        <w:widowControl w:val="off"/>
        <w:rPr>
          <w:rFonts w:ascii="宋体" w:hAnsi="宋体"/>
          <w:color w:val="000000"/>
          <w:sz w:val="24"/>
          <w:szCs w:val="24"/>
          <w:u w:val="single"/>
        </w:rPr>
      </w:pP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1"/>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lang w:val="en-US" w:eastAsia="zh-CN"/>
        </w:rPr>
        <w:t xml:space="preserve">730天（</w:t>
      </w:r>
      <w:r>
        <w:rPr>
          <w:rFonts w:hint="eastAsia" w:ascii="宋体" w:hAnsi="宋体" w:eastAsia="宋体" w:cs="宋体"/>
          <w:color w:val="000000"/>
          <w:sz w:val="24"/>
          <w:szCs w:val="24"/>
        </w:rPr>
        <w:t xml:space="preserve">供应商部署完毕、满足交付条件开始提供服务后开始计算</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highlight w:val="yellow"/>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 w:name="_Toc28359003"/>
      <w:r/>
      <w:bookmarkStart w:id="14" w:name="_Toc35393791"/>
      <w:r/>
      <w:bookmarkStart w:id="15" w:name="_Toc28359080"/>
      <w:r/>
      <w:bookmarkStart w:id="16" w:name="_Toc38985264"/>
      <w:r/>
      <w:bookmarkStart w:id="17" w:name="_Toc35393622"/>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olor w:val="000000"/>
          <w:sz w:val="24"/>
          <w:szCs w:val="24"/>
        </w:rPr>
      </w:pPr>
      <w:r/>
      <w:bookmarkStart w:id="18" w:name="_Toc35393792"/>
      <w:r/>
      <w:bookmarkStart w:id="19" w:name="_Toc35393623"/>
      <w:r/>
      <w:bookmarkStart w:id="20" w:name="_Toc28359081"/>
      <w:r/>
      <w:bookmarkStart w:id="21" w:name="_Toc28359004"/>
      <w:r/>
      <w:bookmarkStart w:id="22"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b w:val="0"/>
          <w:bCs w:val="0"/>
          <w:color w:val="000000"/>
          <w:sz w:val="24"/>
          <w:szCs w:val="24"/>
          <w:highlight w:val="none"/>
          <w:lang w:val="en-US" w:eastAsia="zh-CN"/>
        </w:rPr>
        <w:t xml:space="preserve">无。</w:t>
      </w:r>
      <w:r>
        <w:rPr>
          <w:rFonts w:hint="eastAsia" w:ascii="宋体" w:hAnsi="宋体" w:eastAsia="宋体"/>
          <w:color w:val="000000"/>
          <w:sz w:val="24"/>
          <w:szCs w:val="24"/>
          <w:lang w:val="en-US" w:eastAsia="zh-CN"/>
        </w:rPr>
      </w:r>
      <w:r/>
    </w:p>
    <w:p>
      <w:pPr>
        <w:pStyle w:val="871"/>
        <w:ind w:firstLine="480"/>
        <w:pageBreakBefore w:val="0"/>
        <w:spacing w:line="240"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1"/>
        <w:ind w:firstLine="480"/>
        <w:pageBreakBefore w:val="0"/>
        <w:spacing w:line="240" w:lineRule="auto"/>
        <w:widowControl w:val="off"/>
        <w:rPr>
          <w:rFonts w:hint="eastAsia"/>
          <w:color w:val="000000"/>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color w:val="000000"/>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color w:val="000000"/>
          <w:sz w:val="24"/>
          <w:szCs w:val="24"/>
        </w:rPr>
      </w:pPr>
      <w:r/>
      <w:bookmarkStart w:id="23" w:name="_Toc28359082"/>
      <w:r/>
      <w:bookmarkStart w:id="24" w:name="_Toc28359005"/>
      <w:r/>
      <w:bookmarkStart w:id="25" w:name="_Toc35393793"/>
      <w:r/>
      <w:bookmarkStart w:id="26" w:name="_Toc38985266"/>
      <w:r/>
      <w:bookmarkStart w:id="27"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rPr>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8" w:name="_Toc35393625"/>
      <w:r/>
      <w:bookmarkStart w:id="29" w:name="_Toc38985267"/>
      <w:r/>
      <w:bookmarkStart w:id="30" w:name="_Toc28359084"/>
      <w:r/>
      <w:bookmarkStart w:id="31" w:name="_Toc35393794"/>
      <w:r/>
      <w:bookmarkStart w:id="32" w:name="_Toc2835900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26</w:t>
      </w:r>
      <w:r>
        <w:rPr>
          <w:rFonts w:hint="eastAsia" w:ascii="Times New Roman" w:hAnsi="Times New Roman" w:eastAsia="宋体" w:cs="Times New Roman"/>
          <w:color w:val="000000" w:themeColor="text1"/>
          <w:sz w:val="24"/>
          <w:szCs w:val="24"/>
          <w:u w:val="none"/>
          <w:lang w:val="en-US" w:eastAsia="zh-CN"/>
        </w:rPr>
        <w:t xml:space="preserve">年</w:t>
      </w:r>
      <w:r>
        <w:rPr>
          <w:rFonts w:hint="eastAsia" w:ascii="Times New Roman" w:hAnsi="Times New Roman" w:eastAsia="宋体" w:cs="Times New Roman"/>
          <w:color w:val="000000" w:themeColor="text1"/>
          <w:sz w:val="24"/>
          <w:szCs w:val="24"/>
          <w:u w:val="none"/>
          <w:lang w:val="en-US" w:eastAsia="zh-CN"/>
        </w:rPr>
        <w:t xml:space="preserve">1</w:t>
      </w:r>
      <w:r>
        <w:rPr>
          <w:rFonts w:hint="eastAsia" w:ascii="Times New Roman" w:hAnsi="Times New Roman" w:eastAsia="宋体" w:cs="Times New Roman"/>
          <w:color w:val="000000" w:themeColor="text1"/>
          <w:sz w:val="24"/>
          <w:szCs w:val="24"/>
          <w:u w:val="none"/>
          <w:lang w:val="en-US" w:eastAsia="zh-CN"/>
        </w:rPr>
        <w:t xml:space="preserve">月</w:t>
      </w:r>
      <w:r>
        <w:rPr>
          <w:rFonts w:hint="eastAsia" w:ascii="Times New Roman" w:hAnsi="Times New Roman" w:eastAsia="宋体" w:cs="Times New Roman"/>
          <w:color w:val="000000" w:themeColor="text1"/>
          <w:sz w:val="24"/>
          <w:szCs w:val="24"/>
          <w:u w:val="none"/>
          <w:lang w:val="en-US" w:eastAsia="zh-CN"/>
        </w:rPr>
        <w:t xml:space="preserve">4</w:t>
      </w:r>
      <w:r>
        <w:rPr>
          <w:rFonts w:hint="eastAsia" w:ascii="Times New Roman" w:hAnsi="Times New Roman" w:eastAsia="宋体" w:cs="Times New Roman"/>
          <w:color w:val="000000" w:themeColor="text1"/>
          <w:sz w:val="24"/>
          <w:szCs w:val="24"/>
          <w:u w:val="none"/>
          <w:lang w:val="en-US" w:eastAsia="zh-CN"/>
        </w:rPr>
        <w:t xml:space="preserve">日14</w:t>
      </w:r>
      <w:r>
        <w:rPr>
          <w:rFonts w:hint="eastAsia" w:ascii="Times New Roman" w:hAnsi="Times New Roman" w:eastAsia="宋体" w:cs="Times New Roman"/>
          <w:color w:val="000000" w:themeColor="text1"/>
          <w:sz w:val="24"/>
          <w:szCs w:val="24"/>
          <w:u w:val="none"/>
          <w:lang w:val="en-US" w:eastAsia="zh-CN"/>
        </w:rPr>
        <w:t xml:space="preserve">时00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color w:val="000000" w:themeColor="text1"/>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1"/>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color w:val="000000"/>
          <w:sz w:val="24"/>
          <w:szCs w:val="24"/>
        </w:rPr>
      </w:pPr>
      <w:r/>
      <w:bookmarkStart w:id="33" w:name="_Toc35393795"/>
      <w:r/>
      <w:bookmarkStart w:id="34" w:name="_Toc38985268"/>
      <w:r/>
      <w:bookmarkStart w:id="35"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rPr>
      </w:pPr>
      <w:r/>
      <w:bookmarkStart w:id="36" w:name="_Toc38985269"/>
      <w:r/>
      <w:bookmarkStart w:id="37" w:name="_Toc35393796"/>
      <w:r/>
      <w:bookmarkStart w:id="38" w:name="_Toc28359008"/>
      <w:r/>
      <w:bookmarkStart w:id="39" w:name="_Toc28359085"/>
      <w:r/>
      <w:bookmarkStart w:id="40"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pageBreakBefore w:val="0"/>
        <w:spacing w:line="240"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1"/>
        <w:ind w:firstLine="482"/>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称：南京市城市数字治理中心          </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址：南京市建邺区江东中路265号D座    </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联系人：曹女士</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联系电话：025-68789532 </w:t>
      </w:r>
      <w:bookmarkStart w:id="41" w:name="_Toc28359086"/>
      <w:r/>
      <w:bookmarkStart w:id="42" w:name="_Toc28359009"/>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2.交易中心</w:t>
      </w:r>
      <w:bookmarkEnd w:id="41"/>
      <w:r/>
      <w:bookmarkEnd w:id="42"/>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联系人：马女士</w:t>
      </w:r>
      <w:r>
        <w:rPr>
          <w:rFonts w:ascii="宋体" w:hAnsi="宋体" w:eastAsia="宋体" w:cs="宋体"/>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联系电话：025-68505961 </w:t>
      </w:r>
      <w:r>
        <w:rPr>
          <w:rFonts w:hint="eastAsia" w:ascii="宋体" w:hAnsi="宋体" w:eastAsia="宋体" w:cs="宋体"/>
          <w:color w:val="000000"/>
          <w:sz w:val="24"/>
          <w:szCs w:val="24"/>
          <w:highlight w:val="none"/>
          <w:lang w:eastAsia="zh-CN"/>
        </w:rPr>
      </w:r>
      <w:r/>
    </w:p>
    <w:p>
      <w:pPr>
        <w:pStyle w:val="88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3" w:name="_Toc462564139"/>
      <w:r/>
      <w:bookmarkStart w:id="44" w:name="_Toc479757211"/>
      <w:r/>
      <w:bookmarkStart w:id="45" w:name="_Toc16938590"/>
      <w:r/>
      <w:bookmarkStart w:id="46" w:name="_Hlt16619350"/>
      <w:r/>
      <w:bookmarkStart w:id="47" w:name="_Toc20823346"/>
      <w:r/>
      <w:bookmarkStart w:id="48" w:name="_Toc120614244"/>
      <w:r>
        <w:rPr>
          <w:rFonts w:ascii="黑体" w:eastAsia="黑体"/>
          <w:bCs/>
          <w:sz w:val="44"/>
        </w:rPr>
        <w:br w:type="page" w:clear="all"/>
      </w:r>
      <w:bookmarkStart w:id="49"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9"/>
      <w:r/>
      <w:bookmarkStart w:id="50" w:name="_Toc513029202"/>
      <w:r/>
      <w:bookmarkStart w:id="51" w:name="_Toc120614213"/>
      <w:r/>
      <w:bookmarkStart w:id="52" w:name="_Toc20823274"/>
      <w:r/>
      <w:bookmarkStart w:id="53"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4" w:name="_Toc120614214"/>
      <w:r/>
      <w:bookmarkStart w:id="55" w:name="_Toc16938558"/>
      <w:r/>
      <w:bookmarkStart w:id="56" w:name="_Toc513029242"/>
      <w:r/>
      <w:bookmarkStart w:id="57" w:name="_Toc120614221"/>
      <w:r/>
      <w:bookmarkStart w:id="58" w:name="_Toc479757207"/>
      <w:r/>
      <w:bookmarkStart w:id="59" w:name="_Toc20823275"/>
      <w:r/>
      <w:bookmarkStart w:id="60" w:name="_Toc513029203"/>
      <w:r/>
      <w:bookmarkStart w:id="61" w:name="_Toc16938519"/>
      <w:r/>
      <w:bookmarkStart w:id="62" w:name="_Toc20823314"/>
      <w:r>
        <w:rPr>
          <w:rFonts w:hint="eastAsia" w:ascii="方正黑体_GBK" w:hAnsi="方正黑体_GBK" w:eastAsia="方正黑体_GBK" w:cs="方正黑体_GBK"/>
          <w:b w:val="0"/>
          <w:bCs w:val="0"/>
          <w:color w:val="000000"/>
          <w:sz w:val="30"/>
          <w:szCs w:val="30"/>
        </w:rPr>
        <w:t xml:space="preserve">一、总则</w:t>
      </w:r>
      <w:bookmarkEnd w:id="54"/>
      <w:r/>
      <w:bookmarkEnd w:id="59"/>
      <w:r/>
      <w:bookmarkEnd w:id="60"/>
      <w:r/>
      <w:bookmarkEnd w:id="6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3" w:name="_Toc458694821"/>
      <w:r/>
      <w:bookmarkStart w:id="64" w:name="_Toc20823276"/>
      <w:r/>
      <w:bookmarkStart w:id="65" w:name="_Toc513029204"/>
      <w:r/>
      <w:bookmarkStart w:id="66" w:name="_Toc16938520"/>
      <w:r/>
      <w:bookmarkStart w:id="67" w:name="_Hlt16619475"/>
      <w:r/>
      <w:bookmarkEnd w:id="67"/>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16938521"/>
      <w:r/>
      <w:bookmarkStart w:id="69" w:name="_Toc20823277"/>
      <w:r/>
      <w:bookmarkStart w:id="70"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8"/>
      <w:r/>
      <w:bookmarkEnd w:id="69"/>
      <w:r/>
      <w:bookmarkEnd w:id="70"/>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1" w:name="_Toc16938522"/>
      <w:r/>
      <w:bookmarkStart w:id="72" w:name="_Toc20823278"/>
      <w:r/>
      <w:bookmarkStart w:id="73"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1"/>
      <w:r/>
      <w:bookmarkEnd w:id="72"/>
      <w:r/>
      <w:bookmarkEnd w:id="73"/>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4" w:name="_Toc513029207"/>
      <w:r/>
      <w:bookmarkStart w:id="75" w:name="_Toc462564067"/>
      <w:r/>
      <w:bookmarkStart w:id="76" w:name="_Toc16938523"/>
      <w:r/>
      <w:bookmarkStart w:id="77"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4"/>
      <w:r/>
      <w:bookmarkEnd w:id="75"/>
      <w:r/>
      <w:bookmarkEnd w:id="76"/>
      <w:r/>
      <w:bookmarkEnd w:id="77"/>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8" w:name="_Toc513029209"/>
      <w:r/>
      <w:bookmarkStart w:id="79" w:name="_Toc20823281"/>
      <w:r/>
      <w:bookmarkStart w:id="80" w:name="_Toc16938525"/>
      <w:r/>
      <w:bookmarkStart w:id="81" w:name="_Toc120614215"/>
      <w:r>
        <w:rPr>
          <w:rFonts w:hint="eastAsia" w:ascii="方正黑体_GBK" w:hAnsi="方正黑体_GBK" w:eastAsia="方正黑体_GBK" w:cs="方正黑体_GBK"/>
          <w:b w:val="0"/>
          <w:bCs w:val="0"/>
          <w:color w:val="000000"/>
          <w:sz w:val="30"/>
          <w:szCs w:val="30"/>
        </w:rPr>
        <w:t xml:space="preserve">二、招标文件</w:t>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6"/>
      <w:r/>
      <w:bookmarkStart w:id="83" w:name="_Toc513029210"/>
      <w:r/>
      <w:bookmarkStart w:id="84"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2"/>
      <w:r/>
      <w:bookmarkEnd w:id="83"/>
      <w:r/>
      <w:bookmarkEnd w:id="8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5" w:name="_Toc513029211"/>
      <w:r/>
      <w:bookmarkStart w:id="86" w:name="_Toc16938527"/>
      <w:r/>
      <w:bookmarkStart w:id="87" w:name="_Toc462564070"/>
      <w:r/>
      <w:bookmarkStart w:id="88"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5"/>
      <w:r/>
      <w:bookmarkEnd w:id="86"/>
      <w:r/>
      <w:bookmarkEnd w:id="87"/>
      <w:r/>
      <w:bookmarkEnd w:id="88"/>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9" w:name="_Toc513029212"/>
      <w:r/>
      <w:bookmarkStart w:id="90" w:name="_Toc462564071"/>
      <w:r/>
      <w:bookmarkStart w:id="91" w:name="_Toc20823284"/>
      <w:r/>
      <w:bookmarkStart w:id="92"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9"/>
      <w:r/>
      <w:bookmarkEnd w:id="90"/>
      <w:r/>
      <w:bookmarkEnd w:id="91"/>
      <w:r/>
      <w:bookmarkEnd w:id="92"/>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93" w:name="_Toc513029213"/>
      <w:r/>
      <w:bookmarkStart w:id="94" w:name="_Toc20823285"/>
      <w:r/>
      <w:bookmarkStart w:id="95" w:name="_Toc462564072"/>
      <w:r/>
      <w:bookmarkStart w:id="96" w:name="_Toc120614216"/>
      <w:r/>
      <w:bookmarkStart w:id="97"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8" w:name="_Toc16938530"/>
      <w:r/>
      <w:bookmarkStart w:id="99" w:name="_Toc462564073"/>
      <w:r/>
      <w:bookmarkStart w:id="100" w:name="_Toc513029214"/>
      <w:r/>
      <w:bookmarkStart w:id="101"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8"/>
      <w:r/>
      <w:bookmarkEnd w:id="99"/>
      <w:r/>
      <w:bookmarkEnd w:id="100"/>
      <w:r/>
      <w:bookmarkEnd w:id="10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2" w:name="_Toc16938531"/>
      <w:r/>
      <w:bookmarkStart w:id="103" w:name="_Toc513029215"/>
      <w:r/>
      <w:bookmarkStart w:id="104" w:name="_Toc462564074"/>
      <w:r/>
      <w:bookmarkStart w:id="105"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2"/>
      <w:r/>
      <w:bookmarkEnd w:id="103"/>
      <w:r/>
      <w:bookmarkEnd w:id="104"/>
      <w:r/>
      <w:bookmarkEnd w:id="10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6" w:name="_Hlt26670360"/>
      <w:r/>
      <w:bookmarkEnd w:id="106"/>
      <w:r/>
      <w:bookmarkStart w:id="107" w:name="_Hlt26954838"/>
      <w:r/>
      <w:bookmarkEnd w:id="107"/>
      <w:r/>
      <w:bookmarkStart w:id="108" w:name="_Hlt26668975"/>
      <w:r/>
      <w:bookmarkEnd w:id="108"/>
      <w:r/>
      <w:bookmarkStart w:id="109" w:name="_Toc513029219"/>
      <w:r/>
      <w:bookmarkStart w:id="110" w:name="_Toc49090509"/>
      <w:r/>
      <w:bookmarkStart w:id="111" w:name="_Toc14577357"/>
      <w:r/>
      <w:bookmarkStart w:id="112" w:name="_Toc14577354"/>
      <w:r/>
      <w:bookmarkStart w:id="113" w:name="_Toc513029216"/>
      <w:r/>
      <w:bookmarkStart w:id="114" w:name="_Toc490905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9"/>
      <w:r/>
      <w:bookmarkEnd w:id="110"/>
      <w:r/>
      <w:bookmarkEnd w:id="11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12"/>
      <w:r/>
      <w:bookmarkEnd w:id="113"/>
      <w:r/>
      <w:bookmarkEnd w:id="114"/>
      <w:r/>
      <w:bookmarkStart w:id="115" w:name="_Toc49090508"/>
      <w:r/>
      <w:bookmarkStart w:id="116"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5"/>
      <w:r/>
      <w:bookmarkEnd w:id="116"/>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7" w:name="_Hlt26954840"/>
      <w:r/>
      <w:bookmarkEnd w:id="117"/>
      <w:r>
        <w:rPr>
          <w:rFonts w:hint="eastAsia" w:ascii="宋体" w:hAnsi="宋体" w:eastAsia="宋体" w:cs="Times New Roman"/>
          <w:color w:val="000000"/>
          <w:sz w:val="24"/>
        </w:rPr>
        <w:t xml:space="preserve">标人应按照招标文件规定格式填报</w:t>
      </w:r>
      <w:bookmarkStart w:id="118" w:name="_Hlt26670399"/>
      <w:r/>
      <w:bookmarkEnd w:id="118"/>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9" w:name="_Hlt26670403"/>
      <w:r/>
      <w:bookmarkEnd w:id="119"/>
      <w:r/>
      <w:bookmarkStart w:id="120" w:name="_Hlt26670486"/>
      <w:r/>
      <w:bookmarkEnd w:id="120"/>
      <w:r/>
      <w:bookmarkStart w:id="121" w:name="_Hlt26668983"/>
      <w:r/>
      <w:bookmarkEnd w:id="121"/>
      <w:r/>
      <w:bookmarkStart w:id="122" w:name="_Hlt26954848"/>
      <w:r/>
      <w:bookmarkEnd w:id="122"/>
      <w:r/>
      <w:bookmarkStart w:id="123" w:name="_Hlt26954846"/>
      <w:r/>
      <w:bookmarkEnd w:id="123"/>
      <w:r/>
      <w:bookmarkStart w:id="124" w:name="_Hlt26954842"/>
      <w:r/>
      <w:bookmarkEnd w:id="124"/>
      <w:r/>
      <w:bookmarkStart w:id="125" w:name="_Hlt26670425"/>
      <w:r/>
      <w:bookmarkEnd w:id="125"/>
      <w:r/>
      <w:bookmarkStart w:id="126" w:name="_Hlt26670482"/>
      <w:r/>
      <w:bookmarkEnd w:id="126"/>
      <w:r/>
      <w:bookmarkStart w:id="127" w:name="_Hlt26954731"/>
      <w:r/>
      <w:bookmarkEnd w:id="127"/>
      <w:r/>
      <w:bookmarkStart w:id="128" w:name="_Hlt26954844"/>
      <w:r/>
      <w:bookmarkEnd w:id="128"/>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9" w:name="_Toc49090510"/>
      <w:r/>
      <w:bookmarkStart w:id="130"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9"/>
      <w:r/>
      <w:bookmarkEnd w:id="130"/>
      <w:r/>
      <w:bookmarkStart w:id="131" w:name="_Hlt26954850"/>
      <w:r/>
      <w:bookmarkEnd w:id="131"/>
      <w:r/>
      <w:bookmarkStart w:id="132" w:name="_Hlt26954734"/>
      <w:r/>
      <w:bookmarkEnd w:id="132"/>
      <w:r/>
      <w:bookmarkStart w:id="133" w:name="_Hlt26670489"/>
      <w:r/>
      <w:bookmarkEnd w:id="133"/>
      <w:r/>
      <w:bookmarkStart w:id="134" w:name="_Toc14577360"/>
      <w:r/>
      <w:bookmarkStart w:id="135"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4"/>
      <w:r/>
      <w:bookmarkEnd w:id="13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6" w:name="_Hlt26954852"/>
      <w:r/>
      <w:bookmarkEnd w:id="136"/>
      <w:r/>
      <w:bookmarkStart w:id="137" w:name="_Toc513029224"/>
      <w:r/>
      <w:bookmarkStart w:id="138" w:name="_Toc120614217"/>
      <w:r/>
      <w:bookmarkStart w:id="139" w:name="_Toc16938540"/>
      <w:r/>
      <w:bookmarkStart w:id="140" w:name="_Toc20823296"/>
      <w:r/>
      <w:bookmarkStart w:id="141" w:name="_Toc513029237"/>
      <w:r/>
      <w:bookmarkStart w:id="142" w:name="_Toc16938553"/>
      <w:r/>
      <w:bookmarkStart w:id="143" w:name="_Hlt26954739"/>
      <w:r/>
      <w:bookmarkEnd w:id="143"/>
      <w:r/>
      <w:bookmarkStart w:id="144" w:name="_Toc20823309"/>
      <w:r>
        <w:rPr>
          <w:rFonts w:hint="eastAsia" w:ascii="方正黑体_GBK" w:hAnsi="方正黑体_GBK" w:eastAsia="方正黑体_GBK" w:cs="方正黑体_GBK"/>
          <w:b w:val="0"/>
          <w:bCs w:val="0"/>
          <w:color w:val="000000"/>
          <w:sz w:val="30"/>
          <w:szCs w:val="30"/>
        </w:rPr>
        <w:t xml:space="preserve">四、投标文件的递交</w:t>
      </w:r>
      <w:bookmarkEnd w:id="137"/>
      <w:r/>
      <w:bookmarkEnd w:id="138"/>
      <w:r/>
      <w:bookmarkEnd w:id="139"/>
      <w:r/>
      <w:bookmarkEnd w:id="140"/>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462564084"/>
      <w:r/>
      <w:bookmarkStart w:id="146" w:name="_Toc513029225"/>
      <w:r/>
      <w:bookmarkStart w:id="147" w:name="_Toc16938541"/>
      <w:r/>
      <w:bookmarkStart w:id="148"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bookmarkEnd w:id="148"/>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9" w:name="_Toc513029226"/>
      <w:r/>
      <w:bookmarkStart w:id="150" w:name="_Toc16938542"/>
      <w:r/>
      <w:bookmarkStart w:id="151"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9"/>
      <w:r/>
      <w:bookmarkEnd w:id="150"/>
      <w:r/>
      <w:bookmarkEnd w:id="151"/>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20823299"/>
      <w:r/>
      <w:bookmarkStart w:id="153" w:name="_Toc16938543"/>
      <w:r/>
      <w:bookmarkStart w:id="154"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2"/>
      <w:r/>
      <w:bookmarkEnd w:id="153"/>
      <w:r/>
      <w:bookmarkEnd w:id="154"/>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5" w:name="_Toc16938544"/>
      <w:r/>
      <w:bookmarkStart w:id="156" w:name="_Toc20823300"/>
      <w:r/>
      <w:bookmarkStart w:id="157"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5"/>
      <w:r/>
      <w:bookmarkEnd w:id="156"/>
      <w:r/>
      <w:bookmarkEnd w:id="15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8" w:name="_Toc16938545"/>
      <w:r/>
      <w:bookmarkStart w:id="159" w:name="_Toc120614218"/>
      <w:r/>
      <w:bookmarkStart w:id="160" w:name="_Toc20823301"/>
      <w:r/>
      <w:bookmarkStart w:id="161" w:name="_Toc513029229"/>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513029230"/>
      <w:r/>
      <w:bookmarkStart w:id="163" w:name="_Toc16938546"/>
      <w:r/>
      <w:bookmarkStart w:id="164"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2"/>
      <w:r/>
      <w:bookmarkEnd w:id="163"/>
      <w:r/>
      <w:bookmarkEnd w:id="16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5" w:name="_Toc16938547"/>
      <w:r/>
      <w:bookmarkStart w:id="166" w:name="_Toc513029231"/>
      <w:r/>
      <w:bookmarkStart w:id="167"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5"/>
      <w:r/>
      <w:bookmarkEnd w:id="166"/>
      <w:r/>
      <w:bookmarkEnd w:id="16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8" w:name="_Toc513029232"/>
      <w:r/>
      <w:bookmarkStart w:id="169" w:name="_Toc16938548"/>
      <w:r/>
      <w:bookmarkStart w:id="170"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8"/>
      <w:r/>
      <w:bookmarkEnd w:id="169"/>
      <w:r/>
      <w:bookmarkEnd w:id="17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71" w:name="_Toc20823305"/>
      <w:r/>
      <w:bookmarkStart w:id="172" w:name="_Toc16938549"/>
      <w:r/>
      <w:bookmarkStart w:id="173"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1"/>
      <w:r/>
      <w:bookmarkEnd w:id="172"/>
      <w:r/>
      <w:bookmarkEnd w:id="173"/>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4" w:name="_Toc16938550"/>
      <w:r/>
      <w:bookmarkStart w:id="175" w:name="_Toc20823306"/>
      <w:r/>
      <w:bookmarkStart w:id="176"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4"/>
      <w:r/>
      <w:bookmarkEnd w:id="175"/>
      <w:r/>
      <w:bookmarkEnd w:id="176"/>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7" w:name="_Toc16938551"/>
      <w:r/>
      <w:bookmarkStart w:id="178" w:name="_Toc20823307"/>
      <w:r/>
      <w:bookmarkStart w:id="179"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41"/>
      <w:r/>
      <w:bookmarkEnd w:id="142"/>
      <w:r/>
      <w:bookmarkEnd w:id="144"/>
      <w:r/>
      <w:bookmarkEnd w:id="177"/>
      <w:r/>
      <w:bookmarkEnd w:id="178"/>
      <w:r/>
      <w:bookmarkEnd w:id="179"/>
      <w:r/>
      <w:bookmarkStart w:id="180" w:name="_Toc120614219"/>
      <w:r>
        <w:rPr>
          <w:rFonts w:hint="eastAsia" w:ascii="方正黑体_GBK" w:hAnsi="方正黑体_GBK" w:eastAsia="方正黑体_GBK" w:cs="方正黑体_GBK"/>
          <w:b w:val="0"/>
          <w:bCs w:val="0"/>
          <w:color w:val="000000"/>
          <w:sz w:val="30"/>
          <w:szCs w:val="30"/>
        </w:rPr>
        <w:t xml:space="preserve">六、定标</w:t>
      </w:r>
      <w:bookmarkEnd w:id="180"/>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81" w:name="_Toc20823310"/>
      <w:r/>
      <w:bookmarkStart w:id="182" w:name="_Toc16938554"/>
      <w:r/>
      <w:bookmarkStart w:id="183" w:name="_Toc513029238"/>
      <w:r>
        <w:rPr>
          <w:rFonts w:hint="eastAsia" w:ascii="方正楷体_GBK" w:hAnsi="方正楷体_GBK" w:eastAsia="方正楷体_GBK" w:cs="方正楷体_GBK"/>
          <w:b/>
          <w:bCs/>
        </w:rPr>
        <w:t xml:space="preserve">2</w:t>
      </w:r>
      <w:bookmarkEnd w:id="18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1"/>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5" w:name="_Toc120614220"/>
      <w:r/>
      <w:bookmarkStart w:id="186" w:name="_Toc513029236"/>
      <w:r/>
      <w:bookmarkStart w:id="187" w:name="_Toc20823308"/>
      <w:r/>
      <w:bookmarkStart w:id="188" w:name="_Toc16938552"/>
      <w:r>
        <w:rPr>
          <w:rFonts w:hint="eastAsia" w:ascii="方正黑体_GBK" w:hAnsi="方正黑体_GBK" w:eastAsia="方正黑体_GBK" w:cs="方正黑体_GBK"/>
          <w:b w:val="0"/>
          <w:bCs w:val="0"/>
          <w:color w:val="000000"/>
          <w:sz w:val="30"/>
          <w:szCs w:val="30"/>
        </w:rPr>
        <w:t xml:space="preserve">七、授予合同</w:t>
      </w:r>
      <w:bookmarkEnd w:id="185"/>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6"/>
      <w:r/>
      <w:bookmarkEnd w:id="187"/>
      <w:r/>
      <w:bookmarkEnd w:id="188"/>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ind w:firstLine="422"/>
        <w:keepLines w:val="0"/>
        <w:keepNext w:val="0"/>
        <w:pageBreakBefore w:val="0"/>
        <w:spacing w:line="240" w:lineRule="auto"/>
        <w:widowControl w:val="off"/>
        <w:rPr>
          <w:rFonts w:hint="eastAsia" w:ascii="宋体" w:hAnsi="宋体" w:eastAsia="宋体" w:cs="宋体"/>
          <w:b/>
          <w:bCs/>
          <w:sz w:val="24"/>
          <w:szCs w:val="24"/>
          <w:highlight w:val="none"/>
          <w:u w:val="single"/>
          <w:lang w:val="en-US" w:eastAsia="zh-CN"/>
          <w14:ligatures w14:val="none"/>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en-US" w:eastAsia="zh-CN"/>
        </w:rPr>
        <w:t xml:space="preserve">南京市城市数字治理中心，联系</w:t>
      </w:r>
      <w:r>
        <w:rPr>
          <w:rFonts w:hint="eastAsia" w:ascii="宋体" w:hAnsi="宋体" w:eastAsia="宋体" w:cs="宋体"/>
          <w:b/>
          <w:bCs/>
          <w:sz w:val="24"/>
          <w:szCs w:val="24"/>
          <w:highlight w:val="none"/>
          <w:u w:val="single"/>
          <w:lang w:val="en-US" w:eastAsia="zh-CN"/>
        </w:rPr>
        <w:t xml:space="preserve">地址：南京市建邺区江东中路265号D座，</w:t>
      </w:r>
      <w:r>
        <w:rPr>
          <w:rFonts w:hint="eastAsia" w:ascii="宋体" w:hAnsi="宋体" w:eastAsia="宋体" w:cs="宋体"/>
          <w:b/>
          <w:bCs/>
          <w:sz w:val="24"/>
          <w:szCs w:val="24"/>
          <w:highlight w:val="none"/>
          <w:u w:val="single"/>
          <w:lang w:val="en-US" w:eastAsia="zh-CN"/>
        </w:rPr>
        <w:t xml:space="preserve">联系人：</w:t>
      </w:r>
      <w:r>
        <w:rPr>
          <w:rFonts w:hint="eastAsia" w:ascii="宋体" w:hAnsi="宋体" w:eastAsia="宋体" w:cs="宋体"/>
          <w:b/>
          <w:bCs/>
          <w:sz w:val="24"/>
          <w:szCs w:val="24"/>
          <w:highlight w:val="none"/>
          <w:u w:val="single"/>
          <w:lang w:val="en-US" w:eastAsia="zh-CN"/>
        </w:rPr>
        <w:t xml:space="preserve">曹</w:t>
      </w:r>
      <w:r>
        <w:rPr>
          <w:rFonts w:hint="eastAsia" w:ascii="宋体" w:hAnsi="宋体" w:eastAsia="宋体" w:cs="宋体"/>
          <w:b/>
          <w:bCs/>
          <w:sz w:val="24"/>
          <w:szCs w:val="24"/>
          <w:highlight w:val="none"/>
          <w:u w:val="single"/>
          <w:lang w:val="en-US" w:eastAsia="zh-CN"/>
        </w:rPr>
        <w:t xml:space="preserve">女士</w:t>
      </w:r>
      <w:r>
        <w:rPr>
          <w:rFonts w:hint="eastAsia" w:ascii="宋体" w:hAnsi="宋体" w:eastAsia="宋体" w:cs="宋体"/>
          <w:b/>
          <w:bCs/>
          <w:sz w:val="24"/>
          <w:szCs w:val="24"/>
          <w:highlight w:val="none"/>
          <w:u w:val="single"/>
          <w:lang w:val="en-US" w:eastAsia="zh-CN"/>
        </w:rPr>
        <w:t xml:space="preserve">，联系电话</w:t>
      </w:r>
      <w:r>
        <w:rPr>
          <w:rFonts w:hint="eastAsia" w:ascii="宋体" w:hAnsi="宋体" w:eastAsia="宋体" w:cs="宋体"/>
          <w:b/>
          <w:bCs/>
          <w:sz w:val="24"/>
          <w:szCs w:val="24"/>
          <w:highlight w:val="none"/>
          <w:u w:val="single"/>
          <w:lang w:val="en-US" w:eastAsia="zh-CN"/>
        </w:rPr>
        <w:t xml:space="preserve">：025-68789532</w:t>
      </w:r>
      <w:r>
        <w:rPr>
          <w:rFonts w:hint="eastAsia" w:ascii="宋体" w:hAnsi="宋体" w:eastAsia="宋体" w:cs="宋体"/>
          <w:b/>
          <w:bCs/>
          <w:sz w:val="24"/>
          <w:szCs w:val="24"/>
          <w:highlight w:val="none"/>
          <w:u w:val="single"/>
          <w:lang w:val="en-US" w:eastAsia="zh-CN"/>
        </w:rPr>
        <w:t xml:space="preserve">。</w:t>
      </w:r>
      <w:r>
        <w:rPr>
          <w:rFonts w:hint="eastAsia" w:ascii="宋体" w:hAnsi="宋体" w:eastAsia="宋体" w:cs="宋体"/>
          <w:b/>
          <w:bCs/>
          <w:sz w:val="24"/>
          <w:szCs w:val="24"/>
          <w:highlight w:val="none"/>
          <w:u w:val="singl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71"/>
        <w:ind w:firstLine="422"/>
        <w:pageBreakBefore w:val="0"/>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43.</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6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9" w:name="_Toc16938559"/>
      <w:r/>
      <w:bookmarkStart w:id="190" w:name="_Toc513029243"/>
      <w:r/>
      <w:bookmarkStart w:id="191"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3"/>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hAnsi="宋体" w:eastAsia="宋体" w:cs="Courier New"/>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hint="eastAsia" w:hAnsi="宋体" w:eastAsia="宋体" w:cs="Courier New"/>
          <w:sz w:val="24"/>
          <w:szCs w:val="24"/>
        </w:rPr>
      </w:r>
      <w:r/>
    </w:p>
    <w:p>
      <w:pPr>
        <w:pStyle w:val="911"/>
        <w:keepLines w:val="0"/>
        <w:keepNext w:val="0"/>
        <w:pageBreakBefore w:val="0"/>
        <w:spacing w:before="0" w:after="0" w:line="240" w:lineRule="auto"/>
        <w:widowControl w:val="off"/>
        <w:rPr>
          <w:rFonts w:hint="eastAsia" w:hAnsi="宋体" w:eastAsia="宋体" w:cs="Courier New"/>
          <w:sz w:val="24"/>
          <w:szCs w:val="24"/>
          <w:lang w:eastAsia="zh-CN"/>
        </w:rPr>
      </w:pPr>
      <w:r/>
      <w:bookmarkStart w:id="192" w:name="OLE_LINK1"/>
      <w:r>
        <w:rPr>
          <w:rFonts w:hint="eastAsia" w:hAnsi="宋体" w:eastAsia="宋体" w:cs="Courier New"/>
          <w:sz w:val="24"/>
          <w:szCs w:val="24"/>
          <w:lang w:val="en-US" w:eastAsia="zh-CN"/>
        </w:rPr>
        <w:t xml:space="preserve">第一年</w:t>
      </w:r>
      <w:r>
        <w:rPr>
          <w:rFonts w:hint="eastAsia" w:hAnsi="宋体" w:eastAsia="宋体" w:cs="Courier New"/>
          <w:sz w:val="24"/>
          <w:szCs w:val="24"/>
        </w:rPr>
        <w:t xml:space="preserve">合同金额为（大写）：____________________圆（_________________元）人民币</w:t>
      </w:r>
      <w:bookmarkEnd w:id="192"/>
      <w:r>
        <w:rPr>
          <w:rFonts w:hint="eastAsia" w:hAnsi="宋体" w:eastAsia="宋体" w:cs="Courier New"/>
          <w:sz w:val="24"/>
          <w:szCs w:val="24"/>
          <w:lang w:eastAsia="zh-CN"/>
        </w:rPr>
        <w:t xml:space="preserve">；</w:t>
      </w:r>
      <w:r>
        <w:rPr>
          <w:rFonts w:hint="eastAsia" w:hAnsi="宋体" w:eastAsia="宋体" w:cs="Courier New"/>
          <w:sz w:val="24"/>
          <w:szCs w:val="24"/>
          <w:lang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hAnsi="宋体" w:eastAsia="宋体" w:cs="Courier New"/>
          <w:sz w:val="24"/>
          <w:szCs w:val="24"/>
          <w:lang w:val="en-US" w:eastAsia="zh-CN"/>
        </w:rPr>
        <w:t xml:space="preserve">第二年</w:t>
      </w:r>
      <w:r>
        <w:rPr>
          <w:rFonts w:hint="eastAsia" w:hAnsi="宋体" w:eastAsia="宋体" w:cs="Courier New"/>
          <w:sz w:val="24"/>
          <w:szCs w:val="24"/>
        </w:rPr>
        <w:t xml:space="preserve">合同金额为（大写）：____________________圆（_________________元）人民币</w:t>
      </w:r>
      <w:r>
        <w:rPr>
          <w:rFonts w:hint="eastAsia" w:hAnsi="宋体" w:eastAsia="宋体" w:cs="Courier New"/>
          <w:sz w:val="24"/>
          <w:szCs w:val="24"/>
          <w:lang w:eastAsia="zh-CN"/>
        </w:rPr>
        <w:t xml:space="preserve">。</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b w:val="0"/>
          <w:bCs w:val="0"/>
          <w:i w:val="0"/>
          <w:caps w:val="0"/>
          <w:spacing w:val="0"/>
          <w:sz w:val="24"/>
          <w:szCs w:val="24"/>
          <w:vertAlign w:val="baseline"/>
          <w14:ligatures w14:val="none"/>
        </w:rPr>
      </w:pP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8.1 合同款项的支付方式及时间</w:t>
      </w:r>
      <w:r>
        <w:rPr>
          <w:rFonts w:hint="eastAsia" w:ascii="宋体" w:hAnsi="宋体" w:eastAsia="宋体" w:cs="Courier New"/>
          <w:b w:val="0"/>
          <w:bCs w:val="0"/>
          <w:i w:val="0"/>
          <w:iCs w:val="0"/>
          <w:caps w:val="0"/>
          <w:spacing w:val="0"/>
          <w:sz w:val="24"/>
          <w:szCs w:val="24"/>
          <w:shd w:val="clear" w:color="auto" w:fill="auto"/>
          <w:vertAlign w:val="baseline"/>
        </w:rPr>
      </w:r>
      <w:r/>
    </w:p>
    <w:p>
      <w:pPr>
        <w:pStyle w:val="911"/>
        <w:keepLines w:val="0"/>
        <w:keepNext w:val="0"/>
        <w:pageBreakBefore w:val="0"/>
        <w:spacing w:before="0" w:after="0" w:line="240" w:lineRule="auto"/>
        <w:widowControl w:val="off"/>
        <w:rPr>
          <w:rFonts w:hint="eastAsia" w:ascii="宋体" w:hAnsi="宋体" w:eastAsia="宋体" w:cs="Courier New"/>
          <w:b w:val="0"/>
          <w:bCs w:val="0"/>
          <w:i w:val="0"/>
          <w:caps w:val="0"/>
          <w:spacing w:val="0"/>
          <w:sz w:val="24"/>
          <w:szCs w:val="24"/>
          <w:vertAlign w:val="baseli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b w:val="0"/>
          <w:bCs w:val="0"/>
          <w:i w:val="0"/>
          <w:iCs w:val="0"/>
          <w:caps w:val="0"/>
          <w:spacing w:val="0"/>
          <w:sz w:val="24"/>
          <w:szCs w:val="24"/>
          <w:shd w:val="clear" w:color="auto" w:fill="auto"/>
          <w:vertAlign w:val="baseline"/>
        </w:rPr>
        <w:t xml:space="preserve">8.1.1合同签订后，甲方向乙方支付合同约定的第一年合同金额的20%；</w:t>
      </w:r>
      <w:r>
        <w:rPr>
          <w:rFonts w:hint="eastAsia" w:ascii="宋体" w:hAnsi="宋体" w:eastAsia="宋体" w:cs="Courier New"/>
          <w:b w:val="0"/>
          <w:bCs w:val="0"/>
          <w:i w:val="0"/>
          <w:iCs w:val="0"/>
          <w:caps w:val="0"/>
          <w:spacing w:val="0"/>
          <w:sz w:val="24"/>
          <w:szCs w:val="24"/>
          <w:shd w:val="clear" w:color="auto" w:fill="auto"/>
          <w:vertAlign w:val="baseline"/>
        </w:rPr>
      </w:r>
      <w:r/>
    </w:p>
    <w:p>
      <w:pPr>
        <w:pStyle w:val="911"/>
        <w:keepLines w:val="0"/>
        <w:keepNext w:val="0"/>
        <w:pageBreakBefore w:val="0"/>
        <w:spacing w:before="0" w:after="0" w:line="240" w:lineRule="auto"/>
        <w:widowControl w:val="off"/>
        <w:rPr>
          <w:rFonts w:hint="eastAsia" w:ascii="宋体" w:hAnsi="宋体" w:eastAsia="宋体" w:cs="Courier New"/>
          <w:b w:val="0"/>
          <w:bCs w:val="0"/>
          <w:i w:val="0"/>
          <w:caps w:val="0"/>
          <w:spacing w:val="0"/>
          <w:sz w:val="24"/>
          <w:szCs w:val="24"/>
          <w:vertAlign w:val="baseli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b w:val="0"/>
          <w:bCs w:val="0"/>
          <w:i w:val="0"/>
          <w:iCs w:val="0"/>
          <w:caps w:val="0"/>
          <w:spacing w:val="0"/>
          <w:sz w:val="24"/>
          <w:szCs w:val="24"/>
          <w:shd w:val="clear" w:color="auto" w:fill="auto"/>
          <w:vertAlign w:val="baseline"/>
        </w:rPr>
        <w:t xml:space="preserve">8.1.2 第一年度服务满6个月后，甲方向乙方支付合同约定的第一年合同金额的30%；</w:t>
      </w:r>
      <w:r>
        <w:rPr>
          <w:rFonts w:hint="eastAsia" w:ascii="宋体" w:hAnsi="宋体" w:eastAsia="宋体" w:cs="Courier New"/>
          <w:b w:val="0"/>
          <w:bCs w:val="0"/>
          <w:i w:val="0"/>
          <w:iCs w:val="0"/>
          <w:caps w:val="0"/>
          <w:spacing w:val="0"/>
          <w:sz w:val="24"/>
          <w:szCs w:val="24"/>
          <w:shd w:val="clear" w:color="auto" w:fill="auto"/>
          <w:vertAlign w:val="baseline"/>
        </w:rPr>
      </w:r>
      <w:r/>
    </w:p>
    <w:p>
      <w:pPr>
        <w:pStyle w:val="911"/>
        <w:keepLines w:val="0"/>
        <w:keepNext w:val="0"/>
        <w:pageBreakBefore w:val="0"/>
        <w:spacing w:before="0" w:after="0" w:line="240" w:lineRule="auto"/>
        <w:widowControl w:val="off"/>
        <w:rPr>
          <w:rFonts w:hint="eastAsia" w:ascii="宋体" w:hAnsi="宋体" w:eastAsia="宋体" w:cs="Courier New"/>
          <w:b w:val="0"/>
          <w:bCs w:val="0"/>
          <w:i w:val="0"/>
          <w:caps w:val="0"/>
          <w:spacing w:val="0"/>
          <w:sz w:val="24"/>
          <w:szCs w:val="24"/>
          <w:vertAlign w:val="baseli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b w:val="0"/>
          <w:bCs w:val="0"/>
          <w:i w:val="0"/>
          <w:iCs w:val="0"/>
          <w:caps w:val="0"/>
          <w:spacing w:val="0"/>
          <w:sz w:val="24"/>
          <w:szCs w:val="24"/>
          <w:shd w:val="clear" w:color="auto" w:fill="auto"/>
          <w:vertAlign w:val="baseline"/>
        </w:rPr>
        <w:t xml:space="preserve">8.1.3 第一年度服务完成后，甲方向乙方支付合同约定的第一年合同金额的50%；</w:t>
      </w:r>
      <w:r>
        <w:rPr>
          <w:rFonts w:hint="eastAsia" w:ascii="宋体" w:hAnsi="宋体" w:eastAsia="宋体" w:cs="Courier New"/>
          <w:b w:val="0"/>
          <w:bCs w:val="0"/>
          <w:i w:val="0"/>
          <w:iCs w:val="0"/>
          <w:caps w:val="0"/>
          <w:spacing w:val="0"/>
          <w:sz w:val="24"/>
          <w:szCs w:val="24"/>
          <w:shd w:val="clear" w:color="auto" w:fill="auto"/>
          <w:vertAlign w:val="baseline"/>
        </w:rPr>
      </w:r>
      <w:r/>
    </w:p>
    <w:p>
      <w:pPr>
        <w:pStyle w:val="911"/>
        <w:keepLines w:val="0"/>
        <w:keepNext w:val="0"/>
        <w:pageBreakBefore w:val="0"/>
        <w:spacing w:before="0" w:after="0" w:line="240" w:lineRule="auto"/>
        <w:widowControl w:val="off"/>
        <w:rPr>
          <w:rFonts w:hint="eastAsia" w:ascii="宋体" w:hAnsi="宋体" w:eastAsia="宋体" w:cs="Courier New"/>
          <w:b w:val="0"/>
          <w:bCs w:val="0"/>
          <w:i w:val="0"/>
          <w:caps w:val="0"/>
          <w:spacing w:val="0"/>
          <w:sz w:val="24"/>
          <w:szCs w:val="24"/>
          <w:vertAlign w:val="baseli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b w:val="0"/>
          <w:bCs w:val="0"/>
          <w:i w:val="0"/>
          <w:iCs w:val="0"/>
          <w:caps w:val="0"/>
          <w:spacing w:val="0"/>
          <w:sz w:val="24"/>
          <w:szCs w:val="24"/>
          <w:shd w:val="clear" w:color="auto" w:fill="auto"/>
          <w:vertAlign w:val="baseline"/>
        </w:rPr>
        <w:t xml:space="preserve">8.1.4 第二年合同金额根据云上业务系统迁移情况按月统计剩余云主机数量，每半年据实结算。</w:t>
      </w:r>
      <w:r>
        <w:rPr>
          <w:rFonts w:hint="eastAsia" w:ascii="宋体" w:hAnsi="宋体" w:eastAsia="宋体" w:cs="Courier New"/>
          <w:b w:val="0"/>
          <w:bCs w:val="0"/>
          <w:i w:val="0"/>
          <w:iCs w:val="0"/>
          <w:caps w:val="0"/>
          <w:spacing w:val="0"/>
          <w:sz w:val="24"/>
          <w:szCs w:val="24"/>
          <w:shd w:val="clear" w:color="auto" w:fill="auto"/>
          <w:vertAlign w:val="baseline"/>
        </w:rPr>
      </w:r>
      <w:r/>
    </w:p>
    <w:p>
      <w:pPr>
        <w:pStyle w:val="911"/>
        <w:keepLines w:val="0"/>
        <w:keepNext w:val="0"/>
        <w:pageBreakBefore w:val="0"/>
        <w:spacing w:before="0" w:after="0" w:line="240" w:lineRule="auto"/>
        <w:widowControl w:val="off"/>
        <w:rPr>
          <w:rFonts w:hint="eastAsia" w:ascii="宋体" w:hAnsi="宋体" w:eastAsia="宋体" w:cs="Courier New"/>
          <w:b w:val="0"/>
          <w:bCs w:val="0"/>
          <w:i w:val="0"/>
          <w:caps w:val="0"/>
          <w:spacing w:val="0"/>
          <w:sz w:val="24"/>
          <w:szCs w:val="24"/>
          <w:vertAlign w:val="baseli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b w:val="0"/>
          <w:bCs w:val="0"/>
          <w:i w:val="0"/>
          <w:iCs w:val="0"/>
          <w:caps w:val="0"/>
          <w:spacing w:val="0"/>
          <w:sz w:val="24"/>
          <w:szCs w:val="24"/>
          <w:shd w:val="clear" w:color="auto" w:fill="auto"/>
          <w:vertAlign w:val="baseline"/>
        </w:rPr>
        <w:t xml:space="preserve">8.1.5 满足合同约定支付条件的，甲方收到乙方发票后10个工作日内，将资金支付到合同约定的乙方账户。 </w:t>
      </w:r>
      <w:r>
        <w:rPr>
          <w:rFonts w:hint="eastAsia" w:ascii="宋体" w:hAnsi="宋体" w:eastAsia="宋体" w:cs="Courier New"/>
          <w:b w:val="0"/>
          <w:bCs w:val="0"/>
          <w:i w:val="0"/>
          <w:iCs w:val="0"/>
          <w:caps w:val="0"/>
          <w:spacing w:val="0"/>
          <w:sz w:val="24"/>
          <w:szCs w:val="24"/>
          <w:shd w:val="clear" w:color="auto" w:fill="auto"/>
          <w:vertAlign w:val="baseline"/>
        </w:rPr>
      </w:r>
      <w:r/>
    </w:p>
    <w:p>
      <w:pPr>
        <w:pStyle w:val="911"/>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8.2 </w:t>
      </w:r>
      <w:r>
        <w:rPr>
          <w:rFonts w:hint="eastAsia" w:ascii="宋体" w:hAnsi="宋体" w:eastAsia="宋体" w:cs="Courier New"/>
          <w:b w:val="0"/>
          <w:bCs w:val="0"/>
          <w:i w:val="0"/>
          <w:iCs w:val="0"/>
          <w:caps w:val="0"/>
          <w:spacing w:val="0"/>
          <w:sz w:val="24"/>
          <w:szCs w:val="24"/>
          <w:shd w:val="clear" w:color="auto" w:fill="auto"/>
          <w:vertAlign w:val="baseline"/>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w:t>
      </w:r>
      <w:r>
        <w:rPr>
          <w:rFonts w:hint="eastAsia" w:ascii="宋体" w:hAnsi="宋体" w:eastAsia="宋体" w:cs="Courier New"/>
          <w:b w:val="0"/>
          <w:bCs w:val="0"/>
          <w:i w:val="0"/>
          <w:iCs w:val="0"/>
          <w:caps w:val="0"/>
          <w:spacing w:val="0"/>
          <w:sz w:val="24"/>
          <w:szCs w:val="24"/>
          <w:shd w:val="clear" w:color="auto" w:fill="auto"/>
          <w:vertAlign w:val="baseline"/>
        </w:rPr>
        <w:t xml:space="preserve">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u w:val="single"/>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甲方未按合同规定的期限向乙方支付服务款的，每逾期1天甲方向乙方偿付欠款总额5‰</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滞纳金，但累计滞纳金总额不超过欠款总额的</w:t>
      </w:r>
      <w:r>
        <w:rPr>
          <w:rFonts w:hint="eastAsia" w:ascii="宋体" w:hAnsi="宋体" w:eastAsia="宋体" w:cs="Courier New"/>
          <w:color w:val="000000"/>
          <w:sz w:val="24"/>
          <w:szCs w:val="24"/>
          <w:u w:val="single"/>
        </w:rPr>
        <w:t xml:space="preserve">  5%  </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甲方逾期退还履约保证金的，除应当退还履约保证金本金外，还应当按中国人民银行同期贷款基准利率上浮20%后的利率支付超期资金占用费，但因乙方自身原因导致无法及时退还的除外。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11.4.如乙方不能交付服务的，甲方有权扣留全部履约保证金；同时乙方应向甲方支付合同总价</w:t>
      </w:r>
      <w:r>
        <w:rPr>
          <w:rFonts w:hint="eastAsia" w:ascii="宋体" w:hAnsi="宋体" w:eastAsia="宋体" w:cs="Courier New"/>
          <w:color w:val="000000"/>
          <w:sz w:val="24"/>
          <w:szCs w:val="24"/>
          <w:u w:val="single"/>
        </w:rPr>
        <w:t xml:space="preserve">20%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11.5.乙方逾期交付的，每逾期1天，乙方向甲方偿付合同总额的5‰的滞纳金。如乙方逾期交付达10天，甲方有权解除合同，解除合同的通知自到达乙方时生效。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11.6.乙方所交付的服务不符合合同规定的，甲方有权拒收。甲方拒收的，乙方应向甲方支付合同总款</w:t>
      </w:r>
      <w:r>
        <w:rPr>
          <w:rFonts w:hint="eastAsia" w:ascii="宋体" w:hAnsi="宋体" w:eastAsia="宋体" w:cs="Courier New"/>
          <w:color w:val="000000"/>
          <w:sz w:val="24"/>
          <w:szCs w:val="24"/>
          <w:u w:val="single"/>
        </w:rPr>
        <w:t xml:space="preserve">20%</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11.7.在乙方承诺的或国家规定的质量保证期内（取两者中最长的期限），如经乙方2次整改仍不能达到合同约定的质量标准，乙方应退回全部合同价款，并按本条第4款处理，同时，乙方还须赔偿甲方因此遭受的损失。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11.8.乙方未按本合同的规定和服务承诺提供伴随服务/售后服务的，应按合同总价款的</w:t>
      </w:r>
      <w:r>
        <w:rPr>
          <w:rFonts w:hint="eastAsia" w:ascii="宋体" w:hAnsi="宋体" w:eastAsia="宋体" w:cs="Courier New"/>
          <w:color w:val="000000"/>
          <w:sz w:val="24"/>
          <w:szCs w:val="24"/>
          <w:u w:val="single"/>
        </w:rPr>
        <w:t xml:space="preserve"> 5% </w:t>
      </w:r>
      <w:r>
        <w:rPr>
          <w:rFonts w:hint="eastAsia" w:ascii="宋体" w:hAnsi="宋体" w:eastAsia="宋体" w:cs="Courier New"/>
          <w:color w:val="000000"/>
          <w:sz w:val="24"/>
          <w:szCs w:val="24"/>
        </w:rPr>
        <w:t xml:space="preserve">向甲方承担违约责任。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11.9.乙方在承担上述4-8款一项或多项违约责任后，仍应继续履行合同规定的义务（甲方解除合同的除外）。甲方未能及时追究乙方的任何一项违约责任并不表明甲方放弃追究乙方该项或其他违约责任。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rPr>
        <w:t xml:space="preserve">11.10.乙方响应属虚假承诺，或经权威部门检测提供的服务不能满足投标（响应）文件要求，或是由于乙方的过错造成合同无法继续履行的，乙方履约保证金不予退还外，还应向甲方支付</w:t>
      </w:r>
      <w:r>
        <w:rPr>
          <w:rFonts w:hint="eastAsia" w:ascii="宋体" w:hAnsi="宋体" w:cs="Courier New"/>
          <w:color w:val="000000"/>
          <w:sz w:val="24"/>
          <w:szCs w:val="24"/>
        </w:rPr>
        <w:t xml:space="preserve">不少于合同总价</w:t>
      </w:r>
      <w:r>
        <w:rPr>
          <w:rFonts w:hint="eastAsia" w:ascii="宋体" w:hAnsi="宋体" w:cs="Courier New"/>
          <w:color w:val="000000"/>
          <w:sz w:val="24"/>
          <w:szCs w:val="24"/>
          <w:u w:val="single"/>
        </w:rPr>
        <w:t xml:space="preserve"> 30%</w:t>
      </w:r>
      <w:r>
        <w:rPr>
          <w:rFonts w:hint="eastAsia" w:ascii="宋体" w:hAnsi="宋体" w:cs="Courier New"/>
          <w:color w:val="000000"/>
          <w:sz w:val="24"/>
          <w:szCs w:val="24"/>
        </w:rPr>
        <w:t xml:space="preserve">赔偿金。</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bookmarkEnd w:id="189"/>
      <w:r/>
      <w:bookmarkEnd w:id="190"/>
      <w:r/>
      <w:bookmarkEnd w:id="191"/>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rPr>
          <w:rFonts w:hint="eastAsia" w:hAnsi="宋体"/>
          <w:color w:val="000000"/>
          <w:sz w:val="24"/>
          <w:szCs w:val="24"/>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rPr>
          <w:rFonts w:hint="eastAsia" w:hAnsi="宋体"/>
          <w:color w:val="000000"/>
          <w:sz w:val="24"/>
          <w:szCs w:val="24"/>
          <w:highlight w:val="none"/>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4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5"/>
      <w:r/>
      <w:bookmarkEnd w:id="47"/>
      <w:r/>
      <w:bookmarkEnd w:id="48"/>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49090575"/>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南京市城市数字治理中心计划续招“南京市政务数据中心续保及扩容”项目，预算为630万/年，一</w:t>
      </w:r>
      <w:r>
        <w:rPr>
          <w:rFonts w:hint="eastAsia" w:ascii="宋体" w:hAnsi="宋体" w:eastAsia="宋体" w:cs="宋体"/>
          <w:bCs/>
          <w:color w:val="000000"/>
          <w:sz w:val="24"/>
          <w:szCs w:val="24"/>
          <w:lang w:val="en-US" w:eastAsia="zh-CN"/>
        </w:rPr>
        <w:t xml:space="preserve">次性采购二年服务，共1260万元（第二年开始据实结算）。主要服务内容为：提供1800台云主机（平均4核vCPU、16G内存）服务；提供缓存、消息队列等原生服务，提供云资源配套的相应安全防护措施，满足等保三级的要求。为兼顾云上业务系统国产化适配进程，计划第一年为过渡期，在满足现有系统运行的前提下通知各政务云使用单位做好系统国产化适配迁移，第二年在合同到期前有序完成全部云上业务系统迁移，在此期间按月统计剩余云主机数量，据实结算，如超过两年仍有系统未完成迁移，第三年开始</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val="en-US" w:eastAsia="zh-CN"/>
        </w:rPr>
        <w:t xml:space="preserve">需无偿保障云平台运行，</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lang w:val="en-US" w:eastAsia="zh-CN"/>
        </w:rPr>
        <w:t xml:space="preserve">不再支付费用。</w:t>
      </w:r>
      <w:r>
        <w:rPr>
          <w:rFonts w:hint="eastAsia"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纪检监察机构联系方式：025-68789930</w:t>
      </w:r>
      <w:r>
        <w:rPr>
          <w:rFonts w:hint="eastAsia"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遵循国家、行业及地方现行的规范和标准要求。政策依据如下：</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1.《国家电子政务标准体系建设指南》</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2.国务院办公厅关于印发“互联网+政务服务”技术体系建设指南的通知（国办函〔2016〕108号）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3.国务院办公厅关于印发政务信息系统整合共享实施方案的通知（国办发〔2017〕39号）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4.国家互联网信息办公室国家发展和改革委员会 工业和信息化部 财政部关于发布《云计算服务安全评估办法》的公告</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5.国务院办公厅关于加快推进政务服务“跨省通办”的指导意见（国办发〔2020〕35号）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6.《国务院关于在线政务服务的若干规定》（国务院令第716号）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7.国务院办公厅关于全面推进基层政务公开标准化规范化工作的指导意见（国办发〔2019〕54号）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8.《中共中央办公厅国务院办公厅印发关于&lt;深入推进审批服务便民化的指导意见&gt;的通知》（厅字〔2018〕22号）；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9.《国务院关于加快推进全国一体化在线政务服务平台建设的指导意见》（国发〔2018〕27号）；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10.《国务院办公厅关于印发政务信息系统整合共享实施方案的通知》（国办发〔2017〕39号）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11.省政府办公厅关于全面推进基层政务公开标准化规范化工作的实施意见（苏政办发〔2020〕42号）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12.省政府办公厅印发关于加快新型信息基础设施建设扩大信息消费若干政策措施的通知（苏政办发〔2020〕31号）；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13.省政府办公厅关于深入推进数字经济发展的意见（苏政办发〔2020〕71号）；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14.《中共南京市委关于制定南京市国民经济和社会发展第十四个五年规划和二〇三五年远景目标的建议》</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15.市政府关于印发南京市数字经济发展三年行动计划（2020—2022年）的通知（宁政发〔2020〕46号）；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16.市政府办公厅转发市城市管理局关于南京市2021年城市管理工作实施意见的通知（宁政发〔2021〕8号）；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17.南京市人民政府关于印发2021年市政府主要工作目标任务分解落实方案的通知（宁政发〔2021〕16号）；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18.市政府关于印发南京市政务信息化项目建设管理办法的通知（宁政发〔2020〕58号）。</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技术依据如下：</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1.GB/T 21064-2007《电子政务系统总体设计要求》；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2.GB/T 21061-2007《国家电子政务网络技术和运行管理规范》</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3.GB/T 20988-2007《信息系统灾难恢复规范》；</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4.GB50462-2008《电子信息系统机房施工及验收规范》；</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5.GB/T 22080-2008《信息技术安全技术信息安全管理体系要求》；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6.GB/T 30850-2014《电子政务标准化指南》；</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7.GB/T 31167-2014《信息安全技术 云计算服务安全指南》；</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8.GB/T 31168-2014《信息安全技术 云计算服务安全能力要求》；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9.ISO/IEC17788:2014《信息技术云计算概念和词汇》；</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10.GW0205-2014 《国家电子政务外网跨网数据安全交换技术要求和实施指南》；</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11.GB/T 32399-2015《信息技术 云计算参考架构》；</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12.GB50174-2017《数据中心设计规范》；</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13.GB/T 34982-2017《云计算数据中心基本要求》；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14.GB/T 51399-2019《云计算基础设施工程技术标准》；</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15.GB/T 22239-2019《信息安全技术 网络安全等级保护基本要求》；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16.GB/T 28448-2019《信息安全技术 网络安全等级保护测评要求》。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以上标准如有更新，按更新后的标准执行。</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2"/>
        <w:tblW w:w="499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6"/>
        <w:gridCol w:w="1603"/>
        <w:gridCol w:w="646"/>
        <w:gridCol w:w="834"/>
        <w:gridCol w:w="1292"/>
        <w:gridCol w:w="2461"/>
        <w:gridCol w:w="1202"/>
        <w:gridCol w:w="1154"/>
      </w:tblGrid>
      <w:tr>
        <w:trPr>
          <w:trHeight w:val="470"/>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66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9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备注</w:t>
            </w:r>
            <w:r>
              <w:rPr>
                <w:rFonts w:hint="eastAsia" w:ascii="宋体" w:hAnsi="宋体" w:eastAsia="宋体" w:cs="宋体"/>
                <w:bCs/>
                <w:color w:val="000000"/>
                <w:sz w:val="24"/>
                <w:szCs w:val="24"/>
                <w:lang w:eastAsia="zh-CN"/>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基础资源服务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主要产品</w:t>
            </w:r>
            <w:r>
              <w:rPr>
                <w:rFonts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数据库服务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中间件服务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云安全服务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云平台服务器资源服务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Times New Roman"/>
                <w:bCs/>
                <w:color w:val="000000"/>
                <w:sz w:val="24"/>
                <w:szCs w:val="24"/>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云平台网络资源服务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Times New Roman"/>
                <w:bCs/>
                <w:color w:val="000000"/>
                <w:sz w:val="24"/>
                <w:szCs w:val="24"/>
                <w:lang w:eastAsia="zh-CN"/>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运维服务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Times New Roman"/>
                <w:bCs/>
                <w:color w:val="000000"/>
                <w:sz w:val="24"/>
                <w:szCs w:val="24"/>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r>
        <w:trPr>
          <w:trHeight w:val="597"/>
        </w:trPr>
        <w:tc>
          <w:tcPr>
            <w:tcW w:w="285"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lang w:val="en-US" w:eastAsia="zh-CN"/>
              </w:rPr>
            </w:r>
            <w:r/>
          </w:p>
        </w:tc>
        <w:tc>
          <w:tcPr>
            <w:tcW w:w="821"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迁移服务</w:t>
            </w:r>
            <w:r>
              <w:rPr>
                <w:rFonts w:hint="eastAsia" w:ascii="宋体" w:hAnsi="宋体" w:eastAsia="宋体" w:cs="Times New Roman"/>
                <w:bCs/>
                <w:color w:val="000000"/>
                <w:sz w:val="24"/>
                <w:szCs w:val="24"/>
                <w:lang w:val="en-US" w:eastAsia="zh-CN"/>
              </w:rPr>
            </w:r>
            <w:r/>
          </w:p>
        </w:tc>
        <w:tc>
          <w:tcPr>
            <w:tcW w:w="3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lang w:val="en-US" w:eastAsia="zh-CN"/>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套*年</w:t>
            </w:r>
            <w:r>
              <w:rPr>
                <w:rFonts w:hint="eastAsia" w:ascii="宋体" w:hAnsi="宋体" w:eastAsia="宋体" w:cs="Times New Roman"/>
                <w:bCs/>
                <w:color w:val="000000"/>
                <w:sz w:val="24"/>
                <w:szCs w:val="24"/>
                <w:lang w:val="en-US" w:eastAsia="zh-CN"/>
              </w:rPr>
            </w:r>
            <w:r/>
          </w:p>
        </w:tc>
        <w:tc>
          <w:tcPr>
            <w:tcW w:w="662"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c>
          <w:tcPr>
            <w:tcW w:w="12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1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Times New Roman"/>
                <w:bCs/>
                <w:color w:val="000000"/>
                <w:sz w:val="24"/>
                <w:szCs w:val="24"/>
              </w:rPr>
            </w:r>
            <w:r/>
          </w:p>
        </w:tc>
        <w:tc>
          <w:tcPr>
            <w:tcW w:w="591" w:type="dxa"/>
            <w:vAlign w:val="center"/>
            <w:textDirection w:val="lrTb"/>
            <w:noWrap w:val="false"/>
          </w:tcPr>
          <w:p>
            <w:pPr>
              <w:pStyle w:val="871"/>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bidi="ar-SA"/>
              </w:rPr>
            </w:r>
            <w:r/>
          </w:p>
        </w:tc>
      </w:tr>
    </w:tbl>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727"/>
        <w:tblW w:w="0" w:type="auto"/>
        <w:tblInd w:w="-2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9"/>
        <w:gridCol w:w="1276"/>
        <w:gridCol w:w="8220"/>
      </w:tblGrid>
      <w:tr>
        <w:trPr>
          <w:trHeight w:val="73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功能、性能、配置不低于以下要求</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基础资源服务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1、弹性计算服务指标要求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（1）支持为云服务器指定IP地址创建云主机，支持配置IPv6/IPv4双栈网络，云主机实例可自动获取IPv6地址进行内网通信。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（2）支持云主机生命周期管理和维护，包括但不限于创建、启动、关闭、重启、更换操作系统，其中创建、启动、关闭、重启应支持批量操作。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（3）支持对云主机CPU、内存、硬盘等基础指标进行监控，支持对云主机系统中的各进程CPU、内存、打开文件数进行监控。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（4）支持对云主机的系统盘和数据盘创建整机镜像模板，创建的镜像包含用户的业务数据，可用于快速发放包含用户业务数据的新弹性云主机。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（5）单个云主机能够挂载不低于16块数据盘。</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（6）支持云主机按宿主机，机架，网络交换机物理拓扑的调度能力。控制台上分散策略支持严格分散和尽量分散两种可选。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（7）支持云主机热迁移，运维人员可以手工指定迁移任务的带宽限制，降低迁移流量对正常业务的干扰。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（8）支持云主机高可用（宕机迁移），当某台物理节点发生意外故障，在其上运行的云主机能够在其他正常的物理节点上重新启动，保障业务的连续性。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（9）支持云主机网络防ARP欺骗，云平台应阻止用户非法修改IP地址和MAC地址后发出的数据包。</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（10）支持用户通过VNC方式远程访问云主机，同时支持用户设置云主机VNC密码（非系统密码），并能在用户VNC访问时进行VNC密码认证，保证终端用户对云主机的安全访问。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（11）支持用户通过快照对云主机的数据进行备份，通过快照进行云服务器的数据恢复，支持为每块磁盘创建不低于64个快照。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（12）支持设置自动快照策略，可自定义快照时间点、重复日期以及保留时长。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（13）提供不少于1056物理核授权。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2、块存储服务指标要求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（1）为云主机提供的低时延、持久性、高可靠性的数据块级存储设备。</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（2）支持在线扩展容量，扩容期间无需关闭虚拟机，无需卸载云盘；系统盘在线扩容不停业务。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（3）支持磁盘的创建、删除、卸载、扩容、挂载、查询、初始化功能。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（4）单个数据盘的支持的存储容量不小于32TB。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（5）支持使用用户指定的KMS密钥进行加密。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提供不少于800物理核授权。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3、对象存储服务指标要求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（1）支持RESTful API接口、兼容Amazon S3接口，可通过开发工具包SDK或直接通过RESTful API进行基础和高级对象存储操作，提供key-value键值对形式的对象存储服务。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（2）支持原生图片处理服务，可创建图片处理规则、图片格式转换、图片效果处理、添加文字或图片水印、高级编辑自定义图片处理样式。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（3）支持对视频文件进行视频截帧。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（4）支持对象的简单上传、追加上传、下载、删除、列举、复制，获取对象的元数据、创建多段上传任务。支持列举存储空间、创建存储空间、删除存储空间、列举存储空间内对象、获取存储空间的元数据。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（5）支持将存储空间配置成静态网站托管模式，并通过存储空间域名访问该静态网站。支持防盗链，支持设置基于HTTP header中表头字段Referer的防盗链方法。</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（6）支持生命周期管理、定义和管理存储空间内所有对象或对象的某个子集的生命周期、变更容量和变更归属。</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（7）支持存储空间监控、使用流量监控、每小时请求数监控。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（8）支持客户端加密功能，可以使用客户端加密SDK，在本地进行数据加密，并将加密后的数据上传到对象存储。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（9）支持服务器端的加密功能，用户能够使用密钥管理系统上创建的密钥进行加密。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（10）提供不少于864TB裸存储授权。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4、负载均衡服务指标要求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（1）采用通用服务器架构实现。提供4层TCP/UDP和7层HTTP/HTTPS协议类型的服务。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（2）支持IPv6，支持挂载IPv4或IPv6的后端应用服务器。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（3）四层负载均衡支持TCP/UDP监听在后端应用服务器无插件模式下直接获取客户端源IP地址。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（4）七层负载均衡支持从HTTP头字段扩展方式获取负载均衡实例ID和负载均衡VIP地址信息。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四层负载均衡支持提供主备服务器Active-Standby模式，负载均衡监听的后端添加主备两台后端应用服务器，当主机健康检查正常时，流量将直接转发至主机；当主机健康检查失败，流量将切换至备机，主备服务器不需要依赖Keepalived、pacemaker等应用高可用组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（6）四层负载均衡支持集群内节点之间的session同步，在单机故障或者升级过程中，TCP长连接无影响。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（7）支持轮询(RR)，加权轮询(WRR)等调度算法，上述调度算法支持TCP源地址会话保持和HTTP Cookie会话保持(包括植入Cookie和重写Cookie)。</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（8）支持TCP/UDP/HTTP健康检查方式，自动隔离异常状态的后端应用服务器。支持健康检查端口与应用服务端口不相同。UDP健康检查支持用户自定义请求和应答字段。</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（9）支持公网和私网类型实例。支持私网实例绑定公网IP地址，提供同一个实例同时支持公网和私网客户端访问的功能。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配置性能保障型实例，针对不同的业务类型配置不同的规格，其中规格涉及并发连接数、每秒新建连接数、每秒查询请求数。支持单实例监听带宽配置，针对同一个VIP内不同的监听端口配置不同的带宽限制值。</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（11）提供监听级别的访问控制，基于监听配置IP地址段白名单，只有在白名单中的IP地址才允许访问负载均衡。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（12）提供不少于1套6节点授权。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5、虚拟网络服务指标要求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（1）支持用户创建自己的虚拟网络，同时支持自定义配置IP地址、子网、路由表。支持不同虚拟网络之间的安全隔离。</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IPv6，云服务器可通过IPV6地址访问互联网的IPV6服务，支持云服务器作为服务端IPv6地址提供给互联网IPv6客户端访问。支持云服务器设置IPv6公网仅主动出规则，即经IPv6地址可主动访问IPv6网络，外部IPv6终端主动发起的访问不通。</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（3）支持通过弹性网卡绑定云服务器，支持IP地址在多个云服务器间自由迁移。</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（4）支持共享虚拟网络，支持按租户和资源集的虚拟网络资源共享。虚拟网络的所有者可以将虚拟网络共享给同一组织的租户。</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（5）支持创建IPv4 NAT网关,支持SNAT和DNAT配置，用于支持NAT网关绑定多个地址。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支持用户创建网络ACL配置入向/出向规则，实现对一个或多个子网流量的访问控制。</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rPr>
              <w:t xml:space="preserve">提供不少于1056物理核授权。</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6、DNS服务指标要求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（1）支持域名级别的转发操作，将特定域名的解析操作转发到其他DNS服务器上进行解析；支持默认转发功能的配置，将本地不存在的所有域名的解析操作全部转发到其他DNS服务器上进行解析。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两种转发操作模式，强制转发模式和优先转发模式。在强制转发模式下，设置只使用转发目的DNS服务器做域名解析，如果解析不到（解析超时）则返回DNS客户端查询失败。在优先转发模式下，设置优先使用转发目的DNS服务器做域名解析，如果查询不到再使用本地DNS服务器做域名解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权威域名的添加、修改、备注、删除、批量删除操作的功能，同时也支持根据关键字进行模糊查询，针对每个虚拟网络都可以提供定制化的私有网络DNS解析服务配置，实现虚拟网络粒度的租户隔离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（4）支持IPV6域名解析服务。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（5）支持域名主机记录的添加、删除和修改操作的功能，支持的记录类型包括A、AAAA、CNAME、MX、TXT、SRV、PTR、NAPTR、CAA。</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（6）支持全局域名的配置管理。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基于地理位置的全局域名调度和虚拟网络私有域名调度，地域基于内网IP地址段的分配来标注，租户侧DNS云服务可以根据客户端访问的源IP判断地域，并把相同域名解析到不同的后端指定虚拟IP上，来实现基于地理位置的流量调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（8）提供不少于1套服务授权。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7、云管理平台服务指标要求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（1）支持以组织和资源维度统计资源报表、配额报表和云监控报表；支持异步导出的各类统计分析报表。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（2）支持创建/修改/删除/查询资源集；支持查看/跳转到资源集的资源实例；可通过资源集管理用户、用户组。</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（3）支持创建/修改/删除/恢复/禁用/激活/查询用户、创建/修改/删除/查询用户组、查询/修改/重置密码、变更归属、角色授权、用户组管理、登录策略设置。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（4）支持创建/修改/删除/级联删除/查询组织、变更资源组织归属。支持通过组织查看、删除、导入用户信息。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（5）支持云环境中云产品的可用规格的录入/禁用/启用/查看管理.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角色创建、修改、删除、禁用功能，支持自定义业务角色，设置角色所具有的操作权限，并将角色管理给相关用户；支持复制/查询角色，支持设置角色所能查看的首页仪表盘布局，以及相应的可视化控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（7）提供统一的用户密码策略配置，支持强密码、密码有效时间以及锁定策略；</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（8）提供日志审计功能，保留所有用户的操作日志，并支持日志的过滤和导出功能。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（9）支持创建/修改/删除/禁用/激活登录策略、支持白名单、支持黑名单、关联用户、关联组织；支持按照登陆时间和IP地址的白名单/黑名单策略；支持设置能看见并使用这个登陆策略的组织。</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（10）支持创建、自定义、删除、启用、删除自定义菜单功能。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（11）提供不少于150节点授权。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8、运维管理服务指标要求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展示云平台部署产品概览，包括部署云产品总数，集群总数。图形化展示产品软件部署状态。支持看出每个集群的详细信息，包括集群名称、所属产品、集群状态、机器数量、告警数量。支持按产品名称、集群名称、集群状态查询集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以IDC机房、机柜维度查看服务器列表和详细信息，展示每个机柜内服务器数量和服务器告警状态，可查看每台服务器的状态、详细信息、报警信息和监控信息，监控信息包括CPU使用率、磁盘使用率、内存使用率、主机流量、磁盘IO等。支持以软件部署角度查看各个产品所在的物理服务器，可以按地域、产品、集群查看服务器列表和服务器详细信息。支持把服务器信息导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（3）支持对服务器进行操作系统运维，包括内存使用率、时间同步、kernel故障、磁盘IO负载、删除文件异常、异常网络数据包、TCP链接状态异常、网卡异常、网络丢包等常见异常。</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（4）支持显示云平台物理网络拓扑，支持显示网络设备网元和互联链路，网络设备和互联链路应支持按颜色区分链路状态。支持动态拓扑和基准拓扑，支持把拓扑更新到基准拓扑。</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（5）提供脚本库存放运维脚本，支持系统内置脚本，并支持运维人员自定义和导入脚本。</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（6）提供软件仓库能力，可以上传和下载软件包，支持压缩包、JAR包等格式。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（7）支持运维作业定义，运维作业可以手动触发和定时触发。支持在作业中定义执行的脚本或软件包，以及执行主机列表，任务支持灰度设置。支持图形化方式编排运维流程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（8）支持运维角色管理，可按产品进行角色授权，支持设置运维IP白名单配置。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rPr>
              <w:t xml:space="preserve">支持运维命令审计，包括登录、登出、执行命令。记录操作人、操作时间、操作机器、执行结果信息。支持对操作视频回放。</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rPr>
              <w:t xml:space="preserve">提供不少于150节点授权。</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1、关系型云数据库服务指标要求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（1）提供稳定可靠、可弹性伸缩的在线关系型数据库服务，兼容MySQL数据库。支持指定虚拟网络创建数据库实例。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（2）提供完善的备份、恢复机制，支持手工备份和自动备份，支持物理备份和逻辑备份、逻辑备份支持库级备份，并支持恢复到指定时间点。</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（3）支持原生只读实例和读写分离功能，自动实现读写分离以及读节点间的负载均衡。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（4）支持可视化日志管理，包括慢日志、错误日志、数据库主备切换日志等。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（5）支持业务无中断在线方式升级数据库规格及存储空间。</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（6）提供数据库自主诊断、慢查询分析，提供全面的健康状态以便用户自动化运维。</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（7）具备完善的安全防护措施，支持白名单设置、SQL审计等功能。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（8）支持在传输层对网络连接进行加密，可对数据文件执行实时I/O加密和解密，支持SM4、AES_256_CBC加密。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（9）提供不少于192物理核授权。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2、云内存数据库服务指标要求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（1）完全兼容Redis 4.0、5.0协议标准，支持String、Hash、List、Set、Sortedset等常见类型，支持事务和订阅。</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（2）提供多种规格的内存数据库实例，支持实例的创建、重启、释放、备份等管理操作，支持在控制台清除全部数据和清理过期数据；支持实例的网络隔离。</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（3）支持主从、读写分离、集群等不同形态，用户可以在不同形态之间进行切换且对外连接地址不变。</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（4）支持实例会话管理，可查看会话列表，具体操作，执行耗时等信息，可对会话进行批量kill等管理操作。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（5）支持缓存分析，支持查看key在内存的占用和分布信息，支持大key分析。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支持实例的手动和自动备份，支持自动备份策略设置，支持主从、集群版等多种形态实例的原地恢复，克隆实例，支持备份集下载。</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rPr>
              <w:t xml:space="preserve">支持自定义监控项，包括基础监控组、Keys监控</w:t>
            </w:r>
            <w:r>
              <w:rPr>
                <w:rFonts w:ascii="SimSun" w:hAnsi="SimSun" w:eastAsia="SimSun" w:cs="SimSun"/>
                <w:color w:val="000000"/>
                <w:sz w:val="24"/>
              </w:rPr>
              <w:t xml:space="preserve">组</w:t>
            </w:r>
            <w:r>
              <w:rPr>
                <w:rFonts w:ascii="SimSun" w:hAnsi="SimSun" w:eastAsia="SimSun" w:cs="SimSun"/>
                <w:color w:val="000000"/>
                <w:sz w:val="24"/>
              </w:rPr>
              <w:t xml:space="preserve">、String/Hash/List等常见类型监控组、Pub/Sub监控组等。</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rPr>
              <w:t xml:space="preserve">支持SSL链路加密访问，支持RDB文件落盘加密。</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rPr>
              <w:t xml:space="preserve">支持域名访问和域名修改，支持端口号修改，避免默认端口号扫描风险。</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rPr>
              <w:t xml:space="preserve">支持白名单设置，提供灵活的安全访问管理能力。</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rPr>
              <w:t xml:space="preserve">提供不少于3072 GB内存授权。</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3、分布式云数据库服务指标要求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（1）提供多种维度贴合业务的拆分函数，设置后自动完成数据路由及分库分表，支持数据的水平拆分与复杂结果合并。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（2）支持分库分表，只需选择拆分键，分布式数据库就可以按照拆分键生成拆分规则，支持数据的水平拆分和复杂结果合并（应用端单MySQL体验），支持10种以上分库分表算法。</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（3）支持强一致分布式事务，使用体验和单机MySQL 数据库一致，严格确保ACID语义。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（4）提供全局二级索引、全局唯一索引，支持多维字段拆分，极大提升业务多维查询便捷性。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（5）提供Parallel Query并行加速能力，提升对于在线业务的多表关联，聚合排序等海量数据下的复杂查询执行效率。</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（6）提供分布式数据库无间断水平扩容功能，扩容无需应用改造，扩容进度支持可视化跟踪。</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（7）提供对应用无侵入的读写分离，通过只读实例实现读写分离，对应用无侵入，在产品控制台即可完成读写分离相关操作。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（8）提供分布式全局唯一Sequence，支持分布式全局唯一且有序递增的数字序列。满足业务在使用分布式数据库下对主键或者唯一键以及特定场景的需求。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（9）提供小表复制同步解决分布式JOIN问题。</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（10）具备分布式数据库全生命周期的运维管控能力，提供前台运维平台、后台管控系统、指标监控系统、运维管理指令。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（11）提供不少于192物理核授权。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4、数据库管理服务指标要求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关键字查找所需要访问实例、库、表数据资产；支持分类大盘统计用户、实例、数据库、表等数据资产数量；支持按需定义最多四层深度的类目，用于按照业务维度有效管理数据库实例、库、表等数据资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（2）支持任务编排按需定义多个任务节点组成DAG周期调度。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（3）支持历史执行SQL的模糊查询，可查看SQL执行的开始时间、数据库、SQL、状态、行数、耗时、备注等信息。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（4）支持图形化批量操作表，包括批量清空数据，删除表，表维护（优化表、检查表、修复表、分析表），表名前缀（添加前缀、修改前缀）。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（5）支持图形化数据库克隆，可选源库全表或者指定表进行克隆，可选是否对视图、存储过程、函数、触发器、事件等对象进行克隆。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（6）支持图形化自动生成测试数据，可指定数据生成方式，包括随机、逻辑依赖、枚举等。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（7）支持图形化表数据量统计，可以按照表名模糊查询，统计表行数、容量等信息。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（8）提供建表语句SQL脚本查看、下载SQL，提供导出表结构word、excel、pdf等多种格式。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敏感数据资产大盘，对敏感数据分布进行统一纳管；支持元数据自动化扫描，可根据自定义分类分级模板，对敏感数据及时发现、有效管理；支持敏感数据脱敏管理，内置脱敏算法实现不同场景、不同字段的差异化脱敏需求；支持对敏感数据进行监控、异常审计与预警，解决敏感数据异常使用与数据泄露的溯源问题。</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（10）支持普通数据、无锁数据、历史数据清理、批量数据导入、可编程对象等数据变更申请管理。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（11）支持审批模板和审批节点的新增、编辑、删除等审批流程操作管理。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（12）支持安全规则的新增、缺省设置、编辑、类似创建、删除。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（13）支持变更任务开启事务、定时调度、变更前自动备份，保障数据完整性与安全性。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（14）提供不少于20个数据库实例授权。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5、数据库自治服务指标要求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（1）支持10秒SQL分析功能，在10秒中，每隔一秒中，执行一次查看SQL任务进程，然后将所有的结果集进行统计分析，可以非常清晰的看到在这10秒中，哪些SQL执行的次数最多，是否存在慢SQL等。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（2）支持SQL诊断和优化，基于外置SQL优化器，定位SQL的性能问题，并输出SQL的优化建议，同时给出优化收益。</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（3）支持会话管理功能，提供实时活跃会话分析、多维度分析统计分析功能，支持快速定位活跃会话数量最多的用户、应用服务器。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（4）支持实时性能，提供通过图标或者黑屏的方式，每隔5秒自动采集数据库性能信息，有效的帮助数据库盯屏和护航。</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（5）支持异常会话自动识别功能，提供自动识别悬挂事务、执行异常的SQL、阻塞SQL，并可以直接对SQL进行Kill、限流或者优化。</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（6）支持慢SQL分析功能，提供慢SQL去参数化和模版化，能够快速定位执行次数TOP慢SQL、执行耗时TOP慢SQL、锁等待时间TOP慢SQL。</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（7）支持查看各个表空间的详情（表空间、索引空间、碎片率、表结构等等）、临时表空间的使用趋势、日志空间的使用趋势。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（8）支持表空间分析和诊断功能，支持大表识别、表空间碎片识别、剩余空间可用天数预测。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（9）支持诊断报告，提供一键生成数据库的诊断报告，报告内容包括性能容量、慢SQL分析、空间诊断、会话诊断等内容。</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（10）提供不少于20个数据库实例授权。</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中间件服务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1、分布式应用服务指标要求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（1）提供WEB界面形式的可视化分布式应用管控平台，对应用进行生命周期管理，包括而不限于应用的创建、部署、启动、扩容、停止和下线。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（2）分布式框架内置的注册中心可以兼容Dubbo，SpringCloud和HSF业界三大主流远程调用协议。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灰度方式发布应用。发布过程支持分批操作以保证业务连续性，且分批过程可以指定手动或自动触发。支持按内容和按比例的灰度发布策略。发布应用的过程中支持配置启动命令、环境变量和应用生命周期管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（4）提供可视化的方式进行配置管理，配置中心支持在线、准实时变更服务配置，支持配置文件的多版本管理维护。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（5）提供Web界面形式查看实例中应用的实时日志。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（6）支持添加日志文件和目录，并支持在线查看。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rPr>
              <w:t xml:space="preserve">在分布式服务框架控制台上可以创建和管理服务鉴权规则。根据鉴权规则，被调用方将可开闭允许或禁止调用方调用其接口，进行服务调用的安全管控。</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rPr>
              <w:t xml:space="preserve">支持在一个云租户下通过命名空间隔离的方式实现多套环境并存，命名空间提供服务名在注册中心的逻辑隔离。</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rPr>
              <w:t xml:space="preserve">支持创建和管理离群摘除策略。当策略被触发时应用实例将被自动摘除。</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rPr>
              <w:t xml:space="preserve">提供批量运维功能，可以对集群、应用以及指定的机器节点批量执行运维命令。</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rPr>
              <w:t xml:space="preserve">支持Eclipse和IDEA两大主流集成开发环境（IDE）。支持使用IDE插件一键部署应用，并进行本地开发端与云端系统的联调。</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color w:val="000000"/>
                <w:sz w:val="24"/>
              </w:rPr>
              <w:t xml:space="preserve">提供不少于100 VCPU授权。</w:t>
            </w:r>
            <w:r>
              <w:rPr>
                <w:rFonts w:ascii="SimSun" w:hAnsi="SimSun" w:eastAsia="SimSun" w:cs="SimSun"/>
                <w:color w:val="000000"/>
                <w:sz w:val="24"/>
              </w:rPr>
              <w:t xml:space="preserve">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2、分布式消息队列服务指标要求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（1）提供JAVA、C/C++、.NET等多语言SDK。</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（2）支持按照消息的发布顺序进行顺序消费（FIFO），支持全局顺序与分区顺序。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（3）支持事务消息，支持消息生产者本地事务与消息消费者的原子性，保证消息生产者本地事务处理成功与消息发送成功的最终一致性。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（4）支持为消息设置推送时间，消费者只能在指定时间和指定延时后消费到该条消息。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（5）支持集群消费与广播消费模式。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 Topic、Message ID、Message Key 多维度方式查询消息详细信息。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（7）支持消息轨迹查询，全程追踪消息在生产者、消息服务器、消费者之间的流动轨迹，并将数据进行汇聚分析后可视化输出。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（8）支持查询无法被正常消费的消息并可以进行重投。</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rPr>
              <w:t xml:space="preserve">实时统计消息生产和消费数据，可以查询在一段时间范围内发送至某Topic的消息总量或者TPS（消息生产数据），也可查询在一个时间段内某Topic投递给某Group ID的消息总量或TPS（消息消费数据）。</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rPr>
              <w:t xml:space="preserve">具备完善的多用户隔离机制，保障用户数据的私密性。</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rPr>
              <w:t xml:space="preserve">支持消息队列实例管理，支持创建、更新实例，删除实例，创建时可以设置Topic数上限，消息队列实例的是否拥有命名空间。</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color w:val="000000"/>
                <w:sz w:val="24"/>
              </w:rPr>
              <w:t xml:space="preserve">支持按照创建实例时的TPS的并发量做实例级别的限流，若配置限流开关打开，当达到实例开通时的消息并发量，则拒绝消息生产。</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SimSun" w:hAnsi="SimSun" w:eastAsia="SimSun" w:cs="SimSun"/>
                <w:color w:val="000000"/>
                <w:sz w:val="24"/>
              </w:rPr>
              <w:t xml:space="preserve">支持多个实例间的消息同步能力。</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rPr>
                <w:rFonts w:ascii="SimSun" w:hAnsi="SimSun" w:eastAsia="SimSun" w:cs="SimSun"/>
                <w:color w:val="000000"/>
                <w:sz w:val="24"/>
              </w:rPr>
              <w:t xml:space="preserve">支持TCP协议SDK，支持HTTP协议SDK接入。</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SimSun" w:hAnsi="SimSun" w:eastAsia="SimSun" w:cs="SimSun"/>
                <w:color w:val="000000"/>
                <w:sz w:val="24"/>
              </w:rPr>
              <w:t xml:space="preserve">提供不少于1套4节点授权。</w:t>
            </w:r>
            <w:r>
              <w:rPr>
                <w:rFonts w:ascii="SimSun" w:hAnsi="SimSun" w:eastAsia="SimSun" w:cs="SimSun"/>
                <w:color w:val="000000"/>
                <w:sz w:val="24"/>
              </w:rPr>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3、云总线服务指标要求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（1）支持以Web界面形式进行API全生命周期管理，包括发布、订购、消费到注销。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（2）支持数据库协议、REST协议，WebService协议等广泛的协议，并支持各种协议之间进行转换和互通。</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（3）可设置服务总体流量访问控制。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（4）可设置服务黑白名单，无需重启服务即可生效。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（5）支持服务总线节点的无间断扩容，能够水平扩展服务总线节点，线性增加服务能力。</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2个云服务总线群组或实例之间的HTTP服务级联：在实例A上发布接入协议为HTTP的服务，自动级联发布到另外一个实例B，客户端访问实例B上开放的HTTP服务时，云服务总线通过安全通道，自动路由请求到实例A，再转发给内部域的业务服务应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（7）支持完整的针对服务链路和系统指标的日志、巡检和监控。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（8）提供不少于16 VCPU授权。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4、业务实时监控服务指标要求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（1）支持基于主流同步、异步调用框架，如Spring Cloud, Dubbo, HTTP RESTful的分布式链路跟踪。</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（2）提供对于服务提供者以及消费者的集群以及单机的CPU，内存，磁盘、网络的监控并以图形化形式按照小时，天，周进行曲线展现。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（3）支持应用接口的指标统计，包括请求数、响应时间和错误数等。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（4）能统计出服务和服务的关联依赖图。</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（5）支持用户自建应用监控。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（6）支持服务MQ调用信息查看，支持按消息topic维度展示请求数，响应时间和错误数。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（7）能统计出Java异常的次数统计，应用关联统计，以及发生所在的链路明细。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（8）提供接口快照功能，接口快照支持通过自动线程剖析定位慢调用方法。</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（9）支持Web界面可视化的调用链路的跟踪展示。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（10）通过 TraceId 精确查询调用链路详细情况，或结合多种条件筛选查询调用链路。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（11）支持基于数据集配置交互式大盘，大盘可动态刷新。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（12）支持基于用于自定义监控数据集指标的报警。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（13）支持应用层监控，包括但不限于JVM的YoungGc及FullGc的数量及耗时、JVM的堆内存使用情况、JVM的堆外内存使用情况、JVM线程数等维度的监控。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（14）可以查看应用的外部调用的请求数、响应时间、错误数及HTTP状态码信息。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（15）支持对应用进行标签分组与过滤。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（16）支持抓取sql语句运行时长和错误，支持抓取绑定变量，统计数据库慢查询的请求次数及耗时，对数据库的性能问题有针对性监控。</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（17）支持自定义应用监控的一些常用设置，包括但不限于调用链采样率、Agent开关、慢SQL阈值等。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（18）支持指定时间段内NoSQL调用次数统计，支持基于操作命令的调用平均耗时、调用次数的详情查看。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（19）提供不少于100 VCPU授权。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5、容器服务指标要求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（1）容器服务与云平台无缝对接，能够通过控制台实现集群的一键式自助创建和删除集群。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（2）提供平台看台功能，能够快速查看资源的总体运行状态，包括节点、组件、应用的运行状态，集群的事件记录以及集群的当前的资源使用情况。</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（3）支持从Web页面一键式手工自助添加和删除节点，伸缩过程中无需人工干预。</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（4）支持页面对资源进行编排，资源包括：Deployment、StatefulSet、DaemonSet、Job、CronJob等。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（5）支持使用YAML文件创建应用，查看已部署应用的YAML文件，可修改已部署YAML配置。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（6）支持从页面上进行容器存储卷（本地存储、块存储、对象存储）的生命周期管理。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（7）支持手动伸缩和弹性伸缩，支持手工调整Pod的副本数量进行横向伸缩，支持配置容器资源阈值进行容器实例的自动伸缩。</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查看Kubernetes集群中的事件整体概览以及重要事件（访问、命令执行、删除资源、访问保密字典等）的详细信息。支持查看Kubernetes集群中常见的计算资源、网络资源以及存储资源的操作统计信息。操作包括创建、更新、删除、访问。支持查看Kubernetes集群中某类资源的详细操作列表；支持自定义时间维度查询。</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（9）支持容器实例日志查看和应用日志采集。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（10）支持安全容器，安全容器需拥有独立的内核，具备更好的安全隔离能力且具备与Docker容器一样的用户体验。</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（11）支持k8s组件安装、卸载、升级等生命周期管理能力。</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（12）集群单个Master节点故障时，不影响集群正常使用，全部Master节点全部故障时，不影响已有业务正常使用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（13）Worker节点故障迁移时，故障节点上POD自动迁移。</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（14）提供不少于500 VCPU授权。</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云安全服务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1、云安全服务通用指标要求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提供成熟的云安全管理平台，在云安全管理平台中提供的态势感知、Web应用防火墙、主机安全防护、流量安全监控等功能模块,要能与云平台实现自动化交付安装、统一管理、统一监控、统一调度，实现同一界面、统一账号，禁止每个产品是单独的配置界面。</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（2）云平台安全防护系统应采用通用服务器架构、软件化部署，具有高可用设计和弹性扩展能力。</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2、主机安全服务指标要求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（1）支持主机端口监听信息，包括监听端口、网络协议、对应的进程、IP地址最新采集时间等信息。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（2）支持主机软件安装的资产信息，包括具体软件资产名称、软件版本、软件安装目录、最新采集时间等信息。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（3）支持主机进程信息，包括进程名、进程路径、启动参数、启动时间、运行用户、运行权限、pid、父进程、最新采集时间等信息。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（4）支持主机账户信息，包括账户名、登录权限、root权限、用户组、到期时间、上次登陆时间、最新采集时间等信息。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（5）支持主机的计划任务，包括任务路径、执行命令、任务周期、账户名称，最新采集时间等信息。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中间件数据类型，包括中间件名称、类型、版本、PID、安装路径、最新扫描时间、版本验证信息、父进程PID、运行用户进程监听IP、进程监听端口、监听状态、监听端口协议、进程启动时间、进程命令行、容器名称、镜像名称、配置文件路径、Web目录。</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（7）支持启动项数据类型，包括启动项名称、命令行、任务路径/MD5、最新采集时间。</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（8）支持主机维度进行资产暴露盘点，可提供资产、暴露方式、暴露组件、暴露端口、可被利用的漏洞、暴露链路拓扑图及暴露风险详情等信息。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（9）支持应用维度进行资产暴露盘点，可提供暴露中间件名称、类型、版本、关联漏洞、影响资产、最新扫描时间等信息。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（10）支持网站后门防护功能，支持自动拦截黑客通过已知网站后门进行的异常连接行为，并隔离相关文件，有效清理隔离PHP、ASP、JSP等类型的WebShell后门。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（11）提供不少于47节点授权。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3、漏洞扫描服务指标要求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（1）支持资产状态检测，资产自动收集、识别资产上线、下线和更新等状态。</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（2）支持资产导入功能，包括域名资产、主机资产、网站资产，实时查看导入进度。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（3）支持以饼图、柱状图、趋势图等形式展示资产综合状况，支持从资产类型、漏洞类型、主机存活状态、服务类型等角度展示。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（4）系统漏洞库能够覆盖常见的操作系统漏洞、软件漏洞、最新的网站框架应用漏洞等。能够针对操作系统以及Web漏洞进行检测。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（5）漏洞标准兼容CVE、CNVD等。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（6）支持运维弱口令检测功能，包括MySQL、SSH、FTP、Redis等主流服务口令检测。弱口令字典可以自定义设置。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（7）支持通过资产指纹进行漏洞分析，并从资产的类型、服务版本、漏洞类、漏洞严重程度等多个维度进行关联分析。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（8）支持虚拟网络侧扫描自动导入虚拟云主机资产，可手工添加扫描目标IP。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（9）支持主机资产发现，采用TCP_SYN、ICMP_ECHO、UDP、TCP_ACK、SCTP等多种方式，同时支持IPV6扫描，并支持探活端口设置，全天候巡检发现资产更新并展示。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（10）支持资产风险分析，包括但不限于未修复、已修复风险、已确认、待确认、已忽略等不同风险维度展示，同步展示漏洞数量趋势、风险生命周期等信息。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（11）支持漏洞风险TOP N展示，包括但不限于应用漏洞、运维安全风险、风险资产、弱口令等。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（12）提供不少于47节点授权。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4、态势感知服务指标要求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（1）提供整体安全威胁概览信息，包括总体安全评分、防护资产状态、待处理风险告警、已处理风险等态势信息。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（2）提供基于态势感知的大屏展示，包括资产、漏洞、基线、攻击来源、攻击分布等网络安全态势信息。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（3）提供资产中心管理页面，包括服务器资产和云产品资产，展示的信息包括不限于防护状态、所属虚拟网络、风险类型等信息。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（4）支持防密码暴力破解攻击事件的发现，可对黑客进行暴力破解的行为进行实时检测，例如：支持对SSH、RDP、Telnet、Ftp等常见协议的登录行为检测。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（5）支持定向攻击分析，比对云平台数据，分析出定向的应用攻击和定向暴力破解。</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（6）支持异常流量分析，从流量中抓取异常流量，分析已知和未知攻击。包括发现异常的网络连接等。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通过机器学习和数据建模发现潜在的入侵和攻击威胁，从攻击者的角度有效捕捉高级攻击者使用的0Day漏洞攻击、新型病毒攻击事件。支持但不限于以下模型的威胁检测：MySQL提权和写Webshell、主机侧挖矿程序检测、反弹shell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（8）支持应用白名单功能，防止未经白名单授权的程序运行</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（9）提供不少于117节点授权。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5、云安全管理中心服务指标要求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（1）支持安全告警总数、处置闭环率、处置动作占比、告警风险级别、告警数据源、告警类型分布、TOP10攻击源IP、TOP10被攻击IP等告警数据统计。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（2）支持云环境全局新发现网络攻击、异常行为、安全脆弱性、防护组织、TOP5遭受攻击组织、TOP5待处理异常行为、TOP5待处理脆弱性等数据统计呈现.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（3）支持云环境全局威胁事件集中呈现，包括威胁名称、威胁类型、ATT &amp; CK ID、威胁描述、处置建议、网络协议、源/目的IP及端口、匹配已知威胁情报、域名、文件名、进程信息等关键信息。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（4）支持威胁事件风险判定的证据信息，并按照KillChain各阶段进行映射关联。</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（5）支持威胁事件一键转换为响应事件，将威胁事件相关信息导入到响应编排中心。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（6）支持恶意指标画像，包括威胁等级、基本信息、IP标签、攻击目标、攻击次数、攻击影响程度、WHOIS、情报源等信息。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（7）支持云平台资产信息的采集，并以列表的形式进行呈现，包括服务器名称/ip、操作系统、异常行为、在线状态等信息。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（8）支持租户侧云主机或虚拟化资产的信息采集，包括云主机、云数据库、云存储、负载均衡、弹性外网IP和Tunnel等资产实例信息。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云主机资产以列表形式集中呈现，包括IP公/私网地址、所属组织/单位、所属虚拟网络、运行状态、操作系统、是否为新增、可疑安全组、安全告警、脆弱性风险、网络攻击、Agent状态、快照、内存、磁盘等信息，支持单资产详细网络攻击、异常行为、脆弱性风险的信息查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（10）云数据库资产以列表方式集中呈现，包括各云数据库的实例ID、组织、类型、备份情况、白名单IP状态（严格/宽松）、白名单组、网络类型、SSL加密、TDE加密等信息。</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（11）支持审计，可查看指定时间7天以内的日志概览统计，包括原始日志趋势、审计事件趋势、审计风险分布、危险事件分布、存储用量、审计类型等。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（12）提供不少于1套服务授权。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6、平台侧堡垒机服务指标要求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（1）支持会话录像在线回放、定位回放及下载后使用官方专用客户端离线回放。</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（2）支持按设备、数据库、系统帐号、计划执行时间、改密周期、密码策略、改密结果发送等生成详细的改密计划，到期自动执行。</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（3）支持随机生成不同密码、随机生成相同密码以及手工指定相同密码的密码策略，并能严格遵守密码强度设置；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（4）支持对RDP屏幕文字内容、标题窗口、键盘输入的记录和搜索定位。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（5）支持多种认证方式：本地静态密码认证、RADIUS认证、LDAP认证、AD域认证。</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（6）支持对重要设备启用登录备注策略：运维用户访问设备时必须先填写该次访问的目的等内容，否则无法登录；</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Web访问方式：支持使用浏览器直接调用H5控件实现运维操作；支持Web页面调用DB2cmd、PLSQL、Toad、Mysql、Sqlplus、Isqlw、SqlAdvantage、PowerBuilder、SqlPlusW、Sqlldr、mstsc、Xshell、SecureCRT、Putty、winscp、flashFXP、FileZilla、Netterm、LeapFTP等运维客户端工具</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（8）提供不少于1套500节点授权。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7、Web应用防火墙服务指标要求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（1）支持自定义规则，能够在功能界面上设定规则的存活时间，至少支持：秒、分、时、天的时间设定粒度。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（2）既支持防护来自互联网的攻击，也支持防护来自网络内部的攻击。</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（3）支持对后端Web服务器的健康检查，可配置健康检查路径及响应码。</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（4）支持设定针对域名和URL的访问频次控制规则，实现对违规IP和session的访问控制。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（5）提供不少于1套2节点授权。</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8、流量安全监控服务指标要求</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（1）支持对可疑的网络访问行为进行一键封禁，禁止可疑IP地址出和入方向的网络访问。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（2）支持查询单个IP的网络访问记录详情，查看IP地址关联的虚拟机资产，历史网络会话记录。支持查看最近1小时、24小时、7天3个维度的统计数据。</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（3）威胁日志支持一键封禁IP、一键加白等操作，实现对告警的快速处理。</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（4）支持四层防护策略，根据基于源IP、目的IP及端口设置流量观察与阻断策略。</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（5）支持应用层防护策略，基于HTTP报文的字段内容设置观察与阻断策略；支持设置策略生效时间。</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（6）支持端口扫描欺骗策略，可添加需要防护的IP和端口，对恶意端口扫描行为进行欺骗。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（7）支持SSL加密流量特征检测，发现加密流量中的恶意软件通信行为特征并产生告警。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（8）支持云原生多租户部署模式，一套集群支持检测不同租户的流量，并支持每个租户账单独立查看安全告警，支持租户配置安全策略，租户配置的阻断策略和白名单仅对租户生效。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（9）提供不少于1套2节点授权。</w:t>
            </w:r>
            <w:r/>
          </w:p>
        </w:tc>
      </w:tr>
      <w:tr>
        <w:trPr>
          <w:trHeight w:val="1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云平台服务器资源服务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1、服务器Ⅰ型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 个 Intel 处理器，单个处理器≥24 个核心，主频≥2.4GHz，睿频≥4GHz，缓存≥35.75MB。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（2）配置≥1536GB 内存，ECC DDR4 RDIMM 频率 ≥2666MHz。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 块企业级 SATA 或 M.2 接口SSD 固态硬盘，单盘容量≥240GB；配置≥1 块企业级 NVMe 协议直通或 U.2 接口SSD 固态硬盘，单盘容量≥960GB。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 块 SAS 卡或 non-Raid直通，满足机型磁盘配置需求，采用板载AHCI 直出或以下芯片型号卡：SAS3008it、SAS3408it、SAS3216、SAS3416it 等。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 光口（含光模块），主控芯片不低于 Intel 82599，支持PXE，支持 DPDK 应用（兼容 2.2 版本），支持SRIOV 技术，支持特定五元组（源IP地址，源端口，目的 IP 地址，目的端口和传输层协议）分流到 SRIOV VF。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 Web 的远程管理控制、配备硬件监控、远程管理功能；支持IPMI2.0 标准。提供 IKVM 功能，实现远程KVM功能；独立管理口100%兼容千兆或百兆交换网络，通过管理口实现远程开关机、重启、网络安装操作系统等操作。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（8）实际配置数量≥22 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2、服务器Ⅱ型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 个 Intel 处理器，单个处理器≥16 个核心，主频≥2.3GHz，睿频≥3.9GHz，缓存≥22MB。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（2）配置≥384GB 内存，ECC DDR4 RDIMM频率≥2666MHz。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（3）配置≥2 块企业级 SATA 或 M.2 接口SSD 固态硬盘，单盘容量≥240GB；配置≥2 块企业级 NVMe 协议直通或 U.2 接口SSD 固态硬盘，单盘容量≥1920GB；配置≥12 块企业级 SATA 接口 HDD 机械硬盘，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单盘容量≥12000GB，转速≥7200rpm。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 块 SAS 卡或 non-Raid 直通，满足机型磁盘配置需求，采用板载AHCI 直出或以下芯片型号卡：SAS3008it、SAS3408it、SAS3216、SAS3416it 等。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 光口（含光模块），主控芯片不低于 Intel 82599，支持PXE，支持 DPDK 应用（兼容 2.2 版本），支持SRIOV 技术，支持特定五元组（源IP地址，源端口，目的IP地址，目的端口和传输层协议）分流到 SRIOV VF。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 Web 的远程管理控制、配备硬件监控、远程管理功能；支持IPMI2.0 标准。提供 IKVM 功能，实现远程KVM 功能；独立管理口 100%兼容千兆或百兆交换网络，通过管理口实现远程开关机、重启、网络安装操作系统等操作。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（8）实际配置数量≥31 台。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3、服务器Ⅲ型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 个 Intel 处理器，单个处理器≥24 个核心，主频≥2.1GHz，睿频≥3.4GHz，缓存≥36MB。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（2）配置≥768GB 内存，ECC DDR4 RDIMM 频率≥2666MHz。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 块企业级 SATA 或 M.2 接口SSD 固态硬盘，单盘容量≥480GB；配置≥4 块企业级 NVMe 协议直通或 U.2 接口 SSD 固态硬盘，单盘容量≥3840GB。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 块 SAS 卡或 non-Raid 直通，满足机型磁盘配置需求，采用板载AHCI 直出或以下芯片型号卡：SAS3008it、SAS3408it、SAS3216、 SAS3416it 等。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 光口（含光模块）， 主控芯片不低于 Intel 82599，支持 PXE，支持 DPDK 应用（兼容 2.2 版本）， 支持 SRIOV 技术，支持特定五元组（源IP地址，源端口，目的 IP 地址，目的端口和传输层协议）分流到 SRIOV VF。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（8）实际配置数量≥16台。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4、服务器Ⅳ型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（1）配置≥2个Intel处理器，单个处理器≥12个核心，主频≥2.2GHz，睿频≥3.2GHz，缓存≥16.5MB。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（2）配置≥192GB内存，ECCDDR4RDIMM频率≥2666MHz。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（3）配置≥1块企业级SATA或M.2接口SSD固态硬盘，单盘容量≥240GB；配置≥1块企业级NVMe协议直通或U.2接口SSD固态硬盘，单盘容量≥960GB。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（8）实际配置数量≥13台。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5、服务器Ⅴ型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（1）配置≥2个Intel处理器，单个处理器≥12个核心，主频≥2.2GHz，睿频≥3.2GHz，缓存≥16.5MB。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（2）配置≥192GB内存，ECCDDR4RDIMM频率≥2666MHz。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（3）配置≥1块企业级SATA或M.2接口SSD固态硬盘，单盘容量≥240GB；配置≥1块企业级NVMe协议直通或U.2接口SSD固态硬盘，单盘容量≥960GB。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（6）配置≥2GE网口，主控芯片型号IntelI350/82580/82576，物理网口自适应10/100/1000Mbps，支持PXE，支持虚拟化应用。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（9）实际配置数量≥7台。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6、服务器Ⅵ型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（1）配置≥2个Intel处理器，单个处理器≥12个核心，主频≥2.2GHz，睿频≥3.2GHz，缓存≥16.5MB。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（2）配置≥192GB内存，ECCDDR4RDIMM频率≥2666MHz。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（3）配置≥1块企业级SATA或M.2接口SSD固态硬盘，单盘容量≥240GB；配置≥1块企业级NVMe协议直通或U.2接口SSD固态硬盘，单盘容量≥960GB。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（5）配置≥410GE光口（含光模块），主控芯片不低于Intel82599，支持PXE，支持DPDK应用（兼容2.2版本），支持SRIOV技术，支持特定五元组（源IP地址，源端口，目的IP地址，目的端口和传输层协议）分流到SRIOVVF。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（6）配置≥2GE网口，主控芯片型号IntelI350/82580/82576，物理网口自适应10/100/1000Mbps，支持PXE，支持虚拟化应用。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（9）实际配置数量≥4台。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7、服务器Ⅶ型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（1）配置≥2个Intel处理器，单个处理器≥12个核心，主频≥2.2GHz，睿频≥3.2GHz，缓存≥16.5MB。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（2）配置≥192GB内存，ECCDDR4RDIMM频率≥2666MHz。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（3）配置≥1块企业级SATA或M.2接口SSD固态硬盘，单盘容量≥240GB；配置≥1块企业级NVMe协议直通或U.2接口SSD固态硬盘，单盘容量≥3840GB。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（8）实际配置数量≥6台。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8、服务器Ⅷ型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（1）配置≥2个Intel处理器，单个处理器≥12个核心，主频≥2.2GHz，睿频≥3.2GHz，缓存≥16.5MB。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（2）配置≥128GB内存，ECCDDR4RDIMM频率≥2666MHz。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（3）配置≥2块企业级SATA或M.2接口SSD固态硬盘，单盘容量≥240GB；配置≥2块企业级NVMe协议直通或U.2接口SSD固态硬盘，单盘容量≥1920GB；配置≥12块企业级SATA接口HDD机械硬盘，单盘容量≥8000GB，转速≥7200rpm。</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（8）实际配置数量≥3台。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9、服务器Ⅸ型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（1）配置≥2个Intel处理器，单个处理器≥16个核心，主频≥2.3GHz，睿频≥3.9GHz，缓存≥22MB。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（2）配置≥384GB内存，ECCDDR4RDIMM频率≥2666MHz。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（3）配置≥2块企业级SATA或M.2接口SSD固态硬盘，单盘容量≥240GB；配置≥2块企业级NVMe协议直通或U.2接口SSD固态硬盘，单盘容量≥1920GB；配置≥12块企业级SATA接口HDD机械硬盘，单盘容量≥8000GB，转速≥7200rpm。</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（8）实际配置数量≥3台。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10、服务器Ⅹ型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（1）配置≥2个Intel处理器，单个处理器≥16个核心，主频≥2.3GHz，睿频≥3.9GHz，缓存≥22MB。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（2）配置≥384GB内存，ECCDDR4RDIMM频率≥2666MHz。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（3）配置≥2块企业级SATA或M.2接口SSD固态硬盘，单盘容量≥240GB；配置≥2块企业级NVMe协议直通或U.2接口SSD固态硬盘，单盘容量≥1920GB；配置≥12块企业级SATA接口HDD机械硬盘，单盘容量≥8000GB，转速≥7200rpm。</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（5）配置≥410GE光口（含光模块），主控芯片不低于Intel82599，支持PXE，支持DPDK应用（兼容2.2版本），支持SRIOV技术，支持特定五元组（源IP地址，源端口，目的IP地址，目的端口和传输层协议）分流到SRIOVVF。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（6）配置≥2GE网口，主控芯片型号IntelI350/82580/82576，物理网口自适应10/100/1000Mbps，支持PXE，支持虚拟化应用。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（9）实际配置数量≥4台。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11、服务器Ⅺ型</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（1）配置≥2个Intel处理器，单个处理器≥16个核心，主频≥2.3GHz，睿频≥3.9GHz，缓存≥22MB。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（2）配置≥768GB内存，ECCDDR4RDIMM频率≥2666MHz。</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（3）配置≥1块企业级SATA或M.2接口SSD固态硬盘，单盘容量≥240GB；配置≥2块企业级NVMe协议直通或U.2接口SSD固态硬盘，单盘容量≥3840GB。</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（4）配置≥1块SAS卡或non-Raid直通，满足机型磁盘配置需求，采用板载AHCI直出或以下芯片型号卡：SAS3008it、SAS3408it、SAS3216、SAS3416it等。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（5）配置≥210GE光口（含光模块），主控芯片不低于Intel82599，支持PXE，支持DPDK应用（兼容2.2版本），支持SRIOV技术，支持特定五元组（源IP地址，源端口，目的IP地址，目的端口和传输层协议）分流到SRIOVVF。</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（6）配置冗余热插拔电源，并提供配套的电源连接线。</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基于Web的远程管理控制、配备硬件监控、远程管理功能；支持IPMI2.0标准。提供IKVM功能，实现远程KVM功能；独立管理口100%兼容千兆或百兆交换网络，通过管理口实现远程开关机、重启、网络安装操作系统等操作。</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（8）实际配置数量≥7台。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12、时钟服务器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（1）1U或2U设备。</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（2）配置≥210GE光口，配置≥2*GE网口。</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（3）配置1+1冗余电源。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（4）配置≥2个USB接口；配置≥1个VGA接口；配置≥1个Console口。</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（5）支持单/多模北斗授时；支持单/多模GPS授时。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（6）守时模块为铷原子钟，守时精度≤1us，守时误差≤5ms/年。</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（7）授时精度≤1.5ms。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（8）NTP请求量≥14000次/s。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（9）协议支持NTP：V1/V2/V3/V4、SNTP、SNMP、UDP、Telnet、IP、TCP。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（10）用户容量≥4万。</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（11）支持MD5及证书。</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（12）实际配置数量≥1台。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注：供应商提供不低于以上要求的产品服务本项目，签订合同时提供承诺函。</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云平台网络资源服务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1、互联出口交换机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（2）≥48口SFP+万兆，≥6口QSFP 40G。</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（3）交换容量≥2.56Tbps, 包转发率≥1080Mpps。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（4）支持堆叠（IRF）/VSS，或者跨设备LACP聚合；所有端口支持巨帧转发（≥9216 bytes）；10G、40G端口支持路由口、路由子接口功能；端口支持LLDP功能；支持IPv4/ v6双栈。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（5）VLAN≥4K，支持STP/RSTP/MSTP；支持DHCP relay，且server地址不小于2个；支持基于端口的广播风暴/组播/未知单播抑制。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（6）支持IPv4/v6双栈支持静态路由、OSPFv2/v3、ISIS/v6、BGP/4+等动态路由协议；支持ECMP；支持IPv4/v6三层组播:PIM-DM/SM,IGMP/MLD；支持VRRP；支持OverLay的BGP能力。</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（9）硬件架构采用冗余电源、冗余风扇，电源、风扇满配。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（10）每台配置≥2个多模短距40GE接口光模块；每台配置≥14个多模短距10GE光模块；每台配置≥6个单模(10km)长距10GE光模块。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（11）实际配置数量≥2台。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（1）框式交换机，支持4槽位，前后通风。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（2）电源、风扇支持N:1冗余；主控板≥2，交换机矩阵板≥6。</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（3）支持10G、40GE和100G线卡；实配≥2块36端口40G以太网光接口板(QSFP+)。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（4）4槽位交换容量≥92T，包转发率≥57600M。</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（5）所有端口支持巨帧转发（≥9216 bytes）；10G、40G端口支持路由口、路由子接口功能；端口支持LLDP功能；支持IPv4/v6双栈。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（6）VLAN≥4K，支持STP/RSTP/MSTP；支持DHCP relay，且server地址不小于2个；支持基于端口的广播风暴/组播/未知单播抑制。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（7）支持IPv4/v6双栈支持静态路由、OSPFv2/v3、ISIS/v6、BGP/4+等动态路由协议；支持ECMP；支持VRRP。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（11）每台配置≥19个多模短距40GE接口光模块。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（12）实际配置数量≥2台。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3、千兆接入交换机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（2）≥48口千兆电，≥6个SFP+万兆光（或者4个SFP+万兆光+2个QSFP+40GE）。</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（3）交换容量≥550Gbps, 包转发率≥230Mpps。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（4）支持堆叠（IRF）/VSS、或者跨设备LACP聚合、LACP边缘端口支持三层转发；所有端口支持巨帧转发（≥9216 bytes）；10G、40G端口支持路由口、路由子接口功能；端口支持LLDP功能；支持IPv4/ v6双栈。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（5）VLAN≥4K，支持STP/RSTP/MSTP；支持DHCP relay，且server地址不小于2个；支持基于端口的广播风暴/组播/未知单播抑制。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（6）支持IPv4/v6双栈支持静态路由、OSPFv2/v3、ISIS/v6、BGP/4+等动态路由协议；支持ECMP；支持IPv4/v6三层组播:PIM-DM/SM,IGMP/MLD；支持VRRP。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（9）硬件架构采用冗余电源、冗余风扇，电源、风扇满配。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（10）每台配置≥4个多模短距10GE光模块。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（11）实际配置数量≥2台。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4、万兆接入交换机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（2）≥48口SFP+万兆，≥6口QSFP 40G。</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（3）交换容量≥2.56Tbps, 包转发率≥1080Mpps。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（4）支持堆叠（IRF）/VSS，或者跨设备LACP聚合、LACP边缘端口支持三层转发；所有端口支持巨帧转发（≥9216 bytes）；10G、40G端口支持路由口、路由子接口功能；端口支持LLDP功能；支持IPv4/ v6双栈。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（5）VLAN≥4K，支持STP/RSTP/MSTP；支持DHCP relay，且server地址不小于2个；支持基于端口的广播风暴/组播/未知单播抑制。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（6）支持IPv4/v6双栈支持静态路由、OSPFv2/v3、ISIS/v6、BGP/4+等动态路由协议；支持ECMP；支持IPv4/v6三层组播:PIM-DM/SM,IGMP/MLD；支持VRRP。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（9）硬件架构采用冗余电源、冗余风扇，电源、风扇满配。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（10）每台配置≥4个多模短距40GE接口光模块；每台配置≥36个多模短距10GE光模块。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（11）实际配置数量≥6台。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5、综合接入交换机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（2）≥48口SFP+万兆，≥6口QSFP 40G。</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（3）交换容量≥2.56Tbps, 包转发率≥1080Mpps。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（4）支持堆叠（IRF）/VSS，或者跨设备LACP聚合；所有端口支持巨帧转发（≥9216 bytes）；10G、40G端口支持路由口、路由子接口功能；端口支持LLDP功能；支持IPv4/v6双栈。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（5）VLAN≥4K，支持STP/RSTP/MSTP；支持DHCP relay，且server地址不小于2个；支持基于端口的广播风暴/组播/未知单播抑制。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（6）支持IPv4/v6双栈支持静态路由、OSPFv2/v3、ISIS/v6、BGP/4+等动态路由协议；支持ECMP；支持IPv4/v6三层组播:PIM-DM/SM,IGMP/MLD；支持VRRP。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（9）硬件架构采用冗余电源、冗余风扇，电源、风扇满配。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（10）每台配置≥6个多模短距40GE接口光模块；每台配置≥24个多模短距10GE光模块。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（11）实际配置数量≥2台。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6、专线接入交换机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（1）机架式≤2U盒式交换机，前后通风。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（2）≥48口SFP+万兆，具备≥6口QSFP 40G/100G能力，最小配置≥4口QSFP 40G/100G。</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（3）交换容量≥2.56Tbps, 包转发率≥1080Mpps。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（4）支持VXLAN（包括VXLAN Routing、VXLAN Bridging、VXLAN Static Tunnel、VXLAN border gateway）；Vxlan license支持永久性部署；支持VxLAN和VLAN（路由子接口）相互映射转发；所有端口支持巨帧转发（≥9216 bytes）；端口支持LLDP功能；支持IPv4/v6双栈。</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（5）VLAN≥4K，支持STP/RSTP/MSTP；线速 MAC learning（32K表项）；支持VXLAN封装与解封装。</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（6）支持IPv4/v6双栈支持静态路由、OSPFv2/v3、ISIS/v6、BGP/4+等动态路由协议；支持ECMP；支持IPv4/v6三层组。播:PIM-DM/SM,IGMP/MLD；支持VRRP。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（9）硬件架构采用冗余电源、冗余风扇，电源、风扇满配。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（10）每台配置≥20个多模短距10GE光模块；每台配置≥6个单模(10km)长距10GE光模块；每台配置≥3个千兆光转电模块。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（11）实际配置数量≥4台。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7、带外核心交换机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（2）≥48口千兆电，≥4个SFP+万兆光。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（3）交换容量≥512Gbps, 包转发率≥200Mpps。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（4）所有端口支持巨帧转发（≥9216 bytes）；端口支持LLDP功能，且支持配置TLV指定management 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 4K，支持STP/RSTP/MSTP；支持DLDP/UDLD；支持基于端口的广播风暴/组播/未知单播抑制。</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（6）支持静态路由、OSPFv2、ISIS、BGP等动态路由协议；支持VRRP。</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（7）支持SNMP V1/V2/V3，支持 SNMP通过域名方式进行访问；支持管理VLAN；支持Console、Telnet和SSH2命令行配置等网管方式。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（10）每台配置≥2个多模短距10GE光模块；每台配置≥2个单模(10km)长距10GE光模块。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（11）实际配置数量≥2台。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8、带外汇聚交换机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（1）机架式1U盒式交换机，支持交流电源。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（2）≥48口千兆电，≥4个SFP+万兆光。</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（3）交换容量≥176Gbps, 包转发率≥87Mpps。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（4）VLAN≥255，支持STP/RSTP/MSTP；支持基于端口的广播风暴/组播/未知单播抑制；支持静态路由。</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（5）支持SNMP V1/V2/V3，支持 SNMP通过域名方式进行访问；支持管理VLAN；支持Console、Telnet和SSH2命令行配置等网管方式。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（7）实际配置数量≥2台。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9、带外接入交换机</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（1）机架式1U盒式交换机，支持交流电源。</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（2）≥48口千兆电。</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（3）MAC ≥ 8k。</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（4）VLAN≥255，支持STP/RSTP/MSTP；支持静态路由。</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（5）支持Console、Telnet和SSH2命令行配置等网管方式。</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（6）支持AAA认证，并支持用户分级管理和口令保护。</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（7）实际配置数量≥4台。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10、分流器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（1）机架式1U盒式交换机，前后通风。</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（2）≥48口SFP+万兆，≥6口QSFP 40G。</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（3）交换容量≥2.56Tbps, 包转发率≥1080Mpps。</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（4）10G端口支持光纤RX方向单纤UP功能；支持静态聚合组RX方向单纤hash功能；所有端口支持巨帧转发（≥9216 bytes）；支持VLAN关闭MAC学习功能；支持IPv4、v6双栈同时hash转发。</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（5）VLAN≥ 4K，支持STP/RSTP/MSTP；端口镜像功能。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POAP/Ansible/ZTP等设备零配置自动化部署功能；支持NETCONF标准接口；支持SNMP通过域名方式访问；支持NTP客户端，支持时区修正，支持基于IP和域名访问Server；支持Console、Telnet和SSH2命令行配置等网管方式；支持单物理端口和聚合组本地镜像、远程镜像；支持流量统计功能。</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（7）支持基本ACL、扩展ACL、基于时间ACL等安全防护技术；支持AAA认证，并支持用户分级管理和口令保护；支持设置SNMPv3加密，加密方式支持AES128；支持远程日志记录，指定记录服务器IP地址。</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（9）硬件架构采用冗余电源、冗余风扇，电源、风扇满配。</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（10）每台配置≥24个多模短距10GE光模块；每台配置≥16个单模(10km)长距10GE光模块；每台配置≥3个单模(40km)长距10GE光模块。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（11）实际配置数量≥1台。</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11、分光器</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（1）支持≥4路一分二。</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（2）实际配置数量≥4台。</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本项目服务期内须提供至少1名本项目专职长期驻场工程师，提供5*8小时的云平台运维驻场服务；二年服务期内，云平台软件可根据业务需求升级软件版本，费用包含在投标总价中。</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机柜租赁服务： </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满足国标 A 级机房的场地和环境，或机柜空间。为了满足政务数据中心集中运维的需求，供应商须提供单一机房，机房空间要求具备扩展到 200 个机柜的能力。中标结果公告公示后七个工作日内，采购人到机房核查。单机柜租用费用不超过 2000 元/ 年，机房内设备及其配套辅助用电单价不超过 1.5 元/度，另行结算。</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签订合同时提供承诺书。</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迁移服务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20" w:type="dxa"/>
            <w:vAlign w:val="center"/>
            <w:textDirection w:val="lrTb"/>
            <w:noWrap w:val="false"/>
          </w:tcPr>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本项目提供原1800台非国产化虚拟机的迁移服务。</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签订合同时提供承诺书。</w:t>
            </w:r>
            <w:r/>
          </w:p>
        </w:tc>
      </w:tr>
    </w:tbl>
    <w:p>
      <w:pPr>
        <w:pStyle w:val="871"/>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2.实施要求</w:t>
      </w:r>
      <w:r>
        <w:rPr>
          <w:rFonts w:hint="eastAsia" w:ascii="宋体" w:hAnsi="宋体" w:eastAsia="宋体" w:cs="宋体"/>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（1）总体要求</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供应商应按照采购要求，在约定的时间内提供符合技术标准的政务云服务。</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（2）服务要求</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本项目内提供的所有产品在服务期内均</w:t>
      </w:r>
      <w:r>
        <w:rPr>
          <w:rFonts w:hint="eastAsia" w:ascii="宋体" w:hAnsi="宋体" w:eastAsia="宋体" w:cs="宋体"/>
          <w:sz w:val="24"/>
          <w:szCs w:val="24"/>
          <w:lang w:val="en-US" w:eastAsia="zh-CN"/>
        </w:rPr>
        <w:t xml:space="preserve">须</w:t>
      </w:r>
      <w:r>
        <w:rPr>
          <w:rFonts w:hint="eastAsia" w:ascii="宋体" w:hAnsi="宋体" w:eastAsia="宋体" w:cs="宋体"/>
          <w:sz w:val="24"/>
          <w:szCs w:val="24"/>
        </w:rPr>
        <w:t xml:space="preserve">提供原厂维保服务。</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（3）人员要求</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团队</w:t>
      </w:r>
      <w:r>
        <w:rPr>
          <w:rFonts w:hint="eastAsia" w:ascii="宋体" w:hAnsi="宋体" w:eastAsia="宋体" w:cs="宋体"/>
          <w:sz w:val="24"/>
          <w:szCs w:val="24"/>
        </w:rPr>
        <w:t xml:space="preserve">实施人员不少于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人（</w:t>
      </w:r>
      <w:r>
        <w:rPr>
          <w:rFonts w:hint="eastAsia" w:ascii="宋体" w:hAnsi="宋体" w:eastAsia="宋体" w:cs="宋体"/>
          <w:sz w:val="24"/>
          <w:szCs w:val="24"/>
          <w:lang w:val="en-US" w:eastAsia="zh-CN"/>
        </w:rPr>
        <w:t xml:space="preserve">其中</w:t>
      </w:r>
      <w:r>
        <w:rPr>
          <w:rFonts w:hint="eastAsia" w:ascii="宋体" w:hAnsi="宋体" w:eastAsia="宋体" w:cs="宋体"/>
          <w:sz w:val="24"/>
          <w:szCs w:val="24"/>
        </w:rPr>
        <w:t xml:space="preserve">项目经理</w:t>
      </w:r>
      <w:r>
        <w:rPr>
          <w:rFonts w:hint="eastAsia" w:ascii="宋体" w:hAnsi="宋体" w:eastAsia="宋体" w:cs="宋体"/>
          <w:sz w:val="24"/>
          <w:szCs w:val="24"/>
          <w:lang w:val="en-US" w:eastAsia="zh-CN"/>
        </w:rPr>
        <w:t xml:space="preserve">1人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违约责任</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1）轻微追责：</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追责方式：扣除合同金额2000元，并由采购人内部口头警告或书面通报。</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追责依据：一个月内出现两次及以上因云服务问题导致5台</w:t>
      </w:r>
      <w:r>
        <w:rPr>
          <w:rFonts w:hint="eastAsia" w:ascii="宋体" w:hAnsi="宋体" w:eastAsia="宋体" w:cs="宋体"/>
          <w:sz w:val="24"/>
          <w:szCs w:val="24"/>
          <w:lang w:val="en-US" w:eastAsia="zh-CN"/>
        </w:rPr>
        <w:t xml:space="preserve">以内</w:t>
      </w:r>
      <w:r>
        <w:rPr>
          <w:rFonts w:hint="eastAsia" w:ascii="宋体" w:hAnsi="宋体" w:eastAsia="宋体" w:cs="宋体"/>
          <w:sz w:val="24"/>
          <w:szCs w:val="24"/>
        </w:rPr>
        <w:t xml:space="preserve">虚拟服务器不可用，中断时间超过2小时的。</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2）一般追责：</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追责方式：由采购人向供应商出具违约追责通知书，每次扣除金额为1万元，该金额将在项目决算审计中给予扣除。</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追责依据：一个月内出现两次及以上云服务故障造成20台以内云主机不可用，中断时间超过2小时的。</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3）严重追责：</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追责方式：由采购人向供应商出具经济追责通知书，每次扣除金额为5万元（在一般追责之上并罚），由采购人约谈供应商主要负责人，约谈无效的将解除合同，其所造成的影响及损失由供应商进行承担。</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追责依据：当一般追责出现两次及以上，或因维护人员操作不当，引起较为严重后果，造成损失的，或由采购人约谈供应商主要负责人，约谈后依旧出现未达到要求的，由采购人向供应商出具违约追责通知书并进行违约追责。</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付款条件</w:t>
      </w:r>
      <w:r>
        <w:rPr>
          <w:rFonts w:ascii="宋体" w:hAnsi="宋体" w:eastAsia="宋体" w:cs="宋体"/>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以合同文本</w:t>
      </w:r>
      <w:r>
        <w:rPr>
          <w:rFonts w:hint="eastAsia" w:ascii="宋体" w:hAnsi="宋体" w:eastAsia="宋体" w:cs="宋体"/>
          <w:sz w:val="24"/>
          <w:szCs w:val="24"/>
          <w:lang w:val="en-US" w:eastAsia="zh-CN"/>
        </w:rPr>
        <w:t xml:space="preserve">内容</w:t>
      </w:r>
      <w:r>
        <w:rPr>
          <w:rFonts w:ascii="宋体" w:hAnsi="宋体" w:eastAsia="宋体" w:cs="宋体"/>
          <w:sz w:val="24"/>
          <w:szCs w:val="24"/>
          <w:lang w:val="en-US" w:eastAsia="zh-CN"/>
        </w:rPr>
        <w:t xml:space="preserve">为准。</w:t>
      </w:r>
      <w:r>
        <w:rPr>
          <w:rFonts w:ascii="宋体" w:hAnsi="宋体" w:eastAsia="宋体" w:cs="宋体"/>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cs="宋体"/>
          <w:bCs/>
          <w:color w:val="000000"/>
          <w:sz w:val="24"/>
          <w:szCs w:val="24"/>
        </w:rPr>
        <w:t xml:space="preserve">供应商部署完毕、满足交付条件开始提供服务</w:t>
      </w:r>
      <w:r>
        <w:rPr>
          <w:rFonts w:hint="eastAsia" w:ascii="宋体" w:hAnsi="宋体" w:cs="宋体"/>
          <w:bCs/>
          <w:color w:val="000000"/>
          <w:sz w:val="24"/>
          <w:szCs w:val="24"/>
          <w:lang w:eastAsia="zh-CN"/>
        </w:rPr>
        <w:t xml:space="preserve">二</w:t>
      </w:r>
      <w:r>
        <w:rPr>
          <w:rFonts w:hint="eastAsia" w:ascii="宋体" w:hAnsi="宋体" w:cs="宋体"/>
          <w:bCs/>
          <w:color w:val="000000"/>
          <w:sz w:val="24"/>
          <w:szCs w:val="24"/>
        </w:rPr>
        <w:t xml:space="preserve">年。如超过</w:t>
      </w:r>
      <w:r>
        <w:rPr>
          <w:rFonts w:hint="eastAsia" w:ascii="宋体" w:hAnsi="宋体" w:cs="宋体"/>
          <w:bCs/>
          <w:color w:val="000000"/>
          <w:sz w:val="24"/>
          <w:szCs w:val="24"/>
          <w:lang w:val="en-US" w:eastAsia="zh-CN"/>
        </w:rPr>
        <w:t xml:space="preserve">二</w:t>
      </w:r>
      <w:r>
        <w:rPr>
          <w:rFonts w:hint="eastAsia" w:ascii="宋体" w:hAnsi="宋体" w:cs="宋体"/>
          <w:bCs/>
          <w:color w:val="000000"/>
          <w:sz w:val="24"/>
          <w:szCs w:val="24"/>
        </w:rPr>
        <w:t xml:space="preserve">年仍有系统未完成迁移，第三年开始</w:t>
      </w:r>
      <w:r>
        <w:rPr>
          <w:rFonts w:hint="eastAsia" w:ascii="宋体" w:hAnsi="宋体" w:cs="宋体"/>
          <w:bCs/>
          <w:color w:val="000000"/>
          <w:sz w:val="24"/>
          <w:szCs w:val="24"/>
          <w:lang w:val="en-US" w:eastAsia="zh-CN"/>
        </w:rPr>
        <w:t xml:space="preserve">供应商</w:t>
      </w:r>
      <w:r>
        <w:rPr>
          <w:rFonts w:hint="eastAsia" w:ascii="宋体" w:hAnsi="宋体" w:cs="宋体"/>
          <w:bCs/>
          <w:color w:val="000000"/>
          <w:sz w:val="24"/>
          <w:szCs w:val="24"/>
        </w:rPr>
        <w:t xml:space="preserve">需无偿保障云平台运行，</w:t>
      </w:r>
      <w:r>
        <w:rPr>
          <w:rFonts w:hint="eastAsia" w:ascii="宋体" w:hAnsi="宋体" w:cs="宋体"/>
          <w:bCs/>
          <w:color w:val="000000"/>
          <w:sz w:val="24"/>
          <w:szCs w:val="24"/>
          <w:lang w:val="en-US" w:eastAsia="zh-CN"/>
        </w:rPr>
        <w:t xml:space="preserve">采购人</w:t>
      </w:r>
      <w:r>
        <w:rPr>
          <w:rFonts w:hint="eastAsia" w:ascii="宋体" w:hAnsi="宋体" w:cs="宋体"/>
          <w:bCs/>
          <w:color w:val="000000"/>
          <w:sz w:val="24"/>
          <w:szCs w:val="24"/>
        </w:rPr>
        <w:t xml:space="preserve">不再支付费用。</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83"/>
      </w:pPr>
      <w:r/>
      <w:r/>
    </w:p>
    <w:p>
      <w:pPr>
        <w:pStyle w:val="883"/>
      </w:pPr>
      <w:r/>
      <w:r/>
    </w:p>
    <w:p>
      <w:pPr>
        <w:pStyle w:val="883"/>
      </w:pPr>
      <w:r/>
      <w:r/>
    </w:p>
    <w:p>
      <w:pPr>
        <w:pStyle w:val="883"/>
      </w:pPr>
      <w:r/>
      <w:r/>
    </w:p>
    <w:p>
      <w:pPr>
        <w:pStyle w:val="883"/>
      </w:p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w:t>
      </w:r>
      <w:r>
        <w:rPr>
          <w:rFonts w:hint="eastAsia" w:ascii="宋体" w:hAnsi="宋体" w:eastAsia="宋体" w:cs="宋体"/>
          <w:color w:val="000000"/>
          <w:sz w:val="24"/>
          <w:szCs w:val="24"/>
        </w:rPr>
        <w:t xml:space="preserve">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w:t>
      </w:r>
      <w:r>
        <w:rPr>
          <w:rFonts w:hint="eastAsia" w:ascii="宋体" w:hAnsi="宋体" w:eastAsia="宋体" w:cs="Times New Roman"/>
          <w:b/>
          <w:bCs/>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w:t>
      </w:r>
      <w:r>
        <w:rPr>
          <w:rFonts w:hint="eastAsia" w:ascii="宋体" w:hAnsi="宋体" w:eastAsia="宋体" w:cs="宋体"/>
          <w:sz w:val="24"/>
          <w:szCs w:val="24"/>
        </w:rPr>
        <w:t xml:space="preserve">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rPr>
                <w:sz w:val="24"/>
                <w:szCs w:val="24"/>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rPr>
                <w:sz w:val="24"/>
                <w:szCs w:val="24"/>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rPr>
                <w:sz w:val="24"/>
                <w:szCs w:val="24"/>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rPr>
                <w:sz w:val="24"/>
                <w:szCs w:val="24"/>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rPr>
                <w:sz w:val="24"/>
                <w:szCs w:val="24"/>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ascii="宋体" w:hAnsi="宋体" w:eastAsia="宋体" w:cs="宋体"/>
                <w:b/>
                <w:bCs/>
                <w:spacing w:val="-3"/>
                <w:sz w:val="24"/>
                <w:szCs w:val="24"/>
              </w:rPr>
              <w:t xml:space="preserve">价</w:t>
            </w:r>
            <w:r>
              <w:rPr>
                <w:rFonts w:ascii="宋体" w:hAnsi="宋体" w:eastAsia="宋体" w:cs="宋体"/>
                <w:b/>
                <w:bCs/>
                <w:spacing w:val="-2"/>
                <w:sz w:val="24"/>
                <w:szCs w:val="24"/>
              </w:rPr>
              <w:t xml:space="preserve">格</w:t>
            </w:r>
            <w:r>
              <w:rPr>
                <w:sz w:val="24"/>
                <w:szCs w:val="24"/>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6"/>
                <w:sz w:val="24"/>
                <w:szCs w:val="24"/>
              </w:rPr>
              <w:t xml:space="preserve">1</w:t>
            </w:r>
            <w:r>
              <w:rPr>
                <w:rFonts w:ascii="宋体" w:hAnsi="宋体" w:eastAsia="宋体" w:cs="宋体"/>
                <w:spacing w:val="-5"/>
                <w:sz w:val="24"/>
                <w:szCs w:val="24"/>
              </w:rPr>
              <w:t xml:space="preserve">.1</w:t>
            </w:r>
            <w:r>
              <w:rPr>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z w:val="24"/>
                <w:szCs w:val="24"/>
              </w:rPr>
            </w:pPr>
            <w:r>
              <w:rPr>
                <w:rFonts w:ascii="宋体" w:hAnsi="宋体" w:eastAsia="宋体" w:cs="宋体"/>
                <w:spacing w:val="-2"/>
                <w:sz w:val="24"/>
                <w:szCs w:val="24"/>
              </w:rPr>
              <w:t xml:space="preserve">价格分</w:t>
            </w:r>
            <w:r>
              <w:rPr>
                <w:sz w:val="24"/>
                <w:szCs w:val="24"/>
              </w:rPr>
            </w:r>
            <w:r/>
          </w:p>
        </w:tc>
        <w:tc>
          <w:tcPr>
            <w:tcW w:w="6330" w:type="dxa"/>
            <w:vAlign w:val="center"/>
            <w:textDirection w:val="lrTb"/>
            <w:noWrap w:val="false"/>
          </w:tcPr>
          <w:p>
            <w:pPr>
              <w:pStyle w:val="871"/>
              <w:jc w:val="left"/>
              <w:keepLines w:val="0"/>
              <w:keepNext w:val="0"/>
              <w:pageBreakBefore w:val="0"/>
              <w:spacing w:line="264" w:lineRule="auto"/>
              <w:widowControl w:val="off"/>
              <w:rPr>
                <w:sz w:val="24"/>
                <w:szCs w:val="24"/>
              </w:rPr>
            </w:pPr>
            <w:r>
              <w:rPr>
                <w:rFonts w:hint="eastAsia" w:ascii="Times New Roman" w:hAnsi="Times New Roman" w:eastAsia="宋体" w:cs="Times New Roman"/>
                <w:sz w:val="24"/>
                <w:szCs w:val="24"/>
                <w:lang w:val="en-US" w:eastAsia="zh-CN" w:bidi="ar-SA"/>
              </w:rPr>
              <w:t xml:space="preserve">采用低价优先法计算，即满足招标文件要求且投标价格最低的投标报价为评标基准价，其价格分为满分。其他投标人的价格分统一按照下列公式计算：投标报价得分=(评标基</w:t>
            </w:r>
            <w:r>
              <w:rPr>
                <w:sz w:val="24"/>
                <w:szCs w:val="24"/>
              </w:rPr>
              <w:t xml:space="preserve">准价/投标报价)×</w:t>
            </w:r>
            <w:r>
              <w:rPr>
                <w:rFonts w:hint="eastAsia"/>
                <w:sz w:val="24"/>
                <w:szCs w:val="24"/>
                <w:lang w:val="en-US" w:eastAsia="zh-CN"/>
              </w:rPr>
              <w:t xml:space="preserve">价格分值（小数点保留两位）</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10</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价格分</w:t>
            </w:r>
            <w:r>
              <w:rPr>
                <w:sz w:val="24"/>
                <w:szCs w:val="24"/>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rPr>
                <w:sz w:val="24"/>
                <w:szCs w:val="24"/>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2.1</w:t>
            </w:r>
            <w:r>
              <w:rPr>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需求理解</w:t>
            </w:r>
            <w:r>
              <w:rPr>
                <w:sz w:val="24"/>
                <w:szCs w:val="24"/>
              </w:rPr>
            </w:r>
            <w:r/>
          </w:p>
        </w:tc>
        <w:tc>
          <w:tcPr>
            <w:tcW w:w="6330" w:type="dxa"/>
            <w:vAlign w:val="center"/>
            <w:textDirection w:val="lrTb"/>
            <w:noWrap w:val="false"/>
          </w:tcPr>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评委根据投标人提供的需求理解材料</w:t>
            </w:r>
            <w:r>
              <w:rPr>
                <w:rFonts w:hint="eastAsia" w:ascii="Times New Roman" w:hAnsi="Times New Roman" w:eastAsia="宋体" w:cs="Times New Roman"/>
                <w:sz w:val="24"/>
                <w:szCs w:val="24"/>
                <w:lang w:val="en-US" w:eastAsia="zh-CN" w:bidi="ar-SA"/>
              </w:rPr>
              <w:t xml:space="preserve">综合评分，</w:t>
            </w:r>
            <w:r>
              <w:rPr>
                <w:rFonts w:ascii="Times New Roman" w:hAnsi="Times New Roman" w:eastAsia="宋体" w:cs="Times New Roman"/>
                <w:sz w:val="24"/>
                <w:szCs w:val="24"/>
                <w:lang w:val="en-US" w:eastAsia="zh-CN" w:bidi="ar-SA"/>
              </w:rPr>
              <w:t xml:space="preserve">包括</w:t>
            </w:r>
            <w:r>
              <w:rPr>
                <w:rFonts w:hint="eastAsia" w:ascii="Times New Roman" w:hAnsi="Times New Roman" w:eastAsia="宋体" w:cs="Times New Roman"/>
                <w:sz w:val="24"/>
                <w:szCs w:val="24"/>
                <w:lang w:val="en-US" w:eastAsia="zh-CN" w:bidi="ar-SA"/>
              </w:rPr>
              <w:t xml:space="preserve">：1.业务需求分析；2.</w:t>
            </w:r>
            <w:r>
              <w:rPr>
                <w:rFonts w:ascii="Times New Roman" w:hAnsi="Times New Roman" w:eastAsia="宋体" w:cs="Times New Roman"/>
                <w:sz w:val="24"/>
                <w:szCs w:val="24"/>
                <w:lang w:val="en-US" w:eastAsia="zh-CN" w:bidi="ar-SA"/>
              </w:rPr>
              <w:t xml:space="preserve">建设目标</w:t>
            </w:r>
            <w:r>
              <w:rPr>
                <w:rFonts w:hint="eastAsia" w:ascii="Times New Roman" w:hAnsi="Times New Roman" w:eastAsia="宋体" w:cs="Times New Roman"/>
                <w:sz w:val="24"/>
                <w:szCs w:val="24"/>
                <w:lang w:val="en-US" w:eastAsia="zh-CN" w:bidi="ar-SA"/>
              </w:rPr>
              <w:t xml:space="preserve">分析；3.</w:t>
            </w:r>
            <w:r>
              <w:rPr>
                <w:rFonts w:ascii="Times New Roman" w:hAnsi="Times New Roman" w:eastAsia="宋体" w:cs="Times New Roman"/>
                <w:sz w:val="24"/>
                <w:szCs w:val="24"/>
                <w:lang w:val="en-US" w:eastAsia="zh-CN" w:bidi="ar-SA"/>
              </w:rPr>
              <w:t xml:space="preserve">建设依据、必要性</w:t>
            </w:r>
            <w:r>
              <w:rPr>
                <w:rFonts w:hint="eastAsia" w:ascii="Times New Roman" w:hAnsi="Times New Roman" w:eastAsia="宋体" w:cs="Times New Roman"/>
                <w:sz w:val="24"/>
                <w:szCs w:val="24"/>
                <w:lang w:val="en-US" w:eastAsia="zh-CN" w:bidi="ar-SA"/>
              </w:rPr>
              <w:t xml:space="preserve">分析；4.</w:t>
            </w:r>
            <w:r>
              <w:rPr>
                <w:rFonts w:ascii="Times New Roman" w:hAnsi="Times New Roman" w:eastAsia="宋体" w:cs="Times New Roman"/>
                <w:sz w:val="24"/>
                <w:szCs w:val="24"/>
                <w:lang w:val="en-US" w:eastAsia="zh-CN" w:bidi="ar-SA"/>
              </w:rPr>
              <w:t xml:space="preserve">重点难点</w:t>
            </w:r>
            <w:r>
              <w:rPr>
                <w:rFonts w:hint="eastAsia" w:ascii="Times New Roman" w:hAnsi="Times New Roman" w:eastAsia="宋体" w:cs="Times New Roman"/>
                <w:sz w:val="24"/>
                <w:szCs w:val="24"/>
                <w:lang w:val="en-US" w:eastAsia="zh-CN" w:bidi="ar-SA"/>
              </w:rPr>
              <w:t xml:space="preserve">分析。以上每项内容逐条阐述。</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完整深刻、针对性强、紧贴采购需求的，得</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较为完整深刻、针对性较强、能够满足采购需求的，得 </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基本完整、具有一定针对性、基本符合采购需求的，得 </w:t>
            </w:r>
            <w:r>
              <w:rPr>
                <w:rFonts w:hint="eastAsia" w:ascii="Times New Roman" w:hAnsi="Times New Roman" w:eastAsia="宋体" w:cs="Times New Roman"/>
                <w:sz w:val="24"/>
                <w:szCs w:val="24"/>
                <w:lang w:val="en-US" w:eastAsia="zh-CN" w:bidi="ar-SA"/>
              </w:rPr>
              <w:t xml:space="preserve">0.5</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不符合采购需求或未提供需求理解材料的不得分。</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8</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主观分</w:t>
            </w:r>
            <w:r>
              <w:rPr>
                <w:sz w:val="24"/>
                <w:szCs w:val="24"/>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rPr>
              <w:t xml:space="preserve">2</w:t>
            </w:r>
            <w:r>
              <w:rPr>
                <w:rFonts w:ascii="宋体" w:hAnsi="宋体" w:eastAsia="宋体" w:cs="宋体"/>
                <w:spacing w:val="-2"/>
                <w:sz w:val="24"/>
                <w:szCs w:val="24"/>
              </w:rPr>
              <w:t xml:space="preserve">.2</w:t>
            </w:r>
            <w:r>
              <w:rPr>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云平台服务方案</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评委根据投标人提供的云平台服务方案综合评分，包括：</w:t>
            </w:r>
            <w:r>
              <w:rPr>
                <w:rFonts w:ascii="Times New Roman" w:hAnsi="Times New Roman" w:eastAsia="宋体" w:cs="Times New Roman"/>
                <w:sz w:val="24"/>
                <w:szCs w:val="24"/>
                <w:lang w:val="en-US" w:eastAsia="zh-CN" w:bidi="ar-SA"/>
              </w:rPr>
              <w:t xml:space="preserve">1.云平台架构设计</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可靠性设计</w:t>
            </w: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运营管理设计</w:t>
            </w:r>
            <w:r>
              <w:rPr>
                <w:rFonts w:hint="eastAsia" w:ascii="Times New Roman" w:hAnsi="Times New Roman" w:eastAsia="宋体" w:cs="Times New Roman"/>
                <w:sz w:val="24"/>
                <w:szCs w:val="24"/>
                <w:lang w:val="en-US" w:eastAsia="zh-CN" w:bidi="ar-SA"/>
              </w:rPr>
              <w:t xml:space="preserve">及</w:t>
            </w:r>
            <w:r>
              <w:rPr>
                <w:rFonts w:ascii="Times New Roman" w:hAnsi="Times New Roman" w:eastAsia="宋体" w:cs="Times New Roman"/>
                <w:sz w:val="24"/>
                <w:szCs w:val="24"/>
                <w:lang w:val="en-US" w:eastAsia="zh-CN" w:bidi="ar-SA"/>
              </w:rPr>
              <w:t xml:space="preserve">运维设计</w:t>
            </w: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资源动态扩展与在线迁移设计</w:t>
            </w:r>
            <w:r>
              <w:rPr>
                <w:rFonts w:hint="eastAsia" w:ascii="Times New Roman" w:hAnsi="Times New Roman" w:eastAsia="宋体" w:cs="Times New Roman"/>
                <w:sz w:val="24"/>
                <w:szCs w:val="24"/>
                <w:lang w:val="en-US" w:eastAsia="zh-CN" w:bidi="ar-SA"/>
              </w:rPr>
              <w:t xml:space="preserve">。以上每项内容逐条阐述。</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设计思路科学、前瞻性、技术先进可行</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紧贴采购需求的，得</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设计思路较科学、前瞻性、技术较先进可行、能够满足采购需求的，得</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设计思路基本满足采购需求、具有一定可行性的，得</w:t>
            </w:r>
            <w:r>
              <w:rPr>
                <w:rFonts w:hint="eastAsia" w:ascii="Times New Roman" w:hAnsi="Times New Roman" w:eastAsia="宋体" w:cs="Times New Roman"/>
                <w:sz w:val="24"/>
                <w:szCs w:val="24"/>
                <w:lang w:val="en-US" w:eastAsia="zh-CN" w:bidi="ar-SA"/>
              </w:rPr>
              <w:t xml:space="preserve">0.5</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设计思路不能满足采购需求或未提供方案的不得分</w:t>
            </w:r>
            <w:r>
              <w:rPr>
                <w:rFonts w:hint="eastAsia" w:ascii="Times New Roman" w:hAnsi="Times New Roman" w:eastAsia="宋体" w:cs="Times New Roman"/>
                <w:sz w:val="24"/>
                <w:szCs w:val="24"/>
                <w:lang w:val="en-US" w:eastAsia="zh-CN" w:bidi="ar-SA"/>
              </w:rPr>
              <w:t xml:space="preserve">。</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8</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主观分</w:t>
            </w:r>
            <w:r>
              <w:rPr>
                <w:sz w:val="24"/>
                <w:szCs w:val="24"/>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2.3</w:t>
            </w:r>
            <w:r>
              <w:rPr>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cs="宋体"/>
                <w:color w:val="000000"/>
                <w:sz w:val="24"/>
                <w:szCs w:val="24"/>
              </w:rPr>
              <w:t xml:space="preserve">云网络建设</w:t>
            </w:r>
            <w:r>
              <w:rPr>
                <w:rFonts w:hint="eastAsia" w:ascii="宋体" w:hAnsi="宋体" w:eastAsia="宋体" w:cs="宋体"/>
                <w:spacing w:val="-2"/>
                <w:sz w:val="24"/>
                <w:szCs w:val="24"/>
                <w:lang w:val="en-US" w:eastAsia="zh-CN"/>
              </w:rPr>
              <w:t xml:space="preserve">方案</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评委根据投标人提供的云网络建设方案综合评分，包括：</w:t>
            </w:r>
            <w:r>
              <w:rPr>
                <w:rFonts w:ascii="Times New Roman" w:hAnsi="Times New Roman" w:eastAsia="宋体" w:cs="Times New Roman"/>
                <w:sz w:val="24"/>
                <w:szCs w:val="24"/>
                <w:lang w:val="en-US" w:eastAsia="zh-CN" w:bidi="ar-SA"/>
              </w:rPr>
              <w:t xml:space="preserve">1.网络架构设计</w:t>
            </w:r>
            <w:r>
              <w:rPr>
                <w:rFonts w:hint="eastAsia" w:ascii="Times New Roman" w:hAnsi="Times New Roman" w:eastAsia="宋体" w:cs="Times New Roman"/>
                <w:sz w:val="24"/>
                <w:szCs w:val="24"/>
                <w:lang w:val="en-US" w:eastAsia="zh-CN" w:bidi="ar-SA"/>
              </w:rPr>
              <w:t xml:space="preserve">及</w:t>
            </w:r>
            <w:r>
              <w:rPr>
                <w:rFonts w:ascii="Times New Roman" w:hAnsi="Times New Roman" w:eastAsia="宋体" w:cs="Times New Roman"/>
                <w:sz w:val="24"/>
                <w:szCs w:val="24"/>
                <w:lang w:val="en-US" w:eastAsia="zh-CN" w:bidi="ar-SA"/>
              </w:rPr>
              <w:t xml:space="preserve">网络虚拟化方案</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逻辑区域划分</w:t>
            </w: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带外管理网络设计</w:t>
            </w: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时间源组网接入设计</w:t>
            </w:r>
            <w:r>
              <w:rPr>
                <w:rFonts w:hint="eastAsia" w:ascii="Times New Roman" w:hAnsi="Times New Roman" w:eastAsia="宋体" w:cs="Times New Roman"/>
                <w:sz w:val="24"/>
                <w:szCs w:val="24"/>
                <w:lang w:val="en-US" w:eastAsia="zh-CN" w:bidi="ar-SA"/>
              </w:rPr>
              <w:t xml:space="preserve">。以上每项内容逐条阐述。</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设计思路科学、前瞻性、技术先进可行</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紧贴采购需求的，得</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设计思路较科学、前瞻性、技术较先进可行、能够满足采购需求的，得</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设计思路基本满足采购需求、具有一定可行性的，得</w:t>
            </w:r>
            <w:r>
              <w:rPr>
                <w:rFonts w:hint="eastAsia" w:ascii="Times New Roman" w:hAnsi="Times New Roman" w:eastAsia="宋体" w:cs="Times New Roman"/>
                <w:sz w:val="24"/>
                <w:szCs w:val="24"/>
                <w:lang w:val="en-US" w:eastAsia="zh-CN" w:bidi="ar-SA"/>
              </w:rPr>
              <w:t xml:space="preserve">0.5</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hint="eastAsia"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设计思路不能满足采购需求或未提供方案的不得分</w:t>
            </w:r>
            <w:r>
              <w:rPr>
                <w:rFonts w:hint="eastAsia" w:ascii="Times New Roman" w:hAnsi="Times New Roman" w:eastAsia="宋体" w:cs="Times New Roman"/>
                <w:sz w:val="24"/>
                <w:szCs w:val="24"/>
                <w:lang w:val="en-US" w:eastAsia="zh-CN" w:bidi="ar-SA"/>
              </w:rPr>
              <w:t xml:space="preserve">。</w:t>
            </w:r>
            <w:r>
              <w:rPr>
                <w:sz w:val="24"/>
                <w:szCs w:val="24"/>
              </w:rPr>
            </w:r>
            <w:r/>
          </w:p>
        </w:tc>
        <w:tc>
          <w:tcPr>
            <w:tcW w:w="647"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8</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主观分</w:t>
            </w:r>
            <w:r>
              <w:rPr>
                <w:sz w:val="24"/>
                <w:szCs w:val="24"/>
              </w:rPr>
            </w:r>
            <w:r/>
          </w:p>
        </w:tc>
      </w:tr>
      <w:tr>
        <w:trPr>
          <w:trHeight w:val="889"/>
        </w:trPr>
        <w:tc>
          <w:tcPr>
            <w:tcW w:w="51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2.4</w:t>
            </w:r>
            <w:r>
              <w:rPr>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cs="宋体"/>
                <w:color w:val="000000"/>
                <w:sz w:val="24"/>
                <w:szCs w:val="24"/>
              </w:rPr>
              <w:t xml:space="preserve">云</w:t>
            </w:r>
            <w:r>
              <w:rPr>
                <w:rFonts w:hint="eastAsia" w:ascii="宋体" w:hAnsi="宋体" w:cs="宋体"/>
                <w:color w:val="000000"/>
                <w:spacing w:val="-4"/>
                <w:sz w:val="24"/>
                <w:szCs w:val="24"/>
              </w:rPr>
              <w:t xml:space="preserve">安全防护</w:t>
            </w:r>
            <w:r>
              <w:rPr>
                <w:rFonts w:hint="eastAsia" w:ascii="宋体" w:hAnsi="宋体" w:eastAsia="宋体" w:cs="宋体"/>
                <w:spacing w:val="-2"/>
                <w:sz w:val="24"/>
                <w:szCs w:val="24"/>
                <w:lang w:val="en-US" w:eastAsia="zh-CN"/>
              </w:rPr>
              <w:t xml:space="preserve">方案</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评委根据投标人提供的云安全防护方案综合评分，包括：</w:t>
            </w:r>
            <w:r>
              <w:rPr>
                <w:rFonts w:ascii="Times New Roman" w:hAnsi="Times New Roman" w:eastAsia="宋体" w:cs="Times New Roman"/>
                <w:sz w:val="24"/>
                <w:szCs w:val="24"/>
                <w:lang w:val="en-US" w:eastAsia="zh-CN" w:bidi="ar-SA"/>
              </w:rPr>
              <w:t xml:space="preserve">1.安全架构设计</w:t>
            </w:r>
            <w:r>
              <w:rPr>
                <w:rFonts w:hint="eastAsia" w:ascii="Times New Roman" w:hAnsi="Times New Roman" w:eastAsia="宋体" w:cs="Times New Roman"/>
                <w:sz w:val="24"/>
                <w:szCs w:val="24"/>
                <w:lang w:val="en-US" w:eastAsia="zh-CN" w:bidi="ar-SA"/>
              </w:rPr>
              <w:t xml:space="preserve">及</w:t>
            </w:r>
            <w:r>
              <w:rPr>
                <w:rFonts w:ascii="Times New Roman" w:hAnsi="Times New Roman" w:eastAsia="宋体" w:cs="Times New Roman"/>
                <w:sz w:val="24"/>
                <w:szCs w:val="24"/>
                <w:lang w:val="en-US" w:eastAsia="zh-CN" w:bidi="ar-SA"/>
              </w:rPr>
              <w:t xml:space="preserve">安全域设计</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安全技术体系</w:t>
            </w: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安全管理体系</w:t>
            </w: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云平台租户隔离设计</w:t>
            </w:r>
            <w:r>
              <w:rPr>
                <w:rFonts w:hint="eastAsia" w:ascii="Times New Roman" w:hAnsi="Times New Roman" w:eastAsia="宋体" w:cs="Times New Roman"/>
                <w:sz w:val="24"/>
                <w:szCs w:val="24"/>
                <w:lang w:val="en-US" w:eastAsia="zh-CN" w:bidi="ar-SA"/>
              </w:rPr>
              <w:t xml:space="preserve">。以上每项内容逐条阐述。</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设计思路科学、前瞻性、技术先进可行</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紧贴采购需求的，得</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设计思路较科学、前瞻性、技术较先进可行、能够满足采购需求的，得</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设计思路基本满足采购需求、具有一定可行性的，得</w:t>
            </w:r>
            <w:r>
              <w:rPr>
                <w:rFonts w:hint="eastAsia" w:ascii="Times New Roman" w:hAnsi="Times New Roman" w:eastAsia="宋体" w:cs="Times New Roman"/>
                <w:sz w:val="24"/>
                <w:szCs w:val="24"/>
                <w:lang w:val="en-US" w:eastAsia="zh-CN" w:bidi="ar-SA"/>
              </w:rPr>
              <w:t xml:space="preserve">0.5</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设计思路不能满足采购需求或未提供方案的不得分</w:t>
            </w:r>
            <w:r>
              <w:rPr>
                <w:rFonts w:hint="eastAsia" w:ascii="Times New Roman" w:hAnsi="Times New Roman" w:eastAsia="宋体" w:cs="Times New Roman"/>
                <w:sz w:val="24"/>
                <w:szCs w:val="24"/>
                <w:lang w:val="en-US" w:eastAsia="zh-CN" w:bidi="ar-SA"/>
              </w:rPr>
              <w:t xml:space="preserve">。</w:t>
            </w:r>
            <w:r>
              <w:rPr>
                <w:sz w:val="24"/>
                <w:szCs w:val="24"/>
              </w:rPr>
            </w:r>
            <w:r/>
          </w:p>
        </w:tc>
        <w:tc>
          <w:tcPr>
            <w:tcW w:w="647"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8</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主观分</w:t>
            </w:r>
            <w:r>
              <w:rPr>
                <w:sz w:val="24"/>
                <w:szCs w:val="24"/>
              </w:rPr>
            </w:r>
            <w:r/>
          </w:p>
        </w:tc>
      </w:tr>
      <w:tr>
        <w:trPr>
          <w:trHeight w:val="889"/>
        </w:trPr>
        <w:tc>
          <w:tcPr>
            <w:tcW w:w="51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sz w:val="24"/>
                <w:szCs w:val="24"/>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项目实施方案</w:t>
            </w:r>
            <w:r>
              <w:rPr>
                <w:sz w:val="24"/>
                <w:szCs w:val="24"/>
              </w:rPr>
            </w:r>
            <w:r/>
          </w:p>
        </w:tc>
        <w:tc>
          <w:tcPr>
            <w:tcW w:w="6330" w:type="dxa"/>
            <w:vAlign w:val="center"/>
            <w:textDirection w:val="lrTb"/>
            <w:noWrap w:val="false"/>
          </w:tcPr>
          <w:p>
            <w:pPr>
              <w:pStyle w:val="883"/>
              <w:ind w:left="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评委根据投标人提供的项目实施方案综合评分，包括：</w:t>
            </w: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设备安装；2.集成调试；3.项目进度计划；4.人员配置。以上每项内容逐条阐述。</w:t>
            </w:r>
            <w:r>
              <w:rPr>
                <w:rFonts w:ascii="Times New Roman" w:hAnsi="Times New Roman" w:eastAsia="宋体" w:cs="Times New Roman"/>
                <w:sz w:val="24"/>
                <w:szCs w:val="24"/>
                <w:lang w:val="en-US" w:eastAsia="zh-CN" w:bidi="ar-SA"/>
              </w:rPr>
              <w:t xml:space="preserve">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完整深刻、可行性强、紧贴采购需求的，得</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以上每项内容较为</w:t>
            </w:r>
            <w:r>
              <w:rPr>
                <w:rFonts w:ascii="Times New Roman" w:hAnsi="Times New Roman" w:eastAsia="宋体" w:cs="Times New Roman"/>
                <w:sz w:val="24"/>
                <w:szCs w:val="24"/>
                <w:lang w:val="en-US" w:eastAsia="zh-CN" w:bidi="ar-SA"/>
              </w:rPr>
              <w:t xml:space="preserve">完整、可行性</w:t>
            </w:r>
            <w:r>
              <w:rPr>
                <w:rFonts w:hint="eastAsia" w:ascii="Times New Roman" w:hAnsi="Times New Roman" w:eastAsia="宋体" w:cs="Times New Roman"/>
                <w:sz w:val="24"/>
                <w:szCs w:val="24"/>
                <w:lang w:val="en-US" w:eastAsia="zh-CN" w:bidi="ar-SA"/>
              </w:rPr>
              <w:t xml:space="preserve">较强</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较为</w:t>
            </w:r>
            <w:r>
              <w:rPr>
                <w:rFonts w:ascii="Times New Roman" w:hAnsi="Times New Roman" w:eastAsia="宋体" w:cs="Times New Roman"/>
                <w:sz w:val="24"/>
                <w:szCs w:val="24"/>
                <w:lang w:val="en-US" w:eastAsia="zh-CN" w:bidi="ar-SA"/>
              </w:rPr>
              <w:t xml:space="preserve">符合采购需求的，得</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基本完整、具有一定可行性、基本符合采购需求的，得</w:t>
            </w:r>
            <w:r>
              <w:rPr>
                <w:rFonts w:hint="eastAsia" w:ascii="Times New Roman" w:hAnsi="Times New Roman" w:eastAsia="宋体" w:cs="Times New Roman"/>
                <w:sz w:val="24"/>
                <w:szCs w:val="24"/>
                <w:lang w:val="en-US" w:eastAsia="zh-CN" w:bidi="ar-SA"/>
              </w:rPr>
              <w:t xml:space="preserve">0.5</w:t>
            </w:r>
            <w:r>
              <w:rPr>
                <w:rFonts w:ascii="Times New Roman" w:hAnsi="Times New Roman" w:eastAsia="宋体" w:cs="Times New Roman"/>
                <w:sz w:val="24"/>
                <w:szCs w:val="24"/>
                <w:lang w:val="en-US" w:eastAsia="zh-CN" w:bidi="ar-SA"/>
              </w:rPr>
              <w:t xml:space="preserve">分；</w:t>
            </w:r>
            <w:r>
              <w:rPr>
                <w:sz w:val="24"/>
                <w:szCs w:val="24"/>
              </w:rPr>
            </w:r>
            <w:r/>
          </w:p>
          <w:p>
            <w:pPr>
              <w:pStyle w:val="883"/>
              <w:ind w:left="0"/>
              <w:rPr>
                <w:rFonts w:hint="eastAsia"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不合理可行或未提供方案的不得分。</w:t>
            </w:r>
            <w:r>
              <w:rPr>
                <w:sz w:val="24"/>
                <w:szCs w:val="24"/>
              </w:rPr>
            </w:r>
            <w:r/>
          </w:p>
        </w:tc>
        <w:tc>
          <w:tcPr>
            <w:tcW w:w="647"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8</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主观分</w:t>
            </w:r>
            <w:r>
              <w:rPr>
                <w:sz w:val="24"/>
                <w:szCs w:val="24"/>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 xml:space="preserve">2.6</w:t>
            </w:r>
            <w:r>
              <w:rPr>
                <w:sz w:val="24"/>
                <w:szCs w:val="24"/>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4"/>
                <w:szCs w:val="24"/>
              </w:rPr>
            </w:pPr>
            <w:r>
              <w:rPr>
                <w:rFonts w:hint="eastAsia" w:ascii="宋体" w:hAnsi="宋体"/>
                <w:color w:val="000000"/>
                <w:sz w:val="24"/>
                <w:szCs w:val="24"/>
              </w:rPr>
              <w:t xml:space="preserve">应急处置方案</w:t>
            </w:r>
            <w:r>
              <w:rPr>
                <w:sz w:val="24"/>
                <w:szCs w:val="24"/>
              </w:rPr>
            </w:r>
            <w:r/>
          </w:p>
        </w:tc>
        <w:tc>
          <w:tcPr>
            <w:tcW w:w="6330" w:type="dxa"/>
            <w:vAlign w:val="center"/>
            <w:textDirection w:val="lrTb"/>
            <w:noWrap w:val="false"/>
          </w:tcPr>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评委根据投标人提供的</w:t>
            </w:r>
            <w:r>
              <w:rPr>
                <w:rFonts w:hint="eastAsia" w:ascii="Times New Roman" w:hAnsi="Times New Roman" w:eastAsia="宋体" w:cs="Times New Roman"/>
                <w:sz w:val="24"/>
                <w:szCs w:val="24"/>
                <w:lang w:val="en-US" w:eastAsia="zh-CN" w:bidi="ar-SA"/>
              </w:rPr>
              <w:t xml:space="preserve">应急处置方案综合评分，</w:t>
            </w:r>
            <w:r>
              <w:rPr>
                <w:rFonts w:ascii="Times New Roman" w:hAnsi="Times New Roman" w:eastAsia="宋体" w:cs="Times New Roman"/>
                <w:sz w:val="24"/>
                <w:szCs w:val="24"/>
                <w:lang w:val="en-US" w:eastAsia="zh-CN" w:bidi="ar-SA"/>
              </w:rPr>
              <w:t xml:space="preserve">包括</w:t>
            </w:r>
            <w:r>
              <w:rPr>
                <w:rFonts w:hint="eastAsia" w:ascii="Times New Roman" w:hAnsi="Times New Roman" w:eastAsia="宋体" w:cs="Times New Roman"/>
                <w:sz w:val="24"/>
                <w:szCs w:val="24"/>
                <w:lang w:val="en-US" w:eastAsia="zh-CN" w:bidi="ar-SA"/>
              </w:rPr>
              <w:t xml:space="preserve">：1.人员到场时间及应急处置时间；2.应急处置方案。以上每项内容逐条阐述。</w:t>
            </w:r>
            <w:r>
              <w:rPr>
                <w:rFonts w:ascii="Times New Roman" w:hAnsi="Times New Roman" w:eastAsia="宋体" w:cs="Times New Roman"/>
                <w:sz w:val="24"/>
                <w:szCs w:val="24"/>
                <w:lang w:val="en-US" w:eastAsia="zh-CN" w:bidi="ar-SA"/>
              </w:rPr>
              <w:t xml:space="preserve">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完整、合理性、操作性强的，得</w:t>
            </w:r>
            <w:r>
              <w:rPr>
                <w:rFonts w:hint="eastAsia" w:ascii="Times New Roman" w:hAnsi="Times New Roman" w:eastAsia="宋体" w:cs="Times New Roman"/>
                <w:sz w:val="24"/>
                <w:szCs w:val="24"/>
                <w:lang w:val="en-US" w:eastAsia="zh-CN" w:bidi="ar-SA"/>
              </w:rPr>
              <w:t xml:space="preserve">2.5</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以上每项内容较</w:t>
            </w:r>
            <w:r>
              <w:rPr>
                <w:rFonts w:ascii="Times New Roman" w:hAnsi="Times New Roman" w:eastAsia="宋体" w:cs="Times New Roman"/>
                <w:sz w:val="24"/>
                <w:szCs w:val="24"/>
                <w:lang w:val="en-US" w:eastAsia="zh-CN" w:bidi="ar-SA"/>
              </w:rPr>
              <w:t xml:space="preserve">完整、合理性、操作性</w:t>
            </w:r>
            <w:r>
              <w:rPr>
                <w:rFonts w:hint="eastAsia" w:ascii="Times New Roman" w:hAnsi="Times New Roman" w:eastAsia="宋体" w:cs="Times New Roman"/>
                <w:sz w:val="24"/>
                <w:szCs w:val="24"/>
                <w:lang w:val="en-US" w:eastAsia="zh-CN" w:bidi="ar-SA"/>
              </w:rPr>
              <w:t xml:space="preserve">较</w:t>
            </w:r>
            <w:r>
              <w:rPr>
                <w:rFonts w:ascii="Times New Roman" w:hAnsi="Times New Roman" w:eastAsia="宋体" w:cs="Times New Roman"/>
                <w:sz w:val="24"/>
                <w:szCs w:val="24"/>
                <w:lang w:val="en-US" w:eastAsia="zh-CN" w:bidi="ar-SA"/>
              </w:rPr>
              <w:t xml:space="preserve">强的，得</w:t>
            </w:r>
            <w:r>
              <w:rPr>
                <w:rFonts w:hint="eastAsia" w:ascii="Times New Roman" w:hAnsi="Times New Roman" w:eastAsia="宋体" w:cs="Times New Roman"/>
                <w:sz w:val="24"/>
                <w:szCs w:val="24"/>
                <w:lang w:val="en-US" w:eastAsia="zh-CN" w:bidi="ar-SA"/>
              </w:rPr>
              <w:t xml:space="preserve">1.5</w:t>
            </w:r>
            <w:r>
              <w:rPr>
                <w:rFonts w:ascii="Times New Roman" w:hAnsi="Times New Roman" w:eastAsia="宋体" w:cs="Times New Roman"/>
                <w:sz w:val="24"/>
                <w:szCs w:val="24"/>
                <w:lang w:val="en-US" w:eastAsia="zh-CN" w:bidi="ar-SA"/>
              </w:rPr>
              <w:t xml:space="preserve">分；</w:t>
            </w:r>
            <w:r>
              <w:rPr>
                <w:sz w:val="24"/>
                <w:szCs w:val="24"/>
              </w:rPr>
            </w:r>
            <w:r/>
          </w:p>
          <w:p>
            <w:pPr>
              <w:pStyle w:val="883"/>
              <w:ind w:left="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（3）以上每项内容</w:t>
            </w:r>
            <w:r>
              <w:rPr>
                <w:rFonts w:ascii="Times New Roman" w:hAnsi="Times New Roman" w:eastAsia="宋体" w:cs="Times New Roman"/>
                <w:sz w:val="24"/>
                <w:szCs w:val="24"/>
                <w:lang w:val="en-US" w:eastAsia="zh-CN" w:bidi="ar-SA"/>
              </w:rPr>
              <w:t xml:space="preserve">基本完整、基本合理，有可操作性的，得</w:t>
            </w:r>
            <w:r>
              <w:rPr>
                <w:rFonts w:hint="eastAsia" w:ascii="Times New Roman" w:hAnsi="Times New Roman" w:eastAsia="宋体" w:cs="Times New Roman"/>
                <w:sz w:val="24"/>
                <w:szCs w:val="24"/>
                <w:lang w:val="en-US" w:eastAsia="zh-CN" w:bidi="ar-SA"/>
              </w:rPr>
              <w:t xml:space="preserve">0.5</w:t>
            </w:r>
            <w:r>
              <w:rPr>
                <w:rFonts w:ascii="Times New Roman" w:hAnsi="Times New Roman" w:eastAsia="宋体" w:cs="Times New Roman"/>
                <w:sz w:val="24"/>
                <w:szCs w:val="24"/>
                <w:lang w:val="en-US" w:eastAsia="zh-CN" w:bidi="ar-SA"/>
              </w:rPr>
              <w:t xml:space="preserve">分； </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以上每项内容</w:t>
            </w:r>
            <w:r>
              <w:rPr>
                <w:rFonts w:ascii="Times New Roman" w:hAnsi="Times New Roman" w:eastAsia="宋体" w:cs="Times New Roman"/>
                <w:sz w:val="24"/>
                <w:szCs w:val="24"/>
                <w:lang w:val="en-US" w:eastAsia="zh-CN" w:bidi="ar-SA"/>
              </w:rPr>
              <w:t xml:space="preserve">不完整、不科学合理、不具可操作性或未提供的不得分。</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5</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主观分</w:t>
            </w:r>
            <w:r>
              <w:rPr>
                <w:sz w:val="24"/>
                <w:szCs w:val="24"/>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bidi="ar-SA"/>
              </w:rPr>
              <w:t xml:space="preserve">2.7</w:t>
            </w:r>
            <w:r/>
          </w:p>
        </w:tc>
        <w:tc>
          <w:tcPr>
            <w:tcW w:w="1179" w:type="dxa"/>
            <w:vAlign w:val="center"/>
            <w:textDirection w:val="lrTb"/>
            <w:noWrap w:val="false"/>
          </w:tcPr>
          <w:p>
            <w:pPr>
              <w:pStyle w:val="871"/>
              <w:jc w:val="left"/>
              <w:spacing w:before="69" w:line="288" w:lineRule="auto"/>
              <w:rPr>
                <w:rFonts w:hint="eastAsia" w:ascii="宋体" w:hAnsi="宋体"/>
                <w:color w:val="000000"/>
                <w:sz w:val="24"/>
                <w:szCs w:val="24"/>
              </w:rPr>
            </w:pPr>
            <w:r>
              <w:rPr>
                <w:rFonts w:hint="eastAsia" w:ascii="宋体" w:hAnsi="宋体"/>
                <w:color w:val="000000"/>
                <w:sz w:val="24"/>
                <w:szCs w:val="24"/>
              </w:rPr>
              <w:t xml:space="preserve">服务符合性</w:t>
            </w:r>
            <w:r>
              <w:rPr>
                <w:sz w:val="24"/>
                <w:szCs w:val="24"/>
              </w:rPr>
            </w:r>
            <w:r/>
          </w:p>
        </w:tc>
        <w:tc>
          <w:tcPr>
            <w:tcW w:w="6330" w:type="dxa"/>
            <w:vAlign w:val="center"/>
            <w:textDirection w:val="lrTb"/>
            <w:noWrap w:val="false"/>
          </w:tcPr>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评委根据投标人提供服务指标进行评分，包括：</w:t>
            </w:r>
            <w:r>
              <w:rPr>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（1）弹性计算服务支持云主机按宿主机，机架，网络交换机物理</w:t>
            </w:r>
            <w:r>
              <w:rPr>
                <w:rFonts w:hint="eastAsia" w:ascii="Times New Roman" w:hAnsi="Times New Roman" w:eastAsia="宋体" w:cs="Times New Roman"/>
                <w:sz w:val="24"/>
                <w:szCs w:val="24"/>
                <w:lang w:val="en-US" w:eastAsia="zh-CN" w:bidi="ar-SA"/>
              </w:rPr>
              <w:t xml:space="preserve">拓扑的调度能力。控制台上分散策略支持严格分散和尽量分散两种</w:t>
            </w:r>
            <w:r>
              <w:rPr>
                <w:rFonts w:hint="eastAsia" w:ascii="Times New Roman" w:hAnsi="Times New Roman" w:eastAsia="宋体" w:cs="Times New Roman"/>
                <w:sz w:val="24"/>
                <w:szCs w:val="24"/>
                <w:lang w:val="en-US" w:eastAsia="zh-CN" w:bidi="ar-SA"/>
              </w:rPr>
              <w:t xml:space="preserve">可选。（提供截图证明）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（2）块存储服务通过 GB/T 37737-2019《信息技术云计算分布式块</w:t>
            </w:r>
            <w:r>
              <w:rPr>
                <w:rFonts w:hint="eastAsia" w:ascii="Times New Roman" w:hAnsi="Times New Roman" w:eastAsia="宋体" w:cs="Times New Roman"/>
                <w:sz w:val="24"/>
                <w:szCs w:val="24"/>
                <w:lang w:val="en-US" w:eastAsia="zh-CN" w:bidi="ar-SA"/>
              </w:rPr>
              <w:t xml:space="preserve">存储系统总体技术要求》国标测试。（提供具有CMA标识的测试报告）</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（3）对象存储服务支持原生图片处理服务，可创建图片处理规</w:t>
            </w:r>
            <w:r>
              <w:rPr>
                <w:rFonts w:hint="eastAsia" w:ascii="Times New Roman" w:hAnsi="Times New Roman" w:eastAsia="宋体" w:cs="Times New Roman"/>
                <w:sz w:val="24"/>
                <w:szCs w:val="24"/>
                <w:lang w:val="en-US" w:eastAsia="zh-CN" w:bidi="ar-SA"/>
              </w:rPr>
              <w:t xml:space="preserve">则、图片格式转换、图片效果处理、添加文字或图片水印、高级编</w:t>
            </w:r>
            <w:r>
              <w:rPr>
                <w:rFonts w:hint="eastAsia" w:ascii="Times New Roman" w:hAnsi="Times New Roman" w:eastAsia="宋体" w:cs="Times New Roman"/>
                <w:sz w:val="24"/>
                <w:szCs w:val="24"/>
                <w:lang w:val="en-US" w:eastAsia="zh-CN" w:bidi="ar-SA"/>
              </w:rPr>
              <w:t xml:space="preserve">辑自定义图片处理样式。（提供软件截图证明）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（4）负载均衡服务七层支持后端服务器应用程序通过 HTTP 头字段</w:t>
            </w:r>
            <w:r>
              <w:rPr>
                <w:rFonts w:hint="eastAsia" w:ascii="Times New Roman" w:hAnsi="Times New Roman" w:eastAsia="宋体" w:cs="Times New Roman"/>
                <w:sz w:val="24"/>
                <w:szCs w:val="24"/>
                <w:lang w:val="en-US" w:eastAsia="zh-CN" w:bidi="ar-SA"/>
              </w:rPr>
              <w:t xml:space="preserve">的 X-FORWARD-FOR 获取客户端源IP地址。（提供软件截图证明）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（5）虚拟网络服务支持在控制台上针对虚拟网络配置多个 CIDR 地</w:t>
            </w:r>
            <w:r>
              <w:rPr>
                <w:rFonts w:hint="eastAsia" w:ascii="Times New Roman" w:hAnsi="Times New Roman" w:eastAsia="宋体" w:cs="Times New Roman"/>
                <w:sz w:val="24"/>
                <w:szCs w:val="24"/>
                <w:lang w:val="en-US" w:eastAsia="zh-CN" w:bidi="ar-SA"/>
              </w:rPr>
              <w:t xml:space="preserve">址段；支持新 CIDR 地址段的扩容。（提供软件截图证明）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（6）DNS 服务支持全局域名的配置管理。（提供软件截图证明）</w:t>
            </w:r>
            <w:r>
              <w:rPr>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（7）云管理平台服务提供日志审计功能，保留所有用户的操作日</w:t>
            </w:r>
            <w:r>
              <w:rPr>
                <w:rFonts w:hint="eastAsia" w:ascii="Times New Roman" w:hAnsi="Times New Roman" w:eastAsia="宋体" w:cs="Times New Roman"/>
                <w:sz w:val="24"/>
                <w:szCs w:val="24"/>
                <w:lang w:val="en-US" w:eastAsia="zh-CN" w:bidi="ar-SA"/>
              </w:rPr>
              <w:t xml:space="preserve">志，并支持日志的过滤和导出功能。（提供软件截图证明）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（8）运维管理服务支持 Linux 命令拦截规则，可以设置拦截命</w:t>
            </w:r>
            <w:r>
              <w:rPr>
                <w:rFonts w:hint="eastAsia" w:ascii="Times New Roman" w:hAnsi="Times New Roman" w:eastAsia="宋体" w:cs="Times New Roman"/>
                <w:sz w:val="24"/>
                <w:szCs w:val="24"/>
                <w:lang w:val="en-US" w:eastAsia="zh-CN" w:bidi="ar-SA"/>
              </w:rPr>
              <w:t xml:space="preserve">令、拦截风险提示、拦截规则。（提供软件截图证明）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（9）关系型云数据库服务提供数据库自主诊断、慢查询分析，提</w:t>
            </w:r>
            <w:r>
              <w:rPr>
                <w:rFonts w:hint="eastAsia" w:ascii="Times New Roman" w:hAnsi="Times New Roman" w:eastAsia="宋体" w:cs="Times New Roman"/>
                <w:sz w:val="24"/>
                <w:szCs w:val="24"/>
                <w:lang w:val="en-US" w:eastAsia="zh-CN" w:bidi="ar-SA"/>
              </w:rPr>
              <w:t xml:space="preserve">供全面的健康状态以便用户自动化运维。（提供软件截图证明）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（10）云内存数据库服务同时支持 RDB 和 AoF 持久化机制，支持设置AoF落盘开关。（提供软件截图证明）</w:t>
            </w:r>
            <w:r>
              <w:rPr>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（11）分布式应用服务服务提供者停止或重启时，服务消费者将不</w:t>
            </w:r>
            <w:r>
              <w:rPr>
                <w:rFonts w:hint="eastAsia" w:ascii="Times New Roman" w:hAnsi="Times New Roman" w:eastAsia="宋体" w:cs="Times New Roman"/>
                <w:sz w:val="24"/>
                <w:szCs w:val="24"/>
                <w:lang w:val="en-US" w:eastAsia="zh-CN" w:bidi="ar-SA"/>
              </w:rPr>
              <w:t xml:space="preserve">受影响，消费者发起的调用0请求丢失。可实现在应用实例停止、</w:t>
            </w:r>
            <w:r>
              <w:rPr>
                <w:rFonts w:hint="eastAsia" w:ascii="Times New Roman" w:hAnsi="Times New Roman" w:eastAsia="宋体" w:cs="Times New Roman"/>
                <w:sz w:val="24"/>
                <w:szCs w:val="24"/>
                <w:lang w:val="en-US" w:eastAsia="zh-CN" w:bidi="ar-SA"/>
              </w:rPr>
              <w:t xml:space="preserve">重启、缩容或升级等各种应用运维场景中，微服务能够优雅下线，最大限度的保证服务的优雅关闭。（提供软件截图证明）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（12）分布式消息队列服务支持对已消费过的消息重新回放或清除</w:t>
            </w:r>
            <w:r>
              <w:rPr>
                <w:rFonts w:hint="eastAsia" w:ascii="Times New Roman" w:hAnsi="Times New Roman" w:eastAsia="宋体" w:cs="Times New Roman"/>
                <w:sz w:val="24"/>
                <w:szCs w:val="24"/>
                <w:lang w:val="en-US" w:eastAsia="zh-CN" w:bidi="ar-SA"/>
              </w:rPr>
              <w:t xml:space="preserve">堆积的消息。（提供软件截图证明）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（13）业务实时监控服务提供接口快照功能，接口快照支持通过自</w:t>
            </w:r>
            <w:r>
              <w:rPr>
                <w:rFonts w:hint="eastAsia" w:ascii="Times New Roman" w:hAnsi="Times New Roman" w:eastAsia="宋体" w:cs="Times New Roman"/>
                <w:sz w:val="24"/>
                <w:szCs w:val="24"/>
                <w:lang w:val="en-US" w:eastAsia="zh-CN" w:bidi="ar-SA"/>
              </w:rPr>
              <w:t xml:space="preserve">动线程剖析定位慢调用方法。（提供软件截图证明）</w:t>
            </w:r>
            <w:r>
              <w:rPr>
                <w:rFonts w:hint="eastAsia" w:ascii="Times New Roman" w:hAnsi="Times New Roman" w:eastAsia="宋体" w:cs="Times New Roman"/>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（14）所投云平台服务器资源服务，与所投云平台兼容。（提供云平台官网的兼容性验证通过的截图）</w:t>
            </w:r>
            <w:r>
              <w:rPr>
                <w:sz w:val="24"/>
                <w:szCs w:val="24"/>
              </w:rPr>
            </w:r>
            <w:r/>
          </w:p>
          <w:p>
            <w:pPr>
              <w:pStyle w:val="883"/>
              <w:ind w:left="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（15）所投云平台网络资源服务，所投云平台兼容。（提供云平台官网的兼容性验证通过的截图）</w:t>
            </w:r>
            <w:r>
              <w:rPr>
                <w:sz w:val="24"/>
                <w:szCs w:val="24"/>
              </w:rPr>
            </w:r>
            <w:r/>
          </w:p>
          <w:p>
            <w:pPr>
              <w:pStyle w:val="883"/>
              <w:ind w:left="0"/>
              <w:jc w:val="left"/>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上述服务指标，每满足一项得1分，最多得15分，未提供不得分。</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15</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3.服务</w:t>
            </w:r>
            <w:r>
              <w:rPr>
                <w:sz w:val="24"/>
                <w:szCs w:val="24"/>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lang w:val="en-US" w:eastAsia="zh-CN"/>
              </w:rPr>
              <w:t xml:space="preserve">3.1</w:t>
            </w:r>
            <w:r>
              <w:rPr>
                <w:sz w:val="24"/>
                <w:szCs w:val="24"/>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Times New Roman" w:hAnsi="Times New Roman" w:eastAsia="宋体" w:cs="Times New Roman"/>
                <w:color w:val="000000"/>
                <w:sz w:val="24"/>
                <w:szCs w:val="24"/>
                <w:highlight w:val="none"/>
                <w:lang w:val="en-US" w:eastAsia="zh-CN"/>
              </w:rPr>
              <w:t xml:space="preserve">本地化服务能力</w:t>
            </w:r>
            <w:r>
              <w:rPr>
                <w:sz w:val="24"/>
                <w:szCs w:val="24"/>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pacing w:val="-2"/>
                <w:sz w:val="24"/>
                <w:szCs w:val="24"/>
              </w:rPr>
            </w:pPr>
            <w:r>
              <w:rPr>
                <w:rFonts w:hint="eastAsia" w:ascii="Times New Roman" w:hAnsi="Times New Roman" w:eastAsia="宋体" w:cs="Times New Roman"/>
                <w:sz w:val="24"/>
                <w:szCs w:val="24"/>
                <w:lang w:val="en-US" w:eastAsia="zh-CN" w:bidi="ar-SA"/>
              </w:rPr>
              <w:t xml:space="preserve">投标人具有本地化服务能力的得3分。（提供承诺书或有效证明材料，承诺书格式自拟）</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3</w:t>
            </w:r>
            <w:r>
              <w:rPr>
                <w:sz w:val="24"/>
                <w:szCs w:val="24"/>
              </w:rPr>
            </w:r>
            <w:r/>
          </w:p>
        </w:tc>
        <w:tc>
          <w:tcPr>
            <w:tcW w:w="900"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rPr>
                <w:sz w:val="24"/>
                <w:szCs w:val="24"/>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ascii="宋体" w:hAnsi="宋体" w:eastAsia="宋体" w:cs="宋体"/>
                <w:spacing w:val="-2"/>
                <w:sz w:val="24"/>
                <w:szCs w:val="24"/>
              </w:rPr>
              <w:t xml:space="preserve">.1</w:t>
            </w:r>
            <w:r>
              <w:rPr>
                <w:sz w:val="24"/>
                <w:szCs w:val="24"/>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4"/>
                <w:szCs w:val="24"/>
              </w:rPr>
            </w:pPr>
            <w:r>
              <w:rPr>
                <w:rFonts w:hint="eastAsia" w:ascii="Times New Roman" w:hAnsi="Times New Roman" w:eastAsia="宋体" w:cs="Times New Roman"/>
                <w:color w:val="000000"/>
                <w:spacing w:val="0"/>
                <w:sz w:val="24"/>
                <w:szCs w:val="24"/>
                <w:highlight w:val="none"/>
                <w:lang w:eastAsia="zh-CN"/>
              </w:rPr>
              <w:t xml:space="preserve">投标人</w:t>
            </w:r>
            <w:r>
              <w:rPr>
                <w:rFonts w:hint="eastAsia" w:ascii="Times New Roman" w:hAnsi="Times New Roman" w:eastAsia="宋体" w:cs="Times New Roman"/>
                <w:color w:val="000000"/>
                <w:spacing w:val="0"/>
                <w:sz w:val="24"/>
                <w:szCs w:val="24"/>
                <w:highlight w:val="none"/>
              </w:rPr>
              <w:t xml:space="preserve">业绩</w:t>
            </w:r>
            <w:r>
              <w:rPr>
                <w:sz w:val="24"/>
                <w:szCs w:val="24"/>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4"/>
                <w:szCs w:val="24"/>
              </w:rPr>
            </w:pPr>
            <w:r>
              <w:rPr>
                <w:rFonts w:ascii="Times New Roman" w:hAnsi="Times New Roman" w:eastAsia="宋体" w:cs="Times New Roman"/>
                <w:sz w:val="24"/>
                <w:szCs w:val="24"/>
                <w:lang w:val="en-US" w:eastAsia="zh-CN" w:bidi="ar-SA"/>
              </w:rPr>
              <w:t xml:space="preserve">投标人</w:t>
            </w:r>
            <w:r>
              <w:rPr>
                <w:rFonts w:hint="eastAsia" w:ascii="Times New Roman" w:hAnsi="Times New Roman" w:eastAsia="宋体" w:cs="Times New Roman"/>
                <w:sz w:val="24"/>
                <w:szCs w:val="24"/>
                <w:lang w:val="en-US" w:eastAsia="zh-CN" w:bidi="ar-SA"/>
              </w:rPr>
              <w:t xml:space="preserve">提供</w:t>
            </w:r>
            <w:r>
              <w:rPr>
                <w:rFonts w:ascii="Times New Roman" w:hAnsi="Times New Roman" w:eastAsia="宋体" w:cs="Times New Roman"/>
                <w:sz w:val="24"/>
                <w:szCs w:val="24"/>
                <w:lang w:val="en-US" w:eastAsia="zh-CN" w:bidi="ar-SA"/>
              </w:rPr>
              <w:t xml:space="preserve">20</w:t>
            </w:r>
            <w:r>
              <w:rPr>
                <w:rFonts w:hint="eastAsia" w:ascii="Times New Roman" w:hAnsi="Times New Roman" w:eastAsia="宋体" w:cs="Times New Roman"/>
                <w:sz w:val="24"/>
                <w:szCs w:val="24"/>
                <w:lang w:val="en-US" w:eastAsia="zh-CN" w:bidi="ar-SA"/>
              </w:rPr>
              <w:t xml:space="preserve">22</w:t>
            </w:r>
            <w:r>
              <w:rPr>
                <w:rFonts w:ascii="Times New Roman" w:hAnsi="Times New Roman" w:eastAsia="宋体" w:cs="Times New Roman"/>
                <w:sz w:val="24"/>
                <w:szCs w:val="24"/>
                <w:lang w:val="en-US" w:eastAsia="zh-CN" w:bidi="ar-SA"/>
              </w:rPr>
              <w:t xml:space="preserve">年</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月</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日（含）以来类似项目业绩，每提供</w:t>
            </w: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个得</w:t>
            </w: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分</w:t>
            </w:r>
            <w:r>
              <w:rPr>
                <w:rFonts w:hint="eastAsia" w:ascii="Times New Roman" w:hAnsi="Times New Roman" w:eastAsia="宋体" w:cs="Times New Roman"/>
                <w:sz w:val="24"/>
                <w:szCs w:val="24"/>
                <w:lang w:val="en-US" w:eastAsia="zh-CN" w:bidi="ar-SA"/>
              </w:rPr>
              <w:t xml:space="preserve">，最多9分</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时间以合同签订时间为准，</w:t>
            </w:r>
            <w:r>
              <w:rPr>
                <w:rFonts w:ascii="Times New Roman" w:hAnsi="Times New Roman" w:eastAsia="宋体" w:cs="Times New Roman"/>
                <w:sz w:val="24"/>
                <w:szCs w:val="24"/>
                <w:lang w:val="en-US" w:eastAsia="zh-CN" w:bidi="ar-SA"/>
              </w:rPr>
              <w:t xml:space="preserve">提供有效合同，合同</w:t>
            </w:r>
            <w:r>
              <w:rPr>
                <w:rFonts w:hint="eastAsia" w:ascii="Times New Roman" w:hAnsi="Times New Roman" w:eastAsia="宋体" w:cs="Times New Roman"/>
                <w:sz w:val="24"/>
                <w:szCs w:val="24"/>
                <w:lang w:val="en-US" w:eastAsia="zh-CN" w:bidi="ar-SA"/>
              </w:rPr>
              <w:t xml:space="preserve">页</w:t>
            </w:r>
            <w:r>
              <w:rPr>
                <w:rFonts w:ascii="Times New Roman" w:hAnsi="Times New Roman" w:eastAsia="宋体" w:cs="Times New Roman"/>
                <w:sz w:val="24"/>
                <w:szCs w:val="24"/>
                <w:lang w:val="en-US" w:eastAsia="zh-CN" w:bidi="ar-SA"/>
              </w:rPr>
              <w:t xml:space="preserve">须清晰可见相应内容）</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9</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sz w:val="24"/>
                <w:szCs w:val="24"/>
              </w:rPr>
            </w:pPr>
            <w:r>
              <w:rPr>
                <w:rFonts w:hint="eastAsia" w:ascii="宋体" w:hAnsi="宋体" w:eastAsia="宋体" w:cs="宋体"/>
                <w:b/>
                <w:bCs/>
                <w:spacing w:val="-3"/>
                <w:sz w:val="24"/>
                <w:szCs w:val="24"/>
                <w:lang w:val="en-US" w:eastAsia="zh-CN"/>
              </w:rPr>
              <w:t xml:space="preserve">5.履约能力</w:t>
            </w:r>
            <w:r>
              <w:rPr>
                <w:sz w:val="24"/>
                <w:szCs w:val="24"/>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5</w:t>
            </w:r>
            <w:r>
              <w:rPr>
                <w:rFonts w:ascii="宋体" w:hAnsi="宋体" w:eastAsia="宋体" w:cs="宋体"/>
                <w:color w:val="000000"/>
                <w:spacing w:val="-2"/>
                <w:sz w:val="24"/>
                <w:szCs w:val="24"/>
              </w:rPr>
              <w:t xml:space="preserve">.1</w:t>
            </w:r>
            <w:r>
              <w:rPr>
                <w:sz w:val="24"/>
                <w:szCs w:val="24"/>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4"/>
                <w:szCs w:val="24"/>
              </w:rPr>
            </w:pPr>
            <w:r>
              <w:rPr>
                <w:rFonts w:hint="eastAsia" w:ascii="Times New Roman" w:hAnsi="Times New Roman" w:eastAsia="宋体" w:cs="Times New Roman"/>
                <w:color w:val="000000"/>
                <w:spacing w:val="0"/>
                <w:sz w:val="24"/>
                <w:szCs w:val="24"/>
                <w:lang w:eastAsia="zh-CN"/>
              </w:rPr>
              <w:t xml:space="preserve">履约能力</w:t>
            </w:r>
            <w:r>
              <w:rPr>
                <w:rFonts w:hint="eastAsia" w:ascii="Times New Roman" w:hAnsi="Times New Roman" w:eastAsia="宋体" w:cs="Times New Roman"/>
                <w:color w:val="000000"/>
                <w:spacing w:val="0"/>
                <w:sz w:val="24"/>
                <w:szCs w:val="24"/>
                <w:lang w:val="en-US" w:eastAsia="zh-CN"/>
              </w:rPr>
              <w:t xml:space="preserve">1</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投标人拟投入本项目的项目经理具有信息系统项目管理师证书、电子信息类或数字经济类高级工程师或以上职称证书，每提供1个证书得2分，最多得4分。</w:t>
            </w:r>
            <w:r>
              <w:rPr>
                <w:sz w:val="24"/>
                <w:szCs w:val="24"/>
              </w:rPr>
            </w:r>
            <w:r/>
          </w:p>
          <w:p>
            <w:pPr>
              <w:pStyle w:val="883"/>
              <w:ind w:left="0"/>
              <w:rPr>
                <w:rFonts w:ascii="Times New Roman" w:hAnsi="Times New Roman" w:eastAsia="宋体" w:cs="Times New Roman"/>
                <w:sz w:val="24"/>
                <w:szCs w:val="24"/>
              </w:rPr>
            </w:pPr>
            <w:r>
              <w:rPr>
                <w:rFonts w:ascii="Times New Roman" w:hAnsi="Times New Roman" w:eastAsia="宋体" w:cs="Times New Roman"/>
                <w:sz w:val="24"/>
                <w:szCs w:val="24"/>
                <w:lang w:val="zh-CN" w:eastAsia="zh-CN" w:bidi="ar-SA"/>
              </w:rPr>
              <w:t xml:space="preserve">（提供上述</w:t>
            </w:r>
            <w:r>
              <w:rPr>
                <w:rFonts w:hint="eastAsia" w:ascii="Times New Roman" w:hAnsi="Times New Roman" w:eastAsia="宋体" w:cs="Times New Roman"/>
                <w:sz w:val="24"/>
                <w:szCs w:val="24"/>
                <w:lang w:val="zh-CN" w:eastAsia="zh-CN" w:bidi="ar-SA"/>
              </w:rPr>
              <w:t xml:space="preserve">人员</w:t>
            </w:r>
            <w:r>
              <w:rPr>
                <w:rFonts w:ascii="Times New Roman" w:hAnsi="Times New Roman" w:eastAsia="宋体" w:cs="Times New Roman"/>
                <w:sz w:val="24"/>
                <w:szCs w:val="24"/>
                <w:lang w:val="zh-CN" w:eastAsia="zh-CN" w:bidi="ar-SA"/>
              </w:rPr>
              <w:t xml:space="preserve">证书</w:t>
            </w:r>
            <w:r>
              <w:rPr>
                <w:rFonts w:hint="eastAsia" w:ascii="Times New Roman" w:hAnsi="Times New Roman" w:eastAsia="宋体" w:cs="Times New Roman"/>
                <w:sz w:val="24"/>
                <w:szCs w:val="24"/>
                <w:lang w:val="en-US" w:eastAsia="zh-CN" w:bidi="ar-SA"/>
              </w:rPr>
              <w:t xml:space="preserve">及投标人为其缴纳的2025年4月以来任意一个月的社保证明材料，缺一不可）</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4</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lang w:val="en-US" w:eastAsia="zh-CN"/>
              </w:rPr>
              <w:t xml:space="preserve">5</w:t>
            </w:r>
            <w:r>
              <w:rPr>
                <w:rFonts w:ascii="宋体" w:hAnsi="宋体" w:eastAsia="宋体" w:cs="宋体"/>
                <w:spacing w:val="-2"/>
                <w:sz w:val="24"/>
                <w:szCs w:val="24"/>
              </w:rPr>
              <w:t xml:space="preserve">.2</w:t>
            </w:r>
            <w:r>
              <w:rPr>
                <w:sz w:val="24"/>
                <w:szCs w:val="24"/>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4"/>
                <w:szCs w:val="24"/>
              </w:rPr>
            </w:pPr>
            <w:r>
              <w:rPr>
                <w:rFonts w:hint="eastAsia" w:ascii="Times New Roman" w:hAnsi="Times New Roman" w:eastAsia="宋体" w:cs="Times New Roman"/>
                <w:color w:val="000000"/>
                <w:spacing w:val="0"/>
                <w:sz w:val="24"/>
                <w:szCs w:val="24"/>
                <w:lang w:eastAsia="zh-CN"/>
              </w:rPr>
              <w:t xml:space="preserve">履约能力</w:t>
            </w:r>
            <w:r>
              <w:rPr>
                <w:rFonts w:hint="eastAsia" w:ascii="Times New Roman" w:hAnsi="Times New Roman" w:eastAsia="宋体" w:cs="Times New Roman"/>
                <w:color w:val="000000"/>
                <w:spacing w:val="0"/>
                <w:sz w:val="24"/>
                <w:szCs w:val="24"/>
                <w:lang w:val="en-US" w:eastAsia="zh-CN"/>
              </w:rPr>
              <w:t xml:space="preserve">2</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投标人拟投入本项目的实施团队（不含项目经理）：</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（1）具有网络工程师证书的，每提供一人得1分，最多得4分；</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（2）具有网络规划设计师证书，每提供一人得2分，最多得4分。</w:t>
            </w:r>
            <w:r>
              <w:rPr>
                <w:sz w:val="24"/>
                <w:szCs w:val="24"/>
              </w:rPr>
            </w:r>
            <w:r/>
          </w:p>
          <w:p>
            <w:pPr>
              <w:pStyle w:val="883"/>
              <w:ind w:left="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（一人多证不重复计分，提供团队成员证书及投标人为其缴纳的2025年4月以来任意一个月的社保证明材料，缺一不可）</w:t>
            </w:r>
            <w:r>
              <w:rPr>
                <w:sz w:val="24"/>
                <w:szCs w:val="24"/>
              </w:rPr>
            </w:r>
            <w:r/>
          </w:p>
        </w:tc>
        <w:tc>
          <w:tcPr>
            <w:tcW w:w="647" w:type="dxa"/>
            <w:vAlign w:val="center"/>
            <w:textDirection w:val="lrTb"/>
            <w:noWrap w:val="false"/>
          </w:tcPr>
          <w:p>
            <w:pPr>
              <w:pStyle w:val="871"/>
              <w:jc w:val="center"/>
              <w:spacing w:before="68" w:line="288"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4</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lang w:val="en-US" w:eastAsia="zh-CN"/>
              </w:rPr>
              <w:t xml:space="preserve">5.3</w:t>
            </w:r>
            <w:r>
              <w:rPr>
                <w:sz w:val="24"/>
                <w:szCs w:val="24"/>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4"/>
                <w:szCs w:val="24"/>
              </w:rPr>
            </w:pPr>
            <w:r>
              <w:rPr>
                <w:rFonts w:hint="eastAsia" w:ascii="Times New Roman" w:hAnsi="Times New Roman" w:eastAsia="宋体" w:cs="Times New Roman"/>
                <w:color w:val="000000"/>
                <w:spacing w:val="0"/>
                <w:sz w:val="24"/>
                <w:szCs w:val="24"/>
                <w:lang w:eastAsia="zh-CN"/>
              </w:rPr>
              <w:t xml:space="preserve">履约能力</w:t>
            </w:r>
            <w:r>
              <w:rPr>
                <w:rFonts w:hint="eastAsia" w:ascii="Times New Roman" w:hAnsi="Times New Roman" w:eastAsia="宋体" w:cs="Times New Roman"/>
                <w:color w:val="000000"/>
                <w:spacing w:val="0"/>
                <w:sz w:val="24"/>
                <w:szCs w:val="24"/>
                <w:lang w:val="en-US" w:eastAsia="zh-CN"/>
              </w:rPr>
              <w:t xml:space="preserve">3</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投标人所投的云服务获得中国信息通信研究院的可信云认证，包括：</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（1）专有云模式政务云服务检验</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（2）专有云能力综合水平评估（自建模式）</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（3）混合云安全能力评估（增强级）</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（4）一云多芯稳定性度量评估检验（先进级）</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（5）一云多芯IaaS平台能力检验（先进级）</w:t>
            </w:r>
            <w:r>
              <w:rPr>
                <w:sz w:val="24"/>
                <w:szCs w:val="24"/>
              </w:rPr>
            </w:r>
            <w:r/>
          </w:p>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每提供一项评估得1分，本项最多得5分。（提供认证证书）</w:t>
            </w:r>
            <w:r>
              <w:rPr>
                <w:sz w:val="24"/>
                <w:szCs w:val="24"/>
              </w:rPr>
            </w:r>
            <w:r/>
          </w:p>
        </w:tc>
        <w:tc>
          <w:tcPr>
            <w:tcW w:w="647"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5</w:t>
            </w:r>
            <w:r>
              <w:rPr>
                <w:sz w:val="24"/>
                <w:szCs w:val="24"/>
              </w:rPr>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4"/>
                <w:szCs w:val="24"/>
              </w:rPr>
            </w:pPr>
            <w:r>
              <w:rPr>
                <w:rFonts w:hint="eastAsia" w:ascii="宋体" w:hAnsi="宋体" w:eastAsia="宋体" w:cs="宋体"/>
                <w:spacing w:val="-2"/>
                <w:sz w:val="24"/>
                <w:szCs w:val="24"/>
                <w:lang w:val="en-US" w:eastAsia="zh-CN"/>
              </w:rPr>
              <w:t xml:space="preserve">5.4</w:t>
            </w:r>
            <w:r>
              <w:rPr>
                <w:sz w:val="24"/>
                <w:szCs w:val="24"/>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ascii="Times New Roman" w:hAnsi="Times New Roman" w:eastAsia="宋体" w:cs="Times New Roman"/>
                <w:color w:val="0000ff"/>
                <w:spacing w:val="0"/>
                <w:sz w:val="24"/>
                <w:szCs w:val="24"/>
              </w:rPr>
            </w:pPr>
            <w:r>
              <w:rPr>
                <w:rFonts w:hint="eastAsia" w:ascii="Times New Roman" w:hAnsi="Times New Roman" w:eastAsia="宋体" w:cs="Times New Roman"/>
                <w:color w:val="000000"/>
                <w:spacing w:val="0"/>
                <w:sz w:val="24"/>
                <w:szCs w:val="24"/>
                <w:lang w:eastAsia="zh-CN"/>
              </w:rPr>
              <w:t xml:space="preserve">履约能力</w:t>
            </w:r>
            <w:r>
              <w:rPr>
                <w:rFonts w:hint="eastAsia" w:eastAsia="宋体" w:cs="Times New Roman"/>
                <w:color w:val="000000"/>
                <w:spacing w:val="0"/>
                <w:sz w:val="24"/>
                <w:szCs w:val="24"/>
                <w:lang w:val="en-US" w:eastAsia="zh-CN"/>
              </w:rPr>
              <w:t xml:space="preserve">4</w:t>
            </w:r>
            <w:r>
              <w:rPr>
                <w:sz w:val="24"/>
                <w:szCs w:val="24"/>
              </w:rPr>
            </w:r>
            <w:r/>
          </w:p>
        </w:tc>
        <w:tc>
          <w:tcPr>
            <w:tcW w:w="6330" w:type="dxa"/>
            <w:vAlign w:val="center"/>
            <w:textDirection w:val="lrTb"/>
            <w:noWrap w:val="false"/>
          </w:tcPr>
          <w:p>
            <w:pPr>
              <w:pStyle w:val="883"/>
              <w:ind w:left="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投标人所投的云服务应符合网络安全等级保护第三级及以上的能力要求，提供国家权威机构颁发的测评报告（评估产品须为“私有云”、“专有云”）等非公共云产品，其中四级及以上得5分，三级得3分，二级及以下不得分。（提供报告）</w:t>
            </w:r>
            <w:r>
              <w:rPr>
                <w:sz w:val="24"/>
                <w:szCs w:val="24"/>
              </w:rPr>
            </w:r>
            <w:r/>
          </w:p>
        </w:tc>
        <w:tc>
          <w:tcPr>
            <w:tcW w:w="647"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5</w:t>
            </w:r>
            <w:r/>
          </w:p>
        </w:tc>
        <w:tc>
          <w:tcPr>
            <w:tcW w:w="900" w:type="dxa"/>
            <w:vAlign w:val="center"/>
            <w:textDirection w:val="lrTb"/>
            <w:noWrap w:val="false"/>
          </w:tcPr>
          <w:p>
            <w:pPr>
              <w:pStyle w:val="871"/>
              <w:jc w:val="center"/>
              <w:spacing w:before="68" w:line="288"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bidi="ar-SA"/>
              </w:rPr>
              <w:t xml:space="preserve">客观分</w:t>
            </w:r>
            <w:r>
              <w:rPr>
                <w:sz w:val="24"/>
                <w:szCs w:val="24"/>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4"/>
                <w:szCs w:val="24"/>
              </w:rPr>
            </w:pPr>
            <w:r>
              <w:rPr>
                <w:rFonts w:ascii="宋体" w:hAnsi="宋体" w:eastAsia="宋体" w:cs="宋体"/>
                <w:spacing w:val="-3"/>
                <w:sz w:val="24"/>
                <w:szCs w:val="24"/>
              </w:rPr>
              <w:t xml:space="preserve">合</w:t>
            </w:r>
            <w:r>
              <w:rPr>
                <w:rFonts w:ascii="宋体" w:hAnsi="宋体" w:eastAsia="宋体" w:cs="宋体"/>
                <w:spacing w:val="-2"/>
                <w:sz w:val="24"/>
                <w:szCs w:val="24"/>
              </w:rPr>
              <w:t xml:space="preserve">计</w:t>
            </w:r>
            <w:r>
              <w:rPr>
                <w:sz w:val="24"/>
                <w:szCs w:val="24"/>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4"/>
                <w:szCs w:val="24"/>
              </w:rPr>
            </w:pPr>
            <w:r>
              <w:rPr>
                <w:rFonts w:ascii="宋体" w:hAnsi="宋体" w:eastAsia="宋体" w:cs="宋体"/>
                <w:color w:val="ff0000"/>
                <w:spacing w:val="-2"/>
                <w:sz w:val="24"/>
                <w:szCs w:val="24"/>
              </w:rPr>
            </w:r>
            <w:r>
              <w:rPr>
                <w:sz w:val="24"/>
                <w:szCs w:val="24"/>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4"/>
                <w:szCs w:val="24"/>
              </w:rPr>
            </w:pPr>
            <w:r>
              <w:rPr>
                <w:rFonts w:ascii="宋体" w:hAnsi="宋体" w:eastAsia="宋体" w:cs="宋体"/>
                <w:color w:val="000000"/>
                <w:spacing w:val="-11"/>
                <w:sz w:val="24"/>
                <w:szCs w:val="24"/>
              </w:rPr>
              <w:t xml:space="preserve">100分</w:t>
            </w:r>
            <w:r>
              <w:rPr>
                <w:sz w:val="24"/>
                <w:szCs w:val="24"/>
              </w:rPr>
            </w:r>
            <w:r/>
          </w:p>
        </w:tc>
      </w:tr>
    </w:tbl>
    <w:p>
      <w:pPr>
        <w:pStyle w:val="871"/>
        <w:keepLines w:val="0"/>
        <w:keepNext w:val="0"/>
        <w:pageBreakBefore w:val="0"/>
        <w:spacing w:line="264" w:lineRule="auto"/>
        <w:widowControl w:val="off"/>
        <w:rPr>
          <w:rFonts w:hint="eastAsia"/>
          <w:sz w:val="24"/>
          <w:szCs w:val="24"/>
        </w:rPr>
      </w:pPr>
      <w:r>
        <w:rPr>
          <w:rFonts w:hint="eastAsia"/>
          <w:sz w:val="24"/>
          <w:szCs w:val="24"/>
        </w:rPr>
      </w:r>
      <w:r>
        <w:rPr>
          <w:sz w:val="24"/>
          <w:szCs w:val="24"/>
        </w:rPr>
      </w:r>
      <w:r/>
    </w:p>
    <w:p>
      <w:pPr>
        <w:pStyle w:val="871"/>
        <w:keepLines w:val="0"/>
        <w:keepNext w:val="0"/>
        <w:pageBreakBefore w:val="0"/>
        <w:spacing w:line="264" w:lineRule="auto"/>
        <w:widowControl w:val="off"/>
        <w:rPr>
          <w:rFonts w:hint="eastAsia"/>
          <w:sz w:val="24"/>
          <w:szCs w:val="24"/>
        </w:rPr>
      </w:pPr>
      <w:r>
        <w:rPr>
          <w:rFonts w:hint="eastAsia"/>
          <w:sz w:val="24"/>
          <w:szCs w:val="24"/>
        </w:rPr>
      </w:r>
      <w:r>
        <w:rPr>
          <w:sz w:val="24"/>
          <w:szCs w:val="24"/>
        </w:rPr>
      </w:r>
      <w:r/>
    </w:p>
    <w:p>
      <w:pPr>
        <w:pStyle w:val="871"/>
        <w:keepLines w:val="0"/>
        <w:keepNext w:val="0"/>
        <w:pageBreakBefore w:val="0"/>
        <w:spacing w:line="264" w:lineRule="auto"/>
        <w:widowControl w:val="off"/>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p>
    <w:p>
      <w:pPr>
        <w:pStyle w:val="871"/>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197" w:name="_Hlt26671244"/>
      <w:r/>
      <w:bookmarkEnd w:id="197"/>
      <w:r/>
      <w:bookmarkStart w:id="198" w:name="_Hlt26955039"/>
      <w:r/>
      <w:bookmarkEnd w:id="198"/>
      <w:r/>
      <w:bookmarkStart w:id="199" w:name="_Toc49090576"/>
      <w:r/>
      <w:bookmarkStart w:id="200" w:name="_Toc26554094"/>
      <w:r/>
      <w:bookmarkStart w:id="201" w:name="_Toc120614282"/>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rPr>
          <w:rFonts w:hint="eastAsia" w:ascii="黑体" w:hAnsi="黑体" w:eastAsia="黑体" w:cs="Times New Roman"/>
          <w:i/>
          <w:sz w:val="32"/>
          <w:szCs w:val="32"/>
          <w:u w:val="single"/>
          <w:lang w:val="en-US" w:eastAsia="zh-CN"/>
        </w:rPr>
      </w:pPr>
      <w:r/>
      <w:bookmarkEnd w:id="199"/>
      <w:r/>
      <w:bookmarkEnd w:id="200"/>
      <w:r/>
      <w:bookmarkEnd w:id="201"/>
      <w:r/>
      <w:bookmarkStart w:id="202" w:name="_Toc120614284"/>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71"/>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3"/>
        <w:rPr>
          <w:rFonts w:hint="eastAsia" w:ascii="宋体" w:hAnsi="宋体"/>
          <w:b/>
          <w:bCs/>
          <w:sz w:val="21"/>
          <w:szCs w:val="21"/>
          <w:lang w:eastAsia="zh-CN"/>
        </w:rPr>
      </w:pPr>
      <w:r>
        <w:rPr>
          <w:rFonts w:hint="eastAsia" w:ascii="宋体" w:hAnsi="宋体"/>
          <w:b/>
          <w:bCs/>
          <w:sz w:val="21"/>
          <w:szCs w:val="21"/>
          <w:lang w:eastAsia="zh-CN"/>
        </w:rPr>
      </w:r>
      <w:r/>
    </w:p>
    <w:p>
      <w:pPr>
        <w:pStyle w:val="871"/>
        <w:rPr>
          <w:rFonts w:hint="eastAsia"/>
          <w:lang w:eastAsia="zh-CN"/>
        </w:rPr>
      </w:pPr>
      <w:r>
        <w:rPr>
          <w:rFonts w:hint="eastAsia"/>
          <w:lang w:eastAsia="zh-CN"/>
        </w:rPr>
      </w:r>
      <w:r/>
    </w:p>
    <w:p>
      <w:pPr>
        <w:pStyle w:val="941"/>
        <w:rPr>
          <w:rFonts w:hint="eastAsia"/>
          <w:lang w:eastAsia="zh-CN"/>
        </w:rPr>
      </w:pPr>
      <w:r>
        <w:rPr>
          <w:rFonts w:hint="eastAsia"/>
          <w:lang w:eastAsia="zh-CN"/>
        </w:rPr>
      </w:r>
      <w:r/>
    </w:p>
    <w:p>
      <w:pPr>
        <w:pStyle w:val="871"/>
        <w:rPr>
          <w:rFonts w:hint="eastAsia"/>
          <w:lang w:eastAsia="zh-CN"/>
        </w:rPr>
      </w:pPr>
      <w:r>
        <w:rPr>
          <w:rFonts w:hint="eastAsia"/>
          <w:lang w:eastAsia="zh-CN"/>
        </w:rPr>
      </w:r>
      <w:r/>
    </w:p>
    <w:p>
      <w:pPr>
        <w:pStyle w:val="87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bCs w:val="0"/>
          <w:i w:val="0"/>
          <w:sz w:val="32"/>
          <w:szCs w:val="32"/>
          <w:u w:val="none"/>
        </w:rPr>
      </w:pPr>
      <w:r>
        <w:rPr>
          <w:rFonts w:hint="eastAsia" w:ascii="黑体" w:hAnsi="黑体" w:eastAsia="黑体" w:cs="Times New Roman"/>
          <w:i w:val="0"/>
          <w:sz w:val="32"/>
          <w:szCs w:val="32"/>
          <w:highlight w:val="none"/>
          <w:u w:val="none"/>
        </w:rPr>
      </w:r>
      <w:r>
        <w:rPr>
          <w:rFonts w:hint="eastAsia" w:ascii="黑体" w:hAnsi="黑体" w:eastAsia="黑体" w:cs="Times New Roman"/>
          <w:i w:val="0"/>
          <w:sz w:val="32"/>
          <w:szCs w:val="32"/>
          <w:highlight w:val="none"/>
          <w:u w:val="none"/>
        </w:rPr>
      </w:r>
      <w:r/>
    </w:p>
    <w:p>
      <w:pPr>
        <w:jc w:val="left"/>
        <w:spacing w:line="360" w:lineRule="auto"/>
        <w:rPr>
          <w:rFonts w:hint="eastAsia" w:ascii="黑体" w:hAnsi="黑体" w:eastAsia="黑体" w:cs="Times New Roman"/>
          <w:bCs w:val="0"/>
          <w:i w:val="0"/>
          <w:sz w:val="32"/>
          <w:szCs w:val="32"/>
          <w:highlight w:val="none"/>
          <w:u w:val="none"/>
        </w:rPr>
      </w:pPr>
      <w:r>
        <w:rPr>
          <w:rFonts w:hint="eastAsia" w:ascii="黑体" w:hAnsi="黑体" w:eastAsia="黑体" w:cs="Times New Roman"/>
          <w:i w:val="0"/>
          <w:sz w:val="32"/>
          <w:szCs w:val="32"/>
          <w:highlight w:val="none"/>
          <w:u w:val="none"/>
        </w:rPr>
      </w:r>
      <w:r>
        <w:rPr>
          <w:rFonts w:hint="eastAsia" w:ascii="黑体" w:hAnsi="黑体" w:eastAsia="黑体" w:cs="Times New Roman"/>
          <w:i w:val="0"/>
          <w:sz w:val="32"/>
          <w:szCs w:val="32"/>
          <w:highlight w:val="none"/>
          <w:u w:val="none"/>
        </w:rPr>
      </w:r>
      <w:r/>
    </w:p>
    <w:p>
      <w:pPr>
        <w:pStyle w:val="871"/>
        <w:jc w:val="left"/>
        <w:spacing w:line="360" w:lineRule="auto"/>
        <w:rPr>
          <w:rFonts w:hint="eastAsia" w:ascii="黑体" w:hAnsi="黑体" w:eastAsia="黑体" w:cs="Times New Roman"/>
          <w:bCs w:val="0"/>
          <w:i w:val="0"/>
          <w:sz w:val="32"/>
          <w:szCs w:val="32"/>
          <w:highlight w:val="none"/>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sz w:val="24"/>
          <w:szCs w:val="24"/>
        </w:rPr>
      </w:pP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3"/>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671380"/>
      <w:r/>
      <w:bookmarkEnd w:id="203"/>
      <w:r/>
      <w:bookmarkStart w:id="204" w:name="_格式3__银行出具的资信证明"/>
      <w:r/>
      <w:bookmarkEnd w:id="204"/>
      <w:r/>
      <w:bookmarkStart w:id="205" w:name="_Hlt26955070"/>
      <w:r/>
      <w:bookmarkEnd w:id="205"/>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4"/>
        <w:rPr>
          <w:rFonts w:hint="eastAsia" w:ascii="宋体" w:hAnsi="宋体"/>
          <w:bCs/>
          <w:sz w:val="24"/>
        </w:rPr>
      </w:pPr>
      <w:r>
        <w:rPr>
          <w:rFonts w:hint="eastAsia" w:ascii="宋体" w:hAnsi="宋体"/>
          <w:bCs/>
          <w:sz w:val="24"/>
        </w:rPr>
      </w:r>
      <w:r/>
    </w:p>
    <w:p>
      <w:pPr>
        <w:pStyle w:val="954"/>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5"/>
        <w:ind w:left="420"/>
        <w:spacing w:before="0" w:after="0" w:line="420" w:lineRule="exact"/>
        <w:rPr>
          <w:rFonts w:hint="eastAsia" w:ascii="宋体" w:hAnsi="宋体"/>
          <w:szCs w:val="21"/>
        </w:rPr>
      </w:pPr>
      <w:r>
        <w:rPr>
          <w:rFonts w:hint="eastAsia" w:ascii="宋体" w:hAnsi="宋体"/>
          <w:szCs w:val="21"/>
        </w:rPr>
      </w:r>
      <w:r/>
    </w:p>
    <w:p>
      <w:pPr>
        <w:pStyle w:val="965"/>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投标总报价</w:t>
            </w:r>
            <w:r>
              <w:rPr>
                <w:rFonts w:hint="eastAsia" w:ascii="宋体" w:hAnsi="宋体"/>
                <w:sz w:val="24"/>
                <w:szCs w:val="24"/>
                <w:lang w:eastAsia="zh-CN"/>
              </w:rPr>
              <w:t xml:space="preserve">（</w:t>
            </w:r>
            <w:r>
              <w:rPr>
                <w:rFonts w:hint="eastAsia" w:ascii="宋体" w:hAnsi="宋体" w:eastAsia="宋体" w:cs="Times New Roman"/>
                <w:sz w:val="24"/>
                <w:szCs w:val="24"/>
                <w:lang w:val="en-US" w:eastAsia="zh-CN"/>
              </w:rPr>
              <w:t xml:space="preserve">二年投标价）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6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41"/>
        <w:rPr>
          <w:rFonts w:hint="eastAsia"/>
        </w:rPr>
      </w:pPr>
      <w:r>
        <w:rPr>
          <w:rFonts w:hint="eastAsia"/>
        </w:rPr>
      </w:r>
      <w:r/>
    </w:p>
    <w:p>
      <w:pPr>
        <w:pStyle w:val="87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1"/>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一年投标价</w:t>
            </w:r>
            <w:r>
              <w:rPr>
                <w:rFonts w:hint="eastAsia" w:ascii="宋体" w:hAnsi="宋体"/>
                <w:color w:val="000000"/>
                <w:sz w:val="24"/>
                <w:szCs w:val="24"/>
                <w:lang w:val="en-US" w:eastAsia="zh-CN"/>
              </w:rPr>
            </w:r>
            <w:r/>
          </w:p>
          <w:p>
            <w:pPr>
              <w:pStyle w:val="871"/>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ascii="宋体" w:hAnsi="宋体"/>
                <w:sz w:val="24"/>
                <w:szCs w:val="24"/>
              </w:rPr>
            </w:pPr>
            <w:r>
              <w:rPr>
                <w:rFonts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二年投标价</w:t>
            </w:r>
            <w:r>
              <w:rPr>
                <w:rFonts w:hint="eastAsia" w:ascii="宋体" w:hAnsi="宋体"/>
                <w:color w:val="000000"/>
                <w:sz w:val="24"/>
                <w:szCs w:val="24"/>
                <w:lang w:val="en-US" w:eastAsia="zh-CN"/>
              </w:rPr>
            </w:r>
            <w:r/>
          </w:p>
          <w:p>
            <w:pPr>
              <w:pStyle w:val="871"/>
              <w:jc w:val="center"/>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（元）</w:t>
            </w:r>
            <w:r>
              <w:rPr>
                <w:rFonts w:hint="eastAsia" w:ascii="宋体" w:hAnsi="宋体"/>
                <w:color w:val="000000"/>
                <w:sz w:val="24"/>
                <w:szCs w:val="24"/>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2.《投标分项报价表》中“二年投标价”应当与《开标一览表》中“投标总报价”一致。</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3"/>
      <w:r/>
      <w:bookmarkEnd w:id="44"/>
      <w:r/>
      <w:bookmarkEnd w:id="202"/>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pPr>
            <w:r/>
            <w:r/>
          </w:p>
          <w:p>
            <w:pPr>
              <w:pStyle w:val="941"/>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rFonts w:hint="eastAsia" w:ascii="黑体" w:hAnsi="黑体" w:eastAsia="黑体" w:cs="Times New Roman"/>
          <w:i w:val="0"/>
          <w:iCs/>
          <w:color w:val="000000"/>
          <w:sz w:val="32"/>
          <w:szCs w:val="32"/>
          <w:u w:val="none"/>
          <w:lang w:val="en-US" w:eastAsia="zh-CN"/>
        </w:rPr>
      </w:pPr>
      <w:r/>
      <w:bookmarkStart w:id="206" w:name="_Hlt26955054"/>
      <w:r/>
      <w:bookmarkEnd w:id="206"/>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rPr>
            </w:pPr>
            <w:r/>
            <w:bookmarkStart w:id="207" w:name="_Hlt26782999"/>
            <w:r/>
            <w:bookmarkEnd w:id="207"/>
            <w:r/>
            <w:bookmarkStart w:id="208" w:name="_Hlt26671343"/>
            <w:r/>
            <w:bookmarkEnd w:id="208"/>
            <w:r/>
            <w:bookmarkStart w:id="209" w:name="_Hlt26955056"/>
            <w:r/>
            <w:bookmarkEnd w:id="209"/>
            <w:r/>
            <w:bookmarkStart w:id="210" w:name="_Hlt26580838"/>
            <w:r/>
            <w:bookmarkEnd w:id="210"/>
            <w:r/>
            <w:bookmarkStart w:id="211" w:name="_Hlt24879081"/>
            <w:r/>
            <w:bookmarkEnd w:id="211"/>
            <w:r/>
            <w:bookmarkStart w:id="212" w:name="_Hlt26671372"/>
            <w:r/>
            <w:bookmarkEnd w:id="212"/>
            <w:r/>
            <w:bookmarkStart w:id="213" w:name="_Hlt26609391"/>
            <w:r/>
            <w:bookmarkEnd w:id="213"/>
            <w:r/>
            <w:bookmarkStart w:id="214" w:name="_Hlt26955064"/>
            <w:r/>
            <w:bookmarkEnd w:id="21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pPr>
            <w:r/>
            <w:r/>
          </w:p>
          <w:p>
            <w:pPr>
              <w:pStyle w:val="941"/>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83"/>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883"/>
        <w:rPr>
          <w:rFonts w:hint="eastAsia"/>
          <w:color w:val="000000"/>
        </w:rPr>
      </w:pPr>
      <w:r>
        <w:rPr>
          <w:rFonts w:hint="eastAsia"/>
          <w:color w:val="000000"/>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1"/>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7"/>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5"/>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8"/>
    <w:qFormat/>
    <w:pPr>
      <w:keepLines/>
      <w:keepNext/>
      <w:spacing w:before="260" w:after="260" w:line="416" w:lineRule="auto"/>
      <w:outlineLvl w:val="2"/>
    </w:pPr>
    <w:rPr>
      <w:b/>
      <w:bCs/>
      <w:sz w:val="32"/>
      <w:szCs w:val="32"/>
    </w:rPr>
  </w:style>
  <w:style w:type="paragraph" w:styleId="875">
    <w:name w:val="标题 4"/>
    <w:basedOn w:val="871"/>
    <w:next w:val="886"/>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90"/>
    <w:qFormat/>
    <w:pPr>
      <w:keepNext/>
      <w:outlineLvl w:val="4"/>
    </w:pPr>
    <w:rPr>
      <w:rFonts w:ascii="宋体"/>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索引 41"/>
    <w:basedOn w:val="871"/>
    <w:next w:val="871"/>
    <w:link w:val="871"/>
    <w:semiHidden/>
    <w:qFormat/>
    <w:pPr>
      <w:ind w:left="1260"/>
    </w:pPr>
    <w:rPr>
      <w:rFonts w:ascii="Calibri" w:hAnsi="Calibri" w:eastAsia="Calibri" w:cs="宋体"/>
      <w:sz w:val="20"/>
      <w:lang w:val="zh-CN"/>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style>
  <w:style w:type="paragraph" w:styleId="896">
    <w:name w:val="目录 7"/>
    <w:basedOn w:val="871"/>
    <w:next w:val="871"/>
    <w:link w:val="871"/>
    <w:semiHidden/>
    <w:pPr>
      <w:ind w:left="1260"/>
      <w:jc w:val="left"/>
    </w:pPr>
  </w:style>
  <w:style w:type="paragraph" w:styleId="897">
    <w:name w:val="文档结构图"/>
    <w:basedOn w:val="871"/>
    <w:next w:val="897"/>
    <w:link w:val="898"/>
    <w:semiHidden/>
    <w:pPr>
      <w:shd w:val="clear" w:color="auto" w:fill="000080"/>
    </w:p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semiHidden/>
    <w:pPr>
      <w:jc w:val="left"/>
    </w:p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71"/>
    <w:next w:val="901"/>
    <w:link w:val="902"/>
    <w:rPr>
      <w:rFonts w:ascii="仿宋_GB2312" w:hAnsi="Arial" w:eastAsia="仿宋_GB2312"/>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pPr>
      <w:ind w:firstLine="645"/>
    </w:pPr>
    <w:rPr>
      <w:rFonts w:ascii="楷体_GB2312" w:eastAsia="楷体_GB2312"/>
      <w:sz w:val="32"/>
      <w:szCs w:val="32"/>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style>
  <w:style w:type="paragraph" w:styleId="909">
    <w:name w:val="目录 5"/>
    <w:basedOn w:val="871"/>
    <w:next w:val="871"/>
    <w:link w:val="871"/>
    <w:semiHidden/>
    <w:pPr>
      <w:ind w:left="840"/>
      <w:jc w:val="left"/>
    </w:pPr>
  </w:style>
  <w:style w:type="paragraph" w:styleId="910">
    <w:name w:val="目录 3"/>
    <w:basedOn w:val="871"/>
    <w:next w:val="871"/>
    <w:link w:val="871"/>
    <w:semiHidden/>
    <w:pPr>
      <w:ind w:left="420"/>
      <w:jc w:val="left"/>
    </w:pPr>
    <w:rPr>
      <w:i/>
      <w:iCs/>
      <w:szCs w:val="24"/>
    </w:rPr>
  </w:style>
  <w:style w:type="paragraph" w:styleId="911">
    <w:name w:val="纯文本"/>
    <w:basedOn w:val="871"/>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style>
  <w:style w:type="paragraph" w:styleId="914">
    <w:name w:val="日期"/>
    <w:basedOn w:val="871"/>
    <w:next w:val="871"/>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71"/>
    <w:next w:val="871"/>
    <w:link w:val="871"/>
    <w:semiHidden/>
    <w:pPr>
      <w:ind w:left="630"/>
      <w:jc w:val="left"/>
    </w:pPr>
  </w:style>
  <w:style w:type="paragraph" w:styleId="926">
    <w:name w:val="列表"/>
    <w:basedOn w:val="871"/>
    <w:next w:val="926"/>
    <w:link w:val="871"/>
    <w:pPr>
      <w:ind w:left="200" w:hanging="200"/>
    </w:pPr>
  </w:style>
  <w:style w:type="paragraph" w:styleId="927">
    <w:name w:val="目录 6"/>
    <w:basedOn w:val="871"/>
    <w:next w:val="871"/>
    <w:link w:val="871"/>
    <w:semiHidden/>
    <w:pPr>
      <w:ind w:left="1050"/>
      <w:jc w:val="left"/>
    </w:p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style>
  <w:style w:type="paragraph" w:styleId="931">
    <w:name w:val="目录 2"/>
    <w:basedOn w:val="871"/>
    <w:next w:val="871"/>
    <w:link w:val="871"/>
    <w:semiHidden/>
    <w:pPr>
      <w:ind w:left="210"/>
      <w:jc w:val="left"/>
    </w:pPr>
    <w:rPr>
      <w:smallCaps/>
      <w:szCs w:val="24"/>
    </w:rPr>
  </w:style>
  <w:style w:type="paragraph" w:styleId="932">
    <w:name w:val="目录 9"/>
    <w:basedOn w:val="871"/>
    <w:next w:val="871"/>
    <w:link w:val="871"/>
    <w:semiHidden/>
    <w:pPr>
      <w:ind w:left="1680"/>
      <w:jc w:val="left"/>
    </w:pPr>
  </w:style>
  <w:style w:type="paragraph" w:styleId="933">
    <w:name w:val="正文文本 2"/>
    <w:basedOn w:val="871"/>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cs="宋体"/>
      <w:sz w:val="24"/>
      <w:szCs w:val="24"/>
    </w:rPr>
  </w:style>
  <w:style w:type="paragraph" w:styleId="936">
    <w:name w:val="索引 1"/>
    <w:basedOn w:val="871"/>
    <w:next w:val="871"/>
    <w:link w:val="871"/>
    <w:semiHidden/>
    <w:pPr>
      <w:spacing w:line="240" w:lineRule="atLeast"/>
    </w:pPr>
    <w:rPr>
      <w:b/>
      <w:bCs/>
    </w:rPr>
  </w:style>
  <w:style w:type="paragraph" w:styleId="937">
    <w:name w:val="批注主题"/>
    <w:basedOn w:val="899"/>
    <w:next w:val="899"/>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1"/>
    <w:link w:val="942"/>
    <w:pPr>
      <w:ind w:firstLine="420"/>
      <w:spacing w:line="360" w:lineRule="auto"/>
    </w:pPr>
    <w:rPr>
      <w:rFonts w:ascii="宋体" w:hAnsi="宋体" w:eastAsia="宋体"/>
      <w:sz w:val="21"/>
      <w:szCs w:val="20"/>
    </w:rPr>
  </w:style>
  <w:style w:type="character" w:styleId="942">
    <w:name w:val="正文首行缩进 2 Char"/>
    <w:next w:val="942"/>
    <w:link w:val="941"/>
    <w:rPr>
      <w:rFonts w:ascii="宋体" w:hAnsi="宋体" w:eastAsia="宋体" w:cs="Times New Roman"/>
      <w:sz w:val="32"/>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首行缩进 21"/>
    <w:basedOn w:val="950"/>
    <w:next w:val="871"/>
    <w:link w:val="871"/>
    <w:qFormat/>
    <w:pPr>
      <w:ind w:firstLine="420"/>
      <w:spacing w:line="360" w:lineRule="auto"/>
    </w:pPr>
    <w:rPr>
      <w:rFonts w:ascii="宋体" w:hAnsi="宋体" w:eastAsia="宋体"/>
      <w:sz w:val="21"/>
      <w:szCs w:val="20"/>
    </w:rPr>
  </w:style>
  <w:style w:type="paragraph" w:styleId="950">
    <w:name w:val="正文文本缩进11"/>
    <w:basedOn w:val="871"/>
    <w:next w:val="951"/>
    <w:link w:val="871"/>
    <w:qFormat/>
    <w:pPr>
      <w:ind w:firstLine="645"/>
    </w:pPr>
    <w:rPr>
      <w:rFonts w:ascii="楷体_GB2312" w:eastAsia="楷体_GB2312"/>
      <w:sz w:val="32"/>
      <w:szCs w:val="32"/>
    </w:rPr>
  </w:style>
  <w:style w:type="paragraph" w:styleId="951">
    <w:name w:val="寄信人地址1"/>
    <w:basedOn w:val="871"/>
    <w:next w:val="951"/>
    <w:link w:val="871"/>
    <w:qFormat/>
    <w:rPr>
      <w:rFonts w:ascii="Arial" w:hAnsi="Arial" w:eastAsia="宋体" w:cs="宋体"/>
    </w:rPr>
  </w:style>
  <w:style w:type="paragraph" w:styleId="952">
    <w:name w:val="标题 41"/>
    <w:basedOn w:val="871"/>
    <w:next w:val="953"/>
    <w:link w:val="871"/>
    <w:qFormat/>
    <w:pPr>
      <w:keepLines/>
      <w:keepNext/>
      <w:spacing w:before="280" w:after="290" w:line="376" w:lineRule="auto"/>
      <w:outlineLvl w:val="3"/>
    </w:pPr>
    <w:rPr>
      <w:rFonts w:ascii="Arial" w:hAnsi="Arial" w:eastAsia="黑体" w:cs="Arial"/>
      <w:b/>
      <w:bCs/>
      <w:sz w:val="28"/>
      <w:szCs w:val="28"/>
    </w:rPr>
  </w:style>
  <w:style w:type="paragraph" w:styleId="953">
    <w:name w:val="正文缩进1"/>
    <w:basedOn w:val="871"/>
    <w:next w:val="953"/>
    <w:link w:val="871"/>
    <w:qFormat/>
    <w:pPr>
      <w:ind w:firstLine="420"/>
    </w:pPr>
  </w:style>
  <w:style w:type="paragraph" w:styleId="954">
    <w:name w:val="正文文本12"/>
    <w:basedOn w:val="871"/>
    <w:next w:val="954"/>
    <w:link w:val="871"/>
    <w:uiPriority w:val="1"/>
    <w:qFormat/>
    <w:pPr>
      <w:ind w:left="120"/>
    </w:pPr>
    <w:rPr>
      <w:rFonts w:ascii="宋体" w:hAnsi="宋体" w:eastAsia="宋体" w:cs="宋体"/>
      <w:sz w:val="21"/>
      <w:szCs w:val="21"/>
      <w:lang w:val="zh-CN" w:eastAsia="zh-CN" w:bidi="zh-CN"/>
    </w:rPr>
  </w:style>
  <w:style w:type="character" w:styleId="955">
    <w:name w:val="font5 Char"/>
    <w:next w:val="955"/>
    <w:link w:val="871"/>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1"/>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1"/>
    <w:next w:val="959"/>
    <w:link w:val="958"/>
    <w:qFormat/>
    <w:pPr>
      <w:contextualSpacing/>
      <w:ind w:left="720"/>
      <w:jc w:val="left"/>
      <w:widowControl/>
    </w:pPr>
    <w:rPr>
      <w:rFonts w:ascii="Calibri" w:hAnsi="Calibri" w:eastAsia="宋体" w:cs="Times New Roman"/>
      <w:sz w:val="24"/>
      <w:szCs w:val="24"/>
      <w:lang w:eastAsia="en-US" w:bidi="en-US"/>
    </w:rPr>
  </w:style>
  <w:style w:type="paragraph" w:styleId="960">
    <w:name w:val="Body Text(ch)"/>
    <w:basedOn w:val="871"/>
    <w:next w:val="903"/>
    <w:link w:val="871"/>
    <w:pPr>
      <w:spacing w:after="120"/>
    </w:pPr>
    <w:rPr>
      <w:rFonts w:ascii="宋体" w:hAnsi="Arial"/>
      <w:bCs/>
      <w:iCs/>
      <w:szCs w:val="24"/>
    </w:rPr>
  </w:style>
  <w:style w:type="paragraph" w:styleId="961">
    <w:name w:val="xl27"/>
    <w:basedOn w:val="871"/>
    <w:next w:val="96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6"/>
    <w:basedOn w:val="871"/>
    <w:next w:val="962"/>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name w:val="Char"/>
    <w:basedOn w:val="871"/>
    <w:next w:val="963"/>
    <w:link w:val="871"/>
    <w:pPr>
      <w:ind w:firstLine="200"/>
      <w:tabs>
        <w:tab w:val="left" w:pos="360" w:leader="none"/>
      </w:tabs>
    </w:pPr>
    <w:rPr>
      <w:sz w:val="28"/>
      <w:szCs w:val="30"/>
    </w:rPr>
  </w:style>
  <w:style w:type="paragraph" w:styleId="964">
    <w:name w:val=" Char"/>
    <w:basedOn w:val="897"/>
    <w:next w:val="964"/>
    <w:link w:val="871"/>
    <w:rPr>
      <w:rFonts w:ascii="Tahoma" w:hAnsi="Tahoma"/>
      <w:sz w:val="24"/>
      <w:szCs w:val="24"/>
    </w:rPr>
  </w:style>
  <w:style w:type="paragraph" w:styleId="965">
    <w:name w:val="普通正文"/>
    <w:basedOn w:val="871"/>
    <w:next w:val="965"/>
    <w:link w:val="871"/>
    <w:pPr>
      <w:ind w:firstLine="480"/>
      <w:jc w:val="left"/>
      <w:spacing w:before="120" w:after="120" w:line="360" w:lineRule="auto"/>
    </w:pPr>
    <w:rPr>
      <w:rFonts w:ascii="Arial" w:hAnsi="Arial"/>
      <w:sz w:val="24"/>
      <w:szCs w:val="24"/>
    </w:rPr>
  </w:style>
  <w:style w:type="paragraph" w:styleId="966">
    <w:name w:val="table_lines"/>
    <w:basedOn w:val="871"/>
    <w:next w:val="966"/>
    <w:link w:val="871"/>
    <w:pPr>
      <w:jc w:val="left"/>
      <w:widowControl/>
    </w:pPr>
    <w:rPr>
      <w:sz w:val="20"/>
      <w:szCs w:val="20"/>
      <w:lang w:val="de-DE" w:eastAsia="de-DE"/>
    </w:rPr>
  </w:style>
  <w:style w:type="paragraph" w:styleId="967">
    <w:name w:val="附录1"/>
    <w:next w:val="967"/>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1"/>
    <w:next w:val="968"/>
    <w:link w:val="871"/>
    <w:pPr>
      <w:jc w:val="left"/>
      <w:spacing w:before="100" w:beforeAutospacing="1" w:after="100" w:afterAutospacing="1"/>
      <w:widowControl/>
    </w:pPr>
    <w:rPr>
      <w:rFonts w:hint="eastAsia" w:ascii="宋体" w:hAnsi="宋体"/>
      <w:sz w:val="18"/>
      <w:szCs w:val="18"/>
    </w:rPr>
  </w:style>
  <w:style w:type="paragraph" w:styleId="969">
    <w:name w:val=" Char Char Char Char"/>
    <w:basedOn w:val="897"/>
    <w:next w:val="969"/>
    <w:link w:val="871"/>
    <w:pPr>
      <w:spacing w:line="360" w:lineRule="auto"/>
    </w:pPr>
    <w:rPr>
      <w:rFonts w:ascii="Tahoma" w:hAnsi="Tahoma"/>
      <w:sz w:val="24"/>
      <w:szCs w:val="24"/>
    </w:rPr>
  </w:style>
  <w:style w:type="paragraph" w:styleId="970">
    <w:name w:val="列出段落"/>
    <w:basedOn w:val="871"/>
    <w:next w:val="970"/>
    <w:link w:val="871"/>
    <w:qFormat/>
    <w:pPr>
      <w:contextualSpacing/>
      <w:ind w:left="720"/>
      <w:jc w:val="left"/>
      <w:widowControl/>
    </w:pPr>
    <w:rPr>
      <w:rFonts w:ascii="Calibri" w:hAnsi="Calibri"/>
      <w:sz w:val="24"/>
      <w:szCs w:val="24"/>
      <w:lang w:eastAsia="en-US" w:bidi="en-US"/>
    </w:rPr>
  </w:style>
  <w:style w:type="paragraph" w:styleId="971">
    <w:name w:val="4"/>
    <w:basedOn w:val="871"/>
    <w:next w:val="928"/>
    <w:link w:val="871"/>
    <w:pPr>
      <w:ind w:firstLine="420"/>
      <w:spacing w:line="360" w:lineRule="auto"/>
    </w:pPr>
    <w:rPr>
      <w:color w:val="ff0000"/>
      <w:sz w:val="24"/>
      <w:szCs w:val="24"/>
    </w:rPr>
  </w:style>
  <w:style w:type="paragraph" w:styleId="972">
    <w:name w:val="普通 (Web)"/>
    <w:basedOn w:val="871"/>
    <w:next w:val="972"/>
    <w:link w:val="871"/>
    <w:pPr>
      <w:jc w:val="left"/>
      <w:spacing w:before="100" w:beforeAutospacing="1" w:after="100" w:afterAutospacing="1"/>
      <w:widowControl/>
    </w:pPr>
    <w:rPr>
      <w:rFonts w:ascii="宋体" w:hAnsi="宋体"/>
      <w:sz w:val="24"/>
      <w:szCs w:val="24"/>
    </w:rPr>
  </w:style>
  <w:style w:type="paragraph" w:styleId="973">
    <w:name w:val=" Char Char Char Char Char Char Char Char Char Char"/>
    <w:basedOn w:val="871"/>
    <w:next w:val="973"/>
    <w:link w:val="871"/>
    <w:pPr>
      <w:spacing w:line="360" w:lineRule="auto"/>
    </w:pPr>
    <w:rPr>
      <w:sz w:val="24"/>
      <w:szCs w:val="20"/>
    </w:rPr>
  </w:style>
  <w:style w:type="paragraph" w:styleId="974">
    <w:name w:val="样式1"/>
    <w:basedOn w:val="871"/>
    <w:next w:val="974"/>
    <w:link w:val="871"/>
    <w:pPr>
      <w:numPr>
        <w:ilvl w:val="0"/>
        <w:numId w:val="3"/>
      </w:numPr>
      <w:tabs>
        <w:tab w:val="left" w:pos="709" w:leader="none"/>
      </w:tabs>
    </w:pPr>
    <w:rPr>
      <w:rFonts w:ascii="宋体" w:hAnsi="宋体"/>
    </w:rPr>
  </w:style>
  <w:style w:type="paragraph" w:styleId="975">
    <w:name w:val="font6"/>
    <w:basedOn w:val="871"/>
    <w:next w:val="975"/>
    <w:link w:val="871"/>
    <w:pPr>
      <w:jc w:val="left"/>
      <w:spacing w:before="100" w:beforeAutospacing="1" w:after="100" w:afterAutospacing="1"/>
      <w:widowControl/>
    </w:pPr>
    <w:rPr>
      <w:rFonts w:hint="eastAsia" w:ascii="宋体" w:hAnsi="宋体"/>
      <w:sz w:val="28"/>
      <w:szCs w:val="28"/>
      <w:u w:val="single"/>
    </w:rPr>
  </w:style>
  <w:style w:type="paragraph" w:styleId="976">
    <w:name w:val="xl25"/>
    <w:basedOn w:val="871"/>
    <w:next w:val="976"/>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name w:val="标题3"/>
    <w:basedOn w:val="871"/>
    <w:next w:val="871"/>
    <w:link w:val="871"/>
    <w:pPr>
      <w:ind w:firstLine="624"/>
      <w:spacing w:line="590" w:lineRule="atLeast"/>
    </w:pPr>
    <w:rPr>
      <w:rFonts w:ascii="方正黑体_GBK" w:eastAsia="方正黑体_GBK"/>
      <w:sz w:val="32"/>
      <w:szCs w:val="32"/>
    </w:rPr>
  </w:style>
  <w:style w:type="paragraph" w:styleId="979">
    <w:name w:val="xl24"/>
    <w:basedOn w:val="871"/>
    <w:next w:val="979"/>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xl29"/>
    <w:basedOn w:val="871"/>
    <w:next w:val="980"/>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71"/>
    <w:next w:val="981"/>
    <w:link w:val="871"/>
    <w:pPr>
      <w:jc w:val="left"/>
      <w:spacing w:after="160" w:line="240" w:lineRule="exact"/>
      <w:widowControl/>
    </w:pPr>
    <w:rPr>
      <w:rFonts w:ascii="Verdana" w:hAnsi="Verdana"/>
      <w:sz w:val="20"/>
      <w:szCs w:val="20"/>
      <w:lang w:eastAsia="en-US"/>
    </w:rPr>
  </w:style>
  <w:style w:type="paragraph" w:styleId="982">
    <w:name w:val="xl28"/>
    <w:basedOn w:val="871"/>
    <w:next w:val="982"/>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name w:val=" Char Char Char Char Char Char Char Char"/>
    <w:basedOn w:val="871"/>
    <w:next w:val="983"/>
    <w:link w:val="871"/>
    <w:pPr>
      <w:jc w:val="left"/>
      <w:spacing w:after="160" w:line="240" w:lineRule="exact"/>
      <w:widowControl/>
    </w:pPr>
    <w:rPr>
      <w:rFonts w:ascii="Verdana" w:hAnsi="Verdana"/>
      <w:sz w:val="20"/>
      <w:szCs w:val="20"/>
      <w:lang w:eastAsia="en-US"/>
    </w:rPr>
  </w:style>
  <w:style w:type="paragraph" w:styleId="984">
    <w:name w:val="xl30"/>
    <w:basedOn w:val="871"/>
    <w:next w:val="984"/>
    <w:link w:val="871"/>
    <w:pPr>
      <w:jc w:val="center"/>
      <w:spacing w:before="100" w:beforeAutospacing="1" w:after="100" w:afterAutospacing="1"/>
      <w:widowControl/>
    </w:pPr>
    <w:rPr>
      <w:rFonts w:ascii="宋体" w:hAnsi="宋体"/>
      <w:b/>
      <w:bCs/>
      <w:sz w:val="36"/>
      <w:szCs w:val="36"/>
    </w:rPr>
  </w:style>
  <w:style w:type="paragraph" w:styleId="985">
    <w:name w:val="Char Char Char Char"/>
    <w:basedOn w:val="897"/>
    <w:next w:val="985"/>
    <w:link w:val="871"/>
    <w:pPr>
      <w:spacing w:line="360" w:lineRule="auto"/>
    </w:pPr>
    <w:rPr>
      <w:rFonts w:ascii="Tahoma" w:hAnsi="Tahoma"/>
      <w:sz w:val="24"/>
      <w:szCs w:val="24"/>
    </w:rPr>
  </w:style>
  <w:style w:type="paragraph" w:styleId="986">
    <w:name w:val="table_1stline"/>
    <w:basedOn w:val="871"/>
    <w:next w:val="986"/>
    <w:link w:val="871"/>
    <w:pPr>
      <w:jc w:val="left"/>
      <w:spacing w:before="120"/>
      <w:widowControl/>
    </w:pPr>
    <w:rPr>
      <w:bCs/>
      <w:sz w:val="20"/>
      <w:szCs w:val="20"/>
      <w:lang w:val="de-DE" w:eastAsia="de-DE"/>
    </w:rPr>
  </w:style>
  <w:style w:type="paragraph" w:styleId="987">
    <w:name w:val="font5"/>
    <w:basedOn w:val="871"/>
    <w:next w:val="987"/>
    <w:link w:val="871"/>
    <w:pPr>
      <w:jc w:val="left"/>
      <w:spacing w:before="100" w:beforeAutospacing="1" w:after="100" w:afterAutospacing="1"/>
      <w:widowControl/>
    </w:pPr>
    <w:rPr>
      <w:rFonts w:hint="eastAsia" w:ascii="宋体" w:hAnsi="宋体"/>
      <w:sz w:val="28"/>
      <w:szCs w:val="28"/>
    </w:rPr>
  </w:style>
  <w:style w:type="paragraph" w:styleId="988">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修订"/>
    <w:next w:val="989"/>
    <w:link w:val="871"/>
    <w:uiPriority w:val="99"/>
    <w:semiHidden/>
    <w:rPr>
      <w:rFonts w:ascii="Times New Roman" w:hAnsi="Times New Roman"/>
      <w:sz w:val="21"/>
      <w:szCs w:val="21"/>
      <w:lang w:val="en-US" w:eastAsia="zh-CN" w:bidi="ar-SA"/>
    </w:rPr>
  </w:style>
  <w:style w:type="paragraph" w:styleId="990">
    <w:name w:val="无间隔"/>
    <w:next w:val="990"/>
    <w:link w:val="871"/>
    <w:uiPriority w:val="99"/>
    <w:qFormat/>
    <w:pPr>
      <w:jc w:val="both"/>
      <w:widowControl w:val="off"/>
    </w:pPr>
    <w:rPr>
      <w:rFonts w:ascii="Times New Roman" w:hAnsi="Times New Roman"/>
      <w:sz w:val="21"/>
      <w:szCs w:val="21"/>
      <w:lang w:val="en-US" w:eastAsia="zh-CN" w:bidi="ar-SA"/>
    </w:rPr>
  </w:style>
  <w:style w:type="paragraph" w:styleId="991">
    <w:name w:val="正文文本 211"/>
    <w:basedOn w:val="871"/>
    <w:next w:val="991"/>
    <w:link w:val="871"/>
    <w:uiPriority w:val="99"/>
    <w:qFormat/>
    <w:pPr>
      <w:jc w:val="center"/>
    </w:pPr>
    <w:rPr>
      <w:b/>
      <w:bCs/>
      <w:sz w:val="20"/>
      <w:szCs w:val="20"/>
    </w:rPr>
  </w:style>
  <w:style w:type="table" w:styleId="992">
    <w:name w:val="Table Normal"/>
    <w:next w:val="992"/>
    <w:link w:val="871"/>
    <w:qFormat/>
    <w:tblPr/>
  </w:style>
  <w:style w:type="paragraph" w:styleId="993">
    <w:name w:val="正文文本1"/>
    <w:basedOn w:val="871"/>
    <w:next w:val="871"/>
    <w:link w:val="871"/>
    <w:semiHidden/>
    <w:qFormat/>
    <w:rPr>
      <w:rFonts w:ascii="Arial" w:hAnsi="Arial" w:eastAsia="Arial" w:cs="Arial"/>
      <w:sz w:val="21"/>
      <w:szCs w:val="21"/>
      <w:lang w:val="en-US" w:eastAsia="en-US" w:bidi="ar-SA"/>
    </w:rPr>
  </w:style>
  <w:style w:type="paragraph" w:styleId="994">
    <w:name w:val="纯文本1"/>
    <w:basedOn w:val="871"/>
    <w:next w:val="994"/>
    <w:link w:val="871"/>
    <w:qFormat/>
    <w:rPr>
      <w:rFonts w:ascii="宋体" w:hAnsi="Courier New" w:cs="Courier New"/>
    </w:rPr>
  </w:style>
  <w:style w:type="table" w:styleId="995">
    <w:name w:val="网格型1"/>
    <w:basedOn w:val="996"/>
    <w:next w:val="995"/>
    <w:link w:val="871"/>
    <w:qFormat/>
    <w:pPr>
      <w:jc w:val="both"/>
      <w:widowControl w:val="off"/>
    </w:pPr>
    <w:tblPr/>
  </w:style>
  <w:style w:type="table" w:styleId="996">
    <w:name w:val="普通表格1"/>
    <w:next w:val="996"/>
    <w:link w:val="871"/>
    <w:uiPriority w:val="99"/>
    <w:unhideWhenUsed/>
    <w:qFormat/>
    <w:tblPr/>
  </w:style>
  <w:style w:type="paragraph" w:styleId="997">
    <w:name w:val="Default"/>
    <w:next w:val="997"/>
    <w:link w:val="871"/>
    <w:qFormat/>
    <w:pPr>
      <w:widowControl w:val="off"/>
    </w:pPr>
    <w:rPr>
      <w:rFonts w:ascii="宋体" w:hAnsi="Times New Roman" w:eastAsia="宋体" w:cs="宋体"/>
      <w:color w:val="000000"/>
      <w:sz w:val="24"/>
      <w:szCs w:val="24"/>
      <w:lang w:val="en-US" w:eastAsia="zh-CN" w:bidi="ar-SA"/>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11</cp:revision>
  <dcterms:created xsi:type="dcterms:W3CDTF">2023-03-16T18:16:00Z</dcterms:created>
  <dcterms:modified xsi:type="dcterms:W3CDTF">2025-12-12T08:18:53Z</dcterms:modified>
</cp:coreProperties>
</file>