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b/>
          <w:color w:val="auto"/>
          <w:sz w:val="72"/>
          <w:szCs w:val="72"/>
        </w:rPr>
      </w:pPr>
      <w:r>
        <w:rPr>
          <w:rFonts w:hint="eastAsia" w:ascii="宋体" w:hAnsi="宋体" w:eastAsia="宋体" w:cs="宋体"/>
          <w:b/>
          <w:color w:val="auto"/>
          <w:sz w:val="72"/>
          <w:szCs w:val="72"/>
        </w:rPr>
      </w:r>
      <w:r/>
    </w:p>
    <w:p>
      <w:pPr>
        <w:ind w:firstLine="1446"/>
        <w:rPr>
          <w:rFonts w:hint="eastAsia" w:ascii="宋体" w:hAnsi="宋体" w:eastAsia="宋体" w:cs="宋体"/>
          <w:b/>
          <w:color w:val="auto"/>
          <w:sz w:val="72"/>
          <w:szCs w:val="72"/>
        </w:rPr>
      </w:pPr>
      <w:r>
        <w:rPr>
          <w:rFonts w:hint="eastAsia" w:ascii="宋体" w:hAnsi="宋体" w:eastAsia="宋体" w:cs="宋体"/>
          <w:b/>
          <w:color w:val="auto"/>
          <w:sz w:val="72"/>
          <w:szCs w:val="72"/>
        </w:rPr>
      </w:r>
      <w:r/>
    </w:p>
    <w:p>
      <w:pPr>
        <w:jc w:val="center"/>
        <w:rPr>
          <w:rFonts w:hint="eastAsia" w:ascii="黑体" w:hAnsi="黑体" w:eastAsia="黑体" w:cs="黑体"/>
          <w:color w:val="auto"/>
        </w:rPr>
        <w:outlineLvl w:val="0"/>
      </w:pPr>
      <w:r/>
      <w:bookmarkStart w:id="0" w:name="_Toc24495"/>
      <w:r/>
      <w:bookmarkStart w:id="1" w:name="_Toc9739"/>
      <w:r>
        <w:rPr>
          <w:rFonts w:hint="eastAsia" w:ascii="黑体" w:hAnsi="黑体" w:eastAsia="黑体" w:cs="黑体"/>
          <w:b/>
          <w:color w:val="auto"/>
          <w:sz w:val="72"/>
          <w:szCs w:val="72"/>
        </w:rPr>
        <w:t xml:space="preserve">公开招标文件</w:t>
      </w:r>
      <w:bookmarkEnd w:id="0"/>
      <w:r/>
      <w:bookmarkEnd w:id="1"/>
      <w:r/>
      <w:r/>
    </w:p>
    <w:p>
      <w:pPr>
        <w:ind w:firstLine="720"/>
        <w:rPr>
          <w:rFonts w:hint="eastAsia" w:ascii="黑体" w:hAnsi="黑体" w:eastAsia="黑体" w:cs="黑体"/>
          <w:color w:val="auto"/>
          <w:sz w:val="36"/>
          <w:szCs w:val="36"/>
        </w:rPr>
      </w:pPr>
      <w:r>
        <w:rPr>
          <w:rFonts w:hint="eastAsia" w:ascii="黑体" w:hAnsi="黑体" w:eastAsia="黑体" w:cs="黑体"/>
          <w:color w:val="auto"/>
          <w:sz w:val="36"/>
          <w:szCs w:val="36"/>
        </w:rPr>
      </w:r>
      <w:r/>
    </w:p>
    <w:p>
      <w:pPr>
        <w:jc w:val="center"/>
        <w:spacing w:line="360" w:lineRule="auto"/>
        <w:rPr>
          <w:rFonts w:hint="eastAsia" w:ascii="黑体" w:hAnsi="黑体" w:eastAsia="黑体" w:cs="黑体"/>
          <w:color w:val="auto"/>
          <w:sz w:val="84"/>
          <w:szCs w:val="21"/>
          <w:lang w:val="zh-CN" w:bidi="zh-CN"/>
        </w:rPr>
      </w:pPr>
      <w:r>
        <w:rPr>
          <w:rFonts w:hint="eastAsia" w:ascii="黑体" w:hAnsi="黑体" w:eastAsia="黑体" w:cs="黑体"/>
          <w:color w:val="auto"/>
          <w:sz w:val="84"/>
          <w:szCs w:val="21"/>
          <w:lang w:val="zh-CN" w:bidi="zh-CN"/>
        </w:rPr>
      </w:r>
      <w:r/>
    </w:p>
    <w:p>
      <w:pPr>
        <w:ind w:firstLine="445"/>
        <w:jc w:val="left"/>
        <w:spacing w:line="360" w:lineRule="auto"/>
        <w:rPr>
          <w:rFonts w:hint="eastAsia" w:ascii="黑体" w:hAnsi="黑体" w:eastAsia="黑体" w:cs="黑体"/>
          <w:color w:val="auto"/>
          <w:sz w:val="32"/>
          <w:szCs w:val="32"/>
          <w:lang w:val="zh-CN" w:bidi="zh-CN"/>
        </w:rPr>
      </w:pPr>
      <w:r>
        <w:rPr>
          <w:rFonts w:hint="eastAsia" w:ascii="黑体" w:hAnsi="黑体" w:eastAsia="黑体" w:cs="黑体"/>
          <w:color w:val="auto"/>
          <w:sz w:val="32"/>
          <w:szCs w:val="32"/>
          <w:lang w:val="zh-CN" w:bidi="zh-CN"/>
        </w:rPr>
        <w:t xml:space="preserve">项目编号：</w:t>
      </w:r>
      <w:r>
        <w:rPr>
          <w:rFonts w:hint="eastAsia" w:ascii="黑体" w:hAnsi="黑体" w:eastAsia="黑体" w:cs="黑体"/>
          <w:b/>
          <w:bCs/>
          <w:color w:val="auto"/>
          <w:sz w:val="32"/>
          <w:szCs w:val="32"/>
          <w:lang w:val="zh-CN" w:bidi="zh-CN"/>
        </w:rPr>
        <w:t xml:space="preserve">JSZC-320115-KXDA-G2026-0001</w:t>
      </w:r>
      <w:r/>
    </w:p>
    <w:p>
      <w:pPr>
        <w:ind w:firstLine="445"/>
        <w:jc w:val="left"/>
        <w:spacing w:line="360" w:lineRule="auto"/>
        <w:rPr>
          <w:rFonts w:hint="eastAsia" w:ascii="黑体" w:hAnsi="黑体" w:eastAsia="黑体" w:cs="黑体"/>
          <w:color w:val="auto"/>
          <w:sz w:val="32"/>
          <w:szCs w:val="32"/>
          <w:lang w:val="zh-CN" w:bidi="zh-CN"/>
        </w:rPr>
      </w:pPr>
      <w:r>
        <w:rPr>
          <w:rFonts w:hint="eastAsia" w:ascii="黑体" w:hAnsi="黑体" w:eastAsia="黑体" w:cs="黑体"/>
          <w:color w:val="auto"/>
          <w:sz w:val="32"/>
          <w:szCs w:val="32"/>
          <w:lang w:val="zh-CN" w:bidi="zh-CN"/>
        </w:rPr>
        <w:t xml:space="preserve">项目名称：</w:t>
      </w:r>
      <w:r>
        <w:rPr>
          <w:rFonts w:hint="eastAsia" w:ascii="黑体" w:hAnsi="黑体" w:eastAsia="黑体" w:cs="黑体"/>
          <w:b/>
          <w:bCs/>
          <w:color w:val="auto"/>
          <w:sz w:val="32"/>
          <w:szCs w:val="32"/>
          <w:lang w:val="zh-CN" w:bidi="zh-CN"/>
        </w:rPr>
        <w:t xml:space="preserve">江宁区东山城区交通设施养护服务</w:t>
      </w:r>
      <w:r/>
    </w:p>
    <w:p>
      <w:pPr>
        <w:jc w:val="center"/>
        <w:spacing w:line="360" w:lineRule="auto"/>
        <w:rPr>
          <w:rFonts w:hint="eastAsia" w:ascii="黑体" w:hAnsi="黑体" w:eastAsia="黑体" w:cs="黑体"/>
          <w:color w:val="auto"/>
          <w:sz w:val="32"/>
          <w:szCs w:val="32"/>
          <w:lang w:val="zh-CN" w:bidi="zh-CN"/>
        </w:rPr>
      </w:pPr>
      <w:r>
        <w:rPr>
          <w:rFonts w:hint="eastAsia" w:ascii="黑体" w:hAnsi="黑体" w:eastAsia="黑体" w:cs="黑体"/>
          <w:color w:val="auto"/>
          <w:sz w:val="32"/>
          <w:szCs w:val="32"/>
          <w:lang w:val="zh-CN" w:bidi="zh-CN"/>
        </w:rPr>
      </w:r>
      <w:r/>
    </w:p>
    <w:p>
      <w:pPr>
        <w:spacing w:line="360" w:lineRule="auto"/>
        <w:rPr>
          <w:rFonts w:hint="eastAsia" w:ascii="黑体" w:hAnsi="黑体" w:eastAsia="黑体" w:cs="黑体"/>
          <w:color w:val="auto"/>
          <w:sz w:val="20"/>
          <w:szCs w:val="21"/>
          <w:lang w:val="zh-CN" w:bidi="zh-CN"/>
        </w:rPr>
      </w:pPr>
      <w:r>
        <w:rPr>
          <w:rFonts w:hint="eastAsia" w:ascii="黑体" w:hAnsi="黑体" w:eastAsia="黑体" w:cs="黑体"/>
          <w:color w:val="auto"/>
          <w:sz w:val="20"/>
          <w:szCs w:val="21"/>
          <w:lang w:val="zh-CN" w:bidi="zh-CN"/>
        </w:rPr>
      </w:r>
      <w:r/>
    </w:p>
    <w:p>
      <w:pPr>
        <w:spacing w:line="360" w:lineRule="auto"/>
        <w:rPr>
          <w:rFonts w:hint="eastAsia" w:ascii="黑体" w:hAnsi="黑体" w:eastAsia="黑体" w:cs="黑体"/>
          <w:color w:val="auto"/>
          <w:sz w:val="20"/>
          <w:szCs w:val="21"/>
          <w:lang w:val="zh-CN" w:bidi="zh-CN"/>
        </w:rPr>
      </w:pPr>
      <w:r>
        <w:rPr>
          <w:rFonts w:hint="eastAsia" w:ascii="黑体" w:hAnsi="黑体" w:eastAsia="黑体" w:cs="黑体"/>
          <w:color w:val="auto"/>
          <w:sz w:val="20"/>
          <w:szCs w:val="21"/>
          <w:lang w:val="zh-CN" w:bidi="zh-CN"/>
        </w:rPr>
      </w:r>
      <w:r/>
    </w:p>
    <w:p>
      <w:pPr>
        <w:spacing w:line="360" w:lineRule="auto"/>
        <w:rPr>
          <w:rFonts w:hint="eastAsia" w:ascii="黑体" w:hAnsi="黑体" w:eastAsia="黑体" w:cs="黑体"/>
          <w:color w:val="auto"/>
          <w:sz w:val="20"/>
          <w:szCs w:val="21"/>
          <w:lang w:val="zh-CN" w:bidi="zh-CN"/>
        </w:rPr>
      </w:pPr>
      <w:r>
        <w:rPr>
          <w:rFonts w:hint="eastAsia" w:ascii="黑体" w:hAnsi="黑体" w:eastAsia="黑体" w:cs="黑体"/>
          <w:color w:val="auto"/>
          <w:sz w:val="20"/>
          <w:szCs w:val="21"/>
          <w:lang w:val="zh-CN" w:bidi="zh-CN"/>
        </w:rPr>
      </w:r>
      <w:r/>
    </w:p>
    <w:p>
      <w:pPr>
        <w:spacing w:line="360" w:lineRule="auto"/>
        <w:rPr>
          <w:rFonts w:hint="eastAsia" w:ascii="黑体" w:hAnsi="黑体" w:eastAsia="黑体" w:cs="黑体"/>
          <w:color w:val="auto"/>
          <w:sz w:val="20"/>
          <w:szCs w:val="21"/>
          <w:lang w:val="zh-CN" w:bidi="zh-CN"/>
        </w:rPr>
      </w:pPr>
      <w:r>
        <w:rPr>
          <w:rFonts w:hint="eastAsia" w:ascii="黑体" w:hAnsi="黑体" w:eastAsia="黑体" w:cs="黑体"/>
          <w:color w:val="auto"/>
          <w:sz w:val="20"/>
          <w:szCs w:val="21"/>
          <w:lang w:val="zh-CN" w:bidi="zh-CN"/>
        </w:rPr>
      </w:r>
      <w:r/>
    </w:p>
    <w:p>
      <w:pPr>
        <w:spacing w:line="360" w:lineRule="auto"/>
        <w:rPr>
          <w:rFonts w:hint="eastAsia" w:ascii="黑体" w:hAnsi="黑体" w:eastAsia="黑体" w:cs="黑体"/>
          <w:color w:val="auto"/>
          <w:sz w:val="20"/>
          <w:szCs w:val="21"/>
          <w:lang w:val="zh-CN" w:bidi="zh-CN"/>
        </w:rPr>
      </w:pPr>
      <w:r>
        <w:rPr>
          <w:rFonts w:hint="eastAsia" w:ascii="黑体" w:hAnsi="黑体" w:eastAsia="黑体" w:cs="黑体"/>
          <w:color w:val="auto"/>
          <w:sz w:val="20"/>
          <w:szCs w:val="21"/>
          <w:lang w:val="zh-CN" w:bidi="zh-CN"/>
        </w:rPr>
      </w:r>
      <w:r/>
    </w:p>
    <w:p>
      <w:pPr>
        <w:spacing w:line="360" w:lineRule="auto"/>
        <w:rPr>
          <w:rFonts w:hint="eastAsia" w:ascii="黑体" w:hAnsi="黑体" w:eastAsia="黑体" w:cs="黑体"/>
          <w:color w:val="auto"/>
          <w:sz w:val="20"/>
          <w:szCs w:val="21"/>
          <w:lang w:val="zh-CN" w:bidi="zh-CN"/>
        </w:rPr>
      </w:pPr>
      <w:r>
        <w:rPr>
          <w:rFonts w:hint="eastAsia" w:ascii="黑体" w:hAnsi="黑体" w:eastAsia="黑体" w:cs="黑体"/>
          <w:color w:val="auto"/>
          <w:sz w:val="20"/>
          <w:szCs w:val="21"/>
          <w:lang w:val="zh-CN" w:bidi="zh-CN"/>
        </w:rPr>
      </w:r>
      <w:r/>
    </w:p>
    <w:p>
      <w:pPr>
        <w:spacing w:line="360" w:lineRule="auto"/>
        <w:rPr>
          <w:rFonts w:hint="eastAsia" w:ascii="黑体" w:hAnsi="黑体" w:eastAsia="黑体" w:cs="黑体"/>
          <w:color w:val="auto"/>
          <w:sz w:val="20"/>
          <w:szCs w:val="21"/>
          <w:lang w:val="zh-CN" w:bidi="zh-CN"/>
        </w:rPr>
      </w:pPr>
      <w:r>
        <w:rPr>
          <w:rFonts w:hint="eastAsia" w:ascii="黑体" w:hAnsi="黑体" w:eastAsia="黑体" w:cs="黑体"/>
          <w:color w:val="auto"/>
          <w:sz w:val="20"/>
          <w:szCs w:val="21"/>
          <w:lang w:val="zh-CN" w:bidi="zh-CN"/>
        </w:rPr>
      </w:r>
      <w:r/>
    </w:p>
    <w:p>
      <w:pPr>
        <w:jc w:val="center"/>
        <w:spacing w:line="360" w:lineRule="auto"/>
        <w:rPr>
          <w:rFonts w:hint="eastAsia" w:ascii="黑体" w:hAnsi="黑体" w:eastAsia="黑体" w:cs="黑体"/>
          <w:b/>
          <w:bCs/>
          <w:color w:val="auto"/>
          <w:sz w:val="32"/>
          <w:szCs w:val="32"/>
          <w:lang w:val="zh-CN" w:bidi="zh-CN"/>
        </w:rPr>
        <w:outlineLvl w:val="0"/>
      </w:pPr>
      <w:r/>
      <w:bookmarkStart w:id="2" w:name="_Toc7553"/>
      <w:r/>
      <w:bookmarkStart w:id="3" w:name="_Toc15662"/>
      <w:r>
        <w:rPr>
          <w:rFonts w:hint="eastAsia" w:ascii="黑体" w:hAnsi="黑体" w:eastAsia="黑体" w:cs="黑体"/>
          <w:b/>
          <w:bCs/>
          <w:color w:val="auto"/>
          <w:sz w:val="32"/>
          <w:szCs w:val="32"/>
          <w:lang w:val="zh-CN" w:bidi="zh-CN"/>
        </w:rPr>
        <w:t xml:space="preserve">南京凯信达项目管理咨询有限公司</w:t>
      </w:r>
      <w:bookmarkEnd w:id="2"/>
      <w:r/>
      <w:bookmarkEnd w:id="3"/>
      <w:r/>
      <w:r/>
    </w:p>
    <w:p>
      <w:pPr>
        <w:jc w:val="center"/>
        <w:spacing w:line="360" w:lineRule="auto"/>
        <w:rPr>
          <w:rFonts w:hint="eastAsia" w:ascii="黑体" w:hAnsi="黑体" w:eastAsia="黑体" w:cs="黑体"/>
          <w:b/>
          <w:bCs/>
          <w:color w:val="auto"/>
          <w:sz w:val="32"/>
          <w:szCs w:val="32"/>
          <w:lang w:val="zh-CN" w:bidi="zh-CN"/>
        </w:rPr>
      </w:pPr>
      <w:r>
        <w:rPr>
          <w:rFonts w:hint="eastAsia" w:ascii="黑体" w:hAnsi="黑体" w:eastAsia="黑体" w:cs="黑体"/>
          <w:b/>
          <w:bCs/>
          <w:color w:val="auto"/>
          <w:sz w:val="32"/>
          <w:szCs w:val="32"/>
          <w:lang w:val="zh-CN" w:bidi="zh-CN"/>
        </w:rPr>
        <w:t xml:space="preserve">二〇</w:t>
      </w:r>
      <w:r>
        <w:rPr>
          <w:rFonts w:hint="eastAsia" w:ascii="黑体" w:hAnsi="黑体" w:eastAsia="黑体" w:cs="黑体"/>
          <w:b/>
          <w:bCs/>
          <w:color w:val="auto"/>
          <w:sz w:val="32"/>
          <w:szCs w:val="32"/>
          <w:lang w:bidi="zh-CN"/>
        </w:rPr>
        <w:t xml:space="preserve">二</w:t>
      </w:r>
      <w:r>
        <w:rPr>
          <w:rFonts w:hint="eastAsia" w:ascii="黑体" w:hAnsi="黑体" w:eastAsia="黑体" w:cs="黑体"/>
          <w:b/>
          <w:bCs/>
          <w:color w:val="auto"/>
          <w:sz w:val="32"/>
          <w:szCs w:val="32"/>
          <w:lang w:val="en-US" w:bidi="zh-CN"/>
        </w:rPr>
        <w:t xml:space="preserve">六</w:t>
      </w:r>
      <w:r>
        <w:rPr>
          <w:rFonts w:hint="eastAsia" w:ascii="黑体" w:hAnsi="黑体" w:eastAsia="黑体" w:cs="黑体"/>
          <w:b/>
          <w:bCs/>
          <w:color w:val="auto"/>
          <w:sz w:val="32"/>
          <w:szCs w:val="32"/>
          <w:lang w:val="zh-CN" w:bidi="zh-CN"/>
        </w:rPr>
        <w:t xml:space="preserve">年</w:t>
      </w:r>
      <w:r>
        <w:rPr>
          <w:rFonts w:hint="eastAsia" w:ascii="黑体" w:hAnsi="黑体" w:eastAsia="黑体" w:cs="黑体"/>
          <w:b/>
          <w:bCs/>
          <w:color w:val="auto"/>
          <w:sz w:val="32"/>
          <w:szCs w:val="32"/>
          <w:lang w:val="en-US" w:bidi="zh-CN"/>
        </w:rPr>
        <w:t xml:space="preserve">一</w:t>
      </w:r>
      <w:r>
        <w:rPr>
          <w:rFonts w:hint="eastAsia" w:ascii="黑体" w:hAnsi="黑体" w:eastAsia="黑体" w:cs="黑体"/>
          <w:b/>
          <w:bCs/>
          <w:color w:val="auto"/>
          <w:sz w:val="32"/>
          <w:szCs w:val="32"/>
          <w:lang w:val="zh-CN" w:bidi="zh-CN"/>
        </w:rPr>
        <w:t xml:space="preserve">月</w:t>
      </w:r>
      <w:r/>
    </w:p>
    <w:p>
      <w:pPr>
        <w:pStyle w:val="892"/>
        <w:ind w:firstLine="643"/>
        <w:rPr>
          <w:rFonts w:hint="eastAsia" w:ascii="黑体" w:hAnsi="黑体" w:eastAsia="黑体" w:cs="黑体"/>
          <w:b/>
          <w:bCs/>
          <w:color w:val="auto"/>
          <w:sz w:val="32"/>
          <w:szCs w:val="32"/>
          <w:lang w:val="zh-CN" w:bidi="zh-CN"/>
        </w:rPr>
      </w:pPr>
      <w:r>
        <w:rPr>
          <w:rFonts w:hint="eastAsia" w:ascii="黑体" w:hAnsi="黑体" w:eastAsia="黑体" w:cs="黑体"/>
          <w:b/>
          <w:bCs/>
          <w:color w:val="auto"/>
          <w:sz w:val="32"/>
          <w:szCs w:val="32"/>
          <w:lang w:val="zh-CN" w:bidi="zh-CN"/>
        </w:rPr>
      </w:r>
      <w:r/>
    </w:p>
    <w:p>
      <w:pPr>
        <w:pStyle w:val="892"/>
        <w:ind w:firstLine="643"/>
        <w:rPr>
          <w:rFonts w:hint="eastAsia" w:ascii="宋体" w:hAnsi="宋体" w:eastAsia="宋体" w:cs="宋体"/>
          <w:b/>
          <w:bCs/>
          <w:color w:val="auto"/>
          <w:sz w:val="32"/>
          <w:szCs w:val="32"/>
          <w:lang w:val="zh-CN" w:bidi="zh-CN"/>
        </w:rPr>
      </w:pPr>
      <w:r>
        <w:rPr>
          <w:rFonts w:hint="eastAsia" w:ascii="宋体" w:hAnsi="宋体" w:eastAsia="宋体" w:cs="宋体"/>
          <w:b/>
          <w:bCs/>
          <w:color w:val="auto"/>
          <w:sz w:val="32"/>
          <w:szCs w:val="32"/>
          <w:lang w:val="zh-CN" w:bidi="zh-CN"/>
        </w:rPr>
      </w:r>
      <w:r/>
    </w:p>
    <w:p>
      <w:pPr>
        <w:pStyle w:val="892"/>
        <w:ind w:firstLine="643"/>
        <w:rPr>
          <w:rFonts w:hint="eastAsia" w:ascii="宋体" w:hAnsi="宋体" w:eastAsia="宋体" w:cs="宋体"/>
          <w:b/>
          <w:bCs/>
          <w:color w:val="auto"/>
          <w:sz w:val="32"/>
          <w:szCs w:val="32"/>
          <w:lang w:val="zh-CN" w:bidi="zh-CN"/>
        </w:rPr>
      </w:pPr>
      <w:r>
        <w:rPr>
          <w:rFonts w:hint="eastAsia" w:ascii="宋体" w:hAnsi="宋体" w:eastAsia="宋体" w:cs="宋体"/>
          <w:b/>
          <w:bCs/>
          <w:color w:val="auto"/>
          <w:sz w:val="32"/>
          <w:szCs w:val="32"/>
          <w:lang w:val="zh-CN" w:bidi="zh-CN"/>
        </w:rPr>
      </w:r>
      <w:r/>
    </w:p>
    <w:p>
      <w:pPr>
        <w:pStyle w:val="892"/>
        <w:ind w:firstLine="643"/>
        <w:rPr>
          <w:rFonts w:hint="eastAsia" w:ascii="宋体" w:hAnsi="宋体" w:eastAsia="宋体" w:cs="宋体"/>
          <w:b/>
          <w:bCs/>
          <w:color w:val="auto"/>
          <w:sz w:val="32"/>
          <w:szCs w:val="32"/>
          <w:lang w:val="zh-CN" w:bidi="zh-CN"/>
        </w:rPr>
      </w:pPr>
      <w:r>
        <w:rPr>
          <w:rFonts w:hint="eastAsia" w:ascii="宋体" w:hAnsi="宋体" w:eastAsia="宋体" w:cs="宋体"/>
          <w:b/>
          <w:bCs/>
          <w:color w:val="auto"/>
          <w:sz w:val="32"/>
          <w:szCs w:val="32"/>
          <w:lang w:val="zh-CN" w:bidi="zh-CN"/>
        </w:rPr>
      </w:r>
      <w:r/>
    </w:p>
    <w:p>
      <w:pPr>
        <w:pStyle w:val="892"/>
        <w:ind w:firstLine="643"/>
        <w:rPr>
          <w:rFonts w:hint="eastAsia" w:ascii="宋体" w:hAnsi="宋体" w:eastAsia="宋体" w:cs="宋体"/>
          <w:b/>
          <w:bCs/>
          <w:color w:val="auto"/>
          <w:sz w:val="32"/>
          <w:szCs w:val="32"/>
          <w:lang w:val="zh-CN" w:bidi="zh-CN"/>
        </w:rPr>
      </w:pPr>
      <w:r>
        <w:rPr>
          <w:rFonts w:hint="eastAsia" w:ascii="宋体" w:hAnsi="宋体" w:eastAsia="宋体" w:cs="宋体"/>
          <w:b/>
          <w:bCs/>
          <w:color w:val="auto"/>
          <w:sz w:val="32"/>
          <w:szCs w:val="32"/>
          <w:lang w:val="zh-CN" w:bidi="zh-CN"/>
        </w:rPr>
      </w:r>
      <w:r/>
    </w:p>
    <w:p>
      <w:pPr>
        <w:pStyle w:val="892"/>
        <w:ind w:firstLine="643"/>
        <w:rPr>
          <w:rFonts w:hint="eastAsia" w:ascii="宋体" w:hAnsi="宋体" w:eastAsia="宋体" w:cs="宋体"/>
          <w:b/>
          <w:bCs/>
          <w:color w:val="auto"/>
          <w:sz w:val="32"/>
          <w:szCs w:val="32"/>
          <w:lang w:val="zh-CN" w:bidi="zh-CN"/>
        </w:rPr>
      </w:pPr>
      <w:r>
        <w:rPr>
          <w:rFonts w:hint="eastAsia" w:ascii="宋体" w:hAnsi="宋体" w:eastAsia="宋体" w:cs="宋体"/>
          <w:b/>
          <w:bCs/>
          <w:color w:val="auto"/>
          <w:sz w:val="32"/>
          <w:szCs w:val="32"/>
          <w:lang w:val="zh-CN" w:bidi="zh-CN"/>
        </w:rPr>
      </w:r>
      <w:r/>
    </w:p>
    <w:p>
      <w:pPr>
        <w:pStyle w:val="892"/>
        <w:ind w:firstLine="643"/>
        <w:rPr>
          <w:rFonts w:hint="eastAsia" w:ascii="宋体" w:hAnsi="宋体" w:eastAsia="宋体" w:cs="宋体"/>
          <w:b/>
          <w:bCs/>
          <w:color w:val="auto"/>
          <w:sz w:val="32"/>
          <w:szCs w:val="32"/>
          <w:lang w:val="zh-CN" w:bidi="zh-CN"/>
        </w:rPr>
      </w:pPr>
      <w:r>
        <w:rPr>
          <w:rFonts w:hint="eastAsia" w:ascii="宋体" w:hAnsi="宋体" w:eastAsia="宋体" w:cs="宋体"/>
          <w:b/>
          <w:bCs/>
          <w:color w:val="auto"/>
          <w:sz w:val="32"/>
          <w:szCs w:val="32"/>
          <w:lang w:val="zh-CN" w:bidi="zh-CN"/>
        </w:rPr>
      </w:r>
      <w:r/>
    </w:p>
    <w:sdt>
      <w:sdtPr>
        <w15:appearance w15:val="boundingBox"/>
        <w15:color w:val="dbdbdb"/>
        <w:id w:val="147467187"/>
        <w:docPartObj>
          <w:docPartGallery w:val="Table of Contents"/>
          <w:docPartUnique w:val="true"/>
        </w:docPartObj>
        <w:rPr>
          <w:rFonts w:hint="eastAsia" w:ascii="宋体" w:hAnsi="宋体" w:eastAsia="宋体" w:cs="宋体"/>
          <w:b/>
          <w:bCs/>
          <w:color w:val="auto"/>
          <w:sz w:val="24"/>
          <w:szCs w:val="28"/>
        </w:rPr>
      </w:sdtPr>
      <w:sdtContent>
        <w:p>
          <w:pPr>
            <w:jc w:val="center"/>
            <w:rPr>
              <w:rFonts w:hint="eastAsia" w:ascii="宋体" w:hAnsi="宋体" w:eastAsia="宋体" w:cs="宋体"/>
              <w:b/>
              <w:bCs/>
              <w:color w:val="auto"/>
              <w:sz w:val="24"/>
              <w:szCs w:val="28"/>
            </w:rPr>
          </w:pPr>
          <w:r>
            <w:rPr>
              <w:rFonts w:hint="eastAsia" w:ascii="宋体" w:hAnsi="宋体" w:eastAsia="宋体" w:cs="宋体"/>
              <w:b/>
              <w:bCs/>
              <w:color w:val="auto"/>
              <w:sz w:val="24"/>
              <w:szCs w:val="28"/>
            </w:rPr>
          </w:r>
          <w:r/>
        </w:p>
        <w:p>
          <w:pPr>
            <w:jc w:val="center"/>
            <w:rPr>
              <w:rFonts w:hint="eastAsia" w:ascii="宋体" w:hAnsi="宋体" w:eastAsia="宋体" w:cs="宋体"/>
              <w:b/>
              <w:bCs/>
              <w:color w:val="auto"/>
              <w:sz w:val="32"/>
              <w:szCs w:val="36"/>
            </w:rPr>
          </w:pPr>
          <w:r>
            <w:rPr>
              <w:rFonts w:hint="eastAsia" w:ascii="宋体" w:hAnsi="宋体" w:eastAsia="宋体" w:cs="宋体"/>
              <w:b/>
              <w:bCs/>
              <w:color w:val="auto"/>
              <w:sz w:val="32"/>
              <w:szCs w:val="36"/>
            </w:rPr>
            <w:t xml:space="preserve">目 录</w:t>
          </w:r>
          <w:r/>
        </w:p>
        <w:p>
          <w:pPr>
            <w:pStyle w:val="1481"/>
            <w:keepLines w:val="0"/>
            <w:keepNext w:val="0"/>
            <w:pageBreakBefore w:val="0"/>
            <w:spacing w:line="360" w:lineRule="auto"/>
            <w:tabs>
              <w:tab w:val="right" w:pos="9468" w:leader="dot"/>
            </w:tabs>
            <w:rPr>
              <w:rFonts w:hint="eastAsia" w:ascii="仿宋" w:hAnsi="仿宋" w:eastAsia="仿宋" w:cs="仿宋"/>
              <w:b/>
              <w:color w:val="auto"/>
            </w:rPr>
          </w:pPr>
          <w:r>
            <w:rPr>
              <w:rFonts w:hint="eastAsia" w:ascii="仿宋" w:hAnsi="仿宋" w:eastAsia="仿宋" w:cs="仿宋"/>
              <w:bCs/>
              <w:color w:val="auto"/>
              <w:szCs w:val="32"/>
              <w:lang w:val="zh-CN" w:bidi="zh-CN"/>
            </w:rPr>
            <w:fldChar w:fldCharType="begin"/>
          </w:r>
          <w:r>
            <w:rPr>
              <w:rFonts w:hint="eastAsia" w:ascii="仿宋" w:hAnsi="仿宋" w:eastAsia="仿宋" w:cs="仿宋"/>
              <w:bCs/>
              <w:color w:val="auto"/>
              <w:szCs w:val="32"/>
              <w:lang w:val="zh-CN" w:bidi="zh-CN"/>
            </w:rPr>
            <w:instrText xml:space="preserve">TOC \o "1-2" \h \u </w:instrText>
          </w:r>
          <w:r>
            <w:rPr>
              <w:rFonts w:hint="eastAsia" w:ascii="仿宋" w:hAnsi="仿宋" w:eastAsia="仿宋" w:cs="仿宋"/>
              <w:bCs/>
              <w:color w:val="auto"/>
              <w:szCs w:val="32"/>
              <w:lang w:val="zh-CN" w:bidi="zh-CN"/>
            </w:rPr>
            <w:fldChar w:fldCharType="separate"/>
          </w:r>
          <w:r/>
        </w:p>
        <w:p>
          <w:pPr>
            <w:pStyle w:val="1481"/>
            <w:keepLines w:val="0"/>
            <w:keepNext w:val="0"/>
            <w:pageBreakBefore w:val="0"/>
            <w:spacing w:line="360" w:lineRule="auto"/>
            <w:tabs>
              <w:tab w:val="right" w:pos="9468" w:leader="dot"/>
            </w:tabs>
            <w:rPr>
              <w:rFonts w:hint="eastAsia" w:ascii="仿宋" w:hAnsi="仿宋" w:eastAsia="仿宋" w:cs="仿宋"/>
              <w:b/>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"_Toc30736" \o "#_Toc30736" </w:instrText>
          </w:r>
          <w:r>
            <w:rPr>
              <w:rFonts w:hint="eastAsia" w:ascii="仿宋" w:hAnsi="仿宋" w:eastAsia="仿宋" w:cs="仿宋"/>
              <w:color w:val="auto"/>
            </w:rPr>
            <w:fldChar w:fldCharType="separate"/>
          </w:r>
          <w:r>
            <w:rPr>
              <w:rFonts w:hint="eastAsia" w:ascii="仿宋" w:hAnsi="仿宋" w:eastAsia="仿宋" w:cs="仿宋"/>
              <w:b/>
              <w:color w:val="auto"/>
              <w:szCs w:val="32"/>
            </w:rPr>
            <w:t xml:space="preserve">第一章 招标公告</w:t>
          </w:r>
          <w:r>
            <w:rPr>
              <w:rFonts w:hint="eastAsia" w:ascii="仿宋" w:hAnsi="仿宋" w:eastAsia="仿宋" w:cs="仿宋"/>
              <w:b/>
              <w:color w:val="auto"/>
            </w:rPr>
            <w:tab/>
          </w:r>
          <w:r>
            <w:rPr>
              <w:rFonts w:hint="eastAsia" w:ascii="仿宋" w:hAnsi="仿宋" w:eastAsia="仿宋" w:cs="仿宋"/>
              <w:b/>
              <w:color w:val="auto"/>
            </w:rPr>
            <w:fldChar w:fldCharType="begin"/>
          </w:r>
          <w:r>
            <w:rPr>
              <w:rFonts w:hint="eastAsia" w:ascii="仿宋" w:hAnsi="仿宋" w:eastAsia="仿宋" w:cs="仿宋"/>
              <w:b/>
              <w:color w:val="auto"/>
            </w:rPr>
            <w:instrText xml:space="preserve"> PAGEREF _Toc30736 \h </w:instrText>
          </w:r>
          <w:r>
            <w:rPr>
              <w:rFonts w:hint="eastAsia" w:ascii="仿宋" w:hAnsi="仿宋" w:eastAsia="仿宋" w:cs="仿宋"/>
              <w:b/>
              <w:color w:val="auto"/>
            </w:rPr>
            <w:fldChar w:fldCharType="separate"/>
          </w:r>
          <w:r>
            <w:rPr>
              <w:rFonts w:hint="eastAsia" w:ascii="仿宋" w:hAnsi="仿宋" w:eastAsia="仿宋" w:cs="仿宋"/>
              <w:b/>
              <w:color w:val="auto"/>
            </w:rPr>
            <w:t xml:space="preserve">3</w:t>
          </w:r>
          <w:r>
            <w:rPr>
              <w:rFonts w:hint="eastAsia" w:ascii="仿宋" w:hAnsi="仿宋" w:eastAsia="仿宋" w:cs="仿宋"/>
              <w:b/>
              <w:color w:val="auto"/>
            </w:rPr>
            <w:fldChar w:fldCharType="end"/>
          </w:r>
          <w:r>
            <w:rPr>
              <w:rFonts w:hint="eastAsia" w:ascii="仿宋" w:hAnsi="仿宋" w:eastAsia="仿宋" w:cs="仿宋"/>
              <w:b/>
              <w:color w:val="auto"/>
            </w:rPr>
            <w:fldChar w:fldCharType="end"/>
          </w:r>
          <w:r/>
        </w:p>
        <w:p>
          <w:pPr>
            <w:pStyle w:val="1482"/>
            <w:ind w:left="420"/>
            <w:keepLines w:val="0"/>
            <w:keepNext w:val="0"/>
            <w:pageBreakBefore w:val="0"/>
            <w:spacing w:line="360" w:lineRule="auto"/>
            <w:tabs>
              <w:tab w:val="right" w:pos="9468" w:leader="dot"/>
            </w:tabs>
            <w:rPr>
              <w:rFonts w:hint="eastAsia" w:ascii="仿宋" w:hAnsi="仿宋" w:eastAsia="仿宋" w:cs="仿宋"/>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"_Toc19972" \o "#_Toc19972" </w:instrText>
          </w:r>
          <w:r>
            <w:rPr>
              <w:rFonts w:hint="eastAsia" w:ascii="仿宋" w:hAnsi="仿宋" w:eastAsia="仿宋" w:cs="仿宋"/>
              <w:color w:val="auto"/>
            </w:rPr>
            <w:fldChar w:fldCharType="separate"/>
          </w:r>
          <w:r>
            <w:rPr>
              <w:rFonts w:hint="eastAsia" w:ascii="仿宋" w:hAnsi="仿宋" w:eastAsia="仿宋" w:cs="仿宋"/>
              <w:bCs/>
              <w:color w:val="auto"/>
              <w:szCs w:val="21"/>
            </w:rPr>
            <w:t xml:space="preserve">一、项目基本情况</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_Toc19972 \h </w:instrText>
          </w:r>
          <w:r>
            <w:rPr>
              <w:rFonts w:hint="eastAsia" w:ascii="仿宋" w:hAnsi="仿宋" w:eastAsia="仿宋" w:cs="仿宋"/>
              <w:color w:val="auto"/>
            </w:rPr>
            <w:fldChar w:fldCharType="separate"/>
          </w:r>
          <w:r>
            <w:rPr>
              <w:rFonts w:hint="eastAsia" w:ascii="仿宋" w:hAnsi="仿宋" w:eastAsia="仿宋" w:cs="仿宋"/>
              <w:color w:val="auto"/>
            </w:rPr>
            <w:t xml:space="preserve">3</w:t>
          </w:r>
          <w:r>
            <w:rPr>
              <w:rFonts w:hint="eastAsia" w:ascii="仿宋" w:hAnsi="仿宋" w:eastAsia="仿宋" w:cs="仿宋"/>
              <w:color w:val="auto"/>
            </w:rPr>
            <w:fldChar w:fldCharType="end"/>
          </w:r>
          <w:r>
            <w:rPr>
              <w:rFonts w:hint="eastAsia" w:ascii="仿宋" w:hAnsi="仿宋" w:eastAsia="仿宋" w:cs="仿宋"/>
              <w:color w:val="auto"/>
            </w:rPr>
            <w:fldChar w:fldCharType="end"/>
          </w:r>
          <w:r/>
        </w:p>
        <w:p>
          <w:pPr>
            <w:pStyle w:val="1482"/>
            <w:ind w:left="420"/>
            <w:keepLines w:val="0"/>
            <w:keepNext w:val="0"/>
            <w:pageBreakBefore w:val="0"/>
            <w:spacing w:line="360" w:lineRule="auto"/>
            <w:tabs>
              <w:tab w:val="right" w:pos="9468" w:leader="dot"/>
            </w:tabs>
            <w:rPr>
              <w:rFonts w:hint="eastAsia" w:ascii="仿宋" w:hAnsi="仿宋" w:eastAsia="仿宋" w:cs="仿宋"/>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"_Toc25074" \o "#_Toc25074" </w:instrText>
          </w:r>
          <w:r>
            <w:rPr>
              <w:rFonts w:hint="eastAsia" w:ascii="仿宋" w:hAnsi="仿宋" w:eastAsia="仿宋" w:cs="仿宋"/>
              <w:color w:val="auto"/>
            </w:rPr>
            <w:fldChar w:fldCharType="separate"/>
          </w:r>
          <w:r>
            <w:rPr>
              <w:rFonts w:hint="eastAsia" w:ascii="仿宋" w:hAnsi="仿宋" w:eastAsia="仿宋" w:cs="仿宋"/>
              <w:color w:val="auto"/>
              <w:szCs w:val="21"/>
            </w:rPr>
            <w:t xml:space="preserve">二、申请人资格条件</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_Toc25074 \h </w:instrText>
          </w:r>
          <w:r>
            <w:rPr>
              <w:rFonts w:hint="eastAsia" w:ascii="仿宋" w:hAnsi="仿宋" w:eastAsia="仿宋" w:cs="仿宋"/>
              <w:color w:val="auto"/>
            </w:rPr>
            <w:fldChar w:fldCharType="separate"/>
          </w:r>
          <w:r>
            <w:rPr>
              <w:rFonts w:hint="eastAsia" w:ascii="仿宋" w:hAnsi="仿宋" w:eastAsia="仿宋" w:cs="仿宋"/>
              <w:color w:val="auto"/>
            </w:rPr>
            <w:t xml:space="preserve">3</w:t>
          </w:r>
          <w:r>
            <w:rPr>
              <w:rFonts w:hint="eastAsia" w:ascii="仿宋" w:hAnsi="仿宋" w:eastAsia="仿宋" w:cs="仿宋"/>
              <w:color w:val="auto"/>
            </w:rPr>
            <w:fldChar w:fldCharType="end"/>
          </w:r>
          <w:r>
            <w:rPr>
              <w:rFonts w:hint="eastAsia" w:ascii="仿宋" w:hAnsi="仿宋" w:eastAsia="仿宋" w:cs="仿宋"/>
              <w:color w:val="auto"/>
            </w:rPr>
            <w:fldChar w:fldCharType="end"/>
          </w:r>
          <w:r/>
        </w:p>
        <w:p>
          <w:pPr>
            <w:pStyle w:val="1482"/>
            <w:ind w:left="420"/>
            <w:keepLines w:val="0"/>
            <w:keepNext w:val="0"/>
            <w:pageBreakBefore w:val="0"/>
            <w:spacing w:line="360" w:lineRule="auto"/>
            <w:tabs>
              <w:tab w:val="right" w:pos="9468" w:leader="dot"/>
            </w:tabs>
            <w:rPr>
              <w:rFonts w:hint="eastAsia" w:ascii="仿宋" w:hAnsi="仿宋" w:eastAsia="仿宋" w:cs="仿宋"/>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"_Toc20665" \o "#_Toc20665" </w:instrText>
          </w:r>
          <w:r>
            <w:rPr>
              <w:rFonts w:hint="eastAsia" w:ascii="仿宋" w:hAnsi="仿宋" w:eastAsia="仿宋" w:cs="仿宋"/>
              <w:color w:val="auto"/>
            </w:rPr>
            <w:fldChar w:fldCharType="separate"/>
          </w:r>
          <w:r>
            <w:rPr>
              <w:rFonts w:hint="eastAsia" w:ascii="仿宋" w:hAnsi="仿宋" w:eastAsia="仿宋" w:cs="仿宋"/>
              <w:bCs/>
              <w:color w:val="auto"/>
              <w:szCs w:val="21"/>
            </w:rPr>
            <w:t xml:space="preserve">三、</w:t>
          </w:r>
          <w:r>
            <w:rPr>
              <w:rFonts w:hint="eastAsia" w:ascii="仿宋" w:hAnsi="仿宋" w:eastAsia="仿宋" w:cs="仿宋"/>
              <w:bCs/>
              <w:color w:val="auto"/>
              <w:szCs w:val="21"/>
              <w:lang w:val="zh-CN"/>
            </w:rPr>
            <w:t xml:space="preserve">获取</w:t>
          </w:r>
          <w:r>
            <w:rPr>
              <w:rFonts w:hint="eastAsia" w:ascii="仿宋" w:hAnsi="仿宋" w:eastAsia="仿宋" w:cs="仿宋"/>
              <w:bCs/>
              <w:color w:val="auto"/>
              <w:szCs w:val="21"/>
            </w:rPr>
            <w:t xml:space="preserve">招标</w:t>
          </w:r>
          <w:r>
            <w:rPr>
              <w:rFonts w:hint="eastAsia" w:ascii="仿宋" w:hAnsi="仿宋" w:eastAsia="仿宋" w:cs="仿宋"/>
              <w:bCs/>
              <w:color w:val="auto"/>
              <w:szCs w:val="21"/>
              <w:lang w:val="zh-CN"/>
            </w:rPr>
            <w:t xml:space="preserve">文件</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_Toc20665 \h </w:instrText>
          </w:r>
          <w:r>
            <w:rPr>
              <w:rFonts w:hint="eastAsia" w:ascii="仿宋" w:hAnsi="仿宋" w:eastAsia="仿宋" w:cs="仿宋"/>
              <w:color w:val="auto"/>
            </w:rPr>
            <w:fldChar w:fldCharType="separate"/>
          </w:r>
          <w:r>
            <w:rPr>
              <w:rFonts w:hint="eastAsia" w:ascii="仿宋" w:hAnsi="仿宋" w:eastAsia="仿宋" w:cs="仿宋"/>
              <w:color w:val="auto"/>
            </w:rPr>
            <w:t xml:space="preserve">4</w:t>
          </w:r>
          <w:r>
            <w:rPr>
              <w:rFonts w:hint="eastAsia" w:ascii="仿宋" w:hAnsi="仿宋" w:eastAsia="仿宋" w:cs="仿宋"/>
              <w:color w:val="auto"/>
            </w:rPr>
            <w:fldChar w:fldCharType="end"/>
          </w:r>
          <w:r>
            <w:rPr>
              <w:rFonts w:hint="eastAsia" w:ascii="仿宋" w:hAnsi="仿宋" w:eastAsia="仿宋" w:cs="仿宋"/>
              <w:color w:val="auto"/>
            </w:rPr>
            <w:fldChar w:fldCharType="end"/>
          </w:r>
          <w:r/>
        </w:p>
        <w:p>
          <w:pPr>
            <w:pStyle w:val="1482"/>
            <w:ind w:left="420"/>
            <w:keepLines w:val="0"/>
            <w:keepNext w:val="0"/>
            <w:pageBreakBefore w:val="0"/>
            <w:spacing w:line="360" w:lineRule="auto"/>
            <w:tabs>
              <w:tab w:val="right" w:pos="9468" w:leader="dot"/>
            </w:tabs>
            <w:rPr>
              <w:rFonts w:hint="eastAsia" w:ascii="仿宋" w:hAnsi="仿宋" w:eastAsia="仿宋" w:cs="仿宋"/>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"_Toc223" \o "#_Toc223" </w:instrText>
          </w:r>
          <w:r>
            <w:rPr>
              <w:rFonts w:hint="eastAsia" w:ascii="仿宋" w:hAnsi="仿宋" w:eastAsia="仿宋" w:cs="仿宋"/>
              <w:color w:val="auto"/>
            </w:rPr>
            <w:fldChar w:fldCharType="separate"/>
          </w:r>
          <w:r>
            <w:rPr>
              <w:rFonts w:hint="eastAsia" w:ascii="仿宋" w:hAnsi="仿宋" w:eastAsia="仿宋" w:cs="仿宋"/>
              <w:bCs/>
              <w:color w:val="auto"/>
              <w:szCs w:val="21"/>
            </w:rPr>
            <w:t xml:space="preserve">四、响应文件提交</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_Toc223 \h </w:instrText>
          </w:r>
          <w:r>
            <w:rPr>
              <w:rFonts w:hint="eastAsia" w:ascii="仿宋" w:hAnsi="仿宋" w:eastAsia="仿宋" w:cs="仿宋"/>
              <w:color w:val="auto"/>
            </w:rPr>
            <w:fldChar w:fldCharType="separate"/>
          </w:r>
          <w:r>
            <w:rPr>
              <w:rFonts w:hint="eastAsia" w:ascii="仿宋" w:hAnsi="仿宋" w:eastAsia="仿宋" w:cs="仿宋"/>
              <w:color w:val="auto"/>
            </w:rPr>
            <w:t xml:space="preserve">4</w:t>
          </w:r>
          <w:r>
            <w:rPr>
              <w:rFonts w:hint="eastAsia" w:ascii="仿宋" w:hAnsi="仿宋" w:eastAsia="仿宋" w:cs="仿宋"/>
              <w:color w:val="auto"/>
            </w:rPr>
            <w:fldChar w:fldCharType="end"/>
          </w:r>
          <w:r>
            <w:rPr>
              <w:rFonts w:hint="eastAsia" w:ascii="仿宋" w:hAnsi="仿宋" w:eastAsia="仿宋" w:cs="仿宋"/>
              <w:color w:val="auto"/>
            </w:rPr>
            <w:fldChar w:fldCharType="end"/>
          </w:r>
          <w:r/>
        </w:p>
        <w:p>
          <w:pPr>
            <w:pStyle w:val="1482"/>
            <w:ind w:left="420"/>
            <w:keepLines w:val="0"/>
            <w:keepNext w:val="0"/>
            <w:pageBreakBefore w:val="0"/>
            <w:spacing w:line="360" w:lineRule="auto"/>
            <w:tabs>
              <w:tab w:val="right" w:pos="9468" w:leader="dot"/>
            </w:tabs>
            <w:rPr>
              <w:rFonts w:hint="eastAsia" w:ascii="仿宋" w:hAnsi="仿宋" w:eastAsia="仿宋" w:cs="仿宋"/>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"_Toc18025" \o "#_Toc18025" </w:instrText>
          </w:r>
          <w:r>
            <w:rPr>
              <w:rFonts w:hint="eastAsia" w:ascii="仿宋" w:hAnsi="仿宋" w:eastAsia="仿宋" w:cs="仿宋"/>
              <w:color w:val="auto"/>
            </w:rPr>
            <w:fldChar w:fldCharType="separate"/>
          </w:r>
          <w:r>
            <w:rPr>
              <w:rFonts w:hint="eastAsia" w:ascii="仿宋" w:hAnsi="仿宋" w:eastAsia="仿宋" w:cs="仿宋"/>
              <w:bCs/>
              <w:color w:val="auto"/>
              <w:szCs w:val="21"/>
            </w:rPr>
            <w:t xml:space="preserve">五、 公告期限</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_Toc18025 \h </w:instrText>
          </w:r>
          <w:r>
            <w:rPr>
              <w:rFonts w:hint="eastAsia" w:ascii="仿宋" w:hAnsi="仿宋" w:eastAsia="仿宋" w:cs="仿宋"/>
              <w:color w:val="auto"/>
            </w:rPr>
            <w:fldChar w:fldCharType="separate"/>
          </w:r>
          <w:r>
            <w:rPr>
              <w:rFonts w:hint="eastAsia" w:ascii="仿宋" w:hAnsi="仿宋" w:eastAsia="仿宋" w:cs="仿宋"/>
              <w:color w:val="auto"/>
            </w:rPr>
            <w:t xml:space="preserve">4</w:t>
          </w:r>
          <w:r>
            <w:rPr>
              <w:rFonts w:hint="eastAsia" w:ascii="仿宋" w:hAnsi="仿宋" w:eastAsia="仿宋" w:cs="仿宋"/>
              <w:color w:val="auto"/>
            </w:rPr>
            <w:fldChar w:fldCharType="end"/>
          </w:r>
          <w:r>
            <w:rPr>
              <w:rFonts w:hint="eastAsia" w:ascii="仿宋" w:hAnsi="仿宋" w:eastAsia="仿宋" w:cs="仿宋"/>
              <w:color w:val="auto"/>
            </w:rPr>
            <w:fldChar w:fldCharType="end"/>
          </w:r>
          <w:r/>
        </w:p>
        <w:p>
          <w:pPr>
            <w:pStyle w:val="1482"/>
            <w:ind w:left="420"/>
            <w:keepLines w:val="0"/>
            <w:keepNext w:val="0"/>
            <w:pageBreakBefore w:val="0"/>
            <w:spacing w:line="360" w:lineRule="auto"/>
            <w:tabs>
              <w:tab w:val="right" w:pos="9468" w:leader="dot"/>
            </w:tabs>
            <w:rPr>
              <w:rFonts w:hint="eastAsia" w:ascii="仿宋" w:hAnsi="仿宋" w:eastAsia="仿宋" w:cs="仿宋"/>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"_Toc20873" \o "#_Toc20873" </w:instrText>
          </w:r>
          <w:r>
            <w:rPr>
              <w:rFonts w:hint="eastAsia" w:ascii="仿宋" w:hAnsi="仿宋" w:eastAsia="仿宋" w:cs="仿宋"/>
              <w:color w:val="auto"/>
            </w:rPr>
            <w:fldChar w:fldCharType="separate"/>
          </w:r>
          <w:r>
            <w:rPr>
              <w:rFonts w:hint="eastAsia" w:ascii="仿宋" w:hAnsi="仿宋" w:eastAsia="仿宋" w:cs="仿宋"/>
              <w:bCs/>
              <w:color w:val="auto"/>
              <w:szCs w:val="21"/>
            </w:rPr>
            <w:t xml:space="preserve">六、其他补充事宜</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_Toc20873 \h </w:instrText>
          </w:r>
          <w:r>
            <w:rPr>
              <w:rFonts w:hint="eastAsia" w:ascii="仿宋" w:hAnsi="仿宋" w:eastAsia="仿宋" w:cs="仿宋"/>
              <w:color w:val="auto"/>
            </w:rPr>
            <w:fldChar w:fldCharType="separate"/>
          </w:r>
          <w:r>
            <w:rPr>
              <w:rFonts w:hint="eastAsia" w:ascii="仿宋" w:hAnsi="仿宋" w:eastAsia="仿宋" w:cs="仿宋"/>
              <w:color w:val="auto"/>
            </w:rPr>
            <w:t xml:space="preserve">4</w:t>
          </w:r>
          <w:r>
            <w:rPr>
              <w:rFonts w:hint="eastAsia" w:ascii="仿宋" w:hAnsi="仿宋" w:eastAsia="仿宋" w:cs="仿宋"/>
              <w:color w:val="auto"/>
            </w:rPr>
            <w:fldChar w:fldCharType="end"/>
          </w:r>
          <w:r>
            <w:rPr>
              <w:rFonts w:hint="eastAsia" w:ascii="仿宋" w:hAnsi="仿宋" w:eastAsia="仿宋" w:cs="仿宋"/>
              <w:color w:val="auto"/>
            </w:rPr>
            <w:fldChar w:fldCharType="end"/>
          </w:r>
          <w:r/>
        </w:p>
        <w:p>
          <w:pPr>
            <w:pStyle w:val="1482"/>
            <w:ind w:left="420"/>
            <w:keepLines w:val="0"/>
            <w:keepNext w:val="0"/>
            <w:pageBreakBefore w:val="0"/>
            <w:spacing w:line="360" w:lineRule="auto"/>
            <w:tabs>
              <w:tab w:val="right" w:pos="9468" w:leader="dot"/>
            </w:tabs>
            <w:rPr>
              <w:rFonts w:hint="eastAsia" w:ascii="仿宋" w:hAnsi="仿宋" w:eastAsia="仿宋" w:cs="仿宋"/>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"_Toc17377" \o "#_Toc17377" </w:instrText>
          </w:r>
          <w:r>
            <w:rPr>
              <w:rFonts w:hint="eastAsia" w:ascii="仿宋" w:hAnsi="仿宋" w:eastAsia="仿宋" w:cs="仿宋"/>
              <w:color w:val="auto"/>
            </w:rPr>
            <w:fldChar w:fldCharType="separate"/>
          </w:r>
          <w:r>
            <w:rPr>
              <w:rFonts w:hint="eastAsia" w:ascii="仿宋" w:hAnsi="仿宋" w:eastAsia="仿宋" w:cs="仿宋"/>
              <w:bCs/>
              <w:color w:val="auto"/>
              <w:szCs w:val="21"/>
            </w:rPr>
            <w:t xml:space="preserve">七、对本次招标提出询问，请按以下方式联系</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_Toc17377 \h </w:instrText>
          </w:r>
          <w:r>
            <w:rPr>
              <w:rFonts w:hint="eastAsia" w:ascii="仿宋" w:hAnsi="仿宋" w:eastAsia="仿宋" w:cs="仿宋"/>
              <w:color w:val="auto"/>
            </w:rPr>
            <w:fldChar w:fldCharType="separate"/>
          </w:r>
          <w:r>
            <w:rPr>
              <w:rFonts w:hint="eastAsia" w:ascii="仿宋" w:hAnsi="仿宋" w:eastAsia="仿宋" w:cs="仿宋"/>
              <w:color w:val="auto"/>
            </w:rPr>
            <w:t xml:space="preserve">6</w:t>
          </w:r>
          <w:r>
            <w:rPr>
              <w:rFonts w:hint="eastAsia" w:ascii="仿宋" w:hAnsi="仿宋" w:eastAsia="仿宋" w:cs="仿宋"/>
              <w:color w:val="auto"/>
            </w:rPr>
            <w:fldChar w:fldCharType="end"/>
          </w:r>
          <w:r>
            <w:rPr>
              <w:rFonts w:hint="eastAsia" w:ascii="仿宋" w:hAnsi="仿宋" w:eastAsia="仿宋" w:cs="仿宋"/>
              <w:color w:val="auto"/>
            </w:rPr>
            <w:fldChar w:fldCharType="end"/>
          </w:r>
          <w:r/>
        </w:p>
        <w:p>
          <w:pPr>
            <w:pStyle w:val="1481"/>
            <w:keepLines w:val="0"/>
            <w:keepNext w:val="0"/>
            <w:pageBreakBefore w:val="0"/>
            <w:spacing w:line="360" w:lineRule="auto"/>
            <w:tabs>
              <w:tab w:val="right" w:pos="9468" w:leader="dot"/>
            </w:tabs>
            <w:rPr>
              <w:rFonts w:hint="eastAsia" w:ascii="仿宋" w:hAnsi="仿宋" w:eastAsia="仿宋" w:cs="仿宋"/>
              <w:b/>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"_Toc31968" \o "#_Toc31968" </w:instrText>
          </w:r>
          <w:r>
            <w:rPr>
              <w:rFonts w:hint="eastAsia" w:ascii="仿宋" w:hAnsi="仿宋" w:eastAsia="仿宋" w:cs="仿宋"/>
              <w:color w:val="auto"/>
            </w:rPr>
            <w:fldChar w:fldCharType="separate"/>
          </w:r>
          <w:r>
            <w:rPr>
              <w:rFonts w:hint="eastAsia" w:ascii="仿宋" w:hAnsi="仿宋" w:eastAsia="仿宋" w:cs="仿宋"/>
              <w:b/>
              <w:color w:val="auto"/>
              <w:szCs w:val="32"/>
            </w:rPr>
            <w:t xml:space="preserve">第二章 投标人须知</w:t>
          </w:r>
          <w:r>
            <w:rPr>
              <w:rFonts w:hint="eastAsia" w:ascii="仿宋" w:hAnsi="仿宋" w:eastAsia="仿宋" w:cs="仿宋"/>
              <w:b/>
              <w:color w:val="auto"/>
            </w:rPr>
            <w:tab/>
          </w:r>
          <w:r>
            <w:rPr>
              <w:rFonts w:hint="eastAsia" w:ascii="仿宋" w:hAnsi="仿宋" w:eastAsia="仿宋" w:cs="仿宋"/>
              <w:b/>
              <w:color w:val="auto"/>
            </w:rPr>
            <w:fldChar w:fldCharType="begin"/>
          </w:r>
          <w:r>
            <w:rPr>
              <w:rFonts w:hint="eastAsia" w:ascii="仿宋" w:hAnsi="仿宋" w:eastAsia="仿宋" w:cs="仿宋"/>
              <w:b/>
              <w:color w:val="auto"/>
            </w:rPr>
            <w:instrText xml:space="preserve"> PAGEREF _Toc31968 \h </w:instrText>
          </w:r>
          <w:r>
            <w:rPr>
              <w:rFonts w:hint="eastAsia" w:ascii="仿宋" w:hAnsi="仿宋" w:eastAsia="仿宋" w:cs="仿宋"/>
              <w:b/>
              <w:color w:val="auto"/>
            </w:rPr>
            <w:fldChar w:fldCharType="separate"/>
          </w:r>
          <w:r>
            <w:rPr>
              <w:rFonts w:hint="eastAsia" w:ascii="仿宋" w:hAnsi="仿宋" w:eastAsia="仿宋" w:cs="仿宋"/>
              <w:b/>
              <w:color w:val="auto"/>
            </w:rPr>
            <w:t xml:space="preserve">7</w:t>
          </w:r>
          <w:r>
            <w:rPr>
              <w:rFonts w:hint="eastAsia" w:ascii="仿宋" w:hAnsi="仿宋" w:eastAsia="仿宋" w:cs="仿宋"/>
              <w:b/>
              <w:color w:val="auto"/>
            </w:rPr>
            <w:fldChar w:fldCharType="end"/>
          </w:r>
          <w:r>
            <w:rPr>
              <w:rFonts w:hint="eastAsia" w:ascii="仿宋" w:hAnsi="仿宋" w:eastAsia="仿宋" w:cs="仿宋"/>
              <w:b/>
              <w:color w:val="auto"/>
            </w:rPr>
            <w:fldChar w:fldCharType="end"/>
          </w:r>
          <w:r/>
        </w:p>
        <w:p>
          <w:pPr>
            <w:pStyle w:val="1482"/>
            <w:ind w:left="420"/>
            <w:keepLines w:val="0"/>
            <w:keepNext w:val="0"/>
            <w:pageBreakBefore w:val="0"/>
            <w:spacing w:line="360" w:lineRule="auto"/>
            <w:tabs>
              <w:tab w:val="right" w:pos="9468" w:leader="dot"/>
            </w:tabs>
            <w:rPr>
              <w:rFonts w:hint="eastAsia" w:ascii="仿宋" w:hAnsi="仿宋" w:eastAsia="仿宋" w:cs="仿宋"/>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"_Toc67" \o "#_Toc67" </w:instrText>
          </w:r>
          <w:r>
            <w:rPr>
              <w:rFonts w:hint="eastAsia" w:ascii="仿宋" w:hAnsi="仿宋" w:eastAsia="仿宋" w:cs="仿宋"/>
              <w:color w:val="auto"/>
            </w:rPr>
            <w:fldChar w:fldCharType="separate"/>
          </w:r>
          <w:r>
            <w:rPr>
              <w:rFonts w:hint="eastAsia" w:ascii="仿宋" w:hAnsi="仿宋" w:eastAsia="仿宋" w:cs="仿宋"/>
              <w:bCs/>
              <w:color w:val="auto"/>
              <w:szCs w:val="21"/>
            </w:rPr>
            <w:t xml:space="preserve">一、总则</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_Toc67 \h </w:instrText>
          </w:r>
          <w:r>
            <w:rPr>
              <w:rFonts w:hint="eastAsia" w:ascii="仿宋" w:hAnsi="仿宋" w:eastAsia="仿宋" w:cs="仿宋"/>
              <w:color w:val="auto"/>
            </w:rPr>
            <w:fldChar w:fldCharType="separate"/>
          </w:r>
          <w:r>
            <w:rPr>
              <w:rFonts w:hint="eastAsia" w:ascii="仿宋" w:hAnsi="仿宋" w:eastAsia="仿宋" w:cs="仿宋"/>
              <w:color w:val="auto"/>
            </w:rPr>
            <w:t xml:space="preserve">8</w:t>
          </w:r>
          <w:r>
            <w:rPr>
              <w:rFonts w:hint="eastAsia" w:ascii="仿宋" w:hAnsi="仿宋" w:eastAsia="仿宋" w:cs="仿宋"/>
              <w:color w:val="auto"/>
            </w:rPr>
            <w:fldChar w:fldCharType="end"/>
          </w:r>
          <w:r>
            <w:rPr>
              <w:rFonts w:hint="eastAsia" w:ascii="仿宋" w:hAnsi="仿宋" w:eastAsia="仿宋" w:cs="仿宋"/>
              <w:color w:val="auto"/>
            </w:rPr>
            <w:fldChar w:fldCharType="end"/>
          </w:r>
          <w:r/>
        </w:p>
        <w:p>
          <w:pPr>
            <w:pStyle w:val="1482"/>
            <w:ind w:left="420"/>
            <w:keepLines w:val="0"/>
            <w:keepNext w:val="0"/>
            <w:pageBreakBefore w:val="0"/>
            <w:spacing w:line="360" w:lineRule="auto"/>
            <w:tabs>
              <w:tab w:val="right" w:pos="9468" w:leader="dot"/>
            </w:tabs>
            <w:rPr>
              <w:rFonts w:hint="eastAsia" w:ascii="仿宋" w:hAnsi="仿宋" w:eastAsia="仿宋" w:cs="仿宋"/>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"_Toc4005" \o "#_Toc4005" </w:instrText>
          </w:r>
          <w:r>
            <w:rPr>
              <w:rFonts w:hint="eastAsia" w:ascii="仿宋" w:hAnsi="仿宋" w:eastAsia="仿宋" w:cs="仿宋"/>
              <w:color w:val="auto"/>
            </w:rPr>
            <w:fldChar w:fldCharType="separate"/>
          </w:r>
          <w:r>
            <w:rPr>
              <w:rFonts w:hint="eastAsia" w:ascii="仿宋" w:hAnsi="仿宋" w:eastAsia="仿宋" w:cs="仿宋"/>
              <w:bCs/>
              <w:color w:val="auto"/>
              <w:szCs w:val="21"/>
            </w:rPr>
            <w:t xml:space="preserve">二、招标文件构成</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_Toc4005 \h </w:instrText>
          </w:r>
          <w:r>
            <w:rPr>
              <w:rFonts w:hint="eastAsia" w:ascii="仿宋" w:hAnsi="仿宋" w:eastAsia="仿宋" w:cs="仿宋"/>
              <w:color w:val="auto"/>
            </w:rPr>
            <w:fldChar w:fldCharType="separate"/>
          </w:r>
          <w:r>
            <w:rPr>
              <w:rFonts w:hint="eastAsia" w:ascii="仿宋" w:hAnsi="仿宋" w:eastAsia="仿宋" w:cs="仿宋"/>
              <w:color w:val="auto"/>
            </w:rPr>
            <w:t xml:space="preserve">9</w:t>
          </w:r>
          <w:r>
            <w:rPr>
              <w:rFonts w:hint="eastAsia" w:ascii="仿宋" w:hAnsi="仿宋" w:eastAsia="仿宋" w:cs="仿宋"/>
              <w:color w:val="auto"/>
            </w:rPr>
            <w:fldChar w:fldCharType="end"/>
          </w:r>
          <w:r>
            <w:rPr>
              <w:rFonts w:hint="eastAsia" w:ascii="仿宋" w:hAnsi="仿宋" w:eastAsia="仿宋" w:cs="仿宋"/>
              <w:color w:val="auto"/>
            </w:rPr>
            <w:fldChar w:fldCharType="end"/>
          </w:r>
          <w:r/>
        </w:p>
        <w:p>
          <w:pPr>
            <w:pStyle w:val="1482"/>
            <w:ind w:left="420"/>
            <w:keepLines w:val="0"/>
            <w:keepNext w:val="0"/>
            <w:pageBreakBefore w:val="0"/>
            <w:spacing w:line="360" w:lineRule="auto"/>
            <w:tabs>
              <w:tab w:val="right" w:pos="9468" w:leader="dot"/>
            </w:tabs>
            <w:rPr>
              <w:rFonts w:hint="eastAsia" w:ascii="仿宋" w:hAnsi="仿宋" w:eastAsia="仿宋" w:cs="仿宋"/>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"_Toc26315" \o "#_Toc26315" </w:instrText>
          </w:r>
          <w:r>
            <w:rPr>
              <w:rFonts w:hint="eastAsia" w:ascii="仿宋" w:hAnsi="仿宋" w:eastAsia="仿宋" w:cs="仿宋"/>
              <w:color w:val="auto"/>
            </w:rPr>
            <w:fldChar w:fldCharType="separate"/>
          </w:r>
          <w:r>
            <w:rPr>
              <w:rFonts w:hint="eastAsia" w:ascii="仿宋" w:hAnsi="仿宋" w:eastAsia="仿宋" w:cs="仿宋"/>
              <w:bCs/>
              <w:color w:val="auto"/>
              <w:szCs w:val="21"/>
            </w:rPr>
            <w:t xml:space="preserve">三、投标文件的编制</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_Toc26315 \h </w:instrText>
          </w:r>
          <w:r>
            <w:rPr>
              <w:rFonts w:hint="eastAsia" w:ascii="仿宋" w:hAnsi="仿宋" w:eastAsia="仿宋" w:cs="仿宋"/>
              <w:color w:val="auto"/>
            </w:rPr>
            <w:fldChar w:fldCharType="separate"/>
          </w:r>
          <w:r>
            <w:rPr>
              <w:rFonts w:hint="eastAsia" w:ascii="仿宋" w:hAnsi="仿宋" w:eastAsia="仿宋" w:cs="仿宋"/>
              <w:color w:val="auto"/>
            </w:rPr>
            <w:t xml:space="preserve">10</w:t>
          </w:r>
          <w:r>
            <w:rPr>
              <w:rFonts w:hint="eastAsia" w:ascii="仿宋" w:hAnsi="仿宋" w:eastAsia="仿宋" w:cs="仿宋"/>
              <w:color w:val="auto"/>
            </w:rPr>
            <w:fldChar w:fldCharType="end"/>
          </w:r>
          <w:r>
            <w:rPr>
              <w:rFonts w:hint="eastAsia" w:ascii="仿宋" w:hAnsi="仿宋" w:eastAsia="仿宋" w:cs="仿宋"/>
              <w:color w:val="auto"/>
            </w:rPr>
            <w:fldChar w:fldCharType="end"/>
          </w:r>
          <w:r/>
        </w:p>
        <w:p>
          <w:pPr>
            <w:pStyle w:val="1482"/>
            <w:ind w:left="420"/>
            <w:keepLines w:val="0"/>
            <w:keepNext w:val="0"/>
            <w:pageBreakBefore w:val="0"/>
            <w:spacing w:line="360" w:lineRule="auto"/>
            <w:tabs>
              <w:tab w:val="right" w:pos="9468" w:leader="dot"/>
            </w:tabs>
            <w:rPr>
              <w:rFonts w:hint="eastAsia" w:ascii="仿宋" w:hAnsi="仿宋" w:eastAsia="仿宋" w:cs="仿宋"/>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"_Toc7076" \o "#_Toc7076" </w:instrText>
          </w:r>
          <w:r>
            <w:rPr>
              <w:rFonts w:hint="eastAsia" w:ascii="仿宋" w:hAnsi="仿宋" w:eastAsia="仿宋" w:cs="仿宋"/>
              <w:color w:val="auto"/>
            </w:rPr>
            <w:fldChar w:fldCharType="separate"/>
          </w:r>
          <w:r>
            <w:rPr>
              <w:rFonts w:hint="eastAsia" w:ascii="仿宋" w:hAnsi="仿宋" w:eastAsia="仿宋" w:cs="仿宋"/>
              <w:bCs/>
              <w:color w:val="auto"/>
              <w:szCs w:val="21"/>
            </w:rPr>
            <w:t xml:space="preserve">四、投标文件的递交</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_Toc7076 \h </w:instrText>
          </w:r>
          <w:r>
            <w:rPr>
              <w:rFonts w:hint="eastAsia" w:ascii="仿宋" w:hAnsi="仿宋" w:eastAsia="仿宋" w:cs="仿宋"/>
              <w:color w:val="auto"/>
            </w:rPr>
            <w:fldChar w:fldCharType="separate"/>
          </w:r>
          <w:r>
            <w:rPr>
              <w:rFonts w:hint="eastAsia" w:ascii="仿宋" w:hAnsi="仿宋" w:eastAsia="仿宋" w:cs="仿宋"/>
              <w:color w:val="auto"/>
            </w:rPr>
            <w:t xml:space="preserve">13</w:t>
          </w:r>
          <w:r>
            <w:rPr>
              <w:rFonts w:hint="eastAsia" w:ascii="仿宋" w:hAnsi="仿宋" w:eastAsia="仿宋" w:cs="仿宋"/>
              <w:color w:val="auto"/>
            </w:rPr>
            <w:fldChar w:fldCharType="end"/>
          </w:r>
          <w:r>
            <w:rPr>
              <w:rFonts w:hint="eastAsia" w:ascii="仿宋" w:hAnsi="仿宋" w:eastAsia="仿宋" w:cs="仿宋"/>
              <w:color w:val="auto"/>
            </w:rPr>
            <w:fldChar w:fldCharType="end"/>
          </w:r>
          <w:r/>
        </w:p>
        <w:p>
          <w:pPr>
            <w:pStyle w:val="1482"/>
            <w:ind w:left="420"/>
            <w:keepLines w:val="0"/>
            <w:keepNext w:val="0"/>
            <w:pageBreakBefore w:val="0"/>
            <w:spacing w:line="360" w:lineRule="auto"/>
            <w:tabs>
              <w:tab w:val="right" w:pos="9468" w:leader="dot"/>
            </w:tabs>
            <w:rPr>
              <w:rFonts w:hint="eastAsia" w:ascii="仿宋" w:hAnsi="仿宋" w:eastAsia="仿宋" w:cs="仿宋"/>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"_Toc12203" \o "#_Toc12203" </w:instrText>
          </w:r>
          <w:r>
            <w:rPr>
              <w:rFonts w:hint="eastAsia" w:ascii="仿宋" w:hAnsi="仿宋" w:eastAsia="仿宋" w:cs="仿宋"/>
              <w:color w:val="auto"/>
            </w:rPr>
            <w:fldChar w:fldCharType="separate"/>
          </w:r>
          <w:r>
            <w:rPr>
              <w:rFonts w:hint="eastAsia" w:ascii="仿宋" w:hAnsi="仿宋" w:eastAsia="仿宋" w:cs="仿宋"/>
              <w:bCs/>
              <w:color w:val="auto"/>
              <w:szCs w:val="21"/>
            </w:rPr>
            <w:t xml:space="preserve">五、开标、评标与定标</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_Toc12203 \h </w:instrText>
          </w:r>
          <w:r>
            <w:rPr>
              <w:rFonts w:hint="eastAsia" w:ascii="仿宋" w:hAnsi="仿宋" w:eastAsia="仿宋" w:cs="仿宋"/>
              <w:color w:val="auto"/>
            </w:rPr>
            <w:fldChar w:fldCharType="separate"/>
          </w:r>
          <w:r>
            <w:rPr>
              <w:rFonts w:hint="eastAsia" w:ascii="仿宋" w:hAnsi="仿宋" w:eastAsia="仿宋" w:cs="仿宋"/>
              <w:color w:val="auto"/>
            </w:rPr>
            <w:t xml:space="preserve">13</w:t>
          </w:r>
          <w:r>
            <w:rPr>
              <w:rFonts w:hint="eastAsia" w:ascii="仿宋" w:hAnsi="仿宋" w:eastAsia="仿宋" w:cs="仿宋"/>
              <w:color w:val="auto"/>
            </w:rPr>
            <w:fldChar w:fldCharType="end"/>
          </w:r>
          <w:r>
            <w:rPr>
              <w:rFonts w:hint="eastAsia" w:ascii="仿宋" w:hAnsi="仿宋" w:eastAsia="仿宋" w:cs="仿宋"/>
              <w:color w:val="auto"/>
            </w:rPr>
            <w:fldChar w:fldCharType="end"/>
          </w:r>
          <w:r/>
        </w:p>
        <w:p>
          <w:pPr>
            <w:pStyle w:val="1482"/>
            <w:ind w:left="420"/>
            <w:keepLines w:val="0"/>
            <w:keepNext w:val="0"/>
            <w:pageBreakBefore w:val="0"/>
            <w:spacing w:line="360" w:lineRule="auto"/>
            <w:tabs>
              <w:tab w:val="right" w:pos="9468" w:leader="dot"/>
            </w:tabs>
            <w:rPr>
              <w:rFonts w:hint="eastAsia" w:ascii="仿宋" w:hAnsi="仿宋" w:eastAsia="仿宋" w:cs="仿宋"/>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"_Toc30604" \o "#_Toc30604" </w:instrText>
          </w:r>
          <w:r>
            <w:rPr>
              <w:rFonts w:hint="eastAsia" w:ascii="仿宋" w:hAnsi="仿宋" w:eastAsia="仿宋" w:cs="仿宋"/>
              <w:color w:val="auto"/>
            </w:rPr>
            <w:fldChar w:fldCharType="separate"/>
          </w:r>
          <w:r>
            <w:rPr>
              <w:rFonts w:hint="eastAsia" w:ascii="仿宋" w:hAnsi="仿宋" w:eastAsia="仿宋" w:cs="仿宋"/>
              <w:bCs/>
              <w:color w:val="auto"/>
              <w:szCs w:val="21"/>
            </w:rPr>
            <w:t xml:space="preserve">六、签订合同</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_Toc30604 \h </w:instrText>
          </w:r>
          <w:r>
            <w:rPr>
              <w:rFonts w:hint="eastAsia" w:ascii="仿宋" w:hAnsi="仿宋" w:eastAsia="仿宋" w:cs="仿宋"/>
              <w:color w:val="auto"/>
            </w:rPr>
            <w:fldChar w:fldCharType="separate"/>
          </w:r>
          <w:r>
            <w:rPr>
              <w:rFonts w:hint="eastAsia" w:ascii="仿宋" w:hAnsi="仿宋" w:eastAsia="仿宋" w:cs="仿宋"/>
              <w:color w:val="auto"/>
            </w:rPr>
            <w:t xml:space="preserve">17</w:t>
          </w:r>
          <w:r>
            <w:rPr>
              <w:rFonts w:hint="eastAsia" w:ascii="仿宋" w:hAnsi="仿宋" w:eastAsia="仿宋" w:cs="仿宋"/>
              <w:color w:val="auto"/>
            </w:rPr>
            <w:fldChar w:fldCharType="end"/>
          </w:r>
          <w:r>
            <w:rPr>
              <w:rFonts w:hint="eastAsia" w:ascii="仿宋" w:hAnsi="仿宋" w:eastAsia="仿宋" w:cs="仿宋"/>
              <w:color w:val="auto"/>
            </w:rPr>
            <w:fldChar w:fldCharType="end"/>
          </w:r>
          <w:r/>
        </w:p>
        <w:p>
          <w:pPr>
            <w:pStyle w:val="1482"/>
            <w:ind w:left="420"/>
            <w:keepLines w:val="0"/>
            <w:keepNext w:val="0"/>
            <w:pageBreakBefore w:val="0"/>
            <w:spacing w:line="360" w:lineRule="auto"/>
            <w:tabs>
              <w:tab w:val="right" w:pos="9468" w:leader="dot"/>
            </w:tabs>
            <w:rPr>
              <w:rFonts w:hint="eastAsia" w:ascii="仿宋" w:hAnsi="仿宋" w:eastAsia="仿宋" w:cs="仿宋"/>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"_Toc246" \o "#_Toc246" </w:instrText>
          </w:r>
          <w:r>
            <w:rPr>
              <w:rFonts w:hint="eastAsia" w:ascii="仿宋" w:hAnsi="仿宋" w:eastAsia="仿宋" w:cs="仿宋"/>
              <w:color w:val="auto"/>
            </w:rPr>
            <w:fldChar w:fldCharType="separate"/>
          </w:r>
          <w:r>
            <w:rPr>
              <w:rFonts w:hint="eastAsia" w:ascii="仿宋" w:hAnsi="仿宋" w:eastAsia="仿宋" w:cs="仿宋"/>
              <w:bCs/>
              <w:color w:val="auto"/>
              <w:szCs w:val="21"/>
            </w:rPr>
            <w:t xml:space="preserve">七、质疑和投诉</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_Toc246 \h </w:instrText>
          </w:r>
          <w:r>
            <w:rPr>
              <w:rFonts w:hint="eastAsia" w:ascii="仿宋" w:hAnsi="仿宋" w:eastAsia="仿宋" w:cs="仿宋"/>
              <w:color w:val="auto"/>
            </w:rPr>
            <w:fldChar w:fldCharType="separate"/>
          </w:r>
          <w:r>
            <w:rPr>
              <w:rFonts w:hint="eastAsia" w:ascii="仿宋" w:hAnsi="仿宋" w:eastAsia="仿宋" w:cs="仿宋"/>
              <w:color w:val="auto"/>
            </w:rPr>
            <w:t xml:space="preserve">17</w:t>
          </w:r>
          <w:r>
            <w:rPr>
              <w:rFonts w:hint="eastAsia" w:ascii="仿宋" w:hAnsi="仿宋" w:eastAsia="仿宋" w:cs="仿宋"/>
              <w:color w:val="auto"/>
            </w:rPr>
            <w:fldChar w:fldCharType="end"/>
          </w:r>
          <w:r>
            <w:rPr>
              <w:rFonts w:hint="eastAsia" w:ascii="仿宋" w:hAnsi="仿宋" w:eastAsia="仿宋" w:cs="仿宋"/>
              <w:color w:val="auto"/>
            </w:rPr>
            <w:fldChar w:fldCharType="end"/>
          </w:r>
          <w:r/>
        </w:p>
        <w:p>
          <w:pPr>
            <w:pStyle w:val="1481"/>
            <w:keepLines w:val="0"/>
            <w:keepNext w:val="0"/>
            <w:pageBreakBefore w:val="0"/>
            <w:spacing w:line="360" w:lineRule="auto"/>
            <w:tabs>
              <w:tab w:val="right" w:pos="9468" w:leader="dot"/>
            </w:tabs>
            <w:rPr>
              <w:rFonts w:hint="eastAsia" w:ascii="仿宋" w:hAnsi="仿宋" w:eastAsia="仿宋" w:cs="仿宋"/>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"_Toc15043" \o "#_Toc15043" </w:instrText>
          </w:r>
          <w:r>
            <w:rPr>
              <w:rFonts w:hint="eastAsia" w:ascii="仿宋" w:hAnsi="仿宋" w:eastAsia="仿宋" w:cs="仿宋"/>
              <w:color w:val="auto"/>
            </w:rPr>
            <w:fldChar w:fldCharType="separate"/>
          </w:r>
          <w:r>
            <w:rPr>
              <w:rFonts w:hint="eastAsia" w:ascii="仿宋" w:hAnsi="仿宋" w:eastAsia="仿宋" w:cs="仿宋"/>
              <w:b/>
              <w:color w:val="auto"/>
              <w:szCs w:val="32"/>
            </w:rPr>
            <w:t xml:space="preserve">第三章评审标准</w:t>
          </w:r>
          <w:r>
            <w:rPr>
              <w:rFonts w:hint="eastAsia" w:ascii="仿宋" w:hAnsi="仿宋" w:eastAsia="仿宋" w:cs="仿宋"/>
              <w:b/>
              <w:color w:val="auto"/>
            </w:rPr>
            <w:tab/>
          </w:r>
          <w:r>
            <w:rPr>
              <w:rFonts w:hint="eastAsia" w:ascii="仿宋" w:hAnsi="仿宋" w:eastAsia="仿宋" w:cs="仿宋"/>
              <w:b/>
              <w:color w:val="auto"/>
            </w:rPr>
            <w:fldChar w:fldCharType="begin"/>
          </w:r>
          <w:r>
            <w:rPr>
              <w:rFonts w:hint="eastAsia" w:ascii="仿宋" w:hAnsi="仿宋" w:eastAsia="仿宋" w:cs="仿宋"/>
              <w:b/>
              <w:color w:val="auto"/>
            </w:rPr>
            <w:instrText xml:space="preserve"> PAGEREF _Toc15043 \h </w:instrText>
          </w:r>
          <w:r>
            <w:rPr>
              <w:rFonts w:hint="eastAsia" w:ascii="仿宋" w:hAnsi="仿宋" w:eastAsia="仿宋" w:cs="仿宋"/>
              <w:b/>
              <w:color w:val="auto"/>
            </w:rPr>
            <w:fldChar w:fldCharType="separate"/>
          </w:r>
          <w:r>
            <w:rPr>
              <w:rFonts w:hint="eastAsia" w:ascii="仿宋" w:hAnsi="仿宋" w:eastAsia="仿宋" w:cs="仿宋"/>
              <w:b/>
              <w:color w:val="auto"/>
            </w:rPr>
            <w:t xml:space="preserve">20</w:t>
          </w:r>
          <w:r>
            <w:rPr>
              <w:rFonts w:hint="eastAsia" w:ascii="仿宋" w:hAnsi="仿宋" w:eastAsia="仿宋" w:cs="仿宋"/>
              <w:b/>
              <w:color w:val="auto"/>
            </w:rPr>
            <w:fldChar w:fldCharType="end"/>
          </w:r>
          <w:r>
            <w:rPr>
              <w:rFonts w:hint="eastAsia" w:ascii="仿宋" w:hAnsi="仿宋" w:eastAsia="仿宋" w:cs="仿宋"/>
              <w:b/>
              <w:color w:val="auto"/>
            </w:rPr>
            <w:fldChar w:fldCharType="end"/>
          </w:r>
          <w:r/>
        </w:p>
        <w:p>
          <w:pPr>
            <w:pStyle w:val="1481"/>
            <w:keepLines w:val="0"/>
            <w:keepNext w:val="0"/>
            <w:pageBreakBefore w:val="0"/>
            <w:spacing w:line="360" w:lineRule="auto"/>
            <w:tabs>
              <w:tab w:val="right" w:pos="9468" w:leader="dot"/>
            </w:tabs>
            <w:rPr>
              <w:rFonts w:hint="eastAsia" w:ascii="仿宋" w:hAnsi="仿宋" w:eastAsia="仿宋" w:cs="仿宋"/>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"_Toc25165" \o "#_Toc25165" </w:instrText>
          </w:r>
          <w:r>
            <w:rPr>
              <w:rFonts w:hint="eastAsia" w:ascii="仿宋" w:hAnsi="仿宋" w:eastAsia="仿宋" w:cs="仿宋"/>
              <w:color w:val="auto"/>
            </w:rPr>
            <w:fldChar w:fldCharType="separate"/>
          </w:r>
          <w:r>
            <w:rPr>
              <w:rFonts w:hint="eastAsia" w:ascii="仿宋" w:hAnsi="仿宋" w:eastAsia="仿宋" w:cs="仿宋"/>
              <w:b/>
              <w:color w:val="auto"/>
              <w:szCs w:val="32"/>
            </w:rPr>
            <w:t xml:space="preserve">第四章采购需求</w:t>
          </w:r>
          <w:r>
            <w:rPr>
              <w:rFonts w:hint="eastAsia" w:ascii="仿宋" w:hAnsi="仿宋" w:eastAsia="仿宋" w:cs="仿宋"/>
              <w:b/>
              <w:color w:val="auto"/>
            </w:rPr>
            <w:tab/>
          </w:r>
          <w:r>
            <w:rPr>
              <w:rFonts w:hint="eastAsia" w:ascii="仿宋" w:hAnsi="仿宋" w:eastAsia="仿宋" w:cs="仿宋"/>
              <w:b/>
              <w:color w:val="auto"/>
            </w:rPr>
            <w:fldChar w:fldCharType="begin"/>
          </w:r>
          <w:r>
            <w:rPr>
              <w:rFonts w:hint="eastAsia" w:ascii="仿宋" w:hAnsi="仿宋" w:eastAsia="仿宋" w:cs="仿宋"/>
              <w:b/>
              <w:color w:val="auto"/>
            </w:rPr>
            <w:instrText xml:space="preserve"> PAGEREF _Toc25165 \h </w:instrText>
          </w:r>
          <w:r>
            <w:rPr>
              <w:rFonts w:hint="eastAsia" w:ascii="仿宋" w:hAnsi="仿宋" w:eastAsia="仿宋" w:cs="仿宋"/>
              <w:b/>
              <w:color w:val="auto"/>
            </w:rPr>
            <w:fldChar w:fldCharType="separate"/>
          </w:r>
          <w:r>
            <w:rPr>
              <w:rFonts w:hint="eastAsia" w:ascii="仿宋" w:hAnsi="仿宋" w:eastAsia="仿宋" w:cs="仿宋"/>
              <w:b/>
              <w:color w:val="auto"/>
            </w:rPr>
            <w:t xml:space="preserve">23</w:t>
          </w:r>
          <w:r>
            <w:rPr>
              <w:rFonts w:hint="eastAsia" w:ascii="仿宋" w:hAnsi="仿宋" w:eastAsia="仿宋" w:cs="仿宋"/>
              <w:b/>
              <w:color w:val="auto"/>
            </w:rPr>
            <w:fldChar w:fldCharType="end"/>
          </w:r>
          <w:r>
            <w:rPr>
              <w:rFonts w:hint="eastAsia" w:ascii="仿宋" w:hAnsi="仿宋" w:eastAsia="仿宋" w:cs="仿宋"/>
              <w:b/>
              <w:color w:val="auto"/>
            </w:rPr>
            <w:fldChar w:fldCharType="end"/>
          </w:r>
          <w:r/>
        </w:p>
        <w:p>
          <w:pPr>
            <w:pStyle w:val="1481"/>
            <w:keepLines w:val="0"/>
            <w:keepNext w:val="0"/>
            <w:pageBreakBefore w:val="0"/>
            <w:spacing w:line="360" w:lineRule="auto"/>
            <w:tabs>
              <w:tab w:val="right" w:pos="9468" w:leader="dot"/>
            </w:tabs>
            <w:rPr>
              <w:rFonts w:hint="eastAsia" w:ascii="仿宋" w:hAnsi="仿宋" w:eastAsia="仿宋" w:cs="仿宋"/>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"_Toc16643" \o "#_Toc16643" </w:instrText>
          </w:r>
          <w:r>
            <w:rPr>
              <w:rFonts w:hint="eastAsia" w:ascii="仿宋" w:hAnsi="仿宋" w:eastAsia="仿宋" w:cs="仿宋"/>
              <w:color w:val="auto"/>
            </w:rPr>
            <w:fldChar w:fldCharType="separate"/>
          </w:r>
          <w:r>
            <w:rPr>
              <w:rFonts w:hint="eastAsia" w:ascii="仿宋" w:hAnsi="仿宋" w:eastAsia="仿宋" w:cs="仿宋"/>
              <w:b/>
              <w:color w:val="auto"/>
              <w:szCs w:val="32"/>
            </w:rPr>
            <w:t xml:space="preserve">第五章合同草案条款</w:t>
          </w:r>
          <w:r>
            <w:rPr>
              <w:rFonts w:hint="eastAsia" w:ascii="仿宋" w:hAnsi="仿宋" w:eastAsia="仿宋" w:cs="仿宋"/>
              <w:b/>
              <w:color w:val="auto"/>
            </w:rPr>
            <w:tab/>
          </w:r>
          <w:r>
            <w:rPr>
              <w:rFonts w:hint="eastAsia" w:ascii="仿宋" w:hAnsi="仿宋" w:eastAsia="仿宋" w:cs="仿宋"/>
              <w:b/>
              <w:color w:val="auto"/>
            </w:rPr>
            <w:fldChar w:fldCharType="begin"/>
          </w:r>
          <w:r>
            <w:rPr>
              <w:rFonts w:hint="eastAsia" w:ascii="仿宋" w:hAnsi="仿宋" w:eastAsia="仿宋" w:cs="仿宋"/>
              <w:b/>
              <w:color w:val="auto"/>
            </w:rPr>
            <w:instrText xml:space="preserve"> PAGEREF _Toc16643 \h </w:instrText>
          </w:r>
          <w:r>
            <w:rPr>
              <w:rFonts w:hint="eastAsia" w:ascii="仿宋" w:hAnsi="仿宋" w:eastAsia="仿宋" w:cs="仿宋"/>
              <w:b/>
              <w:color w:val="auto"/>
            </w:rPr>
            <w:fldChar w:fldCharType="separate"/>
          </w:r>
          <w:r>
            <w:rPr>
              <w:rFonts w:hint="eastAsia" w:ascii="仿宋" w:hAnsi="仿宋" w:eastAsia="仿宋" w:cs="仿宋"/>
              <w:b/>
              <w:color w:val="auto"/>
            </w:rPr>
            <w:t xml:space="preserve">38</w:t>
          </w:r>
          <w:r>
            <w:rPr>
              <w:rFonts w:hint="eastAsia" w:ascii="仿宋" w:hAnsi="仿宋" w:eastAsia="仿宋" w:cs="仿宋"/>
              <w:b/>
              <w:color w:val="auto"/>
            </w:rPr>
            <w:fldChar w:fldCharType="end"/>
          </w:r>
          <w:r>
            <w:rPr>
              <w:rFonts w:hint="eastAsia" w:ascii="仿宋" w:hAnsi="仿宋" w:eastAsia="仿宋" w:cs="仿宋"/>
              <w:b/>
              <w:color w:val="auto"/>
            </w:rPr>
            <w:fldChar w:fldCharType="end"/>
          </w:r>
          <w:r/>
        </w:p>
        <w:p>
          <w:pPr>
            <w:pStyle w:val="1481"/>
            <w:keepLines w:val="0"/>
            <w:keepNext w:val="0"/>
            <w:pageBreakBefore w:val="0"/>
            <w:spacing w:line="360" w:lineRule="auto"/>
            <w:tabs>
              <w:tab w:val="right" w:pos="9468" w:leader="dot"/>
            </w:tabs>
            <w:rPr>
              <w:rFonts w:hint="eastAsia" w:ascii="仿宋" w:hAnsi="仿宋" w:eastAsia="仿宋" w:cs="仿宋"/>
              <w:b/>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"_Toc26353" \o "#_Toc26353" </w:instrText>
          </w:r>
          <w:r>
            <w:rPr>
              <w:rFonts w:hint="eastAsia" w:ascii="仿宋" w:hAnsi="仿宋" w:eastAsia="仿宋" w:cs="仿宋"/>
              <w:color w:val="auto"/>
            </w:rPr>
            <w:fldChar w:fldCharType="separate"/>
          </w:r>
          <w:r>
            <w:rPr>
              <w:rFonts w:hint="eastAsia" w:ascii="仿宋" w:hAnsi="仿宋" w:eastAsia="仿宋" w:cs="仿宋"/>
              <w:b/>
              <w:color w:val="auto"/>
              <w:szCs w:val="32"/>
            </w:rPr>
            <w:t xml:space="preserve">第六章投标文件格式及附件</w:t>
          </w:r>
          <w:r>
            <w:rPr>
              <w:rFonts w:hint="eastAsia" w:ascii="仿宋" w:hAnsi="仿宋" w:eastAsia="仿宋" w:cs="仿宋"/>
              <w:b/>
              <w:color w:val="auto"/>
            </w:rPr>
            <w:tab/>
          </w:r>
          <w:r>
            <w:rPr>
              <w:rFonts w:hint="eastAsia" w:ascii="仿宋" w:hAnsi="仿宋" w:eastAsia="仿宋" w:cs="仿宋"/>
              <w:b/>
              <w:color w:val="auto"/>
            </w:rPr>
            <w:fldChar w:fldCharType="begin"/>
          </w:r>
          <w:r>
            <w:rPr>
              <w:rFonts w:hint="eastAsia" w:ascii="仿宋" w:hAnsi="仿宋" w:eastAsia="仿宋" w:cs="仿宋"/>
              <w:b/>
              <w:color w:val="auto"/>
            </w:rPr>
            <w:instrText xml:space="preserve"> PAGEREF _Toc26353 \h </w:instrText>
          </w:r>
          <w:r>
            <w:rPr>
              <w:rFonts w:hint="eastAsia" w:ascii="仿宋" w:hAnsi="仿宋" w:eastAsia="仿宋" w:cs="仿宋"/>
              <w:b/>
              <w:color w:val="auto"/>
            </w:rPr>
            <w:fldChar w:fldCharType="separate"/>
          </w:r>
          <w:r>
            <w:rPr>
              <w:rFonts w:hint="eastAsia" w:ascii="仿宋" w:hAnsi="仿宋" w:eastAsia="仿宋" w:cs="仿宋"/>
              <w:b/>
              <w:color w:val="auto"/>
            </w:rPr>
            <w:t xml:space="preserve">52</w:t>
          </w:r>
          <w:r>
            <w:rPr>
              <w:rFonts w:hint="eastAsia" w:ascii="仿宋" w:hAnsi="仿宋" w:eastAsia="仿宋" w:cs="仿宋"/>
              <w:b/>
              <w:color w:val="auto"/>
            </w:rPr>
            <w:fldChar w:fldCharType="end"/>
          </w:r>
          <w:r>
            <w:rPr>
              <w:rFonts w:hint="eastAsia" w:ascii="仿宋" w:hAnsi="仿宋" w:eastAsia="仿宋" w:cs="仿宋"/>
              <w:b/>
              <w:color w:val="auto"/>
            </w:rPr>
            <w:fldChar w:fldCharType="end"/>
          </w:r>
          <w:r/>
        </w:p>
        <w:p>
          <w:pPr>
            <w:pStyle w:val="1481"/>
            <w:keepLines w:val="0"/>
            <w:keepNext w:val="0"/>
            <w:pageBreakBefore w:val="0"/>
            <w:spacing w:line="360" w:lineRule="auto"/>
            <w:tabs>
              <w:tab w:val="right" w:pos="9468" w:leader="dot"/>
            </w:tabs>
            <w:rPr>
              <w:rFonts w:hint="eastAsia" w:ascii="仿宋" w:hAnsi="仿宋" w:eastAsia="仿宋" w:cs="仿宋"/>
              <w:b/>
              <w:color w:val="auto"/>
            </w:rPr>
          </w:pPr>
          <w:r>
            <w:rPr>
              <w:rFonts w:hint="eastAsia" w:ascii="仿宋" w:hAnsi="仿宋" w:eastAsia="仿宋" w:cs="仿宋"/>
              <w:b/>
              <w:color w:val="auto"/>
            </w:rPr>
          </w:r>
          <w:r/>
        </w:p>
        <w:p>
          <w:pPr>
            <w:pStyle w:val="892"/>
            <w:ind w:firstLine="422"/>
            <w:keepLines w:val="0"/>
            <w:keepNext w:val="0"/>
            <w:pageBreakBefore w:val="0"/>
            <w:spacing w:line="360" w:lineRule="auto"/>
            <w:rPr>
              <w:rFonts w:hint="eastAsia" w:ascii="仿宋" w:hAnsi="仿宋" w:eastAsia="仿宋" w:cs="仿宋"/>
              <w:b/>
              <w:bCs/>
              <w:color w:val="auto"/>
              <w:szCs w:val="32"/>
              <w:lang w:val="zh-CN" w:bidi="zh-CN"/>
            </w:rPr>
          </w:pPr>
          <w:r>
            <w:rPr>
              <w:rFonts w:hint="eastAsia" w:ascii="仿宋" w:hAnsi="仿宋" w:eastAsia="仿宋" w:cs="仿宋"/>
              <w:b/>
              <w:bCs/>
              <w:color w:val="auto"/>
              <w:szCs w:val="32"/>
              <w:lang w:val="zh-CN" w:bidi="zh-CN"/>
            </w:rPr>
            <w:fldChar w:fldCharType="end"/>
          </w:r>
          <w:r/>
        </w:p>
      </w:sdtContent>
    </w:sdt>
    <w:p>
      <w:pPr>
        <w:pStyle w:val="892"/>
        <w:ind w:firstLine="422"/>
        <w:spacing w:line="360" w:lineRule="auto"/>
        <w:rPr>
          <w:rFonts w:hint="eastAsia" w:ascii="宋体" w:hAnsi="宋体" w:eastAsia="宋体" w:cs="宋体"/>
          <w:b/>
          <w:bCs/>
          <w:color w:val="auto"/>
          <w:szCs w:val="32"/>
          <w:lang w:val="zh-CN" w:bidi="zh-CN"/>
        </w:rPr>
        <w:sectPr>
          <w:headerReference w:type="default" r:id="rId9"/>
          <w:footnotePr/>
          <w:endnotePr/>
          <w:type w:val="nextPage"/>
          <w:pgSz w:w="11906" w:h="16838" w:orient="portrait"/>
          <w:pgMar w:top="1418" w:right="1134" w:bottom="1247" w:left="1304" w:header="851" w:footer="992" w:gutter="0"/>
          <w:cols w:num="1" w:sep="0" w:space="1701" w:equalWidth="1"/>
          <w:docGrid w:linePitch="360"/>
        </w:sectPr>
      </w:pPr>
      <w:r>
        <w:rPr>
          <w:rFonts w:hint="eastAsia" w:ascii="宋体" w:hAnsi="宋体" w:eastAsia="宋体" w:cs="宋体"/>
          <w:b/>
          <w:bCs/>
          <w:color w:val="auto"/>
          <w:szCs w:val="32"/>
          <w:lang w:val="zh-CN" w:bidi="zh-CN"/>
        </w:rPr>
      </w:r>
      <w:r/>
    </w:p>
    <w:p>
      <w:pPr>
        <w:pStyle w:val="954"/>
        <w:numPr>
          <w:ilvl w:val="0"/>
          <w:numId w:val="1"/>
        </w:numPr>
        <w:jc w:val="center"/>
        <w:spacing w:line="720" w:lineRule="auto"/>
        <w:rPr>
          <w:rFonts w:hint="eastAsia" w:ascii="宋体" w:hAnsi="宋体" w:eastAsia="宋体" w:cs="宋体"/>
          <w:b/>
          <w:color w:val="auto"/>
          <w:sz w:val="32"/>
          <w:szCs w:val="32"/>
        </w:rPr>
        <w:outlineLvl w:val="0"/>
      </w:pPr>
      <w:r/>
      <w:bookmarkStart w:id="4" w:name="_Toc30736"/>
      <w:r>
        <w:rPr>
          <w:rFonts w:hint="eastAsia" w:ascii="宋体" w:hAnsi="宋体" w:eastAsia="宋体" w:cs="宋体"/>
          <w:b/>
          <w:color w:val="auto"/>
          <w:sz w:val="32"/>
          <w:szCs w:val="32"/>
        </w:rPr>
        <w:t xml:space="preserve">招标公告</w:t>
      </w:r>
      <w:bookmarkEnd w:id="4"/>
      <w:r/>
      <w:r/>
    </w:p>
    <w:tbl>
      <w:tblPr>
        <w:tblStyle w:val="941"/>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9685"/>
      </w:tblGrid>
      <w:tr>
        <w:trPr/>
        <w:tc>
          <w:tcPr>
            <w:tcW w:w="9685" w:type="dxa"/>
            <w:textDirection w:val="lrTb"/>
            <w:noWrap w:val="false"/>
          </w:tcPr>
          <w:p>
            <w:pPr>
              <w:ind w:firstLine="420"/>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项目概况</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u w:val="single"/>
                <w:lang w:val="zh-CN"/>
              </w:rPr>
              <w:t xml:space="preserve">江宁区东山城区交通设施养护服务</w:t>
            </w:r>
            <w:r>
              <w:rPr>
                <w:rFonts w:hint="eastAsia" w:ascii="宋体" w:hAnsi="宋体" w:eastAsia="宋体" w:cs="宋体"/>
                <w:color w:val="auto"/>
                <w:szCs w:val="21"/>
              </w:rPr>
              <w:t xml:space="preserve">招标项目的潜在投标人应在</w:t>
            </w:r>
            <w:r>
              <w:rPr>
                <w:rFonts w:hint="eastAsia" w:ascii="宋体" w:hAnsi="宋体" w:eastAsia="宋体" w:cs="宋体"/>
                <w:color w:val="auto"/>
                <w:szCs w:val="21"/>
                <w:u w:val="single"/>
              </w:rPr>
              <w:t xml:space="preserve">江苏政府采购网</w:t>
            </w:r>
            <w:r>
              <w:rPr>
                <w:rFonts w:hint="eastAsia" w:ascii="宋体" w:hAnsi="宋体" w:eastAsia="宋体" w:cs="宋体"/>
                <w:color w:val="auto"/>
                <w:szCs w:val="21"/>
              </w:rPr>
              <w:t xml:space="preserve">获取招标文件，并于</w:t>
            </w:r>
            <w:r>
              <w:rPr>
                <w:rFonts w:hint="eastAsia" w:ascii="宋体" w:hAnsi="宋体" w:eastAsia="宋体" w:cs="宋体"/>
                <w:color w:val="auto"/>
                <w:szCs w:val="21"/>
                <w:u w:val="single"/>
              </w:rPr>
              <w:t xml:space="preserve">202</w:t>
            </w:r>
            <w:r>
              <w:rPr>
                <w:rFonts w:hint="eastAsia" w:ascii="宋体" w:hAnsi="宋体" w:eastAsia="宋体" w:cs="宋体"/>
                <w:color w:val="auto"/>
                <w:szCs w:val="21"/>
                <w:u w:val="single"/>
                <w:lang w:val="en-US" w:eastAsia="zh-CN"/>
              </w:rPr>
              <w:t xml:space="preserve">6</w:t>
            </w:r>
            <w:r>
              <w:rPr>
                <w:rFonts w:hint="eastAsia" w:ascii="宋体" w:hAnsi="宋体" w:eastAsia="宋体" w:cs="宋体"/>
                <w:color w:val="auto"/>
                <w:szCs w:val="21"/>
                <w:u w:val="single"/>
              </w:rPr>
              <w:t xml:space="preserve">年</w:t>
            </w:r>
            <w:r>
              <w:rPr>
                <w:rFonts w:hint="eastAsia" w:ascii="宋体" w:hAnsi="宋体" w:eastAsia="宋体" w:cs="宋体"/>
                <w:color w:val="auto"/>
                <w:szCs w:val="21"/>
                <w:u w:val="single"/>
                <w:lang w:val="en-US" w:eastAsia="zh-CN"/>
              </w:rPr>
              <w:t xml:space="preserve">2</w:t>
            </w:r>
            <w:r>
              <w:rPr>
                <w:rFonts w:hint="eastAsia" w:ascii="宋体" w:hAnsi="宋体" w:eastAsia="宋体" w:cs="宋体"/>
                <w:color w:val="auto"/>
                <w:szCs w:val="21"/>
                <w:u w:val="single"/>
              </w:rPr>
              <w:t xml:space="preserve">月</w:t>
            </w:r>
            <w:r>
              <w:rPr>
                <w:rFonts w:hint="eastAsia" w:ascii="宋体" w:hAnsi="宋体" w:eastAsia="宋体" w:cs="宋体"/>
                <w:color w:val="auto"/>
                <w:szCs w:val="21"/>
                <w:u w:val="single"/>
                <w:lang w:val="en-US" w:eastAsia="zh-CN"/>
              </w:rPr>
              <w:t xml:space="preserve">25</w:t>
            </w:r>
            <w:r>
              <w:rPr>
                <w:rFonts w:hint="eastAsia" w:ascii="宋体" w:hAnsi="宋体" w:eastAsia="宋体" w:cs="宋体"/>
                <w:color w:val="auto"/>
                <w:szCs w:val="21"/>
                <w:u w:val="single"/>
              </w:rPr>
              <w:t xml:space="preserve">日</w:t>
            </w:r>
            <w:r>
              <w:rPr>
                <w:rFonts w:hint="eastAsia" w:ascii="宋体" w:hAnsi="宋体" w:eastAsia="宋体" w:cs="宋体"/>
                <w:color w:val="auto"/>
                <w:szCs w:val="21"/>
                <w:u w:val="single"/>
                <w:lang w:val="en-US" w:eastAsia="zh-CN"/>
              </w:rPr>
              <w:t xml:space="preserve">14</w:t>
            </w:r>
            <w:r>
              <w:rPr>
                <w:rFonts w:hint="eastAsia" w:ascii="宋体" w:hAnsi="宋体" w:eastAsia="宋体" w:cs="宋体"/>
                <w:color w:val="auto"/>
                <w:szCs w:val="21"/>
                <w:u w:val="single"/>
              </w:rPr>
              <w:t xml:space="preserve">时</w:t>
            </w:r>
            <w:r>
              <w:rPr>
                <w:rFonts w:hint="eastAsia" w:ascii="宋体" w:hAnsi="宋体" w:eastAsia="宋体" w:cs="宋体"/>
                <w:color w:val="auto"/>
                <w:szCs w:val="21"/>
                <w:u w:val="single"/>
                <w:lang w:val="en-US" w:eastAsia="zh-CN"/>
              </w:rPr>
              <w:t xml:space="preserve">0</w:t>
            </w:r>
            <w:r>
              <w:rPr>
                <w:rFonts w:hint="eastAsia" w:ascii="宋体" w:hAnsi="宋体" w:eastAsia="宋体" w:cs="宋体"/>
                <w:color w:val="auto"/>
                <w:szCs w:val="21"/>
                <w:u w:val="single"/>
              </w:rPr>
              <w:t xml:space="preserve">0分</w:t>
            </w:r>
            <w:r>
              <w:rPr>
                <w:rFonts w:hint="eastAsia" w:ascii="宋体" w:hAnsi="宋体" w:eastAsia="宋体" w:cs="宋体"/>
                <w:color w:val="auto"/>
                <w:szCs w:val="21"/>
              </w:rPr>
              <w:t xml:space="preserve">（北京时间）前递交投标文件。</w:t>
            </w:r>
            <w:r/>
          </w:p>
        </w:tc>
      </w:tr>
    </w:tbl>
    <w:p>
      <w:pPr>
        <w:ind w:firstLine="422"/>
        <w:spacing w:line="360" w:lineRule="auto"/>
        <w:rPr>
          <w:rFonts w:hint="eastAsia" w:ascii="宋体" w:hAnsi="宋体" w:eastAsia="宋体" w:cs="宋体"/>
          <w:b/>
          <w:bCs/>
          <w:color w:val="auto"/>
          <w:szCs w:val="21"/>
        </w:rPr>
        <w:outlineLvl w:val="1"/>
      </w:pPr>
      <w:r/>
      <w:bookmarkStart w:id="5" w:name="_Toc19972"/>
      <w:r>
        <w:rPr>
          <w:rFonts w:hint="eastAsia" w:ascii="宋体" w:hAnsi="宋体" w:eastAsia="宋体" w:cs="宋体"/>
          <w:b/>
          <w:bCs/>
          <w:color w:val="auto"/>
          <w:szCs w:val="21"/>
        </w:rPr>
        <w:t xml:space="preserve">一、项目基本情况</w:t>
      </w:r>
      <w:bookmarkEnd w:id="5"/>
      <w:r/>
      <w:r/>
    </w:p>
    <w:p>
      <w:pPr>
        <w:ind w:firstLine="42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rPr>
        <w:t xml:space="preserve">项目编号：</w:t>
      </w:r>
      <w:r>
        <w:rPr>
          <w:rFonts w:hint="eastAsia" w:ascii="宋体" w:hAnsi="宋体" w:eastAsia="宋体" w:cs="宋体"/>
          <w:color w:val="auto"/>
          <w:szCs w:val="21"/>
          <w:lang w:eastAsia="zh-CN"/>
        </w:rPr>
        <w:t xml:space="preserve">JSZC-320115-KXDA-G2026-0001</w:t>
      </w:r>
      <w:r/>
    </w:p>
    <w:p>
      <w:pPr>
        <w:ind w:firstLine="42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rPr>
        <w:t xml:space="preserve">项目名称：</w:t>
      </w:r>
      <w:r>
        <w:rPr>
          <w:rFonts w:hint="eastAsia" w:ascii="宋体" w:hAnsi="宋体" w:eastAsia="宋体" w:cs="宋体"/>
          <w:color w:val="auto"/>
          <w:szCs w:val="21"/>
          <w:lang w:eastAsia="zh-CN"/>
        </w:rPr>
        <w:t xml:space="preserve">江宁区东山城区交通设施养护服务</w:t>
      </w:r>
      <w:r/>
    </w:p>
    <w:p>
      <w:pPr>
        <w:ind w:firstLine="420"/>
        <w:spacing w:line="360" w:lineRule="auto"/>
        <w:rPr>
          <w:rFonts w:hint="eastAsia" w:ascii="宋体" w:hAnsi="宋体" w:eastAsia="宋体" w:cs="宋体"/>
          <w:color w:val="auto"/>
        </w:rPr>
      </w:pPr>
      <w:r>
        <w:rPr>
          <w:rFonts w:hint="eastAsia" w:ascii="宋体" w:hAnsi="宋体" w:eastAsia="宋体" w:cs="宋体"/>
          <w:color w:val="auto"/>
          <w:szCs w:val="21"/>
        </w:rPr>
        <w:t xml:space="preserve">招标方式：</w:t>
      </w:r>
      <w:r>
        <w:rPr>
          <w:rFonts w:hint="eastAsia" w:ascii="宋体" w:hAnsi="宋体" w:eastAsia="宋体" w:cs="宋体"/>
          <w:color w:val="auto"/>
        </w:rPr>
        <w:t xml:space="preserve">公开招标</w:t>
      </w:r>
      <w:r/>
    </w:p>
    <w:p>
      <w:pPr>
        <w:pStyle w:val="892"/>
        <w:spacing w:line="360" w:lineRule="auto"/>
        <w:rPr>
          <w:rFonts w:hint="eastAsia" w:ascii="宋体" w:hAnsi="宋体" w:eastAsia="宋体" w:cs="宋体"/>
          <w:color w:val="auto"/>
          <w:lang w:val="en-US" w:eastAsia="zh-CN"/>
        </w:rPr>
      </w:pPr>
      <w:r>
        <w:rPr>
          <w:rFonts w:hint="eastAsia" w:ascii="宋体" w:hAnsi="宋体" w:eastAsia="宋体" w:cs="宋体"/>
          <w:color w:val="auto"/>
        </w:rPr>
        <w:t xml:space="preserve">预算金额：</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rPr>
        <w:t xml:space="preserve">万元（其中交通设施日常管养</w:t>
      </w:r>
      <w:r>
        <w:rPr>
          <w:rFonts w:hint="eastAsia" w:ascii="宋体" w:hAnsi="宋体" w:eastAsia="宋体" w:cs="宋体"/>
          <w:color w:val="auto"/>
          <w:szCs w:val="21"/>
          <w:highlight w:val="none"/>
          <w:lang w:val="en-US" w:eastAsia="zh-CN"/>
        </w:rPr>
        <w:t xml:space="preserve">280</w:t>
      </w:r>
      <w:r>
        <w:rPr>
          <w:rFonts w:hint="eastAsia" w:ascii="宋体" w:hAnsi="宋体" w:eastAsia="宋体" w:cs="宋体"/>
          <w:color w:val="auto"/>
          <w:szCs w:val="21"/>
          <w:highlight w:val="none"/>
        </w:rPr>
        <w:t xml:space="preserve">万元，更新安装专项</w:t>
      </w:r>
      <w:r>
        <w:rPr>
          <w:rFonts w:hint="eastAsia" w:ascii="宋体" w:hAnsi="宋体" w:eastAsia="宋体" w:cs="宋体"/>
          <w:color w:val="auto"/>
          <w:szCs w:val="21"/>
          <w:highlight w:val="none"/>
          <w:lang w:val="en-US" w:eastAsia="zh-CN"/>
        </w:rPr>
        <w:t xml:space="preserve">70</w:t>
      </w:r>
      <w:r>
        <w:rPr>
          <w:rFonts w:hint="eastAsia" w:ascii="宋体" w:hAnsi="宋体" w:eastAsia="宋体" w:cs="宋体"/>
          <w:color w:val="auto"/>
          <w:szCs w:val="21"/>
          <w:highlight w:val="none"/>
        </w:rPr>
        <w:t xml:space="preserve">万元）</w:t>
      </w:r>
      <w:r/>
    </w:p>
    <w:p>
      <w:pPr>
        <w:ind w:firstLine="42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rPr>
        <w:t xml:space="preserve">最高限价：</w:t>
      </w:r>
      <w:r>
        <w:rPr>
          <w:rFonts w:hint="eastAsia" w:ascii="宋体" w:hAnsi="宋体" w:eastAsia="宋体" w:cs="宋体"/>
          <w:color w:val="auto"/>
          <w:szCs w:val="21"/>
          <w:highlight w:val="none"/>
          <w:lang w:eastAsia="zh-CN"/>
        </w:rPr>
        <w:t xml:space="preserve">350</w:t>
      </w:r>
      <w:r>
        <w:rPr>
          <w:rFonts w:hint="eastAsia" w:ascii="宋体" w:hAnsi="宋体" w:eastAsia="宋体" w:cs="宋体"/>
          <w:color w:val="auto"/>
          <w:szCs w:val="21"/>
          <w:highlight w:val="none"/>
        </w:rPr>
        <w:t xml:space="preserve">万元（其中交通设施日常管养280万元，</w:t>
      </w:r>
      <w:r>
        <w:rPr>
          <w:rFonts w:hint="eastAsia" w:ascii="宋体" w:hAnsi="宋体" w:eastAsia="宋体" w:cs="宋体"/>
          <w:color w:val="auto"/>
          <w:szCs w:val="21"/>
          <w:highlight w:val="none"/>
          <w:lang w:eastAsia="zh-CN"/>
        </w:rPr>
        <w:t xml:space="preserve">更新安装专项70万元</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rPr>
        <w:t xml:space="preserve">采购需求：</w:t>
      </w:r>
      <w:bookmarkStart w:id="6" w:name="_Hlk55746950"/>
      <w:r>
        <w:rPr>
          <w:rFonts w:hint="eastAsia" w:ascii="宋体" w:hAnsi="宋体" w:eastAsia="宋体" w:cs="宋体"/>
          <w:color w:val="auto"/>
          <w:szCs w:val="21"/>
          <w:highlight w:val="none"/>
        </w:rPr>
        <w:t xml:space="preserve">本项目采购的是对南京市江宁区城市管理局所管辖双龙大道以东、沧麒路以东；宏运大道、石杨路以南；东麒路以西（含东麒路及东麒路跨宁杭高架桥）；新亭西路以北及杨家圩片区道路片区、外港河以北、万泰路以北（不含万泰路）的禁令标志、指示标志、路名牌、限高架、护栏（人为损坏、交通事故、盗窃等因素进行修复）、信号灯杆、信号灯及管线（含人行过街信号灯）、显示屏、信号机及标线等配套交通设施的日常维护管理、设施安装更新，包含交通设施日常管养和更新安装专项，为广大市民出行提供优良的交通基础设施保障，具体详见招标文件</w:t>
      </w:r>
      <w:bookmarkEnd w:id="6"/>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合同履行期限：合同生效之日起一年</w:t>
      </w:r>
      <w:r/>
    </w:p>
    <w:p>
      <w:pPr>
        <w:ind w:firstLine="420"/>
        <w:jc w:val="left"/>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本项目</w:t>
      </w:r>
      <w:r>
        <w:rPr>
          <w:rFonts w:hint="eastAsia" w:ascii="宋体" w:hAnsi="宋体" w:eastAsia="宋体" w:cs="宋体"/>
          <w:color w:val="auto"/>
          <w:szCs w:val="21"/>
        </w:rPr>
        <w:t xml:space="preserve">不</w:t>
      </w:r>
      <w:r>
        <w:rPr>
          <w:rFonts w:hint="eastAsia" w:ascii="宋体" w:hAnsi="宋体" w:eastAsia="宋体" w:cs="宋体"/>
          <w:color w:val="auto"/>
          <w:szCs w:val="21"/>
          <w:lang w:val="zh-CN"/>
        </w:rPr>
        <w:t xml:space="preserve">接受联合体招标</w:t>
      </w:r>
      <w:r/>
    </w:p>
    <w:p>
      <w:pPr>
        <w:ind w:firstLine="422"/>
        <w:spacing w:line="360" w:lineRule="auto"/>
        <w:rPr>
          <w:rFonts w:hint="eastAsia" w:ascii="宋体" w:hAnsi="宋体" w:eastAsia="宋体" w:cs="宋体"/>
          <w:b/>
          <w:color w:val="auto"/>
          <w:szCs w:val="21"/>
          <w:lang w:val="zh-CN"/>
        </w:rPr>
        <w:outlineLvl w:val="1"/>
      </w:pPr>
      <w:r/>
      <w:bookmarkStart w:id="7" w:name="_Toc25074"/>
      <w:r>
        <w:rPr>
          <w:rFonts w:hint="eastAsia" w:ascii="宋体" w:hAnsi="宋体" w:eastAsia="宋体" w:cs="宋体"/>
          <w:b/>
          <w:color w:val="auto"/>
          <w:szCs w:val="21"/>
        </w:rPr>
        <w:t xml:space="preserve">二、申请人资格条件</w:t>
      </w:r>
      <w:bookmarkEnd w:id="7"/>
      <w:r/>
      <w:r/>
    </w:p>
    <w:p>
      <w:pPr>
        <w:ind w:firstLine="426"/>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1.满足《中华人民共和国政府采购法》第二十二条规定:</w:t>
      </w:r>
      <w:r/>
    </w:p>
    <w:p>
      <w:pPr>
        <w:pStyle w:val="892"/>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（1）具有独立承担民事责任的能力（提供法人或者其他组织的营业执照，自然人的身份证明）；</w:t>
      </w:r>
      <w:r/>
    </w:p>
    <w:p>
      <w:pPr>
        <w:pStyle w:val="892"/>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（2）具有良好的商业信誉和健全的财务会计制度（提供参加本次政府采购活动前一年</w:t>
      </w:r>
      <w:r>
        <w:rPr>
          <w:rFonts w:hint="eastAsia" w:ascii="宋体" w:hAnsi="宋体" w:eastAsia="宋体" w:cs="宋体"/>
          <w:color w:val="auto"/>
          <w:szCs w:val="21"/>
          <w:lang w:val="en-US" w:eastAsia="zh-CN"/>
        </w:rPr>
        <w:t xml:space="preserve">内</w:t>
      </w:r>
      <w:r>
        <w:rPr>
          <w:rFonts w:hint="eastAsia" w:ascii="宋体" w:hAnsi="宋体" w:eastAsia="宋体" w:cs="宋体"/>
          <w:color w:val="auto"/>
          <w:szCs w:val="21"/>
        </w:rPr>
        <w:t xml:space="preserve">的会计报表或经审计的财务报告或投标截止时间前六个月内银行出具的资信证明，成立不满一个月不需提供）；</w:t>
      </w:r>
      <w:r/>
    </w:p>
    <w:p>
      <w:pPr>
        <w:pStyle w:val="892"/>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（3）具有履行合同所必需的设备和专业技术能力（提供履行合同所必需的设备和专业技术能力的证明材料）；</w:t>
      </w:r>
      <w:r/>
    </w:p>
    <w:p>
      <w:pPr>
        <w:pStyle w:val="892"/>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4）有依法缴纳税收和社会保障资金的良好记录（提供近半年内任意一个月的纳税证明文件（依法免税的应提供相应文件说明）；并提供近半年内依法为员工缴纳社会保障资金的证明材料（任意一个月即可），证明材料可以是缴费的银行单据复印件、社保机构开具的证明（依法不需要缴纳社会保障资金的应提供相应文件说明））；</w:t>
      </w:r>
      <w:r/>
    </w:p>
    <w:p>
      <w:pPr>
        <w:pStyle w:val="892"/>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（5）参加政府采购活动前三年内，在经营活动中没有重大违法记录（提供参加本次政府采购活动前3年内在经营活动中没有重大违法记录的书面声明）；</w:t>
      </w:r>
      <w:r/>
    </w:p>
    <w:p>
      <w:pPr>
        <w:pStyle w:val="892"/>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（6）法律、行政法规规定的其他条件：无</w:t>
      </w:r>
      <w:r/>
    </w:p>
    <w:p>
      <w:pPr>
        <w:pStyle w:val="892"/>
        <w:ind w:firstLine="422"/>
        <w:spacing w:line="360" w:lineRule="auto"/>
        <w:rPr>
          <w:rFonts w:hint="eastAsia" w:ascii="宋体" w:hAnsi="宋体" w:eastAsia="宋体" w:cs="宋体"/>
          <w:b/>
          <w:bCs/>
          <w:color w:val="auto"/>
          <w:sz w:val="22"/>
        </w:rPr>
      </w:pPr>
      <w:r>
        <w:rPr>
          <w:rFonts w:hint="eastAsia" w:ascii="宋体" w:hAnsi="宋体" w:eastAsia="宋体" w:cs="宋体"/>
          <w:b/>
          <w:bCs/>
          <w:color w:val="auto"/>
          <w:szCs w:val="21"/>
        </w:rPr>
        <w:t xml:space="preserve">2.</w:t>
      </w:r>
      <w:r>
        <w:rPr>
          <w:rFonts w:hint="eastAsia" w:ascii="宋体" w:hAnsi="宋体" w:eastAsia="宋体" w:cs="宋体"/>
          <w:b/>
          <w:bCs/>
          <w:color w:val="auto"/>
          <w:sz w:val="22"/>
        </w:rPr>
        <w:t xml:space="preserve">落实政府采购政策需要满足的资格条件：</w:t>
      </w:r>
      <w:r/>
    </w:p>
    <w:p>
      <w:pPr>
        <w:pStyle w:val="892"/>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本项目按照采用以下</w:t>
      </w:r>
      <w:r>
        <w:rPr>
          <w:rFonts w:hint="eastAsia" w:ascii="宋体" w:hAnsi="宋体" w:eastAsia="宋体" w:cs="宋体"/>
          <w:color w:val="auto"/>
          <w:szCs w:val="21"/>
        </w:rPr>
        <w:t xml:space="preserve">第（4）种方式</w:t>
      </w:r>
      <w:r>
        <w:rPr>
          <w:rFonts w:hint="eastAsia" w:ascii="宋体" w:hAnsi="宋体" w:eastAsia="宋体" w:cs="宋体"/>
          <w:color w:val="auto"/>
          <w:szCs w:val="21"/>
        </w:rPr>
        <w:t xml:space="preserve">落实政府采购促进中小企业发展的要求（如属于专门面向中小企业采购的项目，供应商应为中小微企业、监狱企业、残疾人福利性单位）：</w:t>
      </w:r>
      <w:r/>
    </w:p>
    <w:p>
      <w:pPr>
        <w:pStyle w:val="892"/>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（1）本项目整体专门面向中小企业采购</w:t>
      </w:r>
      <w:r>
        <w:rPr>
          <w:rFonts w:hint="eastAsia" w:ascii="宋体" w:hAnsi="宋体" w:eastAsia="宋体" w:cs="宋体"/>
          <w:color w:val="auto"/>
          <w:szCs w:val="21"/>
          <w:lang w:val="en-US" w:eastAsia="zh-CN"/>
        </w:rPr>
        <w:t xml:space="preserve">服务</w:t>
      </w:r>
      <w:r>
        <w:rPr>
          <w:rFonts w:hint="eastAsia" w:ascii="宋体" w:hAnsi="宋体" w:eastAsia="宋体" w:cs="宋体"/>
          <w:color w:val="auto"/>
          <w:szCs w:val="21"/>
        </w:rPr>
        <w:t xml:space="preserve">。</w:t>
      </w:r>
      <w:r/>
    </w:p>
    <w:p>
      <w:pPr>
        <w:pStyle w:val="892"/>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（2）本项目整体专门面向小微企业采购</w:t>
      </w:r>
      <w:r>
        <w:rPr>
          <w:rFonts w:hint="eastAsia" w:ascii="宋体" w:hAnsi="宋体" w:eastAsia="宋体" w:cs="宋体"/>
          <w:color w:val="auto"/>
          <w:szCs w:val="21"/>
          <w:lang w:val="en-US" w:eastAsia="zh-CN"/>
        </w:rPr>
        <w:t xml:space="preserve">服务</w:t>
      </w:r>
      <w:r>
        <w:rPr>
          <w:rFonts w:hint="eastAsia" w:ascii="宋体" w:hAnsi="宋体" w:eastAsia="宋体" w:cs="宋体"/>
          <w:color w:val="auto"/>
          <w:szCs w:val="21"/>
        </w:rPr>
        <w:t xml:space="preserve">。</w:t>
      </w:r>
      <w:r/>
    </w:p>
    <w:p>
      <w:pPr>
        <w:pStyle w:val="892"/>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（3）本项目通过以下第（）种方式预留部分采购份额采购中小企业</w:t>
      </w:r>
      <w:r>
        <w:rPr>
          <w:rFonts w:hint="eastAsia" w:ascii="宋体" w:hAnsi="宋体" w:eastAsia="宋体" w:cs="宋体"/>
          <w:color w:val="auto"/>
          <w:szCs w:val="21"/>
          <w:lang w:val="en-US" w:eastAsia="zh-CN"/>
        </w:rPr>
        <w:t xml:space="preserve">服务</w:t>
      </w:r>
      <w:r>
        <w:rPr>
          <w:rFonts w:hint="eastAsia" w:ascii="宋体" w:hAnsi="宋体" w:eastAsia="宋体" w:cs="宋体"/>
          <w:color w:val="auto"/>
          <w:szCs w:val="21"/>
        </w:rPr>
        <w:t xml:space="preserve">：</w:t>
      </w:r>
      <w:r/>
    </w:p>
    <w:p>
      <w:pPr>
        <w:pStyle w:val="892"/>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①本项目要求供应商以联合体形式参加，中小企业合同金额应当达到的比例为%。</w:t>
      </w:r>
      <w:r/>
    </w:p>
    <w:p>
      <w:pPr>
        <w:pStyle w:val="892"/>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②本项目要求供应商进行合同分包，中小企业合同金额应当达到的比例为%。</w:t>
      </w:r>
      <w:r/>
    </w:p>
    <w:p>
      <w:pPr>
        <w:pStyle w:val="892"/>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（4）本项目为非预留份额的采购项目或采购包，执行价格扣除优惠政策，具体详见采购文件。</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3.采购人根据采购项目的特殊要求规定的特定条件：</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（1）供应商具有公路交通工程(公路安全设施分项)专业承包二级(含)以上资质</w:t>
      </w:r>
      <w:r>
        <w:rPr>
          <w:rFonts w:hint="eastAsia" w:ascii="宋体" w:hAnsi="宋体" w:cs="宋体"/>
          <w:color w:val="auto"/>
          <w:szCs w:val="21"/>
          <w:highlight w:val="none"/>
          <w:shd w:val="clear" w:color="auto" w:fill="auto"/>
        </w:rPr>
        <w:t xml:space="preserve">，</w:t>
      </w:r>
      <w:r>
        <w:rPr>
          <w:rFonts w:hint="eastAsia" w:ascii="宋体" w:hAnsi="宋体" w:cs="宋体"/>
          <w:color w:val="auto"/>
          <w:szCs w:val="21"/>
          <w:highlight w:val="none"/>
          <w:shd w:val="clear" w:color="auto" w:fill="auto"/>
        </w:rPr>
        <w:t xml:space="preserve">并具备有效的安全生产许可证(提供有效的证书扫描件)</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（2）项目负责人具有注册建造师公路工程二级(含)以上资质，并具备有效的 B 类安全生产考核证（提供有效的证书扫描件并提供投标人为其缴纳的</w:t>
      </w:r>
      <w:r>
        <w:rPr>
          <w:rFonts w:hint="eastAsia" w:ascii="宋体" w:hAnsi="宋体" w:eastAsia="宋体" w:cs="宋体"/>
          <w:color w:val="auto"/>
          <w:szCs w:val="21"/>
          <w:highlight w:val="none"/>
          <w:shd w:val="clear" w:color="auto" w:fill="auto"/>
          <w:lang w:val="en-US" w:eastAsia="zh-CN"/>
        </w:rPr>
        <w:t xml:space="preserve">近</w:t>
      </w:r>
      <w:r>
        <w:rPr>
          <w:rFonts w:hint="eastAsia" w:ascii="宋体" w:hAnsi="宋体" w:cs="宋体"/>
          <w:color w:val="auto"/>
          <w:szCs w:val="21"/>
          <w:highlight w:val="none"/>
          <w:shd w:val="clear" w:color="auto" w:fill="auto"/>
        </w:rPr>
        <w:t xml:space="preserve">半年</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2025年8月至2026年1月</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任意一个月</w:t>
      </w:r>
      <w:r>
        <w:rPr>
          <w:rFonts w:hint="eastAsia" w:ascii="宋体" w:hAnsi="宋体" w:cs="宋体"/>
          <w:color w:val="auto"/>
          <w:szCs w:val="21"/>
          <w:highlight w:val="none"/>
          <w:shd w:val="clear" w:color="auto" w:fill="auto"/>
        </w:rPr>
        <w:t xml:space="preserve">的社保证明</w:t>
      </w:r>
      <w:r>
        <w:rPr>
          <w:rFonts w:hint="eastAsia" w:ascii="宋体" w:hAnsi="宋体" w:eastAsia="宋体" w:cs="宋体"/>
          <w:color w:val="auto"/>
          <w:szCs w:val="21"/>
          <w:highlight w:val="none"/>
          <w:shd w:val="clear" w:color="auto" w:fill="auto"/>
          <w:lang w:val="en-US" w:eastAsia="zh-CN"/>
        </w:rPr>
        <w:t xml:space="preserve">材料扫描件</w:t>
      </w:r>
      <w:r>
        <w:rPr>
          <w:rFonts w:hint="eastAsia" w:ascii="宋体" w:hAnsi="宋体" w:cs="宋体"/>
          <w:color w:val="auto"/>
          <w:szCs w:val="21"/>
          <w:highlight w:val="none"/>
          <w:shd w:val="clear" w:color="auto" w:fill="auto"/>
        </w:rPr>
        <w:t xml:space="preserve">）</w:t>
      </w:r>
      <w:r/>
    </w:p>
    <w:p>
      <w:pPr>
        <w:ind w:left="420"/>
        <w:spacing w:line="360" w:lineRule="auto"/>
        <w:shd w:val="clear" w:color="auto" w:fill="ffffff"/>
        <w:widowControl/>
        <w:rPr>
          <w:rFonts w:hint="eastAsia" w:ascii="宋体" w:hAnsi="宋体" w:eastAsia="宋体" w:cs="宋体"/>
          <w:b/>
          <w:bCs/>
          <w:color w:val="auto"/>
          <w:szCs w:val="21"/>
          <w:lang w:val="zh-CN"/>
        </w:rPr>
        <w:outlineLvl w:val="1"/>
      </w:pPr>
      <w:r/>
      <w:bookmarkStart w:id="8" w:name="_Toc20665"/>
      <w:r>
        <w:rPr>
          <w:rFonts w:hint="eastAsia" w:ascii="宋体" w:hAnsi="宋体" w:eastAsia="宋体" w:cs="宋体"/>
          <w:b/>
          <w:bCs/>
          <w:color w:val="auto"/>
          <w:szCs w:val="21"/>
        </w:rPr>
        <w:t xml:space="preserve">三、</w:t>
      </w:r>
      <w:r>
        <w:rPr>
          <w:rFonts w:hint="eastAsia" w:ascii="宋体" w:hAnsi="宋体" w:eastAsia="宋体" w:cs="宋体"/>
          <w:b/>
          <w:bCs/>
          <w:color w:val="auto"/>
          <w:szCs w:val="21"/>
          <w:lang w:val="zh-CN"/>
        </w:rPr>
        <w:t xml:space="preserve">获取</w:t>
      </w:r>
      <w:r>
        <w:rPr>
          <w:rFonts w:hint="eastAsia" w:ascii="宋体" w:hAnsi="宋体" w:eastAsia="宋体" w:cs="宋体"/>
          <w:b/>
          <w:bCs/>
          <w:color w:val="auto"/>
          <w:szCs w:val="21"/>
        </w:rPr>
        <w:t xml:space="preserve">招标</w:t>
      </w:r>
      <w:r>
        <w:rPr>
          <w:rFonts w:hint="eastAsia" w:ascii="宋体" w:hAnsi="宋体" w:eastAsia="宋体" w:cs="宋体"/>
          <w:b/>
          <w:bCs/>
          <w:color w:val="auto"/>
          <w:szCs w:val="21"/>
          <w:lang w:val="zh-CN"/>
        </w:rPr>
        <w:t xml:space="preserve">文件</w:t>
      </w:r>
      <w:bookmarkEnd w:id="8"/>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时间：自招标文件公告发布之日起5个工作日</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地点：“江苏政府采购网、南京公共采购信息网”自行免费下载</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售价：0.00元。</w:t>
      </w:r>
      <w:r/>
    </w:p>
    <w:p>
      <w:pPr>
        <w:ind w:firstLine="422"/>
        <w:jc w:val="left"/>
        <w:spacing w:line="360" w:lineRule="auto"/>
        <w:shd w:val="clear" w:color="auto" w:fill="ffffff"/>
        <w:widowControl/>
        <w:tabs>
          <w:tab w:val="left" w:pos="6164" w:leader="none"/>
        </w:tabs>
        <w:rPr>
          <w:rFonts w:hint="eastAsia" w:ascii="宋体" w:hAnsi="宋体" w:eastAsia="宋体" w:cs="宋体"/>
          <w:b/>
          <w:bCs/>
          <w:color w:val="auto"/>
          <w:szCs w:val="21"/>
        </w:rPr>
        <w:outlineLvl w:val="1"/>
      </w:pPr>
      <w:r/>
      <w:bookmarkStart w:id="9" w:name="_Toc223"/>
      <w:r>
        <w:rPr>
          <w:rFonts w:hint="eastAsia" w:ascii="宋体" w:hAnsi="宋体" w:eastAsia="宋体" w:cs="宋体"/>
          <w:b/>
          <w:bCs/>
          <w:color w:val="auto"/>
          <w:szCs w:val="21"/>
        </w:rPr>
        <w:t xml:space="preserve">四、响应文件提交</w:t>
      </w:r>
      <w:bookmarkEnd w:id="9"/>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截止时间：202</w:t>
      </w:r>
      <w:r>
        <w:rPr>
          <w:rFonts w:hint="eastAsia" w:ascii="宋体" w:hAnsi="宋体" w:eastAsia="宋体" w:cs="宋体"/>
          <w:color w:val="auto"/>
          <w:szCs w:val="21"/>
          <w:lang w:val="en-US" w:eastAsia="zh-CN"/>
        </w:rPr>
        <w:t xml:space="preserve">6</w:t>
      </w:r>
      <w:r>
        <w:rPr>
          <w:rFonts w:hint="eastAsia" w:ascii="宋体" w:hAnsi="宋体" w:eastAsia="宋体" w:cs="宋体"/>
          <w:color w:val="auto"/>
          <w:szCs w:val="21"/>
        </w:rPr>
        <w:t xml:space="preserve">年</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月</w:t>
      </w:r>
      <w:r>
        <w:rPr>
          <w:rFonts w:hint="eastAsia" w:ascii="宋体" w:hAnsi="宋体" w:eastAsia="宋体" w:cs="宋体"/>
          <w:color w:val="auto"/>
          <w:szCs w:val="21"/>
          <w:lang w:val="en-US" w:eastAsia="zh-CN"/>
        </w:rPr>
        <w:t xml:space="preserve">25</w:t>
      </w:r>
      <w:r>
        <w:rPr>
          <w:rFonts w:hint="eastAsia" w:ascii="宋体" w:hAnsi="宋体" w:eastAsia="宋体" w:cs="宋体"/>
          <w:color w:val="auto"/>
          <w:szCs w:val="21"/>
        </w:rPr>
        <w:t xml:space="preserve">日</w:t>
      </w:r>
      <w:r>
        <w:rPr>
          <w:rFonts w:hint="eastAsia" w:ascii="宋体" w:hAnsi="宋体" w:eastAsia="宋体" w:cs="宋体"/>
          <w:color w:val="auto"/>
          <w:szCs w:val="21"/>
          <w:lang w:val="en-US" w:eastAsia="zh-CN"/>
        </w:rPr>
        <w:t xml:space="preserve">14</w:t>
      </w:r>
      <w:r>
        <w:rPr>
          <w:rFonts w:hint="eastAsia" w:ascii="宋体" w:hAnsi="宋体" w:eastAsia="宋体" w:cs="宋体"/>
          <w:color w:val="auto"/>
          <w:szCs w:val="21"/>
        </w:rPr>
        <w:t xml:space="preserve">时</w:t>
      </w:r>
      <w:r>
        <w:rPr>
          <w:rFonts w:hint="eastAsia" w:ascii="宋体" w:hAnsi="宋体" w:eastAsia="宋体" w:cs="宋体"/>
          <w:color w:val="auto"/>
          <w:szCs w:val="21"/>
          <w:lang w:val="en-US" w:eastAsia="zh-CN"/>
        </w:rPr>
        <w:t xml:space="preserve">0</w:t>
      </w:r>
      <w:r>
        <w:rPr>
          <w:rFonts w:hint="eastAsia" w:ascii="宋体" w:hAnsi="宋体" w:eastAsia="宋体" w:cs="宋体"/>
          <w:color w:val="auto"/>
          <w:szCs w:val="21"/>
        </w:rPr>
        <w:t xml:space="preserve">0分（北京时间）</w:t>
      </w:r>
      <w:r/>
    </w:p>
    <w:p>
      <w:pPr>
        <w:ind w:firstLine="420"/>
        <w:spacing w:line="360" w:lineRule="auto"/>
        <w:rPr>
          <w:rFonts w:hint="eastAsia" w:ascii="宋体" w:hAnsi="宋体" w:eastAsia="宋体" w:cs="宋体"/>
          <w:b/>
          <w:bCs/>
          <w:color w:val="auto"/>
          <w:szCs w:val="21"/>
        </w:rPr>
      </w:pPr>
      <w:r>
        <w:rPr>
          <w:rFonts w:hint="eastAsia" w:ascii="宋体" w:hAnsi="宋体" w:eastAsia="宋体" w:cs="宋体"/>
          <w:color w:val="auto"/>
          <w:szCs w:val="21"/>
        </w:rPr>
        <w:t xml:space="preserve">地点：江苏省政府采购交易系统（以下简称“苏采云系统”）网上开标大厅</w:t>
      </w:r>
      <w:r/>
    </w:p>
    <w:p>
      <w:pPr>
        <w:numPr>
          <w:ilvl w:val="0"/>
          <w:numId w:val="2"/>
        </w:numPr>
        <w:ind w:firstLine="422"/>
        <w:jc w:val="left"/>
        <w:spacing w:line="360" w:lineRule="auto"/>
        <w:shd w:val="clear" w:color="auto" w:fill="ffffff"/>
        <w:widowControl/>
        <w:rPr>
          <w:rFonts w:hint="eastAsia" w:ascii="宋体" w:hAnsi="宋体" w:eastAsia="宋体" w:cs="宋体"/>
          <w:b/>
          <w:bCs/>
          <w:color w:val="auto"/>
          <w:szCs w:val="21"/>
        </w:rPr>
        <w:outlineLvl w:val="1"/>
      </w:pPr>
      <w:r/>
      <w:bookmarkStart w:id="10" w:name="_Toc18025"/>
      <w:r>
        <w:rPr>
          <w:rFonts w:hint="eastAsia" w:ascii="宋体" w:hAnsi="宋体" w:eastAsia="宋体" w:cs="宋体"/>
          <w:b/>
          <w:bCs/>
          <w:color w:val="auto"/>
          <w:szCs w:val="21"/>
        </w:rPr>
        <w:t xml:space="preserve">公告期限</w:t>
      </w:r>
      <w:bookmarkEnd w:id="10"/>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自本公告发布之日起5个工作日</w:t>
      </w:r>
      <w:r/>
    </w:p>
    <w:p>
      <w:pPr>
        <w:ind w:firstLine="422"/>
        <w:spacing w:line="360" w:lineRule="auto"/>
        <w:rPr>
          <w:rFonts w:hint="eastAsia" w:ascii="宋体" w:hAnsi="宋体" w:eastAsia="宋体" w:cs="宋体"/>
          <w:b/>
          <w:bCs/>
          <w:color w:val="auto"/>
          <w:szCs w:val="21"/>
        </w:rPr>
        <w:outlineLvl w:val="1"/>
      </w:pPr>
      <w:r/>
      <w:bookmarkStart w:id="11" w:name="_Toc20873"/>
      <w:r>
        <w:rPr>
          <w:rFonts w:hint="eastAsia" w:ascii="宋体" w:hAnsi="宋体" w:eastAsia="宋体" w:cs="宋体"/>
          <w:b/>
          <w:bCs/>
          <w:color w:val="auto"/>
          <w:szCs w:val="21"/>
        </w:rPr>
        <w:t xml:space="preserve">六、其他补充事宜</w:t>
      </w:r>
      <w:bookmarkEnd w:id="11"/>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1.拒绝下述投标人参加本次</w:t>
      </w:r>
      <w:r>
        <w:rPr>
          <w:rFonts w:hint="eastAsia" w:ascii="宋体" w:hAnsi="宋体" w:eastAsia="宋体" w:cs="宋体"/>
          <w:color w:val="auto"/>
          <w:szCs w:val="21"/>
        </w:rPr>
        <w:t xml:space="preserve">采购</w:t>
      </w:r>
      <w:r>
        <w:rPr>
          <w:rFonts w:hint="eastAsia" w:ascii="宋体" w:hAnsi="宋体" w:eastAsia="宋体" w:cs="宋体"/>
          <w:bCs/>
          <w:color w:val="auto"/>
          <w:szCs w:val="21"/>
        </w:rPr>
        <w:t xml:space="preserve">活动：</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（2）除单一来源采购项目外，为采购项目提供整体设计、规范编制或者项目管理、监理、检测等服务的供应商，不得再参加该采购项目的其他采购活动。</w:t>
      </w:r>
      <w:r/>
    </w:p>
    <w:p>
      <w:pPr>
        <w:pStyle w:val="935"/>
        <w:ind w:firstLine="420"/>
        <w:spacing w:before="75" w:beforeAutospacing="0" w:after="75"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（3）供应商被“信用中国”网站、“中国政府采购”列入失信被执行人、重大税收违法失信主体、政府采购严重违法失信行为记录名单。</w:t>
      </w:r>
      <w:r/>
    </w:p>
    <w:p>
      <w:pPr>
        <w:ind w:firstLine="48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2.根据《南京市政府采购供应商信用管理工作暂行办法》（宁财规[2018]10号）有关规定，</w:t>
      </w:r>
      <w:r>
        <w:rPr>
          <w:rFonts w:hint="eastAsia" w:ascii="宋体" w:hAnsi="宋体" w:eastAsia="宋体" w:cs="宋体"/>
          <w:bCs/>
          <w:color w:val="auto"/>
          <w:szCs w:val="21"/>
        </w:rPr>
        <w:t xml:space="preserve">凡在南京地区参加政府采购活动的供应商，应当事先登陆“信用南京”或“南京公共采购信息网”主页“政府采购供应商诚信档案”栏目进行注册登记。由于特殊原因未及时注册的供应商可先行获取采购文件，但必须在提交响应文件截止日2天前办理登记注册手续。供应商参加本次政府采购活动时，在采购文件发布之日起至递交磋商文件截止日前，应先登录“信用南京”在线打印其“南京市政府采购供应商信用记录表暨信用承诺书”，经法定代表人签名盖章后作为投标文件的组成部分，“南京市政府采购供应商信用记录表暨信用承诺书”是参加本次政府采购活动的必备材料。</w:t>
      </w:r>
      <w:r/>
    </w:p>
    <w:p>
      <w:pPr>
        <w:ind w:firstLine="48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3.信用承诺制</w:t>
      </w:r>
      <w:r/>
    </w:p>
    <w:p>
      <w:pPr>
        <w:ind w:firstLine="48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根据《关于在政府采购活动中推行信用承诺制的通知》（宁财购通[2021]5号）的规定，本项目采购公告“满足《中华人民共和国政府采购法》第二十二条规定”中涉及的证明材料，供应商可以在投标文件中一次性提交，也可以在投标文件中提供满足相应条件的书面承诺书，不再需要提供以下证明材料：</w:t>
      </w:r>
      <w:r/>
    </w:p>
    <w:p>
      <w:pPr>
        <w:ind w:firstLine="48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（1）符合国家相关规定的财务状况报告；</w:t>
      </w:r>
      <w:r/>
    </w:p>
    <w:p>
      <w:pPr>
        <w:ind w:firstLine="48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（2）依法缴纳税收的证明材料；</w:t>
      </w:r>
      <w:r/>
    </w:p>
    <w:p>
      <w:pPr>
        <w:ind w:firstLine="48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（3）依法缴纳社会保障资金的证明材料；</w:t>
      </w:r>
      <w:r/>
    </w:p>
    <w:p>
      <w:pPr>
        <w:ind w:firstLine="48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（4）具备履行政府采购合同所必需的设备和专业技术能力的证明材料；</w:t>
      </w:r>
      <w:r/>
    </w:p>
    <w:p>
      <w:pPr>
        <w:ind w:firstLine="48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（5）参加政府采购活动前三年内在经营活动中没有重大违法记录的证明材料；</w:t>
      </w:r>
      <w:r/>
    </w:p>
    <w:p>
      <w:pPr>
        <w:ind w:firstLine="48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（6）未被列入失信被执行人、重大税收违法失信主体、政府采购严重违法失信行为记录名单的证明材料。</w:t>
      </w:r>
      <w:r/>
    </w:p>
    <w:p>
      <w:pPr>
        <w:ind w:firstLine="48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供应商投标文件中仅提供信用承诺书而未提供涉及的证明材料的，须在成交后，另行提供上述由信用承诺书替代的证明材料，材料须加盖公章并胶装提交采购人或采购代理机构核验。经核验无误后，由采购人或采购代理机构发出成交通知书。</w:t>
      </w:r>
      <w:r/>
    </w:p>
    <w:p>
      <w:pPr>
        <w:ind w:firstLine="48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供应商涉及以下情形的，不适用信用承诺，仍须提供上述证明材料：</w:t>
      </w:r>
      <w:r/>
    </w:p>
    <w:p>
      <w:pPr>
        <w:ind w:firstLine="48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（1）供应商被列入严重失信主体名单；</w:t>
      </w:r>
      <w:r/>
    </w:p>
    <w:p>
      <w:pPr>
        <w:ind w:firstLine="48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（2）被相关监管部门作出行政处罚且尚在处罚有效期内；</w:t>
      </w:r>
      <w:r/>
    </w:p>
    <w:p>
      <w:pPr>
        <w:ind w:firstLine="48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（3）其他法律、行政法规规定的不适用信用承诺的情形。</w:t>
      </w:r>
      <w:r/>
    </w:p>
    <w:p>
      <w:pPr>
        <w:ind w:firstLine="48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供应商对信用承诺内容的真实性、合法性、有效性负责。如作出虚假信用承诺，视同为“提供虚假材料谋取中标、成交”的违法行为。</w:t>
      </w:r>
      <w:r/>
    </w:p>
    <w:p>
      <w:pPr>
        <w:ind w:firstLine="480"/>
        <w:spacing w:line="360" w:lineRule="auto"/>
        <w:rPr>
          <w:rFonts w:hint="eastAsia" w:ascii="宋体" w:hAnsi="宋体" w:eastAsia="宋体" w:cs="宋体"/>
          <w:color w:val="auto"/>
          <w:szCs w:val="21"/>
        </w:rPr>
      </w:pPr>
      <w:r>
        <w:rPr>
          <w:rFonts w:hint="eastAsia" w:ascii="宋体" w:hAnsi="宋体" w:eastAsia="宋体" w:cs="宋体"/>
          <w:bCs/>
          <w:color w:val="auto"/>
          <w:szCs w:val="21"/>
        </w:rPr>
        <w:t xml:space="preserve">4.</w:t>
      </w:r>
      <w:r>
        <w:rPr>
          <w:rFonts w:hint="eastAsia" w:ascii="宋体" w:hAnsi="宋体" w:eastAsia="宋体" w:cs="宋体"/>
          <w:color w:val="auto"/>
          <w:szCs w:val="21"/>
        </w:rPr>
        <w:t xml:space="preserve">本次采购采用“政府采购管理交易系统（苏采云）”，招标、投标、评标和中标结果发布全程电子化，开标方式为不见面开标。供应商通过苏采云系统参与本项目，需要办理江苏省政府采购数字证书CA及电子签章，具体详见苏采云系统登录页“CA办理指南”。供应商按《苏采云系统供应商操作手册》（以下简称“操作手册”）进行注册，并在规定时间内上传电子响应文件。如供应商未按要求操作，由此所产生的风险由供应商自行承担。</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5.本次采购公告在江苏政府采购网和南京公共采购信息网上发布,有关本次采购的事项若存在变动或修改，敬请及时关注发布的信息更正公告，如未及时关注导致投标有误的，其责任由投标人自行承担。</w:t>
      </w:r>
      <w:r/>
    </w:p>
    <w:p>
      <w:pPr>
        <w:ind w:firstLine="422"/>
        <w:spacing w:line="360" w:lineRule="auto"/>
        <w:shd w:val="clear" w:color="auto" w:fill="ffffff"/>
        <w:widowControl/>
        <w:rPr>
          <w:rFonts w:hint="eastAsia" w:ascii="宋体" w:hAnsi="宋体" w:eastAsia="宋体" w:cs="宋体"/>
          <w:b/>
          <w:bCs/>
          <w:color w:val="auto"/>
          <w:szCs w:val="21"/>
        </w:rPr>
        <w:outlineLvl w:val="1"/>
      </w:pPr>
      <w:r/>
      <w:bookmarkStart w:id="12" w:name="_Toc17377"/>
      <w:r>
        <w:rPr>
          <w:rFonts w:hint="eastAsia" w:ascii="宋体" w:hAnsi="宋体" w:eastAsia="宋体" w:cs="宋体"/>
          <w:b/>
          <w:bCs/>
          <w:color w:val="auto"/>
          <w:szCs w:val="21"/>
        </w:rPr>
        <w:t xml:space="preserve">七、对本次招标提出询问，请按以下方式联系</w:t>
      </w:r>
      <w:bookmarkEnd w:id="12"/>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rPr>
      </w:pPr>
      <w:r/>
      <w:bookmarkStart w:id="13" w:name="_Hlk140851154"/>
      <w:r>
        <w:rPr>
          <w:rFonts w:hint="eastAsia" w:ascii="宋体" w:hAnsi="宋体" w:eastAsia="宋体" w:cs="宋体"/>
          <w:color w:val="auto"/>
          <w:szCs w:val="21"/>
        </w:rPr>
        <w:t xml:space="preserve">1.采购人信息</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rPr>
      </w:pPr>
      <w:r>
        <w:rPr>
          <w:rFonts w:hint="eastAsia" w:ascii="宋体" w:hAnsi="宋体" w:eastAsia="宋体" w:cs="宋体"/>
          <w:color w:val="auto"/>
          <w:szCs w:val="21"/>
        </w:rPr>
        <w:t xml:space="preserve">名称：南京市江宁区城市管理局</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rPr>
      </w:pPr>
      <w:r>
        <w:rPr>
          <w:rFonts w:hint="eastAsia" w:ascii="宋体" w:hAnsi="宋体" w:eastAsia="宋体" w:cs="宋体"/>
          <w:color w:val="auto"/>
          <w:szCs w:val="21"/>
        </w:rPr>
        <w:t xml:space="preserve">地址：南京市江宁区</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rPr>
      </w:pPr>
      <w:r>
        <w:rPr>
          <w:rFonts w:hint="eastAsia" w:ascii="宋体" w:hAnsi="宋体" w:eastAsia="宋体" w:cs="宋体"/>
          <w:color w:val="auto"/>
          <w:szCs w:val="21"/>
        </w:rPr>
        <w:t xml:space="preserve">联系方式：025-51190810</w:t>
      </w:r>
      <w:bookmarkEnd w:id="13"/>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rPr>
      </w:pPr>
      <w:r>
        <w:rPr>
          <w:rFonts w:hint="eastAsia" w:ascii="宋体" w:hAnsi="宋体" w:eastAsia="宋体" w:cs="宋体"/>
          <w:color w:val="auto"/>
          <w:szCs w:val="21"/>
        </w:rPr>
        <w:t xml:space="preserve">2.采购代理机构信息</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rPr>
      </w:pPr>
      <w:r>
        <w:rPr>
          <w:rFonts w:hint="eastAsia" w:ascii="宋体" w:hAnsi="宋体" w:eastAsia="宋体" w:cs="宋体"/>
          <w:color w:val="auto"/>
          <w:szCs w:val="21"/>
        </w:rPr>
        <w:t xml:space="preserve">名称：南京凯信达项目管理咨询有限公司</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rPr>
      </w:pPr>
      <w:r>
        <w:rPr>
          <w:rFonts w:hint="eastAsia" w:ascii="宋体" w:hAnsi="宋体" w:eastAsia="宋体" w:cs="宋体"/>
          <w:color w:val="auto"/>
          <w:szCs w:val="21"/>
        </w:rPr>
        <w:t xml:space="preserve">地址：南京市江宁区淳化街道印湖路39号印湖山庄商业街1-114</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rPr>
      </w:pPr>
      <w:r>
        <w:rPr>
          <w:rFonts w:hint="eastAsia" w:ascii="宋体" w:hAnsi="宋体" w:eastAsia="宋体" w:cs="宋体"/>
          <w:color w:val="auto"/>
          <w:szCs w:val="21"/>
        </w:rPr>
        <w:t xml:space="preserve">联系方式：025-52655958</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rPr>
      </w:pPr>
      <w:r>
        <w:rPr>
          <w:rFonts w:hint="eastAsia" w:ascii="宋体" w:hAnsi="宋体" w:eastAsia="宋体" w:cs="宋体"/>
          <w:color w:val="auto"/>
          <w:szCs w:val="21"/>
        </w:rPr>
        <w:t xml:space="preserve">3.项目联系方式</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rPr>
      </w:pPr>
      <w:r>
        <w:rPr>
          <w:rFonts w:hint="eastAsia" w:ascii="宋体" w:hAnsi="宋体" w:eastAsia="宋体" w:cs="宋体"/>
          <w:color w:val="auto"/>
          <w:szCs w:val="21"/>
        </w:rPr>
        <w:t xml:space="preserve">项目联系人：刘工</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rPr>
      </w:pPr>
      <w:r>
        <w:rPr>
          <w:rFonts w:hint="eastAsia" w:ascii="宋体" w:hAnsi="宋体" w:eastAsia="宋体" w:cs="宋体"/>
          <w:color w:val="auto"/>
          <w:szCs w:val="21"/>
        </w:rPr>
        <w:t xml:space="preserve">电话：025-52655958</w:t>
      </w:r>
      <w:r>
        <w:rPr>
          <w:rFonts w:hint="eastAsia" w:ascii="宋体" w:hAnsi="宋体" w:eastAsia="宋体" w:cs="宋体"/>
          <w:color w:val="auto"/>
        </w:rPr>
        <w:br w:type="page" w:clear="all"/>
      </w:r>
      <w:r/>
    </w:p>
    <w:p>
      <w:pPr>
        <w:pStyle w:val="939"/>
        <w:ind w:firstLine="210"/>
        <w:rPr>
          <w:rFonts w:hint="eastAsia" w:ascii="宋体" w:hAnsi="宋体" w:eastAsia="宋体" w:cs="宋体"/>
          <w:color w:val="auto"/>
          <w:lang w:eastAsia="zh-CN"/>
        </w:rPr>
      </w:pPr>
      <w:r>
        <w:rPr>
          <w:rFonts w:hint="eastAsia" w:ascii="宋体" w:hAnsi="宋体" w:eastAsia="宋体" w:cs="宋体"/>
          <w:color w:val="auto"/>
          <w:lang w:eastAsia="zh-CN"/>
        </w:rPr>
      </w:r>
      <w:r/>
    </w:p>
    <w:p>
      <w:pPr>
        <w:pStyle w:val="954"/>
        <w:numPr>
          <w:ilvl w:val="0"/>
          <w:numId w:val="1"/>
        </w:numPr>
        <w:ind w:left="737" w:hanging="737"/>
        <w:jc w:val="center"/>
        <w:spacing w:line="360" w:lineRule="auto"/>
        <w:rPr>
          <w:rFonts w:hint="eastAsia" w:ascii="宋体" w:hAnsi="宋体" w:eastAsia="宋体" w:cs="宋体"/>
          <w:b/>
          <w:color w:val="auto"/>
          <w:sz w:val="32"/>
          <w:szCs w:val="32"/>
        </w:rPr>
        <w:outlineLvl w:val="0"/>
      </w:pPr>
      <w:r/>
      <w:bookmarkStart w:id="14" w:name="_Toc31968"/>
      <w:r>
        <w:rPr>
          <w:rFonts w:hint="eastAsia" w:ascii="宋体" w:hAnsi="宋体" w:eastAsia="宋体" w:cs="宋体"/>
          <w:b/>
          <w:color w:val="auto"/>
          <w:sz w:val="32"/>
          <w:szCs w:val="32"/>
        </w:rPr>
        <w:t xml:space="preserve">投标人须知</w:t>
      </w:r>
      <w:bookmarkEnd w:id="14"/>
      <w:r/>
      <w:r/>
    </w:p>
    <w:p>
      <w:pPr>
        <w:jc w:val="center"/>
        <w:rPr>
          <w:rFonts w:hint="eastAsia" w:ascii="宋体" w:hAnsi="宋体" w:eastAsia="宋体" w:cs="宋体"/>
          <w:b/>
          <w:color w:val="auto"/>
          <w:szCs w:val="28"/>
          <w:lang w:val="zh-CN"/>
        </w:rPr>
      </w:pPr>
      <w:r>
        <w:rPr>
          <w:rFonts w:hint="eastAsia" w:ascii="宋体" w:hAnsi="宋体" w:eastAsia="宋体" w:cs="宋体"/>
          <w:b/>
          <w:color w:val="auto"/>
          <w:szCs w:val="28"/>
          <w:lang w:val="zh-CN"/>
        </w:rPr>
        <w:t xml:space="preserve">前附表</w:t>
      </w:r>
      <w:r/>
    </w:p>
    <w:tbl>
      <w:tblPr>
        <w:tblStyle w:val="890"/>
        <w:tblW w:w="95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092"/>
        <w:gridCol w:w="1110"/>
        <w:gridCol w:w="1245"/>
        <w:gridCol w:w="5386"/>
      </w:tblGrid>
      <w:tr>
        <w:trPr>
          <w:jc w:val="center"/>
        </w:trPr>
        <w:tc>
          <w:tcPr>
            <w:tcW w:w="704"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序号</w:t>
            </w:r>
            <w:r/>
          </w:p>
        </w:tc>
        <w:tc>
          <w:tcPr>
            <w:gridSpan w:val="2"/>
            <w:tcW w:w="2202"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项目</w:t>
            </w:r>
            <w:r/>
          </w:p>
        </w:tc>
        <w:tc>
          <w:tcPr>
            <w:gridSpan w:val="2"/>
            <w:tcW w:w="6631"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内容</w:t>
            </w:r>
            <w:r/>
          </w:p>
        </w:tc>
      </w:tr>
      <w:tr>
        <w:trPr>
          <w:jc w:val="center"/>
        </w:trPr>
        <w:tc>
          <w:tcPr>
            <w:tcW w:w="704"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1</w:t>
            </w:r>
            <w:r/>
          </w:p>
        </w:tc>
        <w:tc>
          <w:tcPr>
            <w:gridSpan w:val="2"/>
            <w:tcW w:w="2202"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项目编号</w:t>
            </w:r>
            <w:r/>
          </w:p>
        </w:tc>
        <w:tc>
          <w:tcPr>
            <w:gridSpan w:val="2"/>
            <w:tcW w:w="6631"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Cs w:val="21"/>
                <w:u w:val="single"/>
                <w:lang w:eastAsia="zh-CN" w:bidi="zh-CN"/>
              </w:rPr>
            </w:pPr>
            <w:r>
              <w:rPr>
                <w:rFonts w:hint="eastAsia" w:ascii="宋体" w:hAnsi="宋体" w:eastAsia="宋体" w:cs="宋体"/>
                <w:color w:val="auto"/>
                <w:szCs w:val="21"/>
                <w:lang w:eastAsia="zh-CN"/>
              </w:rPr>
              <w:t xml:space="preserve">JSZC-320115-KXDA-G2026-0001</w:t>
            </w:r>
            <w:r/>
          </w:p>
        </w:tc>
      </w:tr>
      <w:tr>
        <w:trPr>
          <w:jc w:val="center"/>
        </w:trPr>
        <w:tc>
          <w:tcPr>
            <w:tcW w:w="704"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2</w:t>
            </w:r>
            <w:r/>
          </w:p>
        </w:tc>
        <w:tc>
          <w:tcPr>
            <w:gridSpan w:val="2"/>
            <w:tcW w:w="2202"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项目名称</w:t>
            </w:r>
            <w:r/>
          </w:p>
        </w:tc>
        <w:tc>
          <w:tcPr>
            <w:gridSpan w:val="2"/>
            <w:tcW w:w="6631"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Cs w:val="21"/>
                <w:lang w:eastAsia="zh-CN"/>
              </w:rPr>
            </w:pPr>
            <w:r>
              <w:rPr>
                <w:rFonts w:hint="eastAsia" w:ascii="宋体" w:hAnsi="宋体" w:eastAsia="宋体" w:cs="宋体"/>
                <w:color w:val="auto"/>
                <w:szCs w:val="21"/>
                <w:lang w:eastAsia="zh-CN"/>
              </w:rPr>
              <w:t xml:space="preserve">江宁区东山城区交通设施养护服务</w:t>
            </w:r>
            <w:r/>
          </w:p>
        </w:tc>
      </w:tr>
      <w:tr>
        <w:trPr>
          <w:jc w:val="center"/>
        </w:trPr>
        <w:tc>
          <w:tcPr>
            <w:tcW w:w="704"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3</w:t>
            </w:r>
            <w:r/>
          </w:p>
        </w:tc>
        <w:tc>
          <w:tcPr>
            <w:gridSpan w:val="2"/>
            <w:tcW w:w="2202"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招标代理机构</w:t>
            </w:r>
            <w:r/>
          </w:p>
        </w:tc>
        <w:tc>
          <w:tcPr>
            <w:gridSpan w:val="2"/>
            <w:tcW w:w="6631"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南京凯信达项目管理咨询有限公司</w:t>
            </w:r>
            <w:r/>
          </w:p>
        </w:tc>
      </w:tr>
      <w:tr>
        <w:trPr>
          <w:jc w:val="center"/>
        </w:trPr>
        <w:tc>
          <w:tcPr>
            <w:tcW w:w="704"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4</w:t>
            </w:r>
            <w:r/>
          </w:p>
        </w:tc>
        <w:tc>
          <w:tcPr>
            <w:gridSpan w:val="2"/>
            <w:tcW w:w="2202" w:type="dxa"/>
            <w:vAlign w:val="center"/>
            <w:textDirection w:val="lrTb"/>
            <w:noWrap w:val="false"/>
          </w:tcPr>
          <w:p>
            <w:pPr>
              <w:jc w:val="center"/>
              <w:keepLines w:val="0"/>
              <w:keepNext w:val="0"/>
              <w:pageBreakBefore w:val="0"/>
              <w:spacing w:before="181"/>
              <w:rPr>
                <w:rFonts w:hint="eastAsia" w:ascii="宋体" w:hAnsi="宋体" w:eastAsia="宋体" w:cs="宋体"/>
                <w:bCs/>
                <w:color w:val="auto"/>
                <w:szCs w:val="21"/>
              </w:rPr>
            </w:pPr>
            <w:r>
              <w:rPr>
                <w:rFonts w:hint="eastAsia" w:ascii="宋体" w:hAnsi="宋体" w:eastAsia="宋体" w:cs="宋体"/>
                <w:bCs/>
                <w:color w:val="auto"/>
                <w:szCs w:val="21"/>
              </w:rPr>
              <w:t xml:space="preserve">招标代理机构地址</w:t>
            </w:r>
            <w:r/>
          </w:p>
        </w:tc>
        <w:tc>
          <w:tcPr>
            <w:gridSpan w:val="2"/>
            <w:tcW w:w="6631"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南京市江宁区淳化街道印湖路39号印湖山庄商业街1栋114室</w:t>
            </w:r>
            <w:r/>
          </w:p>
        </w:tc>
      </w:tr>
      <w:tr>
        <w:trPr>
          <w:jc w:val="center"/>
        </w:trPr>
        <w:tc>
          <w:tcPr>
            <w:tcW w:w="704"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7</w:t>
            </w:r>
            <w:r/>
          </w:p>
        </w:tc>
        <w:tc>
          <w:tcPr>
            <w:gridSpan w:val="2"/>
            <w:tcW w:w="2202"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项目限价</w:t>
            </w:r>
            <w:r/>
          </w:p>
        </w:tc>
        <w:tc>
          <w:tcPr>
            <w:gridSpan w:val="2"/>
            <w:tcW w:w="6631"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rPr>
              <w:t xml:space="preserve">万元（其中交通设施日常管养</w:t>
            </w:r>
            <w:r>
              <w:rPr>
                <w:rFonts w:hint="eastAsia" w:ascii="宋体" w:hAnsi="宋体" w:eastAsia="宋体" w:cs="宋体"/>
                <w:color w:val="auto"/>
                <w:szCs w:val="21"/>
                <w:highlight w:val="none"/>
                <w:lang w:val="en-US" w:eastAsia="zh-CN"/>
              </w:rPr>
              <w:t xml:space="preserve">280</w:t>
            </w:r>
            <w:r>
              <w:rPr>
                <w:rFonts w:hint="eastAsia" w:ascii="宋体" w:hAnsi="宋体" w:eastAsia="宋体" w:cs="宋体"/>
                <w:color w:val="auto"/>
                <w:szCs w:val="21"/>
                <w:highlight w:val="none"/>
              </w:rPr>
              <w:t xml:space="preserve">万元，更新安装专项</w:t>
            </w:r>
            <w:r>
              <w:rPr>
                <w:rFonts w:hint="eastAsia" w:ascii="宋体" w:hAnsi="宋体" w:eastAsia="宋体" w:cs="宋体"/>
                <w:color w:val="auto"/>
                <w:szCs w:val="21"/>
                <w:highlight w:val="none"/>
                <w:lang w:val="en-US" w:eastAsia="zh-CN"/>
              </w:rPr>
              <w:t xml:space="preserve">70</w:t>
            </w:r>
            <w:r>
              <w:rPr>
                <w:rFonts w:hint="eastAsia" w:ascii="宋体" w:hAnsi="宋体" w:eastAsia="宋体" w:cs="宋体"/>
                <w:color w:val="auto"/>
                <w:szCs w:val="21"/>
                <w:highlight w:val="none"/>
              </w:rPr>
              <w:t xml:space="preserve">万元）</w:t>
            </w:r>
            <w:r/>
          </w:p>
        </w:tc>
      </w:tr>
      <w:tr>
        <w:trPr>
          <w:jc w:val="center"/>
        </w:trPr>
        <w:tc>
          <w:tcPr>
            <w:tcW w:w="704"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8</w:t>
            </w:r>
            <w:r/>
          </w:p>
        </w:tc>
        <w:tc>
          <w:tcPr>
            <w:gridSpan w:val="2"/>
            <w:tcW w:w="2202"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color w:val="auto"/>
                <w:szCs w:val="21"/>
              </w:rPr>
              <w:t xml:space="preserve">合同履行期限</w:t>
            </w:r>
            <w:r/>
          </w:p>
        </w:tc>
        <w:tc>
          <w:tcPr>
            <w:gridSpan w:val="2"/>
            <w:tcW w:w="6631" w:type="dxa"/>
            <w:vAlign w:val="center"/>
            <w:textDirection w:val="lrTb"/>
            <w:noWrap w:val="false"/>
          </w:tcPr>
          <w:p>
            <w:pPr>
              <w:keepLines w:val="0"/>
              <w:keepNext w:val="0"/>
              <w:pageBreakBefore w:val="0"/>
              <w:spacing w:before="181" w:line="360" w:lineRule="auto"/>
              <w:rPr>
                <w:rFonts w:hint="eastAsia" w:ascii="宋体" w:hAnsi="宋体" w:eastAsia="宋体" w:cs="宋体"/>
                <w:color w:val="auto"/>
                <w:szCs w:val="21"/>
              </w:rPr>
            </w:pPr>
            <w:r>
              <w:rPr>
                <w:rFonts w:hint="eastAsia" w:ascii="宋体" w:hAnsi="宋体" w:eastAsia="宋体" w:cs="宋体"/>
                <w:color w:val="auto"/>
                <w:szCs w:val="21"/>
              </w:rPr>
              <w:t xml:space="preserve">合同生效之日起一年。</w:t>
            </w:r>
            <w:r/>
          </w:p>
        </w:tc>
      </w:tr>
      <w:tr>
        <w:trPr>
          <w:jc w:val="center"/>
        </w:trPr>
        <w:tc>
          <w:tcPr>
            <w:tcW w:w="704"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9</w:t>
            </w:r>
            <w:r/>
          </w:p>
        </w:tc>
        <w:tc>
          <w:tcPr>
            <w:gridSpan w:val="2"/>
            <w:tcW w:w="2202"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lang w:val="zh-CN"/>
              </w:rPr>
            </w:pPr>
            <w:r>
              <w:rPr>
                <w:rFonts w:hint="eastAsia" w:ascii="宋体" w:hAnsi="宋体" w:eastAsia="宋体" w:cs="宋体"/>
                <w:bCs/>
                <w:color w:val="auto"/>
                <w:szCs w:val="21"/>
              </w:rPr>
              <w:t xml:space="preserve">投标</w:t>
            </w:r>
            <w:r>
              <w:rPr>
                <w:rFonts w:hint="eastAsia" w:ascii="宋体" w:hAnsi="宋体" w:eastAsia="宋体" w:cs="宋体"/>
                <w:bCs/>
                <w:color w:val="auto"/>
                <w:szCs w:val="21"/>
                <w:lang w:val="zh-CN"/>
              </w:rPr>
              <w:t xml:space="preserve">有效期</w:t>
            </w:r>
            <w:r/>
          </w:p>
        </w:tc>
        <w:tc>
          <w:tcPr>
            <w:gridSpan w:val="2"/>
            <w:tcW w:w="6631" w:type="dxa"/>
            <w:vAlign w:val="center"/>
            <w:textDirection w:val="lrTb"/>
            <w:noWrap w:val="false"/>
          </w:tcPr>
          <w:p>
            <w:pPr>
              <w:jc w:val="left"/>
              <w:keepLines w:val="0"/>
              <w:keepNext w:val="0"/>
              <w:pageBreakBefore w:val="0"/>
              <w:spacing w:before="181" w:line="360" w:lineRule="auto"/>
              <w:rPr>
                <w:rFonts w:hint="eastAsia" w:ascii="宋体" w:hAnsi="宋体" w:eastAsia="宋体" w:cs="宋体"/>
                <w:bCs/>
                <w:color w:val="auto"/>
                <w:szCs w:val="21"/>
                <w:lang w:val="zh-CN"/>
              </w:rPr>
            </w:pPr>
            <w:r>
              <w:rPr>
                <w:rFonts w:hint="eastAsia" w:ascii="宋体" w:hAnsi="宋体" w:eastAsia="宋体" w:cs="宋体"/>
                <w:bCs/>
                <w:color w:val="auto"/>
              </w:rPr>
              <w:t xml:space="preserve">投标有效期从提交投标文件的截止之日起算</w:t>
            </w:r>
            <w:r>
              <w:rPr>
                <w:rFonts w:hint="eastAsia" w:ascii="宋体" w:hAnsi="宋体" w:eastAsia="宋体" w:cs="宋体"/>
                <w:bCs/>
                <w:color w:val="auto"/>
                <w:szCs w:val="21"/>
                <w:lang w:val="zh-CN"/>
              </w:rPr>
              <w:t xml:space="preserve">90天</w:t>
            </w:r>
            <w:r/>
          </w:p>
        </w:tc>
      </w:tr>
      <w:tr>
        <w:trPr>
          <w:jc w:val="center"/>
          <w:trHeight w:val="633"/>
        </w:trPr>
        <w:tc>
          <w:tcPr>
            <w:tcW w:w="704" w:type="dxa"/>
            <w:vAlign w:val="center"/>
            <w:vMerge w:val="restart"/>
            <w:textDirection w:val="lrTb"/>
            <w:noWrap w:val="false"/>
          </w:tcPr>
          <w:p>
            <w:pPr>
              <w:jc w:val="center"/>
              <w:keepLines w:val="0"/>
              <w:keepNext w:val="0"/>
              <w:pageBreakBefore w:val="0"/>
              <w:spacing w:before="181" w:line="360" w:lineRule="auto"/>
              <w:widowControl/>
              <w:rPr>
                <w:rFonts w:hint="eastAsia" w:ascii="宋体" w:hAnsi="宋体" w:eastAsia="宋体" w:cs="宋体"/>
                <w:bCs/>
                <w:color w:val="auto"/>
                <w:szCs w:val="21"/>
              </w:rPr>
            </w:pPr>
            <w:r>
              <w:rPr>
                <w:rFonts w:hint="eastAsia" w:ascii="宋体" w:hAnsi="宋体" w:eastAsia="宋体" w:cs="宋体"/>
                <w:bCs/>
                <w:color w:val="auto"/>
                <w:szCs w:val="21"/>
              </w:rPr>
              <w:t xml:space="preserve">11</w:t>
            </w:r>
            <w:r/>
          </w:p>
        </w:tc>
        <w:tc>
          <w:tcPr>
            <w:tcW w:w="1092" w:type="dxa"/>
            <w:vAlign w:val="center"/>
            <w:vMerge w:val="restart"/>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报名时间</w:t>
            </w:r>
            <w:r/>
          </w:p>
        </w:tc>
        <w:tc>
          <w:tcPr>
            <w:tcW w:w="1110"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时间</w:t>
            </w:r>
            <w:r/>
          </w:p>
        </w:tc>
        <w:tc>
          <w:tcPr>
            <w:gridSpan w:val="2"/>
            <w:tcW w:w="6631"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Cs w:val="21"/>
                <w:lang w:val="zh-CN"/>
              </w:rPr>
            </w:pPr>
            <w:r>
              <w:rPr>
                <w:rFonts w:hint="eastAsia" w:ascii="宋体" w:hAnsi="宋体" w:eastAsia="宋体" w:cs="宋体"/>
                <w:color w:val="auto"/>
                <w:szCs w:val="21"/>
              </w:rPr>
              <w:t xml:space="preserve">自招标文件公告发布之日起5个工作日</w:t>
            </w:r>
            <w:r/>
          </w:p>
        </w:tc>
      </w:tr>
      <w:tr>
        <w:trPr>
          <w:jc w:val="center"/>
          <w:trHeight w:val="628"/>
        </w:trPr>
        <w:tc>
          <w:tcPr>
            <w:tcW w:w="704" w:type="dxa"/>
            <w:vAlign w:val="center"/>
            <w:vMerge w:val="continue"/>
            <w:textDirection w:val="lrTb"/>
            <w:noWrap w:val="false"/>
          </w:tcPr>
          <w:p>
            <w:pPr>
              <w:jc w:val="center"/>
              <w:keepLines w:val="0"/>
              <w:keepNext w:val="0"/>
              <w:pageBreakBefore w:val="0"/>
              <w:spacing w:before="181" w:line="360" w:lineRule="auto"/>
              <w:widowControl/>
              <w:rPr>
                <w:rFonts w:hint="eastAsia" w:ascii="宋体" w:hAnsi="宋体" w:eastAsia="宋体" w:cs="宋体"/>
                <w:bCs/>
                <w:color w:val="auto"/>
                <w:szCs w:val="21"/>
              </w:rPr>
            </w:pPr>
            <w:r>
              <w:rPr>
                <w:rFonts w:hint="eastAsia" w:ascii="宋体" w:hAnsi="宋体" w:eastAsia="宋体" w:cs="宋体"/>
                <w:bCs/>
                <w:color w:val="auto"/>
                <w:szCs w:val="21"/>
              </w:rPr>
            </w:r>
            <w:r/>
          </w:p>
        </w:tc>
        <w:tc>
          <w:tcPr>
            <w:tcW w:w="1092" w:type="dxa"/>
            <w:vAlign w:val="center"/>
            <w:vMerge w:val="continue"/>
            <w:textDirection w:val="lrTb"/>
            <w:noWrap w:val="false"/>
          </w:tcPr>
          <w:p>
            <w:pPr>
              <w:jc w:val="left"/>
              <w:keepLines w:val="0"/>
              <w:keepNext w:val="0"/>
              <w:pageBreakBefore w:val="0"/>
              <w:spacing w:before="181" w:line="360" w:lineRule="auto"/>
              <w:widowControl/>
              <w:rPr>
                <w:rFonts w:hint="eastAsia" w:ascii="宋体" w:hAnsi="宋体" w:eastAsia="宋体" w:cs="宋体"/>
                <w:bCs/>
                <w:color w:val="auto"/>
                <w:szCs w:val="21"/>
              </w:rPr>
            </w:pPr>
            <w:r>
              <w:rPr>
                <w:rFonts w:hint="eastAsia" w:ascii="宋体" w:hAnsi="宋体" w:eastAsia="宋体" w:cs="宋体"/>
                <w:bCs/>
                <w:color w:val="auto"/>
                <w:szCs w:val="21"/>
              </w:rPr>
            </w:r>
            <w:r/>
          </w:p>
        </w:tc>
        <w:tc>
          <w:tcPr>
            <w:tcW w:w="1110"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地点</w:t>
            </w:r>
            <w:r/>
          </w:p>
        </w:tc>
        <w:tc>
          <w:tcPr>
            <w:gridSpan w:val="2"/>
            <w:tcW w:w="6631"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Cs w:val="21"/>
                <w:lang w:val="zh-CN"/>
              </w:rPr>
            </w:pPr>
            <w:r>
              <w:rPr>
                <w:rFonts w:hint="eastAsia" w:ascii="宋体" w:hAnsi="宋体" w:eastAsia="宋体" w:cs="宋体"/>
                <w:color w:val="auto"/>
                <w:szCs w:val="21"/>
              </w:rPr>
              <w:t xml:space="preserve">“江苏政府采购网、南京公共采购信息网”自行免费下载</w:t>
            </w:r>
            <w:r/>
          </w:p>
        </w:tc>
      </w:tr>
      <w:tr>
        <w:trPr>
          <w:jc w:val="center"/>
        </w:trPr>
        <w:tc>
          <w:tcPr>
            <w:tcW w:w="704" w:type="dxa"/>
            <w:vAlign w:val="center"/>
            <w:vMerge w:val="continue"/>
            <w:textDirection w:val="lrTb"/>
            <w:noWrap w:val="false"/>
          </w:tcPr>
          <w:p>
            <w:pPr>
              <w:jc w:val="center"/>
              <w:keepLines w:val="0"/>
              <w:keepNext w:val="0"/>
              <w:pageBreakBefore w:val="0"/>
              <w:spacing w:before="181" w:line="360" w:lineRule="auto"/>
              <w:widowControl/>
              <w:rPr>
                <w:rFonts w:hint="eastAsia" w:ascii="宋体" w:hAnsi="宋体" w:eastAsia="宋体" w:cs="宋体"/>
                <w:bCs/>
                <w:color w:val="auto"/>
                <w:szCs w:val="21"/>
              </w:rPr>
            </w:pPr>
            <w:r>
              <w:rPr>
                <w:rFonts w:hint="eastAsia" w:ascii="宋体" w:hAnsi="宋体" w:eastAsia="宋体" w:cs="宋体"/>
                <w:bCs/>
                <w:color w:val="auto"/>
                <w:szCs w:val="21"/>
              </w:rPr>
            </w:r>
            <w:r/>
          </w:p>
        </w:tc>
        <w:tc>
          <w:tcPr>
            <w:tcW w:w="1092" w:type="dxa"/>
            <w:vAlign w:val="center"/>
            <w:vMerge w:val="continue"/>
            <w:textDirection w:val="lrTb"/>
            <w:noWrap w:val="false"/>
          </w:tcPr>
          <w:p>
            <w:pPr>
              <w:jc w:val="left"/>
              <w:keepLines w:val="0"/>
              <w:keepNext w:val="0"/>
              <w:pageBreakBefore w:val="0"/>
              <w:spacing w:before="181" w:line="360" w:lineRule="auto"/>
              <w:widowControl/>
              <w:rPr>
                <w:rFonts w:hint="eastAsia" w:ascii="宋体" w:hAnsi="宋体" w:eastAsia="宋体" w:cs="宋体"/>
                <w:bCs/>
                <w:color w:val="auto"/>
                <w:szCs w:val="21"/>
              </w:rPr>
            </w:pPr>
            <w:r>
              <w:rPr>
                <w:rFonts w:hint="eastAsia" w:ascii="宋体" w:hAnsi="宋体" w:eastAsia="宋体" w:cs="宋体"/>
                <w:bCs/>
                <w:color w:val="auto"/>
                <w:szCs w:val="21"/>
              </w:rPr>
            </w:r>
            <w:r/>
          </w:p>
        </w:tc>
        <w:tc>
          <w:tcPr>
            <w:tcW w:w="1110"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要求</w:t>
            </w:r>
            <w:r/>
          </w:p>
        </w:tc>
        <w:tc>
          <w:tcPr>
            <w:gridSpan w:val="2"/>
            <w:tcW w:w="6631"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color w:val="auto"/>
                <w:szCs w:val="21"/>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571"/>
        </w:trPr>
        <w:tc>
          <w:tcPr>
            <w:tcW w:w="704" w:type="dxa"/>
            <w:vAlign w:val="center"/>
            <w:vMerge w:val="restart"/>
            <w:textDirection w:val="lrTb"/>
            <w:noWrap w:val="false"/>
          </w:tcPr>
          <w:p>
            <w:pPr>
              <w:jc w:val="center"/>
              <w:keepLines w:val="0"/>
              <w:keepNext w:val="0"/>
              <w:pageBreakBefore w:val="0"/>
              <w:spacing w:before="181" w:line="360" w:lineRule="auto"/>
              <w:widowControl/>
              <w:rPr>
                <w:rFonts w:hint="eastAsia" w:ascii="宋体" w:hAnsi="宋体" w:eastAsia="宋体" w:cs="宋体"/>
                <w:bCs/>
                <w:color w:val="auto"/>
                <w:szCs w:val="21"/>
              </w:rPr>
            </w:pPr>
            <w:r>
              <w:rPr>
                <w:rFonts w:hint="eastAsia" w:ascii="宋体" w:hAnsi="宋体" w:eastAsia="宋体" w:cs="宋体"/>
                <w:bCs/>
                <w:color w:val="auto"/>
                <w:szCs w:val="21"/>
              </w:rPr>
            </w:r>
            <w:r/>
          </w:p>
          <w:p>
            <w:pPr>
              <w:jc w:val="center"/>
              <w:keepLines w:val="0"/>
              <w:keepNext w:val="0"/>
              <w:pageBreakBefore w:val="0"/>
              <w:spacing w:before="181" w:line="360" w:lineRule="auto"/>
              <w:widowControl/>
              <w:rPr>
                <w:rFonts w:hint="eastAsia" w:ascii="宋体" w:hAnsi="宋体" w:eastAsia="宋体" w:cs="宋体"/>
                <w:bCs/>
                <w:color w:val="auto"/>
                <w:szCs w:val="21"/>
              </w:rPr>
            </w:pPr>
            <w:r>
              <w:rPr>
                <w:rFonts w:hint="eastAsia" w:ascii="宋体" w:hAnsi="宋体" w:eastAsia="宋体" w:cs="宋体"/>
                <w:bCs/>
                <w:color w:val="auto"/>
                <w:szCs w:val="21"/>
              </w:rPr>
              <w:t xml:space="preserve">12</w:t>
            </w:r>
            <w:r/>
          </w:p>
        </w:tc>
        <w:tc>
          <w:tcPr>
            <w:tcW w:w="1092" w:type="dxa"/>
            <w:vAlign w:val="center"/>
            <w:vMerge w:val="restart"/>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响应文件递交信息</w:t>
            </w:r>
            <w:r/>
          </w:p>
        </w:tc>
        <w:tc>
          <w:tcPr>
            <w:tcW w:w="1110"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lang w:val="zh-CN"/>
              </w:rPr>
            </w:pPr>
            <w:r>
              <w:rPr>
                <w:rFonts w:hint="eastAsia" w:ascii="宋体" w:hAnsi="宋体" w:eastAsia="宋体" w:cs="宋体"/>
                <w:bCs/>
                <w:color w:val="auto"/>
                <w:szCs w:val="21"/>
                <w:lang w:val="zh-CN"/>
              </w:rPr>
              <w:t xml:space="preserve">时间</w:t>
            </w:r>
            <w:r/>
          </w:p>
        </w:tc>
        <w:tc>
          <w:tcPr>
            <w:gridSpan w:val="2"/>
            <w:tcW w:w="6631"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lang w:val="zh-CN"/>
              </w:rPr>
              <w:t xml:space="preserve">202</w:t>
            </w:r>
            <w:r>
              <w:rPr>
                <w:rFonts w:hint="eastAsia" w:ascii="宋体" w:hAnsi="宋体" w:eastAsia="宋体" w:cs="宋体"/>
                <w:bCs/>
                <w:color w:val="auto"/>
                <w:szCs w:val="21"/>
                <w:lang w:val="en-US" w:eastAsia="zh-CN"/>
              </w:rPr>
              <w:t xml:space="preserve">6</w:t>
            </w:r>
            <w:r>
              <w:rPr>
                <w:rFonts w:hint="eastAsia" w:ascii="宋体" w:hAnsi="宋体" w:eastAsia="宋体" w:cs="宋体"/>
                <w:bCs/>
                <w:color w:val="auto"/>
                <w:szCs w:val="21"/>
                <w:lang w:val="zh-CN"/>
              </w:rPr>
              <w:t xml:space="preserve">年</w:t>
            </w:r>
            <w:r>
              <w:rPr>
                <w:rFonts w:hint="eastAsia" w:ascii="宋体" w:hAnsi="宋体" w:eastAsia="宋体" w:cs="宋体"/>
                <w:bCs/>
                <w:color w:val="auto"/>
                <w:szCs w:val="21"/>
                <w:lang w:val="en-US" w:eastAsia="zh-CN"/>
              </w:rPr>
              <w:t xml:space="preserve">2</w:t>
            </w:r>
            <w:r>
              <w:rPr>
                <w:rFonts w:hint="eastAsia" w:ascii="宋体" w:hAnsi="宋体" w:eastAsia="宋体" w:cs="宋体"/>
                <w:bCs/>
                <w:color w:val="auto"/>
                <w:szCs w:val="21"/>
              </w:rPr>
              <w:t xml:space="preserve">月</w:t>
            </w:r>
            <w:r>
              <w:rPr>
                <w:rFonts w:hint="eastAsia" w:ascii="宋体" w:hAnsi="宋体" w:eastAsia="宋体" w:cs="宋体"/>
                <w:bCs/>
                <w:color w:val="auto"/>
                <w:szCs w:val="21"/>
                <w:lang w:val="en-US" w:eastAsia="zh-CN"/>
              </w:rPr>
              <w:t xml:space="preserve">25</w:t>
            </w:r>
            <w:r>
              <w:rPr>
                <w:rFonts w:hint="eastAsia" w:ascii="宋体" w:hAnsi="宋体" w:eastAsia="宋体" w:cs="宋体"/>
                <w:bCs/>
                <w:color w:val="auto"/>
                <w:szCs w:val="21"/>
              </w:rPr>
              <w:t xml:space="preserve">日</w:t>
            </w:r>
            <w:r>
              <w:rPr>
                <w:rFonts w:hint="eastAsia" w:ascii="宋体" w:hAnsi="宋体" w:eastAsia="宋体" w:cs="宋体"/>
                <w:bCs/>
                <w:color w:val="auto"/>
                <w:szCs w:val="21"/>
                <w:lang w:val="en-US" w:eastAsia="zh-CN"/>
              </w:rPr>
              <w:t xml:space="preserve">14</w:t>
            </w:r>
            <w:r>
              <w:rPr>
                <w:rFonts w:hint="eastAsia" w:ascii="宋体" w:hAnsi="宋体" w:eastAsia="宋体" w:cs="宋体"/>
                <w:bCs/>
                <w:color w:val="auto"/>
                <w:szCs w:val="21"/>
                <w:lang w:val="zh-CN"/>
              </w:rPr>
              <w:t xml:space="preserve">点</w:t>
            </w:r>
            <w:r>
              <w:rPr>
                <w:rFonts w:hint="eastAsia" w:ascii="宋体" w:hAnsi="宋体" w:eastAsia="宋体" w:cs="宋体"/>
                <w:bCs/>
                <w:color w:val="auto"/>
                <w:szCs w:val="21"/>
                <w:lang w:val="en-US" w:eastAsia="zh-CN"/>
              </w:rPr>
              <w:t xml:space="preserve">0</w:t>
            </w:r>
            <w:r>
              <w:rPr>
                <w:rFonts w:hint="eastAsia" w:ascii="宋体" w:hAnsi="宋体" w:eastAsia="宋体" w:cs="宋体"/>
                <w:bCs/>
                <w:color w:val="auto"/>
                <w:szCs w:val="21"/>
              </w:rPr>
              <w:t xml:space="preserve">0</w:t>
            </w:r>
            <w:r>
              <w:rPr>
                <w:rFonts w:hint="eastAsia" w:ascii="宋体" w:hAnsi="宋体" w:eastAsia="宋体" w:cs="宋体"/>
                <w:bCs/>
                <w:color w:val="auto"/>
                <w:szCs w:val="21"/>
                <w:lang w:val="zh-CN"/>
              </w:rPr>
              <w:t xml:space="preserve">分</w:t>
            </w:r>
            <w:r>
              <w:rPr>
                <w:rFonts w:hint="eastAsia" w:ascii="宋体" w:hAnsi="宋体" w:eastAsia="宋体" w:cs="宋体"/>
                <w:bCs/>
                <w:color w:val="auto"/>
                <w:szCs w:val="21"/>
              </w:rPr>
              <w:t xml:space="preserve">前</w:t>
            </w:r>
            <w:r/>
          </w:p>
        </w:tc>
      </w:tr>
      <w:tr>
        <w:trPr>
          <w:jc w:val="center"/>
          <w:trHeight w:val="421"/>
        </w:trPr>
        <w:tc>
          <w:tcPr>
            <w:tcW w:w="704" w:type="dxa"/>
            <w:vAlign w:val="center"/>
            <w:vMerge w:val="continue"/>
            <w:textDirection w:val="lrTb"/>
            <w:noWrap w:val="false"/>
          </w:tcPr>
          <w:p>
            <w:pPr>
              <w:jc w:val="center"/>
              <w:keepLines w:val="0"/>
              <w:keepNext w:val="0"/>
              <w:pageBreakBefore w:val="0"/>
              <w:spacing w:before="181" w:line="360" w:lineRule="auto"/>
              <w:widowControl/>
              <w:rPr>
                <w:rFonts w:hint="eastAsia" w:ascii="宋体" w:hAnsi="宋体" w:eastAsia="宋体" w:cs="宋体"/>
                <w:bCs/>
                <w:color w:val="auto"/>
                <w:szCs w:val="21"/>
              </w:rPr>
            </w:pPr>
            <w:r>
              <w:rPr>
                <w:rFonts w:hint="eastAsia" w:ascii="宋体" w:hAnsi="宋体" w:eastAsia="宋体" w:cs="宋体"/>
                <w:bCs/>
                <w:color w:val="auto"/>
                <w:szCs w:val="21"/>
              </w:rPr>
            </w:r>
            <w:r/>
          </w:p>
        </w:tc>
        <w:tc>
          <w:tcPr>
            <w:tcW w:w="1092" w:type="dxa"/>
            <w:vAlign w:val="center"/>
            <w:vMerge w:val="continue"/>
            <w:textDirection w:val="lrTb"/>
            <w:noWrap w:val="false"/>
          </w:tcPr>
          <w:p>
            <w:pPr>
              <w:jc w:val="left"/>
              <w:keepLines w:val="0"/>
              <w:keepNext w:val="0"/>
              <w:pageBreakBefore w:val="0"/>
              <w:spacing w:before="181" w:line="360" w:lineRule="auto"/>
              <w:widowControl/>
              <w:rPr>
                <w:rFonts w:hint="eastAsia" w:ascii="宋体" w:hAnsi="宋体" w:eastAsia="宋体" w:cs="宋体"/>
                <w:bCs/>
                <w:color w:val="auto"/>
                <w:szCs w:val="21"/>
              </w:rPr>
            </w:pPr>
            <w:r>
              <w:rPr>
                <w:rFonts w:hint="eastAsia" w:ascii="宋体" w:hAnsi="宋体" w:eastAsia="宋体" w:cs="宋体"/>
                <w:bCs/>
                <w:color w:val="auto"/>
                <w:szCs w:val="21"/>
              </w:rPr>
            </w:r>
            <w:r/>
          </w:p>
        </w:tc>
        <w:tc>
          <w:tcPr>
            <w:tcW w:w="1110"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lang w:val="zh-CN"/>
              </w:rPr>
            </w:pPr>
            <w:r>
              <w:rPr>
                <w:rFonts w:hint="eastAsia" w:ascii="宋体" w:hAnsi="宋体" w:eastAsia="宋体" w:cs="宋体"/>
                <w:bCs/>
                <w:color w:val="auto"/>
                <w:szCs w:val="21"/>
                <w:lang w:val="zh-CN"/>
              </w:rPr>
              <w:t xml:space="preserve">地点</w:t>
            </w:r>
            <w:r/>
          </w:p>
        </w:tc>
        <w:tc>
          <w:tcPr>
            <w:gridSpan w:val="2"/>
            <w:tcW w:w="6631"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Cs w:val="21"/>
                <w:lang w:val="zh-CN"/>
              </w:rPr>
            </w:pPr>
            <w:r>
              <w:rPr>
                <w:rFonts w:hint="eastAsia" w:ascii="宋体" w:hAnsi="宋体" w:eastAsia="宋体" w:cs="宋体"/>
                <w:bCs/>
                <w:color w:val="auto"/>
                <w:szCs w:val="21"/>
              </w:rPr>
              <w:t xml:space="preserve">江苏省政府采购交易系统（以下简称“苏采云系统”）网上开标大厅</w:t>
            </w:r>
            <w:r/>
          </w:p>
        </w:tc>
      </w:tr>
      <w:tr>
        <w:trPr>
          <w:jc w:val="center"/>
          <w:trHeight w:val="451"/>
        </w:trPr>
        <w:tc>
          <w:tcPr>
            <w:tcW w:w="704" w:type="dxa"/>
            <w:vAlign w:val="center"/>
            <w:vMerge w:val="continue"/>
            <w:textDirection w:val="lrTb"/>
            <w:noWrap w:val="false"/>
          </w:tcPr>
          <w:p>
            <w:pPr>
              <w:jc w:val="center"/>
              <w:keepLines w:val="0"/>
              <w:keepNext w:val="0"/>
              <w:pageBreakBefore w:val="0"/>
              <w:spacing w:before="181" w:line="360" w:lineRule="auto"/>
              <w:widowControl/>
              <w:rPr>
                <w:rFonts w:hint="eastAsia" w:ascii="宋体" w:hAnsi="宋体" w:eastAsia="宋体" w:cs="宋体"/>
                <w:bCs/>
                <w:color w:val="auto"/>
                <w:szCs w:val="21"/>
              </w:rPr>
            </w:pPr>
            <w:r>
              <w:rPr>
                <w:rFonts w:hint="eastAsia" w:ascii="宋体" w:hAnsi="宋体" w:eastAsia="宋体" w:cs="宋体"/>
                <w:bCs/>
                <w:color w:val="auto"/>
                <w:szCs w:val="21"/>
              </w:rPr>
            </w:r>
            <w:r/>
          </w:p>
        </w:tc>
        <w:tc>
          <w:tcPr>
            <w:tcW w:w="1092" w:type="dxa"/>
            <w:vAlign w:val="center"/>
            <w:vMerge w:val="continue"/>
            <w:textDirection w:val="lrTb"/>
            <w:noWrap w:val="false"/>
          </w:tcPr>
          <w:p>
            <w:pPr>
              <w:jc w:val="left"/>
              <w:keepLines w:val="0"/>
              <w:keepNext w:val="0"/>
              <w:pageBreakBefore w:val="0"/>
              <w:spacing w:before="181" w:line="360" w:lineRule="auto"/>
              <w:widowControl/>
              <w:rPr>
                <w:rFonts w:hint="eastAsia" w:ascii="宋体" w:hAnsi="宋体" w:eastAsia="宋体" w:cs="宋体"/>
                <w:bCs/>
                <w:color w:val="auto"/>
                <w:szCs w:val="21"/>
              </w:rPr>
            </w:pPr>
            <w:r>
              <w:rPr>
                <w:rFonts w:hint="eastAsia" w:ascii="宋体" w:hAnsi="宋体" w:eastAsia="宋体" w:cs="宋体"/>
                <w:bCs/>
                <w:color w:val="auto"/>
                <w:szCs w:val="21"/>
              </w:rPr>
            </w:r>
            <w:r/>
          </w:p>
        </w:tc>
        <w:tc>
          <w:tcPr>
            <w:tcW w:w="1110"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lang w:val="zh-CN"/>
              </w:rPr>
            </w:pPr>
            <w:r>
              <w:rPr>
                <w:rFonts w:hint="eastAsia" w:ascii="宋体" w:hAnsi="宋体" w:eastAsia="宋体" w:cs="宋体"/>
                <w:bCs/>
                <w:color w:val="auto"/>
                <w:szCs w:val="21"/>
                <w:lang w:val="zh-CN"/>
              </w:rPr>
              <w:t xml:space="preserve">要求</w:t>
            </w:r>
            <w:r/>
          </w:p>
        </w:tc>
        <w:tc>
          <w:tcPr>
            <w:gridSpan w:val="2"/>
            <w:tcW w:w="6631" w:type="dxa"/>
            <w:vAlign w:val="center"/>
            <w:textDirection w:val="lrTb"/>
            <w:noWrap w:val="false"/>
          </w:tcPr>
          <w:p>
            <w:pPr>
              <w:pStyle w:val="954"/>
              <w:ind w:left="-38" w:firstLine="0"/>
              <w:jc w:val="left"/>
              <w:keepLines w:val="0"/>
              <w:keepNext w:val="0"/>
              <w:pageBreakBefore w:val="0"/>
              <w:spacing w:before="181"/>
              <w:rPr>
                <w:rFonts w:hint="eastAsia" w:ascii="宋体" w:hAnsi="宋体" w:eastAsia="宋体" w:cs="宋体"/>
                <w:color w:val="auto"/>
                <w:szCs w:val="21"/>
              </w:rPr>
            </w:pPr>
            <w:r>
              <w:rPr>
                <w:rFonts w:hint="eastAsia" w:ascii="宋体" w:hAnsi="宋体" w:eastAsia="宋体" w:cs="宋体"/>
                <w:color w:val="auto"/>
                <w:szCs w:val="21"/>
              </w:rPr>
              <w:t xml:space="preserve">（1）本次采购采用“政府采购管理交易系统（苏采云）”，招标、投标、评标和中标结果发布全程电子化，开标方式为不见面开标。供应商通过苏采云系统参与本项目，需要办理江苏省政府采购数字证书及电子签章，具体详见苏采云系统登录页“新CA办理指南”。供应商按《苏采云系统供应商操作手册》（以下简称“操作手册”）进行注册，并在规定时间内制作上传电子响应文件。如供应商未按要求操作，由此所产生的风险由供应商自行承担。</w:t>
            </w:r>
            <w:r/>
          </w:p>
          <w:p>
            <w:pPr>
              <w:keepLines w:val="0"/>
              <w:keepNext w:val="0"/>
              <w:pageBreakBefore w:val="0"/>
              <w:spacing w:before="181"/>
              <w:rPr>
                <w:rFonts w:hint="eastAsia" w:ascii="宋体" w:hAnsi="宋体" w:eastAsia="宋体" w:cs="宋体"/>
                <w:color w:val="auto"/>
              </w:rPr>
            </w:pPr>
            <w:r>
              <w:rPr>
                <w:rFonts w:hint="eastAsia" w:ascii="宋体" w:hAnsi="宋体" w:eastAsia="宋体" w:cs="宋体"/>
                <w:color w:val="auto"/>
                <w:szCs w:val="21"/>
                <w:lang w:bidi="ar"/>
              </w:rPr>
              <w:t xml:space="preserve">《操作手册》下载地址：</w:t>
            </w:r>
            <w:r/>
          </w:p>
          <w:p>
            <w:pPr>
              <w:keepLines w:val="0"/>
              <w:keepNext w:val="0"/>
              <w:pageBreakBefore w:val="0"/>
              <w:spacing w:before="181"/>
              <w:rPr>
                <w:rFonts w:hint="eastAsia" w:ascii="宋体" w:hAnsi="宋体" w:eastAsia="宋体" w:cs="宋体"/>
                <w:color w:val="auto"/>
                <w:szCs w:val="21"/>
                <w:lang w:bidi="ar"/>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"http://www.ccgp-jiangsu.gov.cn/jiangsu/zlxz/ee/" \o "http://www.ccgp-jiangsu.gov.cn/jiangsu/zlxz/ee/" </w:instrText>
            </w:r>
            <w:r>
              <w:rPr>
                <w:rFonts w:hint="eastAsia" w:ascii="宋体" w:hAnsi="宋体" w:eastAsia="宋体" w:cs="宋体"/>
                <w:color w:val="auto"/>
              </w:rPr>
              <w:fldChar w:fldCharType="separate"/>
            </w:r>
            <w:r>
              <w:rPr>
                <w:rStyle w:val="950"/>
                <w:rFonts w:hint="eastAsia" w:ascii="宋体" w:hAnsi="宋体" w:eastAsia="宋体" w:cs="宋体"/>
                <w:color w:val="auto"/>
                <w:szCs w:val="21"/>
                <w:u w:val="none"/>
                <w:lang w:bidi="ar"/>
              </w:rPr>
              <w:t xml:space="preserve">http://www.ccgp-jiangsu.gov.cn/jiangsu/zlxz/ee/</w:t>
            </w:r>
            <w:r>
              <w:rPr>
                <w:rStyle w:val="950"/>
                <w:rFonts w:hint="eastAsia" w:ascii="宋体" w:hAnsi="宋体" w:eastAsia="宋体" w:cs="宋体"/>
                <w:color w:val="auto"/>
                <w:szCs w:val="21"/>
                <w:u w:val="none"/>
                <w:lang w:bidi="ar"/>
              </w:rPr>
              <w:fldChar w:fldCharType="end"/>
            </w:r>
            <w:r>
              <w:rPr>
                <w:rFonts w:hint="eastAsia" w:ascii="宋体" w:hAnsi="宋体" w:eastAsia="宋体" w:cs="宋体"/>
                <w:color w:val="auto"/>
                <w:szCs w:val="21"/>
                <w:lang w:bidi="ar"/>
              </w:rPr>
              <w:t xml:space="preserve">ee3a4bc5a3454aa2b0d9312230633ce9.html</w:t>
            </w:r>
            <w:r/>
          </w:p>
          <w:p>
            <w:pPr>
              <w:pStyle w:val="1477"/>
              <w:numPr>
                <w:ilvl w:val="0"/>
                <w:numId w:val="6"/>
              </w:numPr>
              <w:keepLines w:val="0"/>
              <w:keepNext w:val="0"/>
              <w:pageBreakBefore w:val="0"/>
              <w:spacing w:before="181"/>
              <w:rPr>
                <w:rFonts w:hint="eastAsia" w:ascii="宋体" w:hAnsi="宋体" w:eastAsia="宋体" w:cs="宋体"/>
                <w:b w:val="0"/>
                <w:bCs w:val="0"/>
                <w:color w:val="auto"/>
                <w:szCs w:val="21"/>
              </w:rPr>
            </w:pPr>
            <w:r>
              <w:rPr>
                <w:rFonts w:hint="eastAsia" w:ascii="宋体" w:hAnsi="宋体" w:eastAsia="宋体" w:cs="宋体"/>
                <w:b w:val="0"/>
                <w:bCs w:val="0"/>
                <w:color w:val="auto"/>
                <w:szCs w:val="21"/>
                <w:lang w:bidi="ar"/>
              </w:rPr>
              <w:t xml:space="preserve">供应商应在响应文件提交截止时间之前</w:t>
            </w:r>
            <w:r>
              <w:rPr>
                <w:rFonts w:hint="eastAsia" w:ascii="宋体" w:hAnsi="宋体" w:eastAsia="宋体" w:cs="宋体"/>
                <w:b w:val="0"/>
                <w:bCs w:val="0"/>
                <w:color w:val="auto"/>
                <w:szCs w:val="21"/>
              </w:rPr>
              <w:t xml:space="preserve">上传电子响应文件至苏采云系统。</w:t>
            </w:r>
            <w:r/>
          </w:p>
          <w:p>
            <w:pPr>
              <w:pStyle w:val="935"/>
              <w:jc w:val="both"/>
              <w:keepLines w:val="0"/>
              <w:keepNext w:val="0"/>
              <w:pageBreakBefore w:val="0"/>
              <w:spacing w:before="181" w:beforeAutospacing="0" w:after="0" w:afterAutospacing="0" w:line="36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（3）本项目为不见面开标，开启阶段供应商在【供应商解密】环节必须使用CA证书解密电子响应文件，如在系统规定的解密时间内未能完成解密的视为放弃参与本项目。</w:t>
            </w:r>
            <w:r/>
          </w:p>
          <w:p>
            <w:pP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color w:val="auto"/>
                <w:szCs w:val="21"/>
              </w:rPr>
              <w:t xml:space="preserve">请供应商确保电脑、系统及其他设备（视频输入输出设备等）无误，且开启直至项目结束始终保持系统在线状态。</w:t>
            </w:r>
            <w:r/>
          </w:p>
        </w:tc>
      </w:tr>
      <w:tr>
        <w:trPr>
          <w:jc w:val="center"/>
        </w:trPr>
        <w:tc>
          <w:tcPr>
            <w:tcW w:w="70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bCs/>
                <w:color w:val="auto"/>
                <w:szCs w:val="21"/>
              </w:rPr>
            </w:pPr>
            <w:r>
              <w:rPr>
                <w:rFonts w:hint="eastAsia" w:ascii="宋体" w:hAnsi="宋体" w:eastAsia="宋体" w:cs="宋体"/>
                <w:bCs/>
                <w:color w:val="auto"/>
                <w:szCs w:val="21"/>
              </w:rPr>
              <w:t xml:space="preserve">13</w:t>
            </w:r>
            <w:r/>
          </w:p>
        </w:tc>
        <w:tc>
          <w:tcPr>
            <w:gridSpan w:val="2"/>
            <w:tcW w:w="2202"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lang w:val="zh-CN"/>
              </w:rPr>
            </w:pPr>
            <w:r>
              <w:rPr>
                <w:rFonts w:hint="eastAsia" w:ascii="宋体" w:hAnsi="宋体" w:eastAsia="宋体" w:cs="宋体"/>
                <w:bCs/>
                <w:color w:val="auto"/>
                <w:szCs w:val="21"/>
              </w:rPr>
              <w:t xml:space="preserve">响应文件</w:t>
            </w:r>
            <w:r>
              <w:rPr>
                <w:rFonts w:hint="eastAsia" w:ascii="宋体" w:hAnsi="宋体" w:eastAsia="宋体" w:cs="宋体"/>
                <w:bCs/>
                <w:color w:val="auto"/>
                <w:szCs w:val="21"/>
                <w:lang w:val="zh-CN"/>
              </w:rPr>
              <w:t xml:space="preserve">份数</w:t>
            </w:r>
            <w:r/>
          </w:p>
        </w:tc>
        <w:tc>
          <w:tcPr>
            <w:gridSpan w:val="2"/>
            <w:tcW w:w="6631"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Cs w:val="21"/>
                <w:lang w:val="zh-CN"/>
              </w:rPr>
            </w:pPr>
            <w:r>
              <w:rPr>
                <w:rFonts w:hint="eastAsia" w:ascii="宋体" w:hAnsi="宋体" w:eastAsia="宋体" w:cs="宋体"/>
                <w:bCs/>
                <w:color w:val="auto"/>
                <w:szCs w:val="21"/>
              </w:rPr>
              <w:t xml:space="preserve">中标后，投标供应商需无偿提供纸质版响应文件一式叁份；(电子版标书一份,U盘形式;响应文件电子版中必须包含响应文件的全部内容，不得加密，所有文档、图表等采用PDF格式或WORD格式)</w:t>
            </w:r>
            <w:r/>
          </w:p>
        </w:tc>
      </w:tr>
      <w:tr>
        <w:trPr>
          <w:jc w:val="center"/>
          <w:trHeight w:val="231"/>
        </w:trPr>
        <w:tc>
          <w:tcPr>
            <w:tcW w:w="704" w:type="dxa"/>
            <w:vAlign w:val="center"/>
            <w:vMerge w:val="restart"/>
            <w:textDirection w:val="lrTb"/>
            <w:noWrap w:val="false"/>
          </w:tcPr>
          <w:p>
            <w:pPr>
              <w:jc w:val="center"/>
              <w:keepLines w:val="0"/>
              <w:keepNext w:val="0"/>
              <w:pageBreakBefore w:val="0"/>
              <w:spacing w:before="181" w:line="360" w:lineRule="auto"/>
              <w:widowControl/>
              <w:rPr>
                <w:rFonts w:hint="eastAsia" w:ascii="宋体" w:hAnsi="宋体" w:eastAsia="宋体" w:cs="宋体"/>
                <w:bCs/>
                <w:color w:val="auto"/>
                <w:szCs w:val="21"/>
              </w:rPr>
            </w:pPr>
            <w:r>
              <w:rPr>
                <w:rFonts w:hint="eastAsia" w:ascii="宋体" w:hAnsi="宋体" w:eastAsia="宋体" w:cs="宋体"/>
                <w:bCs/>
                <w:color w:val="auto"/>
                <w:szCs w:val="21"/>
              </w:rPr>
              <w:t xml:space="preserve">14</w:t>
            </w:r>
            <w:r/>
          </w:p>
        </w:tc>
        <w:tc>
          <w:tcPr>
            <w:tcW w:w="1092" w:type="dxa"/>
            <w:vAlign w:val="center"/>
            <w:vMerge w:val="restart"/>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开标信息</w:t>
            </w:r>
            <w:r/>
          </w:p>
        </w:tc>
        <w:tc>
          <w:tcPr>
            <w:tcW w:w="1110"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时间</w:t>
            </w:r>
            <w:r/>
          </w:p>
        </w:tc>
        <w:tc>
          <w:tcPr>
            <w:gridSpan w:val="2"/>
            <w:tcW w:w="6631"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Cs w:val="21"/>
                <w:lang w:val="zh-CN"/>
              </w:rPr>
            </w:pPr>
            <w:r>
              <w:rPr>
                <w:rFonts w:hint="eastAsia" w:ascii="宋体" w:hAnsi="宋体" w:eastAsia="宋体" w:cs="宋体"/>
                <w:bCs/>
                <w:color w:val="auto"/>
                <w:szCs w:val="21"/>
                <w:lang w:val="zh-CN"/>
              </w:rPr>
              <w:t xml:space="preserve">202</w:t>
            </w:r>
            <w:r>
              <w:rPr>
                <w:rFonts w:hint="eastAsia" w:ascii="宋体" w:hAnsi="宋体" w:eastAsia="宋体" w:cs="宋体"/>
                <w:bCs/>
                <w:color w:val="auto"/>
                <w:szCs w:val="21"/>
                <w:lang w:val="en-US" w:eastAsia="zh-CN"/>
              </w:rPr>
              <w:t xml:space="preserve">6</w:t>
            </w:r>
            <w:r>
              <w:rPr>
                <w:rFonts w:hint="eastAsia" w:ascii="宋体" w:hAnsi="宋体" w:eastAsia="宋体" w:cs="宋体"/>
                <w:bCs/>
                <w:color w:val="auto"/>
                <w:szCs w:val="21"/>
                <w:lang w:val="zh-CN"/>
              </w:rPr>
              <w:t xml:space="preserve">年</w:t>
            </w:r>
            <w:r>
              <w:rPr>
                <w:rFonts w:hint="eastAsia" w:ascii="宋体" w:hAnsi="宋体" w:eastAsia="宋体" w:cs="宋体"/>
                <w:bCs/>
                <w:color w:val="auto"/>
                <w:szCs w:val="21"/>
                <w:lang w:val="en-US" w:eastAsia="zh-CN"/>
              </w:rPr>
              <w:t xml:space="preserve">2</w:t>
            </w:r>
            <w:r>
              <w:rPr>
                <w:rFonts w:hint="eastAsia" w:ascii="宋体" w:hAnsi="宋体" w:eastAsia="宋体" w:cs="宋体"/>
                <w:bCs/>
                <w:color w:val="auto"/>
                <w:szCs w:val="21"/>
              </w:rPr>
              <w:t xml:space="preserve">月</w:t>
            </w:r>
            <w:r>
              <w:rPr>
                <w:rFonts w:hint="eastAsia" w:ascii="宋体" w:hAnsi="宋体" w:eastAsia="宋体" w:cs="宋体"/>
                <w:bCs/>
                <w:color w:val="auto"/>
                <w:szCs w:val="21"/>
                <w:lang w:val="en-US" w:eastAsia="zh-CN"/>
              </w:rPr>
              <w:t xml:space="preserve">25</w:t>
            </w:r>
            <w:r>
              <w:rPr>
                <w:rFonts w:hint="eastAsia" w:ascii="宋体" w:hAnsi="宋体" w:eastAsia="宋体" w:cs="宋体"/>
                <w:bCs/>
                <w:color w:val="auto"/>
                <w:szCs w:val="21"/>
              </w:rPr>
              <w:t xml:space="preserve">日</w:t>
            </w:r>
            <w:r>
              <w:rPr>
                <w:rFonts w:hint="eastAsia" w:ascii="宋体" w:hAnsi="宋体" w:eastAsia="宋体" w:cs="宋体"/>
                <w:bCs/>
                <w:color w:val="auto"/>
                <w:szCs w:val="21"/>
                <w:lang w:val="en-US" w:eastAsia="zh-CN"/>
              </w:rPr>
              <w:t xml:space="preserve">14</w:t>
            </w:r>
            <w:r>
              <w:rPr>
                <w:rFonts w:hint="eastAsia" w:ascii="宋体" w:hAnsi="宋体" w:eastAsia="宋体" w:cs="宋体"/>
                <w:bCs/>
                <w:color w:val="auto"/>
                <w:szCs w:val="21"/>
                <w:lang w:val="zh-CN"/>
              </w:rPr>
              <w:t xml:space="preserve">点</w:t>
            </w:r>
            <w:r>
              <w:rPr>
                <w:rFonts w:hint="eastAsia" w:ascii="宋体" w:hAnsi="宋体" w:eastAsia="宋体" w:cs="宋体"/>
                <w:bCs/>
                <w:color w:val="auto"/>
                <w:szCs w:val="21"/>
                <w:lang w:val="en-US" w:eastAsia="zh-CN"/>
              </w:rPr>
              <w:t xml:space="preserve">0</w:t>
            </w:r>
            <w:r>
              <w:rPr>
                <w:rFonts w:hint="eastAsia" w:ascii="宋体" w:hAnsi="宋体" w:eastAsia="宋体" w:cs="宋体"/>
                <w:bCs/>
                <w:color w:val="auto"/>
                <w:szCs w:val="21"/>
              </w:rPr>
              <w:t xml:space="preserve">0</w:t>
            </w:r>
            <w:r>
              <w:rPr>
                <w:rFonts w:hint="eastAsia" w:ascii="宋体" w:hAnsi="宋体" w:eastAsia="宋体" w:cs="宋体"/>
                <w:bCs/>
                <w:color w:val="auto"/>
                <w:szCs w:val="21"/>
                <w:lang w:val="zh-CN"/>
              </w:rPr>
              <w:t xml:space="preserve">分</w:t>
            </w:r>
            <w:r/>
          </w:p>
        </w:tc>
      </w:tr>
      <w:tr>
        <w:trPr>
          <w:jc w:val="center"/>
          <w:trHeight w:val="90"/>
        </w:trPr>
        <w:tc>
          <w:tcPr>
            <w:tcW w:w="704" w:type="dxa"/>
            <w:vAlign w:val="center"/>
            <w:vMerge w:val="continue"/>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r>
            <w:r/>
          </w:p>
        </w:tc>
        <w:tc>
          <w:tcPr>
            <w:tcW w:w="1092" w:type="dxa"/>
            <w:vAlign w:val="center"/>
            <w:vMerge w:val="continue"/>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r>
            <w:r/>
          </w:p>
        </w:tc>
        <w:tc>
          <w:tcPr>
            <w:tcW w:w="1110"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地点</w:t>
            </w:r>
            <w:r/>
          </w:p>
        </w:tc>
        <w:tc>
          <w:tcPr>
            <w:gridSpan w:val="2"/>
            <w:tcW w:w="6631"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江苏省政府采购交易系统（以下简称“苏采云系统”）网上开标大厅</w:t>
            </w:r>
            <w:r/>
          </w:p>
        </w:tc>
      </w:tr>
      <w:tr>
        <w:trPr>
          <w:jc w:val="center"/>
          <w:trHeight w:val="669"/>
        </w:trPr>
        <w:tc>
          <w:tcPr>
            <w:tcW w:w="704" w:type="dxa"/>
            <w:vAlign w:val="center"/>
            <w:vMerge w:val="restart"/>
            <w:textDirection w:val="lrTb"/>
            <w:noWrap w:val="false"/>
          </w:tcPr>
          <w:p>
            <w:pPr>
              <w:jc w:val="center"/>
              <w:keepLines w:val="0"/>
              <w:keepNext w:val="0"/>
              <w:pageBreakBefore w:val="0"/>
              <w:spacing w:before="181" w:line="360" w:lineRule="auto"/>
              <w:widowControl/>
              <w:rPr>
                <w:rFonts w:hint="eastAsia" w:ascii="宋体" w:hAnsi="宋体" w:eastAsia="宋体" w:cs="宋体"/>
                <w:bCs/>
                <w:color w:val="auto"/>
                <w:szCs w:val="21"/>
              </w:rPr>
            </w:pPr>
            <w:r>
              <w:rPr>
                <w:rFonts w:hint="eastAsia" w:ascii="宋体" w:hAnsi="宋体" w:eastAsia="宋体" w:cs="宋体"/>
                <w:bCs/>
                <w:color w:val="auto"/>
                <w:szCs w:val="21"/>
              </w:rPr>
              <w:t xml:space="preserve">15</w:t>
            </w:r>
            <w:r/>
          </w:p>
        </w:tc>
        <w:tc>
          <w:tcPr>
            <w:tcW w:w="1092" w:type="dxa"/>
            <w:vAlign w:val="center"/>
            <w:vMerge w:val="restart"/>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联系事项</w:t>
            </w:r>
            <w:r/>
          </w:p>
        </w:tc>
        <w:tc>
          <w:tcPr>
            <w:tcW w:w="1110"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Cs w:val="21"/>
                <w:lang w:val="zh-CN"/>
              </w:rPr>
            </w:pPr>
            <w:r>
              <w:rPr>
                <w:rFonts w:hint="eastAsia" w:ascii="宋体" w:hAnsi="宋体" w:eastAsia="宋体" w:cs="宋体"/>
                <w:bCs/>
                <w:color w:val="auto"/>
                <w:szCs w:val="21"/>
                <w:lang w:val="zh-CN"/>
              </w:rPr>
              <w:t xml:space="preserve">采购单位</w:t>
            </w:r>
            <w:r/>
          </w:p>
        </w:tc>
        <w:tc>
          <w:tcPr>
            <w:tcW w:w="1245"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Cs w:val="21"/>
                <w:lang w:val="zh-CN"/>
              </w:rPr>
            </w:pPr>
            <w:r>
              <w:rPr>
                <w:rFonts w:hint="eastAsia" w:ascii="宋体" w:hAnsi="宋体" w:eastAsia="宋体" w:cs="宋体"/>
                <w:bCs/>
                <w:color w:val="auto"/>
                <w:szCs w:val="21"/>
                <w:lang w:val="zh-CN"/>
              </w:rPr>
              <w:t xml:space="preserve">联系人</w:t>
            </w:r>
            <w:r/>
          </w:p>
        </w:tc>
        <w:tc>
          <w:tcPr>
            <w:tcW w:w="5386"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李科，</w:t>
            </w:r>
            <w:r>
              <w:rPr>
                <w:rFonts w:hint="eastAsia" w:ascii="宋体" w:hAnsi="宋体" w:eastAsia="宋体" w:cs="宋体"/>
                <w:color w:val="auto"/>
                <w:szCs w:val="21"/>
              </w:rPr>
              <w:t xml:space="preserve">025-51190810</w:t>
            </w:r>
            <w:r/>
          </w:p>
        </w:tc>
      </w:tr>
      <w:tr>
        <w:trPr>
          <w:jc w:val="center"/>
          <w:trHeight w:val="350"/>
        </w:trPr>
        <w:tc>
          <w:tcPr>
            <w:tcW w:w="704" w:type="dxa"/>
            <w:vAlign w:val="center"/>
            <w:vMerge w:val="continue"/>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r>
            <w:r/>
          </w:p>
        </w:tc>
        <w:tc>
          <w:tcPr>
            <w:tcW w:w="1092" w:type="dxa"/>
            <w:vAlign w:val="center"/>
            <w:vMerge w:val="continue"/>
            <w:textDirection w:val="lrTb"/>
            <w:noWrap w:val="false"/>
          </w:tcPr>
          <w:p>
            <w:pPr>
              <w:jc w:val="center"/>
              <w:keepLines w:val="0"/>
              <w:keepNext w:val="0"/>
              <w:pageBreakBefore w:val="0"/>
              <w:spacing w:before="181" w:line="360" w:lineRule="auto"/>
              <w:rPr>
                <w:rFonts w:hint="eastAsia" w:ascii="宋体" w:hAnsi="宋体" w:eastAsia="宋体" w:cs="宋体"/>
                <w:bCs/>
                <w:color w:val="auto"/>
                <w:szCs w:val="21"/>
              </w:rPr>
            </w:pPr>
            <w:r>
              <w:rPr>
                <w:rFonts w:hint="eastAsia" w:ascii="宋体" w:hAnsi="宋体" w:eastAsia="宋体" w:cs="宋体"/>
                <w:bCs/>
                <w:color w:val="auto"/>
                <w:szCs w:val="21"/>
              </w:rPr>
            </w:r>
            <w:r/>
          </w:p>
        </w:tc>
        <w:tc>
          <w:tcPr>
            <w:tcW w:w="1110"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Cs w:val="21"/>
                <w:lang w:val="zh-CN"/>
              </w:rPr>
            </w:pPr>
            <w:r>
              <w:rPr>
                <w:rFonts w:hint="eastAsia" w:ascii="宋体" w:hAnsi="宋体" w:eastAsia="宋体" w:cs="宋体"/>
                <w:bCs/>
                <w:color w:val="auto"/>
                <w:szCs w:val="21"/>
                <w:lang w:val="zh-CN"/>
              </w:rPr>
              <w:t xml:space="preserve">代理机构</w:t>
            </w:r>
            <w:r/>
          </w:p>
        </w:tc>
        <w:tc>
          <w:tcPr>
            <w:tcW w:w="1245"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Cs w:val="21"/>
                <w:lang w:val="zh-CN"/>
              </w:rPr>
            </w:pPr>
            <w:r>
              <w:rPr>
                <w:rFonts w:hint="eastAsia" w:ascii="宋体" w:hAnsi="宋体" w:eastAsia="宋体" w:cs="宋体"/>
                <w:bCs/>
                <w:color w:val="auto"/>
                <w:szCs w:val="21"/>
                <w:lang w:val="zh-CN"/>
              </w:rPr>
              <w:t xml:space="preserve">联系人</w:t>
            </w:r>
            <w:r/>
          </w:p>
        </w:tc>
        <w:tc>
          <w:tcPr>
            <w:tcW w:w="5386"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Cs w:val="21"/>
                <w:lang w:val="zh-CN"/>
              </w:rPr>
            </w:pPr>
            <w:r>
              <w:rPr>
                <w:rFonts w:hint="eastAsia" w:ascii="宋体" w:hAnsi="宋体" w:eastAsia="宋体" w:cs="宋体"/>
                <w:bCs/>
                <w:color w:val="auto"/>
                <w:szCs w:val="21"/>
                <w:lang w:bidi="zh-CN"/>
              </w:rPr>
              <w:t xml:space="preserve">刘工，</w:t>
            </w:r>
            <w:r>
              <w:rPr>
                <w:rFonts w:hint="eastAsia" w:ascii="宋体" w:hAnsi="宋体" w:eastAsia="宋体" w:cs="宋体"/>
                <w:bCs/>
                <w:color w:val="auto"/>
                <w:szCs w:val="21"/>
                <w:lang w:val="zh-CN"/>
              </w:rPr>
              <w:t xml:space="preserve">025-52655958</w:t>
            </w:r>
            <w:r/>
          </w:p>
        </w:tc>
      </w:tr>
    </w:tbl>
    <w:p>
      <w:pPr>
        <w:rPr>
          <w:rFonts w:hint="eastAsia" w:ascii="宋体" w:hAnsi="宋体" w:eastAsia="宋体" w:cs="宋体"/>
          <w:color w:val="auto"/>
        </w:rPr>
      </w:pPr>
      <w:r>
        <w:rPr>
          <w:rFonts w:hint="eastAsia" w:ascii="宋体" w:hAnsi="宋体" w:eastAsia="宋体" w:cs="宋体"/>
          <w:color w:val="auto"/>
        </w:rPr>
      </w:r>
      <w:r/>
    </w:p>
    <w:p>
      <w:pPr>
        <w:ind w:firstLine="424"/>
        <w:spacing w:line="360" w:lineRule="auto"/>
        <w:shd w:val="clear" w:color="auto" w:fill="ffffff"/>
        <w:widowControl/>
        <w:rPr>
          <w:rFonts w:hint="eastAsia" w:ascii="宋体" w:hAnsi="宋体" w:eastAsia="宋体" w:cs="宋体"/>
          <w:color w:val="auto"/>
          <w:szCs w:val="21"/>
        </w:rPr>
        <w:outlineLvl w:val="1"/>
      </w:pPr>
      <w:r/>
      <w:bookmarkStart w:id="15" w:name="_Toc67"/>
      <w:r>
        <w:rPr>
          <w:rFonts w:hint="eastAsia" w:ascii="宋体" w:hAnsi="宋体" w:eastAsia="宋体" w:cs="宋体"/>
          <w:b/>
          <w:bCs/>
          <w:color w:val="auto"/>
          <w:szCs w:val="21"/>
        </w:rPr>
        <w:t xml:space="preserve">一、总则</w:t>
      </w:r>
      <w:bookmarkEnd w:id="15"/>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1、适用法律</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2、定义</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2.4“货物和服务”指本招标文件中所述</w:t>
      </w:r>
      <w:r>
        <w:rPr>
          <w:rFonts w:hint="eastAsia" w:ascii="宋体" w:hAnsi="宋体" w:eastAsia="宋体" w:cs="宋体"/>
          <w:bCs/>
          <w:color w:val="auto"/>
          <w:szCs w:val="21"/>
        </w:rPr>
        <w:t xml:space="preserve">产品</w:t>
      </w:r>
      <w:r>
        <w:rPr>
          <w:rFonts w:hint="eastAsia" w:ascii="宋体" w:hAnsi="宋体" w:eastAsia="宋体" w:cs="宋体"/>
          <w:color w:val="auto"/>
          <w:szCs w:val="21"/>
        </w:rPr>
        <w:t xml:space="preserve">及相关服务。</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2.5“用户或使用单位”是指使用货物，接受服务的单位。</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3、政策功能</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3.6进口产品政策</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（2）允许进口产品参加的，满足需求的国内产品可以参加。</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3.7未按要求提供相关材料的，不享受相关政策。</w:t>
      </w:r>
      <w:r/>
    </w:p>
    <w:p>
      <w:pPr>
        <w:ind w:firstLine="412"/>
        <w:spacing w:beforeAutospacing="0" w:line="360" w:lineRule="auto"/>
        <w:shd w:val="clear" w:color="auto" w:fill="ffffff"/>
        <w:widowControl/>
        <w:rPr>
          <w:rFonts w:hint="default" w:ascii="Arial" w:hAnsi="Arial" w:eastAsia="宋体" w:cs="Arial"/>
          <w:b/>
          <w:bCs/>
          <w:color w:val="auto"/>
          <w:sz w:val="21"/>
          <w:szCs w:val="21"/>
          <w:highlight w:val="none"/>
          <w:lang w:val="en-US" w:eastAsia="zh-CN"/>
        </w:rPr>
      </w:pPr>
      <w:r/>
      <w:bookmarkStart w:id="16" w:name="_Toc4005"/>
      <w:r>
        <w:rPr>
          <w:rFonts w:hint="eastAsia" w:ascii="Arial" w:hAnsi="Arial" w:eastAsia="宋体" w:cs="Arial"/>
          <w:b/>
          <w:bCs/>
          <w:color w:val="auto"/>
          <w:sz w:val="21"/>
          <w:szCs w:val="21"/>
          <w:highlight w:val="none"/>
          <w:lang w:val="en-US" w:eastAsia="zh-CN"/>
        </w:rPr>
        <w:t xml:space="preserve">3.8</w:t>
      </w:r>
      <w:r>
        <w:rPr>
          <w:rFonts w:hint="default" w:ascii="Arial" w:hAnsi="Arial" w:eastAsia="宋体" w:cs="Arial"/>
          <w:b/>
          <w:bCs/>
          <w:color w:val="auto"/>
          <w:sz w:val="21"/>
          <w:szCs w:val="21"/>
          <w:highlight w:val="none"/>
        </w:rPr>
        <w:t xml:space="preserve"> </w:t>
      </w:r>
      <w:r>
        <w:rPr>
          <w:rFonts w:hint="default" w:ascii="Arial" w:hAnsi="Arial" w:eastAsia="宋体" w:cs="Arial"/>
          <w:b/>
          <w:bCs/>
          <w:color w:val="auto"/>
          <w:sz w:val="21"/>
          <w:szCs w:val="21"/>
          <w:highlight w:val="none"/>
          <w:lang w:val="en-US" w:eastAsia="zh-CN"/>
        </w:rPr>
        <w:t xml:space="preserve">异常低价审查</w:t>
      </w:r>
      <w:r/>
    </w:p>
    <w:p>
      <w:pPr>
        <w:ind w:firstLine="412"/>
        <w:spacing w:beforeAutospacing="0" w:line="360" w:lineRule="auto"/>
        <w:shd w:val="clear" w:color="auto" w:fill="ffffff"/>
        <w:widowControl/>
        <w:rPr>
          <w:rFonts w:hint="default" w:ascii="Arial" w:hAnsi="Arial" w:cs="Arial"/>
          <w:b/>
          <w:bCs/>
          <w:color w:val="auto"/>
          <w:sz w:val="21"/>
          <w:szCs w:val="21"/>
          <w:highlight w:val="none"/>
          <w:lang w:val="en-US" w:eastAsia="zh-CN"/>
        </w:rPr>
      </w:pPr>
      <w:r>
        <w:rPr>
          <w:rFonts w:hint="default" w:ascii="Arial" w:hAnsi="Arial" w:eastAsia="宋体" w:cs="Arial"/>
          <w:b/>
          <w:bCs/>
          <w:color w:val="auto"/>
          <w:sz w:val="21"/>
          <w:szCs w:val="21"/>
          <w:highlight w:val="none"/>
          <w:lang w:val="en-US" w:eastAsia="zh-CN"/>
        </w:rPr>
        <w:t xml:space="preserve">根据苏财购〔2025〕62号《关于推动解决政府采购异常低价问题相关工作的通知》</w:t>
      </w:r>
      <w:r>
        <w:rPr>
          <w:rFonts w:hint="default" w:ascii="Arial" w:hAnsi="Arial" w:cs="Arial"/>
          <w:b/>
          <w:bCs/>
          <w:color w:val="auto"/>
          <w:sz w:val="21"/>
          <w:szCs w:val="21"/>
          <w:highlight w:val="none"/>
          <w:lang w:val="en-US" w:eastAsia="zh-CN"/>
        </w:rPr>
        <w:t xml:space="preserve">，供应商的投标报价出现以下情形的，评审委员会将启动异常低价投标（响应）审查。</w:t>
      </w:r>
      <w:r/>
    </w:p>
    <w:p>
      <w:pPr>
        <w:ind w:firstLine="412"/>
        <w:spacing w:beforeAutospacing="0" w:line="360" w:lineRule="auto"/>
        <w:shd w:val="clear" w:color="auto" w:fill="ffffff"/>
        <w:widowControl/>
        <w:rPr>
          <w:rFonts w:hint="default" w:ascii="Arial" w:hAnsi="Arial" w:cs="Arial"/>
          <w:b/>
          <w:bCs/>
          <w:color w:val="auto"/>
          <w:sz w:val="21"/>
          <w:szCs w:val="21"/>
          <w:highlight w:val="none"/>
          <w:lang w:val="en-US" w:eastAsia="zh-CN"/>
        </w:rPr>
      </w:pPr>
      <w:r>
        <w:rPr>
          <w:rFonts w:hint="eastAsia" w:ascii="Arial" w:hAnsi="Arial" w:cs="Arial"/>
          <w:b/>
          <w:bCs/>
          <w:color w:val="auto"/>
          <w:sz w:val="21"/>
          <w:szCs w:val="21"/>
          <w:highlight w:val="none"/>
          <w:lang w:val="en-US" w:eastAsia="zh-CN"/>
        </w:rPr>
        <w:t xml:space="preserve">3.8</w:t>
      </w:r>
      <w:r>
        <w:rPr>
          <w:rFonts w:hint="default" w:ascii="Arial" w:hAnsi="Arial" w:cs="Arial"/>
          <w:b/>
          <w:bCs/>
          <w:color w:val="auto"/>
          <w:sz w:val="21"/>
          <w:szCs w:val="21"/>
          <w:highlight w:val="none"/>
          <w:lang w:val="en-US" w:eastAsia="zh-CN"/>
        </w:rPr>
        <w:t xml:space="preserve">.1投标(响应)报价低于采购项目预算 50%的，即投标(响应)报价&lt;采购项目预算x50%;</w:t>
      </w:r>
      <w:r/>
    </w:p>
    <w:p>
      <w:pPr>
        <w:ind w:firstLine="412"/>
        <w:spacing w:beforeAutospacing="0" w:line="360" w:lineRule="auto"/>
        <w:shd w:val="clear" w:color="auto" w:fill="ffffff"/>
        <w:widowControl/>
        <w:rPr>
          <w:rFonts w:hint="default" w:ascii="Arial" w:hAnsi="Arial" w:cs="Arial"/>
          <w:b/>
          <w:bCs/>
          <w:color w:val="auto"/>
          <w:sz w:val="21"/>
          <w:szCs w:val="21"/>
          <w:highlight w:val="none"/>
          <w:lang w:val="en-US" w:eastAsia="zh-CN"/>
        </w:rPr>
      </w:pPr>
      <w:r>
        <w:rPr>
          <w:rFonts w:hint="eastAsia" w:ascii="Arial" w:hAnsi="Arial" w:cs="Arial"/>
          <w:b/>
          <w:bCs/>
          <w:color w:val="auto"/>
          <w:sz w:val="21"/>
          <w:szCs w:val="21"/>
          <w:highlight w:val="none"/>
          <w:lang w:val="en-US" w:eastAsia="zh-CN"/>
        </w:rPr>
        <w:t xml:space="preserve">3.8</w:t>
      </w:r>
      <w:r>
        <w:rPr>
          <w:rFonts w:hint="default" w:ascii="Arial" w:hAnsi="Arial" w:cs="Arial"/>
          <w:b/>
          <w:bCs/>
          <w:color w:val="auto"/>
          <w:sz w:val="21"/>
          <w:szCs w:val="21"/>
          <w:highlight w:val="none"/>
          <w:lang w:val="en-US" w:eastAsia="zh-CN"/>
        </w:rPr>
        <w:t xml:space="preserve">.2投标(响应)报价低于采购项目最高限价45%的，即投标(响应)报价&lt;采购项目最高限价x45%;</w:t>
      </w:r>
      <w:r/>
    </w:p>
    <w:p>
      <w:pPr>
        <w:ind w:firstLine="412"/>
        <w:spacing w:beforeAutospacing="0" w:line="360" w:lineRule="auto"/>
        <w:shd w:val="clear" w:color="auto" w:fill="ffffff"/>
        <w:widowControl/>
        <w:rPr>
          <w:rFonts w:hint="default" w:ascii="Arial" w:hAnsi="Arial" w:cs="Arial"/>
          <w:b/>
          <w:bCs/>
          <w:color w:val="auto"/>
          <w:sz w:val="21"/>
          <w:szCs w:val="21"/>
          <w:highlight w:val="none"/>
          <w:lang w:val="en-US" w:eastAsia="zh-CN"/>
        </w:rPr>
      </w:pPr>
      <w:r>
        <w:rPr>
          <w:rFonts w:hint="eastAsia" w:ascii="Arial" w:hAnsi="Arial" w:cs="Arial"/>
          <w:b/>
          <w:bCs/>
          <w:color w:val="auto"/>
          <w:sz w:val="21"/>
          <w:szCs w:val="21"/>
          <w:highlight w:val="none"/>
          <w:lang w:val="en-US" w:eastAsia="zh-CN"/>
        </w:rPr>
        <w:t xml:space="preserve">3.8</w:t>
      </w:r>
      <w:r>
        <w:rPr>
          <w:rFonts w:hint="default" w:ascii="Arial" w:hAnsi="Arial" w:cs="Arial"/>
          <w:b/>
          <w:bCs/>
          <w:color w:val="auto"/>
          <w:sz w:val="21"/>
          <w:szCs w:val="21"/>
          <w:highlight w:val="none"/>
          <w:lang w:val="en-US" w:eastAsia="zh-CN"/>
        </w:rPr>
        <w:t xml:space="preserve">.3评审委员会认定的供应商报价过低、有可能影响产品质量或者不能诚信履约的其他情形。</w:t>
      </w:r>
      <w:r/>
    </w:p>
    <w:p>
      <w:pPr>
        <w:ind w:firstLine="412"/>
        <w:spacing w:beforeAutospacing="0" w:line="360" w:lineRule="auto"/>
        <w:shd w:val="clear" w:color="auto" w:fill="ffffff"/>
        <w:widowControl/>
        <w:rPr>
          <w:rFonts w:hint="default" w:ascii="Arial" w:hAnsi="Arial" w:cs="Arial"/>
          <w:b/>
          <w:bCs/>
          <w:color w:val="auto"/>
          <w:sz w:val="21"/>
          <w:szCs w:val="21"/>
          <w:highlight w:val="none"/>
          <w:lang w:val="en-US" w:eastAsia="zh-CN"/>
        </w:rPr>
      </w:pPr>
      <w:r>
        <w:rPr>
          <w:rFonts w:hint="default" w:ascii="Arial" w:hAnsi="Arial" w:cs="Arial"/>
          <w:b/>
          <w:bCs/>
          <w:color w:val="auto"/>
          <w:sz w:val="21"/>
          <w:szCs w:val="21"/>
          <w:highlight w:val="none"/>
          <w:lang w:val="en-US" w:eastAsia="zh-CN"/>
        </w:rPr>
        <w:t xml:space="preserve">启动异常低价投标（响应）审查后，评审委员会将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并将相关审查情况记录在评标报告中。</w:t>
      </w:r>
      <w:r/>
    </w:p>
    <w:p>
      <w:pPr>
        <w:pStyle w:val="954"/>
        <w:rPr>
          <w:rFonts w:hint="default"/>
          <w:b/>
          <w:bCs/>
          <w:color w:val="auto"/>
          <w:sz w:val="24"/>
          <w:szCs w:val="24"/>
          <w:lang w:val="en-US" w:eastAsia="zh-CN"/>
        </w:rPr>
      </w:pPr>
      <w:r>
        <w:rPr>
          <w:rFonts w:hint="eastAsia" w:ascii="Arial" w:hAnsi="Arial" w:cs="Arial"/>
          <w:b/>
          <w:bCs/>
          <w:color w:val="auto"/>
          <w:sz w:val="24"/>
          <w:szCs w:val="24"/>
          <w:highlight w:val="none"/>
          <w:lang w:val="en-US" w:eastAsia="zh-CN"/>
        </w:rPr>
        <w:t xml:space="preserve">3.9 </w:t>
      </w:r>
      <w:r>
        <w:rPr>
          <w:rFonts w:hint="eastAsia" w:cs="仿宋"/>
          <w:b/>
          <w:bCs/>
          <w:color w:val="auto"/>
          <w:spacing w:val="-3"/>
          <w:sz w:val="24"/>
          <w:szCs w:val="24"/>
          <w:highlight w:val="none"/>
          <w:lang w:val="en-US"/>
        </w:rPr>
        <w:t xml:space="preserve">本项目采购标的对应的中小企业划分标准所属行业为</w:t>
      </w:r>
      <w:r>
        <w:rPr>
          <w:rFonts w:hint="eastAsia" w:ascii="Arial" w:hAnsi="Arial" w:cs="Arial"/>
          <w:b/>
          <w:bCs/>
          <w:color w:val="auto"/>
          <w:sz w:val="24"/>
          <w:szCs w:val="24"/>
          <w:highlight w:val="none"/>
          <w:lang w:val="en-US" w:eastAsia="zh-CN"/>
        </w:rPr>
        <w:t xml:space="preserve">“交通运输业”。</w:t>
      </w:r>
      <w:r/>
    </w:p>
    <w:p>
      <w:pPr>
        <w:rPr>
          <w:rFonts w:hint="eastAsia" w:ascii="宋体" w:hAnsi="宋体" w:eastAsia="宋体" w:cs="宋体"/>
          <w:b/>
          <w:bCs/>
          <w:color w:val="auto"/>
          <w:szCs w:val="21"/>
        </w:rPr>
      </w:pPr>
      <w:r>
        <w:rPr>
          <w:rFonts w:hint="eastAsia" w:ascii="宋体" w:hAnsi="宋体" w:eastAsia="宋体" w:cs="宋体"/>
          <w:b/>
          <w:bCs/>
          <w:color w:val="auto"/>
          <w:szCs w:val="21"/>
        </w:rPr>
        <w:br w:type="page" w:clear="all"/>
      </w:r>
      <w:r/>
    </w:p>
    <w:p>
      <w:pPr>
        <w:ind w:firstLine="412"/>
        <w:spacing w:line="360" w:lineRule="auto"/>
        <w:shd w:val="clear" w:color="auto" w:fill="ffffff"/>
        <w:widowControl/>
        <w:rPr>
          <w:rFonts w:hint="eastAsia" w:ascii="宋体" w:hAnsi="宋体" w:eastAsia="宋体" w:cs="宋体"/>
          <w:color w:val="auto"/>
          <w:szCs w:val="21"/>
        </w:rPr>
        <w:outlineLvl w:val="1"/>
      </w:pPr>
      <w:r>
        <w:rPr>
          <w:rFonts w:hint="eastAsia" w:ascii="宋体" w:hAnsi="宋体" w:eastAsia="宋体" w:cs="宋体"/>
          <w:b/>
          <w:bCs/>
          <w:color w:val="auto"/>
          <w:szCs w:val="21"/>
        </w:rPr>
        <w:t xml:space="preserve">二、招标文件构成</w:t>
      </w:r>
      <w:bookmarkEnd w:id="16"/>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4、招标文件组成</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4.1招标文件包括以下主要内容：</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（1）招标公告；</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（2）投标人须知；</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（3）评标标准；</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（4）采购需求；</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（5）合同主要条款及格式；</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（6）投标文件格式及附件。</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如标书制作工具中格式和内容与“南京公共采购信息网、江苏政府采购网”发布的招标文件不一致的，以上述网站发布的招标文件为准。</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4.2招标的最小单位是标段。招标货物数量及技术要求中未分标段的，投标人对要求提供的货物和服务不得部分投标；招标货物数量及技术要求中已经分标段的，可以以标段为单位投标。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4.3采购代理机构如果要求投标人按照招标文件规定提交备选投标方案的，投标人可以提交备选方案；否则，备选方案将被拒绝。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4.4招标文件中要求的产品品牌或型号，是采购人根据项目所要实现的功能推荐的品牌或型号，仅供投标人参考，并不是限制条件。</w:t>
      </w:r>
      <w:r/>
    </w:p>
    <w:p>
      <w:pPr>
        <w:ind w:firstLine="420"/>
        <w:spacing w:beforeAutospacing="0" w:line="360" w:lineRule="auto"/>
        <w:shd w:val="clear" w:color="auto" w:fill="ffffff"/>
        <w:widowControl/>
        <w:rPr>
          <w:rFonts w:hint="default" w:ascii="Arial" w:hAnsi="Arial" w:cs="Arial"/>
          <w:b/>
          <w:bCs/>
          <w:color w:val="auto"/>
          <w:sz w:val="21"/>
          <w:szCs w:val="21"/>
          <w:highlight w:val="none"/>
        </w:rPr>
      </w:pPr>
      <w:r>
        <w:rPr>
          <w:rFonts w:hint="eastAsia" w:ascii="Arial" w:hAnsi="Arial" w:cs="Arial"/>
          <w:b/>
          <w:bCs/>
          <w:color w:val="auto"/>
          <w:sz w:val="21"/>
          <w:szCs w:val="21"/>
          <w:highlight w:val="none"/>
          <w:lang w:val="en-US" w:eastAsia="zh-CN"/>
        </w:rPr>
        <w:t xml:space="preserve">4.5</w:t>
      </w:r>
      <w:r>
        <w:rPr>
          <w:rFonts w:hint="default" w:ascii="Arial" w:hAnsi="Arial" w:cs="Arial"/>
          <w:b/>
          <w:bCs/>
          <w:color w:val="auto"/>
          <w:sz w:val="21"/>
          <w:szCs w:val="21"/>
          <w:highlight w:val="none"/>
        </w:rPr>
        <w:t xml:space="preserve">如标书制作工具中格式和内容与“江苏政府采购网”发布的</w:t>
      </w:r>
      <w:r>
        <w:rPr>
          <w:rFonts w:hint="eastAsia" w:ascii="Arial" w:hAnsi="Arial" w:eastAsia="宋体" w:cs="Arial"/>
          <w:b/>
          <w:bCs/>
          <w:color w:val="auto"/>
          <w:sz w:val="21"/>
          <w:szCs w:val="21"/>
          <w:highlight w:val="none"/>
          <w:lang w:val="en-US" w:eastAsia="zh-CN"/>
        </w:rPr>
        <w:t xml:space="preserve">采购</w:t>
      </w:r>
      <w:r>
        <w:rPr>
          <w:rFonts w:hint="default" w:ascii="Arial" w:hAnsi="Arial" w:cs="Arial"/>
          <w:b/>
          <w:bCs/>
          <w:color w:val="auto"/>
          <w:sz w:val="21"/>
          <w:szCs w:val="21"/>
          <w:highlight w:val="none"/>
        </w:rPr>
        <w:t xml:space="preserve">文件不一致，以“江苏政府采购网”发布的</w:t>
      </w:r>
      <w:r>
        <w:rPr>
          <w:rFonts w:hint="eastAsia" w:ascii="Arial" w:hAnsi="Arial" w:eastAsia="宋体" w:cs="Arial"/>
          <w:b/>
          <w:bCs/>
          <w:color w:val="auto"/>
          <w:sz w:val="21"/>
          <w:szCs w:val="21"/>
          <w:highlight w:val="none"/>
          <w:lang w:val="en-US" w:eastAsia="zh-CN"/>
        </w:rPr>
        <w:t xml:space="preserve">采购</w:t>
      </w:r>
      <w:r>
        <w:rPr>
          <w:rFonts w:hint="default" w:ascii="Arial" w:hAnsi="Arial" w:cs="Arial"/>
          <w:b/>
          <w:bCs/>
          <w:color w:val="auto"/>
          <w:sz w:val="21"/>
          <w:szCs w:val="21"/>
          <w:highlight w:val="none"/>
        </w:rPr>
        <w:t xml:space="preserve">文件为准。</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5、招标文件的澄清或者修改</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5.3投标人应在提交投标文件截止时间前，关注原公告媒体有关本项目的更正公告，根据更正公告内容自行决定是否需要重新制作和提交投标文件，并承担由此产生的相应责任。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eastAsia="宋体" w:cs="宋体"/>
          <w:color w:val="auto"/>
          <w:szCs w:val="21"/>
        </w:rPr>
        <w:outlineLvl w:val="1"/>
      </w:pPr>
      <w:r/>
      <w:bookmarkStart w:id="17" w:name="_Toc26315"/>
      <w:r>
        <w:rPr>
          <w:rFonts w:hint="eastAsia" w:ascii="宋体" w:hAnsi="宋体" w:eastAsia="宋体" w:cs="宋体"/>
          <w:b/>
          <w:bCs/>
          <w:color w:val="auto"/>
          <w:szCs w:val="21"/>
        </w:rPr>
        <w:t xml:space="preserve">三、投标文件的编制</w:t>
      </w:r>
      <w:bookmarkEnd w:id="17"/>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6、投标文件的语言、计量单位、货币和编制</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6.2投标人所使用的计量单位应为国家法定计量单位。</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6.3投标人应用人民币报价。投标产品如果是进口产品的，应提供人民币与外币之间的汇率。</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6.4投标文件应按照招标文件的规定编写并制作目录。</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Cs/>
          <w:color w:val="auto"/>
          <w:szCs w:val="21"/>
        </w:rPr>
        <w:t xml:space="preserve">6.6</w:t>
      </w:r>
      <w:r>
        <w:rPr>
          <w:rFonts w:hint="eastAsia" w:ascii="宋体" w:hAnsi="宋体" w:eastAsia="宋体" w:cs="宋体"/>
          <w:color w:val="auto"/>
          <w:szCs w:val="21"/>
        </w:rPr>
        <w:t xml:space="preserve">投标人根据招标文件载明的标的采购项目实际情况，拟在中标后将中标项目的非主体、非关键性工作交由他人完成的，应当在投标文件中载明。</w:t>
      </w:r>
      <w:r/>
    </w:p>
    <w:p>
      <w:pPr>
        <w:numPr>
          <w:ilvl w:val="0"/>
          <w:numId w:val="7"/>
        </w:numPr>
        <w:ind w:firstLine="420"/>
        <w:spacing w:line="360" w:lineRule="auto"/>
        <w:shd w:val="clear" w:color="auto" w:fill="ffffff"/>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联合体投标（本项目不接受）</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7.1两个以上的自然人、法人或者其他组织可以组成一个联合体，以一个投标人的身份共同参加政府采购。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7.2联合体中有同类资质的投标人按照联合体分工承担相同工作的，按照资质等级较低的投标人确定资质等级。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7.3联合体各方之间应当签订联合体协议，明确约定联合体各方承担的工作和相应的责任，并将联合体协议连同投标文件一同提交。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7.4以联合体形式参加政府采购活动的，联合体各方不得再单独参加或者与其他投标人另外组成联合体参加同一合同项下的政府采购活动。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8、投标文件的组成</w:t>
      </w:r>
      <w:r/>
    </w:p>
    <w:p>
      <w:pPr>
        <w:ind w:firstLine="420"/>
        <w:jc w:val="left"/>
        <w:spacing w:line="360" w:lineRule="auto"/>
        <w:shd w:val="clear" w:color="auto" w:fill="ffffff"/>
        <w:widowControl/>
        <w:rPr>
          <w:rFonts w:hint="eastAsia" w:ascii="宋体" w:hAnsi="宋体" w:eastAsia="宋体" w:cs="宋体"/>
          <w:bCs/>
          <w:color w:val="auto"/>
          <w:szCs w:val="21"/>
        </w:rPr>
      </w:pPr>
      <w:r>
        <w:rPr>
          <w:rFonts w:hint="eastAsia" w:ascii="宋体" w:hAnsi="宋体" w:eastAsia="宋体" w:cs="宋体"/>
          <w:color w:val="auto"/>
          <w:szCs w:val="21"/>
        </w:rPr>
        <w:t xml:space="preserve">8.1投标人应当根据招标文件要求编制投标文件，投标文件应对招标文件提出的要求和条件作出实质性响应，并在《商务条款偏离表》和《技术条款偏离表》等处逐条标明满足与否。</w:t>
      </w:r>
      <w:r>
        <w:rPr>
          <w:rFonts w:hint="eastAsia" w:ascii="宋体" w:hAnsi="宋体" w:eastAsia="宋体" w:cs="宋体"/>
          <w:bCs/>
          <w:color w:val="auto"/>
          <w:szCs w:val="21"/>
        </w:rPr>
        <w:t xml:space="preserve">对带星号（“</w:t>
      </w:r>
      <w:r>
        <w:rPr>
          <w:rFonts w:hint="eastAsia" w:ascii="宋体" w:hAnsi="宋体" w:eastAsia="宋体" w:cs="宋体"/>
          <w:bCs/>
          <w:color w:val="auto"/>
          <w:lang w:val="en-US" w:eastAsia="zh-CN"/>
        </w:rPr>
        <w:t xml:space="preserve">★</w:t>
      </w:r>
      <w:r>
        <w:rPr>
          <w:rFonts w:hint="eastAsia" w:ascii="宋体" w:hAnsi="宋体" w:eastAsia="宋体" w:cs="宋体"/>
          <w:bCs/>
          <w:color w:val="auto"/>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8.2投标文件由商务、技术、价格以及其他部分内容组成。投标文件目录及有关格式按招标文件“第六章投标文件格式及附件”的要求编制。</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9、投标文件的商务内容</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9.1商务部分内容是证明投标人有资格参加投标和中标后有能力履行合同的文件，这些文件应能满足招标的要求，包括但不限于下列文件（（1）-（</w:t>
      </w:r>
      <w:r>
        <w:rPr>
          <w:rFonts w:hint="eastAsia" w:ascii="宋体" w:hAnsi="宋体" w:eastAsia="宋体" w:cs="宋体"/>
          <w:color w:val="auto"/>
          <w:szCs w:val="21"/>
          <w:lang w:val="en-US" w:eastAsia="zh-CN"/>
        </w:rPr>
        <w:t xml:space="preserve">7</w:t>
      </w:r>
      <w:r>
        <w:rPr>
          <w:rFonts w:hint="eastAsia" w:ascii="宋体" w:hAnsi="宋体" w:eastAsia="宋体" w:cs="宋体"/>
          <w:color w:val="auto"/>
          <w:szCs w:val="21"/>
        </w:rPr>
        <w:t xml:space="preserve">）所述材料不得有缺失或提供不全或不满足招标文件的实质性要求）：</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（1）投标函（投标申请及声明）；</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（2）法定代表人授权书；</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（3）投标人资格资信证明文件：</w:t>
      </w:r>
      <w:r/>
    </w:p>
    <w:p>
      <w:pPr>
        <w:numPr>
          <w:ilvl w:val="1"/>
          <w:numId w:val="8"/>
        </w:numPr>
        <w:ind w:left="0" w:firstLine="640"/>
        <w:spacing w:line="360" w:lineRule="auto"/>
        <w:tabs>
          <w:tab w:val="left" w:pos="840" w:leader="none"/>
        </w:tabs>
        <w:rPr>
          <w:rFonts w:hint="eastAsia" w:ascii="宋体" w:hAnsi="宋体" w:eastAsia="宋体" w:cs="宋体"/>
          <w:bCs/>
          <w:color w:val="auto"/>
          <w:szCs w:val="21"/>
        </w:rPr>
      </w:pPr>
      <w:r>
        <w:rPr>
          <w:rFonts w:hint="eastAsia" w:ascii="宋体" w:hAnsi="宋体" w:eastAsia="宋体" w:cs="宋体"/>
          <w:bCs/>
          <w:color w:val="auto"/>
          <w:szCs w:val="21"/>
        </w:rPr>
        <w:t xml:space="preserve">第一章招标公告中《中华人民共和国政府采购法》规定的资格条件证明文件；</w:t>
      </w:r>
      <w:r/>
    </w:p>
    <w:p>
      <w:pPr>
        <w:numPr>
          <w:ilvl w:val="1"/>
          <w:numId w:val="8"/>
        </w:numPr>
        <w:ind w:left="0" w:firstLine="640"/>
        <w:spacing w:line="360" w:lineRule="auto"/>
        <w:tabs>
          <w:tab w:val="left" w:pos="840" w:leader="none"/>
        </w:tabs>
        <w:rPr>
          <w:rFonts w:hint="eastAsia" w:ascii="宋体" w:hAnsi="宋体" w:eastAsia="宋体" w:cs="宋体"/>
          <w:bCs/>
          <w:color w:val="auto"/>
          <w:szCs w:val="21"/>
        </w:rPr>
      </w:pPr>
      <w:r>
        <w:rPr>
          <w:rFonts w:hint="eastAsia" w:ascii="宋体" w:hAnsi="宋体" w:eastAsia="宋体" w:cs="宋体"/>
          <w:bCs/>
          <w:color w:val="auto"/>
          <w:szCs w:val="21"/>
        </w:rPr>
        <w:t xml:space="preserve">第一章招标公告中</w:t>
      </w:r>
      <w:r>
        <w:rPr>
          <w:rFonts w:hint="eastAsia" w:ascii="宋体" w:hAnsi="宋体" w:eastAsia="宋体" w:cs="宋体"/>
          <w:color w:val="auto"/>
          <w:spacing w:val="8"/>
          <w:szCs w:val="21"/>
        </w:rPr>
        <w:t xml:space="preserve">落实政府采购政策需满足的资格要求</w:t>
      </w:r>
      <w:r>
        <w:rPr>
          <w:rFonts w:hint="eastAsia" w:ascii="宋体" w:hAnsi="宋体" w:eastAsia="宋体" w:cs="宋体"/>
          <w:color w:val="auto"/>
          <w:spacing w:val="8"/>
          <w:szCs w:val="21"/>
          <w:lang w:eastAsia="zh-CN"/>
        </w:rPr>
        <w:t xml:space="preserve">（</w:t>
      </w:r>
      <w:r>
        <w:rPr>
          <w:rFonts w:hint="eastAsia" w:ascii="宋体" w:hAnsi="宋体" w:eastAsia="宋体" w:cs="宋体"/>
          <w:color w:val="auto"/>
          <w:spacing w:val="8"/>
          <w:szCs w:val="21"/>
          <w:lang w:val="en-US" w:eastAsia="zh-CN"/>
        </w:rPr>
        <w:t xml:space="preserve">如有）</w:t>
      </w:r>
      <w:r>
        <w:rPr>
          <w:rFonts w:hint="eastAsia" w:ascii="宋体" w:hAnsi="宋体" w:eastAsia="宋体" w:cs="宋体"/>
          <w:color w:val="auto"/>
          <w:spacing w:val="8"/>
          <w:szCs w:val="21"/>
        </w:rPr>
        <w:t xml:space="preserve">；</w:t>
      </w:r>
      <w:r/>
    </w:p>
    <w:p>
      <w:pPr>
        <w:numPr>
          <w:ilvl w:val="1"/>
          <w:numId w:val="8"/>
        </w:numPr>
        <w:ind w:left="0" w:firstLine="640"/>
        <w:spacing w:line="360" w:lineRule="auto"/>
        <w:tabs>
          <w:tab w:val="left" w:pos="840" w:leader="none"/>
        </w:tabs>
        <w:rPr>
          <w:rFonts w:hint="eastAsia" w:ascii="宋体" w:hAnsi="宋体" w:eastAsia="宋体" w:cs="宋体"/>
          <w:bCs/>
          <w:color w:val="auto"/>
          <w:szCs w:val="21"/>
        </w:rPr>
      </w:pPr>
      <w:r>
        <w:rPr>
          <w:rFonts w:hint="eastAsia" w:ascii="宋体" w:hAnsi="宋体" w:eastAsia="宋体" w:cs="宋体"/>
          <w:bCs/>
          <w:color w:val="auto"/>
          <w:szCs w:val="21"/>
        </w:rPr>
        <w:t xml:space="preserve">第一章招标公告中采购人根据采购项目的特殊要求规定的特定条件证明文件</w:t>
      </w:r>
      <w:r>
        <w:rPr>
          <w:rFonts w:hint="eastAsia" w:ascii="宋体" w:hAnsi="宋体" w:eastAsia="宋体" w:cs="宋体"/>
          <w:color w:val="auto"/>
          <w:spacing w:val="8"/>
          <w:szCs w:val="21"/>
          <w:lang w:eastAsia="zh-CN"/>
        </w:rPr>
        <w:t xml:space="preserve">（</w:t>
      </w:r>
      <w:r>
        <w:rPr>
          <w:rFonts w:hint="eastAsia" w:ascii="宋体" w:hAnsi="宋体" w:eastAsia="宋体" w:cs="宋体"/>
          <w:color w:val="auto"/>
          <w:spacing w:val="8"/>
          <w:szCs w:val="21"/>
          <w:lang w:val="en-US" w:eastAsia="zh-CN"/>
        </w:rPr>
        <w:t xml:space="preserve">如有）</w:t>
      </w:r>
      <w:r>
        <w:rPr>
          <w:rFonts w:hint="eastAsia" w:ascii="宋体" w:hAnsi="宋体" w:eastAsia="宋体" w:cs="宋体"/>
          <w:bCs/>
          <w:color w:val="auto"/>
          <w:szCs w:val="21"/>
        </w:rPr>
        <w:t xml:space="preserve">。</w:t>
      </w:r>
      <w:r/>
    </w:p>
    <w:p>
      <w:pPr>
        <w:ind w:firstLine="420"/>
        <w:jc w:val="left"/>
        <w:spacing w:line="360" w:lineRule="auto"/>
        <w:shd w:val="clear" w:color="auto" w:fill="ffffff"/>
        <w:widowControl/>
        <w:rPr>
          <w:rFonts w:hint="eastAsia" w:ascii="宋体" w:hAnsi="宋体" w:eastAsia="宋体" w:cs="宋体"/>
          <w:color w:val="auto"/>
          <w:lang w:eastAsia="zh-CN"/>
        </w:rPr>
      </w:pPr>
      <w:r>
        <w:rPr>
          <w:rFonts w:hint="eastAsia" w:ascii="宋体" w:hAnsi="宋体" w:eastAsia="宋体" w:cs="宋体"/>
          <w:color w:val="auto"/>
        </w:rPr>
        <w:t xml:space="preserve">（4）开标一览表</w:t>
      </w:r>
      <w:r/>
    </w:p>
    <w:p>
      <w:pPr>
        <w:ind w:firstLine="420"/>
        <w:jc w:val="left"/>
        <w:spacing w:line="360" w:lineRule="auto"/>
        <w:shd w:val="clear" w:color="auto" w:fill="ffffff"/>
        <w:widowControl/>
        <w:rPr>
          <w:rFonts w:hint="eastAsia" w:ascii="宋体" w:hAnsi="宋体" w:eastAsia="宋体" w:cs="宋体"/>
          <w:color w:val="auto"/>
          <w14:ligatures w14:val="none"/>
        </w:rPr>
      </w:pPr>
      <w:r>
        <w:rPr>
          <w:rFonts w:hint="eastAsia" w:ascii="宋体" w:hAnsi="宋体" w:eastAsia="宋体" w:cs="宋体"/>
          <w:color w:val="auto"/>
        </w:rPr>
        <w:t xml:space="preserve">（</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w:t>
      </w:r>
      <w:r>
        <w:rPr>
          <w:rFonts w:hint="eastAsia" w:ascii="宋体" w:hAnsi="宋体" w:eastAsia="宋体" w:cs="宋体"/>
          <w:color w:val="auto"/>
          <w:lang w:eastAsia="zh-CN"/>
        </w:rPr>
        <w:t xml:space="preserve">投标分项报价表</w:t>
      </w:r>
      <w:r>
        <w:rPr>
          <w:rFonts w:hint="eastAsia" w:ascii="宋体" w:hAnsi="宋体" w:eastAsia="宋体" w:cs="宋体"/>
          <w:color w:val="auto"/>
        </w:rPr>
        <w:t xml:space="preserve">；</w:t>
      </w:r>
      <w:r/>
    </w:p>
    <w:p>
      <w:pPr>
        <w:ind w:firstLine="420"/>
        <w:jc w:val="left"/>
        <w:spacing w:line="360" w:lineRule="auto"/>
        <w:shd w:val="clear" w:color="auto" w:fill="ffffff"/>
        <w:widowControl/>
        <w:rPr>
          <w:rFonts w:hint="eastAsia" w:ascii="宋体" w:hAnsi="宋体" w:eastAsia="宋体" w:cs="宋体"/>
          <w:color w:val="auto"/>
          <w14:ligatures w14:val="none"/>
        </w:rPr>
      </w:pPr>
      <w:r>
        <w:rPr>
          <w:rFonts w:hint="eastAsia" w:ascii="宋体" w:hAnsi="宋体" w:eastAsia="宋体" w:cs="宋体"/>
          <w:color w:val="auto"/>
        </w:rPr>
        <w:t xml:space="preserve">（</w:t>
      </w:r>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）《南京市政府采购供应商信用记录表暨信用承诺书》</w:t>
      </w:r>
      <w:r>
        <w:rPr>
          <w:rFonts w:hint="eastAsia" w:ascii="宋体" w:hAnsi="宋体" w:eastAsia="宋体" w:cs="宋体"/>
          <w:color w:val="auto"/>
          <w:lang w:val="zh-CN"/>
        </w:rPr>
        <w:t xml:space="preserve">；</w:t>
      </w:r>
      <w:r/>
    </w:p>
    <w:p>
      <w:pPr>
        <w:ind w:firstLine="420"/>
        <w:jc w:val="left"/>
        <w:spacing w:line="360" w:lineRule="auto"/>
        <w:shd w:val="clear" w:color="auto" w:fill="ffffff"/>
        <w:widowControl/>
        <w:rPr>
          <w:rFonts w:hint="eastAsia" w:ascii="宋体" w:hAnsi="宋体" w:eastAsia="宋体" w:cs="宋体"/>
          <w:color w:val="auto"/>
          <w14:ligatures w14:val="none"/>
        </w:rPr>
      </w:pPr>
      <w:r>
        <w:rPr>
          <w:rFonts w:hint="eastAsia" w:ascii="宋体" w:hAnsi="宋体" w:eastAsia="宋体" w:cs="宋体"/>
          <w:color w:val="auto"/>
        </w:rPr>
        <w:t xml:space="preserve">（</w:t>
      </w:r>
      <w:r>
        <w:rPr>
          <w:rFonts w:hint="eastAsia" w:ascii="宋体" w:hAnsi="宋体" w:eastAsia="宋体" w:cs="宋体"/>
          <w:color w:val="auto"/>
          <w:lang w:val="en-US" w:eastAsia="zh-CN"/>
        </w:rPr>
        <w:t xml:space="preserve">7</w:t>
      </w:r>
      <w:r>
        <w:rPr>
          <w:rFonts w:hint="eastAsia" w:ascii="宋体" w:hAnsi="宋体" w:eastAsia="宋体" w:cs="宋体"/>
          <w:color w:val="auto"/>
        </w:rPr>
        <w:t xml:space="preserve">）《商务条款偏离表》；</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rPr>
        <w:t xml:space="preserve">（</w:t>
      </w:r>
      <w:r>
        <w:rPr>
          <w:rFonts w:hint="eastAsia" w:ascii="宋体" w:hAnsi="宋体" w:eastAsia="宋体" w:cs="宋体"/>
          <w:color w:val="auto"/>
          <w:lang w:val="en-US" w:eastAsia="zh-CN"/>
        </w:rPr>
        <w:t xml:space="preserve">8</w:t>
      </w:r>
      <w:r>
        <w:rPr>
          <w:rFonts w:hint="eastAsia" w:ascii="宋体" w:hAnsi="宋体" w:eastAsia="宋体" w:cs="宋体"/>
          <w:color w:val="auto"/>
        </w:rPr>
        <w:t xml:space="preserve">）其他（投标人认为有必要提供的声明和文件，如有，自行拟定并添加）。</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10、投标文件的技术内容</w:t>
      </w:r>
      <w:r/>
    </w:p>
    <w:p>
      <w:pPr>
        <w:ind w:firstLine="420"/>
        <w:jc w:val="left"/>
        <w:spacing w:line="360" w:lineRule="auto"/>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技术部分</w:t>
      </w:r>
      <w:r>
        <w:rPr>
          <w:rFonts w:hint="eastAsia" w:ascii="宋体" w:hAnsi="宋体" w:eastAsia="宋体" w:cs="宋体"/>
          <w:color w:val="auto"/>
          <w:szCs w:val="21"/>
        </w:rPr>
        <w:t xml:space="preserve">内容</w:t>
      </w:r>
      <w:r>
        <w:rPr>
          <w:rFonts w:hint="eastAsia" w:ascii="宋体" w:hAnsi="宋体" w:eastAsia="宋体" w:cs="宋体"/>
          <w:color w:val="auto"/>
          <w:szCs w:val="21"/>
          <w:lang w:val="zh-CN"/>
        </w:rPr>
        <w:t xml:space="preserve">是证明</w:t>
      </w:r>
      <w:r>
        <w:rPr>
          <w:rFonts w:hint="eastAsia" w:ascii="宋体" w:hAnsi="宋体" w:eastAsia="宋体" w:cs="宋体"/>
          <w:color w:val="auto"/>
          <w:szCs w:val="21"/>
        </w:rPr>
        <w:t xml:space="preserve">投标人提供的货物和服务是合格的、并符合招标文件要求的证明文件，以及</w:t>
      </w:r>
      <w:r>
        <w:rPr>
          <w:rFonts w:hint="eastAsia" w:ascii="宋体" w:hAnsi="宋体" w:eastAsia="宋体" w:cs="宋体"/>
          <w:color w:val="auto"/>
          <w:szCs w:val="21"/>
          <w:lang w:val="zh-CN"/>
        </w:rPr>
        <w:t xml:space="preserve">对货物和服务的详细说明，这些文件可以是文字资料、图纸、数据</w:t>
      </w:r>
      <w:r>
        <w:rPr>
          <w:rFonts w:hint="eastAsia" w:ascii="宋体" w:hAnsi="宋体" w:eastAsia="宋体" w:cs="宋体"/>
          <w:color w:val="auto"/>
          <w:szCs w:val="21"/>
        </w:rPr>
        <w:t xml:space="preserve">或其他证明文件</w:t>
      </w:r>
      <w:r>
        <w:rPr>
          <w:rFonts w:hint="eastAsia" w:ascii="宋体" w:hAnsi="宋体" w:eastAsia="宋体" w:cs="宋体"/>
          <w:color w:val="auto"/>
          <w:szCs w:val="21"/>
          <w:lang w:val="zh-CN"/>
        </w:rPr>
        <w:t xml:space="preserve">等。提供的货物和服务如与招标文件要求有不符之处，应说明其差别之所在。包括但不限于下列文件</w:t>
      </w:r>
      <w:r>
        <w:rPr>
          <w:rFonts w:hint="eastAsia" w:ascii="宋体" w:hAnsi="宋体" w:eastAsia="宋体" w:cs="宋体"/>
          <w:color w:val="auto"/>
          <w:szCs w:val="21"/>
        </w:rPr>
        <w:t xml:space="preserve">（（2）所述材料不得有缺失或提供不全或不满足招标文件的实质性要求）</w:t>
      </w:r>
      <w:r>
        <w:rPr>
          <w:rFonts w:hint="eastAsia" w:ascii="宋体" w:hAnsi="宋体" w:eastAsia="宋体" w:cs="宋体"/>
          <w:color w:val="auto"/>
          <w:szCs w:val="21"/>
          <w:lang w:val="zh-CN"/>
        </w:rPr>
        <w:t xml:space="preserve">：</w:t>
      </w:r>
      <w:r/>
    </w:p>
    <w:p>
      <w:pPr>
        <w:ind w:firstLine="420"/>
        <w:jc w:val="left"/>
        <w:spacing w:line="360" w:lineRule="auto"/>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（1）</w:t>
      </w:r>
      <w:r>
        <w:rPr>
          <w:rFonts w:hint="eastAsia" w:ascii="宋体" w:hAnsi="宋体" w:eastAsia="宋体" w:cs="宋体"/>
          <w:color w:val="auto"/>
          <w:szCs w:val="21"/>
        </w:rPr>
        <w:t xml:space="preserve">实施</w:t>
      </w:r>
      <w:r>
        <w:rPr>
          <w:rFonts w:hint="eastAsia" w:ascii="宋体" w:hAnsi="宋体" w:eastAsia="宋体" w:cs="宋体"/>
          <w:color w:val="auto"/>
          <w:szCs w:val="21"/>
          <w:lang w:val="zh-CN"/>
        </w:rPr>
        <w:t xml:space="preserve">方案；</w:t>
      </w:r>
      <w:r/>
    </w:p>
    <w:p>
      <w:pPr>
        <w:ind w:firstLine="420"/>
        <w:jc w:val="left"/>
        <w:spacing w:line="360" w:lineRule="auto"/>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（2）《</w:t>
      </w:r>
      <w:r>
        <w:rPr>
          <w:rFonts w:hint="eastAsia" w:ascii="宋体" w:hAnsi="宋体" w:eastAsia="宋体" w:cs="宋体"/>
          <w:color w:val="auto"/>
          <w:szCs w:val="21"/>
        </w:rPr>
        <w:t xml:space="preserve">技术条款</w:t>
      </w:r>
      <w:r>
        <w:rPr>
          <w:rFonts w:hint="eastAsia" w:ascii="宋体" w:hAnsi="宋体" w:eastAsia="宋体" w:cs="宋体"/>
          <w:color w:val="auto"/>
          <w:szCs w:val="21"/>
          <w:lang w:val="zh-CN"/>
        </w:rPr>
        <w:t xml:space="preserve">偏离表》；</w:t>
      </w:r>
      <w:r/>
    </w:p>
    <w:p>
      <w:pPr>
        <w:ind w:firstLine="420"/>
        <w:jc w:val="left"/>
        <w:spacing w:line="360" w:lineRule="auto"/>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（3）服务承诺；</w:t>
      </w:r>
      <w:r/>
    </w:p>
    <w:p>
      <w:pPr>
        <w:ind w:firstLine="420"/>
        <w:jc w:val="left"/>
        <w:spacing w:line="360" w:lineRule="auto"/>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（4）投标人拟投入本项目的设备、人员情况一览表；</w:t>
      </w:r>
      <w:r/>
    </w:p>
    <w:p>
      <w:pPr>
        <w:ind w:firstLine="420"/>
        <w:jc w:val="left"/>
        <w:spacing w:line="360" w:lineRule="auto"/>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（5）投标人认为需要提供的其他技术资料。</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11、投标文件的价格内容</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11.2报价应包含为履行本项目合同项下所有义务的全部含税费用</w:t>
      </w:r>
      <w:r>
        <w:rPr>
          <w:rFonts w:hint="eastAsia" w:ascii="宋体" w:hAnsi="宋体" w:eastAsia="宋体" w:cs="宋体"/>
          <w:color w:val="auto"/>
          <w:szCs w:val="21"/>
          <w:lang w:val="zh-CN"/>
        </w:rPr>
        <w:t xml:space="preserve">，</w:t>
      </w:r>
      <w:r>
        <w:rPr>
          <w:rFonts w:hint="eastAsia" w:ascii="宋体" w:hAnsi="宋体" w:eastAsia="宋体" w:cs="宋体"/>
          <w:bCs/>
          <w:color w:val="auto"/>
          <w:szCs w:val="21"/>
        </w:rPr>
        <w:t xml:space="preserve">以</w:t>
      </w:r>
      <w:r>
        <w:rPr>
          <w:rFonts w:hint="eastAsia" w:ascii="宋体" w:hAnsi="宋体" w:eastAsia="宋体" w:cs="宋体"/>
          <w:color w:val="auto"/>
          <w:szCs w:val="21"/>
        </w:rPr>
        <w:t xml:space="preserve">及投标人认为需要的其他费用等</w:t>
      </w:r>
      <w:r>
        <w:rPr>
          <w:rFonts w:hint="eastAsia" w:ascii="宋体" w:hAnsi="宋体" w:eastAsia="宋体" w:cs="宋体"/>
          <w:b/>
          <w:color w:val="auto"/>
          <w:szCs w:val="21"/>
        </w:rPr>
        <w:t xml:space="preserve">。</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11.5投标人应在《开标一览表》《分项报价表》等标明投标货物和服务的单价、总价以及分项报价等。</w:t>
      </w:r>
      <w:r/>
    </w:p>
    <w:p>
      <w:pPr>
        <w:ind w:firstLine="420"/>
        <w:spacing w:line="360" w:lineRule="auto"/>
        <w:shd w:val="clear" w:color="auto" w:fill="ffffff"/>
        <w:widowControl/>
        <w:rPr>
          <w:rFonts w:hint="eastAsia" w:ascii="宋体" w:hAnsi="宋体" w:eastAsia="宋体" w:cs="宋体"/>
          <w:b/>
          <w:bCs/>
          <w:color w:val="auto"/>
          <w:szCs w:val="21"/>
        </w:rPr>
      </w:pPr>
      <w:r>
        <w:rPr>
          <w:rFonts w:hint="eastAsia" w:ascii="宋体" w:hAnsi="宋体" w:eastAsia="宋体" w:cs="宋体"/>
          <w:color w:val="auto"/>
          <w:szCs w:val="21"/>
        </w:rPr>
        <w:t xml:space="preserve">11.6对于采用货币报价的项目，开标一览表中的投标总报价应与投标报价明细表中的投标总报价一致，如不一致不作为无效投标处理，评标时以开标一览表中价格为准。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eastAsia="宋体" w:cs="宋体"/>
          <w:color w:val="auto"/>
          <w:szCs w:val="21"/>
        </w:rPr>
      </w:pPr>
      <w:r>
        <w:rPr>
          <w:rFonts w:hint="eastAsia" w:ascii="宋体" w:hAnsi="宋体" w:eastAsia="宋体" w:cs="宋体"/>
          <w:b/>
          <w:bCs/>
          <w:color w:val="auto"/>
          <w:szCs w:val="21"/>
        </w:rPr>
        <w:t xml:space="preserve">11.7本项目预算为：详见第一章</w:t>
      </w:r>
      <w:r>
        <w:rPr>
          <w:rFonts w:hint="eastAsia" w:ascii="宋体" w:hAnsi="宋体" w:eastAsia="宋体" w:cs="宋体"/>
          <w:bCs/>
          <w:color w:val="auto"/>
          <w:szCs w:val="21"/>
        </w:rPr>
        <w:t xml:space="preserve">。</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12、投标文件的其他部分</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12.1其他部分由投标人根据编制投标文件需要提供的其他相关文件组成。</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12.2</w:t>
      </w:r>
      <w:r>
        <w:rPr>
          <w:rFonts w:hint="eastAsia" w:ascii="宋体" w:hAnsi="宋体" w:eastAsia="宋体" w:cs="宋体"/>
          <w:color w:val="auto"/>
          <w:szCs w:val="21"/>
          <w:lang w:val="zh-CN"/>
        </w:rPr>
        <w:t xml:space="preserve">如标书制作工具中格式和内容与“南京公共采购信息网、江苏政府采购网”发布的</w:t>
      </w:r>
      <w:r>
        <w:rPr>
          <w:rFonts w:hint="eastAsia" w:ascii="宋体" w:hAnsi="宋体" w:eastAsia="宋体" w:cs="宋体"/>
          <w:color w:val="auto"/>
          <w:szCs w:val="21"/>
        </w:rPr>
        <w:t xml:space="preserve">采购</w:t>
      </w:r>
      <w:r>
        <w:rPr>
          <w:rFonts w:hint="eastAsia" w:ascii="宋体" w:hAnsi="宋体" w:eastAsia="宋体" w:cs="宋体"/>
          <w:color w:val="auto"/>
          <w:szCs w:val="21"/>
          <w:lang w:val="zh-CN"/>
        </w:rPr>
        <w:t xml:space="preserve">文件不一致，以</w:t>
      </w:r>
      <w:r>
        <w:rPr>
          <w:rFonts w:hint="eastAsia" w:ascii="宋体" w:hAnsi="宋体" w:eastAsia="宋体" w:cs="宋体"/>
          <w:color w:val="auto"/>
          <w:szCs w:val="21"/>
        </w:rPr>
        <w:t xml:space="preserve">上述网站</w:t>
      </w:r>
      <w:r>
        <w:rPr>
          <w:rFonts w:hint="eastAsia" w:ascii="宋体" w:hAnsi="宋体" w:eastAsia="宋体" w:cs="宋体"/>
          <w:color w:val="auto"/>
          <w:szCs w:val="21"/>
          <w:lang w:val="zh-CN"/>
        </w:rPr>
        <w:t xml:space="preserve">发布的</w:t>
      </w:r>
      <w:r>
        <w:rPr>
          <w:rFonts w:hint="eastAsia" w:ascii="宋体" w:hAnsi="宋体" w:eastAsia="宋体" w:cs="宋体"/>
          <w:color w:val="auto"/>
          <w:szCs w:val="21"/>
        </w:rPr>
        <w:t xml:space="preserve">采购</w:t>
      </w:r>
      <w:r>
        <w:rPr>
          <w:rFonts w:hint="eastAsia" w:ascii="宋体" w:hAnsi="宋体" w:eastAsia="宋体" w:cs="宋体"/>
          <w:color w:val="auto"/>
          <w:szCs w:val="21"/>
          <w:lang w:val="zh-CN"/>
        </w:rPr>
        <w:t xml:space="preserve">文件为准。</w:t>
      </w:r>
      <w:r/>
    </w:p>
    <w:p>
      <w:pPr>
        <w:ind w:firstLine="420"/>
        <w:spacing w:line="360" w:lineRule="auto"/>
        <w:shd w:val="clear" w:color="auto" w:fill="ffffff"/>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13、投标保证金（本项目无需缴纳投标保证金）</w:t>
      </w:r>
      <w:r/>
    </w:p>
    <w:p>
      <w:pPr>
        <w:ind w:firstLine="420"/>
        <w:spacing w:line="360" w:lineRule="auto"/>
        <w:shd w:val="clear" w:color="auto" w:fill="ffffff"/>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14、投标有效期</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14.1自开标之日起90天内投标有效</w:t>
      </w:r>
      <w:r>
        <w:rPr>
          <w:rFonts w:hint="eastAsia" w:ascii="宋体" w:hAnsi="宋体" w:eastAsia="宋体" w:cs="宋体"/>
          <w:bCs/>
          <w:color w:val="auto"/>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14.2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15、投标文件签署</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15.1投标文件应按照招标文件要求加盖电子公章，否则视为无效投标。</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16、投标费用</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16.1投标人应承担所有与准备和参加投标有关的费用，无论招标结果如何，采购代理机构和采购人在任何情况下均无义务和责任承担这些费用。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eastAsia="宋体" w:cs="宋体"/>
          <w:bCs/>
          <w:color w:val="auto"/>
          <w:szCs w:val="21"/>
          <w:lang w:eastAsia="zh-CN"/>
        </w:rPr>
      </w:pPr>
      <w:r>
        <w:rPr>
          <w:rFonts w:hint="eastAsia" w:ascii="宋体" w:hAnsi="宋体" w:eastAsia="宋体" w:cs="宋体"/>
          <w:bCs/>
          <w:color w:val="auto"/>
          <w:szCs w:val="21"/>
        </w:rPr>
        <w:t xml:space="preserve">16.2招标代理服务费：本次招标</w:t>
      </w:r>
      <w:r>
        <w:rPr>
          <w:rFonts w:hint="eastAsia" w:ascii="宋体" w:hAnsi="宋体" w:eastAsia="宋体" w:cs="宋体"/>
          <w:bCs/>
          <w:color w:val="auto"/>
          <w:szCs w:val="21"/>
          <w:lang w:val="en-US" w:eastAsia="zh-CN"/>
        </w:rPr>
        <w:t xml:space="preserve">代理服务费由成交供应商支付</w:t>
      </w:r>
      <w:r>
        <w:rPr>
          <w:rFonts w:hint="eastAsia" w:ascii="宋体" w:hAnsi="宋体" w:eastAsia="宋体" w:cs="宋体"/>
          <w:bCs/>
          <w:color w:val="auto"/>
          <w:szCs w:val="21"/>
        </w:rPr>
        <w:t xml:space="preserve">，代理服务费收费标准以中标金额为计费基数，参照计价格[2002]1980号文计算，</w:t>
      </w:r>
      <w:r>
        <w:rPr>
          <w:rFonts w:hint="eastAsia" w:ascii="宋体" w:hAnsi="宋体" w:eastAsia="宋体" w:cs="宋体"/>
          <w:bCs/>
          <w:color w:val="auto"/>
          <w:szCs w:val="21"/>
          <w:lang w:val="en-US" w:eastAsia="zh-CN"/>
        </w:rPr>
        <w:t xml:space="preserve">供应商投标时</w:t>
      </w:r>
      <w:r>
        <w:rPr>
          <w:rFonts w:hint="eastAsia" w:ascii="宋体" w:hAnsi="宋体" w:eastAsia="宋体" w:cs="宋体"/>
          <w:bCs/>
          <w:color w:val="auto"/>
          <w:szCs w:val="21"/>
        </w:rPr>
        <w:t xml:space="preserve">应考虑在报价中，该费用包含在总价内，不单独列项。无论是否将该费用在报价中列明，均视为已含在总价中</w:t>
      </w:r>
      <w:r>
        <w:rPr>
          <w:rFonts w:hint="eastAsia" w:ascii="宋体" w:hAnsi="宋体" w:eastAsia="宋体" w:cs="宋体"/>
          <w:bCs/>
          <w:color w:val="auto"/>
          <w:szCs w:val="21"/>
          <w:lang w:eastAsia="zh-CN"/>
        </w:rPr>
        <w:t xml:space="preserve">。</w:t>
      </w:r>
      <w:r/>
    </w:p>
    <w:p>
      <w:pPr>
        <w:ind w:firstLine="420"/>
        <w:spacing w:line="360" w:lineRule="auto"/>
        <w:shd w:val="clear" w:color="auto" w:fill="ffffff"/>
        <w:widowControl/>
        <w:rPr>
          <w:rFonts w:hint="default"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16.3专家评审费：由采购人支付。</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16.</w:t>
      </w:r>
      <w:r>
        <w:rPr>
          <w:rFonts w:hint="eastAsia" w:ascii="宋体" w:hAnsi="宋体" w:eastAsia="宋体" w:cs="宋体"/>
          <w:color w:val="auto"/>
          <w:szCs w:val="21"/>
          <w:lang w:val="en-US" w:eastAsia="zh-CN"/>
        </w:rPr>
        <w:t xml:space="preserve">4</w:t>
      </w:r>
      <w:r>
        <w:rPr>
          <w:rFonts w:hint="eastAsia" w:ascii="宋体" w:hAnsi="宋体" w:eastAsia="宋体" w:cs="宋体"/>
          <w:color w:val="auto"/>
          <w:szCs w:val="21"/>
        </w:rPr>
        <w:t xml:space="preserve">开标公证费：无。</w:t>
      </w:r>
      <w:r/>
    </w:p>
    <w:p>
      <w:pPr>
        <w:ind w:firstLine="420"/>
        <w:spacing w:line="360" w:lineRule="auto"/>
        <w:shd w:val="clear" w:color="auto" w:fill="ffffff"/>
        <w:widowControl/>
        <w:rPr>
          <w:rFonts w:hint="eastAsia" w:ascii="宋体" w:hAnsi="宋体" w:eastAsia="宋体" w:cs="宋体"/>
          <w:color w:val="auto"/>
          <w:szCs w:val="21"/>
        </w:rPr>
        <w:outlineLvl w:val="1"/>
      </w:pPr>
      <w:r/>
      <w:bookmarkStart w:id="18" w:name="_Toc7076"/>
      <w:r>
        <w:rPr>
          <w:rFonts w:hint="eastAsia" w:ascii="宋体" w:hAnsi="宋体" w:eastAsia="宋体" w:cs="宋体"/>
          <w:b/>
          <w:bCs/>
          <w:color w:val="auto"/>
          <w:szCs w:val="21"/>
        </w:rPr>
        <w:t xml:space="preserve">四、投标文件的递交</w:t>
      </w:r>
      <w:bookmarkEnd w:id="18"/>
      <w:r/>
      <w:r/>
    </w:p>
    <w:p>
      <w:pPr>
        <w:ind w:firstLine="420"/>
        <w:spacing w:line="360" w:lineRule="auto"/>
        <w:shd w:val="clear" w:color="auto" w:fill="ffffff"/>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17、投标文件的递交</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17.1投标人应当按照《操作手册》规定，在招标公告规定的投标截止时间前制作并上传电子投标文件。招标代理机构拒绝接收提交投标文件截止时间后上传的任何电子投标文件。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18、投标文件的解密</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18.1投标人应当按照《操作手册》规定，在“苏采云”系统规定的时间内对投标文件进行解密。</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18.3投标人应充分考虑网络环境、网络带宽等因素可能对投标产生的影响，如因投标人自身原因造成的电子投标文件解密不成功的，做无效投标处理。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19、投标文件的修改和撤回</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19.2投标截止时间之后，投标文件不得撤回；如撤回，投标保证金不予退还。</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20、诚实信用</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eastAsia="宋体" w:cs="宋体"/>
          <w:color w:val="auto"/>
          <w:szCs w:val="21"/>
        </w:rPr>
        <w:outlineLvl w:val="1"/>
      </w:pPr>
      <w:r/>
      <w:bookmarkStart w:id="19" w:name="_Toc12203"/>
      <w:r>
        <w:rPr>
          <w:rFonts w:hint="eastAsia" w:ascii="宋体" w:hAnsi="宋体" w:eastAsia="宋体" w:cs="宋体"/>
          <w:b/>
          <w:bCs/>
          <w:color w:val="auto"/>
          <w:szCs w:val="21"/>
        </w:rPr>
        <w:t xml:space="preserve">五、开标、评标与定标</w:t>
      </w:r>
      <w:bookmarkEnd w:id="19"/>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21、开标</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21.1代理机构在招标公告中规定的时间和地点组织公开开标。投标人按照《操作手册》规定参加开标活动，并在“苏采云”系统规定的时间内对投标文件进行解密。“苏采云”系统公布各投标人名称和投标价格。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21.2投标人在开标过程中涉及到的投标文件解密、开标结果确认等工作，应按照《操作手册》规定执行。</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21.3投标人不足3家的，不得开标。</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21.4投标人如果对开标过程和开标结果有疑义，应当根据《操作手册》规定提出，“苏采云”系统中《开标记录表》公布后5分钟内未提出的，视同认可开标结果。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（1）招标文件存在不合理条款或者招标程序不符合规定的，采购人、采购代理机构改正后依法重新招标；</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22、评标</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22.1评标委员会</w:t>
      </w:r>
      <w:r/>
    </w:p>
    <w:p>
      <w:pPr>
        <w:ind w:firstLine="420"/>
        <w:spacing w:line="360" w:lineRule="auto"/>
        <w:shd w:val="clear" w:color="auto" w:fill="ffffff"/>
        <w:widowControl/>
        <w:rPr>
          <w:rFonts w:hint="eastAsia" w:ascii="宋体" w:hAnsi="宋体" w:eastAsia="宋体" w:cs="宋体"/>
          <w:bCs/>
          <w:color w:val="auto"/>
          <w:szCs w:val="21"/>
        </w:rPr>
      </w:pPr>
      <w:r>
        <w:rPr>
          <w:rFonts w:hint="eastAsia" w:ascii="宋体" w:hAnsi="宋体" w:eastAsia="宋体" w:cs="宋体"/>
          <w:b/>
          <w:bCs/>
          <w:color w:val="auto"/>
          <w:szCs w:val="21"/>
        </w:rPr>
        <w:t xml:space="preserve">22.1.1</w:t>
      </w:r>
      <w:r>
        <w:rPr>
          <w:rFonts w:hint="eastAsia" w:ascii="宋体" w:hAnsi="宋体" w:eastAsia="宋体" w:cs="宋体"/>
          <w:bCs/>
          <w:color w:val="auto"/>
          <w:szCs w:val="21"/>
        </w:rPr>
        <w:t xml:space="preserve">评标委员会负责具体评标事务，并独立履行下列职责：</w:t>
      </w:r>
      <w:r/>
    </w:p>
    <w:p>
      <w:pPr>
        <w:ind w:firstLine="420"/>
        <w:spacing w:line="360" w:lineRule="auto"/>
        <w:shd w:val="clear" w:color="auto" w:fill="ffffff"/>
        <w:widowControl/>
        <w:rPr>
          <w:rFonts w:hint="eastAsia" w:ascii="宋体" w:hAnsi="宋体" w:eastAsia="宋体" w:cs="宋体"/>
          <w:bCs/>
          <w:color w:val="auto"/>
          <w:szCs w:val="21"/>
        </w:rPr>
      </w:pPr>
      <w:r>
        <w:rPr>
          <w:rFonts w:hint="eastAsia" w:ascii="宋体" w:hAnsi="宋体" w:eastAsia="宋体" w:cs="宋体"/>
          <w:bCs/>
          <w:color w:val="auto"/>
          <w:szCs w:val="21"/>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color w:val="auto"/>
          <w:szCs w:val="21"/>
        </w:rPr>
      </w:pPr>
      <w:r>
        <w:rPr>
          <w:rFonts w:hint="eastAsia" w:ascii="宋体" w:hAnsi="宋体" w:eastAsia="宋体" w:cs="宋体"/>
          <w:bCs/>
          <w:color w:val="auto"/>
          <w:szCs w:val="21"/>
        </w:rPr>
        <w:t xml:space="preserve">（二）要求投标人对投标文件有关事项作出澄清或者说明；</w:t>
      </w:r>
      <w:r/>
    </w:p>
    <w:p>
      <w:pPr>
        <w:ind w:firstLine="420"/>
        <w:spacing w:line="360" w:lineRule="auto"/>
        <w:shd w:val="clear" w:color="auto" w:fill="ffffff"/>
        <w:widowControl/>
        <w:rPr>
          <w:rFonts w:hint="eastAsia" w:ascii="宋体" w:hAnsi="宋体" w:eastAsia="宋体" w:cs="宋体"/>
          <w:bCs/>
          <w:color w:val="auto"/>
          <w:szCs w:val="21"/>
        </w:rPr>
      </w:pPr>
      <w:r>
        <w:rPr>
          <w:rFonts w:hint="eastAsia" w:ascii="宋体" w:hAnsi="宋体" w:eastAsia="宋体" w:cs="宋体"/>
          <w:bCs/>
          <w:color w:val="auto"/>
          <w:szCs w:val="21"/>
        </w:rPr>
        <w:t xml:space="preserve">（三）对投标文件进行比较和评价；</w:t>
      </w:r>
      <w:r/>
    </w:p>
    <w:p>
      <w:pPr>
        <w:ind w:firstLine="420"/>
        <w:spacing w:line="360" w:lineRule="auto"/>
        <w:shd w:val="clear" w:color="auto" w:fill="ffffff"/>
        <w:widowControl/>
        <w:rPr>
          <w:rFonts w:hint="eastAsia" w:ascii="宋体" w:hAnsi="宋体" w:eastAsia="宋体" w:cs="宋体"/>
          <w:bCs/>
          <w:color w:val="auto"/>
          <w:szCs w:val="21"/>
        </w:rPr>
      </w:pPr>
      <w:r>
        <w:rPr>
          <w:rFonts w:hint="eastAsia" w:ascii="宋体" w:hAnsi="宋体" w:eastAsia="宋体" w:cs="宋体"/>
          <w:bCs/>
          <w:color w:val="auto"/>
          <w:szCs w:val="21"/>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Cs/>
          <w:color w:val="auto"/>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22.1.2</w:t>
      </w:r>
      <w:r>
        <w:rPr>
          <w:rFonts w:hint="eastAsia" w:ascii="宋体" w:hAnsi="宋体" w:eastAsia="宋体" w:cs="宋体"/>
          <w:color w:val="auto"/>
          <w:szCs w:val="21"/>
        </w:rPr>
        <w:t xml:space="preserve">评标委员会由</w:t>
      </w:r>
      <w:r>
        <w:rPr>
          <w:rFonts w:hint="eastAsia" w:ascii="宋体" w:hAnsi="宋体" w:eastAsia="宋体" w:cs="宋体"/>
          <w:bCs/>
          <w:color w:val="auto"/>
          <w:szCs w:val="21"/>
        </w:rPr>
        <w:t xml:space="preserve">采购人</w:t>
      </w:r>
      <w:r>
        <w:rPr>
          <w:rFonts w:hint="eastAsia" w:ascii="宋体" w:hAnsi="宋体" w:eastAsia="宋体" w:cs="宋体"/>
          <w:color w:val="auto"/>
          <w:szCs w:val="21"/>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22.2评标程序</w:t>
      </w:r>
      <w:r/>
    </w:p>
    <w:p>
      <w:pPr>
        <w:ind w:firstLine="420"/>
        <w:jc w:val="left"/>
        <w:spacing w:line="360" w:lineRule="auto"/>
        <w:shd w:val="clear" w:color="auto" w:fill="ffffff"/>
        <w:widowControl/>
        <w:rPr>
          <w:rFonts w:hint="eastAsia" w:ascii="宋体" w:hAnsi="宋体" w:eastAsia="宋体" w:cs="宋体"/>
          <w:b/>
          <w:color w:val="auto"/>
          <w:szCs w:val="21"/>
        </w:rPr>
      </w:pPr>
      <w:r>
        <w:rPr>
          <w:rFonts w:hint="eastAsia" w:ascii="宋体" w:hAnsi="宋体" w:eastAsia="宋体" w:cs="宋体"/>
          <w:b/>
          <w:color w:val="auto"/>
          <w:szCs w:val="21"/>
        </w:rPr>
        <w:t xml:space="preserve">22.2.1</w:t>
      </w:r>
      <w:r>
        <w:rPr>
          <w:rFonts w:hint="eastAsia" w:ascii="宋体" w:hAnsi="宋体" w:eastAsia="宋体" w:cs="宋体"/>
          <w:b/>
          <w:bCs/>
          <w:color w:val="auto"/>
          <w:szCs w:val="21"/>
        </w:rPr>
        <w:t xml:space="preserve">投标文件的资格性检查。</w:t>
      </w:r>
      <w:r>
        <w:rPr>
          <w:rFonts w:hint="eastAsia" w:ascii="宋体" w:hAnsi="宋体" w:eastAsia="宋体" w:cs="宋体"/>
          <w:color w:val="auto"/>
          <w:szCs w:val="21"/>
        </w:rPr>
        <w:t xml:space="preserve">公开招标采购项目开标结束后，</w:t>
      </w:r>
      <w:r>
        <w:rPr>
          <w:rFonts w:hint="eastAsia" w:ascii="宋体" w:hAnsi="宋体" w:eastAsia="宋体" w:cs="宋体"/>
          <w:color w:val="auto"/>
        </w:rPr>
        <w:t xml:space="preserve">采购人</w:t>
      </w:r>
      <w:r>
        <w:rPr>
          <w:rFonts w:hint="eastAsia" w:ascii="宋体" w:hAnsi="宋体" w:eastAsia="宋体" w:cs="宋体"/>
          <w:color w:val="auto"/>
          <w:szCs w:val="21"/>
        </w:rPr>
        <w:t xml:space="preserve">或者</w:t>
      </w:r>
      <w:r>
        <w:rPr>
          <w:rFonts w:hint="eastAsia" w:ascii="宋体" w:hAnsi="宋体" w:eastAsia="宋体" w:cs="宋体"/>
          <w:color w:val="auto"/>
        </w:rPr>
        <w:t xml:space="preserve">采购代理机构</w:t>
      </w:r>
      <w:r>
        <w:rPr>
          <w:rFonts w:hint="eastAsia" w:ascii="宋体" w:hAnsi="宋体" w:eastAsia="宋体" w:cs="宋体"/>
          <w:color w:val="auto"/>
          <w:szCs w:val="21"/>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22.2.2投标文件的符合性审查</w:t>
      </w:r>
      <w:r>
        <w:rPr>
          <w:rFonts w:hint="eastAsia" w:ascii="宋体" w:hAnsi="宋体" w:eastAsia="宋体" w:cs="宋体"/>
          <w:color w:val="auto"/>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eastAsia="宋体" w:cs="宋体"/>
          <w:bCs/>
          <w:color w:val="auto"/>
          <w:szCs w:val="21"/>
        </w:rPr>
      </w:pPr>
      <w:r>
        <w:rPr>
          <w:rFonts w:hint="eastAsia" w:ascii="宋体" w:hAnsi="宋体" w:eastAsia="宋体" w:cs="宋体"/>
          <w:bCs/>
          <w:color w:val="auto"/>
          <w:szCs w:val="21"/>
        </w:rPr>
        <w:t xml:space="preserve">（1）投标人在“苏采云”系统规定的时间内未成功解密电子投标文件的；</w:t>
      </w:r>
      <w:r/>
    </w:p>
    <w:p>
      <w:pPr>
        <w:ind w:firstLine="420"/>
        <w:spacing w:line="360" w:lineRule="auto"/>
        <w:shd w:val="clear" w:color="auto" w:fill="ffffff"/>
        <w:widowControl/>
        <w:rPr>
          <w:rFonts w:hint="eastAsia" w:ascii="宋体" w:hAnsi="宋体" w:eastAsia="宋体" w:cs="宋体"/>
          <w:bCs/>
          <w:color w:val="auto"/>
          <w:szCs w:val="21"/>
        </w:rPr>
      </w:pPr>
      <w:r>
        <w:rPr>
          <w:rFonts w:hint="eastAsia" w:ascii="宋体" w:hAnsi="宋体" w:eastAsia="宋体" w:cs="宋体"/>
          <w:bCs/>
          <w:color w:val="auto"/>
          <w:szCs w:val="21"/>
        </w:rPr>
        <w:t xml:space="preserve">（2）投标人未按照招标文件要求上传电子投标文件的；</w:t>
      </w:r>
      <w:r/>
    </w:p>
    <w:p>
      <w:pPr>
        <w:ind w:firstLine="420"/>
        <w:spacing w:line="360" w:lineRule="auto"/>
        <w:shd w:val="clear" w:color="auto" w:fill="ffffff"/>
        <w:widowControl/>
        <w:rPr>
          <w:rFonts w:hint="eastAsia" w:ascii="宋体" w:hAnsi="宋体" w:eastAsia="宋体" w:cs="宋体"/>
          <w:bCs/>
          <w:color w:val="auto"/>
          <w:szCs w:val="21"/>
        </w:rPr>
      </w:pPr>
      <w:r>
        <w:rPr>
          <w:rFonts w:hint="eastAsia" w:ascii="宋体" w:hAnsi="宋体" w:eastAsia="宋体" w:cs="宋体"/>
          <w:bCs/>
          <w:color w:val="auto"/>
          <w:szCs w:val="21"/>
        </w:rPr>
        <w:t xml:space="preserve">（3）同一投标人提交两个（含两个）以上不同的投标报价的；</w:t>
      </w:r>
      <w:r/>
    </w:p>
    <w:p>
      <w:pPr>
        <w:ind w:firstLine="420"/>
        <w:spacing w:line="360" w:lineRule="auto"/>
        <w:shd w:val="clear" w:color="auto" w:fill="ffffff"/>
        <w:widowControl/>
        <w:rPr>
          <w:rFonts w:hint="eastAsia" w:ascii="宋体" w:hAnsi="宋体" w:eastAsia="宋体" w:cs="宋体"/>
          <w:bCs/>
          <w:color w:val="auto"/>
          <w:szCs w:val="21"/>
        </w:rPr>
      </w:pPr>
      <w:r>
        <w:rPr>
          <w:rFonts w:hint="eastAsia" w:ascii="宋体" w:hAnsi="宋体" w:eastAsia="宋体" w:cs="宋体"/>
          <w:bCs/>
          <w:color w:val="auto"/>
          <w:szCs w:val="21"/>
        </w:rPr>
        <w:t xml:space="preserve">（4）投标文件未按照招标文件要求加盖电子公章的；</w:t>
      </w:r>
      <w:r/>
    </w:p>
    <w:p>
      <w:pPr>
        <w:ind w:firstLine="420"/>
        <w:spacing w:line="360" w:lineRule="auto"/>
        <w:shd w:val="clear" w:color="auto" w:fill="ffffff"/>
        <w:widowControl/>
        <w:rPr>
          <w:rFonts w:hint="eastAsia" w:ascii="宋体" w:hAnsi="宋体" w:eastAsia="宋体" w:cs="宋体"/>
          <w:bCs/>
          <w:color w:val="auto"/>
          <w:szCs w:val="21"/>
        </w:rPr>
      </w:pPr>
      <w:r>
        <w:rPr>
          <w:rFonts w:hint="eastAsia" w:ascii="宋体" w:hAnsi="宋体" w:eastAsia="宋体" w:cs="宋体"/>
          <w:bCs/>
          <w:color w:val="auto"/>
          <w:szCs w:val="21"/>
        </w:rPr>
        <w:t xml:space="preserve">（5）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w:t>
      </w:r>
      <w:r/>
    </w:p>
    <w:p>
      <w:pPr>
        <w:ind w:firstLine="420"/>
        <w:spacing w:line="360" w:lineRule="auto"/>
        <w:shd w:val="clear" w:color="auto" w:fill="ffffff"/>
        <w:widowControl/>
        <w:rPr>
          <w:rFonts w:hint="eastAsia" w:ascii="宋体" w:hAnsi="宋体" w:eastAsia="宋体" w:cs="宋体"/>
          <w:bCs/>
          <w:color w:val="auto"/>
          <w:szCs w:val="21"/>
        </w:rPr>
      </w:pPr>
      <w:r>
        <w:rPr>
          <w:rFonts w:hint="eastAsia" w:ascii="宋体" w:hAnsi="宋体" w:eastAsia="宋体" w:cs="宋体"/>
          <w:bCs/>
          <w:color w:val="auto"/>
          <w:szCs w:val="21"/>
        </w:rPr>
        <w:t xml:space="preserve">（6）报价超过招标文件中规定的预算金额或者最高限价的；</w:t>
      </w:r>
      <w:r/>
    </w:p>
    <w:p>
      <w:pPr>
        <w:ind w:firstLine="420"/>
        <w:spacing w:line="360" w:lineRule="auto"/>
        <w:shd w:val="clear" w:color="auto" w:fill="ffffff"/>
        <w:widowControl/>
        <w:rPr>
          <w:rFonts w:hint="eastAsia" w:ascii="宋体" w:hAnsi="宋体" w:eastAsia="宋体" w:cs="宋体"/>
          <w:bCs/>
          <w:color w:val="auto"/>
          <w:szCs w:val="21"/>
        </w:rPr>
      </w:pPr>
      <w:r>
        <w:rPr>
          <w:rFonts w:hint="eastAsia" w:ascii="宋体" w:hAnsi="宋体" w:eastAsia="宋体" w:cs="宋体"/>
          <w:bCs/>
          <w:color w:val="auto"/>
          <w:szCs w:val="21"/>
        </w:rPr>
        <w:t xml:space="preserve">（7）投标文件含有采购人不能接受的附加条件的；</w:t>
      </w:r>
      <w:r/>
    </w:p>
    <w:p>
      <w:pPr>
        <w:ind w:firstLine="420"/>
        <w:spacing w:line="360" w:lineRule="auto"/>
        <w:shd w:val="clear" w:color="auto" w:fill="ffffff"/>
        <w:widowControl/>
        <w:rPr>
          <w:rFonts w:hint="eastAsia" w:ascii="宋体" w:hAnsi="宋体" w:eastAsia="宋体" w:cs="宋体"/>
          <w:bCs/>
          <w:color w:val="auto"/>
          <w:szCs w:val="21"/>
        </w:rPr>
      </w:pPr>
      <w:r>
        <w:rPr>
          <w:rFonts w:hint="eastAsia" w:ascii="宋体" w:hAnsi="宋体" w:eastAsia="宋体" w:cs="宋体"/>
          <w:bCs/>
          <w:color w:val="auto"/>
          <w:szCs w:val="21"/>
        </w:rPr>
        <w:t xml:space="preserve">（8）投标文件内容不全或不符合招标文件中规定的其他实质性要求的；</w:t>
      </w:r>
      <w:r/>
    </w:p>
    <w:p>
      <w:pPr>
        <w:ind w:firstLine="420"/>
        <w:spacing w:line="360" w:lineRule="auto"/>
        <w:shd w:val="clear" w:color="auto" w:fill="ffffff"/>
        <w:widowControl/>
        <w:rPr>
          <w:rFonts w:hint="eastAsia" w:ascii="宋体" w:hAnsi="宋体" w:eastAsia="宋体" w:cs="宋体"/>
          <w:bCs/>
          <w:color w:val="auto"/>
          <w:szCs w:val="21"/>
        </w:rPr>
      </w:pPr>
      <w:r>
        <w:rPr>
          <w:rFonts w:hint="eastAsia" w:ascii="宋体" w:hAnsi="宋体" w:eastAsia="宋体" w:cs="宋体"/>
          <w:bCs/>
          <w:color w:val="auto"/>
          <w:szCs w:val="21"/>
        </w:rPr>
        <w:t xml:space="preserve">（9）现行法律、法规、规章和招标文件规定的其他无效情形。</w:t>
      </w:r>
      <w:r/>
    </w:p>
    <w:p>
      <w:pPr>
        <w:ind w:firstLine="420"/>
        <w:jc w:val="left"/>
        <w:spacing w:beforeAutospacing="0"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（10）响应文件含有采购人不能接受的附加条件。</w:t>
      </w:r>
      <w:r/>
    </w:p>
    <w:p>
      <w:pPr>
        <w:ind w:firstLine="420"/>
        <w:jc w:val="left"/>
        <w:spacing w:beforeAutospacing="0" w:line="360" w:lineRule="auto"/>
        <w:shd w:val="clear" w:color="auto" w:fill="ffffff"/>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（11）出现苏财购〔2025〕62号文件《关于推动解决政府采购异常低价问题相关工作的通知》中的低价情形且不能在规定时间内提供符合要求的证明文件证明其合理性的。</w:t>
      </w:r>
      <w:r/>
    </w:p>
    <w:p>
      <w:pPr>
        <w:ind w:firstLine="420"/>
        <w:jc w:val="left"/>
        <w:spacing w:beforeAutospacing="0"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（12）报价低于完成本项目发生的所有含税费用、支付给员工的工资（不得低于供应商所在地最低工资标准）和国家强制缴纳的各种社会保障资金、公积金，以及供应商认为需要的其他费用等。</w:t>
      </w:r>
      <w:r/>
    </w:p>
    <w:p>
      <w:pPr>
        <w:ind w:firstLine="420"/>
        <w:jc w:val="left"/>
        <w:spacing w:beforeAutospacing="0"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（13）采购产品被财政部、国家发改委、生态环境部等列入“节能产品品目清单”强制采购范围，而供应商提供的产品不在强制采购范围内。</w:t>
      </w:r>
      <w:r/>
    </w:p>
    <w:p>
      <w:pPr>
        <w:ind w:firstLine="420"/>
        <w:jc w:val="left"/>
        <w:spacing w:beforeAutospacing="0"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（14）法律法规及本磋商文件规定的其他无效响应的情形。</w:t>
      </w:r>
      <w:r/>
    </w:p>
    <w:p>
      <w:pPr>
        <w:ind w:firstLine="420"/>
        <w:spacing w:line="360" w:lineRule="auto"/>
        <w:shd w:val="clear" w:color="auto" w:fill="ffffff"/>
        <w:widowControl/>
        <w:rPr>
          <w:rFonts w:hint="eastAsia" w:ascii="宋体" w:hAnsi="宋体" w:eastAsia="宋体" w:cs="宋体"/>
          <w:bCs/>
          <w:color w:val="auto"/>
          <w:szCs w:val="21"/>
        </w:rPr>
      </w:pPr>
      <w:r>
        <w:rPr>
          <w:rFonts w:hint="eastAsia" w:ascii="宋体" w:hAnsi="宋体" w:eastAsia="宋体" w:cs="宋体"/>
          <w:bCs/>
          <w:color w:val="auto"/>
          <w:szCs w:val="21"/>
        </w:rPr>
        <w:t xml:space="preserve">22.2.2.1实质性要求是指本招标文件中用带星号（“</w:t>
      </w:r>
      <w:r>
        <w:rPr>
          <w:rFonts w:hint="eastAsia" w:ascii="宋体" w:hAnsi="宋体" w:eastAsia="宋体" w:cs="宋体"/>
          <w:bCs/>
          <w:color w:val="auto"/>
          <w:lang w:val="en-US" w:eastAsia="zh-CN"/>
        </w:rPr>
        <w:t xml:space="preserve">★</w:t>
      </w:r>
      <w:r>
        <w:rPr>
          <w:rFonts w:hint="eastAsia" w:ascii="宋体" w:hAnsi="宋体" w:eastAsia="宋体" w:cs="宋体"/>
          <w:bCs/>
          <w:color w:val="auto"/>
          <w:szCs w:val="21"/>
        </w:rPr>
        <w:t xml:space="preserve">”）、“必须”或“应（应当）”等其他文字说明的商务和技术要求。</w:t>
      </w:r>
      <w:r/>
    </w:p>
    <w:p>
      <w:pPr>
        <w:ind w:firstLine="420"/>
        <w:spacing w:line="360" w:lineRule="auto"/>
        <w:shd w:val="clear" w:color="auto" w:fill="ffffff"/>
        <w:widowControl/>
        <w:rPr>
          <w:rFonts w:hint="eastAsia" w:ascii="宋体" w:hAnsi="宋体" w:eastAsia="宋体" w:cs="宋体"/>
          <w:bCs/>
          <w:color w:val="auto"/>
          <w:szCs w:val="21"/>
        </w:rPr>
      </w:pPr>
      <w:r>
        <w:rPr>
          <w:rFonts w:hint="eastAsia" w:ascii="宋体" w:hAnsi="宋体" w:eastAsia="宋体" w:cs="宋体"/>
          <w:bCs/>
          <w:color w:val="auto"/>
          <w:szCs w:val="21"/>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eastAsia="宋体" w:cs="宋体"/>
          <w:bCs/>
          <w:color w:val="auto"/>
          <w:szCs w:val="21"/>
        </w:rPr>
      </w:pPr>
      <w:r>
        <w:rPr>
          <w:rFonts w:hint="eastAsia" w:ascii="宋体" w:hAnsi="宋体" w:eastAsia="宋体" w:cs="宋体"/>
          <w:bCs/>
          <w:color w:val="auto"/>
          <w:szCs w:val="21"/>
        </w:rPr>
        <w:t xml:space="preserve">22.2.2.3有下列情形之一的予以废标：</w:t>
      </w:r>
      <w:r/>
    </w:p>
    <w:p>
      <w:pPr>
        <w:ind w:firstLine="420"/>
        <w:jc w:val="left"/>
        <w:spacing w:line="360" w:lineRule="auto"/>
        <w:shd w:val="clear" w:color="auto" w:fill="ffffff"/>
        <w:widowControl/>
        <w:rPr>
          <w:rFonts w:hint="eastAsia" w:ascii="宋体" w:hAnsi="宋体" w:eastAsia="宋体" w:cs="宋体"/>
          <w:bCs/>
          <w:color w:val="auto"/>
          <w:szCs w:val="21"/>
        </w:rPr>
      </w:pPr>
      <w:r>
        <w:rPr>
          <w:rFonts w:hint="eastAsia" w:ascii="宋体" w:hAnsi="宋体" w:eastAsia="宋体" w:cs="宋体"/>
          <w:bCs/>
          <w:color w:val="auto"/>
          <w:szCs w:val="21"/>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eastAsia="宋体" w:cs="宋体"/>
          <w:bCs/>
          <w:color w:val="auto"/>
          <w:szCs w:val="21"/>
        </w:rPr>
      </w:pPr>
      <w:r>
        <w:rPr>
          <w:rFonts w:hint="eastAsia" w:ascii="宋体" w:hAnsi="宋体" w:eastAsia="宋体" w:cs="宋体"/>
          <w:bCs/>
          <w:color w:val="auto"/>
          <w:szCs w:val="21"/>
        </w:rPr>
        <w:t xml:space="preserve">（2）出现影响采购公正的违法、违规行为的；</w:t>
      </w:r>
      <w:r/>
    </w:p>
    <w:p>
      <w:pPr>
        <w:ind w:firstLine="420"/>
        <w:jc w:val="left"/>
        <w:spacing w:line="360" w:lineRule="auto"/>
        <w:shd w:val="clear" w:color="auto" w:fill="ffffff"/>
        <w:widowControl/>
        <w:rPr>
          <w:rFonts w:hint="eastAsia" w:ascii="宋体" w:hAnsi="宋体" w:eastAsia="宋体" w:cs="宋体"/>
          <w:bCs/>
          <w:color w:val="auto"/>
          <w:szCs w:val="21"/>
        </w:rPr>
      </w:pPr>
      <w:r>
        <w:rPr>
          <w:rFonts w:hint="eastAsia" w:ascii="宋体" w:hAnsi="宋体" w:eastAsia="宋体" w:cs="宋体"/>
          <w:bCs/>
          <w:color w:val="auto"/>
          <w:szCs w:val="21"/>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eastAsia="宋体" w:cs="宋体"/>
          <w:bCs/>
          <w:color w:val="auto"/>
          <w:szCs w:val="21"/>
        </w:rPr>
      </w:pPr>
      <w:r>
        <w:rPr>
          <w:rFonts w:hint="eastAsia" w:ascii="宋体" w:hAnsi="宋体" w:eastAsia="宋体" w:cs="宋体"/>
          <w:bCs/>
          <w:color w:val="auto"/>
          <w:szCs w:val="21"/>
        </w:rPr>
        <w:t xml:space="preserve">（4）因苏采云系统故障造成开标不成功的；</w:t>
      </w:r>
      <w:r/>
    </w:p>
    <w:p>
      <w:pPr>
        <w:ind w:firstLine="420"/>
        <w:jc w:val="left"/>
        <w:spacing w:line="360" w:lineRule="auto"/>
        <w:shd w:val="clear" w:color="auto" w:fill="ffffff"/>
        <w:widowControl/>
        <w:rPr>
          <w:rFonts w:hint="eastAsia" w:ascii="宋体" w:hAnsi="宋体" w:eastAsia="宋体" w:cs="宋体"/>
          <w:bCs/>
          <w:color w:val="auto"/>
          <w:szCs w:val="21"/>
        </w:rPr>
      </w:pPr>
      <w:r>
        <w:rPr>
          <w:rFonts w:hint="eastAsia" w:ascii="宋体" w:hAnsi="宋体" w:eastAsia="宋体" w:cs="宋体"/>
          <w:bCs/>
          <w:color w:val="auto"/>
          <w:szCs w:val="21"/>
        </w:rPr>
        <w:t xml:space="preserve">（5）因重大变故，采购任务取消的。</w:t>
      </w:r>
      <w:r/>
    </w:p>
    <w:p>
      <w:pPr>
        <w:ind w:firstLine="420"/>
        <w:jc w:val="left"/>
        <w:spacing w:line="360" w:lineRule="auto"/>
        <w:shd w:val="clear" w:color="auto" w:fill="ffffff"/>
        <w:widowControl/>
        <w:rPr>
          <w:rFonts w:hint="eastAsia" w:ascii="宋体" w:hAnsi="宋体" w:eastAsia="宋体" w:cs="宋体"/>
          <w:bCs/>
          <w:color w:val="auto"/>
          <w:szCs w:val="21"/>
        </w:rPr>
      </w:pPr>
      <w:r>
        <w:rPr>
          <w:rFonts w:hint="eastAsia" w:ascii="宋体" w:hAnsi="宋体" w:eastAsia="宋体" w:cs="宋体"/>
          <w:bCs/>
          <w:color w:val="auto"/>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22.2.3</w:t>
      </w:r>
      <w:r>
        <w:rPr>
          <w:rFonts w:hint="eastAsia" w:ascii="宋体" w:hAnsi="宋体" w:eastAsia="宋体" w:cs="宋体"/>
          <w:b/>
          <w:bCs/>
          <w:color w:val="auto"/>
          <w:szCs w:val="21"/>
        </w:rPr>
        <w:t xml:space="preserve">澄清有关问题</w:t>
      </w:r>
      <w:r>
        <w:rPr>
          <w:rFonts w:hint="eastAsia" w:ascii="宋体" w:hAnsi="宋体" w:eastAsia="宋体" w:cs="宋体"/>
          <w:color w:val="auto"/>
          <w:szCs w:val="21"/>
        </w:rPr>
        <w:t xml:space="preserve">。</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22.2.3.1评标期间，评委会对投标文件中含义不明确、同类问题表述不一致或者有明显文字和计算错误的内容，有权要求投标人作出必要的澄清、说明或者补正。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评委会并非对每个投标人都做澄清要求。</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22.2.3.2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22.2.3.3接到评委会澄清、说明和补正要求的，投标人如未按规定作出澄清、说明和补正，其风险由投标人自行承担。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（2）大写金额和小写金额不一致的，以大写金额为准；</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eastAsia="宋体" w:cs="宋体"/>
          <w:b/>
          <w:color w:val="auto"/>
          <w:szCs w:val="21"/>
        </w:rPr>
      </w:pPr>
      <w:r>
        <w:rPr>
          <w:rFonts w:hint="eastAsia" w:ascii="宋体" w:hAnsi="宋体" w:eastAsia="宋体" w:cs="宋体"/>
          <w:color w:val="auto"/>
          <w:szCs w:val="21"/>
        </w:rPr>
        <w:t xml:space="preserve">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22.2.3.6</w:t>
      </w:r>
      <w:r>
        <w:rPr>
          <w:rFonts w:hint="eastAsia" w:ascii="宋体" w:hAnsi="宋体" w:eastAsia="宋体" w:cs="宋体"/>
          <w:color w:val="auto"/>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eastAsia="宋体" w:cs="宋体"/>
          <w:b/>
          <w:color w:val="auto"/>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22.2.4</w:t>
      </w:r>
      <w:r>
        <w:rPr>
          <w:rFonts w:hint="eastAsia" w:ascii="宋体" w:hAnsi="宋体" w:eastAsia="宋体" w:cs="宋体"/>
          <w:bCs/>
          <w:color w:val="auto"/>
          <w:szCs w:val="21"/>
        </w:rPr>
        <w:t xml:space="preserve">比较与评价。</w:t>
      </w:r>
      <w:r>
        <w:rPr>
          <w:rFonts w:hint="eastAsia" w:ascii="宋体" w:hAnsi="宋体" w:eastAsia="宋体" w:cs="宋体"/>
          <w:color w:val="auto"/>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22.3评标方法和标准</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22.3.1评标方法分为最低评标价法和综合评分法。</w:t>
      </w:r>
      <w:r>
        <w:rPr>
          <w:rFonts w:hint="eastAsia" w:ascii="宋体" w:hAnsi="宋体" w:eastAsia="宋体" w:cs="宋体"/>
          <w:b/>
          <w:bCs/>
          <w:color w:val="auto"/>
          <w:szCs w:val="21"/>
        </w:rPr>
        <w:t xml:space="preserve">本次招标采用综合评分法，评标方法和标准详见本招标文件第三章。</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评审因素，包括价格、技术、商务等。</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价格分采用低价优先法计算，即满足招标文件要求且投标价格最低的投标报价为评标基准价，其价格分为满分。因落实政府采购政策进行价格调整的，以调整后的价格计算评标基准价和投标报价。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eastAsia="宋体" w:cs="宋体"/>
          <w:b/>
          <w:color w:val="auto"/>
          <w:szCs w:val="21"/>
        </w:rPr>
      </w:pPr>
      <w:r>
        <w:rPr>
          <w:rFonts w:hint="eastAsia" w:ascii="宋体" w:hAnsi="宋体" w:eastAsia="宋体" w:cs="宋体"/>
          <w:b/>
          <w:bCs/>
          <w:color w:val="auto"/>
          <w:szCs w:val="21"/>
        </w:rPr>
        <w:t xml:space="preserve">23、</w:t>
      </w:r>
      <w:r>
        <w:rPr>
          <w:rFonts w:hint="eastAsia" w:ascii="宋体" w:hAnsi="宋体" w:eastAsia="宋体" w:cs="宋体"/>
          <w:b/>
          <w:color w:val="auto"/>
          <w:szCs w:val="21"/>
        </w:rPr>
        <w:t xml:space="preserve">确定中标人</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23.1采用最低评标价法的，评标结果按投标报价由低到高顺序排列。投标报价相同的并列。投标文件满足招标文件全部实质性要求且投标报价最低的投标人为排名第一的中标候选人。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23.3中标人确定后，在财政部门指定的媒体上公告中标结果，中标公告期为1个工作日，公告的同时向中标人发出中标通知书。中标人可在中标结果公告届满之日起三十日内,登录苏采云系统下载。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eastAsia="宋体" w:cs="宋体"/>
          <w:b/>
          <w:color w:val="auto"/>
          <w:szCs w:val="21"/>
        </w:rPr>
      </w:pPr>
      <w:r>
        <w:rPr>
          <w:rFonts w:hint="eastAsia" w:ascii="宋体" w:hAnsi="宋体" w:eastAsia="宋体" w:cs="宋体"/>
          <w:b/>
          <w:bCs/>
          <w:color w:val="auto"/>
          <w:szCs w:val="21"/>
        </w:rPr>
        <w:t xml:space="preserve">23.4中标通知书对采购人和中标人具有同等法律效力。中标通知书发出后，采购人不得</w:t>
      </w:r>
      <w:r>
        <w:rPr>
          <w:rFonts w:hint="eastAsia" w:ascii="宋体" w:hAnsi="宋体" w:eastAsia="宋体" w:cs="宋体"/>
          <w:b/>
          <w:color w:val="auto"/>
          <w:szCs w:val="21"/>
        </w:rPr>
        <w:t xml:space="preserve">违法改变中标结果，中标人无正当理由不得放弃中标。</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23.5所有投标文件不论中标与否，均不退回。</w:t>
      </w:r>
      <w:r/>
    </w:p>
    <w:p>
      <w:pPr>
        <w:ind w:firstLine="412"/>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24、编写评标报告</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25、评标过程的保密性</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25.1采购人和采购代理机构将采取必要措施，保证评标在严格保密的情况下进行。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25.2任何单位和个人不得非法干预、影响评标办法的确定，以及评标过程和结果。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25.3凡是与审查、澄清、评价和比较投标的有关资料等，均不向投标人及与评标无关的其他人员透露。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color w:val="auto"/>
          <w:szCs w:val="21"/>
        </w:rPr>
        <w:outlineLvl w:val="1"/>
      </w:pPr>
      <w:r/>
      <w:bookmarkStart w:id="20" w:name="_Toc30604"/>
      <w:r>
        <w:rPr>
          <w:rFonts w:hint="eastAsia" w:ascii="宋体" w:hAnsi="宋体" w:eastAsia="宋体" w:cs="宋体"/>
          <w:b/>
          <w:bCs/>
          <w:color w:val="auto"/>
          <w:szCs w:val="21"/>
        </w:rPr>
        <w:t xml:space="preserve">六、签订合同</w:t>
      </w:r>
      <w:bookmarkEnd w:id="20"/>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26、签订合同</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eastAsia="宋体" w:cs="宋体"/>
          <w:b/>
          <w:bCs/>
          <w:color w:val="auto"/>
          <w:szCs w:val="21"/>
        </w:rPr>
      </w:pPr>
      <w:r>
        <w:rPr>
          <w:rFonts w:hint="eastAsia" w:ascii="宋体" w:hAnsi="宋体" w:eastAsia="宋体" w:cs="宋体"/>
          <w:bCs/>
          <w:color w:val="auto"/>
          <w:szCs w:val="21"/>
        </w:rPr>
        <w:t xml:space="preserve">26.2</w:t>
      </w:r>
      <w:r>
        <w:rPr>
          <w:rFonts w:hint="eastAsia" w:ascii="宋体" w:hAnsi="宋体" w:eastAsia="宋体" w:cs="宋体"/>
          <w:color w:val="auto"/>
          <w:szCs w:val="21"/>
        </w:rPr>
        <w:t xml:space="preserve">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26.5政府采购合同履行中，采购人需追加与合同标的相同的货物或者服务的，在不改变合同其他条款的前提下，可以与供应商协商签订补充合同，但所有补充合同的采购金额不得超过原合同采购金额的百分之十。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26.6采购人与中标人应当根据合同的约定依法履行合同义务。</w:t>
      </w:r>
      <w:r/>
    </w:p>
    <w:p>
      <w:pPr>
        <w:ind w:firstLine="420"/>
        <w:spacing w:line="360" w:lineRule="auto"/>
        <w:shd w:val="clear" w:color="auto" w:fill="ffffff"/>
        <w:widowControl/>
        <w:rPr>
          <w:rFonts w:hint="eastAsia" w:ascii="宋体" w:hAnsi="宋体" w:eastAsia="宋体" w:cs="宋体"/>
          <w:color w:val="auto"/>
          <w:szCs w:val="21"/>
        </w:rPr>
        <w:outlineLvl w:val="1"/>
      </w:pPr>
      <w:r/>
      <w:bookmarkStart w:id="21" w:name="_Toc246"/>
      <w:r>
        <w:rPr>
          <w:rFonts w:hint="eastAsia" w:ascii="宋体" w:hAnsi="宋体" w:eastAsia="宋体" w:cs="宋体"/>
          <w:b/>
          <w:bCs/>
          <w:color w:val="auto"/>
          <w:szCs w:val="21"/>
        </w:rPr>
        <w:t xml:space="preserve">七、质疑和投诉</w:t>
      </w:r>
      <w:bookmarkEnd w:id="21"/>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27、质疑</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27.1供应商对招标活动事项有疑问的，可以向采购代理机构提出询问，采购代理机构将依法作出答复，但答复的内容不涉及商业秘密</w:t>
      </w:r>
      <w:r>
        <w:rPr>
          <w:rFonts w:hint="eastAsia" w:ascii="宋体" w:hAnsi="宋体" w:eastAsia="宋体" w:cs="宋体"/>
          <w:b/>
          <w:bCs/>
          <w:color w:val="auto"/>
          <w:szCs w:val="21"/>
        </w:rPr>
        <w:t xml:space="preserve">。</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b/>
          <w:bCs/>
          <w:color w:val="auto"/>
          <w:szCs w:val="21"/>
        </w:rPr>
      </w:pPr>
      <w:r>
        <w:rPr>
          <w:rFonts w:hint="eastAsia" w:ascii="宋体" w:hAnsi="宋体" w:eastAsia="宋体" w:cs="宋体"/>
          <w:b/>
          <w:bCs/>
          <w:color w:val="auto"/>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27.4供应商提出质疑应当提交质疑函和必要的证明材料。质疑函应当包括下列内容：</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（一）供应商的姓名或者名称、地址、邮编、联系人及联系电话；</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（二）质疑项目的名称、编号；</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（三）具体、明确的质疑事项和与质疑事项相关的请求（具体条款）；</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（四）事实依据（具体条款）；</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（五）必要的法律依据（具体条款）；</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（六）提出质疑的日期。</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27.6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27.7采购代理机构在收到投标人的书面质疑后将及时组织调查核实，在</w:t>
      </w:r>
      <w:r>
        <w:rPr>
          <w:rFonts w:hint="eastAsia" w:ascii="宋体" w:hAnsi="宋体" w:eastAsia="宋体" w:cs="宋体"/>
          <w:b w:val="0"/>
          <w:bCs w:val="0"/>
          <w:color w:val="auto"/>
          <w:szCs w:val="21"/>
        </w:rPr>
        <w:t xml:space="preserve">七个工作日内</w:t>
      </w:r>
      <w:r>
        <w:rPr>
          <w:rFonts w:hint="eastAsia" w:ascii="宋体" w:hAnsi="宋体" w:eastAsia="宋体" w:cs="宋体"/>
          <w:color w:val="auto"/>
          <w:szCs w:val="21"/>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任何单位和个人对代理机构在招标采购活动中的违法行为，有权控告和检举，联系电话：025-86636139（采购代理机构质量管理部门）、025-86636853（采购代理机构纪检监察部门）。</w:t>
      </w:r>
      <w:r/>
    </w:p>
    <w:p>
      <w:pPr>
        <w:ind w:firstLine="420"/>
        <w:spacing w:line="420" w:lineRule="exact"/>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28、投诉</w:t>
      </w:r>
      <w:r/>
    </w:p>
    <w:p>
      <w:pPr>
        <w:ind w:firstLine="420"/>
        <w:spacing w:line="420" w:lineRule="exact"/>
        <w:rPr>
          <w:rFonts w:hint="eastAsia" w:ascii="宋体" w:hAnsi="宋体" w:eastAsia="宋体" w:cs="宋体"/>
          <w:color w:val="auto"/>
        </w:rPr>
      </w:pPr>
      <w:r>
        <w:rPr>
          <w:rFonts w:hint="eastAsia" w:ascii="宋体" w:hAnsi="宋体" w:eastAsia="宋体" w:cs="宋体"/>
          <w:color w:val="auto"/>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eastAsia="宋体" w:cs="宋体"/>
          <w:color w:val="auto"/>
        </w:rPr>
      </w:pPr>
      <w:r>
        <w:rPr>
          <w:rFonts w:hint="eastAsia" w:ascii="宋体" w:hAnsi="宋体" w:eastAsia="宋体" w:cs="宋体"/>
          <w:color w:val="auto"/>
          <w:szCs w:val="21"/>
        </w:rPr>
        <w:t xml:space="preserve">28.2供应商投诉应当有明确的请求和必要的证明材料。供应商投诉的事项不得超出已质疑事项的范围。</w:t>
      </w:r>
      <w:r/>
    </w:p>
    <w:p>
      <w:pPr>
        <w:ind w:firstLine="420"/>
        <w:spacing w:line="420" w:lineRule="exact"/>
        <w:rPr>
          <w:rFonts w:hint="eastAsia" w:ascii="宋体" w:hAnsi="宋体" w:eastAsia="宋体" w:cs="宋体"/>
          <w:color w:val="auto"/>
        </w:rPr>
      </w:pPr>
      <w:r>
        <w:rPr>
          <w:rFonts w:hint="eastAsia" w:ascii="宋体" w:hAnsi="宋体" w:eastAsia="宋体" w:cs="宋体"/>
          <w:color w:val="auto"/>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eastAsia="宋体" w:cs="宋体"/>
          <w:color w:val="auto"/>
          <w:szCs w:val="21"/>
        </w:rPr>
      </w:pPr>
      <w:r>
        <w:rPr>
          <w:rFonts w:hint="eastAsia" w:ascii="宋体" w:hAnsi="宋体" w:eastAsia="宋体" w:cs="宋体"/>
          <w:color w:val="auto"/>
        </w:rPr>
        <w:t xml:space="preserve">28.4投诉人有下列行为之一的，属于严重失信行为，</w:t>
      </w:r>
      <w:r>
        <w:rPr>
          <w:rFonts w:hint="eastAsia" w:ascii="宋体" w:hAnsi="宋体" w:eastAsia="宋体" w:cs="宋体"/>
          <w:color w:val="auto"/>
          <w:szCs w:val="21"/>
        </w:rPr>
        <w:t xml:space="preserve">由财政部门列入不良行为记录名单，禁止其一至三年内参加政府采购活动。</w:t>
      </w:r>
      <w:r/>
    </w:p>
    <w:p>
      <w:pPr>
        <w:ind w:firstLine="420"/>
        <w:spacing w:line="420" w:lineRule="exact"/>
        <w:rPr>
          <w:rFonts w:hint="eastAsia" w:ascii="宋体" w:hAnsi="宋体" w:eastAsia="宋体" w:cs="宋体"/>
          <w:color w:val="auto"/>
        </w:rPr>
      </w:pPr>
      <w:r>
        <w:rPr>
          <w:rFonts w:hint="eastAsia" w:ascii="宋体" w:hAnsi="宋体" w:eastAsia="宋体" w:cs="宋体"/>
          <w:color w:val="auto"/>
        </w:rPr>
        <w:t xml:space="preserve">（1）投诉人在全国范围12个月内三次以上投诉查无实据的；</w:t>
      </w:r>
      <w:r/>
    </w:p>
    <w:p>
      <w:pPr>
        <w:ind w:firstLine="420"/>
        <w:spacing w:line="420" w:lineRule="exact"/>
        <w:rPr>
          <w:rFonts w:hint="eastAsia" w:ascii="宋体" w:hAnsi="宋体" w:eastAsia="宋体" w:cs="宋体"/>
          <w:color w:val="auto"/>
        </w:rPr>
      </w:pPr>
      <w:r>
        <w:rPr>
          <w:rFonts w:hint="eastAsia" w:ascii="宋体" w:hAnsi="宋体" w:eastAsia="宋体" w:cs="宋体"/>
          <w:color w:val="auto"/>
        </w:rPr>
        <w:t xml:space="preserve">（2）采用捏造事实、提供虚假材料或者以非法手段取得证明材料等方式进行虚假、恶意投诉。</w:t>
      </w:r>
      <w:r/>
    </w:p>
    <w:p>
      <w:pPr>
        <w:ind w:firstLine="420"/>
        <w:spacing w:line="420" w:lineRule="exact"/>
        <w:rPr>
          <w:rFonts w:hint="eastAsia" w:ascii="宋体" w:hAnsi="宋体" w:eastAsia="宋体" w:cs="宋体"/>
          <w:color w:val="auto"/>
        </w:rPr>
      </w:pPr>
      <w:r>
        <w:rPr>
          <w:rFonts w:hint="eastAsia" w:ascii="宋体" w:hAnsi="宋体" w:eastAsia="宋体" w:cs="宋体"/>
          <w:color w:val="auto"/>
        </w:rPr>
        <w:t xml:space="preserve">证据来源的合法性存在明显疑问，投诉人无法证明其取得方式合法的，视为以非法手段取得证明材料。</w:t>
      </w:r>
      <w:r/>
    </w:p>
    <w:p>
      <w:pPr>
        <w:ind w:firstLine="487"/>
        <w:spacing w:line="360" w:lineRule="auto"/>
        <w:rPr>
          <w:rFonts w:hint="eastAsia" w:ascii="宋体" w:hAnsi="宋体" w:eastAsia="宋体" w:cs="宋体"/>
          <w:b/>
          <w:bCs/>
          <w:color w:val="auto"/>
          <w:szCs w:val="21"/>
          <w:lang w:val="zh-CN"/>
        </w:rPr>
      </w:pPr>
      <w:r>
        <w:rPr>
          <w:rFonts w:hint="eastAsia" w:ascii="宋体" w:hAnsi="宋体" w:eastAsia="宋体" w:cs="宋体"/>
          <w:b/>
          <w:bCs/>
          <w:color w:val="auto"/>
          <w:szCs w:val="21"/>
        </w:rPr>
        <w:t xml:space="preserve">29</w:t>
      </w:r>
      <w:r>
        <w:rPr>
          <w:rFonts w:hint="eastAsia" w:ascii="宋体" w:hAnsi="宋体" w:eastAsia="宋体" w:cs="宋体"/>
          <w:b/>
          <w:bCs/>
          <w:color w:val="auto"/>
          <w:szCs w:val="21"/>
          <w:lang w:val="zh-CN"/>
        </w:rPr>
        <w:t xml:space="preserve">、诚实信用</w:t>
      </w:r>
      <w:r/>
    </w:p>
    <w:p>
      <w:pPr>
        <w:ind w:firstLine="484"/>
        <w:spacing w:line="360" w:lineRule="auto"/>
        <w:rPr>
          <w:rFonts w:hint="eastAsia" w:ascii="宋体" w:hAnsi="宋体" w:eastAsia="宋体" w:cs="宋体"/>
          <w:color w:val="auto"/>
          <w:szCs w:val="21"/>
          <w:lang w:val="zh-CN"/>
        </w:rPr>
      </w:pPr>
      <w:r>
        <w:rPr>
          <w:rFonts w:hint="eastAsia" w:ascii="宋体" w:hAnsi="宋体" w:eastAsia="宋体" w:cs="宋体"/>
          <w:color w:val="auto"/>
          <w:szCs w:val="21"/>
        </w:rPr>
        <w:t xml:space="preserve">29</w:t>
      </w:r>
      <w:r>
        <w:rPr>
          <w:rFonts w:hint="eastAsia" w:ascii="宋体" w:hAnsi="宋体" w:eastAsia="宋体" w:cs="宋体"/>
          <w:color w:val="auto"/>
          <w:szCs w:val="21"/>
          <w:lang w:val="zh-CN"/>
        </w:rPr>
        <w:t xml:space="preserve">.1供应商之间不得相互串通报价，不得妨碍其他供应商的公平竞争，不得损害采购人和其他供应商的合法权益。</w:t>
      </w:r>
      <w:r/>
    </w:p>
    <w:p>
      <w:pPr>
        <w:ind w:firstLine="484"/>
        <w:spacing w:line="360" w:lineRule="auto"/>
        <w:rPr>
          <w:rFonts w:hint="eastAsia" w:ascii="宋体" w:hAnsi="宋体" w:eastAsia="宋体" w:cs="宋体"/>
          <w:color w:val="auto"/>
          <w:szCs w:val="21"/>
          <w:lang w:val="zh-CN"/>
        </w:rPr>
      </w:pPr>
      <w:r>
        <w:rPr>
          <w:rFonts w:hint="eastAsia" w:ascii="宋体" w:hAnsi="宋体" w:eastAsia="宋体" w:cs="宋体"/>
          <w:color w:val="auto"/>
          <w:szCs w:val="21"/>
        </w:rPr>
        <w:t xml:space="preserve">29</w:t>
      </w:r>
      <w:r>
        <w:rPr>
          <w:rFonts w:hint="eastAsia" w:ascii="宋体" w:hAnsi="宋体" w:eastAsia="宋体" w:cs="宋体"/>
          <w:color w:val="auto"/>
          <w:szCs w:val="21"/>
          <w:lang w:val="zh-CN"/>
        </w:rPr>
        <w:t xml:space="preserve">.2供应商不得以向采购代理工作人员、</w:t>
      </w:r>
      <w:r>
        <w:rPr>
          <w:rFonts w:hint="eastAsia" w:ascii="宋体" w:hAnsi="宋体" w:eastAsia="宋体" w:cs="宋体"/>
          <w:color w:val="auto"/>
          <w:szCs w:val="21"/>
        </w:rPr>
        <w:t xml:space="preserve">评标小组</w:t>
      </w:r>
      <w:r>
        <w:rPr>
          <w:rFonts w:hint="eastAsia" w:ascii="宋体" w:hAnsi="宋体" w:eastAsia="宋体" w:cs="宋体"/>
          <w:color w:val="auto"/>
          <w:szCs w:val="21"/>
          <w:lang w:val="zh-CN"/>
        </w:rPr>
        <w:t xml:space="preserve">成员行贿或者采取其他不正当手段谋取成交。经查实供应商有此行为的，</w:t>
      </w:r>
      <w:r>
        <w:rPr>
          <w:rFonts w:hint="eastAsia" w:ascii="宋体" w:hAnsi="宋体" w:eastAsia="宋体" w:cs="宋体"/>
          <w:color w:val="auto"/>
          <w:szCs w:val="21"/>
        </w:rPr>
        <w:t xml:space="preserve">政府采购管理部门将供应商列入不良行为记录名单，按照《政府采购法》有关规定处理。</w:t>
      </w:r>
      <w:r/>
    </w:p>
    <w:p>
      <w:pPr>
        <w:ind w:firstLine="484"/>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29</w:t>
      </w:r>
      <w:r>
        <w:rPr>
          <w:rFonts w:hint="eastAsia" w:ascii="宋体" w:hAnsi="宋体" w:eastAsia="宋体" w:cs="宋体"/>
          <w:color w:val="auto"/>
          <w:szCs w:val="21"/>
          <w:lang w:val="zh-CN"/>
        </w:rPr>
        <w:t xml:space="preserve">.3供应商不得虚假质疑和恶意质疑，并对质疑内容的真实性承担责任。</w:t>
      </w:r>
      <w:r>
        <w:rPr>
          <w:rFonts w:hint="eastAsia" w:ascii="宋体" w:hAnsi="宋体" w:eastAsia="宋体" w:cs="宋体"/>
          <w:color w:val="auto"/>
          <w:szCs w:val="21"/>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eastAsia" w:ascii="宋体" w:hAnsi="宋体" w:eastAsia="宋体" w:cs="宋体"/>
          <w:color w:val="auto"/>
          <w:szCs w:val="21"/>
          <w:lang w:val="zh-CN"/>
        </w:rPr>
      </w:pPr>
      <w:r>
        <w:rPr>
          <w:rFonts w:hint="eastAsia" w:ascii="宋体" w:hAnsi="宋体" w:eastAsia="宋体" w:cs="宋体"/>
          <w:color w:val="auto"/>
          <w:szCs w:val="21"/>
        </w:rPr>
        <w:t xml:space="preserve">29</w:t>
      </w:r>
      <w:r>
        <w:rPr>
          <w:rFonts w:hint="eastAsia" w:ascii="宋体" w:hAnsi="宋体" w:eastAsia="宋体" w:cs="宋体"/>
          <w:color w:val="auto"/>
          <w:szCs w:val="21"/>
          <w:lang w:val="zh-CN"/>
        </w:rPr>
        <w:t xml:space="preserve">.4供应商不得虚假承诺，否则，按照提供虚假材料谋取成交处理。</w:t>
      </w:r>
      <w:r/>
    </w:p>
    <w:p>
      <w:pPr>
        <w:ind w:firstLine="484"/>
        <w:spacing w:line="360" w:lineRule="auto"/>
        <w:rPr>
          <w:rFonts w:hint="eastAsia" w:ascii="宋体" w:hAnsi="宋体" w:eastAsia="宋体" w:cs="宋体"/>
          <w:color w:val="auto"/>
          <w:szCs w:val="21"/>
          <w:lang w:val="zh-CN"/>
        </w:rPr>
      </w:pPr>
      <w:r>
        <w:rPr>
          <w:rFonts w:hint="eastAsia" w:ascii="宋体" w:hAnsi="宋体" w:eastAsia="宋体" w:cs="宋体"/>
          <w:color w:val="auto"/>
          <w:szCs w:val="21"/>
        </w:rPr>
        <w:t xml:space="preserve">29</w:t>
      </w:r>
      <w:r>
        <w:rPr>
          <w:rFonts w:hint="eastAsia" w:ascii="宋体" w:hAnsi="宋体" w:eastAsia="宋体" w:cs="宋体"/>
          <w:color w:val="auto"/>
          <w:szCs w:val="21"/>
          <w:lang w:val="zh-CN"/>
        </w:rPr>
        <w:t xml:space="preserve">.5供应商应自觉遵守磋商、评审纪律，扰乱磋商、评审现场秩序的，属于失信行为，根据《江苏省政府采购供应商监督管理暂行办法》，失信行为将被记入供应商诚信档案。</w:t>
      </w:r>
      <w:r/>
    </w:p>
    <w:p>
      <w:pPr>
        <w:ind w:firstLine="422"/>
        <w:jc w:val="center"/>
        <w:rPr>
          <w:rFonts w:hint="eastAsia" w:ascii="宋体" w:hAnsi="宋体" w:eastAsia="宋体" w:cs="宋体"/>
          <w:b/>
          <w:color w:val="auto"/>
          <w:szCs w:val="21"/>
          <w:lang w:bidi="ar"/>
        </w:rPr>
      </w:pPr>
      <w:r>
        <w:rPr>
          <w:rFonts w:hint="eastAsia" w:ascii="宋体" w:hAnsi="宋体" w:eastAsia="宋体" w:cs="宋体"/>
          <w:b/>
          <w:color w:val="auto"/>
          <w:szCs w:val="21"/>
          <w:lang w:bidi="ar"/>
        </w:rPr>
      </w:r>
      <w:r/>
    </w:p>
    <w:p>
      <w:pPr>
        <w:pStyle w:val="939"/>
        <w:ind w:firstLine="210"/>
        <w:rPr>
          <w:rFonts w:hint="eastAsia" w:ascii="宋体" w:hAnsi="宋体" w:eastAsia="宋体" w:cs="宋体"/>
          <w:color w:val="auto"/>
          <w:lang w:val="zh-CN" w:eastAsia="zh-CN"/>
        </w:rPr>
      </w:pPr>
      <w:r>
        <w:rPr>
          <w:rFonts w:hint="eastAsia" w:ascii="宋体" w:hAnsi="宋体" w:eastAsia="宋体" w:cs="宋体"/>
          <w:color w:val="auto"/>
          <w:lang w:val="zh-CN" w:eastAsia="zh-CN"/>
        </w:rPr>
      </w:r>
      <w:r/>
    </w:p>
    <w:p>
      <w:pPr>
        <w:pStyle w:val="939"/>
        <w:ind w:firstLine="210"/>
        <w:rPr>
          <w:rFonts w:hint="eastAsia" w:ascii="宋体" w:hAnsi="宋体" w:eastAsia="宋体" w:cs="宋体"/>
          <w:color w:val="auto"/>
          <w:lang w:val="zh-CN" w:eastAsia="zh-CN"/>
        </w:rPr>
      </w:pPr>
      <w:r>
        <w:rPr>
          <w:rFonts w:hint="eastAsia" w:ascii="宋体" w:hAnsi="宋体" w:eastAsia="宋体" w:cs="宋体"/>
          <w:color w:val="auto"/>
          <w:lang w:val="zh-CN" w:eastAsia="zh-CN"/>
        </w:rPr>
      </w:r>
      <w:r/>
    </w:p>
    <w:p>
      <w:pPr>
        <w:pStyle w:val="939"/>
        <w:ind w:firstLine="210"/>
        <w:rPr>
          <w:rFonts w:hint="eastAsia" w:ascii="宋体" w:hAnsi="宋体" w:eastAsia="宋体" w:cs="宋体"/>
          <w:color w:val="auto"/>
          <w:lang w:val="zh-CN" w:eastAsia="zh-CN"/>
        </w:rPr>
      </w:pPr>
      <w:r>
        <w:rPr>
          <w:rFonts w:hint="eastAsia" w:ascii="宋体" w:hAnsi="宋体" w:eastAsia="宋体" w:cs="宋体"/>
          <w:color w:val="auto"/>
          <w:lang w:val="zh-CN" w:eastAsia="zh-CN"/>
        </w:rPr>
      </w:r>
      <w:r/>
    </w:p>
    <w:p>
      <w:pPr>
        <w:pStyle w:val="939"/>
        <w:ind w:firstLine="210"/>
        <w:rPr>
          <w:rFonts w:hint="eastAsia" w:ascii="宋体" w:hAnsi="宋体" w:eastAsia="宋体" w:cs="宋体"/>
          <w:color w:val="auto"/>
          <w:lang w:val="zh-CN" w:eastAsia="zh-CN"/>
        </w:rPr>
      </w:pPr>
      <w:r>
        <w:rPr>
          <w:rFonts w:hint="eastAsia" w:ascii="宋体" w:hAnsi="宋体" w:eastAsia="宋体" w:cs="宋体"/>
          <w:color w:val="auto"/>
          <w:lang w:val="zh-CN" w:eastAsia="zh-CN"/>
        </w:rPr>
      </w:r>
      <w:r/>
    </w:p>
    <w:p>
      <w:pPr>
        <w:pStyle w:val="939"/>
        <w:ind w:firstLine="210"/>
        <w:rPr>
          <w:rFonts w:hint="eastAsia" w:ascii="宋体" w:hAnsi="宋体" w:eastAsia="宋体" w:cs="宋体"/>
          <w:color w:val="auto"/>
          <w:lang w:val="zh-CN" w:eastAsia="zh-CN"/>
        </w:rPr>
      </w:pPr>
      <w:r>
        <w:rPr>
          <w:rFonts w:hint="eastAsia" w:ascii="宋体" w:hAnsi="宋体" w:eastAsia="宋体" w:cs="宋体"/>
          <w:color w:val="auto"/>
          <w:lang w:val="zh-CN" w:eastAsia="zh-CN"/>
        </w:rPr>
      </w:r>
      <w:r/>
    </w:p>
    <w:p>
      <w:pPr>
        <w:pStyle w:val="939"/>
        <w:ind w:firstLine="210"/>
        <w:rPr>
          <w:rFonts w:hint="eastAsia" w:ascii="宋体" w:hAnsi="宋体" w:eastAsia="宋体" w:cs="宋体"/>
          <w:color w:val="auto"/>
          <w:lang w:val="zh-CN" w:eastAsia="zh-CN"/>
        </w:rPr>
      </w:pPr>
      <w:r>
        <w:rPr>
          <w:rFonts w:hint="eastAsia" w:ascii="宋体" w:hAnsi="宋体" w:eastAsia="宋体" w:cs="宋体"/>
          <w:color w:val="auto"/>
          <w:lang w:val="zh-CN" w:eastAsia="zh-CN"/>
        </w:rPr>
      </w:r>
      <w:r/>
    </w:p>
    <w:p>
      <w:pPr>
        <w:pStyle w:val="939"/>
        <w:ind w:firstLine="210"/>
        <w:rPr>
          <w:rFonts w:hint="eastAsia" w:ascii="宋体" w:hAnsi="宋体" w:eastAsia="宋体" w:cs="宋体"/>
          <w:color w:val="auto"/>
          <w:lang w:val="zh-CN" w:eastAsia="zh-CN"/>
        </w:rPr>
      </w:pPr>
      <w:r>
        <w:rPr>
          <w:rFonts w:hint="eastAsia" w:ascii="宋体" w:hAnsi="宋体" w:eastAsia="宋体" w:cs="宋体"/>
          <w:color w:val="auto"/>
          <w:lang w:val="zh-CN" w:eastAsia="zh-CN"/>
        </w:rPr>
      </w:r>
      <w:r/>
    </w:p>
    <w:p>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p>
    <w:p>
      <w:pPr>
        <w:pStyle w:val="954"/>
        <w:ind w:firstLine="0"/>
        <w:jc w:val="center"/>
        <w:spacing w:line="360" w:lineRule="auto"/>
        <w:rPr>
          <w:rFonts w:hint="eastAsia" w:ascii="宋体" w:hAnsi="宋体" w:eastAsia="宋体" w:cs="宋体"/>
          <w:b/>
          <w:color w:val="auto"/>
          <w:sz w:val="32"/>
          <w:szCs w:val="32"/>
        </w:rPr>
        <w:outlineLvl w:val="0"/>
      </w:pPr>
      <w:r/>
      <w:bookmarkStart w:id="22" w:name="_Toc15043"/>
      <w:r>
        <w:rPr>
          <w:rFonts w:hint="eastAsia" w:ascii="宋体" w:hAnsi="宋体" w:eastAsia="宋体" w:cs="宋体"/>
          <w:b/>
          <w:color w:val="auto"/>
          <w:sz w:val="32"/>
          <w:szCs w:val="32"/>
        </w:rPr>
        <w:t xml:space="preserve">第三章评审标准</w:t>
      </w:r>
      <w:bookmarkEnd w:id="22"/>
      <w:r/>
      <w:r/>
    </w:p>
    <w:p>
      <w:pPr>
        <w:ind w:firstLine="420"/>
        <w:widowControl/>
        <w:rPr>
          <w:rFonts w:hint="eastAsia" w:ascii="宋体" w:hAnsi="宋体" w:eastAsia="宋体" w:cs="宋体"/>
          <w:color w:val="auto"/>
        </w:rPr>
      </w:pPr>
      <w:r>
        <w:rPr>
          <w:rFonts w:hint="eastAsia" w:ascii="宋体" w:hAnsi="宋体" w:eastAsia="宋体" w:cs="宋体"/>
          <w:color w:val="auto"/>
        </w:rPr>
        <w:t xml:space="preserve">本次采购得分最高者为成交供应商，得分相同的，按投标报价由低到高顺序排列，得分且投标报价相同的，按技术指标优劣顺序排列，由评标委员会依次推荐三家中标候选供应商。第二名为备选供应商，当成交供应商不能履行其义务时，由备选供应商顶替，成为新的成交供应商，采购人也可以重新招标。</w:t>
      </w:r>
      <w:r/>
    </w:p>
    <w:tbl>
      <w:tblPr>
        <w:tblStyle w:val="890"/>
        <w:tblpPr w:horzAnchor="page" w:tblpX="1242" w:vertAnchor="text" w:tblpY="52" w:leftFromText="180" w:topFromText="0" w:rightFromText="180" w:bottomFromText="0"/>
        <w:tblW w:w="9185" w:type="dxa"/>
        <w:tblInd w:w="0"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autofit"/>
        <w:tblCellMar>
          <w:left w:w="0" w:type="dxa"/>
          <w:top w:w="0" w:type="dxa"/>
          <w:right w:w="0" w:type="dxa"/>
          <w:bottom w:w="0" w:type="dxa"/>
        </w:tblCellMar>
        <w:tblLook w:val="04A0" w:firstRow="1" w:lastRow="0" w:firstColumn="1" w:lastColumn="0" w:noHBand="0" w:noVBand="1"/>
      </w:tblPr>
      <w:tblGrid>
        <w:gridCol w:w="572"/>
        <w:gridCol w:w="992"/>
        <w:gridCol w:w="6233"/>
        <w:gridCol w:w="567"/>
        <w:gridCol w:w="821"/>
      </w:tblGrid>
      <w:tr>
        <w:trPr>
          <w:trHeight w:val="271"/>
        </w:trPr>
        <w:tc>
          <w:tcPr>
            <w:tcBorders>
              <w:top w:val="single" w:color="999999" w:sz="6" w:space="0"/>
              <w:left w:val="single" w:color="808080" w:sz="4" w:space="0"/>
              <w:bottom w:val="single" w:color="999999" w:sz="6" w:space="0"/>
              <w:right w:val="single" w:color="999999" w:sz="6" w:space="0"/>
            </w:tcBorders>
            <w:tcW w:w="572" w:type="dxa"/>
            <w:textDirection w:val="lrTb"/>
            <w:noWrap w:val="false"/>
          </w:tcPr>
          <w:p>
            <w:pPr>
              <w:ind w:left="105"/>
              <w:jc w:val="center"/>
              <w:keepLines w:val="0"/>
              <w:keepNext w:val="0"/>
              <w:pageBreakBefore w:val="0"/>
              <w:spacing w:before="10"/>
              <w:widowControl w:val="off"/>
              <w:rPr>
                <w:rFonts w:ascii="宋体" w:hAnsi="宋体" w:cs="宋体"/>
                <w:b/>
                <w:bCs/>
                <w:color w:val="auto"/>
                <w:spacing w:val="-2"/>
              </w:rPr>
            </w:pPr>
            <w:r>
              <w:rPr>
                <w:rFonts w:ascii="宋体" w:hAnsi="宋体" w:cs="宋体"/>
                <w:b/>
                <w:bCs/>
                <w:color w:val="auto"/>
                <w:spacing w:val="-2"/>
              </w:rPr>
              <w:t xml:space="preserve">序号</w:t>
            </w:r>
            <w:r/>
          </w:p>
        </w:tc>
        <w:tc>
          <w:tcPr>
            <w:tcBorders>
              <w:top w:val="single" w:color="999999" w:sz="6" w:space="0"/>
              <w:left w:val="single" w:color="999999" w:sz="6" w:space="0"/>
              <w:bottom w:val="single" w:color="999999" w:sz="6" w:space="0"/>
              <w:right w:val="single" w:color="999999" w:sz="6" w:space="0"/>
            </w:tcBorders>
            <w:tcW w:w="992" w:type="dxa"/>
            <w:textDirection w:val="lrTb"/>
            <w:noWrap w:val="false"/>
          </w:tcPr>
          <w:p>
            <w:pPr>
              <w:ind w:left="105"/>
              <w:jc w:val="center"/>
              <w:keepLines w:val="0"/>
              <w:keepNext w:val="0"/>
              <w:pageBreakBefore w:val="0"/>
              <w:spacing w:before="10"/>
              <w:widowControl w:val="off"/>
              <w:rPr>
                <w:rFonts w:ascii="宋体" w:hAnsi="宋体" w:cs="宋体"/>
                <w:b/>
                <w:bCs/>
                <w:color w:val="auto"/>
                <w:spacing w:val="-2"/>
              </w:rPr>
            </w:pPr>
            <w:r>
              <w:rPr>
                <w:rFonts w:ascii="宋体" w:hAnsi="宋体" w:cs="宋体"/>
                <w:b/>
                <w:bCs/>
                <w:color w:val="auto"/>
                <w:spacing w:val="-2"/>
              </w:rPr>
              <w:t xml:space="preserve">评审因素</w:t>
            </w:r>
            <w:r/>
          </w:p>
        </w:tc>
        <w:tc>
          <w:tcPr>
            <w:tcBorders>
              <w:top w:val="single" w:color="999999" w:sz="6" w:space="0"/>
              <w:left w:val="single" w:color="999999" w:sz="6" w:space="0"/>
              <w:bottom w:val="single" w:color="999999" w:sz="6" w:space="0"/>
              <w:right w:val="single" w:color="999999" w:sz="6" w:space="0"/>
            </w:tcBorders>
            <w:tcW w:w="6233" w:type="dxa"/>
            <w:textDirection w:val="lrTb"/>
            <w:noWrap w:val="false"/>
          </w:tcPr>
          <w:p>
            <w:pPr>
              <w:ind w:left="105"/>
              <w:jc w:val="center"/>
              <w:keepLines w:val="0"/>
              <w:keepNext w:val="0"/>
              <w:pageBreakBefore w:val="0"/>
              <w:spacing w:before="10"/>
              <w:widowControl w:val="off"/>
              <w:rPr>
                <w:rFonts w:ascii="宋体" w:hAnsi="宋体" w:cs="宋体"/>
                <w:b/>
                <w:bCs/>
                <w:color w:val="auto"/>
                <w:spacing w:val="-2"/>
              </w:rPr>
            </w:pPr>
            <w:r>
              <w:rPr>
                <w:rFonts w:ascii="宋体" w:hAnsi="宋体" w:cs="宋体"/>
                <w:b/>
                <w:bCs/>
                <w:color w:val="auto"/>
                <w:spacing w:val="-2"/>
              </w:rPr>
              <w:t xml:space="preserve">评审细则</w:t>
            </w:r>
            <w:r/>
          </w:p>
        </w:tc>
        <w:tc>
          <w:tcPr>
            <w:tcBorders>
              <w:top w:val="single" w:color="999999" w:sz="6" w:space="0"/>
              <w:left w:val="single" w:color="999999" w:sz="6" w:space="0"/>
              <w:bottom w:val="single" w:color="999999" w:sz="6" w:space="0"/>
              <w:right w:val="single" w:color="999999" w:sz="6" w:space="0"/>
            </w:tcBorders>
            <w:tcW w:w="567" w:type="dxa"/>
            <w:textDirection w:val="lrTb"/>
            <w:noWrap w:val="false"/>
          </w:tcPr>
          <w:p>
            <w:pPr>
              <w:ind w:left="105"/>
              <w:jc w:val="center"/>
              <w:keepLines w:val="0"/>
              <w:keepNext w:val="0"/>
              <w:pageBreakBefore w:val="0"/>
              <w:spacing w:before="10"/>
              <w:widowControl w:val="off"/>
              <w:rPr>
                <w:rFonts w:ascii="宋体" w:hAnsi="宋体" w:cs="宋体"/>
                <w:b/>
                <w:bCs/>
                <w:color w:val="auto"/>
                <w:spacing w:val="-2"/>
              </w:rPr>
            </w:pPr>
            <w:r>
              <w:rPr>
                <w:rFonts w:ascii="宋体" w:hAnsi="宋体" w:cs="宋体"/>
                <w:b/>
                <w:bCs/>
                <w:color w:val="auto"/>
                <w:spacing w:val="-2"/>
              </w:rPr>
              <w:t xml:space="preserve">分值</w:t>
            </w:r>
            <w:r/>
          </w:p>
        </w:tc>
        <w:tc>
          <w:tcPr>
            <w:tcBorders>
              <w:top w:val="single" w:color="999999" w:sz="6" w:space="0"/>
              <w:left w:val="single" w:color="999999" w:sz="6" w:space="0"/>
              <w:bottom w:val="single" w:color="999999" w:sz="6" w:space="0"/>
              <w:right w:val="single" w:color="808080" w:sz="4" w:space="0"/>
            </w:tcBorders>
            <w:tcW w:w="821" w:type="dxa"/>
            <w:textDirection w:val="lrTb"/>
            <w:noWrap w:val="false"/>
          </w:tcPr>
          <w:p>
            <w:pPr>
              <w:ind w:left="105"/>
              <w:jc w:val="center"/>
              <w:keepLines w:val="0"/>
              <w:keepNext w:val="0"/>
              <w:pageBreakBefore w:val="0"/>
              <w:spacing w:before="10"/>
              <w:widowControl w:val="off"/>
              <w:rPr>
                <w:rFonts w:ascii="宋体" w:hAnsi="宋体" w:cs="宋体"/>
                <w:b/>
                <w:bCs/>
                <w:color w:val="auto"/>
                <w:spacing w:val="-2"/>
              </w:rPr>
            </w:pPr>
            <w:r>
              <w:rPr>
                <w:rFonts w:ascii="宋体" w:hAnsi="宋体" w:cs="宋体"/>
                <w:b/>
                <w:bCs/>
                <w:color w:val="auto"/>
                <w:spacing w:val="-2"/>
              </w:rPr>
              <w:t xml:space="preserve">类型</w:t>
            </w:r>
            <w:r/>
          </w:p>
        </w:tc>
      </w:tr>
      <w:tr>
        <w:trPr>
          <w:trHeight w:val="390"/>
        </w:trPr>
        <w:tc>
          <w:tcPr>
            <w:gridSpan w:val="5"/>
            <w:tcBorders>
              <w:top w:val="single" w:color="999999" w:sz="6" w:space="0"/>
              <w:left w:val="single" w:color="808080" w:sz="4" w:space="0"/>
              <w:bottom w:val="single" w:color="999999" w:sz="6" w:space="0"/>
              <w:right w:val="single" w:color="808080" w:sz="4" w:space="0"/>
            </w:tcBorders>
            <w:tcW w:w="9185" w:type="dxa"/>
            <w:textDirection w:val="lrTb"/>
            <w:noWrap w:val="false"/>
          </w:tcPr>
          <w:p>
            <w:pPr>
              <w:ind w:left="105"/>
              <w:jc w:val="center"/>
              <w:keepLines w:val="0"/>
              <w:keepNext w:val="0"/>
              <w:pageBreakBefore w:val="0"/>
              <w:spacing w:before="10"/>
              <w:widowControl w:val="off"/>
              <w:rPr>
                <w:rFonts w:ascii="宋体" w:hAnsi="宋体" w:cs="宋体"/>
                <w:color w:val="auto"/>
              </w:rPr>
            </w:pPr>
            <w:r>
              <w:rPr>
                <w:rFonts w:hint="eastAsia" w:ascii="宋体" w:hAnsi="宋体" w:cs="宋体"/>
                <w:b/>
                <w:bCs/>
                <w:color w:val="auto"/>
                <w:spacing w:val="-3"/>
              </w:rPr>
              <w:t xml:space="preserve">1.</w:t>
            </w:r>
            <w:r>
              <w:rPr>
                <w:rFonts w:ascii="宋体" w:hAnsi="宋体" w:cs="宋体"/>
                <w:b/>
                <w:bCs/>
                <w:color w:val="auto"/>
                <w:spacing w:val="-3"/>
              </w:rPr>
              <w:t xml:space="preserve">价</w:t>
            </w:r>
            <w:r>
              <w:rPr>
                <w:rFonts w:ascii="宋体" w:hAnsi="宋体" w:cs="宋体"/>
                <w:b/>
                <w:bCs/>
                <w:color w:val="auto"/>
                <w:spacing w:val="-2"/>
              </w:rPr>
              <w:t xml:space="preserve">格</w:t>
            </w:r>
            <w:r/>
          </w:p>
        </w:tc>
      </w:tr>
      <w:tr>
        <w:trPr>
          <w:trHeight w:val="1210"/>
        </w:trPr>
        <w:tc>
          <w:tcPr>
            <w:tcBorders>
              <w:top w:val="single" w:color="999999" w:sz="6" w:space="0"/>
              <w:left w:val="single" w:color="808080" w:sz="4" w:space="0"/>
              <w:bottom w:val="single" w:color="999999" w:sz="6" w:space="0"/>
              <w:right w:val="single" w:color="999999" w:sz="6" w:space="0"/>
            </w:tcBorders>
            <w:tcW w:w="572" w:type="dxa"/>
            <w:vAlign w:val="center"/>
            <w:textDirection w:val="lrTb"/>
            <w:noWrap w:val="false"/>
          </w:tcPr>
          <w:p>
            <w:pPr>
              <w:pStyle w:val="1113"/>
              <w:ind w:left="105"/>
              <w:jc w:val="center"/>
              <w:keepLines w:val="0"/>
              <w:keepNext w:val="0"/>
              <w:pageBreakBefore w:val="0"/>
              <w:spacing w:before="10"/>
              <w:widowControl w:val="off"/>
              <w:rPr>
                <w:color w:val="auto"/>
                <w:spacing w:val="-5"/>
                <w:sz w:val="21"/>
                <w:szCs w:val="21"/>
              </w:rPr>
            </w:pPr>
            <w:r>
              <w:rPr>
                <w:rFonts w:hint="eastAsia"/>
                <w:color w:val="auto"/>
                <w:spacing w:val="-5"/>
                <w:sz w:val="21"/>
                <w:szCs w:val="21"/>
              </w:rPr>
              <w:t xml:space="preserve">1.1</w:t>
            </w:r>
            <w:r/>
          </w:p>
        </w:tc>
        <w:tc>
          <w:tcPr>
            <w:tcBorders>
              <w:top w:val="single" w:color="999999" w:sz="6" w:space="0"/>
              <w:left w:val="single" w:color="999999" w:sz="6" w:space="0"/>
              <w:bottom w:val="single" w:color="999999" w:sz="6" w:space="0"/>
              <w:right w:val="single" w:color="999999" w:sz="6" w:space="0"/>
            </w:tcBorders>
            <w:tcW w:w="992" w:type="dxa"/>
            <w:vAlign w:val="center"/>
            <w:textDirection w:val="lrTb"/>
            <w:noWrap w:val="false"/>
          </w:tcPr>
          <w:p>
            <w:pPr>
              <w:pStyle w:val="1113"/>
              <w:ind w:left="105"/>
              <w:jc w:val="center"/>
              <w:keepLines w:val="0"/>
              <w:keepNext w:val="0"/>
              <w:pageBreakBefore w:val="0"/>
              <w:spacing w:before="10"/>
              <w:widowControl w:val="off"/>
              <w:rPr>
                <w:color w:val="auto"/>
                <w:spacing w:val="-5"/>
                <w:sz w:val="21"/>
                <w:szCs w:val="21"/>
              </w:rPr>
            </w:pPr>
            <w:r>
              <w:rPr>
                <w:rFonts w:hint="eastAsia"/>
                <w:color w:val="auto"/>
                <w:spacing w:val="-5"/>
                <w:sz w:val="21"/>
                <w:szCs w:val="21"/>
              </w:rPr>
              <w:t xml:space="preserve">价格分</w:t>
            </w:r>
            <w:r/>
          </w:p>
        </w:tc>
        <w:tc>
          <w:tcPr>
            <w:tcBorders>
              <w:top w:val="single" w:color="999999" w:sz="6" w:space="0"/>
              <w:left w:val="single" w:color="999999" w:sz="6" w:space="0"/>
              <w:bottom w:val="single" w:color="999999" w:sz="6" w:space="0"/>
              <w:right w:val="single" w:color="999999" w:sz="6" w:space="0"/>
            </w:tcBorders>
            <w:tcW w:w="6233" w:type="dxa"/>
            <w:textDirection w:val="lrTb"/>
            <w:noWrap w:val="false"/>
          </w:tcPr>
          <w:p>
            <w:pPr>
              <w:pStyle w:val="1113"/>
              <w:ind w:left="105" w:right="29"/>
              <w:jc w:val="left"/>
              <w:keepLines w:val="0"/>
              <w:keepNext w:val="0"/>
              <w:pageBreakBefore w:val="0"/>
              <w:spacing w:before="10"/>
              <w:widowControl w:val="off"/>
              <w:rPr>
                <w:rFonts w:hint="default"/>
                <w:color w:val="auto"/>
                <w:spacing w:val="-1"/>
                <w:sz w:val="21"/>
                <w:szCs w:val="21"/>
                <w:lang w:val="en-US" w:eastAsia="zh-CN"/>
              </w:rPr>
            </w:pPr>
            <w:r>
              <w:rPr>
                <w:rFonts w:hint="eastAsia"/>
                <w:color w:val="auto"/>
                <w:spacing w:val="-1"/>
                <w:sz w:val="21"/>
                <w:szCs w:val="21"/>
              </w:rPr>
              <w:t xml:space="preserve">供应商的价格分统一采用低价优先法计算，满足采购文件要求且投标价格最低的投标报价为评标基准价，其价格分为满分。其他供应商的价格分统一按照下列公式计算投标报价得分=(评标基准价／投标报价)×</w:t>
            </w:r>
            <w:r>
              <w:rPr>
                <w:rFonts w:hint="eastAsia"/>
                <w:color w:val="auto"/>
                <w:spacing w:val="-1"/>
                <w:sz w:val="21"/>
                <w:szCs w:val="21"/>
                <w:lang w:val="en-US" w:eastAsia="zh-CN"/>
              </w:rPr>
              <w:t xml:space="preserve">20。</w:t>
            </w:r>
            <w:r/>
          </w:p>
        </w:tc>
        <w:tc>
          <w:tcPr>
            <w:tcBorders>
              <w:top w:val="single" w:color="999999" w:sz="6" w:space="0"/>
              <w:left w:val="single" w:color="999999" w:sz="6" w:space="0"/>
              <w:bottom w:val="single" w:color="999999" w:sz="6" w:space="0"/>
              <w:right w:val="single" w:color="999999" w:sz="6" w:space="0"/>
            </w:tcBorders>
            <w:tcW w:w="567" w:type="dxa"/>
            <w:vAlign w:val="center"/>
            <w:textDirection w:val="lrTb"/>
            <w:noWrap w:val="false"/>
          </w:tcPr>
          <w:p>
            <w:pPr>
              <w:pStyle w:val="1113"/>
              <w:ind w:left="105"/>
              <w:jc w:val="center"/>
              <w:keepLines w:val="0"/>
              <w:keepNext w:val="0"/>
              <w:pageBreakBefore w:val="0"/>
              <w:spacing w:before="10"/>
              <w:widowControl w:val="off"/>
              <w:rPr>
                <w:rFonts w:hint="default" w:eastAsia="宋体"/>
                <w:color w:val="auto"/>
                <w:spacing w:val="-5"/>
                <w:sz w:val="21"/>
                <w:szCs w:val="21"/>
                <w:lang w:val="en-US" w:eastAsia="zh-CN"/>
              </w:rPr>
            </w:pPr>
            <w:r>
              <w:rPr>
                <w:rFonts w:hint="eastAsia"/>
                <w:color w:val="auto"/>
                <w:spacing w:val="-5"/>
                <w:sz w:val="21"/>
                <w:szCs w:val="21"/>
                <w:lang w:val="en-US" w:eastAsia="zh-CN"/>
              </w:rPr>
              <w:t xml:space="preserve">20</w:t>
            </w:r>
            <w:r/>
          </w:p>
        </w:tc>
        <w:tc>
          <w:tcPr>
            <w:tcBorders>
              <w:top w:val="single" w:color="999999" w:sz="6" w:space="0"/>
              <w:left w:val="single" w:color="999999" w:sz="6" w:space="0"/>
              <w:bottom w:val="single" w:color="999999" w:sz="6" w:space="0"/>
              <w:right w:val="single" w:color="808080" w:sz="4" w:space="0"/>
            </w:tcBorders>
            <w:tcW w:w="821" w:type="dxa"/>
            <w:vAlign w:val="center"/>
            <w:textDirection w:val="lrTb"/>
            <w:noWrap w:val="false"/>
          </w:tcPr>
          <w:p>
            <w:pPr>
              <w:pStyle w:val="1113"/>
              <w:ind w:left="105"/>
              <w:jc w:val="center"/>
              <w:keepLines w:val="0"/>
              <w:keepNext w:val="0"/>
              <w:pageBreakBefore w:val="0"/>
              <w:spacing w:before="10"/>
              <w:widowControl w:val="off"/>
              <w:rPr>
                <w:color w:val="auto"/>
                <w:spacing w:val="-5"/>
                <w:sz w:val="21"/>
                <w:szCs w:val="21"/>
              </w:rPr>
            </w:pPr>
            <w:r>
              <w:rPr>
                <w:rFonts w:hint="eastAsia"/>
                <w:color w:val="auto"/>
                <w:spacing w:val="-5"/>
                <w:sz w:val="21"/>
                <w:szCs w:val="21"/>
              </w:rPr>
              <w:t xml:space="preserve">价格分</w:t>
            </w:r>
            <w:r/>
          </w:p>
        </w:tc>
      </w:tr>
      <w:tr>
        <w:trPr>
          <w:trHeight w:val="390"/>
        </w:trPr>
        <w:tc>
          <w:tcPr>
            <w:gridSpan w:val="5"/>
            <w:tcBorders>
              <w:top w:val="single" w:color="999999" w:sz="6" w:space="0"/>
              <w:left w:val="single" w:color="808080" w:sz="4" w:space="0"/>
              <w:bottom w:val="single" w:color="999999" w:sz="6" w:space="0"/>
              <w:right w:val="single" w:color="808080" w:sz="4" w:space="0"/>
            </w:tcBorders>
            <w:tcW w:w="9185" w:type="dxa"/>
            <w:vAlign w:val="center"/>
            <w:textDirection w:val="lrTb"/>
            <w:noWrap w:val="false"/>
          </w:tcPr>
          <w:p>
            <w:pPr>
              <w:pStyle w:val="1113"/>
              <w:ind w:left="105"/>
              <w:jc w:val="center"/>
              <w:keepLines w:val="0"/>
              <w:keepNext w:val="0"/>
              <w:pageBreakBefore w:val="0"/>
              <w:spacing w:before="10"/>
              <w:widowControl w:val="off"/>
              <w:rPr>
                <w:rFonts w:hint="eastAsia" w:eastAsia="宋体"/>
                <w:color w:val="auto"/>
                <w:spacing w:val="-5"/>
                <w:sz w:val="21"/>
                <w:szCs w:val="21"/>
                <w:lang w:val="en-US" w:eastAsia="zh-CN"/>
              </w:rPr>
            </w:pPr>
            <w:r>
              <w:rPr>
                <w:rFonts w:hint="eastAsia"/>
                <w:b/>
                <w:bCs/>
                <w:color w:val="auto"/>
                <w:spacing w:val="-3"/>
              </w:rPr>
              <w:t xml:space="preserve">2.服务</w:t>
            </w:r>
            <w:r>
              <w:rPr>
                <w:rFonts w:hint="eastAsia"/>
                <w:b/>
                <w:bCs/>
                <w:color w:val="auto"/>
                <w:spacing w:val="-3"/>
                <w:lang w:val="en-US" w:eastAsia="zh-CN"/>
              </w:rPr>
              <w:t xml:space="preserve">方案</w:t>
            </w:r>
            <w:r/>
          </w:p>
        </w:tc>
      </w:tr>
      <w:tr>
        <w:trPr>
          <w:trHeight w:val="90"/>
        </w:trPr>
        <w:tc>
          <w:tcPr>
            <w:tcBorders>
              <w:top w:val="single" w:color="999999" w:sz="6" w:space="0"/>
              <w:left w:val="single" w:color="808080" w:sz="4" w:space="0"/>
              <w:bottom w:val="single" w:color="999999" w:sz="6" w:space="0"/>
              <w:right w:val="single" w:color="999999" w:sz="6" w:space="0"/>
            </w:tcBorders>
            <w:tcW w:w="572" w:type="dxa"/>
            <w:textDirection w:val="lrTb"/>
            <w:noWrap w:val="false"/>
          </w:tcPr>
          <w:p>
            <w:pPr>
              <w:pStyle w:val="1113"/>
              <w:ind w:left="105"/>
              <w:jc w:val="center"/>
              <w:keepLines w:val="0"/>
              <w:keepNext w:val="0"/>
              <w:pageBreakBefore w:val="0"/>
              <w:spacing w:before="10"/>
              <w:widowControl w:val="off"/>
              <w:rPr>
                <w:color w:val="auto"/>
                <w:spacing w:val="-5"/>
                <w:sz w:val="21"/>
                <w:szCs w:val="21"/>
              </w:rPr>
            </w:pPr>
            <w:r>
              <w:rPr>
                <w:color w:val="auto"/>
                <w:spacing w:val="-5"/>
                <w:sz w:val="21"/>
                <w:szCs w:val="21"/>
              </w:rPr>
            </w:r>
            <w:r/>
          </w:p>
          <w:p>
            <w:pPr>
              <w:pStyle w:val="1113"/>
              <w:ind w:left="105"/>
              <w:jc w:val="center"/>
              <w:keepLines w:val="0"/>
              <w:keepNext w:val="0"/>
              <w:pageBreakBefore w:val="0"/>
              <w:spacing w:before="10"/>
              <w:widowControl w:val="off"/>
              <w:rPr>
                <w:color w:val="auto"/>
                <w:spacing w:val="-5"/>
                <w:sz w:val="21"/>
                <w:szCs w:val="21"/>
              </w:rPr>
            </w:pPr>
            <w:r>
              <w:rPr>
                <w:color w:val="auto"/>
                <w:spacing w:val="-5"/>
                <w:sz w:val="21"/>
                <w:szCs w:val="21"/>
              </w:rPr>
            </w:r>
            <w:r/>
          </w:p>
          <w:p>
            <w:pPr>
              <w:pStyle w:val="1113"/>
              <w:ind w:left="105"/>
              <w:jc w:val="center"/>
              <w:keepLines w:val="0"/>
              <w:keepNext w:val="0"/>
              <w:pageBreakBefore w:val="0"/>
              <w:spacing w:before="10"/>
              <w:widowControl w:val="off"/>
              <w:rPr>
                <w:color w:val="auto"/>
                <w:spacing w:val="-5"/>
                <w:sz w:val="21"/>
                <w:szCs w:val="21"/>
              </w:rPr>
            </w:pPr>
            <w:r>
              <w:rPr>
                <w:color w:val="auto"/>
                <w:spacing w:val="-5"/>
                <w:sz w:val="21"/>
                <w:szCs w:val="21"/>
              </w:rPr>
            </w:r>
            <w:r/>
          </w:p>
          <w:p>
            <w:pPr>
              <w:pStyle w:val="1113"/>
              <w:ind w:left="105"/>
              <w:jc w:val="center"/>
              <w:keepLines w:val="0"/>
              <w:keepNext w:val="0"/>
              <w:pageBreakBefore w:val="0"/>
              <w:spacing w:before="10"/>
              <w:widowControl w:val="off"/>
              <w:rPr>
                <w:color w:val="auto"/>
                <w:spacing w:val="-5"/>
                <w:sz w:val="21"/>
                <w:szCs w:val="21"/>
              </w:rPr>
            </w:pPr>
            <w:r>
              <w:rPr>
                <w:rFonts w:hint="eastAsia"/>
                <w:color w:val="auto"/>
                <w:spacing w:val="-5"/>
                <w:sz w:val="21"/>
                <w:szCs w:val="21"/>
              </w:rPr>
              <w:t xml:space="preserve">2.1</w:t>
            </w:r>
            <w:r/>
          </w:p>
        </w:tc>
        <w:tc>
          <w:tcPr>
            <w:tcBorders>
              <w:top w:val="single" w:color="999999" w:sz="6" w:space="0"/>
              <w:left w:val="single" w:color="999999" w:sz="6" w:space="0"/>
              <w:bottom w:val="single" w:color="999999" w:sz="6" w:space="0"/>
              <w:right w:val="single" w:color="999999" w:sz="6" w:space="0"/>
            </w:tcBorders>
            <w:tcW w:w="992" w:type="dxa"/>
            <w:vAlign w:val="center"/>
            <w:textDirection w:val="lrTb"/>
            <w:noWrap w:val="false"/>
          </w:tcPr>
          <w:p>
            <w:pPr>
              <w:pStyle w:val="1113"/>
              <w:ind w:left="105"/>
              <w:jc w:val="center"/>
              <w:keepLines w:val="0"/>
              <w:keepNext w:val="0"/>
              <w:pageBreakBefore w:val="0"/>
              <w:spacing w:before="10"/>
              <w:widowControl w:val="off"/>
              <w:rPr>
                <w:color w:val="auto"/>
                <w:spacing w:val="-5"/>
                <w:sz w:val="21"/>
                <w:szCs w:val="21"/>
              </w:rPr>
            </w:pPr>
            <w:r>
              <w:rPr>
                <w:rFonts w:hint="eastAsia"/>
                <w:b w:val="0"/>
                <w:bCs w:val="0"/>
                <w:color w:val="auto"/>
                <w:sz w:val="20"/>
                <w:szCs w:val="20"/>
                <w:highlight w:val="none"/>
                <w:shd w:val="clear" w:color="auto" w:fill="auto"/>
              </w:rPr>
              <w:t xml:space="preserve">项目总体方案</w:t>
            </w:r>
            <w:r/>
          </w:p>
        </w:tc>
        <w:tc>
          <w:tcPr>
            <w:tcBorders>
              <w:top w:val="single" w:color="999999" w:sz="6" w:space="0"/>
              <w:left w:val="single" w:color="999999" w:sz="6" w:space="0"/>
              <w:bottom w:val="single" w:color="999999" w:sz="6" w:space="0"/>
              <w:right w:val="single" w:color="999999" w:sz="6" w:space="0"/>
            </w:tcBorders>
            <w:tcW w:w="6233" w:type="dxa"/>
            <w:vAlign w:val="center"/>
            <w:textDirection w:val="lrTb"/>
            <w:noWrap w:val="false"/>
          </w:tcPr>
          <w:p>
            <w:pPr>
              <w:pStyle w:val="1113"/>
              <w:ind w:left="105"/>
              <w:jc w:val="left"/>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评委根据投标人提供的</w:t>
            </w:r>
            <w:r>
              <w:rPr>
                <w:rFonts w:hint="eastAsia"/>
                <w:color w:val="auto"/>
                <w:spacing w:val="-5"/>
                <w:sz w:val="21"/>
                <w:szCs w:val="21"/>
              </w:rPr>
              <w:t xml:space="preserve">项目实施方案</w:t>
            </w:r>
            <w:r>
              <w:rPr>
                <w:rFonts w:hint="eastAsia"/>
                <w:color w:val="auto"/>
                <w:spacing w:val="-5"/>
                <w:sz w:val="21"/>
                <w:szCs w:val="21"/>
                <w:lang w:val="en-US"/>
              </w:rPr>
              <w:t xml:space="preserve">综合评分：</w:t>
            </w:r>
            <w:r/>
          </w:p>
          <w:p>
            <w:pPr>
              <w:pStyle w:val="1113"/>
              <w:ind w:left="105"/>
              <w:jc w:val="left"/>
              <w:keepLines w:val="0"/>
              <w:keepNext w:val="0"/>
              <w:pageBreakBefore w:val="0"/>
              <w:spacing w:before="10"/>
              <w:widowControl w:val="off"/>
              <w:rPr>
                <w:color w:val="auto"/>
                <w:spacing w:val="-5"/>
                <w:sz w:val="21"/>
                <w:szCs w:val="21"/>
              </w:rPr>
            </w:pPr>
            <w:r>
              <w:rPr>
                <w:rFonts w:hint="eastAsia"/>
                <w:color w:val="auto"/>
                <w:spacing w:val="-5"/>
                <w:sz w:val="21"/>
                <w:szCs w:val="21"/>
                <w:lang w:val="en-US"/>
              </w:rPr>
              <w:t xml:space="preserve">1、</w:t>
            </w:r>
            <w:r>
              <w:rPr>
                <w:rFonts w:hint="eastAsia"/>
                <w:color w:val="auto"/>
                <w:spacing w:val="-5"/>
                <w:sz w:val="21"/>
                <w:szCs w:val="21"/>
              </w:rPr>
              <w:t xml:space="preserve">对项目总体认识、工作任务等要求理解准确，提交的实施方案内容科学合理、针对性明确细致，</w:t>
            </w:r>
            <w:r>
              <w:rPr>
                <w:rFonts w:hint="eastAsia"/>
                <w:color w:val="auto"/>
                <w:spacing w:val="-5"/>
                <w:sz w:val="21"/>
                <w:szCs w:val="21"/>
                <w:lang w:val="en-US"/>
              </w:rPr>
              <w:t xml:space="preserve">完全</w:t>
            </w:r>
            <w:r>
              <w:rPr>
                <w:rFonts w:hint="eastAsia"/>
                <w:color w:val="auto"/>
                <w:spacing w:val="-5"/>
                <w:sz w:val="21"/>
                <w:szCs w:val="21"/>
              </w:rPr>
              <w:t xml:space="preserve">满足本项目任务要求的得</w:t>
            </w:r>
            <w:r>
              <w:rPr>
                <w:rFonts w:hint="eastAsia"/>
                <w:color w:val="auto"/>
                <w:spacing w:val="-5"/>
                <w:sz w:val="21"/>
                <w:szCs w:val="21"/>
                <w:lang w:val="en-US" w:eastAsia="zh-CN"/>
              </w:rPr>
              <w:t xml:space="preserve">7</w:t>
            </w:r>
            <w:r>
              <w:rPr>
                <w:rFonts w:hint="eastAsia"/>
                <w:color w:val="auto"/>
                <w:spacing w:val="-5"/>
                <w:sz w:val="21"/>
                <w:szCs w:val="21"/>
              </w:rPr>
              <w:t xml:space="preserve">分；</w:t>
            </w:r>
            <w:r/>
          </w:p>
          <w:p>
            <w:pPr>
              <w:pStyle w:val="1113"/>
              <w:ind w:left="105"/>
              <w:jc w:val="left"/>
              <w:keepLines w:val="0"/>
              <w:keepNext w:val="0"/>
              <w:pageBreakBefore w:val="0"/>
              <w:spacing w:before="10"/>
              <w:widowControl w:val="off"/>
              <w:rPr>
                <w:color w:val="auto"/>
                <w:spacing w:val="-5"/>
                <w:sz w:val="21"/>
                <w:szCs w:val="21"/>
              </w:rPr>
            </w:pPr>
            <w:r>
              <w:rPr>
                <w:rFonts w:hint="eastAsia"/>
                <w:color w:val="auto"/>
                <w:spacing w:val="-5"/>
                <w:sz w:val="21"/>
                <w:szCs w:val="21"/>
                <w:lang w:val="en-US"/>
              </w:rPr>
              <w:t xml:space="preserve">2、</w:t>
            </w:r>
            <w:r>
              <w:rPr>
                <w:rFonts w:hint="eastAsia"/>
                <w:color w:val="auto"/>
                <w:spacing w:val="-5"/>
                <w:sz w:val="21"/>
                <w:szCs w:val="21"/>
              </w:rPr>
              <w:t xml:space="preserve">对项目总体认识、工作任务等要求理解准确，提交的实施方案内容合理、针对性明确但不够细致，满足本项目任务要求的得</w:t>
            </w:r>
            <w:r>
              <w:rPr>
                <w:rFonts w:hint="eastAsia"/>
                <w:color w:val="auto"/>
                <w:spacing w:val="-5"/>
                <w:sz w:val="21"/>
                <w:szCs w:val="21"/>
                <w:lang w:val="en-US" w:eastAsia="zh-CN"/>
              </w:rPr>
              <w:t xml:space="preserve">4</w:t>
            </w:r>
            <w:r>
              <w:rPr>
                <w:rFonts w:hint="eastAsia"/>
                <w:color w:val="auto"/>
                <w:spacing w:val="-5"/>
                <w:sz w:val="21"/>
                <w:szCs w:val="21"/>
              </w:rPr>
              <w:t xml:space="preserve">分；</w:t>
            </w:r>
            <w:r/>
          </w:p>
          <w:p>
            <w:pPr>
              <w:pStyle w:val="1113"/>
              <w:ind w:left="105"/>
              <w:jc w:val="left"/>
              <w:keepLines w:val="0"/>
              <w:keepNext w:val="0"/>
              <w:pageBreakBefore w:val="0"/>
              <w:spacing w:before="10"/>
              <w:widowControl w:val="off"/>
              <w:rPr>
                <w:color w:val="auto"/>
                <w:spacing w:val="-5"/>
                <w:sz w:val="21"/>
                <w:szCs w:val="21"/>
              </w:rPr>
            </w:pPr>
            <w:r>
              <w:rPr>
                <w:rFonts w:hint="eastAsia"/>
                <w:color w:val="auto"/>
                <w:spacing w:val="-5"/>
                <w:sz w:val="21"/>
                <w:szCs w:val="21"/>
                <w:lang w:val="en-US" w:eastAsia="zh-CN"/>
              </w:rPr>
              <w:t xml:space="preserve">3</w:t>
            </w:r>
            <w:r>
              <w:rPr>
                <w:rFonts w:hint="eastAsia"/>
                <w:color w:val="auto"/>
                <w:spacing w:val="-5"/>
                <w:sz w:val="21"/>
                <w:szCs w:val="21"/>
                <w:lang w:val="en-US"/>
              </w:rPr>
              <w:t xml:space="preserve">、</w:t>
            </w:r>
            <w:r>
              <w:rPr>
                <w:rFonts w:hint="eastAsia"/>
                <w:color w:val="auto"/>
                <w:spacing w:val="-5"/>
                <w:sz w:val="21"/>
                <w:szCs w:val="21"/>
              </w:rPr>
              <w:t xml:space="preserve">对项目总体认识、工作任务等要求理解不够准确，提交的实施方案合理但无针对性，内容</w:t>
            </w:r>
            <w:r>
              <w:rPr>
                <w:rFonts w:hint="eastAsia"/>
                <w:color w:val="auto"/>
                <w:spacing w:val="-5"/>
                <w:sz w:val="21"/>
                <w:szCs w:val="21"/>
                <w:lang w:val="en-US" w:eastAsia="zh-CN"/>
              </w:rPr>
              <w:t xml:space="preserve">基本</w:t>
            </w:r>
            <w:r>
              <w:rPr>
                <w:rFonts w:hint="eastAsia"/>
                <w:color w:val="auto"/>
                <w:spacing w:val="-5"/>
                <w:sz w:val="21"/>
                <w:szCs w:val="21"/>
              </w:rPr>
              <w:t xml:space="preserve">满足本项目任务要求的得</w:t>
            </w:r>
            <w:r>
              <w:rPr>
                <w:rFonts w:hint="eastAsia"/>
                <w:color w:val="auto"/>
                <w:spacing w:val="-5"/>
                <w:sz w:val="21"/>
                <w:szCs w:val="21"/>
                <w:lang w:val="en-US" w:eastAsia="zh-CN"/>
              </w:rPr>
              <w:t xml:space="preserve">1</w:t>
            </w:r>
            <w:r>
              <w:rPr>
                <w:rFonts w:hint="eastAsia"/>
                <w:color w:val="auto"/>
                <w:spacing w:val="-5"/>
                <w:sz w:val="21"/>
                <w:szCs w:val="21"/>
              </w:rPr>
              <w:t xml:space="preserve">分；</w:t>
            </w:r>
            <w:r/>
          </w:p>
          <w:p>
            <w:pPr>
              <w:pStyle w:val="1113"/>
              <w:ind w:left="105"/>
              <w:jc w:val="left"/>
              <w:keepLines w:val="0"/>
              <w:keepNext w:val="0"/>
              <w:pageBreakBefore w:val="0"/>
              <w:spacing w:before="10"/>
              <w:widowControl w:val="off"/>
              <w:rPr>
                <w:color w:val="auto"/>
                <w:spacing w:val="-5"/>
                <w:sz w:val="21"/>
                <w:szCs w:val="21"/>
              </w:rPr>
            </w:pPr>
            <w:r>
              <w:rPr>
                <w:rFonts w:hint="eastAsia"/>
                <w:color w:val="auto"/>
                <w:spacing w:val="-5"/>
                <w:sz w:val="21"/>
                <w:szCs w:val="21"/>
                <w:lang w:val="en-US" w:eastAsia="zh-CN"/>
              </w:rPr>
              <w:t xml:space="preserve">4</w:t>
            </w:r>
            <w:r>
              <w:rPr>
                <w:rFonts w:hint="eastAsia"/>
                <w:color w:val="auto"/>
                <w:spacing w:val="-5"/>
                <w:sz w:val="21"/>
                <w:szCs w:val="21"/>
                <w:lang w:val="en-US"/>
              </w:rPr>
              <w:t xml:space="preserve">、</w:t>
            </w:r>
            <w:r>
              <w:rPr>
                <w:rFonts w:hint="eastAsia"/>
                <w:color w:val="auto"/>
                <w:spacing w:val="-5"/>
                <w:sz w:val="21"/>
                <w:szCs w:val="21"/>
                <w:lang w:val="en-US" w:eastAsia="zh-CN"/>
              </w:rPr>
              <w:t xml:space="preserve">方案差或</w:t>
            </w:r>
            <w:r>
              <w:rPr>
                <w:rFonts w:hint="eastAsia"/>
                <w:color w:val="auto"/>
                <w:spacing w:val="-5"/>
                <w:sz w:val="21"/>
                <w:szCs w:val="21"/>
              </w:rPr>
              <w:t xml:space="preserve">未提供的</w:t>
            </w:r>
            <w:r>
              <w:rPr>
                <w:rFonts w:hint="eastAsia"/>
                <w:color w:val="auto"/>
                <w:spacing w:val="-5"/>
                <w:sz w:val="21"/>
                <w:szCs w:val="21"/>
                <w:lang w:val="en-US" w:eastAsia="zh-CN"/>
              </w:rPr>
              <w:t xml:space="preserve">不得分</w:t>
            </w:r>
            <w:r>
              <w:rPr>
                <w:rFonts w:hint="eastAsia"/>
                <w:color w:val="auto"/>
                <w:spacing w:val="-5"/>
                <w:sz w:val="21"/>
                <w:szCs w:val="21"/>
              </w:rPr>
              <w:t xml:space="preserve">。</w:t>
            </w:r>
            <w:r/>
          </w:p>
        </w:tc>
        <w:tc>
          <w:tcPr>
            <w:tcBorders>
              <w:top w:val="single" w:color="999999" w:sz="6" w:space="0"/>
              <w:left w:val="single" w:color="999999" w:sz="6" w:space="0"/>
              <w:bottom w:val="single" w:color="999999" w:sz="6" w:space="0"/>
              <w:right w:val="single" w:color="999999" w:sz="6" w:space="0"/>
            </w:tcBorders>
            <w:tcW w:w="567" w:type="dxa"/>
            <w:vAlign w:val="center"/>
            <w:textDirection w:val="lrTb"/>
            <w:noWrap w:val="false"/>
          </w:tcPr>
          <w:p>
            <w:pPr>
              <w:pStyle w:val="1113"/>
              <w:ind w:left="105"/>
              <w:jc w:val="center"/>
              <w:keepLines w:val="0"/>
              <w:keepNext w:val="0"/>
              <w:pageBreakBefore w:val="0"/>
              <w:spacing w:before="10"/>
              <w:widowControl w:val="off"/>
              <w:rPr>
                <w:rFonts w:hint="default" w:eastAsia="宋体"/>
                <w:color w:val="auto"/>
                <w:spacing w:val="-5"/>
                <w:sz w:val="21"/>
                <w:szCs w:val="21"/>
                <w:lang w:val="en-US" w:eastAsia="zh-CN"/>
              </w:rPr>
            </w:pPr>
            <w:r>
              <w:rPr>
                <w:rFonts w:hint="eastAsia"/>
                <w:color w:val="auto"/>
                <w:spacing w:val="-5"/>
                <w:sz w:val="21"/>
                <w:szCs w:val="21"/>
                <w:lang w:val="en-US" w:eastAsia="zh-CN"/>
              </w:rPr>
              <w:t xml:space="preserve">7</w:t>
            </w:r>
            <w:r/>
          </w:p>
        </w:tc>
        <w:tc>
          <w:tcPr>
            <w:tcBorders>
              <w:top w:val="single" w:color="999999" w:sz="6" w:space="0"/>
              <w:left w:val="single" w:color="999999" w:sz="6" w:space="0"/>
              <w:bottom w:val="single" w:color="999999" w:sz="6" w:space="0"/>
              <w:right w:val="single" w:color="808080" w:sz="4" w:space="0"/>
            </w:tcBorders>
            <w:tcW w:w="821" w:type="dxa"/>
            <w:vAlign w:val="center"/>
            <w:textDirection w:val="lrTb"/>
            <w:noWrap w:val="false"/>
          </w:tcPr>
          <w:p>
            <w:pPr>
              <w:pStyle w:val="1113"/>
              <w:ind w:left="105"/>
              <w:jc w:val="center"/>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主观分</w:t>
            </w:r>
            <w:r/>
          </w:p>
        </w:tc>
      </w:tr>
      <w:tr>
        <w:trPr>
          <w:trHeight w:val="1972"/>
        </w:trPr>
        <w:tc>
          <w:tcPr>
            <w:tcBorders>
              <w:top w:val="single" w:color="999999" w:sz="6" w:space="0"/>
              <w:left w:val="single" w:color="808080" w:sz="4" w:space="0"/>
              <w:bottom w:val="single" w:color="999999" w:sz="6" w:space="0"/>
              <w:right w:val="single" w:color="999999" w:sz="6" w:space="0"/>
            </w:tcBorders>
            <w:tcW w:w="572" w:type="dxa"/>
            <w:textDirection w:val="lrTb"/>
            <w:noWrap w:val="false"/>
          </w:tcPr>
          <w:p>
            <w:pPr>
              <w:pStyle w:val="1113"/>
              <w:ind w:left="105"/>
              <w:jc w:val="center"/>
              <w:keepLines w:val="0"/>
              <w:keepNext w:val="0"/>
              <w:pageBreakBefore w:val="0"/>
              <w:spacing w:before="10"/>
              <w:widowControl w:val="off"/>
              <w:rPr>
                <w:color w:val="auto"/>
                <w:spacing w:val="-5"/>
                <w:sz w:val="21"/>
                <w:szCs w:val="21"/>
                <w:lang w:val="en-US"/>
              </w:rPr>
            </w:pPr>
            <w:r>
              <w:rPr>
                <w:color w:val="auto"/>
                <w:spacing w:val="-5"/>
                <w:sz w:val="21"/>
                <w:szCs w:val="21"/>
                <w:lang w:val="en-US"/>
              </w:rPr>
            </w:r>
            <w:r/>
          </w:p>
          <w:p>
            <w:pPr>
              <w:pStyle w:val="1113"/>
              <w:ind w:left="105"/>
              <w:jc w:val="center"/>
              <w:keepLines w:val="0"/>
              <w:keepNext w:val="0"/>
              <w:pageBreakBefore w:val="0"/>
              <w:spacing w:before="10"/>
              <w:widowControl w:val="off"/>
              <w:rPr>
                <w:color w:val="auto"/>
                <w:spacing w:val="-5"/>
                <w:sz w:val="21"/>
                <w:szCs w:val="21"/>
                <w:lang w:val="en-US"/>
              </w:rPr>
            </w:pPr>
            <w:r>
              <w:rPr>
                <w:color w:val="auto"/>
                <w:spacing w:val="-5"/>
                <w:sz w:val="21"/>
                <w:szCs w:val="21"/>
                <w:lang w:val="en-US"/>
              </w:rPr>
            </w:r>
            <w:r/>
          </w:p>
          <w:p>
            <w:pPr>
              <w:pStyle w:val="1113"/>
              <w:ind w:left="105"/>
              <w:jc w:val="center"/>
              <w:keepLines w:val="0"/>
              <w:keepNext w:val="0"/>
              <w:pageBreakBefore w:val="0"/>
              <w:spacing w:before="10"/>
              <w:widowControl w:val="off"/>
              <w:rPr>
                <w:color w:val="auto"/>
                <w:spacing w:val="-5"/>
                <w:sz w:val="21"/>
                <w:szCs w:val="21"/>
                <w:lang w:val="en-US"/>
              </w:rPr>
            </w:pPr>
            <w:r>
              <w:rPr>
                <w:color w:val="auto"/>
                <w:spacing w:val="-5"/>
                <w:sz w:val="21"/>
                <w:szCs w:val="21"/>
                <w:lang w:val="en-US"/>
              </w:rPr>
            </w:r>
            <w:r/>
          </w:p>
          <w:p>
            <w:pPr>
              <w:pStyle w:val="1113"/>
              <w:ind w:left="105"/>
              <w:jc w:val="center"/>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2.2</w:t>
            </w:r>
            <w:r/>
          </w:p>
        </w:tc>
        <w:tc>
          <w:tcPr>
            <w:tcBorders>
              <w:top w:val="single" w:color="999999" w:sz="6" w:space="0"/>
              <w:left w:val="single" w:color="999999" w:sz="6" w:space="0"/>
              <w:bottom w:val="single" w:color="999999" w:sz="6" w:space="0"/>
              <w:right w:val="single" w:color="999999" w:sz="6" w:space="0"/>
            </w:tcBorders>
            <w:tcW w:w="992" w:type="dxa"/>
            <w:vAlign w:val="center"/>
            <w:textDirection w:val="lrTb"/>
            <w:noWrap w:val="false"/>
          </w:tcPr>
          <w:p>
            <w:pPr>
              <w:pStyle w:val="1113"/>
              <w:ind w:left="105"/>
              <w:jc w:val="center"/>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eastAsia="zh-CN"/>
              </w:rPr>
              <w:t xml:space="preserve">人员</w:t>
            </w:r>
            <w:r>
              <w:rPr>
                <w:rFonts w:hint="eastAsia"/>
                <w:color w:val="auto"/>
                <w:spacing w:val="-5"/>
                <w:sz w:val="21"/>
                <w:szCs w:val="21"/>
                <w:lang w:val="en-US"/>
              </w:rPr>
              <w:t xml:space="preserve">日常管理方案</w:t>
            </w:r>
            <w:r/>
          </w:p>
        </w:tc>
        <w:tc>
          <w:tcPr>
            <w:tcBorders>
              <w:top w:val="single" w:color="999999" w:sz="6" w:space="0"/>
              <w:left w:val="single" w:color="999999" w:sz="6" w:space="0"/>
              <w:bottom w:val="single" w:color="999999" w:sz="6" w:space="0"/>
              <w:right w:val="single" w:color="999999" w:sz="6" w:space="0"/>
            </w:tcBorders>
            <w:tcW w:w="6233" w:type="dxa"/>
            <w:vAlign w:val="center"/>
            <w:textDirection w:val="lrTb"/>
            <w:noWrap w:val="false"/>
          </w:tcPr>
          <w:p>
            <w:pPr>
              <w:pStyle w:val="1113"/>
              <w:ind w:left="105"/>
              <w:jc w:val="left"/>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评委根据投标人提供的人员</w:t>
            </w:r>
            <w:r>
              <w:rPr>
                <w:rFonts w:hint="eastAsia"/>
                <w:color w:val="auto"/>
                <w:spacing w:val="-5"/>
                <w:sz w:val="21"/>
                <w:szCs w:val="21"/>
                <w:lang w:val="en-US" w:eastAsia="zh-CN"/>
              </w:rPr>
              <w:t xml:space="preserve">日常管理</w:t>
            </w:r>
            <w:r>
              <w:rPr>
                <w:rFonts w:hint="eastAsia"/>
                <w:color w:val="auto"/>
                <w:spacing w:val="-5"/>
                <w:sz w:val="21"/>
                <w:szCs w:val="21"/>
              </w:rPr>
              <w:t xml:space="preserve">方案</w:t>
            </w:r>
            <w:r>
              <w:rPr>
                <w:rFonts w:hint="eastAsia"/>
                <w:color w:val="auto"/>
                <w:spacing w:val="-5"/>
                <w:sz w:val="21"/>
                <w:szCs w:val="21"/>
                <w:lang w:val="en-US"/>
              </w:rPr>
              <w:t xml:space="preserve">综合评分：</w:t>
            </w:r>
            <w:r/>
          </w:p>
          <w:p>
            <w:pPr>
              <w:pStyle w:val="1113"/>
              <w:numPr>
                <w:ilvl w:val="0"/>
                <w:numId w:val="9"/>
              </w:numPr>
              <w:ind w:left="105"/>
              <w:jc w:val="left"/>
              <w:keepLines w:val="0"/>
              <w:keepNext w:val="0"/>
              <w:pageBreakBefore w:val="0"/>
              <w:spacing w:before="10"/>
              <w:widowControl w:val="off"/>
              <w:rPr>
                <w:color w:val="auto"/>
                <w:spacing w:val="-5"/>
                <w:sz w:val="21"/>
                <w:szCs w:val="21"/>
                <w:lang w:val="en-US"/>
              </w:rPr>
            </w:pPr>
            <w:r>
              <w:rPr>
                <w:color w:val="auto"/>
                <w:spacing w:val="-5"/>
                <w:sz w:val="21"/>
                <w:szCs w:val="21"/>
              </w:rPr>
              <w:t xml:space="preserve">方案</w:t>
            </w:r>
            <w:r>
              <w:rPr>
                <w:rFonts w:hint="eastAsia"/>
                <w:color w:val="auto"/>
                <w:spacing w:val="-5"/>
                <w:sz w:val="21"/>
                <w:szCs w:val="21"/>
                <w:lang w:val="en-US"/>
              </w:rPr>
              <w:t xml:space="preserve">特别</w:t>
            </w:r>
            <w:r>
              <w:rPr>
                <w:color w:val="auto"/>
                <w:spacing w:val="-5"/>
                <w:sz w:val="21"/>
                <w:szCs w:val="21"/>
              </w:rPr>
              <w:t xml:space="preserve">详细</w:t>
            </w:r>
            <w:r>
              <w:rPr>
                <w:rFonts w:hint="eastAsia"/>
                <w:color w:val="auto"/>
                <w:spacing w:val="-5"/>
                <w:sz w:val="21"/>
                <w:szCs w:val="21"/>
              </w:rPr>
              <w:t xml:space="preserve">，</w:t>
            </w:r>
            <w:r>
              <w:rPr>
                <w:rFonts w:hint="eastAsia"/>
                <w:color w:val="auto"/>
                <w:spacing w:val="-5"/>
                <w:sz w:val="21"/>
                <w:szCs w:val="21"/>
                <w:lang w:val="en-US" w:eastAsia="zh-CN"/>
              </w:rPr>
              <w:t xml:space="preserve">管理制度</w:t>
            </w:r>
            <w:r>
              <w:rPr>
                <w:color w:val="auto"/>
                <w:spacing w:val="-5"/>
                <w:sz w:val="21"/>
                <w:szCs w:val="21"/>
              </w:rPr>
              <w:t xml:space="preserve">全面</w:t>
            </w:r>
            <w:r>
              <w:rPr>
                <w:rFonts w:hint="eastAsia"/>
                <w:color w:val="auto"/>
                <w:spacing w:val="-5"/>
                <w:sz w:val="21"/>
                <w:szCs w:val="21"/>
                <w:lang w:eastAsia="zh-CN"/>
              </w:rPr>
              <w:t xml:space="preserve">，</w:t>
            </w:r>
            <w:r>
              <w:rPr>
                <w:rFonts w:hint="eastAsia"/>
                <w:color w:val="auto"/>
                <w:spacing w:val="-5"/>
                <w:sz w:val="21"/>
                <w:szCs w:val="21"/>
                <w:lang w:val="en-US" w:eastAsia="zh-CN"/>
              </w:rPr>
              <w:t xml:space="preserve">有针对性培训计划</w:t>
            </w:r>
            <w:r>
              <w:rPr>
                <w:rFonts w:hint="eastAsia"/>
                <w:color w:val="auto"/>
                <w:spacing w:val="-5"/>
                <w:sz w:val="21"/>
                <w:szCs w:val="21"/>
              </w:rPr>
              <w:t xml:space="preserve">，</w:t>
            </w:r>
            <w:r>
              <w:rPr>
                <w:color w:val="auto"/>
                <w:spacing w:val="-5"/>
                <w:sz w:val="21"/>
                <w:szCs w:val="21"/>
              </w:rPr>
              <w:t xml:space="preserve">可行性强</w:t>
            </w:r>
            <w:r>
              <w:rPr>
                <w:rFonts w:hint="eastAsia"/>
                <w:color w:val="auto"/>
                <w:spacing w:val="-5"/>
                <w:sz w:val="21"/>
                <w:szCs w:val="21"/>
              </w:rPr>
              <w:t xml:space="preserve">，</w:t>
            </w:r>
            <w:r>
              <w:rPr>
                <w:color w:val="auto"/>
                <w:spacing w:val="-5"/>
                <w:sz w:val="21"/>
                <w:szCs w:val="21"/>
              </w:rPr>
              <w:t xml:space="preserve">完全满足采购人实际项目需求的得</w:t>
            </w:r>
            <w:r>
              <w:rPr>
                <w:rFonts w:hint="eastAsia"/>
                <w:color w:val="auto"/>
                <w:spacing w:val="-5"/>
                <w:sz w:val="21"/>
                <w:szCs w:val="21"/>
                <w:lang w:val="en-US" w:eastAsia="zh-CN"/>
              </w:rPr>
              <w:t xml:space="preserve">7</w:t>
            </w:r>
            <w:r>
              <w:rPr>
                <w:color w:val="auto"/>
                <w:spacing w:val="-5"/>
                <w:sz w:val="21"/>
                <w:szCs w:val="21"/>
              </w:rPr>
              <w:t xml:space="preserve">分；</w:t>
            </w:r>
            <w:r/>
          </w:p>
          <w:p>
            <w:pPr>
              <w:pStyle w:val="1113"/>
              <w:numPr>
                <w:ilvl w:val="0"/>
                <w:numId w:val="9"/>
              </w:numPr>
              <w:ind w:left="105"/>
              <w:jc w:val="left"/>
              <w:keepLines w:val="0"/>
              <w:keepNext w:val="0"/>
              <w:pageBreakBefore w:val="0"/>
              <w:spacing w:before="10"/>
              <w:widowControl w:val="off"/>
              <w:rPr>
                <w:color w:val="auto"/>
                <w:spacing w:val="-5"/>
                <w:sz w:val="21"/>
                <w:szCs w:val="21"/>
                <w:lang w:val="en-US"/>
              </w:rPr>
            </w:pPr>
            <w:r>
              <w:rPr>
                <w:color w:val="auto"/>
                <w:spacing w:val="-5"/>
                <w:sz w:val="21"/>
                <w:szCs w:val="21"/>
              </w:rPr>
              <w:t xml:space="preserve">方案较详细</w:t>
            </w:r>
            <w:r>
              <w:rPr>
                <w:rFonts w:hint="eastAsia"/>
                <w:color w:val="auto"/>
                <w:spacing w:val="-5"/>
                <w:sz w:val="21"/>
                <w:szCs w:val="21"/>
              </w:rPr>
              <w:t xml:space="preserve">，</w:t>
            </w:r>
            <w:r>
              <w:rPr>
                <w:rFonts w:hint="eastAsia"/>
                <w:color w:val="auto"/>
                <w:spacing w:val="-5"/>
                <w:sz w:val="21"/>
                <w:szCs w:val="21"/>
                <w:lang w:val="en-US" w:eastAsia="zh-CN"/>
              </w:rPr>
              <w:t xml:space="preserve">管理制度</w:t>
            </w:r>
            <w:r>
              <w:rPr>
                <w:color w:val="auto"/>
                <w:spacing w:val="-5"/>
                <w:sz w:val="21"/>
                <w:szCs w:val="21"/>
              </w:rPr>
              <w:t xml:space="preserve">较为全面</w:t>
            </w:r>
            <w:r>
              <w:rPr>
                <w:rFonts w:hint="eastAsia"/>
                <w:color w:val="auto"/>
                <w:spacing w:val="-5"/>
                <w:sz w:val="21"/>
                <w:szCs w:val="21"/>
              </w:rPr>
              <w:t xml:space="preserve">，</w:t>
            </w:r>
            <w:r>
              <w:rPr>
                <w:color w:val="auto"/>
                <w:spacing w:val="-5"/>
                <w:sz w:val="21"/>
                <w:szCs w:val="21"/>
              </w:rPr>
              <w:t xml:space="preserve">可行性较强</w:t>
            </w:r>
            <w:r>
              <w:rPr>
                <w:rFonts w:hint="eastAsia"/>
                <w:color w:val="auto"/>
                <w:spacing w:val="-5"/>
                <w:sz w:val="21"/>
                <w:szCs w:val="21"/>
              </w:rPr>
              <w:t xml:space="preserve">，</w:t>
            </w:r>
            <w:r>
              <w:rPr>
                <w:rFonts w:hint="eastAsia"/>
                <w:color w:val="auto"/>
                <w:spacing w:val="-5"/>
                <w:sz w:val="21"/>
                <w:szCs w:val="21"/>
                <w:lang w:val="en-US"/>
              </w:rPr>
              <w:t xml:space="preserve">贴合</w:t>
            </w:r>
            <w:r>
              <w:rPr>
                <w:color w:val="auto"/>
                <w:spacing w:val="-5"/>
                <w:sz w:val="21"/>
                <w:szCs w:val="21"/>
              </w:rPr>
              <w:t xml:space="preserve">采购人实际项目需求的得</w:t>
            </w:r>
            <w:r>
              <w:rPr>
                <w:rFonts w:hint="eastAsia"/>
                <w:color w:val="auto"/>
                <w:spacing w:val="-5"/>
                <w:sz w:val="21"/>
                <w:szCs w:val="21"/>
                <w:lang w:val="en-US" w:eastAsia="zh-CN"/>
              </w:rPr>
              <w:t xml:space="preserve">4</w:t>
            </w:r>
            <w:r>
              <w:rPr>
                <w:color w:val="auto"/>
                <w:spacing w:val="-5"/>
                <w:sz w:val="21"/>
                <w:szCs w:val="21"/>
              </w:rPr>
              <w:t xml:space="preserve">分；</w:t>
            </w:r>
            <w:r/>
          </w:p>
          <w:p>
            <w:pPr>
              <w:pStyle w:val="1113"/>
              <w:numPr>
                <w:ilvl w:val="0"/>
                <w:numId w:val="9"/>
              </w:numPr>
              <w:ind w:left="105"/>
              <w:jc w:val="left"/>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方案简单，</w:t>
            </w:r>
            <w:r>
              <w:rPr>
                <w:color w:val="auto"/>
                <w:spacing w:val="-5"/>
                <w:sz w:val="21"/>
                <w:szCs w:val="21"/>
              </w:rPr>
              <w:t xml:space="preserve">可行性</w:t>
            </w:r>
            <w:r>
              <w:rPr>
                <w:rFonts w:hint="eastAsia"/>
                <w:color w:val="auto"/>
                <w:spacing w:val="-5"/>
                <w:sz w:val="21"/>
                <w:szCs w:val="21"/>
                <w:lang w:val="en-US" w:eastAsia="zh-CN"/>
              </w:rPr>
              <w:t xml:space="preserve">一般</w:t>
            </w:r>
            <w:r>
              <w:rPr>
                <w:rFonts w:hint="eastAsia"/>
                <w:color w:val="auto"/>
                <w:spacing w:val="-5"/>
                <w:sz w:val="21"/>
                <w:szCs w:val="21"/>
                <w:lang w:val="en-US"/>
              </w:rPr>
              <w:t xml:space="preserve">，基本达到</w:t>
            </w:r>
            <w:r>
              <w:rPr>
                <w:color w:val="auto"/>
                <w:spacing w:val="-5"/>
                <w:sz w:val="21"/>
                <w:szCs w:val="21"/>
              </w:rPr>
              <w:t xml:space="preserve">采购人实际项目需求的得</w:t>
            </w:r>
            <w:r>
              <w:rPr>
                <w:rFonts w:hint="eastAsia"/>
                <w:color w:val="auto"/>
                <w:spacing w:val="-5"/>
                <w:sz w:val="21"/>
                <w:szCs w:val="21"/>
                <w:lang w:val="en-US" w:eastAsia="zh-CN"/>
              </w:rPr>
              <w:t xml:space="preserve">1</w:t>
            </w:r>
            <w:r>
              <w:rPr>
                <w:color w:val="auto"/>
                <w:spacing w:val="-5"/>
                <w:sz w:val="21"/>
                <w:szCs w:val="21"/>
              </w:rPr>
              <w:t xml:space="preserve">分</w:t>
            </w:r>
            <w:r/>
          </w:p>
          <w:p>
            <w:pPr>
              <w:pStyle w:val="1113"/>
              <w:numPr>
                <w:ilvl w:val="0"/>
                <w:numId w:val="9"/>
              </w:numPr>
              <w:ind w:left="105"/>
              <w:jc w:val="left"/>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eastAsia="zh-CN"/>
              </w:rPr>
              <w:t xml:space="preserve">方案差或</w:t>
            </w:r>
            <w:r>
              <w:rPr>
                <w:rFonts w:hint="eastAsia"/>
                <w:color w:val="auto"/>
                <w:spacing w:val="-5"/>
                <w:sz w:val="21"/>
                <w:szCs w:val="21"/>
              </w:rPr>
              <w:t xml:space="preserve">未提供的</w:t>
            </w:r>
            <w:r>
              <w:rPr>
                <w:rFonts w:hint="eastAsia"/>
                <w:color w:val="auto"/>
                <w:spacing w:val="-5"/>
                <w:sz w:val="21"/>
                <w:szCs w:val="21"/>
                <w:lang w:val="en-US" w:eastAsia="zh-CN"/>
              </w:rPr>
              <w:t xml:space="preserve">不得分</w:t>
            </w:r>
            <w:r>
              <w:rPr>
                <w:rFonts w:hint="eastAsia"/>
                <w:color w:val="auto"/>
                <w:spacing w:val="-5"/>
                <w:sz w:val="21"/>
                <w:szCs w:val="21"/>
              </w:rPr>
              <w:t xml:space="preserve">。</w:t>
            </w:r>
            <w:r/>
          </w:p>
        </w:tc>
        <w:tc>
          <w:tcPr>
            <w:tcBorders>
              <w:top w:val="single" w:color="999999" w:sz="6" w:space="0"/>
              <w:left w:val="single" w:color="999999" w:sz="6" w:space="0"/>
              <w:bottom w:val="single" w:color="999999" w:sz="6" w:space="0"/>
              <w:right w:val="single" w:color="999999" w:sz="6" w:space="0"/>
            </w:tcBorders>
            <w:tcW w:w="567" w:type="dxa"/>
            <w:vAlign w:val="center"/>
            <w:textDirection w:val="lrTb"/>
            <w:noWrap w:val="false"/>
          </w:tcPr>
          <w:p>
            <w:pPr>
              <w:pStyle w:val="1113"/>
              <w:ind w:left="105"/>
              <w:jc w:val="center"/>
              <w:keepLines w:val="0"/>
              <w:keepNext w:val="0"/>
              <w:pageBreakBefore w:val="0"/>
              <w:spacing w:before="10"/>
              <w:widowControl w:val="off"/>
              <w:rPr>
                <w:rFonts w:hint="default" w:eastAsia="宋体"/>
                <w:color w:val="auto"/>
                <w:spacing w:val="-5"/>
                <w:sz w:val="21"/>
                <w:szCs w:val="21"/>
                <w:lang w:val="en-US" w:eastAsia="zh-CN"/>
              </w:rPr>
            </w:pPr>
            <w:r>
              <w:rPr>
                <w:rFonts w:hint="eastAsia"/>
                <w:color w:val="auto"/>
                <w:spacing w:val="-5"/>
                <w:sz w:val="21"/>
                <w:szCs w:val="21"/>
                <w:lang w:val="en-US" w:eastAsia="zh-CN"/>
              </w:rPr>
              <w:t xml:space="preserve">7</w:t>
            </w:r>
            <w:r/>
          </w:p>
        </w:tc>
        <w:tc>
          <w:tcPr>
            <w:tcBorders>
              <w:top w:val="single" w:color="999999" w:sz="6" w:space="0"/>
              <w:left w:val="single" w:color="999999" w:sz="6" w:space="0"/>
              <w:bottom w:val="single" w:color="999999" w:sz="6" w:space="0"/>
              <w:right w:val="single" w:color="808080" w:sz="4" w:space="0"/>
            </w:tcBorders>
            <w:tcW w:w="821" w:type="dxa"/>
            <w:vAlign w:val="center"/>
            <w:textDirection w:val="lrTb"/>
            <w:noWrap w:val="false"/>
          </w:tcPr>
          <w:p>
            <w:pPr>
              <w:pStyle w:val="1113"/>
              <w:ind w:left="105"/>
              <w:jc w:val="center"/>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主观分</w:t>
            </w:r>
            <w:r/>
          </w:p>
        </w:tc>
      </w:tr>
      <w:tr>
        <w:trPr>
          <w:trHeight w:val="1446"/>
        </w:trPr>
        <w:tc>
          <w:tcPr>
            <w:tcBorders>
              <w:top w:val="single" w:color="999999" w:sz="6" w:space="0"/>
              <w:left w:val="single" w:color="808080" w:sz="4" w:space="0"/>
              <w:bottom w:val="single" w:color="999999" w:sz="6" w:space="0"/>
              <w:right w:val="single" w:color="999999" w:sz="6" w:space="0"/>
            </w:tcBorders>
            <w:tcW w:w="572" w:type="dxa"/>
            <w:textDirection w:val="lrTb"/>
            <w:noWrap w:val="false"/>
          </w:tcPr>
          <w:p>
            <w:pPr>
              <w:pStyle w:val="1113"/>
              <w:ind w:left="105"/>
              <w:jc w:val="center"/>
              <w:keepLines w:val="0"/>
              <w:keepNext w:val="0"/>
              <w:pageBreakBefore w:val="0"/>
              <w:spacing w:before="10"/>
              <w:widowControl w:val="off"/>
              <w:rPr>
                <w:color w:val="auto"/>
                <w:spacing w:val="-5"/>
                <w:sz w:val="21"/>
                <w:szCs w:val="21"/>
                <w:lang w:val="en-US"/>
              </w:rPr>
            </w:pPr>
            <w:r>
              <w:rPr>
                <w:color w:val="auto"/>
                <w:spacing w:val="-5"/>
                <w:sz w:val="21"/>
                <w:szCs w:val="21"/>
                <w:lang w:val="en-US"/>
              </w:rPr>
            </w:r>
            <w:r/>
          </w:p>
          <w:p>
            <w:pPr>
              <w:pStyle w:val="1113"/>
              <w:ind w:left="105"/>
              <w:jc w:val="center"/>
              <w:keepLines w:val="0"/>
              <w:keepNext w:val="0"/>
              <w:pageBreakBefore w:val="0"/>
              <w:spacing w:before="10"/>
              <w:widowControl w:val="off"/>
              <w:rPr>
                <w:color w:val="auto"/>
                <w:spacing w:val="-5"/>
                <w:sz w:val="21"/>
                <w:szCs w:val="21"/>
                <w:lang w:val="en-US"/>
              </w:rPr>
            </w:pPr>
            <w:r>
              <w:rPr>
                <w:color w:val="auto"/>
                <w:spacing w:val="-5"/>
                <w:sz w:val="21"/>
                <w:szCs w:val="21"/>
                <w:lang w:val="en-US"/>
              </w:rPr>
            </w:r>
            <w:r/>
          </w:p>
          <w:p>
            <w:pPr>
              <w:pStyle w:val="1113"/>
              <w:ind w:left="105"/>
              <w:jc w:val="center"/>
              <w:keepLines w:val="0"/>
              <w:keepNext w:val="0"/>
              <w:pageBreakBefore w:val="0"/>
              <w:spacing w:before="10"/>
              <w:widowControl w:val="off"/>
              <w:rPr>
                <w:color w:val="auto"/>
                <w:spacing w:val="-5"/>
                <w:sz w:val="21"/>
                <w:szCs w:val="21"/>
                <w:lang w:val="en-US"/>
              </w:rPr>
            </w:pPr>
            <w:r>
              <w:rPr>
                <w:color w:val="auto"/>
                <w:spacing w:val="-5"/>
                <w:sz w:val="21"/>
                <w:szCs w:val="21"/>
                <w:lang w:val="en-US"/>
              </w:rPr>
            </w:r>
            <w:r/>
          </w:p>
          <w:p>
            <w:pPr>
              <w:pStyle w:val="1113"/>
              <w:ind w:left="105"/>
              <w:jc w:val="center"/>
              <w:keepLines w:val="0"/>
              <w:keepNext w:val="0"/>
              <w:pageBreakBefore w:val="0"/>
              <w:spacing w:before="10"/>
              <w:widowControl w:val="off"/>
              <w:rPr>
                <w:rFonts w:hint="eastAsia" w:eastAsia="宋体"/>
                <w:color w:val="auto"/>
                <w:spacing w:val="-5"/>
                <w:sz w:val="21"/>
                <w:szCs w:val="21"/>
                <w:lang w:val="en-US" w:eastAsia="zh-CN"/>
              </w:rPr>
            </w:pPr>
            <w:r>
              <w:rPr>
                <w:rFonts w:hint="eastAsia"/>
                <w:color w:val="auto"/>
                <w:spacing w:val="-5"/>
                <w:sz w:val="21"/>
                <w:szCs w:val="21"/>
                <w:lang w:val="en-US"/>
              </w:rPr>
              <w:t xml:space="preserve">2.</w:t>
            </w:r>
            <w:r>
              <w:rPr>
                <w:rFonts w:hint="eastAsia"/>
                <w:color w:val="auto"/>
                <w:spacing w:val="-5"/>
                <w:sz w:val="21"/>
                <w:szCs w:val="21"/>
                <w:lang w:val="en-US" w:eastAsia="zh-CN"/>
              </w:rPr>
              <w:t xml:space="preserve">3</w:t>
            </w:r>
            <w:r/>
          </w:p>
        </w:tc>
        <w:tc>
          <w:tcPr>
            <w:tcBorders>
              <w:top w:val="single" w:color="999999" w:sz="6" w:space="0"/>
              <w:left w:val="single" w:color="999999" w:sz="6" w:space="0"/>
              <w:bottom w:val="single" w:color="999999" w:sz="6" w:space="0"/>
              <w:right w:val="single" w:color="999999" w:sz="6" w:space="0"/>
            </w:tcBorders>
            <w:tcW w:w="992" w:type="dxa"/>
            <w:vAlign w:val="center"/>
            <w:textDirection w:val="lrTb"/>
            <w:noWrap w:val="false"/>
          </w:tcPr>
          <w:p>
            <w:pPr>
              <w:pStyle w:val="1113"/>
              <w:ind w:left="105"/>
              <w:jc w:val="center"/>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eastAsia="zh-CN"/>
              </w:rPr>
              <w:t xml:space="preserve">质量</w:t>
            </w:r>
            <w:r>
              <w:rPr>
                <w:rFonts w:hint="eastAsia"/>
                <w:color w:val="auto"/>
                <w:spacing w:val="-5"/>
                <w:sz w:val="21"/>
                <w:szCs w:val="21"/>
                <w:lang w:val="en-US"/>
              </w:rPr>
              <w:t xml:space="preserve">管理制度及保障措施方案</w:t>
            </w:r>
            <w:r/>
          </w:p>
        </w:tc>
        <w:tc>
          <w:tcPr>
            <w:tcBorders>
              <w:top w:val="single" w:color="999999" w:sz="6" w:space="0"/>
              <w:left w:val="single" w:color="999999" w:sz="6" w:space="0"/>
              <w:bottom w:val="single" w:color="999999" w:sz="6" w:space="0"/>
              <w:right w:val="single" w:color="999999" w:sz="6" w:space="0"/>
            </w:tcBorders>
            <w:tcW w:w="6233" w:type="dxa"/>
            <w:vAlign w:val="center"/>
            <w:textDirection w:val="lrTb"/>
            <w:noWrap w:val="false"/>
          </w:tcPr>
          <w:p>
            <w:pPr>
              <w:pStyle w:val="1113"/>
              <w:ind w:left="105"/>
              <w:jc w:val="left"/>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评委根据投标人提供的</w:t>
            </w:r>
            <w:r>
              <w:rPr>
                <w:rFonts w:hint="eastAsia"/>
                <w:color w:val="auto"/>
                <w:spacing w:val="-5"/>
                <w:sz w:val="21"/>
                <w:szCs w:val="21"/>
                <w:lang w:val="en-US" w:eastAsia="zh-CN"/>
              </w:rPr>
              <w:t xml:space="preserve">质量</w:t>
            </w:r>
            <w:r>
              <w:rPr>
                <w:rFonts w:hint="eastAsia"/>
                <w:color w:val="auto"/>
                <w:spacing w:val="-5"/>
                <w:sz w:val="21"/>
                <w:szCs w:val="21"/>
                <w:lang w:val="en-US"/>
              </w:rPr>
              <w:t xml:space="preserve">管理制度及保障措施方案综合评分：</w:t>
            </w:r>
            <w:r/>
          </w:p>
          <w:p>
            <w:pPr>
              <w:pStyle w:val="1113"/>
              <w:numPr>
                <w:ilvl w:val="0"/>
                <w:numId w:val="10"/>
              </w:numPr>
              <w:ind w:left="105"/>
              <w:jc w:val="left"/>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方案全面，针对本项目完全贴合，考虑到本项目实际运行中存在</w:t>
            </w:r>
            <w:r>
              <w:rPr>
                <w:rFonts w:hint="eastAsia"/>
                <w:color w:val="auto"/>
                <w:spacing w:val="-5"/>
                <w:sz w:val="21"/>
                <w:szCs w:val="21"/>
                <w:lang w:val="en-US" w:eastAsia="zh-CN"/>
              </w:rPr>
              <w:t xml:space="preserve">质量</w:t>
            </w:r>
            <w:r>
              <w:rPr>
                <w:rFonts w:hint="eastAsia"/>
                <w:color w:val="auto"/>
                <w:spacing w:val="-5"/>
                <w:sz w:val="21"/>
                <w:szCs w:val="21"/>
                <w:lang w:val="en-US"/>
              </w:rPr>
              <w:t xml:space="preserve">问题，并提供详细的处理措施，完全满足本项目操作性的得</w:t>
            </w:r>
            <w:r>
              <w:rPr>
                <w:rFonts w:hint="eastAsia"/>
                <w:color w:val="auto"/>
                <w:spacing w:val="-5"/>
                <w:sz w:val="21"/>
                <w:szCs w:val="21"/>
                <w:lang w:val="en-US" w:eastAsia="zh-CN"/>
              </w:rPr>
              <w:t xml:space="preserve">7</w:t>
            </w:r>
            <w:r>
              <w:rPr>
                <w:rFonts w:hint="eastAsia"/>
                <w:color w:val="auto"/>
                <w:spacing w:val="-5"/>
                <w:sz w:val="21"/>
                <w:szCs w:val="21"/>
                <w:lang w:val="en-US"/>
              </w:rPr>
              <w:t xml:space="preserve">分；</w:t>
            </w:r>
            <w:r/>
          </w:p>
          <w:p>
            <w:pPr>
              <w:pStyle w:val="1113"/>
              <w:numPr>
                <w:ilvl w:val="0"/>
                <w:numId w:val="10"/>
              </w:numPr>
              <w:ind w:left="105"/>
              <w:jc w:val="left"/>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方案能够考虑到本项目运行中的在</w:t>
            </w:r>
            <w:r>
              <w:rPr>
                <w:rFonts w:hint="eastAsia"/>
                <w:color w:val="auto"/>
                <w:spacing w:val="-5"/>
                <w:sz w:val="21"/>
                <w:szCs w:val="21"/>
                <w:lang w:val="en-US" w:eastAsia="zh-CN"/>
              </w:rPr>
              <w:t xml:space="preserve">质量</w:t>
            </w:r>
            <w:r>
              <w:rPr>
                <w:rFonts w:hint="eastAsia"/>
                <w:color w:val="auto"/>
                <w:spacing w:val="-5"/>
                <w:sz w:val="21"/>
                <w:szCs w:val="21"/>
                <w:lang w:val="en-US"/>
              </w:rPr>
              <w:t xml:space="preserve">问题，并提供初步处理措施，针对本项目有操作性的得</w:t>
            </w:r>
            <w:r>
              <w:rPr>
                <w:rFonts w:hint="eastAsia"/>
                <w:color w:val="auto"/>
                <w:spacing w:val="-5"/>
                <w:sz w:val="21"/>
                <w:szCs w:val="21"/>
                <w:lang w:val="en-US" w:eastAsia="zh-CN"/>
              </w:rPr>
              <w:t xml:space="preserve">4</w:t>
            </w:r>
            <w:r>
              <w:rPr>
                <w:rFonts w:hint="eastAsia"/>
                <w:color w:val="auto"/>
                <w:spacing w:val="-5"/>
                <w:sz w:val="21"/>
                <w:szCs w:val="21"/>
                <w:lang w:val="en-US"/>
              </w:rPr>
              <w:t xml:space="preserve">分；</w:t>
            </w:r>
            <w:r/>
          </w:p>
          <w:p>
            <w:pPr>
              <w:pStyle w:val="1113"/>
              <w:numPr>
                <w:ilvl w:val="0"/>
                <w:numId w:val="10"/>
              </w:numPr>
              <w:ind w:left="105"/>
              <w:jc w:val="left"/>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方案简单，考虑到本项目实际运行的</w:t>
            </w:r>
            <w:r>
              <w:rPr>
                <w:rFonts w:hint="eastAsia"/>
                <w:color w:val="auto"/>
                <w:spacing w:val="-5"/>
                <w:sz w:val="21"/>
                <w:szCs w:val="21"/>
                <w:lang w:val="en-US" w:eastAsia="zh-CN"/>
              </w:rPr>
              <w:t xml:space="preserve">质量</w:t>
            </w:r>
            <w:r>
              <w:rPr>
                <w:rFonts w:hint="eastAsia"/>
                <w:color w:val="auto"/>
                <w:spacing w:val="-5"/>
                <w:sz w:val="21"/>
                <w:szCs w:val="21"/>
                <w:lang w:val="en-US"/>
              </w:rPr>
              <w:t xml:space="preserve">问题，但可操作性不强的的得</w:t>
            </w:r>
            <w:r>
              <w:rPr>
                <w:rFonts w:hint="eastAsia"/>
                <w:color w:val="auto"/>
                <w:spacing w:val="-5"/>
                <w:sz w:val="21"/>
                <w:szCs w:val="21"/>
                <w:lang w:val="en-US" w:eastAsia="zh-CN"/>
              </w:rPr>
              <w:t xml:space="preserve">1</w:t>
            </w:r>
            <w:r>
              <w:rPr>
                <w:rFonts w:hint="eastAsia"/>
                <w:color w:val="auto"/>
                <w:spacing w:val="-5"/>
                <w:sz w:val="21"/>
                <w:szCs w:val="21"/>
                <w:lang w:val="en-US"/>
              </w:rPr>
              <w:t xml:space="preserve">分；</w:t>
            </w:r>
            <w:r/>
          </w:p>
          <w:p>
            <w:pPr>
              <w:pStyle w:val="1113"/>
              <w:ind w:left="105"/>
              <w:jc w:val="left"/>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eastAsia="zh-CN"/>
              </w:rPr>
              <w:t xml:space="preserve">4</w:t>
            </w:r>
            <w:r>
              <w:rPr>
                <w:rFonts w:hint="eastAsia"/>
                <w:color w:val="auto"/>
                <w:spacing w:val="-5"/>
                <w:sz w:val="21"/>
                <w:szCs w:val="21"/>
                <w:lang w:val="en-US"/>
              </w:rPr>
              <w:t xml:space="preserve">、</w:t>
            </w:r>
            <w:r>
              <w:rPr>
                <w:rFonts w:hint="eastAsia"/>
                <w:color w:val="auto"/>
                <w:spacing w:val="-5"/>
                <w:sz w:val="21"/>
                <w:szCs w:val="21"/>
                <w:lang w:val="en-US" w:eastAsia="zh-CN"/>
              </w:rPr>
              <w:t xml:space="preserve">方案差或</w:t>
            </w:r>
            <w:r>
              <w:rPr>
                <w:rFonts w:hint="eastAsia"/>
                <w:color w:val="auto"/>
                <w:spacing w:val="-5"/>
                <w:sz w:val="21"/>
                <w:szCs w:val="21"/>
              </w:rPr>
              <w:t xml:space="preserve">未提供的</w:t>
            </w:r>
            <w:r>
              <w:rPr>
                <w:rFonts w:hint="eastAsia"/>
                <w:color w:val="auto"/>
                <w:spacing w:val="-5"/>
                <w:sz w:val="21"/>
                <w:szCs w:val="21"/>
                <w:lang w:val="en-US" w:eastAsia="zh-CN"/>
              </w:rPr>
              <w:t xml:space="preserve">不得分</w:t>
            </w:r>
            <w:r>
              <w:rPr>
                <w:rFonts w:hint="eastAsia"/>
                <w:color w:val="auto"/>
                <w:spacing w:val="-5"/>
                <w:sz w:val="21"/>
                <w:szCs w:val="21"/>
              </w:rPr>
              <w:t xml:space="preserve">。</w:t>
            </w:r>
            <w:r/>
          </w:p>
        </w:tc>
        <w:tc>
          <w:tcPr>
            <w:tcBorders>
              <w:top w:val="single" w:color="999999" w:sz="6" w:space="0"/>
              <w:left w:val="single" w:color="999999" w:sz="6" w:space="0"/>
              <w:bottom w:val="single" w:color="999999" w:sz="6" w:space="0"/>
              <w:right w:val="single" w:color="999999" w:sz="6" w:space="0"/>
            </w:tcBorders>
            <w:tcW w:w="567" w:type="dxa"/>
            <w:textDirection w:val="lrTb"/>
            <w:noWrap w:val="false"/>
          </w:tcPr>
          <w:p>
            <w:pPr>
              <w:pStyle w:val="1113"/>
              <w:ind w:left="105"/>
              <w:jc w:val="center"/>
              <w:keepLines w:val="0"/>
              <w:keepNext w:val="0"/>
              <w:pageBreakBefore w:val="0"/>
              <w:spacing w:before="10"/>
              <w:widowControl w:val="off"/>
              <w:rPr>
                <w:color w:val="auto"/>
                <w:spacing w:val="-5"/>
                <w:sz w:val="21"/>
                <w:szCs w:val="21"/>
                <w:lang w:val="en-US"/>
              </w:rPr>
            </w:pPr>
            <w:r>
              <w:rPr>
                <w:color w:val="auto"/>
                <w:spacing w:val="-5"/>
                <w:sz w:val="21"/>
                <w:szCs w:val="21"/>
                <w:lang w:val="en-US"/>
              </w:rPr>
            </w:r>
            <w:r/>
          </w:p>
          <w:p>
            <w:pPr>
              <w:pStyle w:val="1113"/>
              <w:ind w:left="105"/>
              <w:jc w:val="center"/>
              <w:keepLines w:val="0"/>
              <w:keepNext w:val="0"/>
              <w:pageBreakBefore w:val="0"/>
              <w:spacing w:before="10"/>
              <w:widowControl w:val="off"/>
              <w:rPr>
                <w:color w:val="auto"/>
                <w:spacing w:val="-5"/>
                <w:sz w:val="21"/>
                <w:szCs w:val="21"/>
                <w:lang w:val="en-US"/>
              </w:rPr>
            </w:pPr>
            <w:r>
              <w:rPr>
                <w:color w:val="auto"/>
                <w:spacing w:val="-5"/>
                <w:sz w:val="21"/>
                <w:szCs w:val="21"/>
                <w:lang w:val="en-US"/>
              </w:rPr>
            </w:r>
            <w:r/>
          </w:p>
          <w:p>
            <w:pPr>
              <w:pStyle w:val="1113"/>
              <w:ind w:left="105"/>
              <w:jc w:val="center"/>
              <w:keepLines w:val="0"/>
              <w:keepNext w:val="0"/>
              <w:pageBreakBefore w:val="0"/>
              <w:spacing w:before="10"/>
              <w:widowControl w:val="off"/>
              <w:rPr>
                <w:rFonts w:hint="eastAsia"/>
                <w:color w:val="auto"/>
                <w:spacing w:val="-5"/>
                <w:sz w:val="21"/>
                <w:szCs w:val="21"/>
                <w:lang w:val="en-US" w:eastAsia="zh-CN"/>
              </w:rPr>
            </w:pPr>
            <w:r>
              <w:rPr>
                <w:rFonts w:hint="eastAsia"/>
                <w:color w:val="auto"/>
                <w:spacing w:val="-5"/>
                <w:sz w:val="21"/>
                <w:szCs w:val="21"/>
                <w:lang w:val="en-US" w:eastAsia="zh-CN"/>
              </w:rPr>
            </w:r>
            <w:r/>
          </w:p>
          <w:p>
            <w:pPr>
              <w:pStyle w:val="1113"/>
              <w:ind w:left="105"/>
              <w:jc w:val="center"/>
              <w:keepLines w:val="0"/>
              <w:keepNext w:val="0"/>
              <w:pageBreakBefore w:val="0"/>
              <w:spacing w:before="10"/>
              <w:widowControl w:val="off"/>
              <w:rPr>
                <w:rFonts w:hint="default" w:eastAsia="宋体"/>
                <w:color w:val="auto"/>
                <w:spacing w:val="-5"/>
                <w:sz w:val="21"/>
                <w:szCs w:val="21"/>
                <w:lang w:val="en-US" w:eastAsia="zh-CN"/>
              </w:rPr>
            </w:pPr>
            <w:r>
              <w:rPr>
                <w:rFonts w:hint="eastAsia"/>
                <w:color w:val="auto"/>
                <w:spacing w:val="-5"/>
                <w:sz w:val="21"/>
                <w:szCs w:val="21"/>
                <w:lang w:val="en-US" w:eastAsia="zh-CN"/>
              </w:rPr>
              <w:t xml:space="preserve">7</w:t>
            </w:r>
            <w:r/>
          </w:p>
        </w:tc>
        <w:tc>
          <w:tcPr>
            <w:tcBorders>
              <w:top w:val="single" w:color="999999" w:sz="6" w:space="0"/>
              <w:left w:val="single" w:color="999999" w:sz="6" w:space="0"/>
              <w:bottom w:val="single" w:color="999999" w:sz="6" w:space="0"/>
              <w:right w:val="single" w:color="808080" w:sz="4" w:space="0"/>
            </w:tcBorders>
            <w:tcW w:w="821" w:type="dxa"/>
            <w:textDirection w:val="lrTb"/>
            <w:noWrap w:val="false"/>
          </w:tcPr>
          <w:p>
            <w:pPr>
              <w:pStyle w:val="1113"/>
              <w:ind w:left="105"/>
              <w:jc w:val="center"/>
              <w:keepLines w:val="0"/>
              <w:keepNext w:val="0"/>
              <w:pageBreakBefore w:val="0"/>
              <w:spacing w:before="10"/>
              <w:widowControl w:val="off"/>
              <w:rPr>
                <w:color w:val="auto"/>
                <w:spacing w:val="-5"/>
                <w:sz w:val="21"/>
                <w:szCs w:val="21"/>
                <w:lang w:val="en-US"/>
              </w:rPr>
            </w:pPr>
            <w:r>
              <w:rPr>
                <w:color w:val="auto"/>
                <w:spacing w:val="-5"/>
                <w:sz w:val="21"/>
                <w:szCs w:val="21"/>
                <w:lang w:val="en-US"/>
              </w:rPr>
            </w:r>
            <w:r/>
          </w:p>
          <w:p>
            <w:pPr>
              <w:pStyle w:val="1113"/>
              <w:ind w:left="105"/>
              <w:jc w:val="center"/>
              <w:keepLines w:val="0"/>
              <w:keepNext w:val="0"/>
              <w:pageBreakBefore w:val="0"/>
              <w:spacing w:before="10"/>
              <w:widowControl w:val="off"/>
              <w:rPr>
                <w:color w:val="auto"/>
                <w:spacing w:val="-5"/>
                <w:sz w:val="21"/>
                <w:szCs w:val="21"/>
                <w:lang w:val="en-US"/>
              </w:rPr>
            </w:pPr>
            <w:r>
              <w:rPr>
                <w:color w:val="auto"/>
                <w:spacing w:val="-5"/>
                <w:sz w:val="21"/>
                <w:szCs w:val="21"/>
                <w:lang w:val="en-US"/>
              </w:rPr>
            </w:r>
            <w:r/>
          </w:p>
          <w:p>
            <w:pPr>
              <w:pStyle w:val="1113"/>
              <w:ind w:left="105"/>
              <w:jc w:val="center"/>
              <w:keepLines w:val="0"/>
              <w:keepNext w:val="0"/>
              <w:pageBreakBefore w:val="0"/>
              <w:spacing w:before="10"/>
              <w:widowControl w:val="off"/>
              <w:rPr>
                <w:rFonts w:hint="eastAsia"/>
                <w:color w:val="auto"/>
                <w:spacing w:val="-5"/>
                <w:sz w:val="21"/>
                <w:szCs w:val="21"/>
                <w:lang w:val="en-US"/>
              </w:rPr>
            </w:pPr>
            <w:r>
              <w:rPr>
                <w:rFonts w:hint="eastAsia"/>
                <w:color w:val="auto"/>
                <w:spacing w:val="-5"/>
                <w:sz w:val="21"/>
                <w:szCs w:val="21"/>
                <w:lang w:val="en-US"/>
              </w:rPr>
            </w:r>
            <w:r/>
          </w:p>
          <w:p>
            <w:pPr>
              <w:pStyle w:val="1113"/>
              <w:ind w:left="105"/>
              <w:jc w:val="center"/>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主观分</w:t>
            </w:r>
            <w:r/>
          </w:p>
        </w:tc>
      </w:tr>
      <w:tr>
        <w:trPr>
          <w:trHeight w:val="2693"/>
        </w:trPr>
        <w:tc>
          <w:tcPr>
            <w:tcBorders>
              <w:top w:val="single" w:color="999999" w:sz="6" w:space="0"/>
              <w:left w:val="single" w:color="808080" w:sz="4" w:space="0"/>
              <w:bottom w:val="single" w:color="999999" w:sz="6" w:space="0"/>
              <w:right w:val="single" w:color="999999" w:sz="6" w:space="0"/>
            </w:tcBorders>
            <w:tcW w:w="572" w:type="dxa"/>
            <w:vAlign w:val="center"/>
            <w:textDirection w:val="lrTb"/>
            <w:noWrap w:val="false"/>
          </w:tcPr>
          <w:p>
            <w:pPr>
              <w:pStyle w:val="1113"/>
              <w:ind w:left="105"/>
              <w:jc w:val="center"/>
              <w:keepLines w:val="0"/>
              <w:keepNext w:val="0"/>
              <w:pageBreakBefore w:val="0"/>
              <w:spacing w:before="10"/>
              <w:widowControl w:val="off"/>
              <w:rPr>
                <w:rFonts w:hint="default"/>
                <w:color w:val="auto"/>
                <w:spacing w:val="-5"/>
                <w:sz w:val="21"/>
                <w:szCs w:val="21"/>
                <w:lang w:val="en-US" w:eastAsia="zh-CN"/>
              </w:rPr>
            </w:pPr>
            <w:r>
              <w:rPr>
                <w:rFonts w:hint="eastAsia"/>
                <w:color w:val="auto"/>
                <w:spacing w:val="-5"/>
                <w:sz w:val="21"/>
                <w:szCs w:val="21"/>
                <w:lang w:val="en-US" w:eastAsia="zh-CN"/>
              </w:rPr>
              <w:t xml:space="preserve">2.4</w:t>
            </w:r>
            <w:r/>
          </w:p>
        </w:tc>
        <w:tc>
          <w:tcPr>
            <w:shd w:val="clear" w:color="auto" w:fill="auto"/>
            <w:tcBorders>
              <w:top w:val="single" w:color="999999" w:sz="6" w:space="0"/>
              <w:left w:val="single" w:color="999999" w:sz="6" w:space="0"/>
              <w:bottom w:val="single" w:color="999999" w:sz="6" w:space="0"/>
              <w:right w:val="single" w:color="999999" w:sz="6" w:space="0"/>
            </w:tcBorders>
            <w:tcW w:w="992" w:type="dxa"/>
            <w:vAlign w:val="center"/>
            <w:textDirection w:val="lrTb"/>
            <w:noWrap w:val="false"/>
          </w:tcPr>
          <w:p>
            <w:pPr>
              <w:pStyle w:val="1113"/>
              <w:ind w:left="105"/>
              <w:jc w:val="center"/>
              <w:keepLines w:val="0"/>
              <w:keepNext w:val="0"/>
              <w:pageBreakBefore w:val="0"/>
              <w:spacing w:before="10"/>
              <w:widowControl w:val="off"/>
              <w:rPr>
                <w:rFonts w:hint="eastAsia" w:ascii="宋体" w:hAnsi="宋体" w:eastAsia="宋体" w:cs="宋体"/>
                <w:color w:val="auto"/>
                <w:spacing w:val="-5"/>
                <w:sz w:val="21"/>
                <w:szCs w:val="21"/>
                <w:lang w:val="en-US" w:eastAsia="zh-CN" w:bidi="zh-CN"/>
              </w:rPr>
            </w:pPr>
            <w:r>
              <w:rPr>
                <w:rFonts w:hint="eastAsia"/>
                <w:color w:val="auto"/>
                <w:spacing w:val="-5"/>
                <w:sz w:val="21"/>
                <w:szCs w:val="21"/>
                <w:lang w:val="en-US"/>
              </w:rPr>
              <w:t xml:space="preserve">安全管理制度及保障措施方案</w:t>
            </w:r>
            <w:r/>
          </w:p>
        </w:tc>
        <w:tc>
          <w:tcPr>
            <w:shd w:val="clear" w:color="auto" w:fill="auto"/>
            <w:tcBorders>
              <w:top w:val="single" w:color="999999" w:sz="6" w:space="0"/>
              <w:left w:val="single" w:color="999999" w:sz="6" w:space="0"/>
              <w:bottom w:val="single" w:color="999999" w:sz="6" w:space="0"/>
              <w:right w:val="single" w:color="999999" w:sz="6" w:space="0"/>
            </w:tcBorders>
            <w:tcW w:w="6233" w:type="dxa"/>
            <w:vAlign w:val="center"/>
            <w:textDirection w:val="lrTb"/>
            <w:noWrap w:val="false"/>
          </w:tcPr>
          <w:p>
            <w:pPr>
              <w:pStyle w:val="1113"/>
              <w:ind w:left="105"/>
              <w:jc w:val="left"/>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评委根据投标人提供的安全管理制度及保障措施方案综合评分：</w:t>
            </w:r>
            <w:r/>
          </w:p>
          <w:p>
            <w:pPr>
              <w:pStyle w:val="1113"/>
              <w:numPr>
                <w:ilvl w:val="0"/>
                <w:numId w:val="10"/>
              </w:numPr>
              <w:ind w:left="105"/>
              <w:jc w:val="left"/>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方案全面，针对本项目完全贴合，考虑到本项目实际运行中存在安全问题，并提供详细的处理措施，完全满足本项目操作性的得</w:t>
            </w:r>
            <w:r>
              <w:rPr>
                <w:rFonts w:hint="eastAsia"/>
                <w:color w:val="auto"/>
                <w:spacing w:val="-5"/>
                <w:sz w:val="21"/>
                <w:szCs w:val="21"/>
                <w:lang w:val="en-US" w:eastAsia="zh-CN"/>
              </w:rPr>
              <w:t xml:space="preserve">7</w:t>
            </w:r>
            <w:r>
              <w:rPr>
                <w:rFonts w:hint="eastAsia"/>
                <w:color w:val="auto"/>
                <w:spacing w:val="-5"/>
                <w:sz w:val="21"/>
                <w:szCs w:val="21"/>
                <w:lang w:val="en-US"/>
              </w:rPr>
              <w:t xml:space="preserve">分；</w:t>
            </w:r>
            <w:r/>
          </w:p>
          <w:p>
            <w:pPr>
              <w:pStyle w:val="1113"/>
              <w:numPr>
                <w:ilvl w:val="0"/>
                <w:numId w:val="10"/>
              </w:numPr>
              <w:ind w:left="105"/>
              <w:jc w:val="left"/>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方案能够考虑到本项目运行中的在安全问题，并提供初步处理措施，针对本项目有操作性的得</w:t>
            </w:r>
            <w:r>
              <w:rPr>
                <w:rFonts w:hint="eastAsia"/>
                <w:color w:val="auto"/>
                <w:spacing w:val="-5"/>
                <w:sz w:val="21"/>
                <w:szCs w:val="21"/>
                <w:lang w:val="en-US" w:eastAsia="zh-CN"/>
              </w:rPr>
              <w:t xml:space="preserve">4</w:t>
            </w:r>
            <w:r>
              <w:rPr>
                <w:rFonts w:hint="eastAsia"/>
                <w:color w:val="auto"/>
                <w:spacing w:val="-5"/>
                <w:sz w:val="21"/>
                <w:szCs w:val="21"/>
                <w:lang w:val="en-US"/>
              </w:rPr>
              <w:t xml:space="preserve">分；</w:t>
            </w:r>
            <w:r/>
          </w:p>
          <w:p>
            <w:pPr>
              <w:pStyle w:val="1113"/>
              <w:numPr>
                <w:ilvl w:val="0"/>
                <w:numId w:val="10"/>
              </w:numPr>
              <w:ind w:left="105"/>
              <w:jc w:val="left"/>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方案简单，考虑到本项目实际运行的安全问题，但可操作性不强的的得</w:t>
            </w:r>
            <w:r>
              <w:rPr>
                <w:rFonts w:hint="eastAsia"/>
                <w:color w:val="auto"/>
                <w:spacing w:val="-5"/>
                <w:sz w:val="21"/>
                <w:szCs w:val="21"/>
                <w:lang w:val="en-US" w:eastAsia="zh-CN"/>
              </w:rPr>
              <w:t xml:space="preserve">1</w:t>
            </w:r>
            <w:r>
              <w:rPr>
                <w:rFonts w:hint="eastAsia"/>
                <w:color w:val="auto"/>
                <w:spacing w:val="-5"/>
                <w:sz w:val="21"/>
                <w:szCs w:val="21"/>
                <w:lang w:val="en-US"/>
              </w:rPr>
              <w:t xml:space="preserve">分；</w:t>
            </w:r>
            <w:r/>
          </w:p>
          <w:p>
            <w:pPr>
              <w:pStyle w:val="1113"/>
              <w:ind w:left="105"/>
              <w:jc w:val="left"/>
              <w:keepLines w:val="0"/>
              <w:keepNext w:val="0"/>
              <w:pageBreakBefore w:val="0"/>
              <w:spacing w:before="10"/>
              <w:widowControl w:val="off"/>
              <w:rPr>
                <w:rFonts w:hint="eastAsia" w:ascii="宋体" w:hAnsi="宋体" w:eastAsia="宋体" w:cs="宋体"/>
                <w:color w:val="auto"/>
                <w:spacing w:val="-5"/>
                <w:sz w:val="21"/>
                <w:szCs w:val="21"/>
                <w:lang w:val="en-US" w:eastAsia="zh-CN" w:bidi="zh-CN"/>
              </w:rPr>
            </w:pPr>
            <w:r>
              <w:rPr>
                <w:rFonts w:hint="eastAsia"/>
                <w:color w:val="auto"/>
                <w:spacing w:val="-5"/>
                <w:sz w:val="21"/>
                <w:szCs w:val="21"/>
                <w:lang w:val="en-US" w:eastAsia="zh-CN"/>
              </w:rPr>
              <w:t xml:space="preserve">4</w:t>
            </w:r>
            <w:r>
              <w:rPr>
                <w:rFonts w:hint="eastAsia"/>
                <w:color w:val="auto"/>
                <w:spacing w:val="-5"/>
                <w:sz w:val="21"/>
                <w:szCs w:val="21"/>
                <w:lang w:val="en-US"/>
              </w:rPr>
              <w:t xml:space="preserve">、</w:t>
            </w:r>
            <w:r>
              <w:rPr>
                <w:rFonts w:hint="eastAsia"/>
                <w:color w:val="auto"/>
                <w:spacing w:val="-5"/>
                <w:sz w:val="21"/>
                <w:szCs w:val="21"/>
                <w:lang w:val="en-US" w:eastAsia="zh-CN"/>
              </w:rPr>
              <w:t xml:space="preserve">方案差或</w:t>
            </w:r>
            <w:r>
              <w:rPr>
                <w:rFonts w:hint="eastAsia"/>
                <w:color w:val="auto"/>
                <w:spacing w:val="-5"/>
                <w:sz w:val="21"/>
                <w:szCs w:val="21"/>
              </w:rPr>
              <w:t xml:space="preserve">未提供的</w:t>
            </w:r>
            <w:r>
              <w:rPr>
                <w:rFonts w:hint="eastAsia"/>
                <w:color w:val="auto"/>
                <w:spacing w:val="-5"/>
                <w:sz w:val="21"/>
                <w:szCs w:val="21"/>
                <w:lang w:val="en-US" w:eastAsia="zh-CN"/>
              </w:rPr>
              <w:t xml:space="preserve">不得分</w:t>
            </w:r>
            <w:r>
              <w:rPr>
                <w:rFonts w:hint="eastAsia"/>
                <w:color w:val="auto"/>
                <w:spacing w:val="-5"/>
                <w:sz w:val="21"/>
                <w:szCs w:val="21"/>
              </w:rPr>
              <w:t xml:space="preserve">。</w:t>
            </w:r>
            <w:r/>
          </w:p>
        </w:tc>
        <w:tc>
          <w:tcPr>
            <w:shd w:val="clear" w:color="auto" w:fill="auto"/>
            <w:tcBorders>
              <w:top w:val="single" w:color="999999" w:sz="6" w:space="0"/>
              <w:left w:val="single" w:color="999999" w:sz="6" w:space="0"/>
              <w:bottom w:val="single" w:color="999999" w:sz="6" w:space="0"/>
              <w:right w:val="single" w:color="999999" w:sz="6" w:space="0"/>
            </w:tcBorders>
            <w:tcW w:w="567" w:type="dxa"/>
            <w:vAlign w:val="top"/>
            <w:textDirection w:val="lrTb"/>
            <w:noWrap w:val="false"/>
          </w:tcPr>
          <w:p>
            <w:pPr>
              <w:pStyle w:val="1113"/>
              <w:ind w:left="105"/>
              <w:jc w:val="center"/>
              <w:keepLines w:val="0"/>
              <w:keepNext w:val="0"/>
              <w:pageBreakBefore w:val="0"/>
              <w:spacing w:before="10"/>
              <w:widowControl w:val="off"/>
              <w:rPr>
                <w:color w:val="auto"/>
                <w:spacing w:val="-5"/>
                <w:sz w:val="21"/>
                <w:szCs w:val="21"/>
                <w:lang w:val="en-US"/>
              </w:rPr>
            </w:pPr>
            <w:r>
              <w:rPr>
                <w:color w:val="auto"/>
                <w:spacing w:val="-5"/>
                <w:sz w:val="21"/>
                <w:szCs w:val="21"/>
                <w:lang w:val="en-US"/>
              </w:rPr>
            </w:r>
            <w:r/>
          </w:p>
          <w:p>
            <w:pPr>
              <w:pStyle w:val="1113"/>
              <w:ind w:left="105"/>
              <w:jc w:val="center"/>
              <w:keepLines w:val="0"/>
              <w:keepNext w:val="0"/>
              <w:pageBreakBefore w:val="0"/>
              <w:spacing w:before="10"/>
              <w:widowControl w:val="off"/>
              <w:rPr>
                <w:color w:val="auto"/>
                <w:spacing w:val="-5"/>
                <w:sz w:val="21"/>
                <w:szCs w:val="21"/>
                <w:lang w:val="en-US"/>
              </w:rPr>
            </w:pPr>
            <w:r>
              <w:rPr>
                <w:color w:val="auto"/>
                <w:spacing w:val="-5"/>
                <w:sz w:val="21"/>
                <w:szCs w:val="21"/>
                <w:lang w:val="en-US"/>
              </w:rPr>
            </w:r>
            <w:r/>
          </w:p>
          <w:p>
            <w:pPr>
              <w:pStyle w:val="1113"/>
              <w:ind w:left="105"/>
              <w:jc w:val="center"/>
              <w:keepLines w:val="0"/>
              <w:keepNext w:val="0"/>
              <w:pageBreakBefore w:val="0"/>
              <w:spacing w:before="10"/>
              <w:widowControl w:val="off"/>
              <w:rPr>
                <w:rFonts w:hint="eastAsia"/>
                <w:color w:val="auto"/>
                <w:spacing w:val="-5"/>
                <w:sz w:val="21"/>
                <w:szCs w:val="21"/>
                <w:lang w:val="en-US" w:eastAsia="zh-CN"/>
              </w:rPr>
            </w:pPr>
            <w:r>
              <w:rPr>
                <w:rFonts w:hint="eastAsia"/>
                <w:color w:val="auto"/>
                <w:spacing w:val="-5"/>
                <w:sz w:val="21"/>
                <w:szCs w:val="21"/>
                <w:lang w:val="en-US" w:eastAsia="zh-CN"/>
              </w:rPr>
            </w:r>
            <w:r/>
          </w:p>
          <w:p>
            <w:pPr>
              <w:pStyle w:val="1113"/>
              <w:ind w:left="105"/>
              <w:jc w:val="center"/>
              <w:keepLines w:val="0"/>
              <w:keepNext w:val="0"/>
              <w:pageBreakBefore w:val="0"/>
              <w:spacing w:before="10"/>
              <w:widowControl w:val="off"/>
              <w:rPr>
                <w:rFonts w:hint="eastAsia" w:ascii="宋体" w:hAnsi="宋体" w:eastAsia="宋体" w:cs="宋体"/>
                <w:color w:val="auto"/>
                <w:spacing w:val="-5"/>
                <w:sz w:val="21"/>
                <w:szCs w:val="21"/>
                <w:lang w:val="en-US" w:eastAsia="zh-CN" w:bidi="zh-CN"/>
              </w:rPr>
            </w:pPr>
            <w:r>
              <w:rPr>
                <w:rFonts w:hint="eastAsia"/>
                <w:color w:val="auto"/>
                <w:spacing w:val="-5"/>
                <w:sz w:val="21"/>
                <w:szCs w:val="21"/>
                <w:lang w:val="en-US" w:eastAsia="zh-CN"/>
              </w:rPr>
              <w:t xml:space="preserve">7</w:t>
            </w:r>
            <w:r/>
          </w:p>
        </w:tc>
        <w:tc>
          <w:tcPr>
            <w:shd w:val="clear" w:color="auto" w:fill="auto"/>
            <w:tcBorders>
              <w:top w:val="single" w:color="999999" w:sz="6" w:space="0"/>
              <w:left w:val="single" w:color="999999" w:sz="6" w:space="0"/>
              <w:bottom w:val="single" w:color="999999" w:sz="6" w:space="0"/>
              <w:right w:val="single" w:color="808080" w:sz="4" w:space="0"/>
            </w:tcBorders>
            <w:tcW w:w="821" w:type="dxa"/>
            <w:vAlign w:val="top"/>
            <w:textDirection w:val="lrTb"/>
            <w:noWrap w:val="false"/>
          </w:tcPr>
          <w:p>
            <w:pPr>
              <w:pStyle w:val="1113"/>
              <w:ind w:left="105"/>
              <w:jc w:val="center"/>
              <w:keepLines w:val="0"/>
              <w:keepNext w:val="0"/>
              <w:pageBreakBefore w:val="0"/>
              <w:spacing w:before="10"/>
              <w:widowControl w:val="off"/>
              <w:rPr>
                <w:color w:val="auto"/>
                <w:spacing w:val="-5"/>
                <w:sz w:val="21"/>
                <w:szCs w:val="21"/>
                <w:lang w:val="en-US"/>
              </w:rPr>
            </w:pPr>
            <w:r>
              <w:rPr>
                <w:color w:val="auto"/>
                <w:spacing w:val="-5"/>
                <w:sz w:val="21"/>
                <w:szCs w:val="21"/>
                <w:lang w:val="en-US"/>
              </w:rPr>
            </w:r>
            <w:r/>
          </w:p>
          <w:p>
            <w:pPr>
              <w:pStyle w:val="1113"/>
              <w:ind w:left="105"/>
              <w:jc w:val="center"/>
              <w:keepLines w:val="0"/>
              <w:keepNext w:val="0"/>
              <w:pageBreakBefore w:val="0"/>
              <w:spacing w:before="10"/>
              <w:widowControl w:val="off"/>
              <w:rPr>
                <w:color w:val="auto"/>
                <w:spacing w:val="-5"/>
                <w:sz w:val="21"/>
                <w:szCs w:val="21"/>
                <w:lang w:val="en-US"/>
              </w:rPr>
            </w:pPr>
            <w:r>
              <w:rPr>
                <w:color w:val="auto"/>
                <w:spacing w:val="-5"/>
                <w:sz w:val="21"/>
                <w:szCs w:val="21"/>
                <w:lang w:val="en-US"/>
              </w:rPr>
            </w:r>
            <w:r/>
          </w:p>
          <w:p>
            <w:pPr>
              <w:pStyle w:val="1113"/>
              <w:ind w:left="105"/>
              <w:jc w:val="center"/>
              <w:keepLines w:val="0"/>
              <w:keepNext w:val="0"/>
              <w:pageBreakBefore w:val="0"/>
              <w:spacing w:before="10"/>
              <w:widowControl w:val="off"/>
              <w:rPr>
                <w:rFonts w:hint="eastAsia"/>
                <w:color w:val="auto"/>
                <w:spacing w:val="-5"/>
                <w:sz w:val="21"/>
                <w:szCs w:val="21"/>
                <w:lang w:val="en-US"/>
              </w:rPr>
            </w:pPr>
            <w:r>
              <w:rPr>
                <w:rFonts w:hint="eastAsia"/>
                <w:color w:val="auto"/>
                <w:spacing w:val="-5"/>
                <w:sz w:val="21"/>
                <w:szCs w:val="21"/>
                <w:lang w:val="en-US"/>
              </w:rPr>
            </w:r>
            <w:r/>
          </w:p>
          <w:p>
            <w:pPr>
              <w:pStyle w:val="1113"/>
              <w:ind w:left="105"/>
              <w:jc w:val="center"/>
              <w:keepLines w:val="0"/>
              <w:keepNext w:val="0"/>
              <w:pageBreakBefore w:val="0"/>
              <w:spacing w:before="10"/>
              <w:widowControl w:val="off"/>
              <w:rPr>
                <w:rFonts w:hint="eastAsia" w:ascii="宋体" w:hAnsi="宋体" w:eastAsia="宋体" w:cs="宋体"/>
                <w:color w:val="auto"/>
                <w:spacing w:val="-5"/>
                <w:sz w:val="21"/>
                <w:szCs w:val="21"/>
                <w:lang w:val="en-US" w:bidi="zh-CN"/>
              </w:rPr>
            </w:pPr>
            <w:r>
              <w:rPr>
                <w:rFonts w:hint="eastAsia"/>
                <w:color w:val="auto"/>
                <w:spacing w:val="-5"/>
                <w:sz w:val="21"/>
                <w:szCs w:val="21"/>
                <w:lang w:val="en-US"/>
              </w:rPr>
              <w:t xml:space="preserve">主观分</w:t>
            </w:r>
            <w:r/>
          </w:p>
        </w:tc>
      </w:tr>
      <w:tr>
        <w:trPr>
          <w:trHeight w:val="2693"/>
        </w:trPr>
        <w:tc>
          <w:tcPr>
            <w:tcBorders>
              <w:top w:val="single" w:color="999999" w:sz="6" w:space="0"/>
              <w:left w:val="single" w:color="808080" w:sz="4" w:space="0"/>
              <w:bottom w:val="single" w:color="999999" w:sz="6" w:space="0"/>
              <w:right w:val="single" w:color="999999" w:sz="6" w:space="0"/>
            </w:tcBorders>
            <w:tcW w:w="572" w:type="dxa"/>
            <w:vAlign w:val="center"/>
            <w:textDirection w:val="lrTb"/>
            <w:noWrap w:val="false"/>
          </w:tcPr>
          <w:p>
            <w:pPr>
              <w:pStyle w:val="1113"/>
              <w:ind w:left="105"/>
              <w:jc w:val="center"/>
              <w:keepLines w:val="0"/>
              <w:keepNext w:val="0"/>
              <w:pageBreakBefore w:val="0"/>
              <w:spacing w:before="10"/>
              <w:widowControl w:val="off"/>
              <w:rPr>
                <w:rFonts w:hint="default" w:eastAsia="宋体"/>
                <w:color w:val="auto"/>
                <w:spacing w:val="-5"/>
                <w:sz w:val="21"/>
                <w:szCs w:val="21"/>
                <w:lang w:val="en-US" w:eastAsia="zh-CN"/>
              </w:rPr>
            </w:pPr>
            <w:r>
              <w:rPr>
                <w:rFonts w:hint="eastAsia"/>
                <w:color w:val="auto"/>
                <w:spacing w:val="-5"/>
                <w:sz w:val="21"/>
                <w:szCs w:val="21"/>
                <w:lang w:val="en-US" w:eastAsia="zh-CN"/>
              </w:rPr>
              <w:t xml:space="preserve">2.5</w:t>
            </w:r>
            <w:r/>
          </w:p>
        </w:tc>
        <w:tc>
          <w:tcPr>
            <w:tcBorders>
              <w:top w:val="single" w:color="999999" w:sz="6" w:space="0"/>
              <w:left w:val="single" w:color="999999" w:sz="6" w:space="0"/>
              <w:bottom w:val="single" w:color="999999" w:sz="6" w:space="0"/>
              <w:right w:val="single" w:color="999999" w:sz="6" w:space="0"/>
            </w:tcBorders>
            <w:tcW w:w="992" w:type="dxa"/>
            <w:vAlign w:val="center"/>
            <w:textDirection w:val="lrTb"/>
            <w:noWrap w:val="false"/>
          </w:tcPr>
          <w:p>
            <w:pPr>
              <w:pStyle w:val="1113"/>
              <w:ind w:left="105"/>
              <w:jc w:val="center"/>
              <w:keepLines w:val="0"/>
              <w:keepNext w:val="0"/>
              <w:pageBreakBefore w:val="0"/>
              <w:spacing w:before="10"/>
              <w:widowControl w:val="off"/>
              <w:rPr>
                <w:rFonts w:hint="default" w:eastAsia="宋体"/>
                <w:color w:val="auto"/>
                <w:spacing w:val="-5"/>
                <w:sz w:val="21"/>
                <w:szCs w:val="21"/>
                <w:lang w:val="en-US" w:eastAsia="zh-CN"/>
              </w:rPr>
            </w:pPr>
            <w:r>
              <w:rPr>
                <w:rFonts w:hint="eastAsia"/>
                <w:color w:val="auto"/>
                <w:spacing w:val="-5"/>
                <w:sz w:val="21"/>
                <w:szCs w:val="21"/>
                <w:lang w:val="en-US" w:eastAsia="zh-CN"/>
              </w:rPr>
              <w:t xml:space="preserve">各部门协调处理方案</w:t>
            </w:r>
            <w:r/>
          </w:p>
        </w:tc>
        <w:tc>
          <w:tcPr>
            <w:tcBorders>
              <w:top w:val="single" w:color="999999" w:sz="6" w:space="0"/>
              <w:left w:val="single" w:color="999999" w:sz="6" w:space="0"/>
              <w:bottom w:val="single" w:color="999999" w:sz="6" w:space="0"/>
              <w:right w:val="single" w:color="999999" w:sz="6" w:space="0"/>
            </w:tcBorders>
            <w:tcW w:w="6233" w:type="dxa"/>
            <w:vAlign w:val="center"/>
            <w:textDirection w:val="lrTb"/>
            <w:noWrap w:val="false"/>
          </w:tcPr>
          <w:p>
            <w:pPr>
              <w:pStyle w:val="1113"/>
              <w:ind w:left="105"/>
              <w:jc w:val="left"/>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评委根据投标人提供的</w:t>
            </w:r>
            <w:r>
              <w:rPr>
                <w:rFonts w:hint="eastAsia"/>
                <w:color w:val="auto"/>
                <w:spacing w:val="-5"/>
                <w:sz w:val="21"/>
                <w:szCs w:val="21"/>
              </w:rPr>
              <w:t xml:space="preserve">维护期间与其他单位、部门的综合协调方案</w:t>
            </w:r>
            <w:r>
              <w:rPr>
                <w:rFonts w:hint="eastAsia"/>
                <w:color w:val="auto"/>
                <w:spacing w:val="-5"/>
                <w:sz w:val="21"/>
                <w:szCs w:val="21"/>
                <w:lang w:val="en-US"/>
              </w:rPr>
              <w:t xml:space="preserve">综合评分：</w:t>
            </w:r>
            <w:r/>
          </w:p>
          <w:p>
            <w:pPr>
              <w:pStyle w:val="1113"/>
              <w:ind w:left="105"/>
              <w:jc w:val="left"/>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1、</w:t>
            </w:r>
            <w:r>
              <w:rPr>
                <w:rFonts w:hint="eastAsia"/>
                <w:color w:val="auto"/>
                <w:spacing w:val="-5"/>
                <w:sz w:val="21"/>
                <w:szCs w:val="21"/>
              </w:rPr>
              <w:t xml:space="preserve">综合协调方案</w:t>
            </w:r>
            <w:r>
              <w:rPr>
                <w:rFonts w:hint="eastAsia"/>
                <w:color w:val="auto"/>
                <w:spacing w:val="-5"/>
                <w:sz w:val="21"/>
                <w:szCs w:val="21"/>
                <w:lang w:val="en-US"/>
              </w:rPr>
              <w:t xml:space="preserve">完备健全，有完善的</w:t>
            </w:r>
            <w:r>
              <w:rPr>
                <w:rFonts w:hint="eastAsia"/>
                <w:color w:val="auto"/>
                <w:spacing w:val="-5"/>
                <w:sz w:val="21"/>
                <w:szCs w:val="21"/>
                <w:lang w:val="en-US" w:eastAsia="zh-CN"/>
              </w:rPr>
              <w:t xml:space="preserve">处理</w:t>
            </w:r>
            <w:r>
              <w:rPr>
                <w:rFonts w:hint="eastAsia"/>
                <w:color w:val="auto"/>
                <w:spacing w:val="-5"/>
                <w:sz w:val="21"/>
                <w:szCs w:val="21"/>
                <w:lang w:val="en-US"/>
              </w:rPr>
              <w:t xml:space="preserve">体系，完全贴合本项目，完全满足实际可操作性的得</w:t>
            </w:r>
            <w:r>
              <w:rPr>
                <w:rFonts w:hint="eastAsia"/>
                <w:color w:val="auto"/>
                <w:spacing w:val="-5"/>
                <w:sz w:val="21"/>
                <w:szCs w:val="21"/>
                <w:lang w:val="en-US" w:eastAsia="zh-CN"/>
              </w:rPr>
              <w:t xml:space="preserve">7</w:t>
            </w:r>
            <w:r>
              <w:rPr>
                <w:rFonts w:hint="eastAsia"/>
                <w:color w:val="auto"/>
                <w:spacing w:val="-5"/>
                <w:sz w:val="21"/>
                <w:szCs w:val="21"/>
                <w:lang w:val="en-US"/>
              </w:rPr>
              <w:t xml:space="preserve">分；</w:t>
            </w:r>
            <w:r/>
          </w:p>
          <w:p>
            <w:pPr>
              <w:pStyle w:val="1113"/>
              <w:ind w:left="105"/>
              <w:jc w:val="left"/>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2、</w:t>
            </w:r>
            <w:r>
              <w:rPr>
                <w:rFonts w:hint="eastAsia"/>
                <w:color w:val="auto"/>
                <w:spacing w:val="-5"/>
                <w:sz w:val="21"/>
                <w:szCs w:val="21"/>
              </w:rPr>
              <w:t xml:space="preserve">综合协调方案</w:t>
            </w:r>
            <w:r>
              <w:rPr>
                <w:rFonts w:hint="eastAsia"/>
                <w:color w:val="auto"/>
                <w:spacing w:val="-5"/>
                <w:sz w:val="21"/>
                <w:szCs w:val="21"/>
                <w:lang w:val="en-US" w:eastAsia="zh-CN"/>
              </w:rPr>
              <w:t xml:space="preserve">较</w:t>
            </w:r>
            <w:r>
              <w:rPr>
                <w:rFonts w:hint="eastAsia"/>
                <w:color w:val="auto"/>
                <w:spacing w:val="-5"/>
                <w:sz w:val="21"/>
                <w:szCs w:val="21"/>
                <w:lang w:val="en-US"/>
              </w:rPr>
              <w:t xml:space="preserve">完备健全，对本服务项目针对性强，具有实际可操作性的得</w:t>
            </w:r>
            <w:r>
              <w:rPr>
                <w:rFonts w:hint="eastAsia"/>
                <w:color w:val="auto"/>
                <w:spacing w:val="-5"/>
                <w:sz w:val="21"/>
                <w:szCs w:val="21"/>
                <w:lang w:val="en-US" w:eastAsia="zh-CN"/>
              </w:rPr>
              <w:t xml:space="preserve">4</w:t>
            </w:r>
            <w:r>
              <w:rPr>
                <w:rFonts w:hint="eastAsia"/>
                <w:color w:val="auto"/>
                <w:spacing w:val="-5"/>
                <w:sz w:val="21"/>
                <w:szCs w:val="21"/>
                <w:lang w:val="en-US"/>
              </w:rPr>
              <w:t xml:space="preserve">分；</w:t>
            </w:r>
            <w:r/>
          </w:p>
          <w:p>
            <w:pPr>
              <w:pStyle w:val="1113"/>
              <w:ind w:left="105"/>
              <w:jc w:val="left"/>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3、</w:t>
            </w:r>
            <w:r>
              <w:rPr>
                <w:rFonts w:hint="eastAsia"/>
                <w:color w:val="auto"/>
                <w:spacing w:val="-5"/>
                <w:sz w:val="21"/>
                <w:szCs w:val="21"/>
              </w:rPr>
              <w:t xml:space="preserve">综合协调方案</w:t>
            </w:r>
            <w:r>
              <w:rPr>
                <w:rFonts w:hint="eastAsia"/>
                <w:color w:val="auto"/>
                <w:spacing w:val="-5"/>
                <w:sz w:val="21"/>
                <w:szCs w:val="21"/>
                <w:lang w:val="en-US"/>
              </w:rPr>
              <w:t xml:space="preserve">比较完备、健全，能初步处理事件的得</w:t>
            </w:r>
            <w:r>
              <w:rPr>
                <w:rFonts w:hint="eastAsia"/>
                <w:color w:val="auto"/>
                <w:spacing w:val="-5"/>
                <w:sz w:val="21"/>
                <w:szCs w:val="21"/>
                <w:lang w:val="en-US" w:eastAsia="zh-CN"/>
              </w:rPr>
              <w:t xml:space="preserve">1</w:t>
            </w:r>
            <w:r>
              <w:rPr>
                <w:rFonts w:hint="eastAsia"/>
                <w:color w:val="auto"/>
                <w:spacing w:val="-5"/>
                <w:sz w:val="21"/>
                <w:szCs w:val="21"/>
                <w:lang w:val="en-US"/>
              </w:rPr>
              <w:t xml:space="preserve">分；</w:t>
            </w:r>
            <w:r/>
          </w:p>
          <w:p>
            <w:pPr>
              <w:pStyle w:val="1113"/>
              <w:ind w:left="105"/>
              <w:jc w:val="left"/>
              <w:keepLines w:val="0"/>
              <w:keepNext w:val="0"/>
              <w:pageBreakBefore w:val="0"/>
              <w:spacing w:before="10"/>
              <w:widowControl w:val="off"/>
              <w:rPr>
                <w:rFonts w:hint="eastAsia"/>
                <w:color w:val="auto"/>
                <w:spacing w:val="-5"/>
                <w:sz w:val="21"/>
                <w:szCs w:val="21"/>
                <w:lang w:val="en-US"/>
              </w:rPr>
            </w:pPr>
            <w:r>
              <w:rPr>
                <w:rFonts w:hint="eastAsia"/>
                <w:color w:val="auto"/>
                <w:spacing w:val="-5"/>
                <w:sz w:val="21"/>
                <w:szCs w:val="21"/>
                <w:lang w:val="en-US" w:eastAsia="zh-CN"/>
              </w:rPr>
              <w:t xml:space="preserve">4</w:t>
            </w:r>
            <w:r>
              <w:rPr>
                <w:rFonts w:hint="eastAsia"/>
                <w:color w:val="auto"/>
                <w:spacing w:val="-5"/>
                <w:sz w:val="21"/>
                <w:szCs w:val="21"/>
                <w:lang w:val="en-US"/>
              </w:rPr>
              <w:t xml:space="preserve">、</w:t>
            </w:r>
            <w:r>
              <w:rPr>
                <w:rFonts w:hint="eastAsia"/>
                <w:color w:val="auto"/>
                <w:spacing w:val="-5"/>
                <w:sz w:val="21"/>
                <w:szCs w:val="21"/>
                <w:lang w:val="en-US" w:eastAsia="zh-CN"/>
              </w:rPr>
              <w:t xml:space="preserve">方案差或</w:t>
            </w:r>
            <w:r>
              <w:rPr>
                <w:rFonts w:hint="eastAsia"/>
                <w:color w:val="auto"/>
                <w:spacing w:val="-5"/>
                <w:sz w:val="21"/>
                <w:szCs w:val="21"/>
              </w:rPr>
              <w:t xml:space="preserve">未提供的</w:t>
            </w:r>
            <w:r>
              <w:rPr>
                <w:rFonts w:hint="eastAsia"/>
                <w:color w:val="auto"/>
                <w:spacing w:val="-5"/>
                <w:sz w:val="21"/>
                <w:szCs w:val="21"/>
                <w:lang w:val="en-US" w:eastAsia="zh-CN"/>
              </w:rPr>
              <w:t xml:space="preserve">不得分</w:t>
            </w:r>
            <w:r>
              <w:rPr>
                <w:rFonts w:hint="eastAsia"/>
                <w:color w:val="auto"/>
                <w:spacing w:val="-5"/>
                <w:sz w:val="21"/>
                <w:szCs w:val="21"/>
              </w:rPr>
              <w:t xml:space="preserve">。</w:t>
            </w:r>
            <w:r/>
          </w:p>
        </w:tc>
        <w:tc>
          <w:tcPr>
            <w:tcBorders>
              <w:top w:val="single" w:color="999999" w:sz="6" w:space="0"/>
              <w:left w:val="single" w:color="999999" w:sz="6" w:space="0"/>
              <w:bottom w:val="single" w:color="999999" w:sz="6" w:space="0"/>
              <w:right w:val="single" w:color="999999" w:sz="6" w:space="0"/>
            </w:tcBorders>
            <w:tcW w:w="567" w:type="dxa"/>
            <w:vAlign w:val="center"/>
            <w:textDirection w:val="lrTb"/>
            <w:noWrap w:val="false"/>
          </w:tcPr>
          <w:p>
            <w:pPr>
              <w:pStyle w:val="1113"/>
              <w:ind w:left="105"/>
              <w:jc w:val="center"/>
              <w:keepLines w:val="0"/>
              <w:keepNext w:val="0"/>
              <w:pageBreakBefore w:val="0"/>
              <w:spacing w:before="10"/>
              <w:widowControl w:val="off"/>
              <w:rPr>
                <w:rFonts w:hint="eastAsia"/>
                <w:color w:val="auto"/>
                <w:spacing w:val="-5"/>
                <w:sz w:val="21"/>
                <w:szCs w:val="21"/>
                <w:lang w:val="en-US" w:eastAsia="zh-CN"/>
              </w:rPr>
            </w:pPr>
            <w:r>
              <w:rPr>
                <w:rFonts w:hint="eastAsia"/>
                <w:color w:val="auto"/>
                <w:spacing w:val="-5"/>
                <w:sz w:val="21"/>
                <w:szCs w:val="21"/>
                <w:lang w:val="en-US" w:eastAsia="zh-CN"/>
              </w:rPr>
              <w:t xml:space="preserve">7</w:t>
            </w:r>
            <w:r/>
          </w:p>
        </w:tc>
        <w:tc>
          <w:tcPr>
            <w:tcBorders>
              <w:top w:val="single" w:color="999999" w:sz="6" w:space="0"/>
              <w:left w:val="single" w:color="999999" w:sz="6" w:space="0"/>
              <w:bottom w:val="single" w:color="999999" w:sz="6" w:space="0"/>
              <w:right w:val="single" w:color="808080" w:sz="4" w:space="0"/>
            </w:tcBorders>
            <w:tcW w:w="821" w:type="dxa"/>
            <w:vAlign w:val="center"/>
            <w:textDirection w:val="lrTb"/>
            <w:noWrap w:val="false"/>
          </w:tcPr>
          <w:p>
            <w:pPr>
              <w:pStyle w:val="1113"/>
              <w:ind w:left="105"/>
              <w:jc w:val="center"/>
              <w:keepLines w:val="0"/>
              <w:keepNext w:val="0"/>
              <w:pageBreakBefore w:val="0"/>
              <w:spacing w:before="10"/>
              <w:widowControl w:val="off"/>
              <w:rPr>
                <w:rFonts w:hint="eastAsia"/>
                <w:color w:val="auto"/>
                <w:spacing w:val="-5"/>
                <w:sz w:val="21"/>
                <w:szCs w:val="21"/>
                <w:lang w:val="en-US"/>
              </w:rPr>
            </w:pPr>
            <w:r>
              <w:rPr>
                <w:rFonts w:hint="eastAsia"/>
                <w:color w:val="auto"/>
                <w:spacing w:val="-5"/>
                <w:sz w:val="21"/>
                <w:szCs w:val="21"/>
                <w:lang w:val="en-US"/>
              </w:rPr>
              <w:t xml:space="preserve">主观分</w:t>
            </w:r>
            <w:r/>
          </w:p>
        </w:tc>
      </w:tr>
      <w:tr>
        <w:trPr>
          <w:trHeight w:val="2693"/>
        </w:trPr>
        <w:tc>
          <w:tcPr>
            <w:tcBorders>
              <w:top w:val="single" w:color="999999" w:sz="6" w:space="0"/>
              <w:left w:val="single" w:color="808080" w:sz="4" w:space="0"/>
              <w:bottom w:val="single" w:color="999999" w:sz="6" w:space="0"/>
              <w:right w:val="single" w:color="999999" w:sz="6" w:space="0"/>
            </w:tcBorders>
            <w:tcW w:w="572" w:type="dxa"/>
            <w:vAlign w:val="center"/>
            <w:textDirection w:val="lrTb"/>
            <w:noWrap w:val="false"/>
          </w:tcPr>
          <w:p>
            <w:pPr>
              <w:pStyle w:val="1113"/>
              <w:ind w:left="105"/>
              <w:jc w:val="center"/>
              <w:keepLines w:val="0"/>
              <w:keepNext w:val="0"/>
              <w:pageBreakBefore w:val="0"/>
              <w:spacing w:before="10"/>
              <w:widowControl w:val="off"/>
              <w:rPr>
                <w:color w:val="auto"/>
                <w:spacing w:val="-5"/>
                <w:sz w:val="21"/>
                <w:szCs w:val="21"/>
                <w:lang w:val="en-US"/>
              </w:rPr>
            </w:pPr>
            <w:r>
              <w:rPr>
                <w:color w:val="auto"/>
                <w:spacing w:val="-5"/>
                <w:sz w:val="21"/>
                <w:szCs w:val="21"/>
                <w:lang w:val="en-US"/>
              </w:rPr>
            </w:r>
            <w:r/>
          </w:p>
          <w:p>
            <w:pPr>
              <w:pStyle w:val="1113"/>
              <w:ind w:left="105"/>
              <w:jc w:val="center"/>
              <w:keepLines w:val="0"/>
              <w:keepNext w:val="0"/>
              <w:pageBreakBefore w:val="0"/>
              <w:spacing w:before="10"/>
              <w:widowControl w:val="off"/>
              <w:rPr>
                <w:rFonts w:hint="eastAsia" w:eastAsia="宋体"/>
                <w:color w:val="auto"/>
                <w:spacing w:val="-5"/>
                <w:sz w:val="21"/>
                <w:szCs w:val="21"/>
                <w:lang w:val="en-US" w:eastAsia="zh-CN"/>
              </w:rPr>
            </w:pPr>
            <w:r>
              <w:rPr>
                <w:rFonts w:hint="eastAsia"/>
                <w:color w:val="auto"/>
                <w:spacing w:val="-5"/>
                <w:sz w:val="21"/>
                <w:szCs w:val="21"/>
                <w:lang w:val="en-US"/>
              </w:rPr>
              <w:t xml:space="preserve">2.</w:t>
            </w:r>
            <w:r>
              <w:rPr>
                <w:rFonts w:hint="eastAsia"/>
                <w:color w:val="auto"/>
                <w:spacing w:val="-5"/>
                <w:sz w:val="21"/>
                <w:szCs w:val="21"/>
                <w:lang w:val="en-US" w:eastAsia="zh-CN"/>
              </w:rPr>
              <w:t xml:space="preserve">6</w:t>
            </w:r>
            <w:r/>
          </w:p>
        </w:tc>
        <w:tc>
          <w:tcPr>
            <w:tcBorders>
              <w:top w:val="single" w:color="999999" w:sz="6" w:space="0"/>
              <w:left w:val="single" w:color="999999" w:sz="6" w:space="0"/>
              <w:bottom w:val="single" w:color="999999" w:sz="6" w:space="0"/>
              <w:right w:val="single" w:color="999999" w:sz="6" w:space="0"/>
            </w:tcBorders>
            <w:tcW w:w="992" w:type="dxa"/>
            <w:vAlign w:val="center"/>
            <w:textDirection w:val="lrTb"/>
            <w:noWrap w:val="false"/>
          </w:tcPr>
          <w:p>
            <w:pPr>
              <w:pStyle w:val="1113"/>
              <w:ind w:left="105"/>
              <w:jc w:val="center"/>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应急处理预案</w:t>
            </w:r>
            <w:r/>
          </w:p>
        </w:tc>
        <w:tc>
          <w:tcPr>
            <w:tcBorders>
              <w:top w:val="single" w:color="999999" w:sz="6" w:space="0"/>
              <w:left w:val="single" w:color="999999" w:sz="6" w:space="0"/>
              <w:bottom w:val="single" w:color="999999" w:sz="6" w:space="0"/>
              <w:right w:val="single" w:color="999999" w:sz="6" w:space="0"/>
            </w:tcBorders>
            <w:tcW w:w="6233" w:type="dxa"/>
            <w:vAlign w:val="center"/>
            <w:textDirection w:val="lrTb"/>
            <w:noWrap w:val="false"/>
          </w:tcPr>
          <w:p>
            <w:pPr>
              <w:pStyle w:val="1113"/>
              <w:ind w:left="105"/>
              <w:jc w:val="left"/>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评委根据投标人提供的</w:t>
            </w:r>
            <w:r>
              <w:rPr>
                <w:rFonts w:hint="eastAsia"/>
                <w:color w:val="auto"/>
                <w:spacing w:val="-5"/>
                <w:sz w:val="21"/>
                <w:szCs w:val="21"/>
              </w:rPr>
              <w:t xml:space="preserve">应急处理预案</w:t>
            </w:r>
            <w:r>
              <w:rPr>
                <w:rFonts w:hint="eastAsia"/>
                <w:color w:val="auto"/>
                <w:spacing w:val="-5"/>
                <w:sz w:val="21"/>
                <w:szCs w:val="21"/>
                <w:lang w:val="en-US"/>
              </w:rPr>
              <w:t xml:space="preserve">综合评分：</w:t>
            </w:r>
            <w:r/>
          </w:p>
          <w:p>
            <w:pPr>
              <w:pStyle w:val="1113"/>
              <w:ind w:left="105"/>
              <w:jc w:val="left"/>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1、突发事件应急处理预案完备健全，有完善的应急体系，完全贴合本项目，完全满足实际可操作性的得</w:t>
            </w:r>
            <w:r>
              <w:rPr>
                <w:rFonts w:hint="eastAsia"/>
                <w:color w:val="auto"/>
                <w:spacing w:val="-5"/>
                <w:sz w:val="21"/>
                <w:szCs w:val="21"/>
                <w:lang w:val="en-US" w:eastAsia="zh-CN"/>
              </w:rPr>
              <w:t xml:space="preserve">7</w:t>
            </w:r>
            <w:r>
              <w:rPr>
                <w:rFonts w:hint="eastAsia"/>
                <w:color w:val="auto"/>
                <w:spacing w:val="-5"/>
                <w:sz w:val="21"/>
                <w:szCs w:val="21"/>
                <w:lang w:val="en-US"/>
              </w:rPr>
              <w:t xml:space="preserve">分；</w:t>
            </w:r>
            <w:r/>
          </w:p>
          <w:p>
            <w:pPr>
              <w:pStyle w:val="1113"/>
              <w:ind w:left="105"/>
              <w:jc w:val="left"/>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2、突发事件应急处理预案</w:t>
            </w:r>
            <w:r>
              <w:rPr>
                <w:rFonts w:hint="eastAsia"/>
                <w:color w:val="auto"/>
                <w:spacing w:val="-5"/>
                <w:sz w:val="21"/>
                <w:szCs w:val="21"/>
                <w:lang w:val="en-US" w:eastAsia="zh-CN"/>
              </w:rPr>
              <w:t xml:space="preserve">较</w:t>
            </w:r>
            <w:r>
              <w:rPr>
                <w:rFonts w:hint="eastAsia"/>
                <w:color w:val="auto"/>
                <w:spacing w:val="-5"/>
                <w:sz w:val="21"/>
                <w:szCs w:val="21"/>
                <w:lang w:val="en-US"/>
              </w:rPr>
              <w:t xml:space="preserve">完备健全，对本服务项目针对性强，具有实际可操作性的得</w:t>
            </w:r>
            <w:r>
              <w:rPr>
                <w:rFonts w:hint="eastAsia"/>
                <w:color w:val="auto"/>
                <w:spacing w:val="-5"/>
                <w:sz w:val="21"/>
                <w:szCs w:val="21"/>
                <w:lang w:val="en-US" w:eastAsia="zh-CN"/>
              </w:rPr>
              <w:t xml:space="preserve">4</w:t>
            </w:r>
            <w:r>
              <w:rPr>
                <w:rFonts w:hint="eastAsia"/>
                <w:color w:val="auto"/>
                <w:spacing w:val="-5"/>
                <w:sz w:val="21"/>
                <w:szCs w:val="21"/>
                <w:lang w:val="en-US"/>
              </w:rPr>
              <w:t xml:space="preserve">分；</w:t>
            </w:r>
            <w:r/>
          </w:p>
          <w:p>
            <w:pPr>
              <w:pStyle w:val="1113"/>
              <w:ind w:left="105"/>
              <w:jc w:val="left"/>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3、突发事件应急处理预案比较完备、健全，能初步处理事件的得</w:t>
            </w:r>
            <w:r>
              <w:rPr>
                <w:rFonts w:hint="eastAsia"/>
                <w:color w:val="auto"/>
                <w:spacing w:val="-5"/>
                <w:sz w:val="21"/>
                <w:szCs w:val="21"/>
                <w:lang w:val="en-US" w:eastAsia="zh-CN"/>
              </w:rPr>
              <w:t xml:space="preserve">1</w:t>
            </w:r>
            <w:r>
              <w:rPr>
                <w:rFonts w:hint="eastAsia"/>
                <w:color w:val="auto"/>
                <w:spacing w:val="-5"/>
                <w:sz w:val="21"/>
                <w:szCs w:val="21"/>
                <w:lang w:val="en-US"/>
              </w:rPr>
              <w:t xml:space="preserve">分；</w:t>
            </w:r>
            <w:r/>
          </w:p>
          <w:p>
            <w:pPr>
              <w:pStyle w:val="1113"/>
              <w:ind w:left="105"/>
              <w:jc w:val="left"/>
              <w:keepLines w:val="0"/>
              <w:keepNext w:val="0"/>
              <w:pageBreakBefore w:val="0"/>
              <w:spacing w:before="10"/>
              <w:widowControl w:val="off"/>
              <w:rPr>
                <w:color w:val="auto"/>
                <w:spacing w:val="-5"/>
                <w:sz w:val="21"/>
                <w:szCs w:val="21"/>
              </w:rPr>
            </w:pPr>
            <w:r>
              <w:rPr>
                <w:rFonts w:hint="eastAsia"/>
                <w:color w:val="auto"/>
                <w:spacing w:val="-5"/>
                <w:sz w:val="21"/>
                <w:szCs w:val="21"/>
                <w:lang w:val="en-US"/>
              </w:rPr>
              <w:t xml:space="preserve">4、</w:t>
            </w:r>
            <w:r>
              <w:rPr>
                <w:rFonts w:hint="eastAsia"/>
                <w:color w:val="auto"/>
                <w:spacing w:val="-5"/>
                <w:sz w:val="21"/>
                <w:szCs w:val="21"/>
                <w:lang w:val="en-US" w:eastAsia="zh-CN"/>
              </w:rPr>
              <w:t xml:space="preserve">方案差或</w:t>
            </w:r>
            <w:r>
              <w:rPr>
                <w:rFonts w:hint="eastAsia"/>
                <w:color w:val="auto"/>
                <w:spacing w:val="-5"/>
                <w:sz w:val="21"/>
                <w:szCs w:val="21"/>
              </w:rPr>
              <w:t xml:space="preserve">未提供的</w:t>
            </w:r>
            <w:r>
              <w:rPr>
                <w:rFonts w:hint="eastAsia"/>
                <w:color w:val="auto"/>
                <w:spacing w:val="-5"/>
                <w:sz w:val="21"/>
                <w:szCs w:val="21"/>
                <w:lang w:val="en-US" w:eastAsia="zh-CN"/>
              </w:rPr>
              <w:t xml:space="preserve">不得分</w:t>
            </w:r>
            <w:r>
              <w:rPr>
                <w:rFonts w:hint="eastAsia"/>
                <w:color w:val="auto"/>
                <w:spacing w:val="-5"/>
                <w:sz w:val="21"/>
                <w:szCs w:val="21"/>
              </w:rPr>
              <w:t xml:space="preserve">。</w:t>
            </w:r>
            <w:r/>
          </w:p>
        </w:tc>
        <w:tc>
          <w:tcPr>
            <w:tcBorders>
              <w:top w:val="single" w:color="999999" w:sz="6" w:space="0"/>
              <w:left w:val="single" w:color="999999" w:sz="6" w:space="0"/>
              <w:bottom w:val="single" w:color="999999" w:sz="6" w:space="0"/>
              <w:right w:val="single" w:color="999999" w:sz="6" w:space="0"/>
            </w:tcBorders>
            <w:tcW w:w="567" w:type="dxa"/>
            <w:vAlign w:val="center"/>
            <w:textDirection w:val="lrTb"/>
            <w:noWrap w:val="false"/>
          </w:tcPr>
          <w:p>
            <w:pPr>
              <w:pStyle w:val="1113"/>
              <w:ind w:left="105"/>
              <w:jc w:val="center"/>
              <w:keepLines w:val="0"/>
              <w:keepNext w:val="0"/>
              <w:pageBreakBefore w:val="0"/>
              <w:spacing w:before="10"/>
              <w:widowControl w:val="off"/>
              <w:rPr>
                <w:rFonts w:hint="default" w:eastAsia="宋体"/>
                <w:color w:val="auto"/>
                <w:spacing w:val="-5"/>
                <w:sz w:val="21"/>
                <w:szCs w:val="21"/>
                <w:lang w:val="en-US" w:eastAsia="zh-CN"/>
              </w:rPr>
            </w:pPr>
            <w:r>
              <w:rPr>
                <w:rFonts w:hint="eastAsia"/>
                <w:color w:val="auto"/>
                <w:spacing w:val="-5"/>
                <w:sz w:val="21"/>
                <w:szCs w:val="21"/>
                <w:lang w:val="en-US" w:eastAsia="zh-CN"/>
              </w:rPr>
              <w:t xml:space="preserve">7</w:t>
            </w:r>
            <w:r/>
          </w:p>
        </w:tc>
        <w:tc>
          <w:tcPr>
            <w:tcBorders>
              <w:top w:val="single" w:color="999999" w:sz="6" w:space="0"/>
              <w:left w:val="single" w:color="999999" w:sz="6" w:space="0"/>
              <w:bottom w:val="single" w:color="999999" w:sz="6" w:space="0"/>
              <w:right w:val="single" w:color="808080" w:sz="4" w:space="0"/>
            </w:tcBorders>
            <w:tcW w:w="821" w:type="dxa"/>
            <w:vAlign w:val="center"/>
            <w:textDirection w:val="lrTb"/>
            <w:noWrap w:val="false"/>
          </w:tcPr>
          <w:p>
            <w:pPr>
              <w:pStyle w:val="1113"/>
              <w:ind w:left="105"/>
              <w:jc w:val="center"/>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主观分</w:t>
            </w:r>
            <w:r/>
          </w:p>
        </w:tc>
      </w:tr>
      <w:tr>
        <w:trPr>
          <w:trHeight w:val="463"/>
        </w:trPr>
        <w:tc>
          <w:tcPr>
            <w:gridSpan w:val="5"/>
            <w:tcBorders>
              <w:top w:val="single" w:color="808080" w:sz="6" w:space="0"/>
              <w:left w:val="single" w:color="999999" w:sz="4" w:space="0"/>
              <w:bottom w:val="single" w:color="808080" w:sz="6" w:space="0"/>
              <w:right w:val="single" w:color="999999" w:sz="4" w:space="0"/>
            </w:tcBorders>
            <w:tcW w:w="9185" w:type="dxa"/>
            <w:vAlign w:val="center"/>
            <w:textDirection w:val="lrTb"/>
            <w:noWrap w:val="false"/>
          </w:tcPr>
          <w:p>
            <w:pPr>
              <w:pStyle w:val="1113"/>
              <w:ind w:left="105"/>
              <w:jc w:val="center"/>
              <w:keepLines w:val="0"/>
              <w:keepNext w:val="0"/>
              <w:pageBreakBefore w:val="0"/>
              <w:spacing w:before="10"/>
              <w:widowControl w:val="off"/>
              <w:rPr>
                <w:color w:val="auto"/>
                <w:spacing w:val="-5"/>
                <w:sz w:val="21"/>
                <w:szCs w:val="21"/>
              </w:rPr>
            </w:pPr>
            <w:r>
              <w:rPr>
                <w:rFonts w:hint="eastAsia"/>
                <w:b/>
                <w:bCs/>
                <w:color w:val="auto"/>
                <w:spacing w:val="-3"/>
              </w:rPr>
              <w:t xml:space="preserve">3.业绩</w:t>
            </w:r>
            <w:r/>
          </w:p>
        </w:tc>
      </w:tr>
      <w:tr>
        <w:trPr>
          <w:trHeight w:val="567"/>
        </w:trPr>
        <w:tc>
          <w:tcPr>
            <w:tcBorders>
              <w:top w:val="single" w:color="808080" w:sz="6" w:space="0"/>
              <w:left w:val="single" w:color="999999" w:sz="4" w:space="0"/>
              <w:bottom w:val="none" w:color="000000" w:sz="4" w:space="0"/>
              <w:right w:val="single" w:color="808080" w:sz="6" w:space="0"/>
            </w:tcBorders>
            <w:tcW w:w="572" w:type="dxa"/>
            <w:vAlign w:val="center"/>
            <w:textDirection w:val="lrTb"/>
            <w:noWrap w:val="false"/>
          </w:tcPr>
          <w:p>
            <w:pPr>
              <w:pStyle w:val="1113"/>
              <w:ind w:left="105"/>
              <w:jc w:val="center"/>
              <w:keepLines w:val="0"/>
              <w:keepNext w:val="0"/>
              <w:pageBreakBefore w:val="0"/>
              <w:spacing w:before="10"/>
              <w:widowControl w:val="off"/>
              <w:rPr>
                <w:color w:val="auto"/>
                <w:spacing w:val="-5"/>
                <w:sz w:val="21"/>
                <w:szCs w:val="21"/>
              </w:rPr>
            </w:pPr>
            <w:r>
              <w:rPr>
                <w:rFonts w:hint="eastAsia"/>
                <w:color w:val="auto"/>
                <w:spacing w:val="-5"/>
                <w:sz w:val="21"/>
                <w:szCs w:val="21"/>
              </w:rPr>
              <w:t xml:space="preserve">3.1</w:t>
            </w:r>
            <w:r/>
          </w:p>
        </w:tc>
        <w:tc>
          <w:tcPr>
            <w:tcBorders>
              <w:top w:val="single" w:color="808080" w:sz="6" w:space="0"/>
              <w:left w:val="single" w:color="808080" w:sz="6" w:space="0"/>
              <w:bottom w:val="none" w:color="000000" w:sz="4" w:space="0"/>
              <w:right w:val="single" w:color="808080" w:sz="6" w:space="0"/>
            </w:tcBorders>
            <w:tcW w:w="992" w:type="dxa"/>
            <w:vAlign w:val="center"/>
            <w:textDirection w:val="lrTb"/>
            <w:noWrap w:val="false"/>
          </w:tcPr>
          <w:p>
            <w:pPr>
              <w:pStyle w:val="1113"/>
              <w:ind w:left="105"/>
              <w:jc w:val="center"/>
              <w:keepLines w:val="0"/>
              <w:keepNext w:val="0"/>
              <w:pageBreakBefore w:val="0"/>
              <w:spacing w:before="10"/>
              <w:widowControl w:val="off"/>
              <w:rPr>
                <w:color w:val="auto"/>
                <w:spacing w:val="-5"/>
                <w:sz w:val="21"/>
                <w:szCs w:val="21"/>
              </w:rPr>
            </w:pPr>
            <w:r>
              <w:rPr>
                <w:rFonts w:hint="eastAsia"/>
                <w:color w:val="auto"/>
                <w:spacing w:val="-5"/>
                <w:sz w:val="21"/>
                <w:szCs w:val="21"/>
              </w:rPr>
              <w:t xml:space="preserve">业绩</w:t>
            </w:r>
            <w:r/>
          </w:p>
        </w:tc>
        <w:tc>
          <w:tcPr>
            <w:tcBorders>
              <w:top w:val="single" w:color="808080" w:sz="6" w:space="0"/>
              <w:left w:val="single" w:color="808080" w:sz="6" w:space="0"/>
              <w:bottom w:val="none" w:color="000000" w:sz="4" w:space="0"/>
              <w:right w:val="single" w:color="808080" w:sz="6" w:space="0"/>
            </w:tcBorders>
            <w:tcW w:w="6233" w:type="dxa"/>
            <w:vAlign w:val="center"/>
            <w:textDirection w:val="lrTb"/>
            <w:noWrap w:val="false"/>
          </w:tcPr>
          <w:p>
            <w:pPr>
              <w:pStyle w:val="1113"/>
              <w:ind w:left="105"/>
              <w:jc w:val="left"/>
              <w:keepLines w:val="0"/>
              <w:keepNext w:val="0"/>
              <w:pageBreakBefore w:val="0"/>
              <w:spacing w:before="10"/>
              <w:widowControl w:val="off"/>
              <w:rPr>
                <w:rFonts w:hint="default" w:eastAsia="宋体"/>
                <w:color w:val="auto"/>
                <w:spacing w:val="-5"/>
                <w:sz w:val="21"/>
                <w:szCs w:val="21"/>
                <w:lang w:val="en-US" w:eastAsia="zh-CN"/>
              </w:rPr>
            </w:pPr>
            <w:r>
              <w:rPr>
                <w:rFonts w:hint="eastAsia"/>
                <w:color w:val="auto"/>
                <w:spacing w:val="-5"/>
                <w:sz w:val="21"/>
                <w:szCs w:val="21"/>
                <w:lang w:val="en-US"/>
              </w:rPr>
              <w:t xml:space="preserve">供应商具有202</w:t>
            </w:r>
            <w:r>
              <w:rPr>
                <w:rFonts w:hint="eastAsia"/>
                <w:color w:val="auto"/>
                <w:spacing w:val="-5"/>
                <w:sz w:val="21"/>
                <w:szCs w:val="21"/>
                <w:lang w:val="en-US" w:eastAsia="zh-CN"/>
              </w:rPr>
              <w:t xml:space="preserve">3</w:t>
            </w:r>
            <w:r>
              <w:rPr>
                <w:rFonts w:hint="eastAsia"/>
                <w:color w:val="auto"/>
                <w:spacing w:val="-5"/>
                <w:sz w:val="21"/>
                <w:szCs w:val="21"/>
                <w:lang w:val="en-US"/>
              </w:rPr>
              <w:t xml:space="preserve">年1月1日以来承接</w:t>
            </w:r>
            <w:r>
              <w:rPr>
                <w:rFonts w:hint="eastAsia"/>
                <w:color w:val="auto"/>
                <w:spacing w:val="-5"/>
                <w:sz w:val="21"/>
                <w:szCs w:val="21"/>
                <w:lang w:val="en-US" w:eastAsia="zh-CN"/>
              </w:rPr>
              <w:t xml:space="preserve">过</w:t>
            </w:r>
            <w:r>
              <w:rPr>
                <w:rFonts w:hint="eastAsia"/>
                <w:color w:val="auto"/>
                <w:spacing w:val="-5"/>
                <w:sz w:val="21"/>
                <w:szCs w:val="21"/>
                <w:lang w:val="en-US"/>
              </w:rPr>
              <w:t xml:space="preserve">的</w:t>
            </w:r>
            <w:r>
              <w:rPr>
                <w:rFonts w:hint="eastAsia"/>
                <w:color w:val="auto"/>
                <w:spacing w:val="-5"/>
                <w:sz w:val="21"/>
                <w:szCs w:val="21"/>
                <w:lang w:val="en-US"/>
              </w:rPr>
              <w:t xml:space="preserve">类似</w:t>
            </w:r>
            <w:r>
              <w:rPr>
                <w:rFonts w:hint="eastAsia"/>
                <w:color w:val="auto"/>
                <w:spacing w:val="-5"/>
                <w:sz w:val="21"/>
                <w:szCs w:val="21"/>
                <w:lang w:val="en-US" w:eastAsia="zh-CN"/>
              </w:rPr>
              <w:t xml:space="preserve">养护</w:t>
            </w:r>
            <w:r>
              <w:rPr>
                <w:rFonts w:hint="eastAsia"/>
                <w:color w:val="auto"/>
                <w:spacing w:val="-5"/>
                <w:sz w:val="21"/>
                <w:szCs w:val="21"/>
                <w:lang w:val="en-US"/>
              </w:rPr>
              <w:t xml:space="preserve">项目案例</w:t>
            </w:r>
            <w:r>
              <w:rPr>
                <w:rFonts w:hint="eastAsia"/>
                <w:color w:val="auto"/>
                <w:spacing w:val="-5"/>
                <w:sz w:val="21"/>
                <w:szCs w:val="21"/>
                <w:lang w:val="en-US"/>
              </w:rPr>
              <w:t xml:space="preserve">，每提供1份得3分，最高得9分。</w:t>
            </w:r>
            <w:r>
              <w:rPr>
                <w:rFonts w:hint="eastAsia"/>
                <w:color w:val="auto"/>
                <w:spacing w:val="-5"/>
                <w:sz w:val="21"/>
                <w:szCs w:val="21"/>
                <w:lang w:val="en-US" w:eastAsia="zh-CN"/>
              </w:rPr>
              <w:t xml:space="preserve">（提供合同扫描件上传至投标系统，</w:t>
            </w:r>
            <w:r>
              <w:rPr>
                <w:rFonts w:hint="eastAsia" w:ascii="宋体" w:hAnsi="宋体" w:eastAsia="宋体" w:cs="宋体"/>
                <w:b w:val="0"/>
                <w:bCs w:val="0"/>
                <w:color w:val="auto"/>
                <w:highlight w:val="none"/>
              </w:rPr>
              <w:t xml:space="preserve">时间以合同为准，合同内容须反映出相关信息否则不得分</w:t>
            </w:r>
            <w:r>
              <w:rPr>
                <w:rFonts w:hint="eastAsia"/>
                <w:color w:val="auto"/>
                <w:spacing w:val="-5"/>
                <w:sz w:val="21"/>
                <w:szCs w:val="21"/>
                <w:lang w:val="en-US" w:eastAsia="zh-CN"/>
              </w:rPr>
              <w:t xml:space="preserve">）</w:t>
            </w:r>
            <w:r/>
          </w:p>
        </w:tc>
        <w:tc>
          <w:tcPr>
            <w:tcBorders>
              <w:top w:val="single" w:color="808080" w:sz="6" w:space="0"/>
              <w:left w:val="single" w:color="808080" w:sz="6" w:space="0"/>
              <w:bottom w:val="none" w:color="000000" w:sz="4" w:space="0"/>
              <w:right w:val="single" w:color="808080" w:sz="6" w:space="0"/>
            </w:tcBorders>
            <w:tcW w:w="567" w:type="dxa"/>
            <w:vAlign w:val="center"/>
            <w:textDirection w:val="lrTb"/>
            <w:noWrap w:val="false"/>
          </w:tcPr>
          <w:p>
            <w:pPr>
              <w:pStyle w:val="1113"/>
              <w:ind w:left="105"/>
              <w:jc w:val="center"/>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9</w:t>
            </w:r>
            <w:r/>
          </w:p>
        </w:tc>
        <w:tc>
          <w:tcPr>
            <w:tcBorders>
              <w:top w:val="single" w:color="808080" w:sz="6" w:space="0"/>
              <w:left w:val="single" w:color="808080" w:sz="6" w:space="0"/>
              <w:bottom w:val="none" w:color="000000" w:sz="4" w:space="0"/>
              <w:right w:val="single" w:color="999999" w:sz="4" w:space="0"/>
            </w:tcBorders>
            <w:tcW w:w="821" w:type="dxa"/>
            <w:vAlign w:val="center"/>
            <w:textDirection w:val="lrTb"/>
            <w:noWrap w:val="false"/>
          </w:tcPr>
          <w:p>
            <w:pPr>
              <w:pStyle w:val="1113"/>
              <w:ind w:left="105"/>
              <w:jc w:val="center"/>
              <w:keepLines w:val="0"/>
              <w:keepNext w:val="0"/>
              <w:pageBreakBefore w:val="0"/>
              <w:spacing w:before="10"/>
              <w:widowControl w:val="off"/>
              <w:rPr>
                <w:color w:val="auto"/>
                <w:spacing w:val="-5"/>
                <w:sz w:val="21"/>
                <w:szCs w:val="21"/>
              </w:rPr>
            </w:pPr>
            <w:r>
              <w:rPr>
                <w:rFonts w:hint="eastAsia"/>
                <w:color w:val="auto"/>
                <w:spacing w:val="-5"/>
                <w:sz w:val="21"/>
                <w:szCs w:val="21"/>
              </w:rPr>
              <w:t xml:space="preserve">客观分</w:t>
            </w:r>
            <w:r/>
          </w:p>
        </w:tc>
      </w:tr>
      <w:tr>
        <w:trPr>
          <w:trHeight w:val="510"/>
        </w:trPr>
        <w:tc>
          <w:tcPr>
            <w:gridSpan w:val="5"/>
            <w:tcBorders>
              <w:top w:val="single" w:color="808080" w:sz="6" w:space="0"/>
              <w:left w:val="single" w:color="999999" w:sz="4" w:space="0"/>
              <w:bottom w:val="single" w:color="808080" w:sz="6" w:space="0"/>
              <w:right w:val="single" w:color="999999" w:sz="4" w:space="0"/>
            </w:tcBorders>
            <w:tcW w:w="9185" w:type="dxa"/>
            <w:vAlign w:val="center"/>
            <w:textDirection w:val="lrTb"/>
            <w:noWrap w:val="false"/>
          </w:tcPr>
          <w:p>
            <w:pPr>
              <w:pStyle w:val="1113"/>
              <w:ind w:left="105"/>
              <w:jc w:val="center"/>
              <w:keepLines w:val="0"/>
              <w:keepNext w:val="0"/>
              <w:pageBreakBefore w:val="0"/>
              <w:spacing w:before="10"/>
              <w:widowControl w:val="off"/>
              <w:rPr>
                <w:b/>
                <w:bCs/>
                <w:color w:val="auto"/>
                <w:spacing w:val="-3"/>
              </w:rPr>
            </w:pPr>
            <w:r>
              <w:rPr>
                <w:rFonts w:hint="eastAsia"/>
                <w:b/>
                <w:bCs/>
                <w:color w:val="auto"/>
                <w:spacing w:val="-3"/>
                <w:lang w:val="en-US"/>
              </w:rPr>
              <w:t xml:space="preserve">4</w:t>
            </w:r>
            <w:r>
              <w:rPr>
                <w:rFonts w:hint="eastAsia"/>
                <w:b/>
                <w:bCs/>
                <w:color w:val="auto"/>
                <w:spacing w:val="-3"/>
              </w:rPr>
              <w:t xml:space="preserve">.履约能力</w:t>
            </w:r>
            <w:r/>
          </w:p>
        </w:tc>
      </w:tr>
      <w:tr>
        <w:trPr>
          <w:trHeight w:val="1981"/>
        </w:trPr>
        <w:tc>
          <w:tcPr>
            <w:tcBorders>
              <w:top w:val="single" w:color="808080" w:sz="6" w:space="0"/>
              <w:left w:val="single" w:color="999999" w:sz="4" w:space="0"/>
              <w:bottom w:val="single" w:color="808080" w:sz="6" w:space="0"/>
              <w:right w:val="single" w:color="808080" w:sz="6" w:space="0"/>
            </w:tcBorders>
            <w:tcW w:w="572" w:type="dxa"/>
            <w:vAlign w:val="center"/>
            <w:textDirection w:val="lrTb"/>
            <w:noWrap w:val="false"/>
          </w:tcPr>
          <w:p>
            <w:pPr>
              <w:pStyle w:val="1113"/>
              <w:ind w:left="105"/>
              <w:jc w:val="center"/>
              <w:keepLines w:val="0"/>
              <w:keepNext w:val="0"/>
              <w:pageBreakBefore w:val="0"/>
              <w:spacing w:before="10"/>
              <w:widowControl w:val="off"/>
              <w:rPr>
                <w:color w:val="auto"/>
                <w:spacing w:val="-5"/>
                <w:sz w:val="21"/>
                <w:szCs w:val="21"/>
                <w:lang w:val="en-US"/>
              </w:rPr>
            </w:pPr>
            <w:r>
              <w:rPr>
                <w:color w:val="auto"/>
                <w:spacing w:val="-5"/>
                <w:sz w:val="21"/>
                <w:szCs w:val="21"/>
                <w:lang w:val="en-US"/>
              </w:rPr>
            </w:r>
            <w:r/>
          </w:p>
          <w:p>
            <w:pPr>
              <w:pStyle w:val="1113"/>
              <w:ind w:left="105"/>
              <w:jc w:val="center"/>
              <w:keepLines w:val="0"/>
              <w:keepNext w:val="0"/>
              <w:pageBreakBefore w:val="0"/>
              <w:spacing w:before="10"/>
              <w:widowControl w:val="off"/>
              <w:rPr>
                <w:color w:val="auto"/>
                <w:spacing w:val="-5"/>
                <w:sz w:val="21"/>
                <w:szCs w:val="21"/>
                <w:lang w:val="en-US"/>
              </w:rPr>
            </w:pPr>
            <w:r>
              <w:rPr>
                <w:rFonts w:hint="eastAsia"/>
                <w:color w:val="auto"/>
                <w:spacing w:val="-5"/>
                <w:sz w:val="21"/>
                <w:szCs w:val="21"/>
                <w:lang w:val="en-US"/>
              </w:rPr>
              <w:t xml:space="preserve">4.1</w:t>
            </w:r>
            <w:r/>
          </w:p>
        </w:tc>
        <w:tc>
          <w:tcPr>
            <w:shd w:val="clear" w:color="auto" w:fill="auto"/>
            <w:tcBorders>
              <w:top w:val="single" w:color="808080" w:sz="6" w:space="0"/>
              <w:left w:val="single" w:color="808080" w:sz="6" w:space="0"/>
              <w:bottom w:val="single" w:color="808080" w:sz="6" w:space="0"/>
              <w:right w:val="single" w:color="808080" w:sz="6" w:space="0"/>
            </w:tcBorders>
            <w:tcW w:w="992" w:type="dxa"/>
            <w:vAlign w:val="center"/>
            <w:textDirection w:val="lrTb"/>
            <w:noWrap w:val="false"/>
          </w:tcPr>
          <w:p>
            <w:pPr>
              <w:pStyle w:val="1113"/>
              <w:ind w:left="105"/>
              <w:jc w:val="center"/>
              <w:keepLines w:val="0"/>
              <w:keepNext w:val="0"/>
              <w:pageBreakBefore w:val="0"/>
              <w:spacing w:before="10"/>
              <w:widowControl w:val="off"/>
              <w:rPr>
                <w:rFonts w:hint="eastAsia"/>
                <w:color w:val="auto"/>
                <w:spacing w:val="-5"/>
                <w:sz w:val="21"/>
                <w:szCs w:val="21"/>
                <w:lang w:val="en-US"/>
              </w:rPr>
            </w:pPr>
            <w:r>
              <w:rPr>
                <w:rFonts w:hint="eastAsia" w:ascii="宋体" w:hAnsi="宋体" w:eastAsia="宋体" w:cs="宋体"/>
                <w:color w:val="auto"/>
                <w:highlight w:val="none"/>
              </w:rPr>
              <w:t xml:space="preserve">拟投入本项目人员</w:t>
            </w:r>
            <w:r/>
          </w:p>
        </w:tc>
        <w:tc>
          <w:tcPr>
            <w:shd w:val="clear" w:color="auto" w:fill="auto"/>
            <w:tcBorders>
              <w:top w:val="single" w:color="808080" w:sz="6" w:space="0"/>
              <w:left w:val="single" w:color="808080" w:sz="6" w:space="0"/>
              <w:bottom w:val="single" w:color="808080" w:sz="6" w:space="0"/>
              <w:right w:val="single" w:color="808080" w:sz="6" w:space="0"/>
            </w:tcBorders>
            <w:tcW w:w="6233" w:type="dxa"/>
            <w:vAlign w:val="center"/>
            <w:textDirection w:val="lrTb"/>
            <w:noWrap w:val="false"/>
          </w:tcPr>
          <w:p>
            <w:pPr>
              <w:ind w:left="105"/>
              <w:keepLines w:val="0"/>
              <w:keepNext w:val="0"/>
              <w:pageBreakBefore w:val="0"/>
              <w:spacing w:before="10"/>
              <w:widowControl w:val="off"/>
              <w:rPr>
                <w:rFonts w:ascii="宋体" w:hAnsi="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技术负责人具备工程类中级</w:t>
            </w:r>
            <w:r>
              <w:rPr>
                <w:rFonts w:hint="eastAsia" w:ascii="宋体" w:hAnsi="宋体" w:eastAsia="宋体" w:cs="宋体"/>
                <w:color w:val="auto"/>
                <w:highlight w:val="none"/>
                <w:lang w:val="en-US" w:eastAsia="zh-CN"/>
              </w:rPr>
              <w:t xml:space="preserve">职称的得1分，高级</w:t>
            </w:r>
            <w:r>
              <w:rPr>
                <w:rFonts w:hint="eastAsia" w:ascii="宋体" w:hAnsi="宋体" w:eastAsia="宋体" w:cs="宋体"/>
                <w:color w:val="auto"/>
                <w:highlight w:val="none"/>
              </w:rPr>
              <w:t xml:space="preserve">及以上职称的得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w:t>
            </w:r>
            <w:r/>
          </w:p>
          <w:p>
            <w:pPr>
              <w:ind w:left="105"/>
              <w:keepLines w:val="0"/>
              <w:keepNext w:val="0"/>
              <w:pageBreakBefore w:val="0"/>
              <w:spacing w:before="10"/>
              <w:widowControl w:val="off"/>
              <w:rPr>
                <w:rFonts w:ascii="宋体" w:hAnsi="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w:t>
            </w:r>
            <w:r>
              <w:rPr>
                <w:rFonts w:ascii="宋体" w:hAnsi="宋体" w:eastAsia="宋体" w:cs="宋体"/>
                <w:color w:val="auto"/>
                <w:highlight w:val="none"/>
              </w:rPr>
              <w:t xml:space="preserve">专职技术人员1名：</w:t>
            </w:r>
            <w:r>
              <w:rPr>
                <w:rFonts w:ascii="宋体" w:hAnsi="宋体" w:eastAsia="宋体" w:cs="宋体"/>
                <w:color w:val="auto"/>
                <w:spacing w:val="-1"/>
                <w:highlight w:val="none"/>
              </w:rPr>
              <w:t xml:space="preserve">具备</w:t>
            </w:r>
            <w:r>
              <w:rPr>
                <w:rFonts w:ascii="宋体" w:hAnsi="宋体" w:eastAsia="宋体" w:cs="宋体"/>
                <w:color w:val="auto"/>
                <w:highlight w:val="none"/>
              </w:rPr>
              <w:t xml:space="preserve">特种作业操作资格证（电工）证书</w:t>
            </w:r>
            <w:r>
              <w:rPr>
                <w:rFonts w:hint="eastAsia" w:ascii="宋体" w:hAnsi="宋体" w:eastAsia="宋体" w:cs="宋体"/>
                <w:color w:val="auto"/>
                <w:highlight w:val="none"/>
              </w:rPr>
              <w:t xml:space="preserve">的得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w:t>
            </w:r>
            <w:r/>
          </w:p>
          <w:p>
            <w:pPr>
              <w:ind w:left="105"/>
              <w:keepLines w:val="0"/>
              <w:keepNext w:val="0"/>
              <w:pageBreakBefore w:val="0"/>
              <w:spacing w:before="10"/>
              <w:widowControl w:val="off"/>
              <w:rPr>
                <w:rFonts w:hint="eastAsia" w:ascii="宋体" w:hAnsi="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、项目其他成员：供应商为本项目配备专职安全员（C类）、施工员、质量员、材料员各1人，得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分/人，本项最高得</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分</w:t>
            </w:r>
            <w:r/>
          </w:p>
          <w:p>
            <w:pPr>
              <w:pStyle w:val="1113"/>
              <w:ind w:left="105"/>
              <w:jc w:val="both"/>
              <w:keepLines w:val="0"/>
              <w:keepNext w:val="0"/>
              <w:pageBreakBefore w:val="0"/>
              <w:spacing w:before="10"/>
              <w:widowControl w:val="off"/>
              <w:rPr>
                <w:rFonts w:hint="eastAsia" w:eastAsia="宋体"/>
                <w:color w:val="auto"/>
                <w:spacing w:val="-5"/>
                <w:sz w:val="21"/>
                <w:szCs w:val="21"/>
                <w:lang w:val="en-US" w:eastAsia="zh-CN"/>
              </w:rPr>
            </w:pPr>
            <w:r>
              <w:rPr>
                <w:rFonts w:hint="eastAsia" w:ascii="宋体" w:hAnsi="宋体" w:eastAsia="宋体" w:cs="宋体"/>
                <w:color w:val="auto"/>
                <w:highlight w:val="none"/>
              </w:rPr>
              <w:t xml:space="preserve">（</w:t>
            </w:r>
            <w:r>
              <w:rPr>
                <w:rFonts w:hint="eastAsia" w:ascii="宋体" w:hAnsi="宋体" w:eastAsia="宋体" w:cs="宋体"/>
                <w:color w:val="auto"/>
                <w:highlight w:val="none"/>
              </w:rPr>
              <w:t xml:space="preserve">以上人员不重复计分，提供有效期内行政主管部门颁发的证书复印件加盖公章</w:t>
            </w:r>
            <w:r>
              <w:rPr>
                <w:rFonts w:hint="eastAsia" w:ascii="宋体" w:hAnsi="宋体" w:eastAsia="宋体" w:cs="宋体"/>
                <w:color w:val="auto"/>
                <w:highlight w:val="none"/>
              </w:rPr>
              <w:t xml:space="preserve">，并提供投标人近半年（</w:t>
            </w:r>
            <w:r>
              <w:rPr>
                <w:rFonts w:ascii="宋体" w:hAnsi="宋体" w:cs="宋体"/>
                <w:color w:val="auto"/>
                <w:highlight w:val="none"/>
              </w:rPr>
              <w:t xml:space="preserve">202</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eastAsia="zh-CN"/>
              </w:rPr>
              <w:t xml:space="preserve">—</w:t>
            </w:r>
            <w:r>
              <w:rPr>
                <w:rFonts w:ascii="宋体" w:hAnsi="宋体" w:cs="宋体"/>
                <w:color w:val="auto"/>
                <w:highlight w:val="none"/>
              </w:rPr>
              <w:t xml:space="preserve">202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val="en-US" w:eastAsia="zh-CN"/>
              </w:rPr>
              <w:t xml:space="preserve">任意一个月</w:t>
            </w:r>
            <w:r>
              <w:rPr>
                <w:rFonts w:hint="eastAsia" w:ascii="宋体" w:hAnsi="宋体" w:eastAsia="宋体" w:cs="宋体"/>
                <w:color w:val="auto"/>
                <w:highlight w:val="none"/>
              </w:rPr>
              <w:t xml:space="preserve">为其缴纳的</w:t>
            </w:r>
            <w:r>
              <w:rPr>
                <w:rFonts w:hint="eastAsia" w:cs="宋体"/>
                <w:color w:val="auto"/>
                <w:highlight w:val="none"/>
                <w:lang w:val="en-US" w:eastAsia="zh-CN"/>
              </w:rPr>
              <w:t xml:space="preserve">社保</w:t>
            </w:r>
            <w:r>
              <w:rPr>
                <w:rFonts w:hint="eastAsia" w:ascii="宋体" w:hAnsi="宋体" w:eastAsia="宋体" w:cs="宋体"/>
                <w:color w:val="auto"/>
                <w:highlight w:val="none"/>
              </w:rPr>
              <w:t xml:space="preserve">证明材料并加盖社保中</w:t>
            </w:r>
            <w:r>
              <w:rPr>
                <w:rFonts w:hint="eastAsia" w:ascii="宋体" w:hAnsi="宋体" w:eastAsia="宋体" w:cs="宋体"/>
                <w:color w:val="auto"/>
                <w:highlight w:val="none"/>
                <w:lang w:eastAsia="zh-CN"/>
              </w:rPr>
              <w:t xml:space="preserve">心公</w:t>
            </w:r>
            <w:r>
              <w:rPr>
                <w:rFonts w:hint="eastAsia" w:ascii="宋体" w:hAnsi="宋体" w:eastAsia="宋体" w:cs="宋体"/>
                <w:color w:val="auto"/>
                <w:highlight w:val="none"/>
              </w:rPr>
              <w:t xml:space="preserve">章或社保中心参保缴费证明电子专用章并加盖投标人公章）</w:t>
            </w:r>
            <w:r/>
          </w:p>
        </w:tc>
        <w:tc>
          <w:tcPr>
            <w:tcBorders>
              <w:top w:val="single" w:color="808080" w:sz="6" w:space="0"/>
              <w:left w:val="single" w:color="808080" w:sz="6" w:space="0"/>
              <w:bottom w:val="single" w:color="808080" w:sz="6" w:space="0"/>
              <w:right w:val="single" w:color="808080" w:sz="6" w:space="0"/>
            </w:tcBorders>
            <w:tcW w:w="567" w:type="dxa"/>
            <w:vAlign w:val="center"/>
            <w:textDirection w:val="lrTb"/>
            <w:noWrap w:val="false"/>
          </w:tcPr>
          <w:p>
            <w:pPr>
              <w:pStyle w:val="1113"/>
              <w:ind w:left="105"/>
              <w:jc w:val="center"/>
              <w:keepLines w:val="0"/>
              <w:keepNext w:val="0"/>
              <w:pageBreakBefore w:val="0"/>
              <w:spacing w:before="10"/>
              <w:widowControl w:val="off"/>
              <w:rPr>
                <w:rFonts w:hint="eastAsia" w:eastAsia="宋体"/>
                <w:color w:val="auto"/>
                <w:spacing w:val="-5"/>
                <w:sz w:val="21"/>
                <w:szCs w:val="21"/>
                <w:lang w:val="en-US" w:eastAsia="zh-CN"/>
              </w:rPr>
            </w:pPr>
            <w:r>
              <w:rPr>
                <w:rFonts w:hint="eastAsia"/>
                <w:color w:val="auto"/>
                <w:spacing w:val="-5"/>
                <w:sz w:val="21"/>
                <w:szCs w:val="21"/>
                <w:lang w:val="en-US" w:eastAsia="zh-CN"/>
              </w:rPr>
              <w:t xml:space="preserve">8</w:t>
            </w:r>
            <w:r/>
          </w:p>
        </w:tc>
        <w:tc>
          <w:tcPr>
            <w:tcBorders>
              <w:top w:val="single" w:color="808080" w:sz="6" w:space="0"/>
              <w:left w:val="single" w:color="808080" w:sz="6" w:space="0"/>
              <w:bottom w:val="single" w:color="808080" w:sz="6" w:space="0"/>
              <w:right w:val="single" w:color="999999" w:sz="4" w:space="0"/>
            </w:tcBorders>
            <w:tcW w:w="821" w:type="dxa"/>
            <w:vAlign w:val="center"/>
            <w:textDirection w:val="lrTb"/>
            <w:noWrap w:val="false"/>
          </w:tcPr>
          <w:p>
            <w:pPr>
              <w:pStyle w:val="1113"/>
              <w:ind w:left="105"/>
              <w:jc w:val="center"/>
              <w:keepLines w:val="0"/>
              <w:keepNext w:val="0"/>
              <w:pageBreakBefore w:val="0"/>
              <w:spacing w:before="10"/>
              <w:widowControl w:val="off"/>
              <w:rPr>
                <w:color w:val="auto"/>
                <w:spacing w:val="-5"/>
                <w:sz w:val="21"/>
                <w:szCs w:val="21"/>
              </w:rPr>
            </w:pPr>
            <w:r>
              <w:rPr>
                <w:rFonts w:hint="eastAsia"/>
                <w:color w:val="auto"/>
                <w:spacing w:val="-5"/>
                <w:sz w:val="21"/>
                <w:szCs w:val="21"/>
              </w:rPr>
              <w:t xml:space="preserve">客观分</w:t>
            </w:r>
            <w:r/>
          </w:p>
        </w:tc>
      </w:tr>
      <w:tr>
        <w:trPr>
          <w:trHeight w:val="1110"/>
        </w:trPr>
        <w:tc>
          <w:tcPr>
            <w:tcBorders>
              <w:top w:val="single" w:color="808080" w:sz="6" w:space="0"/>
              <w:left w:val="single" w:color="999999" w:sz="4" w:space="0"/>
              <w:bottom w:val="single" w:color="808080" w:sz="6" w:space="0"/>
              <w:right w:val="single" w:color="808080" w:sz="6" w:space="0"/>
            </w:tcBorders>
            <w:tcW w:w="572" w:type="dxa"/>
            <w:vAlign w:val="center"/>
            <w:textDirection w:val="lrTb"/>
            <w:noWrap w:val="false"/>
          </w:tcPr>
          <w:p>
            <w:pPr>
              <w:pStyle w:val="1113"/>
              <w:ind w:left="105"/>
              <w:jc w:val="center"/>
              <w:keepLines w:val="0"/>
              <w:keepNext w:val="0"/>
              <w:pageBreakBefore w:val="0"/>
              <w:spacing w:before="10"/>
              <w:widowControl w:val="off"/>
              <w:rPr>
                <w:rFonts w:hint="default" w:eastAsia="宋体"/>
                <w:color w:val="auto"/>
                <w:spacing w:val="-5"/>
                <w:sz w:val="21"/>
                <w:szCs w:val="21"/>
                <w:lang w:val="en-US" w:eastAsia="zh-CN"/>
              </w:rPr>
            </w:pPr>
            <w:r>
              <w:rPr>
                <w:rFonts w:hint="eastAsia"/>
                <w:color w:val="auto"/>
                <w:spacing w:val="-5"/>
                <w:sz w:val="21"/>
                <w:szCs w:val="21"/>
                <w:lang w:val="en-US" w:eastAsia="zh-CN"/>
              </w:rPr>
              <w:t xml:space="preserve">4.2</w:t>
            </w:r>
            <w:r/>
          </w:p>
        </w:tc>
        <w:tc>
          <w:tcPr>
            <w:shd w:val="clear" w:color="auto" w:fill="auto"/>
            <w:tcBorders>
              <w:top w:val="single" w:color="808080" w:sz="6" w:space="0"/>
              <w:left w:val="single" w:color="808080" w:sz="6" w:space="0"/>
              <w:bottom w:val="single" w:color="808080" w:sz="6" w:space="0"/>
              <w:right w:val="single" w:color="808080" w:sz="6" w:space="0"/>
            </w:tcBorders>
            <w:tcW w:w="992" w:type="dxa"/>
            <w:vAlign w:val="center"/>
            <w:textDirection w:val="lrTb"/>
            <w:noWrap w:val="false"/>
          </w:tcPr>
          <w:p>
            <w:pPr>
              <w:jc w:val="center"/>
              <w:rPr>
                <w:rFonts w:hint="eastAsia"/>
                <w:color w:val="auto"/>
                <w:spacing w:val="-5"/>
                <w:sz w:val="21"/>
                <w:szCs w:val="21"/>
                <w:lang w:val="en-US"/>
              </w:rPr>
            </w:pPr>
            <w:r>
              <w:rPr>
                <w:rFonts w:hint="eastAsia" w:ascii="宋体" w:hAnsi="宋体" w:eastAsia="宋体" w:cs="宋体"/>
                <w:color w:val="auto"/>
                <w:highlight w:val="none"/>
              </w:rPr>
              <w:t xml:space="preserve">拟投入本项目的设备</w:t>
            </w:r>
            <w:r/>
          </w:p>
        </w:tc>
        <w:tc>
          <w:tcPr>
            <w:shd w:val="clear" w:color="auto" w:fill="auto"/>
            <w:tcBorders>
              <w:top w:val="single" w:color="808080" w:sz="6" w:space="0"/>
              <w:left w:val="single" w:color="808080" w:sz="6" w:space="0"/>
              <w:bottom w:val="single" w:color="808080" w:sz="6" w:space="0"/>
              <w:right w:val="single" w:color="808080" w:sz="6" w:space="0"/>
            </w:tcBorders>
            <w:tcW w:w="6233" w:type="dxa"/>
            <w:vAlign w:val="center"/>
            <w:textDirection w:val="lrTb"/>
            <w:noWrap w:val="false"/>
          </w:tcPr>
          <w:p>
            <w:pPr>
              <w:pStyle w:val="892"/>
              <w:ind w:firstLine="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供应商拟投入本项目的设备：</w:t>
            </w:r>
            <w:r/>
          </w:p>
          <w:p>
            <w:pPr>
              <w:pStyle w:val="892"/>
              <w:ind w:firstLine="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1、热熔手推车，每台0.5分，最多1.5分；</w:t>
            </w:r>
            <w:r/>
          </w:p>
          <w:p>
            <w:pPr>
              <w:pStyle w:val="892"/>
              <w:ind w:firstLine="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2、热熔釜，每台0.5分，最多1.5分；</w:t>
            </w:r>
            <w:r/>
          </w:p>
          <w:p>
            <w:pPr>
              <w:pStyle w:val="892"/>
              <w:ind w:firstLine="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3、发电机，每台0.5分，最多1.5分；</w:t>
            </w:r>
            <w:r/>
          </w:p>
          <w:p>
            <w:pPr>
              <w:pStyle w:val="892"/>
              <w:ind w:firstLine="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4、折边机，每台0.5分，最多1分；</w:t>
            </w:r>
            <w:r/>
          </w:p>
          <w:p>
            <w:pPr>
              <w:pStyle w:val="892"/>
              <w:ind w:firstLine="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5、刻字机，每台0.5分，最多1分；</w:t>
            </w:r>
            <w:r/>
          </w:p>
          <w:p>
            <w:pPr>
              <w:pStyle w:val="892"/>
              <w:ind w:firstLine="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6、打磨机，每台0.5分，最多1分；</w:t>
            </w:r>
            <w:r/>
          </w:p>
          <w:p>
            <w:pPr>
              <w:pStyle w:val="892"/>
              <w:ind w:firstLine="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7、汽车起重机，每台0.5分，最多1分;</w:t>
            </w:r>
            <w:r/>
          </w:p>
          <w:p>
            <w:pPr>
              <w:pStyle w:val="892"/>
              <w:ind w:firstLine="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8、车载式升降机，每台0.5分，最多1分</w:t>
            </w:r>
            <w:r/>
          </w:p>
          <w:p>
            <w:pPr>
              <w:pStyle w:val="892"/>
              <w:ind w:firstLine="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9、回收型高压水除线机，每台0.5分，最多1分；</w:t>
            </w:r>
            <w:r/>
          </w:p>
          <w:p>
            <w:pPr>
              <w:pStyle w:val="892"/>
              <w:ind w:firstLine="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10、逆反射系数测定仪，每台1分，最多1分；</w:t>
            </w:r>
            <w:r/>
          </w:p>
          <w:p>
            <w:pPr>
              <w:pStyle w:val="892"/>
              <w:ind w:firstLine="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11、工程作业车，每台0.5分，最多2分；</w:t>
            </w:r>
            <w:r/>
          </w:p>
          <w:p>
            <w:pPr>
              <w:pStyle w:val="892"/>
              <w:ind w:firstLine="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12、临时信号灯，每台0.5分，最多2.5分；</w:t>
            </w:r>
            <w:r/>
          </w:p>
          <w:p>
            <w:pPr>
              <w:pStyle w:val="892"/>
              <w:ind w:firstLine="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13、手推式雪滚，每台1分，最多得3分；</w:t>
            </w:r>
            <w:r/>
          </w:p>
          <w:p>
            <w:pPr>
              <w:pStyle w:val="892"/>
              <w:ind w:firstLine="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14、车载式雪滚，每台1分，最多得2分。</w:t>
            </w:r>
            <w:r/>
          </w:p>
          <w:p>
            <w:pPr>
              <w:pStyle w:val="892"/>
              <w:ind w:firstLine="0"/>
              <w:rPr>
                <w:rFonts w:hint="eastAsia"/>
                <w:color w:val="auto"/>
                <w:spacing w:val="-5"/>
                <w:sz w:val="21"/>
                <w:szCs w:val="21"/>
                <w:lang w:val="en-US" w:eastAsia="zh-CN"/>
              </w:rPr>
            </w:pPr>
            <w:r>
              <w:rPr>
                <w:rFonts w:hint="eastAsia" w:ascii="宋体" w:hAnsi="宋体" w:eastAsia="宋体" w:cs="宋体"/>
                <w:b w:val="0"/>
                <w:bCs w:val="0"/>
                <w:color w:val="auto"/>
                <w:highlight w:val="none"/>
              </w:rPr>
              <w:t xml:space="preserve">（以上车辆或设备需为供应商自有或者租赁：自有车辆需提供购置发票及车辆行驶证复印件加盖公章；自有设备需提供购置发票复印件加盖公章；租赁车辆需提供租赁合同、租赁公司的购置发票及车辆行驶证复印件加盖公章；租赁设备需提供租赁合同、租赁公司的购置发票复印件加盖公章；未按要求提供的不得分）</w:t>
            </w:r>
            <w:r/>
          </w:p>
        </w:tc>
        <w:tc>
          <w:tcPr>
            <w:tcBorders>
              <w:top w:val="single" w:color="808080" w:sz="6" w:space="0"/>
              <w:left w:val="single" w:color="808080" w:sz="6" w:space="0"/>
              <w:bottom w:val="single" w:color="808080" w:sz="6" w:space="0"/>
              <w:right w:val="single" w:color="808080" w:sz="6" w:space="0"/>
            </w:tcBorders>
            <w:tcW w:w="567" w:type="dxa"/>
            <w:vAlign w:val="center"/>
            <w:textDirection w:val="lrTb"/>
            <w:noWrap w:val="false"/>
          </w:tcPr>
          <w:p>
            <w:pPr>
              <w:jc w:val="center"/>
              <w:rPr>
                <w:rFonts w:hint="eastAsia"/>
                <w:color w:val="auto"/>
                <w:spacing w:val="-5"/>
                <w:sz w:val="21"/>
                <w:szCs w:val="21"/>
                <w:lang w:val="en-US"/>
              </w:rPr>
            </w:pPr>
            <w:r>
              <w:rPr>
                <w:rFonts w:hint="eastAsia" w:ascii="宋体" w:hAnsi="宋体" w:cs="宋体"/>
                <w:color w:val="auto"/>
                <w:highlight w:val="none"/>
              </w:rPr>
              <w:t xml:space="preserve">2</w:t>
            </w:r>
            <w:r>
              <w:rPr>
                <w:rFonts w:hint="eastAsia" w:ascii="宋体" w:hAnsi="宋体" w:eastAsia="宋体" w:cs="宋体"/>
                <w:color w:val="auto"/>
                <w:highlight w:val="none"/>
                <w:lang w:val="en-US" w:eastAsia="zh-CN"/>
              </w:rPr>
              <w:t xml:space="preserve">1</w:t>
            </w:r>
            <w:r/>
          </w:p>
        </w:tc>
        <w:tc>
          <w:tcPr>
            <w:tcBorders>
              <w:top w:val="single" w:color="808080" w:sz="6" w:space="0"/>
              <w:left w:val="single" w:color="808080" w:sz="6" w:space="0"/>
              <w:bottom w:val="single" w:color="808080" w:sz="6" w:space="0"/>
              <w:right w:val="single" w:color="999999" w:sz="4" w:space="0"/>
            </w:tcBorders>
            <w:tcW w:w="821" w:type="dxa"/>
            <w:vAlign w:val="center"/>
            <w:textDirection w:val="lrTb"/>
            <w:noWrap w:val="false"/>
          </w:tcPr>
          <w:p>
            <w:pPr>
              <w:jc w:val="center"/>
              <w:rPr>
                <w:rFonts w:hint="eastAsia"/>
                <w:color w:val="auto"/>
                <w:spacing w:val="-5"/>
                <w:sz w:val="21"/>
                <w:szCs w:val="21"/>
              </w:rPr>
            </w:pPr>
            <w:r>
              <w:rPr>
                <w:rFonts w:hint="eastAsia"/>
                <w:color w:val="auto"/>
                <w:spacing w:val="-5"/>
                <w:sz w:val="21"/>
                <w:szCs w:val="21"/>
              </w:rPr>
              <w:t xml:space="preserve">客观分</w:t>
            </w:r>
            <w:r/>
          </w:p>
        </w:tc>
      </w:tr>
      <w:tr>
        <w:trPr>
          <w:trHeight w:val="315"/>
        </w:trPr>
        <w:tc>
          <w:tcPr>
            <w:tcBorders>
              <w:top w:val="single" w:color="808080" w:sz="6" w:space="0"/>
              <w:left w:val="single" w:color="999999" w:sz="4" w:space="0"/>
              <w:bottom w:val="single" w:color="808080" w:sz="6" w:space="0"/>
              <w:right w:val="single" w:color="808080" w:sz="6" w:space="0"/>
            </w:tcBorders>
            <w:tcW w:w="572" w:type="dxa"/>
            <w:textDirection w:val="lrTb"/>
            <w:noWrap w:val="false"/>
          </w:tcPr>
          <w:p>
            <w:pPr>
              <w:pStyle w:val="1113"/>
              <w:ind w:left="105"/>
              <w:jc w:val="center"/>
              <w:keepLines w:val="0"/>
              <w:keepNext w:val="0"/>
              <w:pageBreakBefore w:val="0"/>
              <w:spacing w:before="10"/>
              <w:widowControl w:val="off"/>
              <w:rPr>
                <w:color w:val="auto"/>
                <w:spacing w:val="-5"/>
                <w:sz w:val="21"/>
                <w:szCs w:val="21"/>
              </w:rPr>
            </w:pPr>
            <w:r>
              <w:rPr>
                <w:rFonts w:hint="eastAsia"/>
                <w:color w:val="auto"/>
                <w:spacing w:val="-5"/>
                <w:sz w:val="21"/>
                <w:szCs w:val="21"/>
              </w:rPr>
              <w:t xml:space="preserve">合计</w:t>
            </w:r>
            <w:r/>
          </w:p>
        </w:tc>
        <w:tc>
          <w:tcPr>
            <w:gridSpan w:val="2"/>
            <w:tcBorders>
              <w:top w:val="single" w:color="808080" w:sz="6" w:space="0"/>
              <w:left w:val="single" w:color="808080" w:sz="6" w:space="0"/>
              <w:bottom w:val="single" w:color="808080" w:sz="6" w:space="0"/>
              <w:right w:val="single" w:color="808080" w:sz="6" w:space="0"/>
            </w:tcBorders>
            <w:tcW w:w="7225" w:type="dxa"/>
            <w:textDirection w:val="lrTb"/>
            <w:noWrap w:val="false"/>
          </w:tcPr>
          <w:p>
            <w:pPr>
              <w:pStyle w:val="1113"/>
              <w:ind w:left="105"/>
              <w:keepLines w:val="0"/>
              <w:keepNext w:val="0"/>
              <w:pageBreakBefore w:val="0"/>
              <w:spacing w:before="10"/>
              <w:widowControl w:val="off"/>
              <w:rPr>
                <w:color w:val="auto"/>
                <w:spacing w:val="-5"/>
                <w:sz w:val="21"/>
                <w:szCs w:val="21"/>
              </w:rPr>
            </w:pPr>
            <w:r>
              <w:rPr>
                <w:color w:val="auto"/>
                <w:spacing w:val="-5"/>
                <w:sz w:val="21"/>
                <w:szCs w:val="21"/>
              </w:rPr>
            </w:r>
            <w:r/>
          </w:p>
        </w:tc>
        <w:tc>
          <w:tcPr>
            <w:gridSpan w:val="2"/>
            <w:tcBorders>
              <w:top w:val="single" w:color="808080" w:sz="6" w:space="0"/>
              <w:left w:val="single" w:color="808080" w:sz="6" w:space="0"/>
              <w:bottom w:val="single" w:color="808080" w:sz="6" w:space="0"/>
              <w:right w:val="single" w:color="999999" w:sz="4" w:space="0"/>
            </w:tcBorders>
            <w:tcW w:w="1388" w:type="dxa"/>
            <w:vAlign w:val="center"/>
            <w:textDirection w:val="lrTb"/>
            <w:noWrap w:val="false"/>
          </w:tcPr>
          <w:p>
            <w:pPr>
              <w:pStyle w:val="1113"/>
              <w:ind w:left="105"/>
              <w:jc w:val="center"/>
              <w:keepLines w:val="0"/>
              <w:keepNext w:val="0"/>
              <w:pageBreakBefore w:val="0"/>
              <w:spacing w:before="10"/>
              <w:widowControl w:val="off"/>
              <w:rPr>
                <w:color w:val="auto"/>
                <w:spacing w:val="-5"/>
                <w:sz w:val="21"/>
                <w:szCs w:val="21"/>
              </w:rPr>
            </w:pPr>
            <w:r>
              <w:rPr>
                <w:rFonts w:hint="eastAsia"/>
                <w:color w:val="auto"/>
                <w:spacing w:val="-5"/>
                <w:sz w:val="21"/>
                <w:szCs w:val="21"/>
              </w:rPr>
              <w:t xml:space="preserve">100分</w:t>
            </w:r>
            <w:r/>
          </w:p>
        </w:tc>
      </w:tr>
    </w:tbl>
    <w:p>
      <w:pPr>
        <w:pStyle w:val="891"/>
        <w:ind w:left="0" w:right="220" w:firstLine="422"/>
        <w:jc w:val="both"/>
        <w:spacing w:before="24" w:line="312" w:lineRule="auto"/>
        <w:rPr>
          <w:rFonts w:hint="eastAsia" w:ascii="宋体" w:hAnsi="宋体" w:eastAsia="宋体" w:cs="宋体"/>
          <w:b/>
          <w:bCs/>
          <w:color w:val="auto"/>
          <w:lang w:eastAsia="zh-CN"/>
        </w:rPr>
      </w:pPr>
      <w:r>
        <w:rPr>
          <w:rFonts w:hint="eastAsia" w:ascii="宋体" w:hAnsi="宋体" w:eastAsia="宋体" w:cs="宋体"/>
          <w:b/>
          <w:bCs/>
          <w:color w:val="auto"/>
          <w:lang w:eastAsia="zh-CN"/>
        </w:rPr>
        <w:t xml:space="preserve">说明</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firstLine="420"/>
        <w:spacing w:line="360" w:lineRule="auto"/>
        <w:rPr>
          <w:rFonts w:hint="eastAsia" w:ascii="宋体" w:hAnsi="宋体" w:eastAsia="宋体" w:cs="宋体"/>
          <w:color w:val="auto"/>
          <w:szCs w:val="21"/>
        </w:rPr>
        <w:outlineLvl w:val="1"/>
      </w:pPr>
      <w:r/>
      <w:bookmarkStart w:id="23" w:name="_Toc24494"/>
      <w:r>
        <w:rPr>
          <w:rFonts w:hint="eastAsia" w:ascii="宋体" w:hAnsi="宋体" w:eastAsia="宋体" w:cs="宋体"/>
          <w:color w:val="auto"/>
          <w:szCs w:val="21"/>
        </w:rPr>
        <w:t xml:space="preserve">2、小微型企业价格扣除</w:t>
      </w:r>
      <w:bookmarkEnd w:id="23"/>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本项目对小型和微型企业产品给予10%的扣除价格（工程为5%），对联合投标企业产品的价格给予4%的扣除（联合协议中约定，小型、微型企业的协议合同金额占到联合体协议合同总金额30%以上的，可给予联合体4%的价格扣除），用扣除后的价格参与评审。</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（2）供应商需按照招标文件的要求提供相应的《中小企业声明函》。</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（3）企业标准请参照《关于印发中小企业划型标准规定的通知》（工信部联企业[2011]300号）文件规定自行填写。</w:t>
      </w:r>
      <w:r/>
    </w:p>
    <w:p>
      <w:pPr>
        <w:ind w:firstLine="420"/>
        <w:spacing w:line="360" w:lineRule="auto"/>
        <w:rPr>
          <w:rFonts w:hint="eastAsia" w:ascii="宋体" w:hAnsi="宋体" w:eastAsia="宋体" w:cs="宋体"/>
          <w:color w:val="auto"/>
          <w:szCs w:val="21"/>
        </w:rPr>
        <w:outlineLvl w:val="1"/>
      </w:pPr>
      <w:r/>
      <w:bookmarkStart w:id="24" w:name="_Toc15530"/>
      <w:r>
        <w:rPr>
          <w:rFonts w:hint="eastAsia" w:ascii="宋体" w:hAnsi="宋体" w:eastAsia="宋体" w:cs="宋体"/>
          <w:color w:val="auto"/>
          <w:szCs w:val="21"/>
        </w:rPr>
        <w:t xml:space="preserve">3、残疾人福利单位价格扣除</w:t>
      </w:r>
      <w:bookmarkEnd w:id="24"/>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（1）本项目对残疾人福利性单位视同小型、微型企业，给予10%的价格扣除，用扣除后的价格参与评审。</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（2）残疾人福利单位需按照招标文件的要求提供《残疾人福利性单位声明函》。</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（3）残疾人福利单位标准请参照《关于促进残疾人就业政府采购政策的通知》（财库〔2017〕141号）。</w:t>
      </w:r>
      <w:r/>
    </w:p>
    <w:p>
      <w:pPr>
        <w:ind w:firstLine="420"/>
        <w:spacing w:line="360" w:lineRule="auto"/>
        <w:rPr>
          <w:rFonts w:hint="eastAsia" w:ascii="宋体" w:hAnsi="宋体" w:eastAsia="宋体" w:cs="宋体"/>
          <w:color w:val="auto"/>
          <w:szCs w:val="21"/>
        </w:rPr>
        <w:outlineLvl w:val="1"/>
      </w:pPr>
      <w:r/>
      <w:bookmarkStart w:id="25" w:name="_Toc14957"/>
      <w:r>
        <w:rPr>
          <w:rFonts w:hint="eastAsia" w:ascii="宋体" w:hAnsi="宋体" w:eastAsia="宋体" w:cs="宋体"/>
          <w:color w:val="auto"/>
          <w:szCs w:val="21"/>
        </w:rPr>
        <w:t xml:space="preserve">4、监狱和戒毒企业价格扣除</w:t>
      </w:r>
      <w:bookmarkEnd w:id="25"/>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（1）本项目对监狱和戒毒企业（简称监狱企业）视同小型、微型企业，给予10%的价格扣除，用扣除后的价格参与评审。</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（3）监狱企业标准请参照《关于政府采购支持监狱企业发展有关问题的通知》（财库[2014]68号）。</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5、残疾人福利单位、监狱企业属于小型、微型企业的，不重复享受政策。</w:t>
      </w:r>
      <w:r/>
    </w:p>
    <w:p>
      <w:pPr>
        <w:ind w:firstLine="420"/>
        <w:spacing w:line="360" w:lineRule="auto"/>
        <w:rPr>
          <w:rFonts w:hint="eastAsia" w:ascii="宋体" w:hAnsi="宋体" w:eastAsia="宋体" w:cs="宋体"/>
          <w:color w:val="auto"/>
          <w:szCs w:val="21"/>
        </w:rPr>
        <w:outlineLvl w:val="1"/>
      </w:pPr>
      <w:r/>
      <w:bookmarkStart w:id="26" w:name="_Toc23339"/>
      <w:r>
        <w:rPr>
          <w:rFonts w:hint="eastAsia" w:ascii="宋体" w:hAnsi="宋体" w:eastAsia="宋体" w:cs="宋体"/>
          <w:color w:val="auto"/>
          <w:szCs w:val="21"/>
        </w:rPr>
        <w:t xml:space="preserve">6、评标委员会不保证有效报价最低的投标供应商中标。</w:t>
      </w:r>
      <w:bookmarkEnd w:id="26"/>
      <w:r/>
      <w:r/>
    </w:p>
    <w:p>
      <w:pPr>
        <w:ind w:firstLine="422"/>
        <w:spacing w:line="360" w:lineRule="auto"/>
        <w:rPr>
          <w:rFonts w:hint="eastAsia" w:ascii="宋体" w:hAnsi="宋体" w:eastAsia="宋体" w:cs="宋体"/>
          <w:b/>
          <w:bCs/>
          <w:color w:val="auto"/>
          <w:szCs w:val="21"/>
          <w:u w:val="single"/>
        </w:rPr>
      </w:pPr>
      <w:r>
        <w:rPr>
          <w:rFonts w:hint="eastAsia" w:ascii="宋体" w:hAnsi="宋体" w:eastAsia="宋体" w:cs="宋体"/>
          <w:b/>
          <w:bCs/>
          <w:color w:val="auto"/>
          <w:szCs w:val="21"/>
          <w:u w:val="single"/>
        </w:rPr>
        <w:t xml:space="preserve">7、投标时上传的相关证明，在中标后需提供原件至招标代理公司进行核验，若投标供应商提供虚假资料，一经查实按弄虚作假处理废除中标资格。</w:t>
      </w:r>
      <w:r/>
    </w:p>
    <w:p>
      <w:pPr>
        <w:jc w:val="left"/>
        <w:widowControl/>
        <w:rPr>
          <w:rFonts w:hint="eastAsia" w:ascii="宋体" w:hAnsi="宋体" w:eastAsia="宋体" w:cs="宋体"/>
          <w:b/>
          <w:bCs/>
          <w:color w:val="auto"/>
        </w:rPr>
      </w:pPr>
      <w:r>
        <w:rPr>
          <w:rFonts w:hint="eastAsia" w:ascii="宋体" w:hAnsi="宋体" w:eastAsia="宋体" w:cs="宋体"/>
          <w:b/>
          <w:bCs/>
          <w:color w:val="auto"/>
        </w:rPr>
        <w:br w:type="page" w:clear="all"/>
      </w:r>
      <w:r/>
    </w:p>
    <w:p>
      <w:pPr>
        <w:pStyle w:val="954"/>
        <w:ind w:left="737" w:firstLine="0"/>
        <w:jc w:val="center"/>
        <w:keepLines w:val="0"/>
        <w:keepNext w:val="0"/>
        <w:pageBreakBefore w:val="0"/>
        <w:spacing w:line="360" w:lineRule="auto"/>
        <w:widowControl w:val="off"/>
        <w:rPr>
          <w:rFonts w:hint="eastAsia" w:ascii="宋体" w:hAnsi="宋体" w:eastAsia="宋体" w:cs="宋体"/>
          <w:b/>
          <w:color w:val="auto"/>
          <w:sz w:val="32"/>
          <w:szCs w:val="32"/>
        </w:rPr>
        <w:outlineLvl w:val="0"/>
      </w:pPr>
      <w:r/>
      <w:bookmarkStart w:id="27" w:name="_Toc25165"/>
      <w:r>
        <w:rPr>
          <w:rFonts w:hint="eastAsia" w:ascii="宋体" w:hAnsi="宋体" w:eastAsia="宋体" w:cs="宋体"/>
          <w:b/>
          <w:color w:val="auto"/>
          <w:sz w:val="32"/>
          <w:szCs w:val="32"/>
        </w:rPr>
        <w:t xml:space="preserve">第四章采购需求</w:t>
      </w:r>
      <w:bookmarkEnd w:id="27"/>
      <w:r/>
      <w:r/>
    </w:p>
    <w:p>
      <w:pPr>
        <w:jc w:val="left"/>
        <w:spacing w:line="440" w:lineRule="exact"/>
        <w:widowControl/>
        <w:rPr>
          <w:rFonts w:hint="eastAsia" w:ascii="宋体" w:hAnsi="宋体" w:cs="宋体"/>
          <w:b/>
          <w:iCs/>
          <w:color w:val="auto"/>
          <w:szCs w:val="21"/>
          <w:highlight w:val="none"/>
        </w:rPr>
      </w:pPr>
      <w:r/>
      <w:bookmarkStart w:id="28" w:name="_Toc10886"/>
      <w:r>
        <w:rPr>
          <w:rFonts w:hint="eastAsia" w:ascii="宋体" w:hAnsi="宋体" w:eastAsia="宋体" w:cs="宋体"/>
          <w:b/>
          <w:iCs/>
          <w:color w:val="auto"/>
          <w:szCs w:val="21"/>
          <w:highlight w:val="none"/>
        </w:rPr>
        <w:t xml:space="preserve">一、项目概况</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项目名称：江宁区东山城区交通设施养护服务</w:t>
      </w:r>
      <w:r/>
    </w:p>
    <w:p>
      <w:pPr>
        <w:ind w:firstLine="420"/>
        <w:spacing w:line="312" w:lineRule="auto"/>
        <w:rPr>
          <w:rFonts w:ascii="宋体" w:hAnsi="宋体" w:cs="宋体"/>
          <w:color w:val="auto"/>
          <w:highlight w:val="none"/>
        </w:rPr>
      </w:pPr>
      <w:r>
        <w:rPr>
          <w:rFonts w:hint="eastAsia" w:ascii="宋体" w:hAnsi="宋体" w:eastAsia="宋体" w:cs="宋体"/>
          <w:color w:val="auto"/>
          <w:highlight w:val="none"/>
        </w:rPr>
        <w:t xml:space="preserve">养护目标：确保养护范围内</w:t>
      </w:r>
      <w:r>
        <w:rPr>
          <w:rFonts w:hint="eastAsia" w:ascii="宋体" w:hAnsi="宋体" w:eastAsia="宋体" w:cs="宋体"/>
          <w:color w:val="auto"/>
          <w:szCs w:val="21"/>
          <w:highlight w:val="none"/>
        </w:rPr>
        <w:t xml:space="preserve">交通设施</w:t>
      </w:r>
      <w:r>
        <w:rPr>
          <w:rFonts w:hint="eastAsia" w:ascii="宋体" w:hAnsi="宋体" w:eastAsia="宋体" w:cs="宋体"/>
          <w:color w:val="auto"/>
          <w:highlight w:val="none"/>
        </w:rPr>
        <w:t xml:space="preserve">完好，</w:t>
      </w:r>
      <w:r>
        <w:rPr>
          <w:rFonts w:hint="eastAsia" w:ascii="宋体" w:hAnsi="宋体" w:eastAsia="宋体" w:cs="宋体"/>
          <w:color w:val="auto"/>
          <w:szCs w:val="21"/>
          <w:highlight w:val="none"/>
        </w:rPr>
        <w:t xml:space="preserve">为广大市民出行提供优良的交通基础设施保障</w:t>
      </w:r>
      <w:r>
        <w:rPr>
          <w:rFonts w:hint="eastAsia" w:ascii="宋体" w:hAnsi="宋体" w:eastAsia="宋体" w:cs="宋体"/>
          <w:color w:val="auto"/>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highlight w:val="none"/>
        </w:rPr>
        <w:t xml:space="preserve">养护范围：</w:t>
      </w:r>
      <w:r>
        <w:rPr>
          <w:rFonts w:hint="eastAsia" w:ascii="宋体" w:hAnsi="宋体" w:eastAsia="宋体" w:cs="宋体"/>
          <w:color w:val="auto"/>
          <w:szCs w:val="21"/>
          <w:highlight w:val="none"/>
        </w:rPr>
        <w:t xml:space="preserve">本项目采购的</w:t>
      </w:r>
      <w:r>
        <w:rPr>
          <w:rFonts w:hint="eastAsia" w:ascii="宋体" w:hAnsi="宋体" w:eastAsia="宋体" w:cs="宋体"/>
          <w:color w:val="auto"/>
          <w:szCs w:val="21"/>
          <w:highlight w:val="none"/>
          <w:lang w:eastAsia="zh-CN"/>
        </w:rPr>
        <w:t xml:space="preserve">是</w:t>
      </w:r>
      <w:r>
        <w:rPr>
          <w:rFonts w:hint="eastAsia" w:ascii="宋体" w:hAnsi="宋体" w:eastAsia="宋体" w:cs="宋体"/>
          <w:color w:val="auto"/>
          <w:szCs w:val="21"/>
          <w:highlight w:val="none"/>
        </w:rPr>
        <w:t xml:space="preserve">南京市江宁区城市管理局所管辖双龙大道以东、沧麒路以东；宏运大道、石杨路以南；东麒路以西（含东麒路及东麒路跨宁杭高架桥）；新亭西路以北及杨家圩片区道路片区、外港河以北、万泰路以北（不含万泰路）的禁令标志、指示标志、路名牌、限高龙门架、护栏</w:t>
      </w:r>
      <w:r>
        <w:rPr>
          <w:rFonts w:hint="eastAsia" w:ascii="宋体" w:hAnsi="宋体" w:eastAsia="宋体" w:cs="宋体"/>
          <w:color w:val="auto"/>
          <w:szCs w:val="21"/>
          <w:highlight w:val="none"/>
          <w:lang w:eastAsia="zh-CN"/>
        </w:rPr>
        <w:t xml:space="preserve">（因</w:t>
      </w:r>
      <w:r>
        <w:rPr>
          <w:rFonts w:hint="eastAsia" w:ascii="宋体" w:hAnsi="宋体" w:eastAsia="宋体" w:cs="宋体"/>
          <w:color w:val="auto"/>
          <w:szCs w:val="21"/>
          <w:highlight w:val="none"/>
        </w:rPr>
        <w:t xml:space="preserve">人为损坏、交通事故、盗窃等因素进行修复）、信号灯杆、信号灯及管线（含人行过街信号灯）、显示屏、信号机及标线等配套交通设施的日常维护管理、设施安装更新，包含交通设施日常管养和更新安装专项。</w:t>
      </w:r>
      <w:r/>
    </w:p>
    <w:p>
      <w:pPr>
        <w:spacing w:line="360" w:lineRule="auto"/>
        <w:rPr>
          <w:rFonts w:hint="eastAsia" w:ascii="宋体" w:hAnsi="宋体" w:cs="宋体"/>
          <w:b/>
          <w:bCs/>
          <w:color w:val="auto"/>
          <w:szCs w:val="21"/>
          <w:highlight w:val="none"/>
        </w:rPr>
      </w:pPr>
      <w:r>
        <w:rPr>
          <w:rFonts w:hint="eastAsia" w:ascii="宋体" w:hAnsi="宋体" w:eastAsia="宋体" w:cs="宋体"/>
          <w:b/>
          <w:bCs/>
          <w:color w:val="auto"/>
          <w:szCs w:val="21"/>
          <w:highlight w:val="none"/>
        </w:rPr>
        <w:t xml:space="preserve">二、报价要求</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本项目包含交通设施日常管养和更新安装专项</w:t>
      </w:r>
      <w:r>
        <w:rPr>
          <w:rFonts w:hint="eastAsia" w:ascii="宋体" w:hAnsi="宋体" w:eastAsia="宋体" w:cs="宋体"/>
          <w:color w:val="auto"/>
          <w:szCs w:val="21"/>
          <w:highlight w:val="none"/>
          <w:lang w:eastAsia="zh-CN"/>
        </w:rPr>
        <w:t xml:space="preserve">两个部分</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1、交通设施日常管养：按总价包干方式报价，供应商需对范围内交通设施状况详细勘察，在养护期间，完成范围内交通设施养护服务所有内容及要求产生的一切费用均含在报价中。凡招标文件没做具体要求的，按照国家现行的有关法规、政策以及各项规范执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更新安装专项：</w:t>
      </w:r>
      <w:r>
        <w:rPr>
          <w:rFonts w:hint="eastAsia" w:ascii="宋体" w:hAnsi="宋体" w:eastAsia="宋体" w:cs="宋体"/>
          <w:color w:val="auto"/>
          <w:szCs w:val="21"/>
          <w:highlight w:val="none"/>
        </w:rPr>
        <w:t xml:space="preserve">合同期内更新安装专项工程结算价</w:t>
      </w:r>
      <w:r>
        <w:rPr>
          <w:rFonts w:hint="eastAsia" w:ascii="宋体" w:hAnsi="宋体" w:eastAsia="宋体" w:cs="宋体"/>
          <w:color w:val="auto"/>
          <w:szCs w:val="21"/>
          <w:highlight w:val="none"/>
          <w:lang w:val="en-US" w:eastAsia="zh-CN"/>
        </w:rPr>
        <w:t xml:space="preserve">最高不超过</w:t>
      </w:r>
      <w:r>
        <w:rPr>
          <w:rFonts w:hint="eastAsia" w:ascii="宋体" w:hAnsi="宋体" w:eastAsia="宋体" w:cs="宋体"/>
          <w:color w:val="auto"/>
          <w:szCs w:val="21"/>
          <w:highlight w:val="none"/>
          <w:lang w:eastAsia="zh-CN"/>
        </w:rPr>
        <w:t xml:space="preserve">70万元</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更新安装专项折扣率为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lang w:val="en-US" w:eastAsia="zh-CN"/>
        </w:rPr>
        <w:t xml:space="preserve">%</w:t>
      </w:r>
      <w:r>
        <w:rPr>
          <w:rFonts w:hint="eastAsia" w:ascii="宋体" w:hAnsi="宋体" w:eastAsia="宋体" w:cs="宋体"/>
          <w:color w:val="auto"/>
          <w:szCs w:val="21"/>
          <w:highlight w:val="none"/>
        </w:rPr>
        <w:t xml:space="preserve">，更新安装专项工程结算价=上报结算价×</w:t>
      </w:r>
      <w:r>
        <w:rPr>
          <w:rFonts w:hint="eastAsia" w:ascii="宋体" w:hAnsi="宋体" w:eastAsia="宋体" w:cs="宋体"/>
          <w:color w:val="auto"/>
          <w:szCs w:val="21"/>
          <w:highlight w:val="none"/>
          <w:lang w:val="en-US" w:eastAsia="zh-CN"/>
        </w:rPr>
        <w:t xml:space="preserve">折扣率</w:t>
      </w:r>
      <w:r>
        <w:rPr>
          <w:rFonts w:hint="eastAsia" w:ascii="宋体" w:hAnsi="宋体" w:eastAsia="宋体" w:cs="宋体"/>
          <w:color w:val="auto"/>
          <w:szCs w:val="21"/>
          <w:highlight w:val="none"/>
        </w:rPr>
        <w:t xml:space="preserve">，其中上报结算价的基准单价以《东山主城区交通设施养护-专项更新项目》中单价为准，上报结算价的工程量以现场有效签证为依据，按现场实际发生的工程量进行计算。更新安装工程须经采购人确认并验收合格，最终结算价以采购人委托的第三方审计为准。</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本合同价款包括但不仅限于人员、设备、工具及维护费用，所用材料消耗费用、管理费用、利润、税金等支出。</w:t>
      </w:r>
      <w:r/>
    </w:p>
    <w:p>
      <w:pPr>
        <w:pStyle w:val="880"/>
        <w:numPr>
          <w:ilvl w:val="0"/>
          <w:numId w:val="10"/>
        </w:numPr>
        <w:keepLines w:val="0"/>
        <w:keepNext w:val="0"/>
        <w:spacing w:before="0" w:after="0" w:line="360" w:lineRule="auto"/>
        <w:rPr>
          <w:rFonts w:hint="eastAsia" w:ascii="宋体" w:hAnsi="宋体" w:cs="宋体"/>
          <w:bCs w:val="0"/>
          <w:iCs/>
          <w:color w:val="auto"/>
          <w:sz w:val="21"/>
          <w:szCs w:val="21"/>
          <w:highlight w:val="none"/>
        </w:rPr>
      </w:pPr>
      <w:r/>
      <w:bookmarkStart w:id="29" w:name="_Toc13651"/>
      <w:r>
        <w:rPr>
          <w:rFonts w:hint="eastAsia" w:ascii="宋体" w:hAnsi="宋体" w:eastAsia="宋体" w:cs="宋体"/>
          <w:bCs w:val="0"/>
          <w:iCs/>
          <w:color w:val="auto"/>
          <w:sz w:val="21"/>
          <w:szCs w:val="21"/>
          <w:highlight w:val="none"/>
        </w:rPr>
        <w:t xml:space="preserve">交通设施日常管养要求</w:t>
      </w:r>
      <w:bookmarkEnd w:id="29"/>
      <w:r/>
      <w:r/>
    </w:p>
    <w:p>
      <w:pPr>
        <w:rPr>
          <w:rFonts w:ascii="宋体" w:hAnsi="宋体" w:cs="宋体"/>
          <w:b/>
          <w:bCs/>
          <w:color w:val="auto"/>
          <w:highlight w:val="none"/>
        </w:rPr>
      </w:pPr>
      <w:r>
        <w:rPr>
          <w:rFonts w:hint="eastAsia" w:ascii="宋体" w:hAnsi="宋体" w:eastAsia="宋体" w:cs="宋体"/>
          <w:b/>
          <w:bCs/>
          <w:color w:val="auto"/>
          <w:highlight w:val="none"/>
        </w:rPr>
        <w:t xml:space="preserve">1、交通设施日常管养清单</w:t>
      </w:r>
      <w:r/>
    </w:p>
    <w:tbl>
      <w:tblPr>
        <w:tblStyle w:val="890"/>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0"/>
        <w:gridCol w:w="3680"/>
        <w:gridCol w:w="1614"/>
        <w:gridCol w:w="2253"/>
      </w:tblGrid>
      <w:tr>
        <w:trPr>
          <w:trHeight w:val="420"/>
        </w:trPr>
        <w:tc>
          <w:tcPr>
            <w:tcW w:w="9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序号</w:t>
            </w:r>
            <w:r/>
          </w:p>
        </w:tc>
        <w:tc>
          <w:tcPr>
            <w:tcW w:w="36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交通设施名称</w:t>
            </w:r>
            <w:r/>
          </w:p>
        </w:tc>
        <w:tc>
          <w:tcPr>
            <w:shd w:val="clear" w:color="auto" w:fill="auto"/>
            <w:tcW w:w="161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单位</w:t>
            </w:r>
            <w:r/>
          </w:p>
        </w:tc>
        <w:tc>
          <w:tcPr>
            <w:shd w:val="clear" w:color="auto" w:fill="auto"/>
            <w:tcW w:w="225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工程量</w:t>
            </w:r>
            <w:r/>
          </w:p>
        </w:tc>
      </w:tr>
      <w:tr>
        <w:trPr>
          <w:trHeight w:val="459"/>
        </w:trPr>
        <w:tc>
          <w:tcPr>
            <w:shd w:val="clear" w:color="auto" w:fill="auto"/>
            <w:tcW w:w="9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W w:w="36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机动车隔离护栏</w:t>
            </w:r>
            <w:r/>
          </w:p>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（中央护栏）</w:t>
            </w:r>
            <w:r/>
          </w:p>
        </w:tc>
        <w:tc>
          <w:tcPr>
            <w:shd w:val="clear" w:color="auto" w:fill="auto"/>
            <w:tcW w:w="161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W w:w="2253" w:type="dxa"/>
            <w:vAlign w:val="center"/>
            <w:textDirection w:val="lrTb"/>
            <w:noWrap w:val="false"/>
          </w:tcPr>
          <w:p>
            <w:pPr>
              <w:jc w:val="center"/>
              <w:widowControl/>
              <w:rPr>
                <w:rFonts w:hint="eastAsia" w:ascii="宋体" w:hAnsi="宋体" w:cs="宋体"/>
                <w:color w:val="auto"/>
                <w:szCs w:val="21"/>
                <w:highlight w:val="white"/>
              </w:rPr>
            </w:pPr>
            <w:r>
              <w:rPr>
                <w:rFonts w:hint="eastAsia" w:ascii="宋体" w:hAnsi="宋体" w:eastAsia="宋体" w:cs="宋体"/>
                <w:color w:val="auto"/>
                <w:sz w:val="21"/>
                <w:szCs w:val="21"/>
                <w:highlight w:val="white"/>
              </w:rPr>
              <w:t xml:space="preserve">16583</w:t>
            </w:r>
            <w:r>
              <w:rPr>
                <w:highlight w:val="white"/>
              </w:rPr>
            </w:r>
          </w:p>
        </w:tc>
      </w:tr>
      <w:tr>
        <w:trPr>
          <w:trHeight w:val="459"/>
        </w:trPr>
        <w:tc>
          <w:tcPr>
            <w:shd w:val="clear" w:color="auto" w:fill="auto"/>
            <w:tcW w:w="9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auto"/>
            <w:tcW w:w="36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机非隔离护栏</w:t>
            </w:r>
            <w:r/>
          </w:p>
        </w:tc>
        <w:tc>
          <w:tcPr>
            <w:shd w:val="clear" w:color="auto" w:fill="auto"/>
            <w:tcW w:w="161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W w:w="2253" w:type="dxa"/>
            <w:vAlign w:val="center"/>
            <w:textDirection w:val="lrTb"/>
            <w:noWrap w:val="false"/>
          </w:tcPr>
          <w:p>
            <w:pPr>
              <w:jc w:val="center"/>
              <w:widowControl/>
              <w:rPr>
                <w:rFonts w:hint="eastAsia" w:ascii="宋体" w:hAnsi="宋体" w:cs="宋体"/>
                <w:color w:val="auto"/>
                <w:szCs w:val="21"/>
                <w:highlight w:val="white"/>
              </w:rPr>
            </w:pPr>
            <w:r>
              <w:rPr>
                <w:rFonts w:hint="eastAsia" w:ascii="宋体" w:hAnsi="宋体" w:eastAsia="宋体" w:cs="宋体"/>
                <w:color w:val="auto"/>
                <w:sz w:val="21"/>
                <w:szCs w:val="21"/>
                <w:highlight w:val="white"/>
                <w:lang w:bidi="ar"/>
              </w:rPr>
              <w:t xml:space="preserve">37</w:t>
            </w:r>
            <w:r>
              <w:rPr>
                <w:rFonts w:hint="eastAsia" w:ascii="宋体" w:hAnsi="宋体" w:eastAsia="宋体" w:cs="宋体"/>
                <w:color w:val="auto"/>
                <w:sz w:val="21"/>
                <w:szCs w:val="21"/>
                <w:highlight w:val="white"/>
                <w:lang w:val="en-US" w:eastAsia="zh-CN" w:bidi="ar"/>
              </w:rPr>
              <w:t xml:space="preserve">821</w:t>
            </w:r>
            <w:r>
              <w:rPr>
                <w:highlight w:val="white"/>
              </w:rPr>
            </w:r>
          </w:p>
        </w:tc>
      </w:tr>
      <w:tr>
        <w:trPr>
          <w:trHeight w:val="459"/>
        </w:trPr>
        <w:tc>
          <w:tcPr>
            <w:shd w:val="clear" w:color="auto" w:fill="auto"/>
            <w:tcW w:w="9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3</w:t>
            </w:r>
            <w:r/>
          </w:p>
        </w:tc>
        <w:tc>
          <w:tcPr>
            <w:shd w:val="clear" w:color="auto" w:fill="auto"/>
            <w:tcW w:w="36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长悬臂（</w:t>
            </w:r>
            <w:r>
              <w:rPr>
                <w:rFonts w:ascii="宋体" w:hAnsi="宋体" w:eastAsia="宋体" w:cs="宋体"/>
                <w:color w:val="auto"/>
                <w:highlight w:val="none"/>
              </w:rPr>
              <w:t xml:space="preserve">悬臂式信号灯</w:t>
            </w:r>
            <w:r>
              <w:rPr>
                <w:rFonts w:hint="eastAsia" w:ascii="宋体" w:hAnsi="宋体" w:eastAsia="宋体" w:cs="宋体"/>
                <w:color w:val="auto"/>
                <w:szCs w:val="21"/>
                <w:highlight w:val="none"/>
              </w:rPr>
              <w:t xml:space="preserve">）</w:t>
            </w:r>
            <w:r/>
          </w:p>
        </w:tc>
        <w:tc>
          <w:tcPr>
            <w:shd w:val="clear" w:color="auto" w:fill="auto"/>
            <w:tcW w:w="161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W w:w="2253" w:type="dxa"/>
            <w:vAlign w:val="center"/>
            <w:textDirection w:val="lrTb"/>
            <w:noWrap w:val="false"/>
          </w:tcPr>
          <w:p>
            <w:pPr>
              <w:jc w:val="center"/>
              <w:widowControl/>
              <w:rPr>
                <w:rFonts w:hint="eastAsia" w:ascii="宋体" w:hAnsi="宋体" w:cs="宋体"/>
                <w:color w:val="auto"/>
                <w:szCs w:val="21"/>
                <w:highlight w:val="white"/>
              </w:rPr>
            </w:pPr>
            <w:r>
              <w:rPr>
                <w:rFonts w:hint="eastAsia" w:ascii="宋体" w:hAnsi="宋体" w:eastAsia="宋体" w:cs="宋体"/>
                <w:color w:val="auto"/>
                <w:sz w:val="21"/>
                <w:szCs w:val="21"/>
                <w:highlight w:val="white"/>
                <w:lang w:val="en-US" w:eastAsia="zh-CN" w:bidi="ar"/>
              </w:rPr>
              <w:t xml:space="preserve">328</w:t>
            </w:r>
            <w:r>
              <w:rPr>
                <w:highlight w:val="white"/>
              </w:rPr>
            </w:r>
          </w:p>
        </w:tc>
      </w:tr>
      <w:tr>
        <w:trPr>
          <w:trHeight w:val="480"/>
        </w:trPr>
        <w:tc>
          <w:tcPr>
            <w:shd w:val="clear" w:color="auto" w:fill="auto"/>
            <w:tcW w:w="9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4</w:t>
            </w:r>
            <w:r/>
          </w:p>
        </w:tc>
        <w:tc>
          <w:tcPr>
            <w:shd w:val="clear" w:color="auto" w:fill="auto"/>
            <w:tcW w:w="36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单叉式（</w:t>
            </w:r>
            <w:r>
              <w:rPr>
                <w:rFonts w:ascii="宋体" w:hAnsi="宋体" w:eastAsia="宋体" w:cs="宋体"/>
                <w:color w:val="auto"/>
                <w:highlight w:val="none"/>
              </w:rPr>
              <w:t xml:space="preserve">单叉式信号灯</w:t>
            </w:r>
            <w:r>
              <w:rPr>
                <w:rFonts w:hint="eastAsia" w:ascii="宋体" w:hAnsi="宋体" w:eastAsia="宋体" w:cs="宋体"/>
                <w:color w:val="auto"/>
                <w:szCs w:val="21"/>
                <w:highlight w:val="none"/>
              </w:rPr>
              <w:t xml:space="preserve">）</w:t>
            </w:r>
            <w:r/>
          </w:p>
        </w:tc>
        <w:tc>
          <w:tcPr>
            <w:shd w:val="clear" w:color="auto" w:fill="auto"/>
            <w:tcW w:w="161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W w:w="2253" w:type="dxa"/>
            <w:vAlign w:val="center"/>
            <w:textDirection w:val="lrTb"/>
            <w:noWrap w:val="false"/>
          </w:tcPr>
          <w:p>
            <w:pPr>
              <w:jc w:val="center"/>
              <w:widowControl/>
              <w:rPr>
                <w:rFonts w:hint="eastAsia" w:ascii="宋体" w:hAnsi="宋体" w:cs="宋体"/>
                <w:color w:val="auto"/>
                <w:szCs w:val="21"/>
                <w:highlight w:val="white"/>
              </w:rPr>
            </w:pPr>
            <w:r>
              <w:rPr>
                <w:rFonts w:hint="eastAsia" w:ascii="宋体" w:hAnsi="宋体" w:eastAsia="宋体" w:cs="宋体"/>
                <w:color w:val="auto"/>
                <w:sz w:val="21"/>
                <w:szCs w:val="21"/>
                <w:highlight w:val="white"/>
                <w:lang w:bidi="ar"/>
              </w:rPr>
              <w:t xml:space="preserve">49</w:t>
            </w:r>
            <w:r>
              <w:rPr>
                <w:highlight w:val="white"/>
              </w:rPr>
            </w:r>
          </w:p>
        </w:tc>
      </w:tr>
      <w:tr>
        <w:trPr>
          <w:trHeight w:val="459"/>
        </w:trPr>
        <w:tc>
          <w:tcPr>
            <w:shd w:val="clear" w:color="auto" w:fill="auto"/>
            <w:tcW w:w="9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5</w:t>
            </w:r>
            <w:r/>
          </w:p>
        </w:tc>
        <w:tc>
          <w:tcPr>
            <w:shd w:val="clear" w:color="auto" w:fill="auto"/>
            <w:tcW w:w="36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立柱式（</w:t>
            </w:r>
            <w:r>
              <w:rPr>
                <w:rFonts w:ascii="宋体" w:hAnsi="宋体" w:eastAsia="宋体" w:cs="宋体"/>
                <w:color w:val="auto"/>
                <w:highlight w:val="none"/>
              </w:rPr>
              <w:t xml:space="preserve">立柱式信号灯</w:t>
            </w:r>
            <w:r>
              <w:rPr>
                <w:rFonts w:hint="eastAsia" w:ascii="宋体" w:hAnsi="宋体" w:eastAsia="宋体" w:cs="宋体"/>
                <w:color w:val="auto"/>
                <w:szCs w:val="21"/>
                <w:highlight w:val="none"/>
              </w:rPr>
              <w:t xml:space="preserve">）</w:t>
            </w:r>
            <w:r/>
          </w:p>
        </w:tc>
        <w:tc>
          <w:tcPr>
            <w:shd w:val="clear" w:color="auto" w:fill="auto"/>
            <w:tcW w:w="161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W w:w="2253" w:type="dxa"/>
            <w:vAlign w:val="center"/>
            <w:textDirection w:val="lrTb"/>
            <w:noWrap w:val="false"/>
          </w:tcPr>
          <w:p>
            <w:pPr>
              <w:jc w:val="center"/>
              <w:widowControl/>
              <w:rPr>
                <w:rFonts w:hint="eastAsia" w:ascii="宋体" w:hAnsi="宋体" w:cs="宋体"/>
                <w:color w:val="auto"/>
                <w:szCs w:val="21"/>
                <w:highlight w:val="white"/>
              </w:rPr>
            </w:pPr>
            <w:r>
              <w:rPr>
                <w:rFonts w:hint="eastAsia" w:ascii="宋体" w:hAnsi="宋体" w:eastAsia="宋体" w:cs="宋体"/>
                <w:color w:val="auto"/>
                <w:sz w:val="21"/>
                <w:szCs w:val="21"/>
                <w:highlight w:val="white"/>
                <w:lang w:bidi="ar"/>
              </w:rPr>
              <w:t xml:space="preserve">32</w:t>
            </w:r>
            <w:r>
              <w:rPr>
                <w:highlight w:val="white"/>
              </w:rPr>
            </w:r>
          </w:p>
        </w:tc>
      </w:tr>
      <w:tr>
        <w:trPr>
          <w:trHeight w:val="459"/>
        </w:trPr>
        <w:tc>
          <w:tcPr>
            <w:shd w:val="clear" w:color="auto" w:fill="auto"/>
            <w:tcW w:w="9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6</w:t>
            </w:r>
            <w:r/>
          </w:p>
        </w:tc>
        <w:tc>
          <w:tcPr>
            <w:shd w:val="clear" w:color="auto" w:fill="auto"/>
            <w:tcW w:w="36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圆盘灯/箭头灯</w:t>
            </w:r>
            <w:r/>
          </w:p>
        </w:tc>
        <w:tc>
          <w:tcPr>
            <w:shd w:val="clear" w:color="auto" w:fill="auto"/>
            <w:tcW w:w="161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lang w:bidi="ar"/>
              </w:rPr>
              <w:t xml:space="preserve">个</w:t>
            </w:r>
            <w:r/>
          </w:p>
        </w:tc>
        <w:tc>
          <w:tcPr>
            <w:shd w:val="clear" w:color="auto" w:fill="auto"/>
            <w:tcW w:w="2253" w:type="dxa"/>
            <w:vAlign w:val="center"/>
            <w:textDirection w:val="lrTb"/>
            <w:noWrap w:val="false"/>
          </w:tcPr>
          <w:p>
            <w:pPr>
              <w:jc w:val="center"/>
              <w:widowControl/>
              <w:rPr>
                <w:rFonts w:hint="eastAsia" w:ascii="宋体" w:hAnsi="宋体" w:cs="宋体"/>
                <w:color w:val="auto"/>
                <w:szCs w:val="21"/>
                <w:highlight w:val="white"/>
              </w:rPr>
            </w:pPr>
            <w:r>
              <w:rPr>
                <w:rFonts w:hint="eastAsia" w:ascii="宋体" w:hAnsi="宋体" w:eastAsia="宋体" w:cs="宋体"/>
                <w:color w:val="auto"/>
                <w:sz w:val="21"/>
                <w:szCs w:val="21"/>
                <w:highlight w:val="white"/>
                <w:lang w:val="en-US" w:eastAsia="zh-CN" w:bidi="ar"/>
              </w:rPr>
              <w:t xml:space="preserve">2149</w:t>
            </w:r>
            <w:r>
              <w:rPr>
                <w:highlight w:val="white"/>
              </w:rPr>
            </w:r>
          </w:p>
        </w:tc>
      </w:tr>
      <w:tr>
        <w:trPr>
          <w:trHeight w:val="459"/>
        </w:trPr>
        <w:tc>
          <w:tcPr>
            <w:shd w:val="clear" w:color="auto" w:fill="auto"/>
            <w:tcW w:w="9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7</w:t>
            </w:r>
            <w:r/>
          </w:p>
        </w:tc>
        <w:tc>
          <w:tcPr>
            <w:shd w:val="clear" w:color="auto" w:fill="auto"/>
            <w:tcW w:w="36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倒计时器</w:t>
            </w:r>
            <w:r/>
          </w:p>
        </w:tc>
        <w:tc>
          <w:tcPr>
            <w:shd w:val="clear" w:color="auto" w:fill="auto"/>
            <w:tcW w:w="161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W w:w="2253" w:type="dxa"/>
            <w:vAlign w:val="center"/>
            <w:textDirection w:val="lrTb"/>
            <w:noWrap w:val="false"/>
          </w:tcPr>
          <w:p>
            <w:pPr>
              <w:jc w:val="center"/>
              <w:widowControl/>
              <w:rPr>
                <w:rFonts w:hint="eastAsia" w:ascii="宋体" w:hAnsi="宋体" w:cs="宋体"/>
                <w:color w:val="auto"/>
                <w:szCs w:val="21"/>
                <w:highlight w:val="white"/>
              </w:rPr>
            </w:pPr>
            <w:r>
              <w:rPr>
                <w:rFonts w:hint="eastAsia" w:ascii="宋体" w:hAnsi="宋体" w:eastAsia="宋体" w:cs="宋体"/>
                <w:color w:val="auto"/>
                <w:sz w:val="21"/>
                <w:szCs w:val="21"/>
                <w:highlight w:val="white"/>
                <w:lang w:val="en-US" w:eastAsia="zh-CN" w:bidi="ar"/>
              </w:rPr>
              <w:t xml:space="preserve">380</w:t>
            </w:r>
            <w:r>
              <w:rPr>
                <w:highlight w:val="white"/>
              </w:rPr>
            </w:r>
          </w:p>
        </w:tc>
      </w:tr>
      <w:tr>
        <w:trPr>
          <w:trHeight w:val="459"/>
        </w:trPr>
        <w:tc>
          <w:tcPr>
            <w:shd w:val="clear" w:color="auto" w:fill="auto"/>
            <w:tcW w:w="9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W w:w="36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LED屏</w:t>
            </w:r>
            <w:r/>
          </w:p>
        </w:tc>
        <w:tc>
          <w:tcPr>
            <w:shd w:val="clear" w:color="auto" w:fill="auto"/>
            <w:tcW w:w="161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W w:w="2253" w:type="dxa"/>
            <w:vAlign w:val="center"/>
            <w:textDirection w:val="lrTb"/>
            <w:noWrap w:val="false"/>
          </w:tcPr>
          <w:p>
            <w:pPr>
              <w:jc w:val="center"/>
              <w:widowControl/>
              <w:rPr>
                <w:rFonts w:hint="eastAsia" w:ascii="宋体" w:hAnsi="宋体" w:cs="宋体"/>
                <w:color w:val="auto"/>
                <w:szCs w:val="21"/>
                <w:highlight w:val="white"/>
              </w:rPr>
            </w:pPr>
            <w:r>
              <w:rPr>
                <w:rFonts w:hint="eastAsia" w:ascii="宋体" w:hAnsi="宋体" w:eastAsia="宋体" w:cs="宋体"/>
                <w:color w:val="auto"/>
                <w:sz w:val="21"/>
                <w:szCs w:val="21"/>
                <w:highlight w:val="white"/>
                <w:lang w:bidi="ar"/>
              </w:rPr>
              <w:t xml:space="preserve">42</w:t>
            </w:r>
            <w:r>
              <w:rPr>
                <w:highlight w:val="white"/>
              </w:rPr>
            </w:r>
          </w:p>
        </w:tc>
      </w:tr>
      <w:tr>
        <w:trPr>
          <w:trHeight w:val="459"/>
        </w:trPr>
        <w:tc>
          <w:tcPr>
            <w:shd w:val="clear" w:color="auto" w:fill="auto"/>
            <w:tcW w:w="9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9</w:t>
            </w:r>
            <w:r/>
          </w:p>
        </w:tc>
        <w:tc>
          <w:tcPr>
            <w:shd w:val="clear" w:color="auto" w:fill="auto"/>
            <w:tcW w:w="36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人行灯</w:t>
            </w:r>
            <w:r/>
          </w:p>
        </w:tc>
        <w:tc>
          <w:tcPr>
            <w:shd w:val="clear" w:color="auto" w:fill="auto"/>
            <w:tcW w:w="161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套</w:t>
            </w:r>
            <w:r/>
          </w:p>
        </w:tc>
        <w:tc>
          <w:tcPr>
            <w:shd w:val="clear" w:color="auto" w:fill="auto"/>
            <w:tcW w:w="2253" w:type="dxa"/>
            <w:vAlign w:val="center"/>
            <w:textDirection w:val="lrTb"/>
            <w:noWrap w:val="false"/>
          </w:tcPr>
          <w:p>
            <w:pPr>
              <w:jc w:val="center"/>
              <w:widowControl/>
              <w:rPr>
                <w:rFonts w:hint="eastAsia" w:ascii="宋体" w:hAnsi="宋体" w:cs="宋体"/>
                <w:color w:val="auto"/>
                <w:szCs w:val="21"/>
                <w:highlight w:val="white"/>
              </w:rPr>
            </w:pPr>
            <w:r>
              <w:rPr>
                <w:rFonts w:hint="eastAsia" w:ascii="宋体" w:hAnsi="宋体" w:eastAsia="宋体" w:cs="宋体"/>
                <w:color w:val="auto"/>
                <w:sz w:val="21"/>
                <w:szCs w:val="21"/>
                <w:highlight w:val="white"/>
                <w:lang w:val="en-US" w:eastAsia="zh-CN" w:bidi="ar"/>
              </w:rPr>
              <w:t xml:space="preserve">692</w:t>
            </w:r>
            <w:r>
              <w:rPr>
                <w:highlight w:val="white"/>
              </w:rPr>
            </w:r>
          </w:p>
        </w:tc>
      </w:tr>
      <w:tr>
        <w:trPr>
          <w:trHeight w:val="459"/>
        </w:trPr>
        <w:tc>
          <w:tcPr>
            <w:shd w:val="clear" w:color="auto" w:fill="auto"/>
            <w:tcW w:w="9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W w:w="36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指路牌</w:t>
            </w:r>
            <w:r/>
          </w:p>
        </w:tc>
        <w:tc>
          <w:tcPr>
            <w:shd w:val="clear" w:color="auto" w:fill="auto"/>
            <w:tcW w:w="161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块</w:t>
            </w:r>
            <w:r/>
          </w:p>
        </w:tc>
        <w:tc>
          <w:tcPr>
            <w:shd w:val="clear" w:color="auto" w:fill="auto"/>
            <w:tcW w:w="2253" w:type="dxa"/>
            <w:vAlign w:val="center"/>
            <w:textDirection w:val="lrTb"/>
            <w:noWrap w:val="false"/>
          </w:tcPr>
          <w:p>
            <w:pPr>
              <w:jc w:val="center"/>
              <w:widowControl/>
              <w:rPr>
                <w:rFonts w:hint="eastAsia" w:ascii="宋体" w:hAnsi="宋体" w:cs="宋体"/>
                <w:color w:val="auto"/>
                <w:szCs w:val="21"/>
                <w:highlight w:val="white"/>
              </w:rPr>
            </w:pPr>
            <w:r>
              <w:rPr>
                <w:rFonts w:hint="eastAsia" w:ascii="宋体" w:hAnsi="宋体" w:eastAsia="宋体" w:cs="宋体"/>
                <w:color w:val="auto"/>
                <w:sz w:val="21"/>
                <w:szCs w:val="21"/>
                <w:highlight w:val="white"/>
                <w:lang w:val="en-US" w:eastAsia="zh-CN" w:bidi="ar"/>
              </w:rPr>
              <w:t xml:space="preserve">341</w:t>
            </w:r>
            <w:r>
              <w:rPr>
                <w:highlight w:val="white"/>
              </w:rPr>
            </w:r>
          </w:p>
        </w:tc>
      </w:tr>
      <w:tr>
        <w:trPr>
          <w:trHeight w:val="459"/>
        </w:trPr>
        <w:tc>
          <w:tcPr>
            <w:shd w:val="clear" w:color="auto" w:fill="auto"/>
            <w:tcW w:w="9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11</w:t>
            </w:r>
            <w:r/>
          </w:p>
        </w:tc>
        <w:tc>
          <w:tcPr>
            <w:shd w:val="clear" w:color="auto" w:fill="auto"/>
            <w:tcW w:w="36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车道行驶标志</w:t>
            </w:r>
            <w:r/>
          </w:p>
        </w:tc>
        <w:tc>
          <w:tcPr>
            <w:shd w:val="clear" w:color="auto" w:fill="auto"/>
            <w:tcW w:w="161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块</w:t>
            </w:r>
            <w:r/>
          </w:p>
        </w:tc>
        <w:tc>
          <w:tcPr>
            <w:shd w:val="clear" w:color="auto" w:fill="auto"/>
            <w:tcW w:w="2253" w:type="dxa"/>
            <w:vAlign w:val="center"/>
            <w:textDirection w:val="lrTb"/>
            <w:noWrap w:val="false"/>
          </w:tcPr>
          <w:p>
            <w:pPr>
              <w:jc w:val="center"/>
              <w:widowControl/>
              <w:rPr>
                <w:rFonts w:hint="eastAsia" w:ascii="宋体" w:hAnsi="宋体" w:cs="宋体"/>
                <w:color w:val="auto"/>
                <w:szCs w:val="21"/>
                <w:highlight w:val="white"/>
              </w:rPr>
            </w:pPr>
            <w:r>
              <w:rPr>
                <w:rFonts w:hint="eastAsia" w:ascii="宋体" w:hAnsi="宋体" w:eastAsia="宋体" w:cs="宋体"/>
                <w:color w:val="auto"/>
                <w:sz w:val="21"/>
                <w:szCs w:val="21"/>
                <w:highlight w:val="white"/>
                <w:lang w:val="en-US" w:eastAsia="zh-CN" w:bidi="ar"/>
              </w:rPr>
              <w:t xml:space="preserve">803</w:t>
            </w:r>
            <w:r>
              <w:rPr>
                <w:highlight w:val="white"/>
              </w:rPr>
            </w:r>
          </w:p>
        </w:tc>
      </w:tr>
      <w:tr>
        <w:trPr>
          <w:trHeight w:val="459"/>
        </w:trPr>
        <w:tc>
          <w:tcPr>
            <w:shd w:val="clear" w:color="auto" w:fill="auto"/>
            <w:tcW w:w="9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12</w:t>
            </w:r>
            <w:r/>
          </w:p>
        </w:tc>
        <w:tc>
          <w:tcPr>
            <w:shd w:val="clear" w:color="auto" w:fill="auto"/>
            <w:tcW w:w="36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路名牌</w:t>
            </w:r>
            <w:r/>
          </w:p>
        </w:tc>
        <w:tc>
          <w:tcPr>
            <w:shd w:val="clear" w:color="auto" w:fill="auto"/>
            <w:tcW w:w="161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块</w:t>
            </w:r>
            <w:r/>
          </w:p>
        </w:tc>
        <w:tc>
          <w:tcPr>
            <w:shd w:val="clear" w:color="auto" w:fill="auto"/>
            <w:tcW w:w="2253" w:type="dxa"/>
            <w:vAlign w:val="center"/>
            <w:textDirection w:val="lrTb"/>
            <w:noWrap w:val="false"/>
          </w:tcPr>
          <w:p>
            <w:pPr>
              <w:jc w:val="center"/>
              <w:widowControl/>
              <w:rPr>
                <w:rFonts w:hint="eastAsia" w:ascii="宋体" w:hAnsi="宋体" w:cs="宋体"/>
                <w:color w:val="auto"/>
                <w:szCs w:val="21"/>
                <w:highlight w:val="white"/>
              </w:rPr>
            </w:pPr>
            <w:r>
              <w:rPr>
                <w:rFonts w:hint="eastAsia" w:ascii="宋体" w:hAnsi="宋体" w:eastAsia="宋体" w:cs="宋体"/>
                <w:color w:val="auto"/>
                <w:sz w:val="21"/>
                <w:szCs w:val="21"/>
                <w:highlight w:val="white"/>
                <w:lang w:val="en-US" w:eastAsia="zh-CN" w:bidi="ar"/>
              </w:rPr>
              <w:t xml:space="preserve">559</w:t>
            </w:r>
            <w:r>
              <w:rPr>
                <w:highlight w:val="white"/>
              </w:rPr>
            </w:r>
          </w:p>
        </w:tc>
      </w:tr>
      <w:tr>
        <w:trPr>
          <w:trHeight w:val="459"/>
        </w:trPr>
        <w:tc>
          <w:tcPr>
            <w:shd w:val="clear" w:color="auto" w:fill="auto"/>
            <w:tcW w:w="9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13</w:t>
            </w:r>
            <w:r/>
          </w:p>
        </w:tc>
        <w:tc>
          <w:tcPr>
            <w:shd w:val="clear" w:color="auto" w:fill="auto"/>
            <w:tcW w:w="36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禁停清拖</w:t>
            </w:r>
            <w:r/>
          </w:p>
        </w:tc>
        <w:tc>
          <w:tcPr>
            <w:shd w:val="clear" w:color="auto" w:fill="auto"/>
            <w:tcW w:w="161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块</w:t>
            </w:r>
            <w:r/>
          </w:p>
        </w:tc>
        <w:tc>
          <w:tcPr>
            <w:shd w:val="clear" w:color="auto" w:fill="auto"/>
            <w:tcW w:w="2253" w:type="dxa"/>
            <w:vAlign w:val="center"/>
            <w:textDirection w:val="lrTb"/>
            <w:noWrap w:val="false"/>
          </w:tcPr>
          <w:p>
            <w:pPr>
              <w:jc w:val="center"/>
              <w:widowControl/>
              <w:rPr>
                <w:rFonts w:hint="eastAsia" w:ascii="宋体" w:hAnsi="宋体" w:cs="宋体"/>
                <w:color w:val="auto"/>
                <w:szCs w:val="21"/>
                <w:highlight w:val="white"/>
              </w:rPr>
            </w:pPr>
            <w:r>
              <w:rPr>
                <w:rFonts w:hint="eastAsia" w:ascii="宋体" w:hAnsi="宋体" w:eastAsia="宋体" w:cs="宋体"/>
                <w:color w:val="auto"/>
                <w:sz w:val="21"/>
                <w:szCs w:val="21"/>
                <w:highlight w:val="white"/>
                <w:lang w:bidi="ar"/>
              </w:rPr>
              <w:t xml:space="preserve">242</w:t>
            </w:r>
            <w:r>
              <w:rPr>
                <w:highlight w:val="white"/>
              </w:rPr>
            </w:r>
          </w:p>
        </w:tc>
      </w:tr>
      <w:tr>
        <w:trPr>
          <w:trHeight w:val="459"/>
        </w:trPr>
        <w:tc>
          <w:tcPr>
            <w:shd w:val="clear" w:color="auto" w:fill="auto"/>
            <w:tcW w:w="9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lang w:bidi="ar"/>
              </w:rPr>
              <w:t xml:space="preserve">14</w:t>
            </w:r>
            <w:r/>
          </w:p>
        </w:tc>
        <w:tc>
          <w:tcPr>
            <w:shd w:val="clear" w:color="auto" w:fill="auto"/>
            <w:tcW w:w="36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禁令标志</w:t>
            </w:r>
            <w:r/>
          </w:p>
        </w:tc>
        <w:tc>
          <w:tcPr>
            <w:shd w:val="clear" w:color="auto" w:fill="auto"/>
            <w:tcW w:w="161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块</w:t>
            </w:r>
            <w:r/>
          </w:p>
        </w:tc>
        <w:tc>
          <w:tcPr>
            <w:shd w:val="clear" w:color="auto" w:fill="auto"/>
            <w:tcW w:w="2253" w:type="dxa"/>
            <w:vAlign w:val="center"/>
            <w:textDirection w:val="lrTb"/>
            <w:noWrap w:val="false"/>
          </w:tcPr>
          <w:p>
            <w:pPr>
              <w:jc w:val="center"/>
              <w:widowControl/>
              <w:rPr>
                <w:rFonts w:hint="eastAsia" w:ascii="宋体" w:hAnsi="宋体" w:cs="宋体"/>
                <w:color w:val="auto"/>
                <w:szCs w:val="21"/>
                <w:highlight w:val="white"/>
              </w:rPr>
            </w:pPr>
            <w:r>
              <w:rPr>
                <w:rFonts w:hint="eastAsia" w:ascii="宋体" w:hAnsi="宋体" w:eastAsia="宋体" w:cs="宋体"/>
                <w:color w:val="auto"/>
                <w:sz w:val="21"/>
                <w:szCs w:val="21"/>
                <w:highlight w:val="white"/>
                <w:lang w:val="en-US" w:eastAsia="zh-CN" w:bidi="ar"/>
              </w:rPr>
              <w:t xml:space="preserve">1190</w:t>
            </w:r>
            <w:r>
              <w:rPr>
                <w:highlight w:val="white"/>
              </w:rPr>
            </w:r>
          </w:p>
        </w:tc>
      </w:tr>
      <w:tr>
        <w:trPr>
          <w:trHeight w:val="459"/>
        </w:trPr>
        <w:tc>
          <w:tcPr>
            <w:shd w:val="clear" w:color="auto" w:fill="auto"/>
            <w:tcW w:w="9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15</w:t>
            </w:r>
            <w:r/>
          </w:p>
        </w:tc>
        <w:tc>
          <w:tcPr>
            <w:shd w:val="clear" w:color="auto" w:fill="auto"/>
            <w:tcW w:w="36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限高架</w:t>
            </w:r>
            <w:r/>
          </w:p>
        </w:tc>
        <w:tc>
          <w:tcPr>
            <w:shd w:val="clear" w:color="auto" w:fill="auto"/>
            <w:tcW w:w="161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W w:w="2253" w:type="dxa"/>
            <w:vAlign w:val="center"/>
            <w:textDirection w:val="lrTb"/>
            <w:noWrap w:val="false"/>
          </w:tcPr>
          <w:p>
            <w:pPr>
              <w:jc w:val="center"/>
              <w:widowControl/>
              <w:rPr>
                <w:rFonts w:hint="eastAsia" w:ascii="宋体" w:hAnsi="宋体" w:cs="宋体"/>
                <w:color w:val="auto"/>
                <w:szCs w:val="21"/>
                <w:highlight w:val="white"/>
              </w:rPr>
            </w:pPr>
            <w:r>
              <w:rPr>
                <w:rFonts w:hint="eastAsia" w:ascii="宋体" w:hAnsi="宋体" w:eastAsia="宋体" w:cs="宋体"/>
                <w:color w:val="auto"/>
                <w:sz w:val="21"/>
                <w:szCs w:val="21"/>
                <w:highlight w:val="white"/>
                <w:lang w:bidi="ar"/>
              </w:rPr>
              <w:t xml:space="preserve">12</w:t>
            </w:r>
            <w:r>
              <w:rPr>
                <w:highlight w:val="white"/>
              </w:rPr>
            </w:r>
          </w:p>
        </w:tc>
      </w:tr>
      <w:tr>
        <w:trPr>
          <w:trHeight w:val="459"/>
        </w:trPr>
        <w:tc>
          <w:tcPr>
            <w:shd w:val="clear" w:color="auto" w:fill="auto"/>
            <w:tcW w:w="9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16</w:t>
            </w:r>
            <w:r/>
          </w:p>
        </w:tc>
        <w:tc>
          <w:tcPr>
            <w:shd w:val="clear" w:color="auto" w:fill="auto"/>
            <w:tcW w:w="36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桥名牌</w:t>
            </w:r>
            <w:r/>
          </w:p>
        </w:tc>
        <w:tc>
          <w:tcPr>
            <w:shd w:val="clear" w:color="auto" w:fill="auto"/>
            <w:tcW w:w="161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W w:w="2253" w:type="dxa"/>
            <w:vAlign w:val="center"/>
            <w:textDirection w:val="lrTb"/>
            <w:noWrap w:val="false"/>
          </w:tcPr>
          <w:p>
            <w:pPr>
              <w:jc w:val="center"/>
              <w:widowControl/>
              <w:rPr>
                <w:rFonts w:hint="eastAsia" w:ascii="宋体" w:hAnsi="宋体" w:cs="宋体"/>
                <w:color w:val="auto"/>
                <w:szCs w:val="21"/>
                <w:highlight w:val="white"/>
              </w:rPr>
            </w:pPr>
            <w:r>
              <w:rPr>
                <w:rFonts w:hint="eastAsia" w:ascii="宋体" w:hAnsi="宋体" w:eastAsia="宋体" w:cs="宋体"/>
                <w:color w:val="auto"/>
                <w:sz w:val="21"/>
                <w:szCs w:val="21"/>
                <w:highlight w:val="white"/>
                <w:lang w:bidi="ar"/>
              </w:rPr>
              <w:t xml:space="preserve">44</w:t>
            </w:r>
            <w:r>
              <w:rPr>
                <w:highlight w:val="white"/>
              </w:rPr>
            </w:r>
          </w:p>
        </w:tc>
      </w:tr>
      <w:tr>
        <w:trPr>
          <w:trHeight w:val="459"/>
        </w:trPr>
        <w:tc>
          <w:tcPr>
            <w:shd w:val="clear" w:color="auto" w:fill="auto"/>
            <w:tcW w:w="9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17</w:t>
            </w:r>
            <w:r/>
          </w:p>
        </w:tc>
        <w:tc>
          <w:tcPr>
            <w:shd w:val="clear" w:color="auto" w:fill="auto"/>
            <w:tcW w:w="36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限载牌</w:t>
            </w:r>
            <w:r/>
          </w:p>
        </w:tc>
        <w:tc>
          <w:tcPr>
            <w:shd w:val="clear" w:color="auto" w:fill="auto"/>
            <w:tcW w:w="161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块</w:t>
            </w:r>
            <w:r/>
          </w:p>
        </w:tc>
        <w:tc>
          <w:tcPr>
            <w:shd w:val="clear" w:color="auto" w:fill="auto"/>
            <w:tcW w:w="2253" w:type="dxa"/>
            <w:vAlign w:val="center"/>
            <w:textDirection w:val="lrTb"/>
            <w:noWrap w:val="false"/>
          </w:tcPr>
          <w:p>
            <w:pPr>
              <w:jc w:val="center"/>
              <w:widowControl/>
              <w:rPr>
                <w:rFonts w:hint="eastAsia" w:ascii="宋体" w:hAnsi="宋体" w:cs="宋体"/>
                <w:color w:val="auto"/>
                <w:szCs w:val="21"/>
                <w:highlight w:val="white"/>
              </w:rPr>
            </w:pPr>
            <w:r>
              <w:rPr>
                <w:rFonts w:hint="eastAsia" w:ascii="宋体" w:hAnsi="宋体" w:eastAsia="宋体" w:cs="宋体"/>
                <w:color w:val="auto"/>
                <w:sz w:val="21"/>
                <w:szCs w:val="21"/>
                <w:highlight w:val="white"/>
                <w:lang w:bidi="ar"/>
              </w:rPr>
              <w:t xml:space="preserve">71</w:t>
            </w:r>
            <w:r>
              <w:rPr>
                <w:highlight w:val="white"/>
              </w:rPr>
            </w:r>
          </w:p>
        </w:tc>
      </w:tr>
      <w:tr>
        <w:trPr>
          <w:trHeight w:val="434"/>
        </w:trPr>
        <w:tc>
          <w:tcPr>
            <w:shd w:val="clear" w:color="auto" w:fill="auto"/>
            <w:tcW w:w="9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18</w:t>
            </w:r>
            <w:r/>
          </w:p>
        </w:tc>
        <w:tc>
          <w:tcPr>
            <w:shd w:val="clear" w:color="auto" w:fill="auto"/>
            <w:tcW w:w="36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限高牌</w:t>
            </w:r>
            <w:r/>
          </w:p>
        </w:tc>
        <w:tc>
          <w:tcPr>
            <w:shd w:val="clear" w:color="auto" w:fill="auto"/>
            <w:tcW w:w="161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块</w:t>
            </w:r>
            <w:r/>
          </w:p>
        </w:tc>
        <w:tc>
          <w:tcPr>
            <w:shd w:val="clear" w:color="auto" w:fill="auto"/>
            <w:tcW w:w="2253" w:type="dxa"/>
            <w:vAlign w:val="center"/>
            <w:textDirection w:val="lrTb"/>
            <w:noWrap w:val="false"/>
          </w:tcPr>
          <w:p>
            <w:pPr>
              <w:jc w:val="center"/>
              <w:widowControl/>
              <w:rPr>
                <w:rFonts w:hint="eastAsia" w:ascii="宋体" w:hAnsi="宋体" w:cs="宋体"/>
                <w:color w:val="auto"/>
                <w:szCs w:val="21"/>
                <w:highlight w:val="white"/>
              </w:rPr>
            </w:pPr>
            <w:r>
              <w:rPr>
                <w:rFonts w:hint="eastAsia" w:ascii="宋体" w:hAnsi="宋体" w:eastAsia="宋体" w:cs="宋体"/>
                <w:color w:val="auto"/>
                <w:sz w:val="21"/>
                <w:szCs w:val="21"/>
                <w:highlight w:val="white"/>
                <w:lang w:bidi="ar"/>
              </w:rPr>
              <w:t xml:space="preserve">30</w:t>
            </w:r>
            <w:r>
              <w:rPr>
                <w:highlight w:val="white"/>
              </w:rPr>
            </w:r>
          </w:p>
        </w:tc>
      </w:tr>
      <w:tr>
        <w:trPr>
          <w:trHeight w:val="459"/>
        </w:trPr>
        <w:tc>
          <w:tcPr>
            <w:shd w:val="clear" w:color="auto" w:fill="auto"/>
            <w:tcW w:w="9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19</w:t>
            </w:r>
            <w:r/>
          </w:p>
        </w:tc>
        <w:tc>
          <w:tcPr>
            <w:shd w:val="clear" w:color="auto" w:fill="auto"/>
            <w:tcW w:w="36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交通标线+地面标识</w:t>
            </w:r>
            <w:r/>
          </w:p>
        </w:tc>
        <w:tc>
          <w:tcPr>
            <w:shd w:val="clear" w:color="auto" w:fill="auto"/>
            <w:tcW w:w="161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highlight w:val="none"/>
              </w:rPr>
              <w:t xml:space="preserve">平方米</w:t>
            </w:r>
            <w:r/>
          </w:p>
        </w:tc>
        <w:tc>
          <w:tcPr>
            <w:shd w:val="clear" w:color="auto" w:fill="auto"/>
            <w:tcW w:w="2253" w:type="dxa"/>
            <w:vAlign w:val="center"/>
            <w:textDirection w:val="lrTb"/>
            <w:noWrap w:val="false"/>
          </w:tcPr>
          <w:p>
            <w:pPr>
              <w:jc w:val="center"/>
              <w:widowControl/>
              <w:rPr>
                <w:rFonts w:hint="eastAsia" w:ascii="宋体" w:hAnsi="宋体" w:cs="宋体"/>
                <w:color w:val="auto"/>
                <w:szCs w:val="21"/>
                <w:highlight w:val="white"/>
              </w:rPr>
            </w:pPr>
            <w:r>
              <w:rPr>
                <w:rFonts w:hint="eastAsia" w:ascii="宋体" w:hAnsi="宋体" w:eastAsia="宋体" w:cs="宋体"/>
                <w:color w:val="auto"/>
                <w:sz w:val="21"/>
                <w:szCs w:val="21"/>
                <w:highlight w:val="white"/>
                <w:lang w:val="en-US" w:eastAsia="zh-CN" w:bidi="ar"/>
              </w:rPr>
              <w:t xml:space="preserve">76382</w:t>
            </w:r>
            <w:r>
              <w:rPr>
                <w:highlight w:val="white"/>
              </w:rPr>
            </w:r>
          </w:p>
        </w:tc>
      </w:tr>
      <w:tr>
        <w:trPr>
          <w:trHeight w:val="429"/>
        </w:trPr>
        <w:tc>
          <w:tcPr>
            <w:shd w:val="clear" w:color="auto" w:fill="auto"/>
            <w:tcW w:w="9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auto" w:fill="auto"/>
            <w:tcW w:w="36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陶颗粒</w:t>
            </w:r>
            <w:r/>
          </w:p>
        </w:tc>
        <w:tc>
          <w:tcPr>
            <w:shd w:val="clear" w:color="auto" w:fill="auto"/>
            <w:tcW w:w="161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highlight w:val="none"/>
              </w:rPr>
              <w:t xml:space="preserve">平方米</w:t>
            </w:r>
            <w:r/>
          </w:p>
        </w:tc>
        <w:tc>
          <w:tcPr>
            <w:shd w:val="clear" w:color="auto" w:fill="auto"/>
            <w:tcW w:w="2253" w:type="dxa"/>
            <w:vAlign w:val="center"/>
            <w:textDirection w:val="lrTb"/>
            <w:noWrap w:val="false"/>
          </w:tcPr>
          <w:p>
            <w:pPr>
              <w:jc w:val="center"/>
              <w:widowControl/>
              <w:rPr>
                <w:rFonts w:hint="eastAsia" w:ascii="宋体" w:hAnsi="宋体" w:cs="宋体"/>
                <w:color w:val="auto"/>
                <w:szCs w:val="21"/>
                <w:highlight w:val="white"/>
              </w:rPr>
            </w:pPr>
            <w:r>
              <w:rPr>
                <w:rFonts w:hint="eastAsia" w:ascii="宋体" w:hAnsi="宋体" w:eastAsia="宋体" w:cs="宋体"/>
                <w:color w:val="auto"/>
                <w:sz w:val="21"/>
                <w:szCs w:val="21"/>
                <w:highlight w:val="white"/>
                <w:lang w:val="en-US" w:eastAsia="zh-CN" w:bidi="ar"/>
              </w:rPr>
              <w:t xml:space="preserve">6092</w:t>
            </w:r>
            <w:r>
              <w:rPr>
                <w:highlight w:val="white"/>
              </w:rPr>
            </w:r>
          </w:p>
        </w:tc>
      </w:tr>
      <w:tr>
        <w:trPr>
          <w:trHeight w:val="459"/>
        </w:trPr>
        <w:tc>
          <w:tcPr>
            <w:shd w:val="clear" w:color="auto" w:fill="auto"/>
            <w:tcW w:w="9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21</w:t>
            </w:r>
            <w:r/>
          </w:p>
        </w:tc>
        <w:tc>
          <w:tcPr>
            <w:shd w:val="clear" w:color="auto" w:fill="auto"/>
            <w:tcW w:w="36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防撞柱</w:t>
            </w:r>
            <w:r/>
          </w:p>
        </w:tc>
        <w:tc>
          <w:tcPr>
            <w:shd w:val="clear" w:color="auto" w:fill="auto"/>
            <w:tcW w:w="161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套</w:t>
            </w:r>
            <w:r/>
          </w:p>
        </w:tc>
        <w:tc>
          <w:tcPr>
            <w:shd w:val="clear" w:color="auto" w:fill="auto"/>
            <w:tcW w:w="2253" w:type="dxa"/>
            <w:vAlign w:val="center"/>
            <w:textDirection w:val="lrTb"/>
            <w:noWrap w:val="false"/>
          </w:tcPr>
          <w:p>
            <w:pPr>
              <w:jc w:val="center"/>
              <w:widowControl/>
              <w:rPr>
                <w:rFonts w:hint="eastAsia" w:ascii="宋体" w:hAnsi="宋体" w:cs="宋体"/>
                <w:color w:val="auto"/>
                <w:szCs w:val="21"/>
                <w:highlight w:val="white"/>
              </w:rPr>
            </w:pPr>
            <w:r>
              <w:rPr>
                <w:rFonts w:hint="eastAsia" w:ascii="宋体" w:hAnsi="宋体" w:eastAsia="宋体" w:cs="宋体"/>
                <w:color w:val="auto"/>
                <w:sz w:val="21"/>
                <w:szCs w:val="21"/>
                <w:highlight w:val="white"/>
                <w:lang w:bidi="ar"/>
              </w:rPr>
              <w:t xml:space="preserve">1003</w:t>
            </w:r>
            <w:r>
              <w:rPr>
                <w:highlight w:val="white"/>
              </w:rPr>
            </w:r>
          </w:p>
        </w:tc>
      </w:tr>
      <w:tr>
        <w:trPr>
          <w:trHeight w:val="459"/>
        </w:trPr>
        <w:tc>
          <w:tcPr>
            <w:shd w:val="clear" w:color="auto" w:fill="auto"/>
            <w:tcW w:w="9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22</w:t>
            </w:r>
            <w:r/>
          </w:p>
        </w:tc>
        <w:tc>
          <w:tcPr>
            <w:shd w:val="clear" w:color="auto" w:fill="auto"/>
            <w:tcW w:w="36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爆闪灯</w:t>
            </w:r>
            <w:r/>
          </w:p>
        </w:tc>
        <w:tc>
          <w:tcPr>
            <w:shd w:val="clear" w:color="auto" w:fill="auto"/>
            <w:tcW w:w="161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套</w:t>
            </w:r>
            <w:r/>
          </w:p>
        </w:tc>
        <w:tc>
          <w:tcPr>
            <w:shd w:val="clear" w:color="auto" w:fill="auto"/>
            <w:tcW w:w="225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1"/>
                <w:szCs w:val="21"/>
                <w:lang w:bidi="ar"/>
              </w:rPr>
              <w:t xml:space="preserve">187</w:t>
            </w:r>
            <w:r/>
          </w:p>
        </w:tc>
      </w:tr>
    </w:tbl>
    <w:p>
      <w:pPr>
        <w:spacing w:line="360" w:lineRule="auto"/>
        <w:rPr>
          <w:rFonts w:hint="eastAsia" w:ascii="宋体" w:hAnsi="宋体" w:cs="宋体"/>
          <w:b/>
          <w:bCs/>
          <w:color w:val="auto"/>
          <w:szCs w:val="21"/>
          <w:highlight w:val="none"/>
        </w:rPr>
      </w:pPr>
      <w:r>
        <w:rPr>
          <w:rFonts w:hint="eastAsia" w:ascii="宋体" w:hAnsi="宋体" w:eastAsia="宋体" w:cs="宋体"/>
          <w:b/>
          <w:bCs/>
          <w:color w:val="auto"/>
          <w:szCs w:val="21"/>
          <w:highlight w:val="none"/>
        </w:rPr>
        <w:t xml:space="preserve">2、交通设施的日常维护管理要求</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包含设施维修，文明创建维修，热线、媒体、网络等反映问题维修，上级交办的突击、指令性任务等；属于合同范围和内容的项目，供应商应在接到维护通知之时起立即派人施工，2小时内维护完毕，情况复杂的，8小时内维护完毕。供应商不在约定期限内及时进行维护的，采购人可委托其他人员维护，所需费用从供应商的维护工程款内扣除；供应商施工期间严格按照国家有关规定施工，确保维护设施质量和作业安全，自行承担全部责任。因供应商维护质量原因致使工程在保修期内造成人身和财产损害的，供应商应承担损害赔偿责任。其中，</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1）标线：标线维护管养，供应商对采购人管辖范围的主次干道标线进行日常维护管养，每年出新一次（施工选择节假日期间），双龙大道以东、姚湖路以西、宏运大道以南、新亭西路和外港河以北及杨家圩片区出新量不少于总量的50%，沧麒路以东、石杨路以南(不含石杨路)、东麒路以西(含东麒路及东麒路跨宁杭高架桥)、万泰路以北(不含万泰路)出新量不少于总量的35%，必须将原有标线水除线清除，标线清理后沥青路面麻面的及时使用沥青修复材料处理。</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2）标牌、限高架：标牌（指路牌、分道牌、路名牌、禁停清拖、禁令标志、桥名牌、限载牌、限高牌），供应商对采购人管辖范围的主次干道标牌立柱进行日常维护管养，标牌立柱扶正，标牌保持整洁；日常巡视和定期检查，设施缺损维修：每日巡视，每月组织技术人员检查二次，每</w:t>
      </w:r>
      <w:r>
        <w:rPr>
          <w:rFonts w:hint="eastAsia" w:ascii="宋体" w:hAnsi="宋体" w:eastAsia="宋体" w:cs="宋体"/>
          <w:color w:val="auto"/>
          <w:szCs w:val="21"/>
          <w:highlight w:val="none"/>
          <w:lang w:eastAsia="zh-CN"/>
        </w:rPr>
        <w:t xml:space="preserve">月例</w:t>
      </w:r>
      <w:r>
        <w:rPr>
          <w:rFonts w:hint="eastAsia" w:ascii="宋体" w:hAnsi="宋体" w:eastAsia="宋体" w:cs="宋体"/>
          <w:color w:val="auto"/>
          <w:szCs w:val="21"/>
          <w:highlight w:val="none"/>
        </w:rPr>
        <w:t xml:space="preserve">行检查一次。保持标牌、限高架完好、整洁。</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3）护栏、防撞柱、爆闪灯、底座：定期检查护栏是否扭曲、裂缝、生锈或疏松，及时发现并修复损坏护栏、对变形的护栏进行校正或更换，定期检查并紧固护栏的连接部件，确保护栏稳固可靠。定期检查防撞柱的稳固性，确保其与地面连接牢固，发现防撞柱损坏或位移，应及时进行修复或调整，</w:t>
      </w:r>
      <w:r>
        <w:rPr>
          <w:rFonts w:hint="eastAsia" w:ascii="宋体" w:hAnsi="宋体" w:eastAsia="宋体" w:cs="宋体"/>
          <w:color w:val="auto"/>
          <w:highlight w:val="none"/>
        </w:rPr>
        <w:t xml:space="preserve">发现反光膜损坏、脱落或污染时，应及时进行修复或更换。定期检查爆闪灯、反光器是否正常，确保其在夜间能起到警示作用，发现爆闪灯、反光器损坏或亮度不足，应及时进行维修或更换。确保护栏底座完好，发现底座变形或损坏及时进行维修或更换。</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（4）信号灯：</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①交通信号设施的运维系统巡查加人工巡检、日常维护（含交通信号控制机、机箱、交通信号灯、信号倒计时显示器、交通行人灯、交通信号灯杆及相关设施等）。应确保信号灯能被机动车驾驶人、非机动车驾驶人和行人清晰观察到。信号灯出现亮度不足、颜色失真和LED点阵缺失等现象影响使用时，应及时更换，信号灯发现故障、人为损坏及时维修，并做好维修记录。日常巡视和定期检查:日常巡视、定期检查做好相应的台账资料。</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②保障东城老城区范围内的自适应路口能够满足交警部门的日常配时管理需求。结合江宁区交警部门对东山老城区交通流量要求积极配合调整信号配时，增加和优化多时段配时方案，缓解交通拥堵。对东山老城区主、次干道路口，在高峰或平峰采用“绿波带”“红波带”等有效控制方式，提高通行效率。道路交通信号控制工作进行规范化管理，根据路口的实际流量变化，</w:t>
      </w:r>
      <w:r>
        <w:rPr>
          <w:rFonts w:hint="eastAsia" w:ascii="宋体" w:hAnsi="宋体" w:eastAsia="宋体" w:cs="宋体"/>
          <w:color w:val="auto"/>
          <w:szCs w:val="21"/>
          <w:highlight w:val="none"/>
          <w:lang w:eastAsia="zh-CN"/>
        </w:rPr>
        <w:t xml:space="preserve">科学地</w:t>
      </w:r>
      <w:r>
        <w:rPr>
          <w:rFonts w:hint="eastAsia" w:ascii="宋体" w:hAnsi="宋体" w:eastAsia="宋体" w:cs="宋体"/>
          <w:color w:val="auto"/>
          <w:szCs w:val="21"/>
          <w:highlight w:val="none"/>
        </w:rPr>
        <w:t xml:space="preserve">、制定控制方案和合理</w:t>
      </w:r>
      <w:r>
        <w:rPr>
          <w:rFonts w:hint="eastAsia" w:ascii="宋体" w:hAnsi="宋体" w:eastAsia="宋体" w:cs="宋体"/>
          <w:color w:val="auto"/>
          <w:szCs w:val="21"/>
          <w:highlight w:val="none"/>
          <w:lang w:eastAsia="zh-CN"/>
        </w:rPr>
        <w:t xml:space="preserve">地</w:t>
      </w:r>
      <w:r>
        <w:rPr>
          <w:rFonts w:hint="eastAsia" w:ascii="宋体" w:hAnsi="宋体" w:eastAsia="宋体" w:cs="宋体"/>
          <w:color w:val="auto"/>
          <w:szCs w:val="21"/>
          <w:highlight w:val="none"/>
        </w:rPr>
        <w:t xml:space="preserve">分配放行时间，减少路口停车次数，提高路口的实际通行能力，以有效地缓解交通拥堵。</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③东山老城区锈蚀交通信号设施出新，做好路口所有灯具清洁事宜、冬季信号设施铲冰除雪；</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④每季度对路口每台联网协调式交通信号控制机开柜检查一次，具体检查内容为：联网协调式交通信号控制机主板、灯驱板整个联网协调式交通信号控制机机箱的清理，接线端子的清理、断电送电的实验，对每组信号灯和倒计时读秒检查，定期检查信号灯的电气系统是否正常，包括电缆、电线、控制回路等，检查是否有破损或老化现象。确保接地良好，防止漏电和电气火灾的发生。每月对检查内容形成文字、图片及报表形式报送至采购方，一个季度为一个巡查周期；</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⑤维护维修承包方式：维保单位在维护期限内包工、包料、包质量、包安全、包文明施工、包维护设施完好无缺损，风险自担。维护维修所需材料、成品、设备等，均由维保单位自行解决，但必须符合原设计、采购方及有关维护技术规程、规范要求。采购单位可根据信号灯使用年限、使用情况、信号灯标准变更等综合因素考量，对符合要求的信号灯使用专项资金予以更换。</w:t>
      </w:r>
      <w:r/>
    </w:p>
    <w:p>
      <w:pPr>
        <w:pStyle w:val="880"/>
        <w:numPr>
          <w:ilvl w:val="0"/>
          <w:numId w:val="10"/>
        </w:numPr>
        <w:keepLines w:val="0"/>
        <w:keepNext w:val="0"/>
        <w:spacing w:before="0" w:after="0" w:line="360" w:lineRule="auto"/>
        <w:rPr>
          <w:rFonts w:hint="eastAsia" w:ascii="宋体" w:hAnsi="宋体" w:cs="宋体"/>
          <w:bCs w:val="0"/>
          <w:iCs/>
          <w:color w:val="auto"/>
          <w:sz w:val="21"/>
          <w:szCs w:val="21"/>
          <w:highlight w:val="none"/>
        </w:rPr>
      </w:pPr>
      <w:r/>
      <w:bookmarkStart w:id="30" w:name="_Toc19952"/>
      <w:r>
        <w:rPr>
          <w:rFonts w:hint="eastAsia" w:ascii="宋体" w:hAnsi="宋体" w:eastAsia="宋体" w:cs="宋体"/>
          <w:bCs w:val="0"/>
          <w:iCs/>
          <w:color w:val="auto"/>
          <w:sz w:val="21"/>
          <w:szCs w:val="21"/>
          <w:highlight w:val="none"/>
        </w:rPr>
        <w:t xml:space="preserve">更新安装专项要求</w:t>
      </w:r>
      <w:bookmarkEnd w:id="30"/>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根据动态交通情况</w:t>
      </w:r>
      <w:r>
        <w:rPr>
          <w:rFonts w:hint="eastAsia" w:ascii="宋体" w:hAnsi="宋体" w:eastAsia="宋体" w:cs="宋体"/>
          <w:color w:val="auto"/>
          <w:szCs w:val="21"/>
          <w:highlight w:val="none"/>
        </w:rPr>
        <w:t xml:space="preserve">和交管部门意见，用于解决交通拥堵、消除交通隐患新增加交通信号灯、标识标牌等。安装更新专项包含交通信号灯（悬臂式信号灯、单叉式信号灯、立柱式信号灯、立柱式行人灯的杆件、信号灯、显示屏、信号机、各种电缆、主板、灯驱、调试、PE管、各种开关等）、交通标牌（悬臂式指路牌、悬臂式分道牌、三合一标志、禁停牌、清拖牌、让人标志、人行横道标志、学校区域标志、限速牌、禁鸣牌、单立杆、路名牌等）、限高架（含杆件、标志牌维修、爆闪灯等）、标识标线、隔离栏（机动车隔离护栏、机非隔离护栏、人行道护栏、绿化带护栏等）、防撞柱、爆闪灯、</w:t>
      </w:r>
      <w:r>
        <w:rPr>
          <w:rFonts w:hint="eastAsia" w:ascii="宋体" w:hAnsi="宋体" w:eastAsia="宋体" w:cs="宋体"/>
          <w:color w:val="auto"/>
          <w:spacing w:val="-2"/>
          <w:highlight w:val="none"/>
        </w:rPr>
        <w:t xml:space="preserve">太阳能发光道钉</w:t>
      </w:r>
      <w:r>
        <w:rPr>
          <w:rFonts w:hint="eastAsia" w:ascii="宋体" w:hAnsi="宋体" w:eastAsia="宋体" w:cs="宋体"/>
          <w:color w:val="auto"/>
          <w:szCs w:val="21"/>
          <w:highlight w:val="none"/>
        </w:rPr>
        <w:t xml:space="preserve">等设施新增或更换。</w:t>
      </w:r>
      <w:r/>
    </w:p>
    <w:p>
      <w:pPr>
        <w:jc w:val="center"/>
        <w:spacing w:before="71" w:line="192" w:lineRule="auto"/>
        <w:rPr>
          <w:rFonts w:hint="eastAsia" w:ascii="宋体" w:hAnsi="宋体" w:eastAsia="宋体" w:cs="宋体"/>
          <w:color w:val="auto"/>
          <w:sz w:val="18"/>
          <w:szCs w:val="20"/>
          <w:highlight w:val="none"/>
          <w:lang w:eastAsia="zh-CN"/>
        </w:rPr>
      </w:pPr>
      <w:r>
        <w:rPr>
          <w:rFonts w:ascii="宋体" w:hAnsi="宋体" w:eastAsia="宋体" w:cs="宋体"/>
          <w:b/>
          <w:bCs/>
          <w:color w:val="auto"/>
          <w:spacing w:val="-3"/>
          <w:sz w:val="22"/>
          <w:szCs w:val="22"/>
          <w:highlight w:val="none"/>
        </w:rPr>
        <w:t xml:space="preserve">东山主城区交通设施养护—专项更新项目</w:t>
      </w:r>
      <w:r/>
    </w:p>
    <w:tbl>
      <w:tblPr>
        <w:tblStyle w:val="1480"/>
        <w:tblW w:w="892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90"/>
        <w:gridCol w:w="1331"/>
        <w:gridCol w:w="1709"/>
        <w:gridCol w:w="1468"/>
        <w:gridCol w:w="1680"/>
        <w:gridCol w:w="761"/>
        <w:gridCol w:w="1381"/>
      </w:tblGrid>
      <w:tr>
        <w:trPr>
          <w:trHeight w:val="962"/>
        </w:trPr>
        <w:tc>
          <w:tcPr>
            <w:tcW w:w="590" w:type="dxa"/>
            <w:textDirection w:val="lrTb"/>
            <w:noWrap w:val="false"/>
          </w:tcPr>
          <w:p>
            <w:pPr>
              <w:spacing w:line="299"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55"/>
              <w:spacing w:before="78" w:line="221" w:lineRule="auto"/>
              <w:rPr>
                <w:rFonts w:hint="eastAsia" w:ascii="宋体" w:hAnsi="宋体" w:cs="宋体"/>
                <w:color w:val="auto"/>
                <w:sz w:val="21"/>
                <w:szCs w:val="21"/>
                <w:highlight w:val="none"/>
              </w:rPr>
            </w:pPr>
            <w:r>
              <w:rPr>
                <w:rFonts w:hint="eastAsia" w:ascii="宋体" w:hAnsi="宋体" w:eastAsia="宋体" w:cs="宋体"/>
                <w:b/>
                <w:bCs/>
                <w:color w:val="auto"/>
                <w:spacing w:val="-5"/>
                <w:sz w:val="21"/>
                <w:szCs w:val="21"/>
                <w:highlight w:val="none"/>
              </w:rPr>
              <w:t xml:space="preserve">序号</w:t>
            </w:r>
            <w:r/>
          </w:p>
        </w:tc>
        <w:tc>
          <w:tcPr>
            <w:tcW w:w="1331" w:type="dxa"/>
            <w:textDirection w:val="lrTb"/>
            <w:noWrap w:val="false"/>
          </w:tcPr>
          <w:p>
            <w:pPr>
              <w:spacing w:line="299"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431"/>
              <w:spacing w:before="78" w:line="220" w:lineRule="auto"/>
              <w:rPr>
                <w:rFonts w:hint="eastAsia" w:ascii="宋体" w:hAnsi="宋体" w:cs="宋体"/>
                <w:color w:val="auto"/>
                <w:sz w:val="21"/>
                <w:szCs w:val="21"/>
                <w:highlight w:val="none"/>
              </w:rPr>
            </w:pPr>
            <w:r>
              <w:rPr>
                <w:rFonts w:hint="eastAsia" w:ascii="宋体" w:hAnsi="宋体" w:eastAsia="宋体" w:cs="宋体"/>
                <w:b/>
                <w:bCs/>
                <w:color w:val="auto"/>
                <w:spacing w:val="-6"/>
                <w:sz w:val="21"/>
                <w:szCs w:val="21"/>
                <w:highlight w:val="none"/>
              </w:rPr>
              <w:t xml:space="preserve">项目</w:t>
            </w:r>
            <w:r/>
          </w:p>
        </w:tc>
        <w:tc>
          <w:tcPr>
            <w:tcW w:w="1709" w:type="dxa"/>
            <w:textDirection w:val="lrTb"/>
            <w:noWrap w:val="false"/>
          </w:tcPr>
          <w:p>
            <w:pPr>
              <w:spacing w:line="315"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404"/>
              <w:spacing w:before="72" w:line="220" w:lineRule="auto"/>
              <w:rPr>
                <w:rFonts w:hint="eastAsia" w:ascii="宋体" w:hAnsi="宋体" w:cs="宋体"/>
                <w:color w:val="auto"/>
                <w:sz w:val="21"/>
                <w:szCs w:val="21"/>
                <w:highlight w:val="none"/>
              </w:rPr>
            </w:pPr>
            <w:r>
              <w:rPr>
                <w:rFonts w:hint="eastAsia" w:ascii="宋体" w:hAnsi="宋体" w:eastAsia="宋体" w:cs="宋体"/>
                <w:b/>
                <w:bCs/>
                <w:color w:val="auto"/>
                <w:spacing w:val="-4"/>
                <w:sz w:val="21"/>
                <w:szCs w:val="21"/>
                <w:highlight w:val="none"/>
              </w:rPr>
              <w:t xml:space="preserve">规格</w:t>
            </w:r>
            <w:r/>
          </w:p>
        </w:tc>
        <w:tc>
          <w:tcPr>
            <w:tcW w:w="1468" w:type="dxa"/>
            <w:textDirection w:val="lrTb"/>
            <w:noWrap w:val="false"/>
          </w:tcPr>
          <w:p>
            <w:pPr>
              <w:spacing w:line="315"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937"/>
              <w:spacing w:before="72" w:line="220" w:lineRule="auto"/>
              <w:rPr>
                <w:rFonts w:hint="eastAsia" w:ascii="宋体" w:hAnsi="宋体" w:cs="宋体"/>
                <w:color w:val="auto"/>
                <w:sz w:val="21"/>
                <w:szCs w:val="21"/>
                <w:highlight w:val="none"/>
              </w:rPr>
            </w:pPr>
            <w:r>
              <w:rPr>
                <w:rFonts w:hint="eastAsia" w:ascii="宋体" w:hAnsi="宋体" w:eastAsia="宋体" w:cs="宋体"/>
                <w:b/>
                <w:bCs/>
                <w:color w:val="auto"/>
                <w:spacing w:val="-11"/>
                <w:sz w:val="21"/>
                <w:szCs w:val="21"/>
                <w:highlight w:val="none"/>
              </w:rPr>
              <w:t xml:space="preserve">内容</w:t>
            </w:r>
            <w:r/>
          </w:p>
        </w:tc>
        <w:tc>
          <w:tcPr>
            <w:tcW w:w="1680" w:type="dxa"/>
            <w:textDirection w:val="lrTb"/>
            <w:noWrap w:val="false"/>
          </w:tcPr>
          <w:p>
            <w:pPr>
              <w:spacing w:line="315"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4"/>
              <w:spacing w:before="72" w:line="220" w:lineRule="auto"/>
              <w:rPr>
                <w:rFonts w:hint="eastAsia" w:ascii="宋体" w:hAnsi="宋体" w:cs="宋体"/>
                <w:color w:val="auto"/>
                <w:sz w:val="21"/>
                <w:szCs w:val="21"/>
                <w:highlight w:val="none"/>
              </w:rPr>
            </w:pPr>
            <w:r>
              <w:rPr>
                <w:rFonts w:hint="eastAsia" w:ascii="宋体" w:hAnsi="宋体" w:eastAsia="宋体" w:cs="宋体"/>
                <w:b/>
                <w:bCs/>
                <w:color w:val="auto"/>
                <w:spacing w:val="-3"/>
                <w:sz w:val="21"/>
                <w:szCs w:val="21"/>
                <w:highlight w:val="none"/>
              </w:rPr>
              <w:t xml:space="preserve">技术要求</w:t>
            </w:r>
            <w:r/>
          </w:p>
        </w:tc>
        <w:tc>
          <w:tcPr>
            <w:tcW w:w="761" w:type="dxa"/>
            <w:textDirection w:val="lrTb"/>
            <w:noWrap w:val="false"/>
          </w:tcPr>
          <w:p>
            <w:pPr>
              <w:spacing w:line="315"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171"/>
              <w:spacing w:before="71" w:line="221" w:lineRule="auto"/>
              <w:rPr>
                <w:rFonts w:hint="eastAsia" w:ascii="宋体" w:hAnsi="宋体" w:cs="宋体"/>
                <w:color w:val="auto"/>
                <w:sz w:val="21"/>
                <w:szCs w:val="21"/>
                <w:highlight w:val="none"/>
              </w:rPr>
            </w:pPr>
            <w:r>
              <w:rPr>
                <w:rFonts w:hint="eastAsia" w:ascii="宋体" w:hAnsi="宋体" w:eastAsia="宋体" w:cs="宋体"/>
                <w:b/>
                <w:bCs/>
                <w:color w:val="auto"/>
                <w:spacing w:val="-4"/>
                <w:sz w:val="21"/>
                <w:szCs w:val="21"/>
                <w:highlight w:val="none"/>
              </w:rPr>
              <w:t xml:space="preserve">单位</w:t>
            </w:r>
            <w:r/>
          </w:p>
        </w:tc>
        <w:tc>
          <w:tcPr>
            <w:tcBorders>
              <w:top w:val="single" w:color="000000" w:sz="2" w:space="0"/>
              <w:bottom w:val="single" w:color="000000" w:sz="2" w:space="0"/>
            </w:tcBorders>
            <w:tcW w:w="1381" w:type="dxa"/>
            <w:textDirection w:val="lrTb"/>
            <w:noWrap w:val="false"/>
          </w:tcPr>
          <w:p>
            <w:pPr>
              <w:pStyle w:val="1479"/>
              <w:ind w:left="258" w:right="247" w:firstLine="106"/>
              <w:jc w:val="both"/>
              <w:spacing w:before="118" w:line="225" w:lineRule="auto"/>
              <w:rPr>
                <w:rFonts w:hint="eastAsia" w:ascii="宋体" w:hAnsi="宋体" w:cs="宋体"/>
                <w:color w:val="auto"/>
                <w:sz w:val="21"/>
                <w:szCs w:val="21"/>
                <w:highlight w:val="none"/>
              </w:rPr>
            </w:pPr>
            <w:r>
              <w:rPr>
                <w:rFonts w:hint="eastAsia" w:ascii="宋体" w:hAnsi="宋体" w:eastAsia="宋体" w:cs="宋体"/>
                <w:b/>
                <w:bCs/>
                <w:color w:val="auto"/>
                <w:spacing w:val="-3"/>
                <w:sz w:val="21"/>
                <w:szCs w:val="21"/>
                <w:highlight w:val="none"/>
                <w:lang w:eastAsia="zh-CN"/>
              </w:rPr>
              <w:t xml:space="preserve">基准价</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b/>
                <w:bCs/>
                <w:color w:val="auto"/>
                <w:spacing w:val="-8"/>
                <w:sz w:val="21"/>
                <w:szCs w:val="21"/>
                <w:highlight w:val="none"/>
                <w:lang w:eastAsia="zh-CN"/>
              </w:rPr>
              <w:t xml:space="preserve">（单价）</w:t>
            </w:r>
            <w:r>
              <w:rPr>
                <w:rFonts w:hint="eastAsia" w:ascii="宋体" w:hAnsi="宋体" w:eastAsia="宋体" w:cs="宋体"/>
                <w:color w:val="auto"/>
                <w:spacing w:val="2"/>
                <w:sz w:val="21"/>
                <w:szCs w:val="21"/>
                <w:highlight w:val="none"/>
                <w:lang w:eastAsia="zh-CN"/>
              </w:rPr>
              <w:t xml:space="preserve"> </w:t>
            </w:r>
            <w:r>
              <w:rPr>
                <w:rFonts w:hint="eastAsia" w:ascii="宋体" w:hAnsi="宋体" w:eastAsia="宋体" w:cs="宋体"/>
                <w:b/>
                <w:bCs/>
                <w:color w:val="auto"/>
                <w:spacing w:val="27"/>
                <w:sz w:val="21"/>
                <w:szCs w:val="21"/>
                <w:highlight w:val="none"/>
                <w:lang w:eastAsia="zh-CN"/>
              </w:rPr>
              <w:t xml:space="preserve">（元）</w:t>
            </w:r>
            <w:r/>
          </w:p>
        </w:tc>
      </w:tr>
      <w:tr>
        <w:trPr>
          <w:trHeight w:val="1275"/>
        </w:trPr>
        <w:tc>
          <w:tcPr>
            <w:tcW w:w="590" w:type="dxa"/>
            <w:textDirection w:val="lrTb"/>
            <w:noWrap w:val="false"/>
          </w:tcPr>
          <w:p>
            <w:pPr>
              <w:spacing w:line="2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254"/>
              <w:spacing w:before="66" w:line="187"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331" w:type="dxa"/>
            <w:textDirection w:val="lrTb"/>
            <w:noWrap w:val="false"/>
          </w:tcPr>
          <w:p>
            <w:pPr>
              <w:spacing w:line="47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31"/>
              <w:spacing w:before="71" w:line="221"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热熔标线</w:t>
            </w:r>
            <w:r/>
          </w:p>
        </w:tc>
        <w:tc>
          <w:tcPr>
            <w:tcW w:w="1709" w:type="dxa"/>
            <w:textDirection w:val="lrTb"/>
            <w:noWrap w:val="false"/>
          </w:tcPr>
          <w:p>
            <w:pPr>
              <w:spacing w:line="47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79"/>
              <w:spacing w:before="71" w:line="220"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热熔反光型</w:t>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rPr>
              <w:t xml:space="preserve">新增、补划热熔标线</w:t>
            </w:r>
            <w:r/>
          </w:p>
        </w:tc>
        <w:tc>
          <w:tcPr>
            <w:tcW w:w="1680" w:type="dxa"/>
            <w:textDirection w:val="lrTb"/>
            <w:noWrap w:val="false"/>
          </w:tcPr>
          <w:p>
            <w:pPr>
              <w:pStyle w:val="1479"/>
              <w:ind w:left="137" w:right="113"/>
              <w:jc w:val="both"/>
              <w:spacing w:before="137"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W w:w="761" w:type="dxa"/>
            <w:textDirection w:val="lrTb"/>
            <w:noWrap w:val="false"/>
          </w:tcPr>
          <w:p>
            <w:pPr>
              <w:spacing w:line="253"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53"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2" w:line="182" w:lineRule="auto"/>
              <w:rPr>
                <w:rFonts w:hint="eastAsia" w:ascii="宋体" w:hAnsi="宋体" w:cs="宋体"/>
                <w:color w:val="auto"/>
                <w:sz w:val="21"/>
                <w:szCs w:val="21"/>
                <w:highlight w:val="none"/>
              </w:rPr>
            </w:pPr>
            <w:r>
              <w:rPr>
                <w:rFonts w:hint="eastAsia" w:ascii="宋体" w:hAnsi="宋体" w:eastAsia="宋体" w:cs="宋体"/>
                <w:color w:val="auto"/>
                <w:spacing w:val="-6"/>
                <w:sz w:val="21"/>
                <w:szCs w:val="21"/>
                <w:highlight w:val="none"/>
              </w:rPr>
              <w:t xml:space="preserve">1m2</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40</w:t>
            </w:r>
            <w:r/>
          </w:p>
        </w:tc>
      </w:tr>
      <w:tr>
        <w:trPr>
          <w:trHeight w:val="1366"/>
        </w:trPr>
        <w:tc>
          <w:tcPr>
            <w:tcW w:w="590" w:type="dxa"/>
            <w:textDirection w:val="lrTb"/>
            <w:noWrap w:val="false"/>
          </w:tcPr>
          <w:p>
            <w:pPr>
              <w:spacing w:line="27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7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241"/>
              <w:spacing w:before="66" w:line="189"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331" w:type="dxa"/>
            <w:textDirection w:val="lrTb"/>
            <w:noWrap w:val="false"/>
          </w:tcPr>
          <w:p>
            <w:pPr>
              <w:spacing w:line="25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59"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29"/>
              <w:spacing w:before="71" w:line="219"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震荡标线</w:t>
            </w:r>
            <w:r/>
          </w:p>
        </w:tc>
        <w:tc>
          <w:tcPr>
            <w:tcW w:w="1709" w:type="dxa"/>
            <w:textDirection w:val="lrTb"/>
            <w:noWrap w:val="false"/>
          </w:tcPr>
          <w:p>
            <w:pPr>
              <w:spacing w:line="25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5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79"/>
              <w:spacing w:before="72" w:line="221"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热熔凸起型</w:t>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rPr>
              <w:t xml:space="preserve">新增、补划震荡标线</w:t>
            </w:r>
            <w:r/>
          </w:p>
        </w:tc>
        <w:tc>
          <w:tcPr>
            <w:tcW w:w="1680" w:type="dxa"/>
            <w:textDirection w:val="lrTb"/>
            <w:noWrap w:val="false"/>
          </w:tcPr>
          <w:p>
            <w:pPr>
              <w:pStyle w:val="1479"/>
              <w:ind w:left="137" w:right="113"/>
              <w:jc w:val="both"/>
              <w:spacing w:before="184"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W w:w="761" w:type="dxa"/>
            <w:textDirection w:val="lrTb"/>
            <w:noWrap w:val="false"/>
          </w:tcPr>
          <w:p>
            <w:pPr>
              <w:spacing w:line="27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77"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1" w:line="182" w:lineRule="auto"/>
              <w:rPr>
                <w:rFonts w:hint="eastAsia" w:ascii="宋体" w:hAnsi="宋体" w:cs="宋体"/>
                <w:color w:val="auto"/>
                <w:sz w:val="21"/>
                <w:szCs w:val="21"/>
                <w:highlight w:val="none"/>
              </w:rPr>
            </w:pPr>
            <w:r>
              <w:rPr>
                <w:rFonts w:hint="eastAsia" w:ascii="宋体" w:hAnsi="宋体" w:eastAsia="宋体" w:cs="宋体"/>
                <w:color w:val="auto"/>
                <w:spacing w:val="-6"/>
                <w:sz w:val="21"/>
                <w:szCs w:val="21"/>
                <w:highlight w:val="none"/>
              </w:rPr>
              <w:t xml:space="preserve">1m2</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110</w:t>
            </w:r>
            <w:r/>
          </w:p>
        </w:tc>
      </w:tr>
      <w:tr>
        <w:trPr>
          <w:trHeight w:val="1326"/>
        </w:trPr>
        <w:tc>
          <w:tcPr>
            <w:tcW w:w="590" w:type="dxa"/>
            <w:textDirection w:val="lrTb"/>
            <w:noWrap w:val="false"/>
          </w:tcPr>
          <w:p>
            <w:pPr>
              <w:spacing w:line="261"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6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240"/>
              <w:spacing w:before="66" w:line="189"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331" w:type="dxa"/>
            <w:textDirection w:val="lrTb"/>
            <w:noWrap w:val="false"/>
          </w:tcPr>
          <w:p>
            <w:pPr>
              <w:spacing w:line="249"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5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461"/>
              <w:spacing w:before="72" w:line="220" w:lineRule="auto"/>
              <w:rPr>
                <w:rFonts w:hint="eastAsia" w:ascii="宋体" w:hAnsi="宋体" w:cs="宋体"/>
                <w:color w:val="auto"/>
                <w:sz w:val="21"/>
                <w:szCs w:val="21"/>
                <w:highlight w:val="none"/>
              </w:rPr>
            </w:pPr>
            <w:r>
              <w:rPr>
                <w:rFonts w:hint="eastAsia" w:ascii="宋体" w:hAnsi="宋体" w:eastAsia="宋体" w:cs="宋体"/>
                <w:color w:val="auto"/>
                <w:spacing w:val="-6"/>
                <w:sz w:val="21"/>
                <w:szCs w:val="21"/>
                <w:highlight w:val="none"/>
              </w:rPr>
              <w:t xml:space="preserve">除线</w:t>
            </w:r>
            <w:r/>
          </w:p>
        </w:tc>
        <w:tc>
          <w:tcPr>
            <w:tcW w:w="1709" w:type="dxa"/>
            <w:textDirection w:val="lrTb"/>
            <w:noWrap w:val="false"/>
          </w:tcPr>
          <w:p>
            <w:pPr>
              <w:spacing w:line="364"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518" w:right="57" w:hanging="438"/>
              <w:spacing w:before="71" w:line="224" w:lineRule="auto"/>
              <w:rPr>
                <w:rFonts w:hint="eastAsia" w:ascii="宋体" w:hAnsi="宋体" w:cs="宋体"/>
                <w:color w:val="auto"/>
                <w:sz w:val="21"/>
                <w:szCs w:val="21"/>
                <w:highlight w:val="none"/>
              </w:rPr>
            </w:pPr>
            <w:r>
              <w:rPr>
                <w:rFonts w:hint="eastAsia" w:ascii="宋体" w:hAnsi="宋体" w:eastAsia="宋体" w:cs="宋体"/>
                <w:color w:val="auto"/>
                <w:spacing w:val="-3"/>
                <w:sz w:val="21"/>
                <w:szCs w:val="21"/>
                <w:highlight w:val="none"/>
              </w:rPr>
              <w:t xml:space="preserve">高压水除标</w:t>
            </w:r>
            <w:r>
              <w:rPr>
                <w:rFonts w:hint="eastAsia" w:ascii="宋体" w:hAnsi="宋体" w:eastAsia="宋体" w:cs="宋体"/>
                <w:color w:val="auto"/>
                <w:spacing w:val="3"/>
                <w:sz w:val="21"/>
                <w:szCs w:val="21"/>
                <w:highlight w:val="none"/>
              </w:rPr>
              <w:t xml:space="preserve"> </w:t>
            </w:r>
            <w:r>
              <w:rPr>
                <w:rFonts w:hint="eastAsia" w:ascii="宋体" w:hAnsi="宋体" w:eastAsia="宋体" w:cs="宋体"/>
                <w:color w:val="auto"/>
                <w:sz w:val="21"/>
                <w:szCs w:val="21"/>
                <w:highlight w:val="none"/>
              </w:rPr>
              <w:t xml:space="preserve">线</w:t>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lang w:eastAsia="zh-CN"/>
              </w:rPr>
              <w:t xml:space="preserve">高压射水车洗除标线 、回收残渣</w:t>
            </w:r>
            <w:r/>
          </w:p>
        </w:tc>
        <w:tc>
          <w:tcPr>
            <w:tcW w:w="1680" w:type="dxa"/>
            <w:textDirection w:val="lrTb"/>
            <w:noWrap w:val="false"/>
          </w:tcPr>
          <w:p>
            <w:pPr>
              <w:pStyle w:val="1479"/>
              <w:ind w:left="137" w:right="113"/>
              <w:jc w:val="both"/>
              <w:spacing w:before="164"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W w:w="761" w:type="dxa"/>
            <w:textDirection w:val="lrTb"/>
            <w:noWrap w:val="false"/>
          </w:tcPr>
          <w:p>
            <w:pPr>
              <w:spacing w:line="267"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6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2" w:line="182" w:lineRule="auto"/>
              <w:rPr>
                <w:rFonts w:hint="eastAsia" w:ascii="宋体" w:hAnsi="宋体" w:cs="宋体"/>
                <w:color w:val="auto"/>
                <w:sz w:val="21"/>
                <w:szCs w:val="21"/>
                <w:highlight w:val="none"/>
              </w:rPr>
            </w:pPr>
            <w:r>
              <w:rPr>
                <w:rFonts w:hint="eastAsia" w:ascii="宋体" w:hAnsi="宋体" w:eastAsia="宋体" w:cs="宋体"/>
                <w:color w:val="auto"/>
                <w:spacing w:val="-6"/>
                <w:sz w:val="21"/>
                <w:szCs w:val="21"/>
                <w:highlight w:val="none"/>
              </w:rPr>
              <w:t xml:space="preserve">1m2</w:t>
            </w:r>
            <w:r/>
          </w:p>
        </w:tc>
        <w:tc>
          <w:tcPr>
            <w:tcBorders>
              <w:top w:val="single" w:color="000000" w:sz="2" w:space="0"/>
              <w:bottom w:val="single" w:color="000000" w:sz="2" w:space="0"/>
            </w:tcBorders>
            <w:tcW w:w="1381"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30</w:t>
            </w:r>
            <w:r/>
          </w:p>
        </w:tc>
      </w:tr>
      <w:tr>
        <w:trPr>
          <w:trHeight w:val="1335"/>
        </w:trPr>
        <w:tc>
          <w:tcPr>
            <w:tcW w:w="590" w:type="dxa"/>
            <w:textDirection w:val="lrTb"/>
            <w:noWrap w:val="false"/>
          </w:tcPr>
          <w:p>
            <w:pPr>
              <w:spacing w:line="265"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6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234"/>
              <w:spacing w:before="67" w:line="186"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331" w:type="dxa"/>
            <w:textDirection w:val="lrTb"/>
            <w:noWrap w:val="false"/>
          </w:tcPr>
          <w:p>
            <w:pPr>
              <w:spacing w:line="25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53"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117"/>
              <w:spacing w:before="71" w:line="220" w:lineRule="auto"/>
              <w:rPr>
                <w:rFonts w:hint="eastAsia" w:ascii="宋体" w:hAnsi="宋体" w:cs="宋体"/>
                <w:color w:val="auto"/>
                <w:sz w:val="21"/>
                <w:szCs w:val="21"/>
                <w:highlight w:val="none"/>
              </w:rPr>
            </w:pPr>
            <w:r>
              <w:rPr>
                <w:rFonts w:hint="eastAsia" w:ascii="宋体" w:hAnsi="宋体" w:eastAsia="宋体" w:cs="宋体"/>
                <w:color w:val="auto"/>
                <w:spacing w:val="-1"/>
                <w:sz w:val="21"/>
                <w:szCs w:val="21"/>
                <w:highlight w:val="none"/>
              </w:rPr>
              <w:t xml:space="preserve">新增禁停牌</w:t>
            </w:r>
            <w:r/>
          </w:p>
        </w:tc>
        <w:tc>
          <w:tcPr>
            <w:tcW w:w="1709" w:type="dxa"/>
            <w:textDirection w:val="lrTb"/>
            <w:noWrap w:val="false"/>
          </w:tcPr>
          <w:p>
            <w:pPr>
              <w:spacing w:line="397"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95" w:right="57" w:firstLine="33"/>
              <w:spacing w:before="71" w:line="212"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φ</w:t>
            </w:r>
            <w:r>
              <w:rPr>
                <w:rFonts w:hint="eastAsia" w:ascii="宋体" w:hAnsi="宋体" w:eastAsia="宋体" w:cs="宋体"/>
                <w:color w:val="auto"/>
                <w:spacing w:val="27"/>
                <w:sz w:val="21"/>
                <w:szCs w:val="21"/>
                <w:highlight w:val="none"/>
              </w:rPr>
              <w:t xml:space="preserve"> </w:t>
            </w:r>
            <w:r>
              <w:rPr>
                <w:rFonts w:hint="eastAsia" w:ascii="宋体" w:hAnsi="宋体" w:eastAsia="宋体" w:cs="宋体"/>
                <w:color w:val="auto"/>
                <w:spacing w:val="-2"/>
                <w:sz w:val="21"/>
                <w:szCs w:val="21"/>
                <w:highlight w:val="none"/>
              </w:rPr>
              <w:t xml:space="preserve">800*2mm</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6"/>
                <w:sz w:val="21"/>
                <w:szCs w:val="21"/>
                <w:highlight w:val="none"/>
              </w:rPr>
              <w:t xml:space="preserve">四类反光膜</w:t>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rPr>
              <w:t xml:space="preserve">新增、更换版面</w:t>
            </w:r>
            <w:r/>
          </w:p>
        </w:tc>
        <w:tc>
          <w:tcPr>
            <w:tcW w:w="1680" w:type="dxa"/>
            <w:textDirection w:val="lrTb"/>
            <w:noWrap w:val="false"/>
          </w:tcPr>
          <w:p>
            <w:pPr>
              <w:pStyle w:val="1479"/>
              <w:ind w:left="137" w:right="113"/>
              <w:jc w:val="both"/>
              <w:spacing w:before="170"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W w:w="761" w:type="dxa"/>
            <w:textDirection w:val="lrTb"/>
            <w:noWrap w:val="false"/>
          </w:tcPr>
          <w:p>
            <w:pPr>
              <w:spacing w:line="25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5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2" w:line="221"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1块</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600</w:t>
            </w:r>
            <w:r/>
          </w:p>
        </w:tc>
      </w:tr>
      <w:tr>
        <w:trPr>
          <w:trHeight w:val="1275"/>
        </w:trPr>
        <w:tc>
          <w:tcPr>
            <w:tcW w:w="590" w:type="dxa"/>
            <w:textDirection w:val="lrTb"/>
            <w:noWrap w:val="false"/>
          </w:tcPr>
          <w:p>
            <w:pPr>
              <w:spacing w:line="25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51"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243"/>
              <w:spacing w:before="67" w:line="186"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331" w:type="dxa"/>
            <w:textDirection w:val="lrTb"/>
            <w:noWrap w:val="false"/>
          </w:tcPr>
          <w:p>
            <w:pPr>
              <w:spacing w:line="475"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117"/>
              <w:spacing w:before="71" w:line="220" w:lineRule="auto"/>
              <w:rPr>
                <w:rFonts w:hint="eastAsia" w:ascii="宋体" w:hAnsi="宋体" w:cs="宋体"/>
                <w:color w:val="auto"/>
                <w:sz w:val="21"/>
                <w:szCs w:val="21"/>
                <w:highlight w:val="none"/>
              </w:rPr>
            </w:pPr>
            <w:r>
              <w:rPr>
                <w:rFonts w:hint="eastAsia" w:ascii="宋体" w:hAnsi="宋体" w:eastAsia="宋体" w:cs="宋体"/>
                <w:color w:val="auto"/>
                <w:spacing w:val="-1"/>
                <w:sz w:val="21"/>
                <w:szCs w:val="21"/>
                <w:highlight w:val="none"/>
              </w:rPr>
              <w:t xml:space="preserve">新增清拖牌</w:t>
            </w:r>
            <w:r/>
          </w:p>
        </w:tc>
        <w:tc>
          <w:tcPr>
            <w:tcW w:w="1709" w:type="dxa"/>
            <w:textDirection w:val="lrTb"/>
            <w:noWrap w:val="false"/>
          </w:tcPr>
          <w:p>
            <w:pPr>
              <w:spacing w:line="24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91"/>
              <w:spacing w:before="71" w:line="182"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1000*1500*</w:t>
            </w:r>
            <w:r/>
          </w:p>
          <w:p>
            <w:pPr>
              <w:pStyle w:val="1479"/>
              <w:ind w:left="132"/>
              <w:spacing w:before="17" w:line="220" w:lineRule="auto"/>
              <w:rPr>
                <w:rFonts w:hint="eastAsia" w:ascii="宋体" w:hAnsi="宋体" w:cs="宋体"/>
                <w:color w:val="auto"/>
                <w:sz w:val="21"/>
                <w:szCs w:val="21"/>
                <w:highlight w:val="none"/>
              </w:rPr>
            </w:pPr>
            <w:r>
              <w:rPr>
                <w:rFonts w:hint="eastAsia" w:ascii="宋体" w:hAnsi="宋体" w:eastAsia="宋体" w:cs="宋体"/>
                <w:color w:val="auto"/>
                <w:spacing w:val="-1"/>
                <w:sz w:val="21"/>
                <w:szCs w:val="21"/>
                <w:highlight w:val="none"/>
              </w:rPr>
              <w:t xml:space="preserve">2mm四类反</w:t>
            </w:r>
            <w:r/>
          </w:p>
          <w:p>
            <w:pPr>
              <w:pStyle w:val="1479"/>
              <w:ind w:left="407"/>
              <w:spacing w:before="9" w:line="220" w:lineRule="auto"/>
              <w:rPr>
                <w:rFonts w:hint="eastAsia" w:ascii="宋体" w:hAnsi="宋体" w:cs="宋体"/>
                <w:color w:val="auto"/>
                <w:sz w:val="21"/>
                <w:szCs w:val="21"/>
                <w:highlight w:val="none"/>
              </w:rPr>
            </w:pPr>
            <w:r>
              <w:rPr>
                <w:rFonts w:hint="eastAsia" w:ascii="宋体" w:hAnsi="宋体" w:eastAsia="宋体" w:cs="宋体"/>
                <w:color w:val="auto"/>
                <w:spacing w:val="-3"/>
                <w:sz w:val="21"/>
                <w:szCs w:val="21"/>
                <w:highlight w:val="none"/>
              </w:rPr>
              <w:t xml:space="preserve">光膜</w:t>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rPr>
              <w:t xml:space="preserve">新增、更换版面</w:t>
            </w:r>
            <w:r/>
          </w:p>
        </w:tc>
        <w:tc>
          <w:tcPr>
            <w:tcW w:w="1680" w:type="dxa"/>
            <w:textDirection w:val="lrTb"/>
            <w:noWrap w:val="false"/>
          </w:tcPr>
          <w:p>
            <w:pPr>
              <w:pStyle w:val="1479"/>
              <w:ind w:left="137" w:right="113"/>
              <w:jc w:val="both"/>
              <w:spacing w:before="143"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W w:w="761" w:type="dxa"/>
            <w:textDirection w:val="lrTb"/>
            <w:noWrap w:val="false"/>
          </w:tcPr>
          <w:p>
            <w:pPr>
              <w:spacing w:line="474"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2" w:line="221"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1块</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1500</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1229"/>
        </w:trPr>
        <w:tc>
          <w:tcPr>
            <w:tcW w:w="590" w:type="dxa"/>
            <w:textDirection w:val="lrTb"/>
            <w:noWrap w:val="false"/>
          </w:tcPr>
          <w:p>
            <w:pPr>
              <w:spacing w:line="47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239"/>
              <w:spacing w:before="67" w:line="189"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331" w:type="dxa"/>
            <w:textDirection w:val="lrTb"/>
            <w:noWrap w:val="false"/>
          </w:tcPr>
          <w:p>
            <w:pPr>
              <w:spacing w:line="319"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448" w:right="103" w:hanging="331"/>
              <w:spacing w:before="72" w:line="224"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新增三合一</w:t>
            </w:r>
            <w:r>
              <w:rPr>
                <w:rFonts w:hint="eastAsia" w:ascii="宋体" w:hAnsi="宋体" w:eastAsia="宋体" w:cs="宋体"/>
                <w:color w:val="auto"/>
                <w:spacing w:val="3"/>
                <w:sz w:val="21"/>
                <w:szCs w:val="21"/>
                <w:highlight w:val="none"/>
              </w:rPr>
              <w:t xml:space="preserve"> </w:t>
            </w:r>
            <w:r>
              <w:rPr>
                <w:rFonts w:hint="eastAsia" w:ascii="宋体" w:hAnsi="宋体" w:eastAsia="宋体" w:cs="宋体"/>
                <w:color w:val="auto"/>
                <w:spacing w:val="-2"/>
                <w:sz w:val="21"/>
                <w:szCs w:val="21"/>
                <w:highlight w:val="none"/>
              </w:rPr>
              <w:t xml:space="preserve">标志</w:t>
            </w:r>
            <w:r/>
          </w:p>
        </w:tc>
        <w:tc>
          <w:tcPr>
            <w:tcW w:w="1709" w:type="dxa"/>
            <w:textDirection w:val="lrTb"/>
            <w:noWrap w:val="false"/>
          </w:tcPr>
          <w:p>
            <w:pPr>
              <w:spacing w:line="347"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94" w:right="57" w:hanging="21"/>
              <w:spacing w:before="71" w:line="212"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φ</w:t>
            </w:r>
            <w:r>
              <w:rPr>
                <w:rFonts w:hint="eastAsia" w:ascii="宋体" w:hAnsi="宋体" w:eastAsia="宋体" w:cs="宋体"/>
                <w:color w:val="auto"/>
                <w:spacing w:val="47"/>
                <w:sz w:val="21"/>
                <w:szCs w:val="21"/>
                <w:highlight w:val="none"/>
              </w:rPr>
              <w:t xml:space="preserve"> </w:t>
            </w:r>
            <w:r>
              <w:rPr>
                <w:rFonts w:hint="eastAsia" w:ascii="宋体" w:hAnsi="宋体" w:eastAsia="宋体" w:cs="宋体"/>
                <w:color w:val="auto"/>
                <w:spacing w:val="-4"/>
                <w:sz w:val="21"/>
                <w:szCs w:val="21"/>
                <w:highlight w:val="none"/>
              </w:rPr>
              <w:t xml:space="preserve">1200*2mm</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6"/>
                <w:sz w:val="21"/>
                <w:szCs w:val="21"/>
                <w:highlight w:val="none"/>
              </w:rPr>
              <w:t xml:space="preserve">四类反光膜</w:t>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rPr>
              <w:t xml:space="preserve">新增、更换版面</w:t>
            </w:r>
            <w:r/>
          </w:p>
        </w:tc>
        <w:tc>
          <w:tcPr>
            <w:tcW w:w="1680" w:type="dxa"/>
            <w:textDirection w:val="lrTb"/>
            <w:noWrap w:val="false"/>
          </w:tcPr>
          <w:p>
            <w:pPr>
              <w:pStyle w:val="1479"/>
              <w:ind w:left="137" w:right="113"/>
              <w:jc w:val="both"/>
              <w:spacing w:before="120"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W w:w="761" w:type="dxa"/>
            <w:textDirection w:val="lrTb"/>
            <w:noWrap w:val="false"/>
          </w:tcPr>
          <w:p>
            <w:pPr>
              <w:spacing w:line="455"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1" w:line="221"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1块</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1000</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1229"/>
        </w:trPr>
        <w:tc>
          <w:tcPr>
            <w:tcW w:w="590" w:type="dxa"/>
            <w:textDirection w:val="lrTb"/>
            <w:noWrap w:val="false"/>
          </w:tcPr>
          <w:p>
            <w:pPr>
              <w:spacing w:line="241"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4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240"/>
              <w:spacing w:before="67" w:line="186"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331" w:type="dxa"/>
            <w:textDirection w:val="lrTb"/>
            <w:noWrap w:val="false"/>
          </w:tcPr>
          <w:p>
            <w:pPr>
              <w:spacing w:line="321"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448" w:right="103" w:hanging="331"/>
              <w:spacing w:before="71" w:line="224"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新增车让人</w:t>
            </w:r>
            <w:r>
              <w:rPr>
                <w:rFonts w:hint="eastAsia" w:ascii="宋体" w:hAnsi="宋体" w:eastAsia="宋体" w:cs="宋体"/>
                <w:color w:val="auto"/>
                <w:spacing w:val="3"/>
                <w:sz w:val="21"/>
                <w:szCs w:val="21"/>
                <w:highlight w:val="none"/>
              </w:rPr>
              <w:t xml:space="preserve"> </w:t>
            </w:r>
            <w:r>
              <w:rPr>
                <w:rFonts w:hint="eastAsia" w:ascii="宋体" w:hAnsi="宋体" w:eastAsia="宋体" w:cs="宋体"/>
                <w:color w:val="auto"/>
                <w:spacing w:val="-2"/>
                <w:sz w:val="21"/>
                <w:szCs w:val="21"/>
                <w:highlight w:val="none"/>
              </w:rPr>
              <w:t xml:space="preserve">标志</w:t>
            </w:r>
            <w:r/>
          </w:p>
        </w:tc>
        <w:tc>
          <w:tcPr>
            <w:tcW w:w="1709" w:type="dxa"/>
            <w:textDirection w:val="lrTb"/>
            <w:noWrap w:val="false"/>
          </w:tcPr>
          <w:p>
            <w:pPr>
              <w:pStyle w:val="1479"/>
              <w:ind w:left="75"/>
              <w:spacing w:before="296" w:line="182" w:lineRule="auto"/>
              <w:rPr>
                <w:rFonts w:hint="eastAsia" w:ascii="宋体" w:hAnsi="宋体" w:cs="宋体"/>
                <w:color w:val="auto"/>
                <w:sz w:val="21"/>
                <w:szCs w:val="21"/>
                <w:highlight w:val="none"/>
              </w:rPr>
            </w:pPr>
            <w:r>
              <w:rPr>
                <w:rFonts w:hint="eastAsia" w:ascii="宋体" w:hAnsi="宋体" w:eastAsia="宋体" w:cs="宋体"/>
                <w:color w:val="auto"/>
                <w:spacing w:val="-1"/>
                <w:sz w:val="21"/>
                <w:szCs w:val="21"/>
                <w:highlight w:val="none"/>
              </w:rPr>
              <w:t xml:space="preserve">800*1200*2</w:t>
            </w:r>
            <w:r/>
          </w:p>
          <w:p>
            <w:pPr>
              <w:pStyle w:val="1479"/>
              <w:ind w:left="68"/>
              <w:spacing w:before="17" w:line="22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mm四类反光</w:t>
            </w:r>
            <w:r/>
          </w:p>
          <w:p>
            <w:pPr>
              <w:pStyle w:val="1479"/>
              <w:ind w:left="515"/>
              <w:spacing w:before="8" w:line="221"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膜</w:t>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rPr>
              <w:t xml:space="preserve">新增、更换版面</w:t>
            </w:r>
            <w:r/>
          </w:p>
        </w:tc>
        <w:tc>
          <w:tcPr>
            <w:tcW w:w="1680" w:type="dxa"/>
            <w:textDirection w:val="lrTb"/>
            <w:noWrap w:val="false"/>
          </w:tcPr>
          <w:p>
            <w:pPr>
              <w:pStyle w:val="1479"/>
              <w:ind w:left="137" w:right="113"/>
              <w:jc w:val="both"/>
              <w:spacing w:before="121"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W w:w="761" w:type="dxa"/>
            <w:textDirection w:val="lrTb"/>
            <w:noWrap w:val="false"/>
          </w:tcPr>
          <w:p>
            <w:pPr>
              <w:spacing w:line="45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2" w:line="221"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1块</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1000</w:t>
            </w:r>
            <w:r/>
          </w:p>
        </w:tc>
      </w:tr>
      <w:tr>
        <w:trPr>
          <w:trHeight w:val="1230"/>
        </w:trPr>
        <w:tc>
          <w:tcPr>
            <w:tcW w:w="590" w:type="dxa"/>
            <w:textDirection w:val="lrTb"/>
            <w:noWrap w:val="false"/>
          </w:tcPr>
          <w:p>
            <w:pPr>
              <w:spacing w:line="241"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41"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237"/>
              <w:spacing w:before="67" w:line="189"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1331" w:type="dxa"/>
            <w:textDirection w:val="lrTb"/>
            <w:noWrap w:val="false"/>
          </w:tcPr>
          <w:p>
            <w:pPr>
              <w:spacing w:line="323"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336" w:right="103" w:hanging="219"/>
              <w:spacing w:before="72" w:line="224"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新增人行横</w:t>
            </w:r>
            <w:r>
              <w:rPr>
                <w:rFonts w:hint="eastAsia" w:ascii="宋体" w:hAnsi="宋体" w:eastAsia="宋体" w:cs="宋体"/>
                <w:color w:val="auto"/>
                <w:spacing w:val="3"/>
                <w:sz w:val="21"/>
                <w:szCs w:val="21"/>
                <w:highlight w:val="none"/>
              </w:rPr>
              <w:t xml:space="preserve"> </w:t>
            </w:r>
            <w:r>
              <w:rPr>
                <w:rFonts w:hint="eastAsia" w:ascii="宋体" w:hAnsi="宋体" w:eastAsia="宋体" w:cs="宋体"/>
                <w:color w:val="auto"/>
                <w:spacing w:val="-2"/>
                <w:sz w:val="21"/>
                <w:szCs w:val="21"/>
                <w:highlight w:val="none"/>
              </w:rPr>
              <w:t xml:space="preserve">道标志</w:t>
            </w:r>
            <w:r/>
          </w:p>
        </w:tc>
        <w:tc>
          <w:tcPr>
            <w:tcW w:w="1709" w:type="dxa"/>
            <w:textDirection w:val="lrTb"/>
            <w:noWrap w:val="false"/>
          </w:tcPr>
          <w:p>
            <w:pPr>
              <w:pStyle w:val="1479"/>
              <w:ind w:left="75"/>
              <w:spacing w:before="298" w:line="182" w:lineRule="auto"/>
              <w:rPr>
                <w:rFonts w:hint="eastAsia" w:ascii="宋体" w:hAnsi="宋体" w:cs="宋体"/>
                <w:color w:val="auto"/>
                <w:sz w:val="21"/>
                <w:szCs w:val="21"/>
                <w:highlight w:val="none"/>
              </w:rPr>
            </w:pPr>
            <w:r>
              <w:rPr>
                <w:rFonts w:hint="eastAsia" w:ascii="宋体" w:hAnsi="宋体" w:eastAsia="宋体" w:cs="宋体"/>
                <w:color w:val="auto"/>
                <w:spacing w:val="-1"/>
                <w:sz w:val="21"/>
                <w:szCs w:val="21"/>
                <w:highlight w:val="none"/>
              </w:rPr>
              <w:t xml:space="preserve">800*800*2m</w:t>
            </w:r>
            <w:r/>
          </w:p>
          <w:p>
            <w:pPr>
              <w:pStyle w:val="1479"/>
              <w:ind w:left="124"/>
              <w:spacing w:before="18" w:line="22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m四类反光</w:t>
            </w:r>
            <w:r/>
          </w:p>
          <w:p>
            <w:pPr>
              <w:pStyle w:val="1479"/>
              <w:ind w:left="515"/>
              <w:spacing w:before="8" w:line="221"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膜</w:t>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rPr>
              <w:t xml:space="preserve">新增、更换版面</w:t>
            </w:r>
            <w:r/>
          </w:p>
        </w:tc>
        <w:tc>
          <w:tcPr>
            <w:tcW w:w="1680" w:type="dxa"/>
            <w:textDirection w:val="lrTb"/>
            <w:noWrap w:val="false"/>
          </w:tcPr>
          <w:p>
            <w:pPr>
              <w:pStyle w:val="1479"/>
              <w:ind w:left="137" w:right="113"/>
              <w:jc w:val="both"/>
              <w:spacing w:before="124"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W w:w="761" w:type="dxa"/>
            <w:textDirection w:val="lrTb"/>
            <w:noWrap w:val="false"/>
          </w:tcPr>
          <w:p>
            <w:pPr>
              <w:spacing w:line="45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2" w:line="221"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1块</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600</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1229"/>
        </w:trPr>
        <w:tc>
          <w:tcPr>
            <w:tcW w:w="590" w:type="dxa"/>
            <w:textDirection w:val="lrTb"/>
            <w:noWrap w:val="false"/>
          </w:tcPr>
          <w:p>
            <w:pPr>
              <w:spacing w:line="241"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4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237"/>
              <w:spacing w:before="66" w:line="189"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1331" w:type="dxa"/>
            <w:textDirection w:val="lrTb"/>
            <w:noWrap w:val="false"/>
          </w:tcPr>
          <w:p>
            <w:pPr>
              <w:spacing w:line="324"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337" w:right="103" w:hanging="220"/>
              <w:spacing w:before="71" w:line="224"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新增学校区</w:t>
            </w:r>
            <w:r>
              <w:rPr>
                <w:rFonts w:hint="eastAsia" w:ascii="宋体" w:hAnsi="宋体" w:eastAsia="宋体" w:cs="宋体"/>
                <w:color w:val="auto"/>
                <w:spacing w:val="3"/>
                <w:sz w:val="21"/>
                <w:szCs w:val="21"/>
                <w:highlight w:val="none"/>
              </w:rPr>
              <w:t xml:space="preserve"> </w:t>
            </w:r>
            <w:r>
              <w:rPr>
                <w:rFonts w:hint="eastAsia" w:ascii="宋体" w:hAnsi="宋体" w:eastAsia="宋体" w:cs="宋体"/>
                <w:color w:val="auto"/>
                <w:spacing w:val="-2"/>
                <w:sz w:val="21"/>
                <w:szCs w:val="21"/>
                <w:highlight w:val="none"/>
              </w:rPr>
              <w:t xml:space="preserve">域标志</w:t>
            </w:r>
            <w:r/>
          </w:p>
        </w:tc>
        <w:tc>
          <w:tcPr>
            <w:tcW w:w="1709" w:type="dxa"/>
            <w:textDirection w:val="lrTb"/>
            <w:noWrap w:val="false"/>
          </w:tcPr>
          <w:p>
            <w:pPr>
              <w:pStyle w:val="1479"/>
              <w:ind w:left="80"/>
              <w:spacing w:before="299" w:line="182" w:lineRule="auto"/>
              <w:rPr>
                <w:rFonts w:hint="eastAsia" w:ascii="宋体" w:hAnsi="宋体" w:cs="宋体"/>
                <w:color w:val="auto"/>
                <w:sz w:val="21"/>
                <w:szCs w:val="21"/>
                <w:highlight w:val="none"/>
              </w:rPr>
            </w:pPr>
            <w:r>
              <w:rPr>
                <w:rFonts w:hint="eastAsia" w:ascii="宋体" w:hAnsi="宋体" w:eastAsia="宋体" w:cs="宋体"/>
                <w:color w:val="auto"/>
                <w:spacing w:val="-1"/>
                <w:sz w:val="21"/>
                <w:szCs w:val="21"/>
                <w:highlight w:val="none"/>
              </w:rPr>
              <w:t xml:space="preserve">700*2000*2</w:t>
            </w:r>
            <w:r/>
          </w:p>
          <w:p>
            <w:pPr>
              <w:pStyle w:val="1479"/>
              <w:ind w:left="68"/>
              <w:spacing w:before="17" w:line="22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mm四类反光</w:t>
            </w:r>
            <w:r/>
          </w:p>
          <w:p>
            <w:pPr>
              <w:pStyle w:val="1479"/>
              <w:ind w:left="515"/>
              <w:spacing w:before="8" w:line="221"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膜</w:t>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rPr>
              <w:t xml:space="preserve">新增、更换版面</w:t>
            </w:r>
            <w:r/>
          </w:p>
        </w:tc>
        <w:tc>
          <w:tcPr>
            <w:tcW w:w="1680" w:type="dxa"/>
            <w:textDirection w:val="lrTb"/>
            <w:noWrap w:val="false"/>
          </w:tcPr>
          <w:p>
            <w:pPr>
              <w:pStyle w:val="1479"/>
              <w:ind w:left="137" w:right="113"/>
              <w:jc w:val="both"/>
              <w:spacing w:before="124"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W w:w="761" w:type="dxa"/>
            <w:textDirection w:val="lrTb"/>
            <w:noWrap w:val="false"/>
          </w:tcPr>
          <w:p>
            <w:pPr>
              <w:spacing w:line="459"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1" w:line="221"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1块</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1300</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1233"/>
        </w:trPr>
        <w:tc>
          <w:tcPr>
            <w:tcBorders>
              <w:left w:val="single" w:color="000000" w:sz="2" w:space="0"/>
              <w:right w:val="single" w:color="000000" w:sz="2" w:space="0"/>
            </w:tcBorders>
            <w:tcW w:w="590" w:type="dxa"/>
            <w:textDirection w:val="lrTb"/>
            <w:noWrap w:val="false"/>
          </w:tcPr>
          <w:p>
            <w:pPr>
              <w:spacing w:line="477"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99"/>
              <w:spacing w:before="66" w:line="189" w:lineRule="auto"/>
              <w:rPr>
                <w:rFonts w:hint="eastAsia" w:ascii="宋体" w:hAnsi="宋体" w:cs="宋体"/>
                <w:color w:val="auto"/>
                <w:sz w:val="21"/>
                <w:szCs w:val="21"/>
                <w:highlight w:val="none"/>
              </w:rPr>
            </w:pPr>
            <w:r>
              <w:rPr>
                <w:rFonts w:hint="eastAsia" w:ascii="宋体" w:hAnsi="宋体" w:eastAsia="宋体" w:cs="宋体"/>
                <w:color w:val="auto"/>
                <w:spacing w:val="-6"/>
                <w:sz w:val="21"/>
                <w:szCs w:val="21"/>
                <w:highlight w:val="none"/>
              </w:rPr>
              <w:t xml:space="preserve">10</w:t>
            </w:r>
            <w:r/>
          </w:p>
        </w:tc>
        <w:tc>
          <w:tcPr>
            <w:tcBorders>
              <w:left w:val="single" w:color="000000" w:sz="2" w:space="0"/>
              <w:right w:val="single" w:color="000000" w:sz="2" w:space="0"/>
            </w:tcBorders>
            <w:tcW w:w="1331" w:type="dxa"/>
            <w:textDirection w:val="lrTb"/>
            <w:noWrap w:val="false"/>
          </w:tcPr>
          <w:p>
            <w:pPr>
              <w:spacing w:line="454"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122"/>
              <w:spacing w:before="71" w:line="220" w:lineRule="auto"/>
              <w:rPr>
                <w:rFonts w:hint="eastAsia" w:ascii="宋体" w:hAnsi="宋体" w:cs="宋体"/>
                <w:color w:val="auto"/>
                <w:sz w:val="21"/>
                <w:szCs w:val="21"/>
                <w:highlight w:val="none"/>
              </w:rPr>
            </w:pPr>
            <w:r>
              <w:rPr>
                <w:rFonts w:hint="eastAsia" w:ascii="宋体" w:hAnsi="宋体" w:eastAsia="宋体" w:cs="宋体"/>
                <w:color w:val="auto"/>
                <w:spacing w:val="-1"/>
                <w:sz w:val="21"/>
                <w:szCs w:val="21"/>
                <w:highlight w:val="none"/>
              </w:rPr>
              <w:t xml:space="preserve">新增限速牌</w:t>
            </w:r>
            <w:r/>
          </w:p>
        </w:tc>
        <w:tc>
          <w:tcPr>
            <w:tcBorders>
              <w:left w:val="single" w:color="000000" w:sz="2" w:space="0"/>
              <w:right w:val="single" w:color="000000" w:sz="2" w:space="0"/>
            </w:tcBorders>
            <w:tcW w:w="1709" w:type="dxa"/>
            <w:textDirection w:val="lrTb"/>
            <w:noWrap w:val="false"/>
          </w:tcPr>
          <w:p>
            <w:pPr>
              <w:spacing w:line="34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100" w:right="62" w:firstLine="33"/>
              <w:spacing w:before="71" w:line="212"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φ</w:t>
            </w:r>
            <w:r>
              <w:rPr>
                <w:rFonts w:hint="eastAsia" w:ascii="宋体" w:hAnsi="宋体" w:eastAsia="宋体" w:cs="宋体"/>
                <w:color w:val="auto"/>
                <w:spacing w:val="27"/>
                <w:sz w:val="21"/>
                <w:szCs w:val="21"/>
                <w:highlight w:val="none"/>
              </w:rPr>
              <w:t xml:space="preserve"> </w:t>
            </w:r>
            <w:r>
              <w:rPr>
                <w:rFonts w:hint="eastAsia" w:ascii="宋体" w:hAnsi="宋体" w:eastAsia="宋体" w:cs="宋体"/>
                <w:color w:val="auto"/>
                <w:spacing w:val="-2"/>
                <w:sz w:val="21"/>
                <w:szCs w:val="21"/>
                <w:highlight w:val="none"/>
              </w:rPr>
              <w:t xml:space="preserve">800*2mm</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6"/>
                <w:sz w:val="21"/>
                <w:szCs w:val="21"/>
                <w:highlight w:val="none"/>
              </w:rPr>
              <w:t xml:space="preserve">四类反光膜</w:t>
            </w:r>
            <w:r/>
          </w:p>
        </w:tc>
        <w:tc>
          <w:tcPr>
            <w:tcBorders>
              <w:left w:val="single" w:color="000000" w:sz="2" w:space="0"/>
              <w:right w:val="single" w:color="000000" w:sz="2" w:space="0"/>
            </w:tcBorders>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rPr>
              <w:t xml:space="preserve">新增、更换版面</w:t>
            </w:r>
            <w:r/>
          </w:p>
        </w:tc>
        <w:tc>
          <w:tcPr>
            <w:tcBorders>
              <w:left w:val="single" w:color="000000" w:sz="2" w:space="0"/>
              <w:right w:val="single" w:color="000000" w:sz="2" w:space="0"/>
            </w:tcBorders>
            <w:tcW w:w="1680" w:type="dxa"/>
            <w:textDirection w:val="lrTb"/>
            <w:noWrap w:val="false"/>
          </w:tcPr>
          <w:p>
            <w:pPr>
              <w:pStyle w:val="1479"/>
              <w:ind w:left="142" w:right="118"/>
              <w:jc w:val="both"/>
              <w:spacing w:before="118"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Borders>
              <w:left w:val="single" w:color="000000" w:sz="2" w:space="0"/>
              <w:right w:val="single" w:color="000000" w:sz="2" w:space="0"/>
            </w:tcBorders>
            <w:tcW w:w="761" w:type="dxa"/>
            <w:textDirection w:val="lrTb"/>
            <w:noWrap w:val="false"/>
          </w:tcPr>
          <w:p>
            <w:pPr>
              <w:spacing w:line="453"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8"/>
              <w:spacing w:before="72" w:line="221"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1块</w:t>
            </w:r>
            <w:r/>
          </w:p>
        </w:tc>
        <w:tc>
          <w:tcPr>
            <w:tcBorders>
              <w:top w:val="single" w:color="000000" w:sz="2" w:space="0"/>
              <w:left w:val="single" w:color="000000" w:sz="2" w:space="0"/>
              <w:bottom w:val="single" w:color="000000" w:sz="2" w:space="0"/>
              <w:right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500</w:t>
            </w:r>
            <w:r/>
          </w:p>
        </w:tc>
      </w:tr>
      <w:tr>
        <w:trPr>
          <w:trHeight w:val="1231"/>
        </w:trPr>
        <w:tc>
          <w:tcPr>
            <w:tcW w:w="590" w:type="dxa"/>
            <w:textDirection w:val="lrTb"/>
            <w:noWrap w:val="false"/>
          </w:tcPr>
          <w:p>
            <w:pPr>
              <w:spacing w:line="474"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94"/>
              <w:spacing w:before="67" w:line="187" w:lineRule="auto"/>
              <w:rPr>
                <w:rFonts w:hint="eastAsia" w:ascii="宋体" w:hAnsi="宋体" w:cs="宋体"/>
                <w:color w:val="auto"/>
                <w:sz w:val="21"/>
                <w:szCs w:val="21"/>
                <w:highlight w:val="none"/>
              </w:rPr>
            </w:pPr>
            <w:r>
              <w:rPr>
                <w:rFonts w:hint="eastAsia" w:ascii="宋体" w:hAnsi="宋体" w:eastAsia="宋体" w:cs="宋体"/>
                <w:color w:val="auto"/>
                <w:spacing w:val="-6"/>
                <w:sz w:val="21"/>
                <w:szCs w:val="21"/>
                <w:highlight w:val="none"/>
              </w:rPr>
              <w:t xml:space="preserve">11</w:t>
            </w:r>
            <w:r/>
          </w:p>
        </w:tc>
        <w:tc>
          <w:tcPr>
            <w:tcW w:w="1331" w:type="dxa"/>
            <w:textDirection w:val="lrTb"/>
            <w:noWrap w:val="false"/>
          </w:tcPr>
          <w:p>
            <w:pPr>
              <w:spacing w:line="449"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117"/>
              <w:spacing w:before="71" w:line="220" w:lineRule="auto"/>
              <w:rPr>
                <w:rFonts w:hint="eastAsia" w:ascii="宋体" w:hAnsi="宋体" w:cs="宋体"/>
                <w:color w:val="auto"/>
                <w:sz w:val="21"/>
                <w:szCs w:val="21"/>
                <w:highlight w:val="none"/>
              </w:rPr>
            </w:pPr>
            <w:r>
              <w:rPr>
                <w:rFonts w:hint="eastAsia" w:ascii="宋体" w:hAnsi="宋体" w:eastAsia="宋体" w:cs="宋体"/>
                <w:color w:val="auto"/>
                <w:spacing w:val="-1"/>
                <w:sz w:val="21"/>
                <w:szCs w:val="21"/>
                <w:highlight w:val="none"/>
              </w:rPr>
              <w:t xml:space="preserve">新增禁鸣牌</w:t>
            </w:r>
            <w:r/>
          </w:p>
        </w:tc>
        <w:tc>
          <w:tcPr>
            <w:tcW w:w="1709" w:type="dxa"/>
            <w:textDirection w:val="lrTb"/>
            <w:noWrap w:val="false"/>
          </w:tcPr>
          <w:p>
            <w:pPr>
              <w:spacing w:line="341"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95" w:right="57" w:firstLine="33"/>
              <w:spacing w:before="71" w:line="212"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φ</w:t>
            </w:r>
            <w:r>
              <w:rPr>
                <w:rFonts w:hint="eastAsia" w:ascii="宋体" w:hAnsi="宋体" w:eastAsia="宋体" w:cs="宋体"/>
                <w:color w:val="auto"/>
                <w:spacing w:val="27"/>
                <w:sz w:val="21"/>
                <w:szCs w:val="21"/>
                <w:highlight w:val="none"/>
              </w:rPr>
              <w:t xml:space="preserve"> </w:t>
            </w:r>
            <w:r>
              <w:rPr>
                <w:rFonts w:hint="eastAsia" w:ascii="宋体" w:hAnsi="宋体" w:eastAsia="宋体" w:cs="宋体"/>
                <w:color w:val="auto"/>
                <w:spacing w:val="-2"/>
                <w:sz w:val="21"/>
                <w:szCs w:val="21"/>
                <w:highlight w:val="none"/>
              </w:rPr>
              <w:t xml:space="preserve">800*2mm</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6"/>
                <w:sz w:val="21"/>
                <w:szCs w:val="21"/>
                <w:highlight w:val="none"/>
              </w:rPr>
              <w:t xml:space="preserve">四类反光膜</w:t>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rPr>
              <w:t xml:space="preserve">新增、更换版面</w:t>
            </w:r>
            <w:r/>
          </w:p>
        </w:tc>
        <w:tc>
          <w:tcPr>
            <w:tcW w:w="1680" w:type="dxa"/>
            <w:textDirection w:val="lrTb"/>
            <w:noWrap w:val="false"/>
          </w:tcPr>
          <w:p>
            <w:pPr>
              <w:pStyle w:val="1479"/>
              <w:ind w:left="137" w:right="113"/>
              <w:jc w:val="both"/>
              <w:spacing w:before="113"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W w:w="761" w:type="dxa"/>
            <w:textDirection w:val="lrTb"/>
            <w:noWrap w:val="false"/>
          </w:tcPr>
          <w:p>
            <w:pPr>
              <w:spacing w:line="4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2" w:line="221"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1块</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500</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1200"/>
        </w:trPr>
        <w:tc>
          <w:tcPr>
            <w:tcW w:w="590" w:type="dxa"/>
            <w:textDirection w:val="lrTb"/>
            <w:noWrap w:val="false"/>
          </w:tcPr>
          <w:p>
            <w:pPr>
              <w:spacing w:line="457"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94"/>
              <w:spacing w:before="67" w:line="189" w:lineRule="auto"/>
              <w:rPr>
                <w:rFonts w:hint="eastAsia" w:ascii="宋体" w:hAnsi="宋体" w:cs="宋体"/>
                <w:color w:val="auto"/>
                <w:sz w:val="21"/>
                <w:szCs w:val="21"/>
                <w:highlight w:val="none"/>
              </w:rPr>
            </w:pPr>
            <w:r>
              <w:rPr>
                <w:rFonts w:hint="eastAsia" w:ascii="宋体" w:hAnsi="宋体" w:eastAsia="宋体" w:cs="宋体"/>
                <w:color w:val="auto"/>
                <w:spacing w:val="-6"/>
                <w:sz w:val="21"/>
                <w:szCs w:val="21"/>
                <w:highlight w:val="none"/>
              </w:rPr>
              <w:t xml:space="preserve">12</w:t>
            </w:r>
            <w:r/>
          </w:p>
        </w:tc>
        <w:tc>
          <w:tcPr>
            <w:tcW w:w="1331" w:type="dxa"/>
            <w:textDirection w:val="lrTb"/>
            <w:noWrap w:val="false"/>
          </w:tcPr>
          <w:p>
            <w:pPr>
              <w:spacing w:line="297"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339" w:right="103" w:hanging="222"/>
              <w:spacing w:before="72" w:line="224"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新增悬臂式</w:t>
            </w:r>
            <w:r>
              <w:rPr>
                <w:rFonts w:hint="eastAsia" w:ascii="宋体" w:hAnsi="宋体" w:eastAsia="宋体" w:cs="宋体"/>
                <w:color w:val="auto"/>
                <w:spacing w:val="3"/>
                <w:sz w:val="21"/>
                <w:szCs w:val="21"/>
                <w:highlight w:val="none"/>
              </w:rPr>
              <w:t xml:space="preserve"> </w:t>
            </w:r>
            <w:r>
              <w:rPr>
                <w:rFonts w:hint="eastAsia" w:ascii="宋体" w:hAnsi="宋体" w:eastAsia="宋体" w:cs="宋体"/>
                <w:color w:val="auto"/>
                <w:spacing w:val="-2"/>
                <w:sz w:val="21"/>
                <w:szCs w:val="21"/>
                <w:highlight w:val="none"/>
              </w:rPr>
              <w:t xml:space="preserve">指路牌</w:t>
            </w:r>
            <w:r/>
          </w:p>
        </w:tc>
        <w:tc>
          <w:tcPr>
            <w:tcW w:w="1709" w:type="dxa"/>
            <w:textDirection w:val="lrTb"/>
            <w:noWrap w:val="false"/>
          </w:tcPr>
          <w:p>
            <w:pPr>
              <w:pStyle w:val="1479"/>
              <w:ind w:left="73"/>
              <w:spacing w:before="273" w:line="182" w:lineRule="auto"/>
              <w:rPr>
                <w:rFonts w:hint="eastAsia" w:ascii="宋体" w:hAnsi="宋体" w:cs="宋体"/>
                <w:color w:val="auto"/>
                <w:sz w:val="21"/>
                <w:szCs w:val="21"/>
                <w:highlight w:val="none"/>
              </w:rPr>
            </w:pPr>
            <w:r>
              <w:rPr>
                <w:rFonts w:hint="eastAsia" w:ascii="宋体" w:hAnsi="宋体" w:eastAsia="宋体" w:cs="宋体"/>
                <w:color w:val="auto"/>
                <w:spacing w:val="-1"/>
                <w:sz w:val="21"/>
                <w:szCs w:val="21"/>
                <w:highlight w:val="none"/>
              </w:rPr>
              <w:t xml:space="preserve">4000*2500*</w:t>
            </w:r>
            <w:r/>
          </w:p>
          <w:p>
            <w:pPr>
              <w:pStyle w:val="1479"/>
              <w:ind w:left="134"/>
              <w:spacing w:before="17" w:line="220"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3mm四类反</w:t>
            </w:r>
            <w:r/>
          </w:p>
          <w:p>
            <w:pPr>
              <w:pStyle w:val="1479"/>
              <w:ind w:left="407"/>
              <w:spacing w:before="9" w:line="220" w:lineRule="auto"/>
              <w:rPr>
                <w:rFonts w:hint="eastAsia" w:ascii="宋体" w:hAnsi="宋体" w:cs="宋体"/>
                <w:color w:val="auto"/>
                <w:sz w:val="21"/>
                <w:szCs w:val="21"/>
                <w:highlight w:val="none"/>
              </w:rPr>
            </w:pPr>
            <w:r>
              <w:rPr>
                <w:rFonts w:hint="eastAsia" w:ascii="宋体" w:hAnsi="宋体" w:eastAsia="宋体" w:cs="宋体"/>
                <w:color w:val="auto"/>
                <w:spacing w:val="-3"/>
                <w:sz w:val="21"/>
                <w:szCs w:val="21"/>
                <w:highlight w:val="none"/>
              </w:rPr>
              <w:t xml:space="preserve">光膜</w:t>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lang w:eastAsia="zh-CN"/>
              </w:rPr>
              <w:t xml:space="preserve">含悬臂杆件、基础、 版面、机械等</w:t>
            </w:r>
            <w:r/>
          </w:p>
        </w:tc>
        <w:tc>
          <w:tcPr>
            <w:tcW w:w="1680" w:type="dxa"/>
            <w:textDirection w:val="lrTb"/>
            <w:noWrap w:val="false"/>
          </w:tcPr>
          <w:p>
            <w:pPr>
              <w:pStyle w:val="1479"/>
              <w:ind w:left="137" w:right="113"/>
              <w:jc w:val="both"/>
              <w:spacing w:before="99"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W w:w="761" w:type="dxa"/>
            <w:textDirection w:val="lrTb"/>
            <w:noWrap w:val="false"/>
          </w:tcPr>
          <w:p>
            <w:pPr>
              <w:spacing w:line="434"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1" w:line="231"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1组</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25000</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1201"/>
        </w:trPr>
        <w:tc>
          <w:tcPr>
            <w:tcW w:w="590" w:type="dxa"/>
            <w:textDirection w:val="lrTb"/>
            <w:noWrap w:val="false"/>
          </w:tcPr>
          <w:p>
            <w:pPr>
              <w:spacing w:line="459"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94"/>
              <w:spacing w:before="66" w:line="189" w:lineRule="auto"/>
              <w:rPr>
                <w:rFonts w:hint="eastAsia" w:ascii="宋体" w:hAnsi="宋体" w:cs="宋体"/>
                <w:color w:val="auto"/>
                <w:sz w:val="21"/>
                <w:szCs w:val="21"/>
                <w:highlight w:val="none"/>
              </w:rPr>
            </w:pPr>
            <w:r>
              <w:rPr>
                <w:rFonts w:hint="eastAsia" w:ascii="宋体" w:hAnsi="宋体" w:eastAsia="宋体" w:cs="宋体"/>
                <w:color w:val="auto"/>
                <w:spacing w:val="-6"/>
                <w:sz w:val="21"/>
                <w:szCs w:val="21"/>
                <w:highlight w:val="none"/>
              </w:rPr>
              <w:t xml:space="preserve">13</w:t>
            </w:r>
            <w:r/>
          </w:p>
        </w:tc>
        <w:tc>
          <w:tcPr>
            <w:tcW w:w="1331" w:type="dxa"/>
            <w:textDirection w:val="lrTb"/>
            <w:noWrap w:val="false"/>
          </w:tcPr>
          <w:p>
            <w:pPr>
              <w:spacing w:line="299"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339" w:right="103" w:hanging="222"/>
              <w:spacing w:before="72" w:line="224"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新增悬臂式</w:t>
            </w:r>
            <w:r>
              <w:rPr>
                <w:rFonts w:hint="eastAsia" w:ascii="宋体" w:hAnsi="宋体" w:eastAsia="宋体" w:cs="宋体"/>
                <w:color w:val="auto"/>
                <w:spacing w:val="3"/>
                <w:sz w:val="21"/>
                <w:szCs w:val="21"/>
                <w:highlight w:val="none"/>
              </w:rPr>
              <w:t xml:space="preserve"> </w:t>
            </w:r>
            <w:r>
              <w:rPr>
                <w:rFonts w:hint="eastAsia" w:ascii="宋体" w:hAnsi="宋体" w:eastAsia="宋体" w:cs="宋体"/>
                <w:color w:val="auto"/>
                <w:spacing w:val="-2"/>
                <w:sz w:val="21"/>
                <w:szCs w:val="21"/>
                <w:highlight w:val="none"/>
              </w:rPr>
              <w:t xml:space="preserve">分道牌</w:t>
            </w:r>
            <w:r/>
          </w:p>
        </w:tc>
        <w:tc>
          <w:tcPr>
            <w:tcW w:w="1709" w:type="dxa"/>
            <w:textDirection w:val="lrTb"/>
            <w:noWrap w:val="false"/>
          </w:tcPr>
          <w:p>
            <w:pPr>
              <w:pStyle w:val="1479"/>
              <w:ind w:left="91"/>
              <w:spacing w:before="275" w:line="182"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1000*1500*</w:t>
            </w:r>
            <w:r/>
          </w:p>
          <w:p>
            <w:pPr>
              <w:pStyle w:val="1479"/>
              <w:ind w:left="132"/>
              <w:spacing w:before="17" w:line="220" w:lineRule="auto"/>
              <w:rPr>
                <w:rFonts w:hint="eastAsia" w:ascii="宋体" w:hAnsi="宋体" w:cs="宋体"/>
                <w:color w:val="auto"/>
                <w:sz w:val="21"/>
                <w:szCs w:val="21"/>
                <w:highlight w:val="none"/>
              </w:rPr>
            </w:pPr>
            <w:r>
              <w:rPr>
                <w:rFonts w:hint="eastAsia" w:ascii="宋体" w:hAnsi="宋体" w:eastAsia="宋体" w:cs="宋体"/>
                <w:color w:val="auto"/>
                <w:spacing w:val="-1"/>
                <w:sz w:val="21"/>
                <w:szCs w:val="21"/>
                <w:highlight w:val="none"/>
              </w:rPr>
              <w:t xml:space="preserve">2mm四类反</w:t>
            </w:r>
            <w:r/>
          </w:p>
          <w:p>
            <w:pPr>
              <w:pStyle w:val="1479"/>
              <w:ind w:left="407"/>
              <w:spacing w:before="9" w:line="220" w:lineRule="auto"/>
              <w:rPr>
                <w:rFonts w:hint="eastAsia" w:ascii="宋体" w:hAnsi="宋体" w:cs="宋体"/>
                <w:color w:val="auto"/>
                <w:sz w:val="21"/>
                <w:szCs w:val="21"/>
                <w:highlight w:val="none"/>
              </w:rPr>
            </w:pPr>
            <w:r>
              <w:rPr>
                <w:rFonts w:hint="eastAsia" w:ascii="宋体" w:hAnsi="宋体" w:eastAsia="宋体" w:cs="宋体"/>
                <w:color w:val="auto"/>
                <w:spacing w:val="-3"/>
                <w:sz w:val="21"/>
                <w:szCs w:val="21"/>
                <w:highlight w:val="none"/>
              </w:rPr>
              <w:t xml:space="preserve">光膜</w:t>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lang w:eastAsia="zh-CN"/>
              </w:rPr>
              <w:t xml:space="preserve">含悬臂杆件、基础、 版面、机械等</w:t>
            </w:r>
            <w:r/>
          </w:p>
        </w:tc>
        <w:tc>
          <w:tcPr>
            <w:tcW w:w="1680" w:type="dxa"/>
            <w:textDirection w:val="lrTb"/>
            <w:noWrap w:val="false"/>
          </w:tcPr>
          <w:p>
            <w:pPr>
              <w:pStyle w:val="1479"/>
              <w:ind w:left="137" w:right="113"/>
              <w:jc w:val="both"/>
              <w:spacing w:before="100"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W w:w="761" w:type="dxa"/>
            <w:textDirection w:val="lrTb"/>
            <w:noWrap w:val="false"/>
          </w:tcPr>
          <w:p>
            <w:pPr>
              <w:spacing w:line="435"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2" w:line="231"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1组</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15000</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1201"/>
        </w:trPr>
        <w:tc>
          <w:tcPr>
            <w:tcW w:w="590" w:type="dxa"/>
            <w:textDirection w:val="lrTb"/>
            <w:noWrap w:val="false"/>
          </w:tcPr>
          <w:p>
            <w:pPr>
              <w:spacing w:line="463"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94"/>
              <w:spacing w:before="66" w:line="187" w:lineRule="auto"/>
              <w:rPr>
                <w:rFonts w:hint="eastAsia" w:ascii="宋体" w:hAnsi="宋体" w:cs="宋体"/>
                <w:color w:val="auto"/>
                <w:sz w:val="21"/>
                <w:szCs w:val="21"/>
                <w:highlight w:val="none"/>
              </w:rPr>
            </w:pPr>
            <w:r>
              <w:rPr>
                <w:rFonts w:hint="eastAsia" w:ascii="宋体" w:hAnsi="宋体" w:eastAsia="宋体" w:cs="宋体"/>
                <w:color w:val="auto"/>
                <w:spacing w:val="-6"/>
                <w:sz w:val="21"/>
                <w:szCs w:val="21"/>
                <w:highlight w:val="none"/>
              </w:rPr>
              <w:t xml:space="preserve">14</w:t>
            </w:r>
            <w:r/>
          </w:p>
        </w:tc>
        <w:tc>
          <w:tcPr>
            <w:tcW w:w="1331" w:type="dxa"/>
            <w:textDirection w:val="lrTb"/>
            <w:noWrap w:val="false"/>
          </w:tcPr>
          <w:p>
            <w:pPr>
              <w:pStyle w:val="1479"/>
              <w:ind w:left="117"/>
              <w:spacing w:before="240" w:line="219" w:lineRule="auto"/>
              <w:rPr>
                <w:rFonts w:hint="eastAsia" w:ascii="宋体" w:hAnsi="宋体" w:cs="宋体"/>
                <w:color w:val="auto"/>
                <w:sz w:val="21"/>
                <w:szCs w:val="21"/>
                <w:highlight w:val="none"/>
              </w:rPr>
            </w:pPr>
            <w:r>
              <w:rPr>
                <w:rFonts w:hint="eastAsia" w:ascii="宋体" w:hAnsi="宋体" w:eastAsia="宋体" w:cs="宋体"/>
                <w:color w:val="auto"/>
                <w:spacing w:val="-1"/>
                <w:sz w:val="21"/>
                <w:szCs w:val="21"/>
                <w:highlight w:val="none"/>
                <w:lang w:eastAsia="zh-CN"/>
              </w:rPr>
              <w:t xml:space="preserve">新增悬臂式</w:t>
            </w:r>
            <w:r/>
          </w:p>
          <w:p>
            <w:pPr>
              <w:pStyle w:val="1479"/>
              <w:ind w:left="117"/>
              <w:spacing w:before="10" w:line="221" w:lineRule="auto"/>
              <w:rPr>
                <w:rFonts w:hint="eastAsia" w:ascii="宋体" w:hAnsi="宋体" w:cs="宋体"/>
                <w:color w:val="auto"/>
                <w:sz w:val="21"/>
                <w:szCs w:val="21"/>
                <w:highlight w:val="none"/>
              </w:rPr>
            </w:pPr>
            <w:r>
              <w:rPr>
                <w:rFonts w:hint="eastAsia" w:ascii="宋体" w:hAnsi="宋体" w:eastAsia="宋体" w:cs="宋体"/>
                <w:color w:val="auto"/>
                <w:spacing w:val="-1"/>
                <w:sz w:val="21"/>
                <w:szCs w:val="21"/>
                <w:highlight w:val="none"/>
                <w:lang w:eastAsia="zh-CN"/>
              </w:rPr>
              <w:t xml:space="preserve">三合一标志</w:t>
            </w:r>
            <w:r/>
          </w:p>
          <w:p>
            <w:pPr>
              <w:pStyle w:val="1479"/>
              <w:ind w:left="559"/>
              <w:spacing w:before="8" w:line="22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eastAsia="zh-CN"/>
              </w:rPr>
              <w:t xml:space="preserve">牌</w:t>
            </w:r>
            <w:r/>
          </w:p>
        </w:tc>
        <w:tc>
          <w:tcPr>
            <w:tcW w:w="1709" w:type="dxa"/>
            <w:textDirection w:val="lrTb"/>
            <w:noWrap w:val="false"/>
          </w:tcPr>
          <w:p>
            <w:pPr>
              <w:spacing w:line="31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95" w:right="57" w:firstLine="18"/>
              <w:spacing w:before="72" w:line="226" w:lineRule="auto"/>
              <w:rPr>
                <w:rFonts w:hint="eastAsia" w:ascii="宋体" w:hAnsi="宋体" w:cs="宋体"/>
                <w:color w:val="auto"/>
                <w:sz w:val="21"/>
                <w:szCs w:val="21"/>
                <w:highlight w:val="none"/>
              </w:rPr>
            </w:pPr>
            <w:r>
              <w:rPr>
                <w:rFonts w:hint="eastAsia" w:ascii="宋体" w:hAnsi="宋体" w:eastAsia="宋体" w:cs="宋体"/>
                <w:color w:val="auto"/>
                <w:spacing w:val="-1"/>
                <w:sz w:val="21"/>
                <w:szCs w:val="21"/>
                <w:highlight w:val="none"/>
              </w:rPr>
              <w:t xml:space="preserve">φ1200*2mm</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pacing w:val="-6"/>
                <w:sz w:val="21"/>
                <w:szCs w:val="21"/>
                <w:highlight w:val="none"/>
              </w:rPr>
              <w:t xml:space="preserve">四类反光膜</w:t>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lang w:eastAsia="zh-CN"/>
              </w:rPr>
              <w:t xml:space="preserve">含悬臂杆件、基础、 版面、机械等</w:t>
            </w:r>
            <w:r/>
          </w:p>
        </w:tc>
        <w:tc>
          <w:tcPr>
            <w:tcW w:w="1680" w:type="dxa"/>
            <w:textDirection w:val="lrTb"/>
            <w:noWrap w:val="false"/>
          </w:tcPr>
          <w:p>
            <w:pPr>
              <w:pStyle w:val="1479"/>
              <w:ind w:left="137" w:right="113"/>
              <w:jc w:val="both"/>
              <w:spacing w:before="102"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W w:w="761" w:type="dxa"/>
            <w:textDirection w:val="lrTb"/>
            <w:noWrap w:val="false"/>
          </w:tcPr>
          <w:p>
            <w:pPr>
              <w:spacing w:line="437"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1" w:line="231"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1组</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11000</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1335"/>
        </w:trPr>
        <w:tc>
          <w:tcPr>
            <w:tcW w:w="590" w:type="dxa"/>
            <w:textDirection w:val="lrTb"/>
            <w:noWrap w:val="false"/>
          </w:tcPr>
          <w:p>
            <w:pPr>
              <w:spacing w:line="265"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6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94"/>
              <w:spacing w:before="67" w:line="186" w:lineRule="auto"/>
              <w:rPr>
                <w:rFonts w:hint="eastAsia" w:ascii="宋体" w:hAnsi="宋体" w:cs="宋体"/>
                <w:color w:val="auto"/>
                <w:sz w:val="21"/>
                <w:szCs w:val="21"/>
                <w:highlight w:val="none"/>
              </w:rPr>
            </w:pPr>
            <w:r>
              <w:rPr>
                <w:rFonts w:hint="eastAsia" w:ascii="宋体" w:hAnsi="宋体" w:eastAsia="宋体" w:cs="宋体"/>
                <w:color w:val="auto"/>
                <w:spacing w:val="-6"/>
                <w:sz w:val="21"/>
                <w:szCs w:val="21"/>
                <w:highlight w:val="none"/>
              </w:rPr>
              <w:t xml:space="preserve">15</w:t>
            </w:r>
            <w:r/>
          </w:p>
        </w:tc>
        <w:tc>
          <w:tcPr>
            <w:tcW w:w="1331" w:type="dxa"/>
            <w:textDirection w:val="lrTb"/>
            <w:noWrap w:val="false"/>
          </w:tcPr>
          <w:p>
            <w:pPr>
              <w:spacing w:line="25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53"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117"/>
              <w:spacing w:before="71" w:line="220" w:lineRule="auto"/>
              <w:rPr>
                <w:rFonts w:hint="eastAsia" w:ascii="宋体" w:hAnsi="宋体" w:cs="宋体"/>
                <w:color w:val="auto"/>
                <w:sz w:val="21"/>
                <w:szCs w:val="21"/>
                <w:highlight w:val="none"/>
              </w:rPr>
            </w:pPr>
            <w:r>
              <w:rPr>
                <w:rFonts w:hint="eastAsia" w:ascii="宋体" w:hAnsi="宋体" w:eastAsia="宋体" w:cs="宋体"/>
                <w:color w:val="auto"/>
                <w:spacing w:val="-1"/>
                <w:sz w:val="21"/>
                <w:szCs w:val="21"/>
                <w:highlight w:val="none"/>
              </w:rPr>
              <w:t xml:space="preserve">新增单立杆</w:t>
            </w:r>
            <w:r/>
          </w:p>
        </w:tc>
        <w:tc>
          <w:tcPr>
            <w:tcW w:w="1709" w:type="dxa"/>
            <w:textDirection w:val="lrTb"/>
            <w:noWrap w:val="false"/>
          </w:tcPr>
          <w:p>
            <w:pPr>
              <w:spacing w:line="27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515"/>
              <w:spacing w:before="63" w:line="199"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φ</w:t>
            </w:r>
            <w:r/>
          </w:p>
          <w:p>
            <w:pPr>
              <w:pStyle w:val="1479"/>
              <w:ind w:left="75"/>
              <w:spacing w:before="68" w:line="182" w:lineRule="auto"/>
              <w:rPr>
                <w:rFonts w:hint="eastAsia" w:ascii="宋体" w:hAnsi="宋体" w:cs="宋体"/>
                <w:color w:val="auto"/>
                <w:sz w:val="21"/>
                <w:szCs w:val="21"/>
                <w:highlight w:val="none"/>
              </w:rPr>
            </w:pPr>
            <w:r>
              <w:rPr>
                <w:rFonts w:hint="eastAsia" w:ascii="宋体" w:hAnsi="宋体" w:eastAsia="宋体" w:cs="宋体"/>
                <w:color w:val="auto"/>
                <w:spacing w:val="-1"/>
                <w:sz w:val="21"/>
                <w:szCs w:val="21"/>
                <w:highlight w:val="none"/>
              </w:rPr>
              <w:t xml:space="preserve">89*3*4000m</w:t>
            </w:r>
            <w:r/>
          </w:p>
          <w:p>
            <w:pPr>
              <w:pStyle w:val="1479"/>
              <w:ind w:left="565"/>
              <w:spacing w:before="17" w:line="242"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m</w:t>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lang w:eastAsia="zh-CN"/>
              </w:rPr>
              <w:t xml:space="preserve">含杆件、基础、机械 等</w:t>
            </w:r>
            <w:r/>
          </w:p>
        </w:tc>
        <w:tc>
          <w:tcPr>
            <w:tcW w:w="1680" w:type="dxa"/>
            <w:textDirection w:val="lrTb"/>
            <w:noWrap w:val="false"/>
          </w:tcPr>
          <w:p>
            <w:pPr>
              <w:pStyle w:val="1479"/>
              <w:ind w:left="137" w:right="113"/>
              <w:jc w:val="both"/>
              <w:spacing w:before="170"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W w:w="761" w:type="dxa"/>
            <w:textDirection w:val="lrTb"/>
            <w:noWrap w:val="false"/>
          </w:tcPr>
          <w:p>
            <w:pPr>
              <w:spacing w:line="25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5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2" w:line="221"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1套</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800</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1292"/>
        </w:trPr>
        <w:tc>
          <w:tcPr>
            <w:tcW w:w="590" w:type="dxa"/>
            <w:textDirection w:val="lrTb"/>
            <w:noWrap w:val="false"/>
          </w:tcPr>
          <w:p>
            <w:pPr>
              <w:spacing w:line="254"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54"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94"/>
              <w:spacing w:before="66" w:line="189" w:lineRule="auto"/>
              <w:rPr>
                <w:rFonts w:hint="eastAsia" w:ascii="宋体" w:hAnsi="宋体" w:cs="宋体"/>
                <w:color w:val="auto"/>
                <w:sz w:val="21"/>
                <w:szCs w:val="21"/>
                <w:highlight w:val="none"/>
              </w:rPr>
            </w:pPr>
            <w:r>
              <w:rPr>
                <w:rFonts w:hint="eastAsia" w:ascii="宋体" w:hAnsi="宋体" w:eastAsia="宋体" w:cs="宋体"/>
                <w:color w:val="auto"/>
                <w:spacing w:val="-6"/>
                <w:sz w:val="21"/>
                <w:szCs w:val="21"/>
                <w:highlight w:val="none"/>
              </w:rPr>
              <w:t xml:space="preserve">16</w:t>
            </w:r>
            <w:r/>
          </w:p>
        </w:tc>
        <w:tc>
          <w:tcPr>
            <w:tcW w:w="1331" w:type="dxa"/>
            <w:textDirection w:val="lrTb"/>
            <w:noWrap w:val="false"/>
          </w:tcPr>
          <w:p>
            <w:pPr>
              <w:spacing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560" w:right="103" w:hanging="442"/>
              <w:spacing w:before="71" w:line="232"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冷喷标线施</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 xml:space="preserve">工</w:t>
            </w:r>
            <w:r/>
          </w:p>
        </w:tc>
        <w:tc>
          <w:tcPr>
            <w:tcW w:w="1709" w:type="dxa"/>
            <w:textDirection w:val="lrTb"/>
            <w:noWrap w:val="false"/>
          </w:tcPr>
          <w:p>
            <w:pPr>
              <w:spacing w:line="24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4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411"/>
              <w:spacing w:before="72" w:line="221"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常温</w:t>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rPr>
              <w:t xml:space="preserve">新增、补划冷喷标线</w:t>
            </w:r>
            <w:r/>
          </w:p>
        </w:tc>
        <w:tc>
          <w:tcPr>
            <w:tcW w:w="1680" w:type="dxa"/>
            <w:textDirection w:val="lrTb"/>
            <w:noWrap w:val="false"/>
          </w:tcPr>
          <w:p>
            <w:pPr>
              <w:pStyle w:val="1479"/>
              <w:ind w:left="137" w:right="113"/>
              <w:jc w:val="both"/>
              <w:spacing w:before="149"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W w:w="761" w:type="dxa"/>
            <w:textDirection w:val="lrTb"/>
            <w:noWrap w:val="false"/>
          </w:tcPr>
          <w:p>
            <w:pPr>
              <w:spacing w:line="2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61"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1" w:line="182" w:lineRule="auto"/>
              <w:rPr>
                <w:rFonts w:hint="eastAsia" w:ascii="宋体" w:hAnsi="宋体" w:cs="宋体"/>
                <w:color w:val="auto"/>
                <w:sz w:val="21"/>
                <w:szCs w:val="21"/>
                <w:highlight w:val="none"/>
              </w:rPr>
            </w:pPr>
            <w:r>
              <w:rPr>
                <w:rFonts w:hint="eastAsia" w:ascii="宋体" w:hAnsi="宋体" w:eastAsia="宋体" w:cs="宋体"/>
                <w:color w:val="auto"/>
                <w:spacing w:val="-6"/>
                <w:sz w:val="21"/>
                <w:szCs w:val="21"/>
                <w:highlight w:val="none"/>
              </w:rPr>
              <w:t xml:space="preserve">1m2</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20</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988"/>
        </w:trPr>
        <w:tc>
          <w:tcPr>
            <w:tcW w:w="590" w:type="dxa"/>
            <w:textDirection w:val="lrTb"/>
            <w:noWrap w:val="false"/>
          </w:tcPr>
          <w:p>
            <w:pPr>
              <w:spacing w:line="359"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94"/>
              <w:spacing w:before="66" w:line="187" w:lineRule="auto"/>
              <w:rPr>
                <w:rFonts w:hint="eastAsia" w:ascii="宋体" w:hAnsi="宋体" w:cs="宋体"/>
                <w:color w:val="auto"/>
                <w:sz w:val="21"/>
                <w:szCs w:val="21"/>
                <w:highlight w:val="none"/>
              </w:rPr>
            </w:pPr>
            <w:r>
              <w:rPr>
                <w:rFonts w:hint="eastAsia" w:ascii="宋体" w:hAnsi="宋体" w:eastAsia="宋体" w:cs="宋体"/>
                <w:color w:val="auto"/>
                <w:spacing w:val="-6"/>
                <w:sz w:val="21"/>
                <w:szCs w:val="21"/>
                <w:highlight w:val="none"/>
              </w:rPr>
              <w:t xml:space="preserve">17</w:t>
            </w:r>
            <w:r/>
          </w:p>
        </w:tc>
        <w:tc>
          <w:tcPr>
            <w:tcW w:w="1331" w:type="dxa"/>
            <w:textDirection w:val="lrTb"/>
            <w:noWrap w:val="false"/>
          </w:tcPr>
          <w:p>
            <w:pPr>
              <w:pStyle w:val="1479"/>
              <w:ind w:left="344" w:right="103" w:hanging="227"/>
              <w:spacing w:before="273" w:line="224"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新增道路中</w:t>
            </w:r>
            <w:r>
              <w:rPr>
                <w:rFonts w:hint="eastAsia" w:ascii="宋体" w:hAnsi="宋体" w:eastAsia="宋体" w:cs="宋体"/>
                <w:color w:val="auto"/>
                <w:spacing w:val="3"/>
                <w:sz w:val="21"/>
                <w:szCs w:val="21"/>
                <w:highlight w:val="none"/>
              </w:rPr>
              <w:t xml:space="preserve"> </w:t>
            </w:r>
            <w:r>
              <w:rPr>
                <w:rFonts w:hint="eastAsia" w:ascii="宋体" w:hAnsi="宋体" w:eastAsia="宋体" w:cs="宋体"/>
                <w:color w:val="auto"/>
                <w:spacing w:val="-4"/>
                <w:sz w:val="21"/>
                <w:szCs w:val="21"/>
                <w:highlight w:val="none"/>
              </w:rPr>
              <w:t xml:space="preserve">心护栏</w:t>
            </w:r>
            <w:r/>
          </w:p>
        </w:tc>
        <w:tc>
          <w:tcPr>
            <w:tcW w:w="1709" w:type="dxa"/>
            <w:textDirection w:val="lrTb"/>
            <w:noWrap w:val="false"/>
          </w:tcPr>
          <w:p>
            <w:pPr>
              <w:spacing w:line="333"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56"/>
              <w:spacing w:before="72" w:line="220"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1.2米高</w:t>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rPr>
              <w:t xml:space="preserve">含立柱、各类配件</w:t>
            </w:r>
            <w:r/>
          </w:p>
        </w:tc>
        <w:tc>
          <w:tcPr>
            <w:tcW w:w="1680" w:type="dxa"/>
            <w:textDirection w:val="lrTb"/>
            <w:noWrap w:val="false"/>
          </w:tcPr>
          <w:p>
            <w:pPr>
              <w:pStyle w:val="1479"/>
              <w:ind w:left="135" w:right="113" w:firstLine="5"/>
              <w:jc w:val="both"/>
              <w:spacing w:before="136" w:line="225"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不锈钢、玛</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钢混合型道</w:t>
            </w:r>
            <w:r>
              <w:rPr>
                <w:rFonts w:hint="eastAsia" w:ascii="宋体" w:hAnsi="宋体" w:eastAsia="宋体" w:cs="宋体"/>
                <w:color w:val="auto"/>
                <w:spacing w:val="1"/>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路隔离护栏</w:t>
            </w:r>
            <w:r/>
          </w:p>
        </w:tc>
        <w:tc>
          <w:tcPr>
            <w:tcW w:w="761" w:type="dxa"/>
            <w:textDirection w:val="lrTb"/>
            <w:noWrap w:val="false"/>
          </w:tcPr>
          <w:p>
            <w:pPr>
              <w:spacing w:line="333"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2" w:line="220"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1米</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450</w:t>
            </w:r>
            <w:r/>
          </w:p>
        </w:tc>
      </w:tr>
      <w:tr>
        <w:trPr>
          <w:trHeight w:val="987"/>
        </w:trPr>
        <w:tc>
          <w:tcPr>
            <w:tcW w:w="590" w:type="dxa"/>
            <w:textDirection w:val="lrTb"/>
            <w:noWrap w:val="false"/>
          </w:tcPr>
          <w:p>
            <w:pPr>
              <w:spacing w:line="357"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94"/>
              <w:spacing w:before="66" w:line="189" w:lineRule="auto"/>
              <w:rPr>
                <w:rFonts w:hint="eastAsia" w:ascii="宋体" w:hAnsi="宋体" w:cs="宋体"/>
                <w:color w:val="auto"/>
                <w:sz w:val="21"/>
                <w:szCs w:val="21"/>
                <w:highlight w:val="none"/>
              </w:rPr>
            </w:pPr>
            <w:r>
              <w:rPr>
                <w:rFonts w:hint="eastAsia" w:ascii="宋体" w:hAnsi="宋体" w:eastAsia="宋体" w:cs="宋体"/>
                <w:color w:val="auto"/>
                <w:spacing w:val="-6"/>
                <w:sz w:val="21"/>
                <w:szCs w:val="21"/>
                <w:highlight w:val="none"/>
              </w:rPr>
              <w:t xml:space="preserve">18</w:t>
            </w:r>
            <w:r/>
          </w:p>
        </w:tc>
        <w:tc>
          <w:tcPr>
            <w:tcW w:w="1331" w:type="dxa"/>
            <w:textDirection w:val="lrTb"/>
            <w:noWrap w:val="false"/>
          </w:tcPr>
          <w:p>
            <w:pPr>
              <w:pStyle w:val="1479"/>
              <w:ind w:left="340" w:right="103" w:hanging="223"/>
              <w:spacing w:before="273" w:line="224"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新增机非隔</w:t>
            </w:r>
            <w:r>
              <w:rPr>
                <w:rFonts w:hint="eastAsia" w:ascii="宋体" w:hAnsi="宋体" w:eastAsia="宋体" w:cs="宋体"/>
                <w:color w:val="auto"/>
                <w:spacing w:val="3"/>
                <w:sz w:val="21"/>
                <w:szCs w:val="21"/>
                <w:highlight w:val="none"/>
              </w:rPr>
              <w:t xml:space="preserve"> </w:t>
            </w:r>
            <w:r>
              <w:rPr>
                <w:rFonts w:hint="eastAsia" w:ascii="宋体" w:hAnsi="宋体" w:eastAsia="宋体" w:cs="宋体"/>
                <w:color w:val="auto"/>
                <w:spacing w:val="-3"/>
                <w:sz w:val="21"/>
                <w:szCs w:val="21"/>
                <w:highlight w:val="none"/>
              </w:rPr>
              <w:t xml:space="preserve">离护栏</w:t>
            </w:r>
            <w:r/>
          </w:p>
        </w:tc>
        <w:tc>
          <w:tcPr>
            <w:tcW w:w="1709" w:type="dxa"/>
            <w:textDirection w:val="lrTb"/>
            <w:noWrap w:val="false"/>
          </w:tcPr>
          <w:p>
            <w:pPr>
              <w:spacing w:line="333"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2"/>
              <w:spacing w:before="72" w:line="220"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0.9米高</w:t>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rPr>
              <w:t xml:space="preserve">含立柱、各类配件</w:t>
            </w:r>
            <w:r/>
          </w:p>
        </w:tc>
        <w:tc>
          <w:tcPr>
            <w:tcW w:w="1680" w:type="dxa"/>
            <w:textDirection w:val="lrTb"/>
            <w:noWrap w:val="false"/>
          </w:tcPr>
          <w:p>
            <w:pPr>
              <w:pStyle w:val="1479"/>
              <w:ind w:left="135" w:right="113" w:firstLine="5"/>
              <w:jc w:val="both"/>
              <w:spacing w:before="136" w:line="225"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不锈钢、玛</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钢混合型道</w:t>
            </w:r>
            <w:r>
              <w:rPr>
                <w:rFonts w:hint="eastAsia" w:ascii="宋体" w:hAnsi="宋体" w:eastAsia="宋体" w:cs="宋体"/>
                <w:color w:val="auto"/>
                <w:spacing w:val="1"/>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路隔离护栏</w:t>
            </w:r>
            <w:r/>
          </w:p>
        </w:tc>
        <w:tc>
          <w:tcPr>
            <w:tcW w:w="761" w:type="dxa"/>
            <w:textDirection w:val="lrTb"/>
            <w:noWrap w:val="false"/>
          </w:tcPr>
          <w:p>
            <w:pPr>
              <w:spacing w:line="333"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2" w:line="220"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1米</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400</w:t>
            </w:r>
            <w:r/>
          </w:p>
        </w:tc>
      </w:tr>
      <w:tr>
        <w:trPr>
          <w:trHeight w:val="987"/>
        </w:trPr>
        <w:tc>
          <w:tcPr>
            <w:tcW w:w="590" w:type="dxa"/>
            <w:textDirection w:val="lrTb"/>
            <w:noWrap w:val="false"/>
          </w:tcPr>
          <w:p>
            <w:pPr>
              <w:spacing w:line="35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94"/>
              <w:spacing w:before="66" w:line="189" w:lineRule="auto"/>
              <w:rPr>
                <w:rFonts w:hint="eastAsia" w:ascii="宋体" w:hAnsi="宋体" w:cs="宋体"/>
                <w:color w:val="auto"/>
                <w:sz w:val="21"/>
                <w:szCs w:val="21"/>
                <w:highlight w:val="none"/>
              </w:rPr>
            </w:pPr>
            <w:r>
              <w:rPr>
                <w:rFonts w:hint="eastAsia" w:ascii="宋体" w:hAnsi="宋体" w:eastAsia="宋体" w:cs="宋体"/>
                <w:color w:val="auto"/>
                <w:spacing w:val="-6"/>
                <w:sz w:val="21"/>
                <w:szCs w:val="21"/>
                <w:highlight w:val="none"/>
              </w:rPr>
              <w:t xml:space="preserve">19</w:t>
            </w:r>
            <w:r/>
          </w:p>
        </w:tc>
        <w:tc>
          <w:tcPr>
            <w:tcW w:w="1331" w:type="dxa"/>
            <w:textDirection w:val="lrTb"/>
            <w:noWrap w:val="false"/>
          </w:tcPr>
          <w:p>
            <w:pPr>
              <w:pStyle w:val="1479"/>
              <w:ind w:left="448" w:right="103" w:hanging="331"/>
              <w:spacing w:before="274" w:line="224"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新增人行道</w:t>
            </w:r>
            <w:r>
              <w:rPr>
                <w:rFonts w:hint="eastAsia" w:ascii="宋体" w:hAnsi="宋体" w:eastAsia="宋体" w:cs="宋体"/>
                <w:color w:val="auto"/>
                <w:spacing w:val="3"/>
                <w:sz w:val="21"/>
                <w:szCs w:val="21"/>
                <w:highlight w:val="none"/>
              </w:rPr>
              <w:t xml:space="preserve"> </w:t>
            </w:r>
            <w:r>
              <w:rPr>
                <w:rFonts w:hint="eastAsia" w:ascii="宋体" w:hAnsi="宋体" w:eastAsia="宋体" w:cs="宋体"/>
                <w:color w:val="auto"/>
                <w:spacing w:val="-2"/>
                <w:sz w:val="21"/>
                <w:szCs w:val="21"/>
                <w:highlight w:val="none"/>
              </w:rPr>
              <w:t xml:space="preserve">护栏</w:t>
            </w:r>
            <w:r/>
          </w:p>
        </w:tc>
        <w:tc>
          <w:tcPr>
            <w:tcW w:w="1709" w:type="dxa"/>
            <w:textDirection w:val="lrTb"/>
            <w:noWrap w:val="false"/>
          </w:tcPr>
          <w:p>
            <w:pPr>
              <w:spacing w:line="334"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2"/>
              <w:spacing w:before="72" w:line="220"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0.9米高</w:t>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rPr>
              <w:t xml:space="preserve">含立柱、各类配件</w:t>
            </w:r>
            <w:r/>
          </w:p>
        </w:tc>
        <w:tc>
          <w:tcPr>
            <w:tcW w:w="1680" w:type="dxa"/>
            <w:textDirection w:val="lrTb"/>
            <w:noWrap w:val="false"/>
          </w:tcPr>
          <w:p>
            <w:pPr>
              <w:pStyle w:val="1479"/>
              <w:ind w:left="135" w:right="113" w:firstLine="5"/>
              <w:jc w:val="both"/>
              <w:spacing w:before="137" w:line="225"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不锈钢、玛</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钢混合型道</w:t>
            </w:r>
            <w:r>
              <w:rPr>
                <w:rFonts w:hint="eastAsia" w:ascii="宋体" w:hAnsi="宋体" w:eastAsia="宋体" w:cs="宋体"/>
                <w:color w:val="auto"/>
                <w:spacing w:val="1"/>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路隔离护栏</w:t>
            </w:r>
            <w:r/>
          </w:p>
        </w:tc>
        <w:tc>
          <w:tcPr>
            <w:tcW w:w="761" w:type="dxa"/>
            <w:textDirection w:val="lrTb"/>
            <w:noWrap w:val="false"/>
          </w:tcPr>
          <w:p>
            <w:pPr>
              <w:spacing w:line="334"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2" w:line="220"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1米</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400</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1215"/>
        </w:trPr>
        <w:tc>
          <w:tcPr>
            <w:tcW w:w="590" w:type="dxa"/>
            <w:textDirection w:val="lrTb"/>
            <w:noWrap w:val="false"/>
          </w:tcPr>
          <w:p>
            <w:pPr>
              <w:spacing w:line="473"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81"/>
              <w:spacing w:before="67" w:line="189" w:lineRule="auto"/>
              <w:rPr>
                <w:rFonts w:hint="eastAsia" w:ascii="宋体" w:hAnsi="宋体" w:cs="宋体"/>
                <w:color w:val="auto"/>
                <w:sz w:val="21"/>
                <w:szCs w:val="21"/>
                <w:highlight w:val="none"/>
              </w:rPr>
            </w:pPr>
            <w:r>
              <w:rPr>
                <w:rFonts w:hint="eastAsia" w:ascii="宋体" w:hAnsi="宋体" w:eastAsia="宋体" w:cs="宋体"/>
                <w:color w:val="auto"/>
                <w:spacing w:val="-3"/>
                <w:sz w:val="21"/>
                <w:szCs w:val="21"/>
                <w:highlight w:val="none"/>
              </w:rPr>
              <w:t xml:space="preserve">20</w:t>
            </w:r>
            <w:r/>
          </w:p>
        </w:tc>
        <w:tc>
          <w:tcPr>
            <w:tcW w:w="1331" w:type="dxa"/>
            <w:textDirection w:val="lrTb"/>
            <w:noWrap w:val="false"/>
          </w:tcPr>
          <w:p>
            <w:pPr>
              <w:spacing w:line="45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117"/>
              <w:spacing w:before="71" w:line="221" w:lineRule="auto"/>
              <w:rPr>
                <w:rFonts w:hint="eastAsia" w:ascii="宋体" w:hAnsi="宋体" w:cs="宋体"/>
                <w:color w:val="auto"/>
                <w:sz w:val="21"/>
                <w:szCs w:val="21"/>
                <w:highlight w:val="none"/>
              </w:rPr>
            </w:pPr>
            <w:r>
              <w:rPr>
                <w:rFonts w:hint="eastAsia" w:ascii="宋体" w:hAnsi="宋体" w:eastAsia="宋体" w:cs="宋体"/>
                <w:color w:val="auto"/>
                <w:spacing w:val="-1"/>
                <w:sz w:val="21"/>
                <w:szCs w:val="21"/>
                <w:highlight w:val="none"/>
              </w:rPr>
              <w:t xml:space="preserve">新增防撞柱</w:t>
            </w:r>
            <w:r/>
          </w:p>
        </w:tc>
        <w:tc>
          <w:tcPr>
            <w:tcW w:w="1709" w:type="dxa"/>
            <w:textDirection w:val="lrTb"/>
            <w:noWrap w:val="false"/>
          </w:tcPr>
          <w:p>
            <w:pPr>
              <w:spacing w:line="314"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191" w:right="145" w:firstLine="88"/>
              <w:spacing w:before="72" w:line="224" w:lineRule="auto"/>
              <w:rPr>
                <w:rFonts w:hint="eastAsia" w:ascii="宋体" w:hAnsi="宋体" w:cs="宋体"/>
                <w:color w:val="auto"/>
                <w:sz w:val="21"/>
                <w:szCs w:val="21"/>
                <w:highlight w:val="none"/>
              </w:rPr>
            </w:pPr>
            <w:r>
              <w:rPr>
                <w:rFonts w:hint="eastAsia" w:ascii="宋体" w:hAnsi="宋体" w:eastAsia="宋体" w:cs="宋体"/>
                <w:color w:val="auto"/>
                <w:spacing w:val="-11"/>
                <w:sz w:val="21"/>
                <w:szCs w:val="21"/>
                <w:highlight w:val="none"/>
              </w:rPr>
              <w:t xml:space="preserve">(DN150、</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2"/>
                <w:sz w:val="21"/>
                <w:szCs w:val="21"/>
                <w:highlight w:val="none"/>
              </w:rPr>
              <w:t xml:space="preserve">高1.0米)</w:t>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rPr>
              <w:t xml:space="preserve">含膜、封头盖</w:t>
            </w:r>
            <w:r/>
          </w:p>
        </w:tc>
        <w:tc>
          <w:tcPr>
            <w:tcW w:w="1680" w:type="dxa"/>
            <w:textDirection w:val="lrTb"/>
            <w:noWrap w:val="false"/>
          </w:tcPr>
          <w:p>
            <w:pPr>
              <w:pStyle w:val="1479"/>
              <w:ind w:left="137" w:right="113"/>
              <w:jc w:val="both"/>
              <w:spacing w:before="116"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W w:w="761" w:type="dxa"/>
            <w:textDirection w:val="lrTb"/>
            <w:noWrap w:val="false"/>
          </w:tcPr>
          <w:p>
            <w:pPr>
              <w:spacing w:line="45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1" w:line="221"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1根</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400</w:t>
            </w:r>
            <w:r/>
          </w:p>
        </w:tc>
      </w:tr>
      <w:tr>
        <w:trPr>
          <w:trHeight w:val="1200"/>
        </w:trPr>
        <w:tc>
          <w:tcPr>
            <w:tcW w:w="590" w:type="dxa"/>
            <w:textDirection w:val="lrTb"/>
            <w:noWrap w:val="false"/>
          </w:tcPr>
          <w:p>
            <w:pPr>
              <w:spacing w:line="46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81"/>
              <w:spacing w:before="67" w:line="189" w:lineRule="auto"/>
              <w:rPr>
                <w:rFonts w:hint="eastAsia" w:ascii="宋体" w:hAnsi="宋体" w:cs="宋体"/>
                <w:color w:val="auto"/>
                <w:sz w:val="21"/>
                <w:szCs w:val="21"/>
                <w:highlight w:val="none"/>
              </w:rPr>
            </w:pPr>
            <w:r>
              <w:rPr>
                <w:rFonts w:hint="eastAsia" w:ascii="宋体" w:hAnsi="宋体" w:eastAsia="宋体" w:cs="宋体"/>
                <w:color w:val="auto"/>
                <w:spacing w:val="-3"/>
                <w:sz w:val="21"/>
                <w:szCs w:val="21"/>
                <w:highlight w:val="none"/>
              </w:rPr>
              <w:t xml:space="preserve">21</w:t>
            </w:r>
            <w:r/>
          </w:p>
        </w:tc>
        <w:tc>
          <w:tcPr>
            <w:tcW w:w="1331" w:type="dxa"/>
            <w:textDirection w:val="lrTb"/>
            <w:noWrap w:val="false"/>
          </w:tcPr>
          <w:p>
            <w:pPr>
              <w:spacing w:line="444"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117"/>
              <w:spacing w:before="72" w:line="219" w:lineRule="auto"/>
              <w:rPr>
                <w:rFonts w:hint="eastAsia" w:ascii="宋体" w:hAnsi="宋体" w:cs="宋体"/>
                <w:color w:val="auto"/>
                <w:sz w:val="21"/>
                <w:szCs w:val="21"/>
                <w:highlight w:val="none"/>
              </w:rPr>
            </w:pPr>
            <w:r>
              <w:rPr>
                <w:rFonts w:hint="eastAsia" w:ascii="宋体" w:hAnsi="宋体" w:eastAsia="宋体" w:cs="宋体"/>
                <w:color w:val="auto"/>
                <w:spacing w:val="-1"/>
                <w:sz w:val="21"/>
                <w:szCs w:val="21"/>
                <w:highlight w:val="none"/>
              </w:rPr>
              <w:t xml:space="preserve">新增爆闪灯</w:t>
            </w:r>
            <w:r/>
          </w:p>
        </w:tc>
        <w:tc>
          <w:tcPr>
            <w:tcW w:w="1709" w:type="dxa"/>
            <w:textDirection w:val="lrTb"/>
            <w:noWrap w:val="false"/>
          </w:tcPr>
          <w:p>
            <w:pPr>
              <w:pStyle w:val="1479"/>
              <w:ind w:left="140" w:right="162" w:hanging="10"/>
              <w:jc w:val="right"/>
              <w:spacing w:before="248" w:line="225" w:lineRule="auto"/>
              <w:rPr>
                <w:rFonts w:hint="eastAsia" w:ascii="宋体" w:hAnsi="宋体" w:cs="宋体"/>
                <w:color w:val="auto"/>
                <w:sz w:val="21"/>
                <w:szCs w:val="21"/>
                <w:highlight w:val="none"/>
              </w:rPr>
            </w:pPr>
            <w:r>
              <w:rPr>
                <w:rFonts w:hint="eastAsia" w:ascii="宋体" w:hAnsi="宋体" w:eastAsia="宋体" w:cs="宋体"/>
                <w:color w:val="auto"/>
                <w:spacing w:val="-8"/>
                <w:sz w:val="21"/>
                <w:szCs w:val="21"/>
                <w:highlight w:val="none"/>
                <w:lang w:eastAsia="zh-CN"/>
              </w:rPr>
              <w:t xml:space="preserve">长250mm，</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0"/>
                <w:sz w:val="21"/>
                <w:szCs w:val="21"/>
                <w:highlight w:val="none"/>
                <w:lang w:eastAsia="zh-CN"/>
              </w:rPr>
              <w:t xml:space="preserve">宽170mm，</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2"/>
                <w:sz w:val="21"/>
                <w:szCs w:val="21"/>
                <w:highlight w:val="none"/>
                <w:lang w:eastAsia="zh-CN"/>
              </w:rPr>
              <w:t xml:space="preserve">高135mm</w:t>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rPr>
              <w:t xml:space="preserve">含杆件、膜等</w:t>
            </w:r>
            <w:r/>
          </w:p>
        </w:tc>
        <w:tc>
          <w:tcPr>
            <w:tcW w:w="1680" w:type="dxa"/>
            <w:textDirection w:val="lrTb"/>
            <w:noWrap w:val="false"/>
          </w:tcPr>
          <w:p>
            <w:pPr>
              <w:pStyle w:val="1479"/>
              <w:ind w:left="137" w:right="113"/>
              <w:jc w:val="both"/>
              <w:spacing w:before="110"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W w:w="761" w:type="dxa"/>
            <w:textDirection w:val="lrTb"/>
            <w:noWrap w:val="false"/>
          </w:tcPr>
          <w:p>
            <w:pPr>
              <w:spacing w:line="444"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2" w:line="221"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1套</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900</w:t>
            </w:r>
            <w:r/>
          </w:p>
        </w:tc>
      </w:tr>
      <w:tr>
        <w:trPr>
          <w:trHeight w:val="1353"/>
        </w:trPr>
        <w:tc>
          <w:tcPr>
            <w:tcBorders>
              <w:left w:val="single" w:color="000000" w:sz="2" w:space="0"/>
              <w:right w:val="single" w:color="000000" w:sz="2" w:space="0"/>
            </w:tcBorders>
            <w:tcW w:w="590" w:type="dxa"/>
            <w:textDirection w:val="lrTb"/>
            <w:noWrap w:val="false"/>
          </w:tcPr>
          <w:p>
            <w:pPr>
              <w:spacing w:line="26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69"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86"/>
              <w:spacing w:before="66" w:line="189" w:lineRule="auto"/>
              <w:rPr>
                <w:rFonts w:hint="eastAsia" w:ascii="宋体" w:hAnsi="宋体" w:cs="宋体"/>
                <w:color w:val="auto"/>
                <w:sz w:val="21"/>
                <w:szCs w:val="21"/>
                <w:highlight w:val="none"/>
              </w:rPr>
            </w:pPr>
            <w:r>
              <w:rPr>
                <w:rFonts w:hint="eastAsia" w:ascii="宋体" w:hAnsi="宋体" w:eastAsia="宋体" w:cs="宋体"/>
                <w:color w:val="auto"/>
                <w:spacing w:val="-3"/>
                <w:sz w:val="21"/>
                <w:szCs w:val="21"/>
                <w:highlight w:val="none"/>
              </w:rPr>
              <w:t xml:space="preserve">22</w:t>
            </w:r>
            <w:r/>
          </w:p>
        </w:tc>
        <w:tc>
          <w:tcPr>
            <w:tcBorders>
              <w:left w:val="single" w:color="000000" w:sz="2" w:space="0"/>
              <w:right w:val="single" w:color="000000" w:sz="2" w:space="0"/>
            </w:tcBorders>
            <w:tcW w:w="1331" w:type="dxa"/>
            <w:textDirection w:val="lrTb"/>
            <w:noWrap w:val="false"/>
          </w:tcPr>
          <w:p>
            <w:pPr>
              <w:spacing w:line="37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457" w:right="108" w:hanging="335"/>
              <w:spacing w:before="72" w:line="223"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新增联网信</w:t>
            </w:r>
            <w:r>
              <w:rPr>
                <w:rFonts w:hint="eastAsia" w:ascii="宋体" w:hAnsi="宋体" w:eastAsia="宋体" w:cs="宋体"/>
                <w:color w:val="auto"/>
                <w:spacing w:val="3"/>
                <w:sz w:val="21"/>
                <w:szCs w:val="21"/>
                <w:highlight w:val="none"/>
              </w:rPr>
              <w:t xml:space="preserve"> </w:t>
            </w:r>
            <w:r>
              <w:rPr>
                <w:rFonts w:hint="eastAsia" w:ascii="宋体" w:hAnsi="宋体" w:eastAsia="宋体" w:cs="宋体"/>
                <w:color w:val="auto"/>
                <w:spacing w:val="-4"/>
                <w:sz w:val="21"/>
                <w:szCs w:val="21"/>
                <w:highlight w:val="none"/>
              </w:rPr>
              <w:t xml:space="preserve">号机</w:t>
            </w:r>
            <w:r/>
          </w:p>
        </w:tc>
        <w:tc>
          <w:tcPr>
            <w:tcBorders>
              <w:left w:val="single" w:color="000000" w:sz="2" w:space="0"/>
              <w:right w:val="single" w:color="000000" w:sz="2" w:space="0"/>
            </w:tcBorders>
            <w:tcW w:w="1709"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2" w:space="0"/>
              <w:right w:val="single" w:color="000000" w:sz="2" w:space="0"/>
            </w:tcBorders>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lang w:eastAsia="zh-CN"/>
              </w:rPr>
              <w:t xml:space="preserve">新增、更换联网信号 机</w:t>
            </w:r>
            <w:r/>
          </w:p>
        </w:tc>
        <w:tc>
          <w:tcPr>
            <w:tcBorders>
              <w:left w:val="single" w:color="000000" w:sz="2" w:space="0"/>
              <w:right w:val="single" w:color="000000" w:sz="2" w:space="0"/>
            </w:tcBorders>
            <w:tcW w:w="1680" w:type="dxa"/>
            <w:textDirection w:val="lrTb"/>
            <w:noWrap w:val="false"/>
          </w:tcPr>
          <w:p>
            <w:pPr>
              <w:pStyle w:val="1479"/>
              <w:ind w:left="142" w:right="118"/>
              <w:jc w:val="both"/>
              <w:spacing w:before="178"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Borders>
              <w:left w:val="single" w:color="000000" w:sz="2" w:space="0"/>
              <w:right w:val="single" w:color="000000" w:sz="2" w:space="0"/>
            </w:tcBorders>
            <w:tcW w:w="761" w:type="dxa"/>
            <w:textDirection w:val="lrTb"/>
            <w:noWrap w:val="false"/>
          </w:tcPr>
          <w:p>
            <w:pPr>
              <w:spacing w:line="25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57"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8"/>
              <w:spacing w:before="72" w:line="231"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1组</w:t>
            </w:r>
            <w:r/>
          </w:p>
        </w:tc>
        <w:tc>
          <w:tcPr>
            <w:tcBorders>
              <w:top w:val="single" w:color="000000" w:sz="2" w:space="0"/>
              <w:left w:val="single" w:color="000000" w:sz="2" w:space="0"/>
              <w:bottom w:val="single" w:color="000000" w:sz="2" w:space="0"/>
              <w:right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40000</w:t>
            </w:r>
            <w:r/>
          </w:p>
        </w:tc>
      </w:tr>
      <w:tr>
        <w:trPr>
          <w:trHeight w:val="1308"/>
        </w:trPr>
        <w:tc>
          <w:tcPr>
            <w:tcBorders>
              <w:right w:val="single" w:color="000000" w:sz="2" w:space="0"/>
            </w:tcBorders>
            <w:tcW w:w="590" w:type="dxa"/>
            <w:textDirection w:val="lrTb"/>
            <w:noWrap w:val="false"/>
          </w:tcPr>
          <w:p>
            <w:pPr>
              <w:spacing w:line="255"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55"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81"/>
              <w:spacing w:before="66" w:line="189" w:lineRule="auto"/>
              <w:rPr>
                <w:rFonts w:hint="eastAsia" w:ascii="宋体" w:hAnsi="宋体" w:cs="宋体"/>
                <w:color w:val="auto"/>
                <w:sz w:val="21"/>
                <w:szCs w:val="21"/>
                <w:highlight w:val="none"/>
              </w:rPr>
            </w:pPr>
            <w:r>
              <w:rPr>
                <w:rFonts w:hint="eastAsia" w:ascii="宋体" w:hAnsi="宋体" w:eastAsia="宋体" w:cs="宋体"/>
                <w:color w:val="auto"/>
                <w:spacing w:val="-3"/>
                <w:sz w:val="21"/>
                <w:szCs w:val="21"/>
                <w:highlight w:val="none"/>
              </w:rPr>
              <w:t xml:space="preserve">23</w:t>
            </w:r>
            <w:r/>
          </w:p>
        </w:tc>
        <w:tc>
          <w:tcPr>
            <w:tcBorders>
              <w:left w:val="single" w:color="000000" w:sz="2" w:space="0"/>
              <w:right w:val="single" w:color="000000" w:sz="2" w:space="0"/>
            </w:tcBorders>
            <w:tcW w:w="1331" w:type="dxa"/>
            <w:textDirection w:val="lrTb"/>
            <w:noWrap w:val="false"/>
          </w:tcPr>
          <w:p>
            <w:pPr>
              <w:spacing w:line="35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31" w:right="108" w:hanging="109"/>
              <w:spacing w:before="72" w:line="224"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新增、更换</w:t>
            </w:r>
            <w:r>
              <w:rPr>
                <w:rFonts w:hint="eastAsia" w:ascii="宋体" w:hAnsi="宋体" w:eastAsia="宋体" w:cs="宋体"/>
                <w:color w:val="auto"/>
                <w:spacing w:val="3"/>
                <w:sz w:val="21"/>
                <w:szCs w:val="21"/>
                <w:highlight w:val="none"/>
              </w:rPr>
              <w:t xml:space="preserve"> </w:t>
            </w:r>
            <w:r>
              <w:rPr>
                <w:rFonts w:hint="eastAsia" w:ascii="宋体" w:hAnsi="宋体" w:eastAsia="宋体" w:cs="宋体"/>
                <w:color w:val="auto"/>
                <w:spacing w:val="-2"/>
                <w:sz w:val="21"/>
                <w:szCs w:val="21"/>
                <w:highlight w:val="none"/>
              </w:rPr>
              <w:t xml:space="preserve">信号灯盘</w:t>
            </w:r>
            <w:r/>
          </w:p>
        </w:tc>
        <w:tc>
          <w:tcPr>
            <w:tcBorders>
              <w:left w:val="single" w:color="000000" w:sz="2" w:space="0"/>
              <w:right w:val="single" w:color="000000" w:sz="2" w:space="0"/>
            </w:tcBorders>
            <w:tcW w:w="1709" w:type="dxa"/>
            <w:textDirection w:val="lrTb"/>
            <w:noWrap w:val="false"/>
          </w:tcPr>
          <w:p>
            <w:pPr>
              <w:spacing w:line="261"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6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354"/>
              <w:spacing w:before="71" w:line="182" w:lineRule="auto"/>
              <w:rPr>
                <w:rFonts w:hint="eastAsia" w:ascii="宋体" w:hAnsi="宋体" w:cs="宋体"/>
                <w:color w:val="auto"/>
                <w:sz w:val="21"/>
                <w:szCs w:val="21"/>
                <w:highlight w:val="none"/>
              </w:rPr>
            </w:pPr>
            <w:r>
              <w:rPr>
                <w:rFonts w:hint="eastAsia" w:ascii="宋体" w:hAnsi="宋体" w:eastAsia="宋体" w:cs="宋体"/>
                <w:color w:val="auto"/>
                <w:spacing w:val="-1"/>
                <w:sz w:val="21"/>
                <w:szCs w:val="21"/>
                <w:highlight w:val="none"/>
              </w:rPr>
              <w:t xml:space="preserve">400mm</w:t>
            </w:r>
            <w:r/>
          </w:p>
        </w:tc>
        <w:tc>
          <w:tcPr>
            <w:tcBorders>
              <w:left w:val="single" w:color="000000" w:sz="2" w:space="0"/>
              <w:right w:val="single" w:color="000000" w:sz="2" w:space="0"/>
            </w:tcBorders>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rPr>
              <w:t xml:space="preserve">新增、更换灯盘</w:t>
            </w:r>
            <w:r/>
          </w:p>
        </w:tc>
        <w:tc>
          <w:tcPr>
            <w:tcBorders>
              <w:left w:val="single" w:color="000000" w:sz="2" w:space="0"/>
              <w:right w:val="single" w:color="000000" w:sz="2" w:space="0"/>
            </w:tcBorders>
            <w:tcW w:w="1680" w:type="dxa"/>
            <w:textDirection w:val="lrTb"/>
            <w:noWrap w:val="false"/>
          </w:tcPr>
          <w:p>
            <w:pPr>
              <w:pStyle w:val="1479"/>
              <w:ind w:left="142" w:right="118"/>
              <w:jc w:val="both"/>
              <w:spacing w:before="152"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Borders>
              <w:left w:val="single" w:color="000000" w:sz="2" w:space="0"/>
              <w:right w:val="single" w:color="000000" w:sz="2" w:space="0"/>
            </w:tcBorders>
            <w:tcW w:w="761" w:type="dxa"/>
            <w:textDirection w:val="lrTb"/>
            <w:noWrap w:val="false"/>
          </w:tcPr>
          <w:p>
            <w:pPr>
              <w:spacing w:line="479"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2" w:line="221" w:lineRule="auto"/>
              <w:rPr>
                <w:rFonts w:hint="eastAsia" w:ascii="宋体" w:hAnsi="宋体" w:cs="宋体"/>
                <w:color w:val="auto"/>
                <w:sz w:val="21"/>
                <w:szCs w:val="21"/>
                <w:highlight w:val="none"/>
              </w:rPr>
            </w:pPr>
            <w:r>
              <w:rPr>
                <w:rFonts w:hint="eastAsia" w:ascii="宋体" w:hAnsi="宋体" w:eastAsia="宋体" w:cs="宋体"/>
                <w:color w:val="auto"/>
                <w:spacing w:val="-12"/>
                <w:sz w:val="21"/>
                <w:szCs w:val="21"/>
                <w:highlight w:val="none"/>
              </w:rPr>
              <w:t xml:space="preserve">1套</w:t>
            </w:r>
            <w:r/>
          </w:p>
        </w:tc>
        <w:tc>
          <w:tcPr>
            <w:tcBorders>
              <w:top w:val="single" w:color="000000" w:sz="2" w:space="0"/>
              <w:left w:val="single" w:color="000000" w:sz="2" w:space="0"/>
              <w:bottom w:val="single" w:color="000000" w:sz="2" w:space="0"/>
              <w:right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800</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1275"/>
        </w:trPr>
        <w:tc>
          <w:tcPr>
            <w:tcW w:w="590" w:type="dxa"/>
            <w:textDirection w:val="lrTb"/>
            <w:noWrap w:val="false"/>
          </w:tcPr>
          <w:p>
            <w:pPr>
              <w:spacing w:line="24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47"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81"/>
              <w:spacing w:before="66" w:line="189" w:lineRule="auto"/>
              <w:rPr>
                <w:rFonts w:hint="eastAsia" w:ascii="宋体" w:hAnsi="宋体" w:cs="宋体"/>
                <w:color w:val="auto"/>
                <w:sz w:val="21"/>
                <w:szCs w:val="21"/>
                <w:highlight w:val="none"/>
              </w:rPr>
            </w:pPr>
            <w:r>
              <w:rPr>
                <w:rFonts w:hint="eastAsia" w:ascii="宋体" w:hAnsi="宋体" w:eastAsia="宋体" w:cs="宋体"/>
                <w:color w:val="auto"/>
                <w:spacing w:val="-3"/>
                <w:sz w:val="21"/>
                <w:szCs w:val="21"/>
                <w:highlight w:val="none"/>
              </w:rPr>
              <w:t xml:space="preserve">24</w:t>
            </w:r>
            <w:r/>
          </w:p>
        </w:tc>
        <w:tc>
          <w:tcPr>
            <w:tcW w:w="1331" w:type="dxa"/>
            <w:textDirection w:val="lrTb"/>
            <w:noWrap w:val="false"/>
          </w:tcPr>
          <w:p>
            <w:pPr>
              <w:spacing w:line="33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559" w:right="103" w:hanging="442"/>
              <w:spacing w:before="72" w:line="224"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新增倒计时</w:t>
            </w:r>
            <w:r>
              <w:rPr>
                <w:rFonts w:hint="eastAsia" w:ascii="宋体" w:hAnsi="宋体" w:eastAsia="宋体" w:cs="宋体"/>
                <w:color w:val="auto"/>
                <w:spacing w:val="3"/>
                <w:sz w:val="21"/>
                <w:szCs w:val="21"/>
                <w:highlight w:val="none"/>
              </w:rPr>
              <w:t xml:space="preserve"> </w:t>
            </w:r>
            <w:r>
              <w:rPr>
                <w:rFonts w:hint="eastAsia" w:ascii="宋体" w:hAnsi="宋体" w:eastAsia="宋体" w:cs="宋体"/>
                <w:color w:val="auto"/>
                <w:sz w:val="21"/>
                <w:szCs w:val="21"/>
                <w:highlight w:val="none"/>
              </w:rPr>
              <w:t xml:space="preserve">屏</w:t>
            </w:r>
            <w:r/>
          </w:p>
        </w:tc>
        <w:tc>
          <w:tcPr>
            <w:tcW w:w="1709" w:type="dxa"/>
            <w:textDirection w:val="lrTb"/>
            <w:noWrap w:val="false"/>
          </w:tcPr>
          <w:p>
            <w:pPr>
              <w:spacing w:line="46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111"/>
              <w:spacing w:before="71" w:line="221" w:lineRule="auto"/>
              <w:rPr>
                <w:rFonts w:hint="eastAsia" w:ascii="宋体" w:hAnsi="宋体" w:cs="宋体"/>
                <w:color w:val="auto"/>
                <w:sz w:val="21"/>
                <w:szCs w:val="21"/>
                <w:highlight w:val="none"/>
              </w:rPr>
            </w:pPr>
            <w:r>
              <w:rPr>
                <w:rFonts w:hint="eastAsia" w:ascii="宋体" w:hAnsi="宋体" w:eastAsia="宋体" w:cs="宋体"/>
                <w:color w:val="auto"/>
                <w:spacing w:val="-1"/>
                <w:sz w:val="21"/>
                <w:szCs w:val="21"/>
                <w:highlight w:val="none"/>
              </w:rPr>
              <w:t xml:space="preserve">485倒计时</w:t>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rPr>
              <w:t xml:space="preserve">新增、更换倒计时屏</w:t>
            </w:r>
            <w:r/>
          </w:p>
        </w:tc>
        <w:tc>
          <w:tcPr>
            <w:tcW w:w="1680" w:type="dxa"/>
            <w:textDirection w:val="lrTb"/>
            <w:noWrap w:val="false"/>
          </w:tcPr>
          <w:p>
            <w:pPr>
              <w:pStyle w:val="1479"/>
              <w:ind w:left="137" w:right="113"/>
              <w:jc w:val="both"/>
              <w:spacing w:before="137"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W w:w="761" w:type="dxa"/>
            <w:textDirection w:val="lrTb"/>
            <w:noWrap w:val="false"/>
          </w:tcPr>
          <w:p>
            <w:pPr>
              <w:spacing w:line="46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38"/>
              <w:spacing w:before="71" w:line="221" w:lineRule="auto"/>
              <w:rPr>
                <w:rFonts w:hint="eastAsia" w:ascii="宋体" w:hAnsi="宋体" w:cs="宋体"/>
                <w:color w:val="auto"/>
                <w:sz w:val="21"/>
                <w:szCs w:val="21"/>
                <w:highlight w:val="none"/>
              </w:rPr>
            </w:pPr>
            <w:r>
              <w:rPr>
                <w:rFonts w:hint="eastAsia" w:ascii="宋体" w:hAnsi="宋体" w:eastAsia="宋体" w:cs="宋体"/>
                <w:color w:val="auto"/>
                <w:spacing w:val="-12"/>
                <w:sz w:val="21"/>
                <w:szCs w:val="21"/>
                <w:highlight w:val="none"/>
              </w:rPr>
              <w:t xml:space="preserve">1套</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4500</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1334"/>
        </w:trPr>
        <w:tc>
          <w:tcPr>
            <w:tcW w:w="590" w:type="dxa"/>
            <w:textDirection w:val="lrTb"/>
            <w:noWrap w:val="false"/>
          </w:tcPr>
          <w:p>
            <w:pPr>
              <w:spacing w:line="26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63"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81"/>
              <w:spacing w:before="66" w:line="189" w:lineRule="auto"/>
              <w:rPr>
                <w:rFonts w:hint="eastAsia" w:ascii="宋体" w:hAnsi="宋体" w:cs="宋体"/>
                <w:color w:val="auto"/>
                <w:sz w:val="21"/>
                <w:szCs w:val="21"/>
                <w:highlight w:val="none"/>
              </w:rPr>
            </w:pPr>
            <w:r>
              <w:rPr>
                <w:rFonts w:hint="eastAsia" w:ascii="宋体" w:hAnsi="宋体" w:eastAsia="宋体" w:cs="宋体"/>
                <w:color w:val="auto"/>
                <w:spacing w:val="-3"/>
                <w:sz w:val="21"/>
                <w:szCs w:val="21"/>
                <w:highlight w:val="none"/>
              </w:rPr>
              <w:t xml:space="preserve">25</w:t>
            </w:r>
            <w:r/>
          </w:p>
        </w:tc>
        <w:tc>
          <w:tcPr>
            <w:tcW w:w="1331" w:type="dxa"/>
            <w:textDirection w:val="lrTb"/>
            <w:noWrap w:val="false"/>
          </w:tcPr>
          <w:p>
            <w:pPr>
              <w:spacing w:line="251"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51"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117"/>
              <w:spacing w:before="71" w:line="220" w:lineRule="auto"/>
              <w:rPr>
                <w:rFonts w:hint="eastAsia" w:ascii="宋体" w:hAnsi="宋体" w:cs="宋体"/>
                <w:color w:val="auto"/>
                <w:sz w:val="21"/>
                <w:szCs w:val="21"/>
                <w:highlight w:val="none"/>
              </w:rPr>
            </w:pPr>
            <w:r>
              <w:rPr>
                <w:rFonts w:hint="eastAsia" w:ascii="宋体" w:hAnsi="宋体" w:eastAsia="宋体" w:cs="宋体"/>
                <w:color w:val="auto"/>
                <w:spacing w:val="-1"/>
                <w:sz w:val="21"/>
                <w:szCs w:val="21"/>
                <w:highlight w:val="none"/>
              </w:rPr>
              <w:t xml:space="preserve">新增、更换桥名牌</w:t>
            </w:r>
            <w:r/>
          </w:p>
        </w:tc>
        <w:tc>
          <w:tcPr>
            <w:tcW w:w="1709" w:type="dxa"/>
            <w:textDirection w:val="lrTb"/>
            <w:noWrap w:val="false"/>
          </w:tcPr>
          <w:p>
            <w:pPr>
              <w:spacing w:line="269"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69"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129"/>
              <w:spacing w:before="71" w:line="182" w:lineRule="auto"/>
              <w:rPr>
                <w:rFonts w:hint="eastAsia" w:ascii="宋体" w:hAnsi="宋体" w:cs="宋体"/>
                <w:color w:val="auto"/>
                <w:sz w:val="21"/>
                <w:szCs w:val="21"/>
                <w:highlight w:val="none"/>
              </w:rPr>
            </w:pPr>
            <w:r>
              <w:rPr>
                <w:rFonts w:hint="eastAsia" w:ascii="宋体" w:hAnsi="宋体" w:eastAsia="宋体" w:cs="宋体"/>
                <w:color w:val="auto"/>
                <w:spacing w:val="-1"/>
                <w:sz w:val="21"/>
                <w:szCs w:val="21"/>
                <w:highlight w:val="none"/>
              </w:rPr>
              <w:t xml:space="preserve">400*800mm</w:t>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rPr>
              <w:t xml:space="preserve">新增、更换桥名牌</w:t>
            </w:r>
            <w:r/>
          </w:p>
        </w:tc>
        <w:tc>
          <w:tcPr>
            <w:tcW w:w="1680" w:type="dxa"/>
            <w:textDirection w:val="lrTb"/>
            <w:noWrap w:val="false"/>
          </w:tcPr>
          <w:p>
            <w:pPr>
              <w:pStyle w:val="1479"/>
              <w:ind w:left="137" w:right="113"/>
              <w:jc w:val="both"/>
              <w:spacing w:before="167"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W w:w="761" w:type="dxa"/>
            <w:textDirection w:val="lrTb"/>
            <w:noWrap w:val="false"/>
          </w:tcPr>
          <w:p>
            <w:pPr>
              <w:spacing w:line="25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51"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2" w:line="221"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1块</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400</w:t>
            </w:r>
            <w:r/>
          </w:p>
        </w:tc>
      </w:tr>
      <w:tr>
        <w:trPr>
          <w:trHeight w:val="1215"/>
        </w:trPr>
        <w:tc>
          <w:tcPr>
            <w:tcW w:w="590" w:type="dxa"/>
            <w:textDirection w:val="lrTb"/>
            <w:noWrap w:val="false"/>
          </w:tcPr>
          <w:p>
            <w:pPr>
              <w:spacing w:line="46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81"/>
              <w:spacing w:before="66" w:line="189" w:lineRule="auto"/>
              <w:rPr>
                <w:rFonts w:hint="eastAsia" w:ascii="宋体" w:hAnsi="宋体" w:cs="宋体"/>
                <w:color w:val="auto"/>
                <w:sz w:val="21"/>
                <w:szCs w:val="21"/>
                <w:highlight w:val="none"/>
              </w:rPr>
            </w:pPr>
            <w:r>
              <w:rPr>
                <w:rFonts w:hint="eastAsia" w:ascii="宋体" w:hAnsi="宋体" w:eastAsia="宋体" w:cs="宋体"/>
                <w:color w:val="auto"/>
                <w:spacing w:val="-3"/>
                <w:sz w:val="21"/>
                <w:szCs w:val="21"/>
                <w:highlight w:val="none"/>
              </w:rPr>
              <w:t xml:space="preserve">26</w:t>
            </w:r>
            <w:r/>
          </w:p>
        </w:tc>
        <w:tc>
          <w:tcPr>
            <w:tcW w:w="1331" w:type="dxa"/>
            <w:textDirection w:val="lrTb"/>
            <w:noWrap w:val="false"/>
          </w:tcPr>
          <w:p>
            <w:pPr>
              <w:spacing w:line="445"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117"/>
              <w:spacing w:before="71" w:line="220" w:lineRule="auto"/>
              <w:rPr>
                <w:rFonts w:hint="eastAsia" w:ascii="宋体" w:hAnsi="宋体" w:cs="宋体"/>
                <w:color w:val="auto"/>
                <w:sz w:val="21"/>
                <w:szCs w:val="21"/>
                <w:highlight w:val="none"/>
              </w:rPr>
            </w:pPr>
            <w:r>
              <w:rPr>
                <w:rFonts w:hint="eastAsia" w:ascii="宋体" w:hAnsi="宋体" w:eastAsia="宋体" w:cs="宋体"/>
                <w:color w:val="auto"/>
                <w:spacing w:val="-1"/>
                <w:sz w:val="21"/>
                <w:szCs w:val="21"/>
                <w:highlight w:val="none"/>
              </w:rPr>
              <w:t xml:space="preserve">新增、更换路名牌</w:t>
            </w:r>
            <w:r/>
          </w:p>
        </w:tc>
        <w:tc>
          <w:tcPr>
            <w:tcW w:w="1709"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rPr>
              <w:t xml:space="preserve">新增、更换路名牌</w:t>
            </w:r>
            <w:r/>
          </w:p>
        </w:tc>
        <w:tc>
          <w:tcPr>
            <w:tcW w:w="1680" w:type="dxa"/>
            <w:textDirection w:val="lrTb"/>
            <w:noWrap w:val="false"/>
          </w:tcPr>
          <w:p>
            <w:pPr>
              <w:pStyle w:val="1479"/>
              <w:ind w:left="137" w:right="113"/>
              <w:jc w:val="both"/>
              <w:spacing w:before="110"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W w:w="761" w:type="dxa"/>
            <w:textDirection w:val="lrTb"/>
            <w:noWrap w:val="false"/>
          </w:tcPr>
          <w:p>
            <w:pPr>
              <w:spacing w:line="444"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2" w:line="221"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1块</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400</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1229"/>
        </w:trPr>
        <w:tc>
          <w:tcPr>
            <w:tcW w:w="590" w:type="dxa"/>
            <w:textDirection w:val="lrTb"/>
            <w:noWrap w:val="false"/>
          </w:tcPr>
          <w:p>
            <w:pPr>
              <w:spacing w:line="477"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81"/>
              <w:spacing w:before="66" w:line="189" w:lineRule="auto"/>
              <w:rPr>
                <w:rFonts w:hint="eastAsia" w:ascii="宋体" w:hAnsi="宋体" w:cs="宋体"/>
                <w:color w:val="auto"/>
                <w:sz w:val="21"/>
                <w:szCs w:val="21"/>
                <w:highlight w:val="none"/>
              </w:rPr>
            </w:pPr>
            <w:r>
              <w:rPr>
                <w:rFonts w:hint="eastAsia" w:ascii="宋体" w:hAnsi="宋体" w:eastAsia="宋体" w:cs="宋体"/>
                <w:color w:val="auto"/>
                <w:spacing w:val="-3"/>
                <w:sz w:val="21"/>
                <w:szCs w:val="21"/>
                <w:highlight w:val="none"/>
              </w:rPr>
              <w:t xml:space="preserve">27</w:t>
            </w:r>
            <w:r/>
          </w:p>
        </w:tc>
        <w:tc>
          <w:tcPr>
            <w:tcW w:w="1331" w:type="dxa"/>
            <w:textDirection w:val="lrTb"/>
            <w:noWrap w:val="false"/>
          </w:tcPr>
          <w:p>
            <w:pPr>
              <w:spacing w:line="317"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558" w:right="48" w:hanging="496"/>
              <w:spacing w:before="71" w:line="224" w:lineRule="auto"/>
              <w:rPr>
                <w:rFonts w:hint="eastAsia" w:ascii="宋体" w:hAnsi="宋体" w:cs="宋体"/>
                <w:color w:val="auto"/>
                <w:sz w:val="21"/>
                <w:szCs w:val="21"/>
                <w:highlight w:val="none"/>
              </w:rPr>
            </w:pPr>
            <w:r>
              <w:rPr>
                <w:rFonts w:hint="eastAsia" w:ascii="宋体" w:hAnsi="宋体" w:eastAsia="宋体" w:cs="宋体"/>
                <w:color w:val="auto"/>
                <w:spacing w:val="-1"/>
                <w:sz w:val="21"/>
                <w:szCs w:val="21"/>
                <w:highlight w:val="none"/>
              </w:rPr>
              <w:t xml:space="preserve">新增LED导向</w:t>
            </w:r>
            <w:r>
              <w:rPr>
                <w:rFonts w:hint="eastAsia" w:ascii="宋体" w:hAnsi="宋体" w:eastAsia="宋体" w:cs="宋体"/>
                <w:color w:val="auto"/>
                <w:sz w:val="21"/>
                <w:szCs w:val="21"/>
                <w:highlight w:val="none"/>
              </w:rPr>
              <w:t xml:space="preserve"> 牌</w:t>
            </w:r>
            <w:r/>
          </w:p>
        </w:tc>
        <w:tc>
          <w:tcPr>
            <w:tcW w:w="1709" w:type="dxa"/>
            <w:textDirection w:val="lrTb"/>
            <w:noWrap w:val="false"/>
          </w:tcPr>
          <w:p>
            <w:pPr>
              <w:spacing w:line="354"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565" w:right="57" w:hanging="474"/>
              <w:spacing w:before="72" w:line="232" w:lineRule="auto"/>
              <w:rPr>
                <w:rFonts w:hint="eastAsia" w:ascii="宋体" w:hAnsi="宋体" w:cs="宋体"/>
                <w:color w:val="auto"/>
                <w:sz w:val="21"/>
                <w:szCs w:val="21"/>
                <w:highlight w:val="none"/>
              </w:rPr>
            </w:pPr>
            <w:r>
              <w:rPr>
                <w:rFonts w:hint="eastAsia" w:ascii="宋体" w:hAnsi="宋体" w:eastAsia="宋体" w:cs="宋体"/>
                <w:color w:val="auto"/>
                <w:spacing w:val="-3"/>
                <w:sz w:val="21"/>
                <w:szCs w:val="21"/>
                <w:highlight w:val="none"/>
              </w:rPr>
              <w:t xml:space="preserve">1000*1500m</w:t>
            </w:r>
            <w:r>
              <w:rPr>
                <w:rFonts w:hint="eastAsia" w:ascii="宋体" w:hAnsi="宋体" w:eastAsia="宋体" w:cs="宋体"/>
                <w:color w:val="auto"/>
                <w:spacing w:val="8"/>
                <w:sz w:val="21"/>
                <w:szCs w:val="21"/>
                <w:highlight w:val="none"/>
              </w:rPr>
              <w:t xml:space="preserve"> </w:t>
            </w:r>
            <w:r>
              <w:rPr>
                <w:rFonts w:hint="eastAsia" w:ascii="宋体" w:hAnsi="宋体" w:eastAsia="宋体" w:cs="宋体"/>
                <w:color w:val="auto"/>
                <w:sz w:val="21"/>
                <w:szCs w:val="21"/>
                <w:highlight w:val="none"/>
              </w:rPr>
              <w:t xml:space="preserve">m</w:t>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rPr>
              <w:t xml:space="preserve">新增、更换LED牌</w:t>
            </w:r>
            <w:r/>
          </w:p>
        </w:tc>
        <w:tc>
          <w:tcPr>
            <w:tcW w:w="1680" w:type="dxa"/>
            <w:textDirection w:val="lrTb"/>
            <w:noWrap w:val="false"/>
          </w:tcPr>
          <w:p>
            <w:pPr>
              <w:pStyle w:val="1479"/>
              <w:ind w:left="137" w:right="113"/>
              <w:jc w:val="both"/>
              <w:spacing w:before="118"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W w:w="761" w:type="dxa"/>
            <w:textDirection w:val="lrTb"/>
            <w:noWrap w:val="false"/>
          </w:tcPr>
          <w:p>
            <w:pPr>
              <w:spacing w:line="453"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1" w:line="221"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1块</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3000</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1334"/>
        </w:trPr>
        <w:tc>
          <w:tcPr>
            <w:tcW w:w="590" w:type="dxa"/>
            <w:textDirection w:val="lrTb"/>
            <w:noWrap w:val="false"/>
          </w:tcPr>
          <w:p>
            <w:pPr>
              <w:spacing w:line="265"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6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81"/>
              <w:spacing w:before="66" w:line="189" w:lineRule="auto"/>
              <w:rPr>
                <w:rFonts w:hint="eastAsia" w:ascii="宋体" w:hAnsi="宋体" w:cs="宋体"/>
                <w:color w:val="auto"/>
                <w:sz w:val="21"/>
                <w:szCs w:val="21"/>
                <w:highlight w:val="none"/>
              </w:rPr>
            </w:pPr>
            <w:r>
              <w:rPr>
                <w:rFonts w:hint="eastAsia" w:ascii="宋体" w:hAnsi="宋体" w:eastAsia="宋体" w:cs="宋体"/>
                <w:color w:val="auto"/>
                <w:spacing w:val="-3"/>
                <w:sz w:val="21"/>
                <w:szCs w:val="21"/>
                <w:highlight w:val="none"/>
              </w:rPr>
              <w:t xml:space="preserve">28</w:t>
            </w:r>
            <w:r/>
          </w:p>
        </w:tc>
        <w:tc>
          <w:tcPr>
            <w:tcW w:w="1331" w:type="dxa"/>
            <w:textDirection w:val="lrTb"/>
            <w:noWrap w:val="false"/>
          </w:tcPr>
          <w:p>
            <w:pPr>
              <w:spacing w:line="371"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336" w:right="103" w:hanging="219"/>
              <w:spacing w:before="71" w:line="224"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新增悬臂式</w:t>
            </w:r>
            <w:r>
              <w:rPr>
                <w:rFonts w:hint="eastAsia" w:ascii="宋体" w:hAnsi="宋体" w:eastAsia="宋体" w:cs="宋体"/>
                <w:color w:val="auto"/>
                <w:spacing w:val="3"/>
                <w:sz w:val="21"/>
                <w:szCs w:val="21"/>
                <w:highlight w:val="none"/>
              </w:rPr>
              <w:t xml:space="preserve"> </w:t>
            </w:r>
            <w:r>
              <w:rPr>
                <w:rFonts w:hint="eastAsia" w:ascii="宋体" w:hAnsi="宋体" w:eastAsia="宋体" w:cs="宋体"/>
                <w:color w:val="auto"/>
                <w:spacing w:val="-2"/>
                <w:sz w:val="21"/>
                <w:szCs w:val="21"/>
                <w:highlight w:val="none"/>
              </w:rPr>
              <w:t xml:space="preserve">信号灯</w:t>
            </w:r>
            <w:r/>
          </w:p>
        </w:tc>
        <w:tc>
          <w:tcPr>
            <w:tcW w:w="1709"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lang w:eastAsia="zh-CN"/>
              </w:rPr>
              <w:t xml:space="preserve">含灯、屏、杆件、基 础、电缆、机械等</w:t>
            </w:r>
            <w:r/>
          </w:p>
        </w:tc>
        <w:tc>
          <w:tcPr>
            <w:tcW w:w="1680" w:type="dxa"/>
            <w:textDirection w:val="lrTb"/>
            <w:noWrap w:val="false"/>
          </w:tcPr>
          <w:p>
            <w:pPr>
              <w:pStyle w:val="1479"/>
              <w:ind w:left="137" w:right="113"/>
              <w:jc w:val="both"/>
              <w:spacing w:before="172"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W w:w="761" w:type="dxa"/>
            <w:textDirection w:val="lrTb"/>
            <w:noWrap w:val="false"/>
          </w:tcPr>
          <w:p>
            <w:pPr>
              <w:spacing w:line="253"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54"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2" w:line="231"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1组</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40000</w:t>
            </w:r>
            <w:r/>
          </w:p>
        </w:tc>
      </w:tr>
      <w:tr>
        <w:trPr>
          <w:trHeight w:val="1141"/>
        </w:trPr>
        <w:tc>
          <w:tcPr>
            <w:tcW w:w="590" w:type="dxa"/>
            <w:textDirection w:val="lrTb"/>
            <w:noWrap w:val="false"/>
          </w:tcPr>
          <w:p>
            <w:pPr>
              <w:spacing w:line="435"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81"/>
              <w:spacing w:before="67" w:line="189" w:lineRule="auto"/>
              <w:rPr>
                <w:rFonts w:hint="eastAsia" w:ascii="宋体" w:hAnsi="宋体" w:cs="宋体"/>
                <w:color w:val="auto"/>
                <w:sz w:val="21"/>
                <w:szCs w:val="21"/>
                <w:highlight w:val="none"/>
              </w:rPr>
            </w:pPr>
            <w:r>
              <w:rPr>
                <w:rFonts w:hint="eastAsia" w:ascii="宋体" w:hAnsi="宋体" w:eastAsia="宋体" w:cs="宋体"/>
                <w:color w:val="auto"/>
                <w:spacing w:val="-3"/>
                <w:sz w:val="21"/>
                <w:szCs w:val="21"/>
                <w:highlight w:val="none"/>
              </w:rPr>
              <w:t xml:space="preserve">29</w:t>
            </w:r>
            <w:r/>
          </w:p>
        </w:tc>
        <w:tc>
          <w:tcPr>
            <w:tcW w:w="1331" w:type="dxa"/>
            <w:textDirection w:val="lrTb"/>
            <w:noWrap w:val="false"/>
          </w:tcPr>
          <w:p>
            <w:pPr>
              <w:spacing w:line="279"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340" w:right="103" w:hanging="223"/>
              <w:spacing w:before="71" w:line="224"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新增立柱式</w:t>
            </w:r>
            <w:r>
              <w:rPr>
                <w:rFonts w:hint="eastAsia" w:ascii="宋体" w:hAnsi="宋体" w:eastAsia="宋体" w:cs="宋体"/>
                <w:color w:val="auto"/>
                <w:spacing w:val="3"/>
                <w:sz w:val="21"/>
                <w:szCs w:val="21"/>
                <w:highlight w:val="none"/>
              </w:rPr>
              <w:t xml:space="preserve"> </w:t>
            </w:r>
            <w:r>
              <w:rPr>
                <w:rFonts w:hint="eastAsia" w:ascii="宋体" w:hAnsi="宋体" w:eastAsia="宋体" w:cs="宋体"/>
                <w:color w:val="auto"/>
                <w:spacing w:val="-3"/>
                <w:sz w:val="21"/>
                <w:szCs w:val="21"/>
                <w:highlight w:val="none"/>
              </w:rPr>
              <w:t xml:space="preserve">行人灯</w:t>
            </w:r>
            <w:r/>
          </w:p>
        </w:tc>
        <w:tc>
          <w:tcPr>
            <w:tcW w:w="1709"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p>
            <w:pPr>
              <w:ind w:left="105"/>
              <w:keepLines w:val="0"/>
              <w:keepNext w:val="0"/>
              <w:pageBreakBefore w:val="0"/>
              <w:widowControl w:val="off"/>
              <w:rPr>
                <w:rFonts w:hint="eastAsia"/>
                <w:color w:val="auto"/>
              </w:rPr>
            </w:pPr>
            <w:r>
              <w:rPr>
                <w:rFonts w:hint="eastAsia"/>
                <w:color w:val="auto"/>
                <w:lang w:eastAsia="zh-CN"/>
              </w:rPr>
              <w:t xml:space="preserve">含灯、屏、杆件、基 础、电缆、机械等</w:t>
            </w:r>
            <w:r/>
          </w:p>
        </w:tc>
        <w:tc>
          <w:tcPr>
            <w:tcW w:w="1680" w:type="dxa"/>
            <w:textDirection w:val="lrTb"/>
            <w:noWrap w:val="false"/>
          </w:tcPr>
          <w:p>
            <w:pPr>
              <w:pStyle w:val="1479"/>
              <w:ind w:left="137" w:right="113"/>
              <w:jc w:val="both"/>
              <w:spacing w:before="82" w:line="220"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W w:w="761" w:type="dxa"/>
            <w:textDirection w:val="lrTb"/>
            <w:noWrap w:val="false"/>
          </w:tcPr>
          <w:p>
            <w:pPr>
              <w:spacing w:line="41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1" w:line="231"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1组</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5500</w:t>
            </w:r>
            <w:r/>
          </w:p>
        </w:tc>
      </w:tr>
      <w:tr>
        <w:trPr>
          <w:trHeight w:val="1140"/>
        </w:trPr>
        <w:tc>
          <w:tcPr>
            <w:tcW w:w="590" w:type="dxa"/>
            <w:textDirection w:val="lrTb"/>
            <w:noWrap w:val="false"/>
          </w:tcPr>
          <w:p>
            <w:pPr>
              <w:spacing w:line="43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80"/>
              <w:spacing w:before="66" w:line="189" w:lineRule="auto"/>
              <w:rPr>
                <w:rFonts w:hint="eastAsia" w:ascii="宋体" w:hAnsi="宋体" w:cs="宋体"/>
                <w:color w:val="auto"/>
                <w:sz w:val="21"/>
                <w:szCs w:val="21"/>
                <w:highlight w:val="none"/>
              </w:rPr>
            </w:pPr>
            <w:r>
              <w:rPr>
                <w:rFonts w:hint="eastAsia" w:ascii="宋体" w:hAnsi="宋体" w:eastAsia="宋体" w:cs="宋体"/>
                <w:color w:val="auto"/>
                <w:spacing w:val="-3"/>
                <w:sz w:val="21"/>
                <w:szCs w:val="21"/>
                <w:highlight w:val="none"/>
              </w:rPr>
              <w:t xml:space="preserve">30</w:t>
            </w:r>
            <w:r/>
          </w:p>
        </w:tc>
        <w:tc>
          <w:tcPr>
            <w:tcW w:w="1331" w:type="dxa"/>
            <w:textDirection w:val="lrTb"/>
            <w:noWrap w:val="false"/>
          </w:tcPr>
          <w:p>
            <w:pPr>
              <w:spacing w:line="2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559" w:right="103" w:hanging="440"/>
              <w:spacing w:before="71" w:line="224"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更换配时方</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z w:val="21"/>
                <w:szCs w:val="21"/>
                <w:highlight w:val="none"/>
              </w:rPr>
              <w:t xml:space="preserve">案</w:t>
            </w:r>
            <w:r/>
          </w:p>
        </w:tc>
        <w:tc>
          <w:tcPr>
            <w:tcW w:w="1709"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68" w:type="dxa"/>
            <w:textDirection w:val="lrTb"/>
            <w:noWrap w:val="false"/>
          </w:tcPr>
          <w:p>
            <w:pPr>
              <w:ind w:left="105"/>
              <w:keepLines w:val="0"/>
              <w:keepNext w:val="0"/>
              <w:pageBreakBefore w:val="0"/>
              <w:widowControl w:val="off"/>
              <w:rPr>
                <w:rFonts w:hint="eastAsia"/>
                <w:color w:val="auto"/>
              </w:rPr>
            </w:pPr>
            <w:r>
              <w:rPr>
                <w:rFonts w:hint="eastAsia"/>
                <w:color w:val="auto"/>
              </w:rPr>
            </w:r>
            <w:r/>
          </w:p>
        </w:tc>
        <w:tc>
          <w:tcPr>
            <w:tcW w:w="1680" w:type="dxa"/>
            <w:textDirection w:val="lrTb"/>
            <w:noWrap w:val="false"/>
          </w:tcPr>
          <w:p>
            <w:pPr>
              <w:pStyle w:val="1479"/>
              <w:ind w:left="137" w:right="113"/>
              <w:jc w:val="both"/>
              <w:spacing w:before="81" w:line="220"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W w:w="761" w:type="dxa"/>
            <w:textDirection w:val="lrTb"/>
            <w:noWrap w:val="false"/>
          </w:tcPr>
          <w:p>
            <w:pPr>
              <w:spacing w:line="413"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1" w:line="231"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1组</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1000</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1215"/>
        </w:trPr>
        <w:tc>
          <w:tcPr>
            <w:tcW w:w="590" w:type="dxa"/>
            <w:textDirection w:val="lrTb"/>
            <w:noWrap w:val="false"/>
          </w:tcPr>
          <w:p>
            <w:pPr>
              <w:spacing w:line="47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80"/>
              <w:spacing w:before="66" w:line="189" w:lineRule="auto"/>
              <w:rPr>
                <w:rFonts w:hint="eastAsia" w:ascii="宋体" w:hAnsi="宋体" w:cs="宋体"/>
                <w:color w:val="auto"/>
                <w:sz w:val="21"/>
                <w:szCs w:val="21"/>
                <w:highlight w:val="none"/>
              </w:rPr>
            </w:pPr>
            <w:r>
              <w:rPr>
                <w:rFonts w:hint="eastAsia" w:ascii="宋体" w:hAnsi="宋体" w:eastAsia="宋体" w:cs="宋体"/>
                <w:color w:val="auto"/>
                <w:spacing w:val="-3"/>
                <w:sz w:val="21"/>
                <w:szCs w:val="21"/>
                <w:highlight w:val="none"/>
              </w:rPr>
              <w:t xml:space="preserve">31</w:t>
            </w:r>
            <w:r/>
          </w:p>
        </w:tc>
        <w:tc>
          <w:tcPr>
            <w:tcW w:w="1331" w:type="dxa"/>
            <w:textDirection w:val="lrTb"/>
            <w:noWrap w:val="false"/>
          </w:tcPr>
          <w:p>
            <w:pPr>
              <w:spacing w:line="31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362" w:right="103" w:hanging="243"/>
              <w:spacing w:before="72" w:line="224"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更换、新增</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pacing w:val="-8"/>
                <w:sz w:val="21"/>
                <w:szCs w:val="21"/>
                <w:highlight w:val="none"/>
              </w:rPr>
              <w:t xml:space="preserve">电缆线</w:t>
            </w:r>
            <w:r/>
          </w:p>
        </w:tc>
        <w:tc>
          <w:tcPr>
            <w:tcW w:w="1709" w:type="dxa"/>
            <w:textDirection w:val="lrTb"/>
            <w:noWrap w:val="false"/>
          </w:tcPr>
          <w:p>
            <w:pPr>
              <w:spacing w:line="31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517" w:right="112" w:hanging="387"/>
              <w:spacing w:before="71" w:line="225" w:lineRule="auto"/>
              <w:rPr>
                <w:rFonts w:hint="eastAsia" w:ascii="宋体" w:hAnsi="宋体" w:cs="宋体"/>
                <w:color w:val="auto"/>
                <w:sz w:val="21"/>
                <w:szCs w:val="21"/>
                <w:highlight w:val="none"/>
              </w:rPr>
            </w:pPr>
            <w:r>
              <w:rPr>
                <w:rFonts w:hint="eastAsia" w:ascii="宋体" w:hAnsi="宋体" w:eastAsia="宋体" w:cs="宋体"/>
                <w:color w:val="auto"/>
                <w:spacing w:val="-1"/>
                <w:sz w:val="21"/>
                <w:szCs w:val="21"/>
                <w:highlight w:val="none"/>
              </w:rPr>
              <w:t xml:space="preserve">三芯1.5平</w:t>
            </w:r>
            <w:r>
              <w:rPr>
                <w:rFonts w:hint="eastAsia" w:ascii="宋体" w:hAnsi="宋体" w:eastAsia="宋体" w:cs="宋体"/>
                <w:color w:val="auto"/>
                <w:sz w:val="21"/>
                <w:szCs w:val="21"/>
                <w:highlight w:val="none"/>
              </w:rPr>
              <w:t xml:space="preserve"> 方</w:t>
            </w:r>
            <w:r/>
          </w:p>
        </w:tc>
        <w:tc>
          <w:tcPr>
            <w:tcW w:w="1468"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80" w:type="dxa"/>
            <w:textDirection w:val="lrTb"/>
            <w:noWrap w:val="false"/>
          </w:tcPr>
          <w:p>
            <w:pPr>
              <w:pStyle w:val="1479"/>
              <w:ind w:left="137" w:right="113"/>
              <w:jc w:val="both"/>
              <w:spacing w:before="118"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W w:w="761" w:type="dxa"/>
            <w:textDirection w:val="lrTb"/>
            <w:noWrap w:val="false"/>
          </w:tcPr>
          <w:p>
            <w:pPr>
              <w:spacing w:line="453"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3"/>
              <w:spacing w:before="71" w:line="220"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1米</w:t>
            </w:r>
            <w:r/>
          </w:p>
        </w:tc>
        <w:tc>
          <w:tcPr>
            <w:tcBorders>
              <w:top w:val="single" w:color="000000" w:sz="2" w:space="0"/>
              <w:bottom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15.5</w:t>
            </w:r>
            <w:r/>
          </w:p>
        </w:tc>
      </w:tr>
      <w:tr>
        <w:trPr>
          <w:trHeight w:val="1219"/>
        </w:trPr>
        <w:tc>
          <w:tcPr>
            <w:tcBorders>
              <w:left w:val="single" w:color="000000" w:sz="2" w:space="0"/>
              <w:right w:val="single" w:color="000000" w:sz="2" w:space="0"/>
            </w:tcBorders>
            <w:tcW w:w="590" w:type="dxa"/>
            <w:textDirection w:val="lrTb"/>
            <w:noWrap w:val="false"/>
          </w:tcPr>
          <w:p>
            <w:pPr>
              <w:spacing w:line="471"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85"/>
              <w:spacing w:before="66" w:line="189" w:lineRule="auto"/>
              <w:rPr>
                <w:rFonts w:hint="eastAsia" w:ascii="宋体" w:hAnsi="宋体" w:cs="宋体"/>
                <w:color w:val="auto"/>
                <w:sz w:val="21"/>
                <w:szCs w:val="21"/>
                <w:highlight w:val="none"/>
              </w:rPr>
            </w:pPr>
            <w:r>
              <w:rPr>
                <w:rFonts w:hint="eastAsia" w:ascii="宋体" w:hAnsi="宋体" w:eastAsia="宋体" w:cs="宋体"/>
                <w:color w:val="auto"/>
                <w:spacing w:val="-3"/>
                <w:sz w:val="21"/>
                <w:szCs w:val="21"/>
                <w:highlight w:val="none"/>
              </w:rPr>
              <w:t xml:space="preserve">32</w:t>
            </w:r>
            <w:r/>
          </w:p>
        </w:tc>
        <w:tc>
          <w:tcPr>
            <w:tcBorders>
              <w:left w:val="single" w:color="000000" w:sz="2" w:space="0"/>
              <w:right w:val="single" w:color="000000" w:sz="2" w:space="0"/>
            </w:tcBorders>
            <w:tcW w:w="1331" w:type="dxa"/>
            <w:textDirection w:val="lrTb"/>
            <w:noWrap w:val="false"/>
          </w:tcPr>
          <w:p>
            <w:pPr>
              <w:spacing w:line="31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343" w:right="108" w:hanging="219"/>
              <w:spacing w:before="72" w:line="224"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rPr>
              <w:t xml:space="preserve">更换信号机</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pacing w:val="-2"/>
                <w:sz w:val="21"/>
                <w:szCs w:val="21"/>
                <w:highlight w:val="none"/>
              </w:rPr>
              <w:t xml:space="preserve">箱主板</w:t>
            </w:r>
            <w:r/>
          </w:p>
        </w:tc>
        <w:tc>
          <w:tcPr>
            <w:tcBorders>
              <w:left w:val="single" w:color="000000" w:sz="2" w:space="0"/>
              <w:right w:val="single" w:color="000000" w:sz="2" w:space="0"/>
            </w:tcBorders>
            <w:tcW w:w="1709"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2" w:space="0"/>
              <w:right w:val="single" w:color="000000" w:sz="2" w:space="0"/>
            </w:tcBorders>
            <w:tcW w:w="1468"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2" w:space="0"/>
              <w:right w:val="single" w:color="000000" w:sz="2" w:space="0"/>
            </w:tcBorders>
            <w:tcW w:w="1680" w:type="dxa"/>
            <w:textDirection w:val="lrTb"/>
            <w:noWrap w:val="false"/>
          </w:tcPr>
          <w:p>
            <w:pPr>
              <w:pStyle w:val="1479"/>
              <w:ind w:left="142" w:right="118"/>
              <w:jc w:val="both"/>
              <w:spacing w:before="112" w:line="226" w:lineRule="auto"/>
              <w:rPr>
                <w:rFonts w:hint="eastAsia" w:ascii="宋体" w:hAnsi="宋体" w:cs="宋体"/>
                <w:color w:val="auto"/>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Borders>
              <w:left w:val="single" w:color="000000" w:sz="2" w:space="0"/>
              <w:right w:val="single" w:color="000000" w:sz="2" w:space="0"/>
            </w:tcBorders>
            <w:tcW w:w="761" w:type="dxa"/>
            <w:textDirection w:val="lrTb"/>
            <w:noWrap w:val="false"/>
          </w:tcPr>
          <w:p>
            <w:pPr>
              <w:spacing w:line="447"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479"/>
              <w:ind w:left="248"/>
              <w:spacing w:before="72" w:line="221" w:lineRule="auto"/>
              <w:rPr>
                <w:rFonts w:hint="eastAsia" w:ascii="宋体" w:hAnsi="宋体" w:cs="宋体"/>
                <w:color w:val="auto"/>
                <w:sz w:val="21"/>
                <w:szCs w:val="21"/>
                <w:highlight w:val="none"/>
              </w:rPr>
            </w:pPr>
            <w:r>
              <w:rPr>
                <w:rFonts w:hint="eastAsia" w:ascii="宋体" w:hAnsi="宋体" w:eastAsia="宋体" w:cs="宋体"/>
                <w:color w:val="auto"/>
                <w:spacing w:val="-4"/>
                <w:sz w:val="21"/>
                <w:szCs w:val="21"/>
                <w:highlight w:val="none"/>
              </w:rPr>
              <w:t xml:space="preserve">1套</w:t>
            </w:r>
            <w:r/>
          </w:p>
        </w:tc>
        <w:tc>
          <w:tcPr>
            <w:tcBorders>
              <w:top w:val="single" w:color="000000" w:sz="2" w:space="0"/>
              <w:left w:val="single" w:color="000000" w:sz="2" w:space="0"/>
              <w:bottom w:val="single" w:color="000000" w:sz="2" w:space="0"/>
              <w:right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6500</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1219"/>
        </w:trPr>
        <w:tc>
          <w:tcPr>
            <w:tcBorders>
              <w:left w:val="single" w:color="000000" w:sz="2" w:space="0"/>
              <w:right w:val="single" w:color="000000" w:sz="2" w:space="0"/>
            </w:tcBorders>
            <w:tcW w:w="590" w:type="dxa"/>
            <w:textDirection w:val="lrTb"/>
            <w:noWrap w:val="false"/>
          </w:tcPr>
          <w:p>
            <w:pPr>
              <w:ind w:left="185"/>
              <w:spacing w:before="66" w:line="189" w:lineRule="auto"/>
              <w:rPr>
                <w:rFonts w:hint="eastAsia" w:ascii="宋体" w:hAnsi="宋体" w:cs="宋体"/>
                <w:color w:val="auto"/>
                <w:spacing w:val="-3"/>
                <w:sz w:val="21"/>
                <w:szCs w:val="21"/>
                <w:highlight w:val="none"/>
              </w:rPr>
            </w:pPr>
            <w:r>
              <w:rPr>
                <w:rFonts w:hint="eastAsia" w:ascii="宋体" w:hAnsi="宋体" w:cs="宋体"/>
                <w:color w:val="auto"/>
                <w:spacing w:val="-3"/>
                <w:sz w:val="21"/>
                <w:szCs w:val="21"/>
                <w:highlight w:val="none"/>
              </w:rPr>
            </w:r>
            <w:r/>
          </w:p>
          <w:p>
            <w:pPr>
              <w:ind w:left="185"/>
              <w:spacing w:before="66" w:line="189" w:lineRule="auto"/>
              <w:rPr>
                <w:rFonts w:hint="eastAsia" w:ascii="宋体" w:hAnsi="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33</w:t>
            </w:r>
            <w:r/>
          </w:p>
        </w:tc>
        <w:tc>
          <w:tcPr>
            <w:tcBorders>
              <w:left w:val="single" w:color="000000" w:sz="2" w:space="0"/>
              <w:right w:val="single" w:color="000000" w:sz="2" w:space="0"/>
            </w:tcBorders>
            <w:tcW w:w="1331" w:type="dxa"/>
            <w:textDirection w:val="lrTb"/>
            <w:noWrap w:val="false"/>
          </w:tcPr>
          <w:p>
            <w:pPr>
              <w:pStyle w:val="1479"/>
              <w:ind w:left="343" w:right="108" w:hanging="219"/>
              <w:spacing w:before="72" w:line="224" w:lineRule="auto"/>
              <w:rPr>
                <w:rFonts w:hint="eastAsia" w:ascii="宋体" w:hAnsi="宋体" w:cs="宋体"/>
                <w:color w:val="auto"/>
                <w:spacing w:val="-2"/>
                <w:sz w:val="21"/>
                <w:szCs w:val="21"/>
                <w:highlight w:val="none"/>
              </w:rPr>
            </w:pPr>
            <w:r>
              <w:rPr>
                <w:rFonts w:hint="eastAsia" w:ascii="宋体" w:hAnsi="宋体" w:cs="宋体"/>
                <w:color w:val="auto"/>
                <w:spacing w:val="-2"/>
                <w:sz w:val="21"/>
                <w:szCs w:val="21"/>
                <w:highlight w:val="none"/>
              </w:rPr>
            </w:r>
            <w:r/>
          </w:p>
          <w:p>
            <w:pPr>
              <w:pStyle w:val="1479"/>
              <w:ind w:left="343" w:right="108" w:hanging="219"/>
              <w:spacing w:before="72" w:line="224" w:lineRule="auto"/>
              <w:rPr>
                <w:rFonts w:hint="eastAsia" w:ascii="宋体" w:hAnsi="宋体" w:cs="宋体"/>
                <w:color w:val="auto"/>
                <w:spacing w:val="-2"/>
                <w:sz w:val="21"/>
                <w:szCs w:val="21"/>
                <w:highlight w:val="none"/>
              </w:rPr>
            </w:pPr>
            <w:r>
              <w:rPr>
                <w:rFonts w:hint="eastAsia" w:ascii="宋体" w:hAnsi="宋体" w:eastAsia="宋体" w:cs="宋体"/>
                <w:color w:val="auto"/>
                <w:spacing w:val="-2"/>
                <w:sz w:val="21"/>
                <w:szCs w:val="21"/>
                <w:highlight w:val="none"/>
                <w:lang w:eastAsia="zh-CN"/>
              </w:rPr>
              <w:t xml:space="preserve">新增太阳能发光道钉</w:t>
            </w:r>
            <w:r/>
          </w:p>
        </w:tc>
        <w:tc>
          <w:tcPr>
            <w:tcBorders>
              <w:left w:val="single" w:color="000000" w:sz="2" w:space="0"/>
              <w:right w:val="single" w:color="000000" w:sz="2" w:space="0"/>
            </w:tcBorders>
            <w:tcW w:w="1709"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2" w:space="0"/>
              <w:right w:val="single" w:color="000000" w:sz="2" w:space="0"/>
            </w:tcBorders>
            <w:tcW w:w="1468"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2" w:space="0"/>
              <w:right w:val="single" w:color="000000" w:sz="2" w:space="0"/>
            </w:tcBorders>
            <w:tcW w:w="1680" w:type="dxa"/>
            <w:textDirection w:val="lrTb"/>
            <w:noWrap w:val="false"/>
          </w:tcPr>
          <w:p>
            <w:pPr>
              <w:pStyle w:val="1479"/>
              <w:ind w:left="142" w:right="118"/>
              <w:jc w:val="both"/>
              <w:spacing w:before="112" w:line="226" w:lineRule="auto"/>
              <w:rPr>
                <w:rFonts w:hint="eastAsia" w:ascii="宋体" w:hAnsi="宋体" w:cs="宋体"/>
                <w:color w:val="auto"/>
                <w:spacing w:val="-2"/>
                <w:sz w:val="21"/>
                <w:szCs w:val="21"/>
                <w:highlight w:val="none"/>
              </w:rPr>
            </w:pPr>
            <w:r>
              <w:rPr>
                <w:rFonts w:hint="eastAsia" w:ascii="宋体" w:hAnsi="宋体" w:eastAsia="宋体" w:cs="宋体"/>
                <w:color w:val="auto"/>
                <w:spacing w:val="-2"/>
                <w:sz w:val="21"/>
                <w:szCs w:val="21"/>
                <w:highlight w:val="none"/>
                <w:lang w:eastAsia="zh-CN"/>
              </w:rPr>
              <w:t xml:space="preserve">技术要求详</w:t>
            </w:r>
            <w:r>
              <w:rPr>
                <w:rFonts w:hint="eastAsia" w:ascii="宋体" w:hAnsi="宋体" w:eastAsia="宋体" w:cs="宋体"/>
                <w:color w:val="auto"/>
                <w:spacing w:val="3"/>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见附件《安</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装更新专项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技术要求》</w:t>
            </w:r>
            <w:r/>
          </w:p>
        </w:tc>
        <w:tc>
          <w:tcPr>
            <w:tcBorders>
              <w:left w:val="single" w:color="000000" w:sz="2" w:space="0"/>
              <w:right w:val="single" w:color="000000" w:sz="2" w:space="0"/>
            </w:tcBorders>
            <w:tcW w:w="761" w:type="dxa"/>
            <w:textDirection w:val="lrTb"/>
            <w:noWrap w:val="false"/>
          </w:tcPr>
          <w:p>
            <w:pPr>
              <w:pStyle w:val="1479"/>
              <w:ind w:left="248"/>
              <w:spacing w:before="72" w:line="221" w:lineRule="auto"/>
              <w:rPr>
                <w:rFonts w:hint="eastAsia" w:ascii="宋体" w:hAnsi="宋体" w:cs="宋体"/>
                <w:color w:val="auto"/>
                <w:spacing w:val="-4"/>
                <w:sz w:val="21"/>
                <w:szCs w:val="21"/>
                <w:highlight w:val="none"/>
              </w:rPr>
            </w:pPr>
            <w:r>
              <w:rPr>
                <w:rFonts w:hint="eastAsia" w:ascii="宋体" w:hAnsi="宋体" w:cs="宋体"/>
                <w:color w:val="auto"/>
                <w:spacing w:val="-4"/>
                <w:sz w:val="21"/>
                <w:szCs w:val="21"/>
                <w:highlight w:val="none"/>
              </w:rPr>
            </w:r>
            <w:r/>
          </w:p>
          <w:p>
            <w:pPr>
              <w:pStyle w:val="1479"/>
              <w:ind w:left="248"/>
              <w:spacing w:before="72" w:line="221" w:lineRule="auto"/>
              <w:rPr>
                <w:rFonts w:hint="eastAsia" w:ascii="宋体" w:hAnsi="宋体" w:cs="宋体"/>
                <w:color w:val="auto"/>
                <w:spacing w:val="-4"/>
                <w:sz w:val="21"/>
                <w:szCs w:val="21"/>
                <w:highlight w:val="none"/>
              </w:rPr>
            </w:pPr>
            <w:r>
              <w:rPr>
                <w:rFonts w:hint="eastAsia" w:ascii="宋体" w:hAnsi="宋体" w:eastAsia="宋体" w:cs="宋体"/>
                <w:color w:val="auto"/>
                <w:spacing w:val="-4"/>
                <w:sz w:val="21"/>
                <w:szCs w:val="21"/>
                <w:highlight w:val="none"/>
                <w:lang w:eastAsia="zh-CN"/>
              </w:rPr>
              <w:t xml:space="preserve">1块</w:t>
            </w:r>
            <w:r/>
          </w:p>
        </w:tc>
        <w:tc>
          <w:tcPr>
            <w:tcBorders>
              <w:top w:val="single" w:color="000000" w:sz="2" w:space="0"/>
              <w:left w:val="single" w:color="000000" w:sz="2" w:space="0"/>
              <w:bottom w:val="single" w:color="000000" w:sz="2" w:space="0"/>
              <w:right w:val="single" w:color="000000" w:sz="2" w:space="0"/>
            </w:tcBorders>
            <w:tcW w:w="13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45</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1219"/>
        </w:trPr>
        <w:tc>
          <w:tcPr>
            <w:tcBorders>
              <w:left w:val="single" w:color="000000" w:sz="2" w:space="0"/>
              <w:right w:val="single" w:color="000000" w:sz="2" w:space="0"/>
            </w:tcBorders>
            <w:tcW w:w="590" w:type="dxa"/>
            <w:textDirection w:val="lrTb"/>
            <w:noWrap w:val="false"/>
          </w:tcPr>
          <w:p>
            <w:pPr>
              <w:ind w:left="185"/>
              <w:spacing w:before="66" w:line="189" w:lineRule="auto"/>
              <w:rPr>
                <w:rFonts w:hint="default"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 xml:space="preserve">34</w:t>
            </w:r>
            <w:r/>
          </w:p>
        </w:tc>
        <w:tc>
          <w:tcPr>
            <w:tcBorders>
              <w:left w:val="single" w:color="000000" w:sz="2" w:space="0"/>
              <w:right w:val="single" w:color="000000" w:sz="2" w:space="0"/>
            </w:tcBorders>
            <w:tcW w:w="1331" w:type="dxa"/>
            <w:vAlign w:val="center"/>
            <w:textDirection w:val="lrTb"/>
            <w:noWrap w:val="false"/>
          </w:tcPr>
          <w:p>
            <w:pPr>
              <w:jc w:val="center"/>
              <w:keepLines w:val="0"/>
              <w:keepNext w:val="0"/>
              <w:widowControl/>
              <w:rPr>
                <w:rFonts w:hint="eastAsia" w:ascii="宋体" w:hAnsi="宋体" w:eastAsia="宋体" w:cs="宋体"/>
                <w:color w:val="auto"/>
                <w:spacing w:val="-2"/>
                <w:sz w:val="21"/>
                <w:szCs w:val="21"/>
                <w:highlight w:val="none"/>
                <w:lang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彩色防滑路面</w:t>
            </w:r>
            <w:r/>
          </w:p>
        </w:tc>
        <w:tc>
          <w:tcPr>
            <w:tcBorders>
              <w:left w:val="single" w:color="000000" w:sz="2" w:space="0"/>
              <w:right w:val="single" w:color="000000" w:sz="2" w:space="0"/>
            </w:tcBorders>
            <w:tcW w:w="1709" w:type="dxa"/>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陶瓷颗粒</w:t>
            </w:r>
            <w:r/>
          </w:p>
        </w:tc>
        <w:tc>
          <w:tcPr>
            <w:tcBorders>
              <w:left w:val="single" w:color="000000" w:sz="2" w:space="0"/>
              <w:right w:val="single" w:color="000000" w:sz="2" w:space="0"/>
            </w:tcBorders>
            <w:tcW w:w="1468" w:type="dxa"/>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胶结料平均用量为1.6Kg/m2；1.18～2.36mm粒径骨料平均用量为10Kg/m；厚度3mm</w:t>
            </w:r>
            <w:r/>
          </w:p>
        </w:tc>
        <w:tc>
          <w:tcPr>
            <w:tcBorders>
              <w:left w:val="single" w:color="000000" w:sz="2" w:space="0"/>
              <w:right w:val="single" w:color="000000" w:sz="2" w:space="0"/>
            </w:tcBorders>
            <w:tcW w:w="1680" w:type="dxa"/>
            <w:vAlign w:val="center"/>
            <w:textDirection w:val="lrTb"/>
            <w:noWrap w:val="false"/>
          </w:tcPr>
          <w:p>
            <w:pPr>
              <w:jc w:val="center"/>
              <w:keepLines w:val="0"/>
              <w:keepNext w:val="0"/>
              <w:widowControl/>
              <w:rPr>
                <w:rFonts w:hint="eastAsia" w:ascii="宋体" w:hAnsi="宋体" w:eastAsia="宋体" w:cs="宋体"/>
                <w:color w:val="auto"/>
                <w:spacing w:val="-2"/>
                <w:sz w:val="21"/>
                <w:szCs w:val="21"/>
                <w:highlight w:val="none"/>
                <w:lang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技术要求详见附件《安装更新专项技术要求》</w:t>
            </w:r>
            <w:r/>
          </w:p>
        </w:tc>
        <w:tc>
          <w:tcPr>
            <w:tcBorders>
              <w:left w:val="single" w:color="000000" w:sz="2" w:space="0"/>
              <w:right w:val="single" w:color="000000" w:sz="2" w:space="0"/>
            </w:tcBorders>
            <w:tcW w:w="761" w:type="dxa"/>
            <w:vAlign w:val="center"/>
            <w:textDirection w:val="lrTb"/>
            <w:noWrap w:val="false"/>
          </w:tcPr>
          <w:p>
            <w:pPr>
              <w:jc w:val="center"/>
              <w:keepLines w:val="0"/>
              <w:keepNext w:val="0"/>
              <w:widowControl/>
              <w:rPr>
                <w:rFonts w:hint="eastAsia" w:ascii="宋体" w:hAnsi="宋体" w:eastAsia="宋体" w:cs="宋体"/>
                <w:color w:val="auto"/>
                <w:spacing w:val="-4"/>
                <w:sz w:val="21"/>
                <w:szCs w:val="21"/>
                <w:highlight w:val="none"/>
                <w:lang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1m2</w:t>
            </w:r>
            <w:r/>
          </w:p>
        </w:tc>
        <w:tc>
          <w:tcPr>
            <w:tcBorders>
              <w:top w:val="single" w:color="000000" w:sz="2" w:space="0"/>
              <w:left w:val="single" w:color="000000" w:sz="2" w:space="0"/>
              <w:bottom w:val="single" w:color="000000" w:sz="2" w:space="0"/>
              <w:right w:val="single" w:color="000000" w:sz="2" w:space="0"/>
            </w:tcBorders>
            <w:tcW w:w="1381" w:type="dxa"/>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r>
      <w:tr>
        <w:trPr>
          <w:trHeight w:val="1219"/>
        </w:trPr>
        <w:tc>
          <w:tcPr>
            <w:tcBorders>
              <w:left w:val="single" w:color="000000" w:sz="2" w:space="0"/>
              <w:right w:val="single" w:color="000000" w:sz="2" w:space="0"/>
            </w:tcBorders>
            <w:tcW w:w="590" w:type="dxa"/>
            <w:vAlign w:val="center"/>
            <w:textDirection w:val="lrTb"/>
            <w:noWrap w:val="false"/>
          </w:tcPr>
          <w:p>
            <w:pPr>
              <w:ind w:left="185"/>
              <w:jc w:val="center"/>
              <w:spacing w:before="66" w:line="189" w:lineRule="auto"/>
              <w:rPr>
                <w:rFonts w:hint="default"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 xml:space="preserve">35</w:t>
            </w:r>
            <w:r/>
          </w:p>
        </w:tc>
        <w:tc>
          <w:tcPr>
            <w:tcBorders>
              <w:left w:val="single" w:color="000000" w:sz="2" w:space="0"/>
              <w:right w:val="single" w:color="000000" w:sz="2" w:space="0"/>
            </w:tcBorders>
            <w:tcW w:w="1331" w:type="dxa"/>
            <w:vAlign w:val="center"/>
            <w:textDirection w:val="lrTb"/>
            <w:noWrap w:val="false"/>
          </w:tcPr>
          <w:p>
            <w:pPr>
              <w:jc w:val="center"/>
              <w:keepLines w:val="0"/>
              <w:keepNext w:val="0"/>
              <w:widowControl/>
              <w:rPr>
                <w:rFonts w:hint="eastAsia" w:ascii="宋体" w:hAnsi="宋体" w:eastAsia="宋体" w:cs="宋体"/>
                <w:color w:val="auto"/>
                <w:spacing w:val="-2"/>
                <w:sz w:val="21"/>
                <w:szCs w:val="21"/>
                <w:highlight w:val="none"/>
                <w:lang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新增、更换联网横臂交通诱导屏</w:t>
            </w:r>
            <w:r/>
          </w:p>
        </w:tc>
        <w:tc>
          <w:tcPr>
            <w:tcBorders>
              <w:left w:val="single" w:color="000000" w:sz="2" w:space="0"/>
              <w:right w:val="single" w:color="000000" w:sz="2" w:space="0"/>
            </w:tcBorders>
            <w:tcW w:w="1709" w:type="dxa"/>
            <w:vAlign w:val="center"/>
            <w:textDirection w:val="lrTb"/>
            <w:noWrap w:val="false"/>
          </w:tcPr>
          <w:p>
            <w:pPr>
              <w:jc w:val="left"/>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H*L=1920mm*680mm,物理点间距：10mm ；物理密度：10000点/m2。发光点颜色：1R1G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基色：纯红+纯绿；屏体接口：RJ47\COMM485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寿命：10万小时 ，平整度：任意相邻像素间≤0.5m，模块拼接间隙&lt;1mm ；均匀性：像素光强、模块亮度均匀，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屏体可根据需求设计为单行或两行显示。</w:t>
            </w:r>
            <w:r/>
          </w:p>
        </w:tc>
        <w:tc>
          <w:tcPr>
            <w:tcBorders>
              <w:left w:val="single" w:color="000000" w:sz="2" w:space="0"/>
              <w:right w:val="single" w:color="000000" w:sz="2" w:space="0"/>
            </w:tcBorders>
            <w:tcW w:w="1468" w:type="dxa"/>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含交通资源网关、工业级交换机、汇聚交换机电缆、光缆、网线、调试等</w:t>
            </w:r>
            <w:r/>
          </w:p>
        </w:tc>
        <w:tc>
          <w:tcPr>
            <w:tcBorders>
              <w:left w:val="single" w:color="000000" w:sz="2" w:space="0"/>
              <w:right w:val="single" w:color="000000" w:sz="2" w:space="0"/>
            </w:tcBorders>
            <w:tcW w:w="1680" w:type="dxa"/>
            <w:vAlign w:val="center"/>
            <w:textDirection w:val="lrTb"/>
            <w:noWrap w:val="false"/>
          </w:tcPr>
          <w:p>
            <w:pPr>
              <w:jc w:val="center"/>
              <w:keepLines w:val="0"/>
              <w:keepNext w:val="0"/>
              <w:widowControl/>
              <w:rPr>
                <w:rFonts w:hint="eastAsia" w:ascii="宋体" w:hAnsi="宋体" w:eastAsia="宋体" w:cs="宋体"/>
                <w:color w:val="auto"/>
                <w:spacing w:val="-2"/>
                <w:sz w:val="21"/>
                <w:szCs w:val="21"/>
                <w:highlight w:val="none"/>
                <w:lang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技术要求详见附件《安装更新专项技术要求》</w:t>
            </w:r>
            <w:r/>
          </w:p>
        </w:tc>
        <w:tc>
          <w:tcPr>
            <w:tcBorders>
              <w:left w:val="single" w:color="000000" w:sz="2" w:space="0"/>
              <w:right w:val="single" w:color="000000" w:sz="2" w:space="0"/>
            </w:tcBorders>
            <w:tcW w:w="761" w:type="dxa"/>
            <w:vAlign w:val="center"/>
            <w:textDirection w:val="lrTb"/>
            <w:noWrap w:val="false"/>
          </w:tcPr>
          <w:p>
            <w:pPr>
              <w:jc w:val="center"/>
              <w:keepLines w:val="0"/>
              <w:keepNext w:val="0"/>
              <w:widowControl/>
              <w:rPr>
                <w:rFonts w:hint="eastAsia" w:ascii="宋体" w:hAnsi="宋体" w:eastAsia="宋体" w:cs="宋体"/>
                <w:color w:val="auto"/>
                <w:spacing w:val="-4"/>
                <w:sz w:val="21"/>
                <w:szCs w:val="21"/>
                <w:highlight w:val="none"/>
                <w:lang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2" w:space="0"/>
              <w:left w:val="single" w:color="000000" w:sz="2" w:space="0"/>
              <w:bottom w:val="single" w:color="000000" w:sz="2" w:space="0"/>
              <w:right w:val="single" w:color="000000" w:sz="2" w:space="0"/>
            </w:tcBorders>
            <w:tcW w:w="1381" w:type="dxa"/>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30000</w:t>
            </w:r>
            <w:r/>
          </w:p>
        </w:tc>
      </w:tr>
      <w:tr>
        <w:trPr>
          <w:trHeight w:val="1219"/>
        </w:trPr>
        <w:tc>
          <w:tcPr>
            <w:tcBorders>
              <w:left w:val="single" w:color="000000" w:sz="2" w:space="0"/>
              <w:right w:val="single" w:color="000000" w:sz="2" w:space="0"/>
            </w:tcBorders>
            <w:tcW w:w="590" w:type="dxa"/>
            <w:vAlign w:val="center"/>
            <w:textDirection w:val="lrTb"/>
            <w:noWrap w:val="false"/>
          </w:tcPr>
          <w:p>
            <w:pPr>
              <w:ind w:left="185"/>
              <w:jc w:val="center"/>
              <w:spacing w:before="66" w:line="189" w:lineRule="auto"/>
              <w:rPr>
                <w:rFonts w:hint="default"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 xml:space="preserve">36</w:t>
            </w:r>
            <w:r/>
          </w:p>
        </w:tc>
        <w:tc>
          <w:tcPr>
            <w:tcBorders>
              <w:left w:val="single" w:color="000000" w:sz="2" w:space="0"/>
              <w:right w:val="single" w:color="000000" w:sz="2" w:space="0"/>
            </w:tcBorders>
            <w:tcW w:w="1331" w:type="dxa"/>
            <w:vAlign w:val="center"/>
            <w:textDirection w:val="lrTb"/>
            <w:noWrap w:val="false"/>
          </w:tcPr>
          <w:p>
            <w:pPr>
              <w:jc w:val="center"/>
              <w:keepLines w:val="0"/>
              <w:keepNext w:val="0"/>
              <w:widowControl/>
              <w:rPr>
                <w:rFonts w:hint="eastAsia" w:ascii="宋体" w:hAnsi="宋体" w:eastAsia="宋体" w:cs="宋体"/>
                <w:color w:val="auto"/>
                <w:spacing w:val="-2"/>
                <w:sz w:val="21"/>
                <w:szCs w:val="21"/>
                <w:highlight w:val="none"/>
                <w:lang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新增、更换悬臂式 非机动车信号指示灯</w:t>
            </w:r>
            <w:r/>
          </w:p>
        </w:tc>
        <w:tc>
          <w:tcPr>
            <w:tcBorders>
              <w:left w:val="single" w:color="000000" w:sz="2" w:space="0"/>
              <w:right w:val="single" w:color="000000" w:sz="2" w:space="0"/>
            </w:tcBorders>
            <w:tcW w:w="1709" w:type="dxa"/>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750*1400*52mm采用方圆型发光模组</w:t>
            </w:r>
            <w:r/>
          </w:p>
        </w:tc>
        <w:tc>
          <w:tcPr>
            <w:tcBorders>
              <w:left w:val="single" w:color="000000" w:sz="2" w:space="0"/>
              <w:right w:val="single" w:color="000000" w:sz="2" w:space="0"/>
            </w:tcBorders>
            <w:tcW w:w="1468" w:type="dxa"/>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含灯、屏、电缆、机械等</w:t>
            </w:r>
            <w:r/>
          </w:p>
        </w:tc>
        <w:tc>
          <w:tcPr>
            <w:tcBorders>
              <w:left w:val="single" w:color="000000" w:sz="2" w:space="0"/>
              <w:right w:val="single" w:color="000000" w:sz="2" w:space="0"/>
            </w:tcBorders>
            <w:tcW w:w="1680" w:type="dxa"/>
            <w:vAlign w:val="center"/>
            <w:textDirection w:val="lrTb"/>
            <w:noWrap w:val="false"/>
          </w:tcPr>
          <w:p>
            <w:pPr>
              <w:jc w:val="center"/>
              <w:keepLines w:val="0"/>
              <w:keepNext w:val="0"/>
              <w:widowControl/>
              <w:rPr>
                <w:rFonts w:hint="eastAsia" w:ascii="宋体" w:hAnsi="宋体" w:eastAsia="宋体" w:cs="宋体"/>
                <w:color w:val="auto"/>
                <w:spacing w:val="-2"/>
                <w:sz w:val="21"/>
                <w:szCs w:val="21"/>
                <w:highlight w:val="none"/>
                <w:lang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技术要求详见附件《安装更新专项技术要求》</w:t>
            </w:r>
            <w:r/>
          </w:p>
        </w:tc>
        <w:tc>
          <w:tcPr>
            <w:tcBorders>
              <w:left w:val="single" w:color="000000" w:sz="2" w:space="0"/>
              <w:right w:val="single" w:color="000000" w:sz="2" w:space="0"/>
            </w:tcBorders>
            <w:tcW w:w="761" w:type="dxa"/>
            <w:vAlign w:val="center"/>
            <w:textDirection w:val="lrTb"/>
            <w:noWrap w:val="false"/>
          </w:tcPr>
          <w:p>
            <w:pPr>
              <w:jc w:val="center"/>
              <w:keepLines w:val="0"/>
              <w:keepNext w:val="0"/>
              <w:widowControl/>
              <w:rPr>
                <w:rFonts w:hint="eastAsia" w:ascii="宋体" w:hAnsi="宋体" w:eastAsia="宋体" w:cs="宋体"/>
                <w:color w:val="auto"/>
                <w:spacing w:val="-4"/>
                <w:sz w:val="21"/>
                <w:szCs w:val="21"/>
                <w:highlight w:val="none"/>
                <w:lang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1套</w:t>
            </w:r>
            <w:r/>
          </w:p>
        </w:tc>
        <w:tc>
          <w:tcPr>
            <w:tcBorders>
              <w:top w:val="single" w:color="000000" w:sz="2" w:space="0"/>
              <w:left w:val="single" w:color="000000" w:sz="2" w:space="0"/>
              <w:bottom w:val="single" w:color="000000" w:sz="2" w:space="0"/>
              <w:right w:val="single" w:color="000000" w:sz="2" w:space="0"/>
            </w:tcBorders>
            <w:tcW w:w="1381" w:type="dxa"/>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13000</w:t>
            </w:r>
            <w:r/>
          </w:p>
        </w:tc>
      </w:tr>
      <w:tr>
        <w:trPr>
          <w:trHeight w:val="1219"/>
        </w:trPr>
        <w:tc>
          <w:tcPr>
            <w:tcBorders>
              <w:left w:val="single" w:color="000000" w:sz="2" w:space="0"/>
              <w:right w:val="single" w:color="000000" w:sz="2" w:space="0"/>
            </w:tcBorders>
            <w:tcW w:w="590" w:type="dxa"/>
            <w:vAlign w:val="center"/>
            <w:textDirection w:val="lrTb"/>
            <w:noWrap w:val="false"/>
          </w:tcPr>
          <w:p>
            <w:pPr>
              <w:ind w:left="185"/>
              <w:jc w:val="center"/>
              <w:spacing w:before="66" w:line="189" w:lineRule="auto"/>
              <w:rPr>
                <w:rFonts w:hint="default"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 xml:space="preserve">37</w:t>
            </w:r>
            <w:r/>
          </w:p>
        </w:tc>
        <w:tc>
          <w:tcPr>
            <w:tcBorders>
              <w:left w:val="single" w:color="000000" w:sz="2" w:space="0"/>
              <w:right w:val="single" w:color="000000" w:sz="2" w:space="0"/>
            </w:tcBorders>
            <w:tcW w:w="1331" w:type="dxa"/>
            <w:vAlign w:val="center"/>
            <w:textDirection w:val="lrTb"/>
            <w:noWrap w:val="false"/>
          </w:tcPr>
          <w:p>
            <w:pPr>
              <w:jc w:val="center"/>
              <w:keepLines w:val="0"/>
              <w:keepNext w:val="0"/>
              <w:widowControl/>
              <w:rPr>
                <w:rFonts w:hint="eastAsia" w:ascii="宋体" w:hAnsi="宋体" w:eastAsia="宋体" w:cs="宋体"/>
                <w:color w:val="auto"/>
                <w:spacing w:val="-2"/>
                <w:sz w:val="21"/>
                <w:szCs w:val="21"/>
                <w:highlight w:val="none"/>
                <w:lang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新增、更换减速带</w:t>
            </w:r>
            <w:r/>
          </w:p>
        </w:tc>
        <w:tc>
          <w:tcPr>
            <w:tcBorders>
              <w:left w:val="single" w:color="000000" w:sz="2" w:space="0"/>
              <w:right w:val="single" w:color="000000" w:sz="2" w:space="0"/>
            </w:tcBorders>
            <w:tcW w:w="1709" w:type="dxa"/>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500*350**40mm</w:t>
            </w:r>
            <w:r/>
          </w:p>
        </w:tc>
        <w:tc>
          <w:tcPr>
            <w:tcBorders>
              <w:left w:val="single" w:color="000000" w:sz="2" w:space="0"/>
              <w:right w:val="single" w:color="000000" w:sz="2" w:space="0"/>
            </w:tcBorders>
            <w:tcW w:w="1468" w:type="dxa"/>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橡胶（人工、机械、材料）</w:t>
            </w:r>
            <w:r/>
          </w:p>
        </w:tc>
        <w:tc>
          <w:tcPr>
            <w:tcBorders>
              <w:left w:val="single" w:color="000000" w:sz="2" w:space="0"/>
              <w:right w:val="single" w:color="000000" w:sz="2" w:space="0"/>
            </w:tcBorders>
            <w:tcW w:w="1680" w:type="dxa"/>
            <w:vAlign w:val="center"/>
            <w:textDirection w:val="lrTb"/>
            <w:noWrap w:val="false"/>
          </w:tcPr>
          <w:p>
            <w:pPr>
              <w:jc w:val="center"/>
              <w:keepLines w:val="0"/>
              <w:keepNext w:val="0"/>
              <w:widowControl/>
              <w:rPr>
                <w:rFonts w:hint="eastAsia" w:ascii="宋体" w:hAnsi="宋体" w:eastAsia="宋体" w:cs="宋体"/>
                <w:color w:val="auto"/>
                <w:spacing w:val="-2"/>
                <w:sz w:val="21"/>
                <w:szCs w:val="21"/>
                <w:highlight w:val="none"/>
                <w:lang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技术要求详见附件《安装更新专项技术要求》</w:t>
            </w:r>
            <w:r/>
          </w:p>
        </w:tc>
        <w:tc>
          <w:tcPr>
            <w:tcBorders>
              <w:left w:val="single" w:color="000000" w:sz="2" w:space="0"/>
              <w:right w:val="single" w:color="000000" w:sz="2" w:space="0"/>
            </w:tcBorders>
            <w:tcW w:w="761" w:type="dxa"/>
            <w:vAlign w:val="center"/>
            <w:textDirection w:val="lrTb"/>
            <w:noWrap w:val="false"/>
          </w:tcPr>
          <w:p>
            <w:pPr>
              <w:jc w:val="center"/>
              <w:keepLines w:val="0"/>
              <w:keepNext w:val="0"/>
              <w:widowControl/>
              <w:rPr>
                <w:rFonts w:hint="eastAsia" w:ascii="宋体" w:hAnsi="宋体" w:eastAsia="宋体" w:cs="宋体"/>
                <w:color w:val="auto"/>
                <w:spacing w:val="-4"/>
                <w:sz w:val="21"/>
                <w:szCs w:val="21"/>
                <w:highlight w:val="none"/>
                <w:lang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1米</w:t>
            </w:r>
            <w:r/>
          </w:p>
        </w:tc>
        <w:tc>
          <w:tcPr>
            <w:tcBorders>
              <w:top w:val="single" w:color="000000" w:sz="2" w:space="0"/>
              <w:left w:val="single" w:color="000000" w:sz="2" w:space="0"/>
              <w:bottom w:val="single" w:color="000000" w:sz="2" w:space="0"/>
              <w:right w:val="single" w:color="000000" w:sz="2" w:space="0"/>
            </w:tcBorders>
            <w:tcW w:w="1381" w:type="dxa"/>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170</w:t>
            </w:r>
            <w:r/>
          </w:p>
        </w:tc>
      </w:tr>
      <w:tr>
        <w:trPr>
          <w:trHeight w:val="1219"/>
        </w:trPr>
        <w:tc>
          <w:tcPr>
            <w:tcBorders>
              <w:left w:val="single" w:color="000000" w:sz="2" w:space="0"/>
              <w:right w:val="single" w:color="000000" w:sz="2" w:space="0"/>
            </w:tcBorders>
            <w:tcW w:w="590" w:type="dxa"/>
            <w:vAlign w:val="center"/>
            <w:textDirection w:val="lrTb"/>
            <w:noWrap w:val="false"/>
          </w:tcPr>
          <w:p>
            <w:pPr>
              <w:ind w:left="185"/>
              <w:jc w:val="center"/>
              <w:spacing w:before="66" w:line="189" w:lineRule="auto"/>
              <w:rPr>
                <w:rFonts w:hint="default"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 xml:space="preserve">38</w:t>
            </w:r>
            <w:r/>
          </w:p>
        </w:tc>
        <w:tc>
          <w:tcPr>
            <w:tcBorders>
              <w:left w:val="single" w:color="000000" w:sz="2" w:space="0"/>
              <w:right w:val="single" w:color="000000" w:sz="2" w:space="0"/>
            </w:tcBorders>
            <w:tcW w:w="1331" w:type="dxa"/>
            <w:vAlign w:val="center"/>
            <w:textDirection w:val="lrTb"/>
            <w:noWrap w:val="false"/>
          </w:tcPr>
          <w:p>
            <w:pPr>
              <w:jc w:val="center"/>
              <w:keepLines w:val="0"/>
              <w:keepNext w:val="0"/>
              <w:widowControl/>
              <w:rPr>
                <w:rFonts w:hint="eastAsia" w:ascii="宋体" w:hAnsi="宋体" w:eastAsia="宋体" w:cs="宋体"/>
                <w:color w:val="auto"/>
                <w:spacing w:val="-2"/>
                <w:sz w:val="21"/>
                <w:szCs w:val="21"/>
                <w:highlight w:val="none"/>
                <w:lang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新增、更换防撞桶</w:t>
            </w:r>
            <w:r/>
          </w:p>
        </w:tc>
        <w:tc>
          <w:tcPr>
            <w:tcBorders>
              <w:left w:val="single" w:color="000000" w:sz="2" w:space="0"/>
              <w:right w:val="single" w:color="000000" w:sz="2" w:space="0"/>
            </w:tcBorders>
            <w:tcW w:w="1709" w:type="dxa"/>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550*750mm</w:t>
            </w:r>
            <w:r/>
          </w:p>
        </w:tc>
        <w:tc>
          <w:tcPr>
            <w:tcBorders>
              <w:left w:val="single" w:color="000000" w:sz="2" w:space="0"/>
              <w:right w:val="single" w:color="000000" w:sz="2" w:space="0"/>
            </w:tcBorders>
            <w:tcW w:w="1468" w:type="dxa"/>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有机塑料筒体贴反光膜含安装</w:t>
            </w:r>
            <w:r/>
          </w:p>
        </w:tc>
        <w:tc>
          <w:tcPr>
            <w:tcBorders>
              <w:left w:val="single" w:color="000000" w:sz="2" w:space="0"/>
              <w:right w:val="single" w:color="000000" w:sz="2" w:space="0"/>
            </w:tcBorders>
            <w:tcW w:w="1680" w:type="dxa"/>
            <w:vAlign w:val="center"/>
            <w:textDirection w:val="lrTb"/>
            <w:noWrap w:val="false"/>
          </w:tcPr>
          <w:p>
            <w:pPr>
              <w:jc w:val="center"/>
              <w:keepLines w:val="0"/>
              <w:keepNext w:val="0"/>
              <w:widowControl/>
              <w:rPr>
                <w:rFonts w:hint="eastAsia" w:ascii="宋体" w:hAnsi="宋体" w:eastAsia="宋体" w:cs="宋体"/>
                <w:color w:val="auto"/>
                <w:spacing w:val="-2"/>
                <w:sz w:val="21"/>
                <w:szCs w:val="21"/>
                <w:highlight w:val="none"/>
                <w:lang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技术要求详见附件《安装更新专项技术要求》</w:t>
            </w:r>
            <w:r/>
          </w:p>
        </w:tc>
        <w:tc>
          <w:tcPr>
            <w:tcBorders>
              <w:left w:val="single" w:color="000000" w:sz="2" w:space="0"/>
              <w:right w:val="single" w:color="000000" w:sz="2" w:space="0"/>
            </w:tcBorders>
            <w:tcW w:w="761" w:type="dxa"/>
            <w:vAlign w:val="center"/>
            <w:textDirection w:val="lrTb"/>
            <w:noWrap w:val="false"/>
          </w:tcPr>
          <w:p>
            <w:pPr>
              <w:jc w:val="center"/>
              <w:keepLines w:val="0"/>
              <w:keepNext w:val="0"/>
              <w:widowControl/>
              <w:rPr>
                <w:rFonts w:hint="eastAsia" w:ascii="宋体" w:hAnsi="宋体" w:eastAsia="宋体" w:cs="宋体"/>
                <w:color w:val="auto"/>
                <w:spacing w:val="-4"/>
                <w:sz w:val="21"/>
                <w:szCs w:val="21"/>
                <w:highlight w:val="none"/>
                <w:lang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1个</w:t>
            </w:r>
            <w:r/>
          </w:p>
        </w:tc>
        <w:tc>
          <w:tcPr>
            <w:tcBorders>
              <w:top w:val="single" w:color="000000" w:sz="2" w:space="0"/>
              <w:left w:val="single" w:color="000000" w:sz="2" w:space="0"/>
              <w:bottom w:val="single" w:color="000000" w:sz="2" w:space="0"/>
              <w:right w:val="single" w:color="000000" w:sz="2" w:space="0"/>
            </w:tcBorders>
            <w:tcW w:w="1381" w:type="dxa"/>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w:t>
            </w:r>
            <w:r/>
          </w:p>
        </w:tc>
      </w:tr>
      <w:tr>
        <w:trPr>
          <w:trHeight w:val="1219"/>
        </w:trPr>
        <w:tc>
          <w:tcPr>
            <w:tcBorders>
              <w:left w:val="single" w:color="000000" w:sz="2" w:space="0"/>
              <w:right w:val="single" w:color="000000" w:sz="2" w:space="0"/>
            </w:tcBorders>
            <w:tcW w:w="590" w:type="dxa"/>
            <w:vAlign w:val="center"/>
            <w:textDirection w:val="lrTb"/>
            <w:noWrap w:val="false"/>
          </w:tcPr>
          <w:p>
            <w:pPr>
              <w:ind w:left="185"/>
              <w:jc w:val="center"/>
              <w:spacing w:before="66" w:line="189" w:lineRule="auto"/>
              <w:rPr>
                <w:rFonts w:hint="default"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 xml:space="preserve">39</w:t>
            </w:r>
            <w:r/>
          </w:p>
        </w:tc>
        <w:tc>
          <w:tcPr>
            <w:tcBorders>
              <w:left w:val="single" w:color="000000" w:sz="2" w:space="0"/>
              <w:right w:val="single" w:color="000000" w:sz="2" w:space="0"/>
            </w:tcBorders>
            <w:tcW w:w="1331" w:type="dxa"/>
            <w:vAlign w:val="center"/>
            <w:textDirection w:val="lrTb"/>
            <w:noWrap w:val="false"/>
          </w:tcPr>
          <w:p>
            <w:pPr>
              <w:jc w:val="center"/>
              <w:keepLines w:val="0"/>
              <w:keepNext w:val="0"/>
              <w:widowControl/>
              <w:rPr>
                <w:rFonts w:hint="eastAsia" w:ascii="宋体" w:hAnsi="宋体" w:eastAsia="宋体" w:cs="宋体"/>
                <w:color w:val="auto"/>
                <w:spacing w:val="-2"/>
                <w:sz w:val="21"/>
                <w:szCs w:val="21"/>
                <w:highlight w:val="none"/>
                <w:lang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新增、更换广角镜</w:t>
            </w:r>
            <w:r/>
          </w:p>
        </w:tc>
        <w:tc>
          <w:tcPr>
            <w:tcBorders>
              <w:left w:val="single" w:color="000000" w:sz="2" w:space="0"/>
              <w:right w:val="single" w:color="000000" w:sz="2" w:space="0"/>
            </w:tcBorders>
            <w:tcW w:w="1709" w:type="dxa"/>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Φ1000mm</w:t>
            </w:r>
            <w:r/>
          </w:p>
        </w:tc>
        <w:tc>
          <w:tcPr>
            <w:tcBorders>
              <w:left w:val="single" w:color="000000" w:sz="2" w:space="0"/>
              <w:right w:val="single" w:color="000000" w:sz="2" w:space="0"/>
            </w:tcBorders>
            <w:tcW w:w="1468" w:type="dxa"/>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橡胶含杆件、基础</w:t>
            </w:r>
            <w:r/>
          </w:p>
        </w:tc>
        <w:tc>
          <w:tcPr>
            <w:tcBorders>
              <w:left w:val="single" w:color="000000" w:sz="2" w:space="0"/>
              <w:right w:val="single" w:color="000000" w:sz="2" w:space="0"/>
            </w:tcBorders>
            <w:tcW w:w="1680" w:type="dxa"/>
            <w:vAlign w:val="center"/>
            <w:textDirection w:val="lrTb"/>
            <w:noWrap w:val="false"/>
          </w:tcPr>
          <w:p>
            <w:pPr>
              <w:jc w:val="center"/>
              <w:keepLines w:val="0"/>
              <w:keepNext w:val="0"/>
              <w:widowControl/>
              <w:rPr>
                <w:rFonts w:hint="eastAsia" w:ascii="宋体" w:hAnsi="宋体" w:eastAsia="宋体" w:cs="宋体"/>
                <w:color w:val="auto"/>
                <w:spacing w:val="-2"/>
                <w:sz w:val="21"/>
                <w:szCs w:val="21"/>
                <w:highlight w:val="none"/>
                <w:lang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技术要求详见附件《安装更新专项技术要求》</w:t>
            </w:r>
            <w:r/>
          </w:p>
        </w:tc>
        <w:tc>
          <w:tcPr>
            <w:tcBorders>
              <w:left w:val="single" w:color="000000" w:sz="2" w:space="0"/>
              <w:right w:val="single" w:color="000000" w:sz="2" w:space="0"/>
            </w:tcBorders>
            <w:tcW w:w="761" w:type="dxa"/>
            <w:vAlign w:val="center"/>
            <w:textDirection w:val="lrTb"/>
            <w:noWrap w:val="false"/>
          </w:tcPr>
          <w:p>
            <w:pPr>
              <w:jc w:val="center"/>
              <w:keepLines w:val="0"/>
              <w:keepNext w:val="0"/>
              <w:widowControl/>
              <w:rPr>
                <w:rFonts w:hint="eastAsia" w:ascii="宋体" w:hAnsi="宋体" w:eastAsia="宋体" w:cs="宋体"/>
                <w:color w:val="auto"/>
                <w:spacing w:val="-4"/>
                <w:sz w:val="21"/>
                <w:szCs w:val="21"/>
                <w:highlight w:val="none"/>
                <w:lang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1套</w:t>
            </w:r>
            <w:r/>
          </w:p>
        </w:tc>
        <w:tc>
          <w:tcPr>
            <w:tcBorders>
              <w:top w:val="single" w:color="000000" w:sz="2" w:space="0"/>
              <w:left w:val="single" w:color="000000" w:sz="2" w:space="0"/>
              <w:bottom w:val="single" w:color="000000" w:sz="2" w:space="0"/>
              <w:right w:val="single" w:color="000000" w:sz="2" w:space="0"/>
            </w:tcBorders>
            <w:tcW w:w="1381" w:type="dxa"/>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r>
    </w:tbl>
    <w:p>
      <w:pPr>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未列明事项费用，以第三方审计结算金额为准。</w:t>
      </w:r>
      <w:r/>
    </w:p>
    <w:p>
      <w:pPr>
        <w:pStyle w:val="939"/>
        <w:ind w:left="0" w:firstLine="0"/>
        <w:rPr>
          <w:rFonts w:ascii="宋体" w:hAnsi="宋体" w:cs="宋体"/>
          <w:b/>
          <w:bCs/>
          <w:color w:val="auto"/>
          <w:highlight w:val="none"/>
        </w:rPr>
      </w:pPr>
      <w:r>
        <w:rPr>
          <w:rFonts w:hint="eastAsia" w:ascii="宋体" w:hAnsi="宋体" w:eastAsia="宋体" w:cs="宋体"/>
          <w:b/>
          <w:bCs/>
          <w:color w:val="auto"/>
          <w:highlight w:val="none"/>
          <w:lang w:eastAsia="zh-CN"/>
        </w:rPr>
        <w:t xml:space="preserve">五、总体服务要求</w:t>
      </w:r>
      <w:r/>
    </w:p>
    <w:p>
      <w:pPr>
        <w:ind w:firstLine="420"/>
        <w:spacing w:line="360" w:lineRule="auto"/>
        <w:widowControl/>
        <w:rPr>
          <w:rFonts w:ascii="宋体" w:hAnsi="宋体" w:cs="宋体"/>
          <w:color w:val="auto"/>
          <w:highlight w:val="none"/>
        </w:rPr>
      </w:pPr>
      <w:r>
        <w:rPr>
          <w:rFonts w:hint="eastAsia" w:ascii="宋体" w:hAnsi="宋体" w:eastAsia="宋体" w:cs="宋体"/>
          <w:color w:val="auto"/>
          <w:highlight w:val="none"/>
        </w:rPr>
        <w:t xml:space="preserve">1、养护管理人员要求：</w:t>
      </w:r>
      <w:r/>
    </w:p>
    <w:p>
      <w:pPr>
        <w:pStyle w:val="939"/>
        <w:ind w:firstLine="210"/>
        <w:rPr>
          <w:rFonts w:ascii="宋体" w:hAnsi="宋体" w:cs="宋体"/>
          <w:b/>
          <w:bCs/>
          <w:color w:val="auto"/>
          <w:highlight w:val="none"/>
        </w:rPr>
      </w:pPr>
      <w:r/>
      <w:bookmarkStart w:id="31" w:name="_Hlk185590916"/>
      <w:r>
        <w:rPr>
          <w:rFonts w:hint="eastAsia" w:ascii="宋体" w:hAnsi="宋体" w:eastAsia="宋体" w:cs="宋体"/>
          <w:color w:val="auto"/>
          <w:highlight w:val="none"/>
          <w:lang w:eastAsia="zh-CN"/>
        </w:rPr>
        <w:t xml:space="preserve">（1）中标单位负责维护管理过程中的一切安全责任，其中包括发生的一切工伤事故及工作人员的作业或非作业性的人身安全等责任。</w:t>
      </w:r>
      <w:r/>
    </w:p>
    <w:p>
      <w:pPr>
        <w:pStyle w:val="939"/>
        <w:ind w:firstLine="210"/>
        <w:rPr>
          <w:rFonts w:ascii="宋体" w:hAnsi="宋体" w:cs="宋体"/>
          <w:color w:val="auto"/>
          <w:highlight w:val="none"/>
        </w:rPr>
      </w:pPr>
      <w:r>
        <w:rPr>
          <w:rFonts w:hint="eastAsia" w:ascii="宋体" w:hAnsi="宋体" w:eastAsia="宋体" w:cs="宋体"/>
          <w:color w:val="auto"/>
          <w:highlight w:val="none"/>
          <w:lang w:eastAsia="zh-CN"/>
        </w:rPr>
        <w:t xml:space="preserve">（2）中标单位必须按时发工资，聘用人员工资待遇不能低于当地政府的最低工资待遇标准（社会保险和意外保险另算），任何劳资纠纷全由中标单位负责。</w:t>
      </w:r>
      <w:r/>
    </w:p>
    <w:p>
      <w:pPr>
        <w:pStyle w:val="939"/>
        <w:ind w:firstLine="210"/>
        <w:rPr>
          <w:rFonts w:ascii="宋体" w:hAnsi="宋体" w:cs="宋体"/>
          <w:color w:val="auto"/>
          <w:highlight w:val="none"/>
        </w:rPr>
      </w:pPr>
      <w:r>
        <w:rPr>
          <w:rFonts w:hint="eastAsia" w:ascii="宋体" w:hAnsi="宋体" w:eastAsia="宋体" w:cs="宋体"/>
          <w:color w:val="auto"/>
          <w:highlight w:val="none"/>
          <w:lang w:eastAsia="zh-CN"/>
        </w:rPr>
        <w:t xml:space="preserve">（3）中标单位必须按法律法规及有关政策为其服务人员购买社会保险、意外保险等相关保险。</w:t>
      </w:r>
      <w:r/>
    </w:p>
    <w:p>
      <w:pPr>
        <w:pStyle w:val="939"/>
        <w:ind w:firstLine="210"/>
        <w:rPr>
          <w:rFonts w:ascii="宋体" w:hAnsi="宋体" w:cs="宋体"/>
          <w:color w:val="auto"/>
          <w:highlight w:val="none"/>
        </w:rPr>
      </w:pPr>
      <w:r>
        <w:rPr>
          <w:rFonts w:hint="eastAsia" w:ascii="宋体" w:hAnsi="宋体" w:eastAsia="宋体" w:cs="宋体"/>
          <w:color w:val="auto"/>
          <w:highlight w:val="none"/>
          <w:lang w:eastAsia="zh-CN"/>
        </w:rPr>
        <w:t xml:space="preserve">（4）中标单位必须执行国家劳动法的相关规定。</w:t>
      </w:r>
      <w:r/>
    </w:p>
    <w:p>
      <w:pPr>
        <w:pStyle w:val="939"/>
        <w:ind w:firstLine="210"/>
        <w:rPr>
          <w:rFonts w:ascii="宋体" w:hAnsi="宋体" w:cs="宋体"/>
          <w:color w:val="auto"/>
          <w:highlight w:val="none"/>
        </w:rPr>
      </w:pPr>
      <w:r>
        <w:rPr>
          <w:rFonts w:hint="eastAsia" w:ascii="宋体" w:hAnsi="宋体" w:eastAsia="宋体" w:cs="宋体"/>
          <w:color w:val="auto"/>
          <w:highlight w:val="none"/>
          <w:lang w:eastAsia="zh-CN"/>
        </w:rPr>
        <w:t xml:space="preserve">（5）中标单位必须落实好安全生产的措施和配置安全作业的劳保用品。</w:t>
      </w:r>
      <w:r/>
    </w:p>
    <w:p>
      <w:pPr>
        <w:pStyle w:val="939"/>
        <w:ind w:left="119" w:firstLine="210"/>
        <w:keepLines w:val="0"/>
        <w:keepNext w:val="0"/>
        <w:pageBreakBefore w:val="0"/>
        <w:spacing w:line="360" w:lineRule="auto"/>
        <w:widowControl w:val="off"/>
        <w:rPr>
          <w:rFonts w:ascii="宋体" w:hAnsi="宋体" w:cs="宋体"/>
          <w:color w:val="auto"/>
          <w:highlight w:val="none"/>
        </w:rPr>
      </w:pPr>
      <w:r>
        <w:rPr>
          <w:rFonts w:hint="eastAsia" w:ascii="宋体" w:hAnsi="宋体" w:eastAsia="宋体" w:cs="宋体"/>
          <w:color w:val="auto"/>
          <w:highlight w:val="none"/>
          <w:lang w:eastAsia="zh-CN"/>
        </w:rPr>
        <w:t xml:space="preserve">（6）中标单位的服务人员数量必须满足采购人的实际工作要求，且穿着统一标识的工作服。</w:t>
      </w:r>
      <w:r/>
    </w:p>
    <w:p>
      <w:pPr>
        <w:pStyle w:val="939"/>
        <w:ind w:left="119" w:firstLine="210"/>
        <w:keepLines w:val="0"/>
        <w:keepNext w:val="0"/>
        <w:pageBreakBefore w:val="0"/>
        <w:spacing w:line="360" w:lineRule="auto"/>
        <w:widowControl w:val="off"/>
        <w:rPr>
          <w:rFonts w:ascii="宋体" w:hAnsi="宋体" w:cs="宋体"/>
          <w:color w:val="auto"/>
          <w:spacing w:val="-1"/>
          <w:highlight w:val="none"/>
        </w:rPr>
      </w:pPr>
      <w:r>
        <w:rPr>
          <w:rFonts w:hint="eastAsia" w:ascii="宋体" w:hAnsi="宋体" w:eastAsia="宋体" w:cs="宋体"/>
          <w:color w:val="auto"/>
          <w:highlight w:val="none"/>
          <w:lang w:eastAsia="zh-CN"/>
        </w:rPr>
        <w:t xml:space="preserve">（7）中标单位</w:t>
      </w:r>
      <w:r>
        <w:rPr>
          <w:rFonts w:hint="eastAsia" w:ascii="宋体" w:hAnsi="宋体" w:eastAsia="宋体" w:cs="宋体"/>
          <w:color w:val="auto"/>
          <w:spacing w:val="-1"/>
          <w:highlight w:val="none"/>
          <w:lang w:eastAsia="zh-CN"/>
        </w:rPr>
        <w:t xml:space="preserve">按要求合理配备工程作业车，</w:t>
      </w:r>
      <w:r>
        <w:rPr>
          <w:rFonts w:hint="eastAsia" w:ascii="宋体" w:hAnsi="宋体" w:eastAsia="宋体" w:cs="宋体"/>
          <w:color w:val="auto"/>
          <w:spacing w:val="-1"/>
          <w:highlight w:val="none"/>
          <w:lang w:eastAsia="zh-CN"/>
        </w:rPr>
        <w:t xml:space="preserve">同时配备巡查人员不少于</w:t>
      </w:r>
      <w:r>
        <w:rPr>
          <w:rFonts w:hint="eastAsia" w:ascii="宋体" w:hAnsi="宋体" w:eastAsia="宋体" w:cs="宋体"/>
          <w:color w:val="auto"/>
          <w:spacing w:val="-1"/>
          <w:highlight w:val="none"/>
          <w:lang w:val="en-US" w:eastAsia="zh-CN"/>
        </w:rPr>
        <w:t xml:space="preserve">10</w:t>
      </w:r>
      <w:r>
        <w:rPr>
          <w:rFonts w:hint="eastAsia" w:ascii="宋体" w:hAnsi="宋体" w:eastAsia="宋体" w:cs="宋体"/>
          <w:color w:val="auto"/>
          <w:spacing w:val="-1"/>
          <w:highlight w:val="none"/>
          <w:lang w:eastAsia="zh-CN"/>
        </w:rPr>
        <w:t xml:space="preserve">人，</w:t>
      </w:r>
      <w:r>
        <w:rPr>
          <w:rFonts w:hint="eastAsia" w:ascii="宋体" w:hAnsi="宋体" w:eastAsia="宋体" w:cs="宋体"/>
          <w:color w:val="auto"/>
          <w:spacing w:val="-1"/>
          <w:highlight w:val="none"/>
          <w:lang w:eastAsia="zh-CN"/>
        </w:rPr>
        <w:t xml:space="preserve">中标供应商须在中标后7日历天内提供人员花名册（备注 姓名、年龄、性别、籍贯、联系方式等信息）和身份证扫描件报采购人备案，并购买意外伤害等保险，所有劳务工人必须全程参与项目施工，如有变动调整（不含项目经理、工程技术负责人、专职技术人员），需提前三天书面上报采购人，经采购人同意后方可更换。</w:t>
      </w:r>
      <w:r/>
    </w:p>
    <w:p>
      <w:pPr>
        <w:pStyle w:val="939"/>
        <w:numPr>
          <w:ilvl w:val="0"/>
          <w:numId w:val="11"/>
        </w:numPr>
        <w:ind w:left="0" w:firstLine="416"/>
        <w:spacing w:line="360" w:lineRule="auto"/>
        <w:rPr>
          <w:rFonts w:ascii="宋体" w:hAnsi="宋体" w:cs="宋体"/>
          <w:color w:val="auto"/>
          <w:spacing w:val="-1"/>
          <w:highlight w:val="none"/>
        </w:rPr>
      </w:pPr>
      <w:r>
        <w:rPr>
          <w:rFonts w:hint="eastAsia" w:ascii="宋体" w:hAnsi="宋体" w:eastAsia="宋体" w:cs="宋体"/>
          <w:color w:val="auto"/>
          <w:spacing w:val="-1"/>
          <w:highlight w:val="none"/>
          <w:lang w:eastAsia="zh-CN"/>
        </w:rPr>
        <w:t xml:space="preserve">中标单位项目负责人、技术人员原则上不允许更换，特殊情况变动调整，需提前一个月书面上报采购人，经采购人同意后方可更换，年度内若更换两次（含两次）以上，采购人有权不与其续签下一年度合同。</w:t>
      </w:r>
      <w:bookmarkEnd w:id="31"/>
      <w:r/>
      <w:r/>
    </w:p>
    <w:p>
      <w:pPr>
        <w:pStyle w:val="939"/>
        <w:ind w:firstLine="210"/>
        <w:spacing w:line="360" w:lineRule="auto"/>
        <w:rPr>
          <w:rFonts w:ascii="宋体" w:hAnsi="宋体" w:cs="宋体"/>
          <w:color w:val="auto"/>
          <w:highlight w:val="none"/>
        </w:rPr>
      </w:pPr>
      <w:r>
        <w:rPr>
          <w:rFonts w:hint="eastAsia" w:ascii="宋体" w:hAnsi="宋体" w:eastAsia="宋体" w:cs="宋体"/>
          <w:color w:val="auto"/>
          <w:highlight w:val="none"/>
          <w:lang w:eastAsia="zh-CN"/>
        </w:rPr>
        <w:t xml:space="preserve">2、中标单位根据采购人要求进行养护区域巡视，及时发现区域内各类设施的损坏情况。对存在安全隐患的，第一时间做好安全防护措施，设立相应警示标志。系统掌握区域内设施具体情况，建立健全日常服务及管理台账制度，认真做好台账的整理和归档工作，按时报送相关工作报表。</w:t>
      </w:r>
      <w:r/>
    </w:p>
    <w:p>
      <w:pPr>
        <w:ind w:firstLine="420"/>
        <w:spacing w:line="360" w:lineRule="auto"/>
        <w:widowControl/>
        <w:rPr>
          <w:rFonts w:hint="eastAsia" w:ascii="宋体" w:hAnsi="宋体" w:cs="宋体"/>
          <w:color w:val="auto"/>
          <w:highlight w:val="none"/>
        </w:rPr>
      </w:pPr>
      <w:r>
        <w:rPr>
          <w:rFonts w:hint="eastAsia" w:ascii="宋体" w:hAnsi="宋体" w:eastAsia="宋体" w:cs="宋体"/>
          <w:color w:val="auto"/>
          <w:highlight w:val="none"/>
        </w:rPr>
        <w:t xml:space="preserve">3、作业人员在养护作业时应当统一着装，必须穿戴具有反光功能的安全标志服装和防护帽，并按照要求设置明显安全标志和采取有效的安全防护措施，必要时应安排专职的安全人员对施工作业区域进行安全管理和监督，并进行现场交通疏导，夜间应设置黄色频闪警示标志，以确保养护作业安全及行车安全。特殊路段的作业必须按照采购人统一部署要求执行。中标单位在施工时应注意行人、车辆的安全，做好交通安全防范和导流措施，并负责与交警、城管等部门的沟通协调。</w:t>
      </w:r>
      <w:r/>
    </w:p>
    <w:p>
      <w:pPr>
        <w:ind w:firstLine="420"/>
        <w:spacing w:line="360" w:lineRule="auto"/>
        <w:widowControl/>
        <w:rPr>
          <w:rFonts w:hint="eastAsia" w:ascii="宋体" w:hAnsi="宋体" w:cs="宋体"/>
          <w:color w:val="auto"/>
          <w:highlight w:val="none"/>
        </w:rPr>
      </w:pPr>
      <w:r>
        <w:rPr>
          <w:rFonts w:hint="eastAsia" w:ascii="宋体" w:hAnsi="宋体" w:eastAsia="宋体" w:cs="宋体"/>
          <w:color w:val="auto"/>
          <w:highlight w:val="none"/>
        </w:rPr>
        <w:t xml:space="preserve">4、中标单位应在重大节日、“迎检</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创建”等期间按要求完成采购人交办的突击性任务和指令性任务。</w:t>
      </w:r>
      <w:r/>
    </w:p>
    <w:p>
      <w:pPr>
        <w:ind w:firstLine="420"/>
        <w:spacing w:line="360" w:lineRule="auto"/>
        <w:widowControl/>
        <w:rPr>
          <w:rFonts w:hint="eastAsia" w:ascii="宋体" w:hAnsi="宋体" w:cs="宋体"/>
          <w:color w:val="auto"/>
          <w:highlight w:val="none"/>
        </w:rPr>
      </w:pPr>
      <w:r>
        <w:rPr>
          <w:rFonts w:hint="eastAsia" w:ascii="宋体" w:hAnsi="宋体" w:eastAsia="宋体" w:cs="宋体"/>
          <w:color w:val="auto"/>
          <w:highlight w:val="none"/>
        </w:rPr>
        <w:t xml:space="preserve">5、基础资料、</w:t>
      </w:r>
      <w:r>
        <w:rPr>
          <w:rFonts w:hint="eastAsia" w:ascii="宋体" w:hAnsi="宋体" w:eastAsia="宋体" w:cs="宋体"/>
          <w:color w:val="auto"/>
          <w:highlight w:val="none"/>
          <w:lang w:eastAsia="zh-CN"/>
        </w:rPr>
        <w:t xml:space="preserve">台账管理</w:t>
      </w:r>
      <w:r>
        <w:rPr>
          <w:rFonts w:hint="eastAsia" w:ascii="宋体" w:hAnsi="宋体" w:eastAsia="宋体" w:cs="宋体"/>
          <w:color w:val="auto"/>
          <w:highlight w:val="none"/>
        </w:rPr>
        <w:t xml:space="preserve">应做到以下几点：</w:t>
      </w:r>
      <w:r/>
    </w:p>
    <w:p>
      <w:pPr>
        <w:ind w:firstLine="420"/>
        <w:spacing w:line="360" w:lineRule="auto"/>
        <w:widowControl/>
        <w:rPr>
          <w:rFonts w:hint="eastAsia" w:ascii="宋体" w:hAnsi="宋体" w:cs="宋体"/>
          <w:color w:val="auto"/>
          <w:highlight w:val="none"/>
        </w:rPr>
      </w:pPr>
      <w:r>
        <w:rPr>
          <w:rFonts w:hint="eastAsia" w:ascii="宋体" w:hAnsi="宋体" w:eastAsia="宋体" w:cs="宋体"/>
          <w:color w:val="auto"/>
          <w:highlight w:val="none"/>
        </w:rPr>
        <w:t xml:space="preserve">（1）每天做好详细的养护日志登记工作，以备采购人不定期抽查；</w:t>
      </w:r>
      <w:r/>
    </w:p>
    <w:p>
      <w:pPr>
        <w:ind w:firstLine="420"/>
        <w:spacing w:line="360" w:lineRule="auto"/>
        <w:widowControl/>
        <w:rPr>
          <w:rFonts w:hint="eastAsia" w:ascii="宋体" w:hAnsi="宋体" w:cs="宋体"/>
          <w:color w:val="auto"/>
          <w:highlight w:val="none"/>
        </w:rPr>
      </w:pPr>
      <w:r>
        <w:rPr>
          <w:rFonts w:hint="eastAsia" w:ascii="宋体" w:hAnsi="宋体" w:eastAsia="宋体" w:cs="宋体"/>
          <w:color w:val="auto"/>
          <w:highlight w:val="none"/>
        </w:rPr>
        <w:t xml:space="preserve">（2）每月</w:t>
      </w:r>
      <w:r>
        <w:rPr>
          <w:rFonts w:hint="eastAsia" w:ascii="宋体" w:hAnsi="宋体" w:eastAsia="宋体" w:cs="宋体"/>
          <w:color w:val="auto"/>
          <w:highlight w:val="none"/>
          <w:lang w:eastAsia="zh-CN"/>
        </w:rPr>
        <w:t xml:space="preserve">25日</w:t>
      </w:r>
      <w:r>
        <w:rPr>
          <w:rFonts w:hint="eastAsia" w:ascii="宋体" w:hAnsi="宋体" w:eastAsia="宋体" w:cs="宋体"/>
          <w:color w:val="auto"/>
          <w:highlight w:val="none"/>
        </w:rPr>
        <w:t xml:space="preserve">前向甲方报送本月的养护工作总结及下月养护计划（质量、进度、安全、投资、材料计划等内容，反映存在的问题和应对措施，纸质材料提交甲方）；</w:t>
      </w:r>
      <w:r/>
    </w:p>
    <w:p>
      <w:pPr>
        <w:ind w:firstLine="420"/>
        <w:spacing w:line="360" w:lineRule="auto"/>
        <w:widowControl/>
        <w:rPr>
          <w:rFonts w:hint="eastAsia" w:ascii="宋体" w:hAnsi="宋体" w:cs="宋体"/>
          <w:color w:val="auto"/>
          <w:highlight w:val="none"/>
        </w:rPr>
      </w:pPr>
      <w:r>
        <w:rPr>
          <w:rFonts w:hint="eastAsia" w:ascii="宋体" w:hAnsi="宋体" w:eastAsia="宋体" w:cs="宋体"/>
          <w:color w:val="auto"/>
          <w:highlight w:val="none"/>
        </w:rPr>
        <w:t xml:space="preserve">（3）中标单位应当严格按照甲方制定的养护要求进行作业，不得擅自更改，并按采购人要求上报，交由采购人审定，作为考核依据。</w:t>
      </w:r>
      <w:r/>
    </w:p>
    <w:p>
      <w:pPr>
        <w:ind w:firstLine="420"/>
        <w:spacing w:line="360" w:lineRule="auto"/>
        <w:widowControl/>
        <w:rPr>
          <w:rFonts w:hint="eastAsia" w:ascii="宋体" w:hAnsi="宋体" w:cs="宋体"/>
          <w:color w:val="auto"/>
          <w:highlight w:val="none"/>
        </w:rPr>
      </w:pPr>
      <w:r>
        <w:rPr>
          <w:rFonts w:hint="eastAsia" w:ascii="宋体" w:hAnsi="宋体" w:eastAsia="宋体" w:cs="宋体"/>
          <w:color w:val="auto"/>
          <w:highlight w:val="none"/>
        </w:rPr>
        <w:t xml:space="preserve">（4）设施维护应当及时做好维修</w:t>
      </w:r>
      <w:r>
        <w:rPr>
          <w:rFonts w:hint="eastAsia" w:ascii="宋体" w:hAnsi="宋体" w:eastAsia="宋体" w:cs="宋体"/>
          <w:color w:val="auto"/>
          <w:highlight w:val="none"/>
          <w:lang w:eastAsia="zh-CN"/>
        </w:rPr>
        <w:t xml:space="preserve">记录</w:t>
      </w:r>
      <w:r>
        <w:rPr>
          <w:rFonts w:hint="eastAsia" w:ascii="宋体" w:hAnsi="宋体" w:eastAsia="宋体" w:cs="宋体"/>
          <w:color w:val="auto"/>
          <w:highlight w:val="none"/>
        </w:rPr>
        <w:t xml:space="preserve">，对有关竣工档案等信息资料应按相应的管理规定进行整理。</w:t>
      </w:r>
      <w:r/>
    </w:p>
    <w:p>
      <w:pPr>
        <w:ind w:firstLine="420"/>
        <w:spacing w:line="360" w:lineRule="auto"/>
        <w:widowControl/>
        <w:rPr>
          <w:rFonts w:hint="eastAsia" w:ascii="宋体" w:hAnsi="宋体" w:cs="宋体"/>
          <w:color w:val="auto"/>
          <w:highlight w:val="none"/>
        </w:rPr>
      </w:pPr>
      <w:r>
        <w:rPr>
          <w:rFonts w:hint="eastAsia" w:ascii="宋体" w:hAnsi="宋体" w:eastAsia="宋体" w:cs="宋体"/>
          <w:color w:val="auto"/>
          <w:highlight w:val="none"/>
        </w:rPr>
        <w:t xml:space="preserve">6、对涉及的现有建筑物、构筑物、线杆、地下管线、古树名木等，中标单位应采取有效的保护、防护措施，如中标单位对上述设施造成破坏的，则所有责任由中标单位负责。</w:t>
      </w:r>
      <w:r/>
    </w:p>
    <w:p>
      <w:pPr>
        <w:ind w:firstLine="420"/>
        <w:spacing w:line="360" w:lineRule="auto"/>
        <w:widowControl/>
        <w:rPr>
          <w:rFonts w:hint="eastAsia" w:ascii="宋体" w:hAnsi="宋体" w:cs="宋体"/>
          <w:color w:val="auto"/>
          <w:highlight w:val="none"/>
        </w:rPr>
      </w:pPr>
      <w:r>
        <w:rPr>
          <w:rFonts w:hint="eastAsia" w:ascii="宋体" w:hAnsi="宋体" w:eastAsia="宋体" w:cs="宋体"/>
          <w:color w:val="auto"/>
          <w:highlight w:val="none"/>
        </w:rPr>
        <w:t xml:space="preserve">7、中标单位必须无条件按照国家行业规范和采购人要求养护，严格把关，完成自检后及时报验，工作由采购人、维护方双方现场确认。</w:t>
      </w:r>
      <w:r/>
    </w:p>
    <w:p>
      <w:pPr>
        <w:ind w:firstLine="420"/>
        <w:spacing w:line="360" w:lineRule="auto"/>
        <w:widowControl/>
        <w:rPr>
          <w:rFonts w:ascii="宋体" w:hAnsi="宋体" w:cs="宋体"/>
          <w:color w:val="auto"/>
          <w:highlight w:val="none"/>
        </w:rPr>
      </w:pPr>
      <w:r>
        <w:rPr>
          <w:rFonts w:hint="eastAsia" w:ascii="宋体" w:hAnsi="宋体" w:eastAsia="宋体" w:cs="宋体"/>
          <w:color w:val="auto"/>
          <w:highlight w:val="none"/>
        </w:rPr>
        <w:t xml:space="preserve">8、响应时间要求：中标单位应在接到维护通知之时起立即派人施工，2小时内维修完毕，情况复杂的，8小时内维修完毕。中标单位不在约定期限内及时进行维修的，采购人可委托其他人员维修，所需费用从中标单位的合同款内扣除。</w:t>
      </w:r>
      <w:r/>
    </w:p>
    <w:p>
      <w:pPr>
        <w:ind w:firstLine="420"/>
        <w:spacing w:line="360" w:lineRule="auto"/>
        <w:widowControl/>
        <w:rPr>
          <w:rFonts w:ascii="宋体" w:hAnsi="宋体" w:cs="宋体"/>
          <w:color w:val="auto"/>
          <w:highlight w:val="none"/>
        </w:rPr>
      </w:pPr>
      <w:r>
        <w:rPr>
          <w:rFonts w:hint="eastAsia" w:ascii="宋体" w:hAnsi="宋体" w:eastAsia="宋体" w:cs="宋体"/>
          <w:color w:val="auto"/>
          <w:highlight w:val="none"/>
        </w:rPr>
        <w:t xml:space="preserve">9、质量安全责任：中标单</w:t>
      </w:r>
      <w:r>
        <w:rPr>
          <w:rFonts w:hint="eastAsia" w:ascii="宋体" w:hAnsi="宋体" w:eastAsia="宋体" w:cs="宋体"/>
          <w:color w:val="auto"/>
          <w:highlight w:val="none"/>
          <w:lang w:eastAsia="zh-CN"/>
        </w:rPr>
        <w:t xml:space="preserve">位在</w:t>
      </w:r>
      <w:r>
        <w:rPr>
          <w:rFonts w:hint="eastAsia" w:ascii="宋体" w:hAnsi="宋体" w:eastAsia="宋体" w:cs="宋体"/>
          <w:color w:val="auto"/>
          <w:highlight w:val="none"/>
        </w:rPr>
        <w:t xml:space="preserve">施工期间严格按照国家有关规定施工，确保维护设施质量和作业安全，自行承担全部责任。因中标单位养护质量原因造成人身和财产损害的，中标单位承担全部损害赔偿责任。</w:t>
      </w:r>
      <w:r/>
    </w:p>
    <w:p>
      <w:pPr>
        <w:ind w:firstLine="420"/>
        <w:spacing w:line="360" w:lineRule="auto"/>
        <w:widowControl/>
        <w:rPr>
          <w:rFonts w:ascii="宋体" w:hAnsi="宋体" w:cs="宋体"/>
          <w:color w:val="auto"/>
          <w:highlight w:val="none"/>
        </w:rPr>
      </w:pPr>
      <w:r>
        <w:rPr>
          <w:rFonts w:ascii="宋体" w:hAnsi="宋体" w:cs="宋体"/>
          <w:color w:val="auto"/>
          <w:highlight w:val="none"/>
        </w:rPr>
        <w:t xml:space="preserve">1</w:t>
      </w:r>
      <w:r>
        <w:rPr>
          <w:rFonts w:hint="eastAsia" w:ascii="宋体" w:hAnsi="宋体" w:eastAsia="宋体" w:cs="宋体"/>
          <w:color w:val="auto"/>
          <w:highlight w:val="none"/>
        </w:rPr>
        <w:t xml:space="preserve">0、中标单位必须采取切实可行的措施并确保交通畅通和安全，确保安全文明施工，确保各种管、杆线安全运营，确保沿线居民出行方便，确保周边水系畅通等，尽最大努力将施工给群众带来的干扰降至最低限度并制定相关的安全文明措施。</w:t>
      </w:r>
      <w:r/>
    </w:p>
    <w:p>
      <w:pPr>
        <w:ind w:firstLine="420"/>
        <w:spacing w:line="360" w:lineRule="auto"/>
        <w:widowControl/>
        <w:rPr>
          <w:rFonts w:ascii="宋体" w:hAnsi="宋体" w:cs="宋体"/>
          <w:color w:val="auto"/>
          <w:highlight w:val="none"/>
        </w:rPr>
      </w:pPr>
      <w:r>
        <w:rPr>
          <w:rFonts w:hint="eastAsia" w:ascii="宋体" w:hAnsi="宋体" w:eastAsia="宋体" w:cs="宋体"/>
          <w:color w:val="auto"/>
          <w:highlight w:val="none"/>
        </w:rPr>
        <w:t xml:space="preserve">11、中标单位必须落实安全生产措施，为上岗人员配置统一的工作服和反光袖套，自行解决安全作业问题。在进行施工作业时必须认真负责，注意安全操作，施工作业现场应干净整洁，各类警示标志设置明显；现场的各种设施、材料、设备定点存放，如发生任何意外，中标单位负责事故处理及一切费用，与采购人无关。</w:t>
      </w:r>
      <w:r/>
    </w:p>
    <w:p>
      <w:pPr>
        <w:ind w:firstLine="420"/>
        <w:spacing w:line="360" w:lineRule="auto"/>
        <w:widowControl/>
        <w:rPr>
          <w:rFonts w:ascii="宋体" w:hAnsi="宋体" w:cs="宋体"/>
          <w:color w:val="auto"/>
          <w:highlight w:val="none"/>
        </w:rPr>
      </w:pPr>
      <w:r>
        <w:rPr>
          <w:rFonts w:ascii="宋体" w:hAnsi="宋体" w:cs="宋体"/>
          <w:color w:val="auto"/>
          <w:highlight w:val="none"/>
        </w:rPr>
        <w:t xml:space="preserve">1</w:t>
      </w:r>
      <w:r>
        <w:rPr>
          <w:rFonts w:hint="eastAsia" w:ascii="宋体" w:hAnsi="宋体" w:eastAsia="宋体" w:cs="宋体"/>
          <w:color w:val="auto"/>
          <w:highlight w:val="none"/>
        </w:rPr>
        <w:t xml:space="preserve">2、养护期内中标单位应</w:t>
      </w:r>
      <w:r>
        <w:rPr>
          <w:rFonts w:hint="eastAsia" w:ascii="宋体" w:hAnsi="宋体" w:eastAsia="宋体" w:cs="宋体"/>
          <w:color w:val="auto"/>
          <w:highlight w:val="none"/>
          <w:lang w:eastAsia="zh-CN"/>
        </w:rPr>
        <w:t xml:space="preserve">做好</w:t>
      </w:r>
      <w:r>
        <w:rPr>
          <w:rFonts w:hint="eastAsia" w:ascii="宋体" w:hAnsi="宋体" w:eastAsia="宋体" w:cs="宋体"/>
          <w:color w:val="auto"/>
          <w:highlight w:val="none"/>
        </w:rPr>
        <w:t xml:space="preserve">管护区域内各类设施的维护及安全生产工作，发现安全隐患及时处理，在管护期限和管护范围内发生的人身和财产等一切安全事故均由中标单位全面负责。</w:t>
      </w:r>
      <w:r/>
    </w:p>
    <w:p>
      <w:pPr>
        <w:ind w:firstLine="420"/>
        <w:spacing w:line="360" w:lineRule="auto"/>
        <w:widowControl/>
        <w:rPr>
          <w:rFonts w:ascii="宋体" w:hAnsi="宋体" w:cs="宋体"/>
          <w:color w:val="auto"/>
          <w:highlight w:val="none"/>
        </w:rPr>
      </w:pPr>
      <w:r>
        <w:rPr>
          <w:rFonts w:ascii="宋体" w:hAnsi="宋体" w:cs="宋体"/>
          <w:color w:val="auto"/>
          <w:highlight w:val="none"/>
        </w:rPr>
        <w:t xml:space="preserve">1</w:t>
      </w:r>
      <w:r>
        <w:rPr>
          <w:rFonts w:hint="eastAsia" w:ascii="宋体" w:hAnsi="宋体" w:eastAsia="宋体" w:cs="宋体"/>
          <w:color w:val="auto"/>
          <w:highlight w:val="none"/>
        </w:rPr>
        <w:t xml:space="preserve">3、中标单位要对现有设施、设备保持完整、完好，易损件要及时更换、维修，对设施、设备的损失和残缺应及时维修、更换。所有养护材料均由供应商自行提供，但供货时必须提供检验报告。中标单位根据采购单位要求拆除交通设施后，双方应共同对拆除的交通设施进行检查，以确认其折损情况，登记最终的设施种类和数量，并由中标单位代为免费存储保管，待采购单位需要时做好出库登记使用。</w:t>
      </w:r>
      <w:r/>
    </w:p>
    <w:p>
      <w:pPr>
        <w:ind w:firstLine="420"/>
        <w:spacing w:line="360" w:lineRule="auto"/>
        <w:widowControl/>
        <w:rPr>
          <w:rFonts w:ascii="宋体" w:hAnsi="宋体" w:cs="宋体"/>
          <w:color w:val="auto"/>
          <w:highlight w:val="none"/>
        </w:rPr>
      </w:pPr>
      <w:r>
        <w:rPr>
          <w:rFonts w:ascii="宋体" w:hAnsi="宋体" w:cs="宋体"/>
          <w:color w:val="auto"/>
          <w:highlight w:val="none"/>
        </w:rPr>
        <w:t xml:space="preserve">1</w:t>
      </w:r>
      <w:r>
        <w:rPr>
          <w:rFonts w:hint="eastAsia" w:ascii="宋体" w:hAnsi="宋体" w:eastAsia="宋体" w:cs="宋体"/>
          <w:color w:val="auto"/>
          <w:highlight w:val="none"/>
        </w:rPr>
        <w:t xml:space="preserve">4、中标单位应当遵守有关环境保护和安全生产</w:t>
      </w:r>
      <w:r>
        <w:rPr>
          <w:rFonts w:hint="eastAsia" w:ascii="宋体" w:hAnsi="宋体" w:eastAsia="宋体" w:cs="宋体"/>
          <w:color w:val="auto"/>
          <w:highlight w:val="none"/>
          <w:lang w:eastAsia="zh-CN"/>
        </w:rPr>
        <w:t xml:space="preserve">法律法规</w:t>
      </w:r>
      <w:r>
        <w:rPr>
          <w:rFonts w:hint="eastAsia" w:ascii="宋体" w:hAnsi="宋体" w:eastAsia="宋体" w:cs="宋体"/>
          <w:color w:val="auto"/>
          <w:highlight w:val="none"/>
        </w:rPr>
        <w:t xml:space="preserve">的规定，采取措施防止或者减少粉尘、废气、废水、固体废物、噪声、振动和照明产生的污染和危害。严格执行动火作业“四个一律”，动火、电焊、气焊作业人员应持证上岗，动火作业应安排专门人员进行现场安全管理，施工现场应及时清理可燃包装纸、包装盒、可燃编织袋，工人在从事施工作业时不得违规抽烟，施工现场不得使用阻燃性能不达标的建筑材料及制品。养护作业现场应干净整齐。余料及时清理、清扫，禁止随意丢弃。现场的各种设施、材料、设备器材等物料、应当定点存放。禁止在现场外擅自占道堆放作业材料，施工结束后做到工完、料净、场地清。</w:t>
      </w:r>
      <w:r/>
    </w:p>
    <w:p>
      <w:pPr>
        <w:ind w:firstLine="420"/>
        <w:spacing w:line="360" w:lineRule="auto"/>
        <w:widowControl/>
        <w:rPr>
          <w:rFonts w:ascii="宋体" w:hAnsi="宋体" w:cs="宋体"/>
          <w:color w:val="auto"/>
          <w:highlight w:val="none"/>
        </w:rPr>
      </w:pPr>
      <w:r>
        <w:rPr>
          <w:rFonts w:ascii="宋体" w:hAnsi="宋体" w:cs="宋体"/>
          <w:color w:val="auto"/>
          <w:highlight w:val="none"/>
        </w:rPr>
        <w:t xml:space="preserve">1</w:t>
      </w:r>
      <w:r>
        <w:rPr>
          <w:rFonts w:hint="eastAsia" w:ascii="宋体" w:hAnsi="宋体" w:eastAsia="宋体" w:cs="宋体"/>
          <w:color w:val="auto"/>
          <w:highlight w:val="none"/>
        </w:rPr>
        <w:t xml:space="preserve">5、在养护施工时应当保护其他市政设施的完好。如确需暂时损坏或变更市政设施的，应当经采购人同意后方可实施，施工完成后应请权属单位检查验收，同时做好记录备案工作。</w:t>
      </w:r>
      <w:r/>
    </w:p>
    <w:p>
      <w:pPr>
        <w:ind w:firstLine="420"/>
        <w:spacing w:line="360" w:lineRule="auto"/>
        <w:widowControl/>
        <w:rPr>
          <w:rFonts w:ascii="宋体" w:hAnsi="宋体" w:cs="宋体"/>
          <w:color w:val="auto"/>
          <w:highlight w:val="none"/>
        </w:rPr>
      </w:pPr>
      <w:r>
        <w:rPr>
          <w:rFonts w:ascii="宋体" w:hAnsi="宋体" w:cs="宋体"/>
          <w:color w:val="auto"/>
          <w:highlight w:val="none"/>
        </w:rPr>
        <w:t xml:space="preserve">1</w:t>
      </w:r>
      <w:r>
        <w:rPr>
          <w:rFonts w:hint="eastAsia" w:ascii="宋体" w:hAnsi="宋体" w:eastAsia="宋体" w:cs="宋体"/>
          <w:color w:val="auto"/>
          <w:highlight w:val="none"/>
        </w:rPr>
        <w:t xml:space="preserve">6、当出现以下因素时，采购人有权随时终止合同，并全额扣减其履约保证金，中标单位不得以任何理由提出索赔要求：</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（1）因中标单位原因发生安全事故；</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（2）中标单位不服从业主正常养护任务安排，造成工作延误；</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（3）中标单位未按照投标承诺配备相应设备和人员；</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（4）在履约过程中，存在偷工减料、以次充好等质量问题，造成工程质量不合格；</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（5）全年检查中日常考核和专项考核累计三次得分70分以下；</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（6）中标单位未经采购人同意不得分包，如发现中标单位擅自分包或转包，采购人有权单方解除合同。</w:t>
      </w:r>
      <w:r/>
    </w:p>
    <w:p>
      <w:pPr>
        <w:ind w:firstLine="420"/>
        <w:spacing w:line="360" w:lineRule="auto"/>
        <w:widowControl/>
        <w:rPr>
          <w:rFonts w:ascii="宋体" w:hAnsi="宋体" w:cs="宋体"/>
          <w:color w:val="auto"/>
          <w:highlight w:val="none"/>
        </w:rPr>
      </w:pPr>
      <w:r>
        <w:rPr>
          <w:rFonts w:hint="eastAsia" w:ascii="宋体" w:hAnsi="宋体" w:eastAsia="宋体" w:cs="宋体"/>
          <w:color w:val="auto"/>
          <w:highlight w:val="none"/>
        </w:rPr>
        <w:t xml:space="preserve">17、安全文明施工要求：必须严格按照相关规定执行安全文明施工（包含但不限于以下）：</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（1）施工区域应设置明显的安全标志、</w:t>
      </w:r>
      <w:r>
        <w:rPr>
          <w:rFonts w:hint="eastAsia" w:ascii="宋体" w:hAnsi="宋体" w:eastAsia="宋体" w:cs="宋体"/>
          <w:color w:val="auto"/>
          <w:highlight w:val="none"/>
          <w:lang w:eastAsia="zh-CN"/>
        </w:rPr>
        <w:t xml:space="preserve">夜间</w:t>
      </w:r>
      <w:r>
        <w:rPr>
          <w:rFonts w:hint="eastAsia" w:ascii="宋体" w:hAnsi="宋体" w:eastAsia="宋体" w:cs="宋体"/>
          <w:color w:val="auto"/>
          <w:highlight w:val="none"/>
        </w:rPr>
        <w:t xml:space="preserve">警示灯具；</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w:t>
      </w:r>
      <w:r>
        <w:rPr>
          <w:rFonts w:ascii="宋体" w:hAnsi="宋体" w:cs="宋体"/>
          <w:color w:val="auto"/>
          <w:highlight w:val="none"/>
        </w:rPr>
        <w:t xml:space="preserve">2</w:t>
      </w:r>
      <w:r>
        <w:rPr>
          <w:rFonts w:hint="eastAsia" w:ascii="宋体" w:hAnsi="宋体" w:eastAsia="宋体" w:cs="宋体"/>
          <w:color w:val="auto"/>
          <w:highlight w:val="none"/>
        </w:rPr>
        <w:t xml:space="preserve">）施工区域应按规定设置围挡、临时信号灯等；</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w:t>
      </w:r>
      <w:r>
        <w:rPr>
          <w:rFonts w:ascii="宋体" w:hAnsi="宋体" w:cs="宋体"/>
          <w:color w:val="auto"/>
          <w:highlight w:val="none"/>
        </w:rPr>
        <w:t xml:space="preserve">3</w:t>
      </w:r>
      <w:r>
        <w:rPr>
          <w:rFonts w:hint="eastAsia" w:ascii="宋体" w:hAnsi="宋体" w:eastAsia="宋体" w:cs="宋体"/>
          <w:color w:val="auto"/>
          <w:highlight w:val="none"/>
        </w:rPr>
        <w:t xml:space="preserve">）施工人员作业时要求统一着装；</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w:t>
      </w:r>
      <w:r>
        <w:rPr>
          <w:rFonts w:ascii="宋体" w:hAnsi="宋体" w:cs="宋体"/>
          <w:color w:val="auto"/>
          <w:highlight w:val="none"/>
        </w:rPr>
        <w:t xml:space="preserve">4</w:t>
      </w:r>
      <w:r>
        <w:rPr>
          <w:rFonts w:hint="eastAsia" w:ascii="宋体" w:hAnsi="宋体" w:eastAsia="宋体" w:cs="宋体"/>
          <w:color w:val="auto"/>
          <w:highlight w:val="none"/>
        </w:rPr>
        <w:t xml:space="preserve">）施工区域做到材料堆放整齐，易扬尘材料必须进行覆盖；</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w:t>
      </w:r>
      <w:r>
        <w:rPr>
          <w:rFonts w:ascii="宋体" w:hAnsi="宋体" w:cs="宋体"/>
          <w:color w:val="auto"/>
          <w:highlight w:val="none"/>
        </w:rPr>
        <w:t xml:space="preserve">5</w:t>
      </w:r>
      <w:r>
        <w:rPr>
          <w:rFonts w:hint="eastAsia" w:ascii="宋体" w:hAnsi="宋体" w:eastAsia="宋体" w:cs="宋体"/>
          <w:color w:val="auto"/>
          <w:highlight w:val="none"/>
        </w:rPr>
        <w:t xml:space="preserve">）要求做到工完、料净、场地清；</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18、中标单位负责养护</w:t>
      </w:r>
      <w:r>
        <w:rPr>
          <w:rFonts w:hint="eastAsia" w:ascii="宋体" w:hAnsi="宋体" w:eastAsia="宋体" w:cs="宋体"/>
          <w:color w:val="auto"/>
          <w:highlight w:val="none"/>
          <w:lang w:eastAsia="zh-CN"/>
        </w:rPr>
        <w:t xml:space="preserve">管理过程</w:t>
      </w:r>
      <w:r>
        <w:rPr>
          <w:rFonts w:hint="eastAsia" w:ascii="宋体" w:hAnsi="宋体" w:eastAsia="宋体" w:cs="宋体"/>
          <w:color w:val="auto"/>
          <w:highlight w:val="none"/>
        </w:rPr>
        <w:t xml:space="preserve">中的一切责任，其中包括但不限于万一发生的一切工伤事故及工作人员的作业或非作业性的人身、财产安全等责任，或由于作业、养护管理不到位引起的第三方的人身、财产安全等责任。</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19、中标单位必须按时发工资，聘用人员工资待遇不能</w:t>
      </w:r>
      <w:r>
        <w:rPr>
          <w:rFonts w:hint="eastAsia" w:ascii="宋体" w:hAnsi="宋体" w:eastAsia="宋体" w:cs="宋体"/>
          <w:color w:val="auto"/>
          <w:highlight w:val="none"/>
          <w:lang w:eastAsia="zh-CN"/>
        </w:rPr>
        <w:t xml:space="preserve">低于</w:t>
      </w:r>
      <w:r>
        <w:rPr>
          <w:rFonts w:hint="eastAsia" w:ascii="宋体" w:hAnsi="宋体" w:eastAsia="宋体" w:cs="宋体"/>
          <w:color w:val="auto"/>
          <w:highlight w:val="none"/>
        </w:rPr>
        <w:t xml:space="preserve">当地政府的最低工资待遇标准（社会保险和意外保险另算），任何劳资纠纷全由中标供应商负责。供应商所用人员必须按照中华人民共和国《</w:t>
      </w:r>
      <w:r>
        <w:rPr>
          <w:rFonts w:hint="eastAsia" w:ascii="宋体" w:hAnsi="宋体" w:eastAsia="宋体" w:cs="宋体"/>
          <w:color w:val="auto"/>
          <w:highlight w:val="none"/>
          <w:lang w:eastAsia="zh-CN"/>
        </w:rPr>
        <w:t xml:space="preserve">中华人民共和国劳动法</w:t>
      </w:r>
      <w:r>
        <w:rPr>
          <w:rFonts w:hint="eastAsia" w:ascii="宋体" w:hAnsi="宋体" w:eastAsia="宋体" w:cs="宋体"/>
          <w:color w:val="auto"/>
          <w:highlight w:val="none"/>
        </w:rPr>
        <w:t xml:space="preserve">》的规定执行，如遇到工资纠纷问题由服务方自行解决。</w:t>
      </w:r>
      <w:r/>
    </w:p>
    <w:p>
      <w:pPr>
        <w:pStyle w:val="892"/>
        <w:spacing w:line="360" w:lineRule="auto"/>
        <w:rPr>
          <w:rFonts w:ascii="宋体" w:hAnsi="宋体" w:cs="宋体"/>
          <w:color w:val="auto"/>
          <w:highlight w:val="none"/>
        </w:rPr>
      </w:pPr>
      <w:r>
        <w:rPr>
          <w:rFonts w:ascii="宋体" w:hAnsi="宋体" w:cs="宋体"/>
          <w:color w:val="auto"/>
          <w:highlight w:val="none"/>
        </w:rPr>
        <w:t xml:space="preserve">2</w:t>
      </w:r>
      <w:r>
        <w:rPr>
          <w:rFonts w:hint="eastAsia" w:ascii="宋体" w:hAnsi="宋体" w:eastAsia="宋体" w:cs="宋体"/>
          <w:color w:val="auto"/>
          <w:highlight w:val="none"/>
        </w:rPr>
        <w:t xml:space="preserve">0、本次采购不接受联合报价及分包、转包。</w:t>
      </w:r>
      <w:r/>
    </w:p>
    <w:p>
      <w:pPr>
        <w:pStyle w:val="892"/>
        <w:ind w:firstLine="0"/>
        <w:spacing w:line="360" w:lineRule="auto"/>
        <w:rPr>
          <w:rFonts w:ascii="宋体" w:hAnsi="宋体" w:cs="宋体"/>
          <w:b/>
          <w:bCs/>
          <w:color w:val="auto"/>
          <w:highlight w:val="none"/>
        </w:rPr>
      </w:pPr>
      <w:r>
        <w:rPr>
          <w:rFonts w:hint="eastAsia" w:ascii="宋体" w:hAnsi="宋体" w:eastAsia="宋体" w:cs="宋体"/>
          <w:b/>
          <w:bCs/>
          <w:color w:val="auto"/>
          <w:highlight w:val="none"/>
        </w:rPr>
        <w:t xml:space="preserve">六、验收要求</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中标单位必须按照国家行业规范和采购人的文件规定等要求养护，严格把关养护质量，完成自检后及时报验，质量需达到规范验收标准，若不符合规范验收标准，由中标单位无偿返工。若因中标单位原因不能按时保质完成，采购人可委托其他人员维修，所需费用从中标单位的合同款内扣除。</w:t>
      </w:r>
      <w:r/>
    </w:p>
    <w:p>
      <w:pPr>
        <w:spacing w:line="360" w:lineRule="auto"/>
        <w:widowControl/>
        <w:rPr>
          <w:rFonts w:hint="eastAsia" w:ascii="宋体" w:hAnsi="宋体" w:cs="宋体"/>
          <w:b/>
          <w:bCs/>
          <w:color w:val="auto"/>
          <w:highlight w:val="none"/>
        </w:rPr>
      </w:pPr>
      <w:r>
        <w:rPr>
          <w:rFonts w:hint="eastAsia" w:ascii="宋体" w:hAnsi="宋体" w:eastAsia="宋体" w:cs="宋体"/>
          <w:b/>
          <w:bCs/>
          <w:color w:val="auto"/>
          <w:highlight w:val="none"/>
        </w:rPr>
        <w:t xml:space="preserve">七、其他要求</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1、在合同履行期间，采购人若受上级管养模式调整要</w:t>
      </w:r>
      <w:r>
        <w:rPr>
          <w:rFonts w:hint="eastAsia" w:ascii="宋体" w:hAnsi="宋体" w:eastAsia="宋体" w:cs="宋体"/>
          <w:color w:val="auto"/>
          <w:highlight w:val="none"/>
          <w:lang w:eastAsia="zh-CN"/>
        </w:rPr>
        <w:t xml:space="preserve">求等</w:t>
      </w:r>
      <w:r>
        <w:rPr>
          <w:rFonts w:hint="eastAsia" w:ascii="宋体" w:hAnsi="宋体" w:eastAsia="宋体" w:cs="宋体"/>
          <w:color w:val="auto"/>
          <w:highlight w:val="none"/>
        </w:rPr>
        <w:t xml:space="preserve">因素影响，本项目合同提前终止，采购人不承担任何违约责任。</w:t>
      </w:r>
      <w:r/>
    </w:p>
    <w:p>
      <w:pPr>
        <w:ind w:firstLine="420"/>
        <w:spacing w:line="360" w:lineRule="auto"/>
        <w:widowControl/>
        <w:rPr>
          <w:rFonts w:hint="eastAsia" w:ascii="宋体" w:hAnsi="宋体" w:cs="宋体"/>
          <w:color w:val="auto"/>
          <w:highlight w:val="none"/>
        </w:rPr>
      </w:pPr>
      <w:r>
        <w:rPr>
          <w:rFonts w:hint="eastAsia" w:ascii="宋体" w:hAnsi="宋体" w:eastAsia="宋体" w:cs="宋体"/>
          <w:color w:val="auto"/>
          <w:highlight w:val="none"/>
        </w:rPr>
        <w:t xml:space="preserve">2、试用期要求：服务合同签订后前三个月为试用期，试用期满经采购人考核合格后，合同方为有效。当出现以下因素时，采购人有权随时终止合同，供应商不得以任何理由提出索赔要求：</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（1）因供应商原因发生安全事故；</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（2）供应商不服从业主正常养护任务安排，造成工作延误；</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（3）供应商未按照中标承诺要求配备相应设备和人员；</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（4）在履约过程中，存在偷工减料、以次充好等质量问题，造成工程质量不合格：</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（5）供应商未经采购人同意不得分包，如发现中标供应商擅自分包或转包，采购人有权单方解除合同。</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3、供应商根据管养范围实际巡查现状，上报养护计划建议，但最终需按照采购人下达的养护任务进行维修。供应商必须无条件严格按照任务确定的工程量及施工方案施工，养护维修严格按照国家相关技术规</w:t>
      </w:r>
      <w:r>
        <w:rPr>
          <w:rFonts w:hint="eastAsia" w:ascii="宋体" w:hAnsi="宋体" w:eastAsia="宋体" w:cs="宋体"/>
          <w:color w:val="auto"/>
          <w:highlight w:val="none"/>
          <w:lang w:eastAsia="zh-CN"/>
        </w:rPr>
        <w:t xml:space="preserve">范和</w:t>
      </w:r>
      <w:r>
        <w:rPr>
          <w:rFonts w:hint="eastAsia" w:ascii="宋体" w:hAnsi="宋体" w:eastAsia="宋体" w:cs="宋体"/>
          <w:color w:val="auto"/>
          <w:highlight w:val="none"/>
        </w:rPr>
        <w:t xml:space="preserve">标准执行，保质保量完成。</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4、供应商必须无条件按照国家行业规范和采购人的文件规定等要求施工，严格把关施工质量，完成自检后及时报验，工程量由采购人、供应商、监理方（如有）、审计方（如有）四方现场确认。</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5、如在管养过程中采购人要求使用新材料、新工艺、新技术等，供应商应积极配合，无条件地按照采购人的要求完成养修施工。</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6、安全文明施工要求：</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必须严格按照相关规定执行安全文明施工（包含但不限于以下）：</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（1）施工区域应设置明显的安全标志、</w:t>
      </w:r>
      <w:r>
        <w:rPr>
          <w:rFonts w:hint="eastAsia" w:ascii="宋体" w:hAnsi="宋体" w:eastAsia="宋体" w:cs="宋体"/>
          <w:color w:val="auto"/>
          <w:highlight w:val="none"/>
          <w:lang w:eastAsia="zh-CN"/>
        </w:rPr>
        <w:t xml:space="preserve">夜间</w:t>
      </w:r>
      <w:r>
        <w:rPr>
          <w:rFonts w:hint="eastAsia" w:ascii="宋体" w:hAnsi="宋体" w:eastAsia="宋体" w:cs="宋体"/>
          <w:color w:val="auto"/>
          <w:highlight w:val="none"/>
        </w:rPr>
        <w:t xml:space="preserve">警示灯具；</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w:t>
      </w:r>
      <w:r>
        <w:rPr>
          <w:rFonts w:ascii="宋体" w:hAnsi="宋体" w:cs="宋体"/>
          <w:color w:val="auto"/>
          <w:highlight w:val="none"/>
        </w:rPr>
        <w:t xml:space="preserve">2</w:t>
      </w:r>
      <w:r>
        <w:rPr>
          <w:rFonts w:hint="eastAsia" w:ascii="宋体" w:hAnsi="宋体" w:eastAsia="宋体" w:cs="宋体"/>
          <w:color w:val="auto"/>
          <w:highlight w:val="none"/>
        </w:rPr>
        <w:t xml:space="preserve">）施工区域应按规定设置围挡、临时信号灯等；</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w:t>
      </w:r>
      <w:r>
        <w:rPr>
          <w:rFonts w:ascii="宋体" w:hAnsi="宋体" w:cs="宋体"/>
          <w:color w:val="auto"/>
          <w:highlight w:val="none"/>
        </w:rPr>
        <w:t xml:space="preserve">3</w:t>
      </w:r>
      <w:r>
        <w:rPr>
          <w:rFonts w:hint="eastAsia" w:ascii="宋体" w:hAnsi="宋体" w:eastAsia="宋体" w:cs="宋体"/>
          <w:color w:val="auto"/>
          <w:highlight w:val="none"/>
        </w:rPr>
        <w:t xml:space="preserve">）施工人员作业时要求统一着装；</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w:t>
      </w:r>
      <w:r>
        <w:rPr>
          <w:rFonts w:ascii="宋体" w:hAnsi="宋体" w:cs="宋体"/>
          <w:color w:val="auto"/>
          <w:highlight w:val="none"/>
        </w:rPr>
        <w:t xml:space="preserve">4</w:t>
      </w:r>
      <w:r>
        <w:rPr>
          <w:rFonts w:hint="eastAsia" w:ascii="宋体" w:hAnsi="宋体" w:eastAsia="宋体" w:cs="宋体"/>
          <w:color w:val="auto"/>
          <w:highlight w:val="none"/>
        </w:rPr>
        <w:t xml:space="preserve">）施工区域做到材料堆放整齐，易扬尘材料必须进行覆盖；</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w:t>
      </w:r>
      <w:r>
        <w:rPr>
          <w:rFonts w:ascii="宋体" w:hAnsi="宋体" w:cs="宋体"/>
          <w:color w:val="auto"/>
          <w:highlight w:val="none"/>
        </w:rPr>
        <w:t xml:space="preserve">5</w:t>
      </w:r>
      <w:r>
        <w:rPr>
          <w:rFonts w:hint="eastAsia" w:ascii="宋体" w:hAnsi="宋体" w:eastAsia="宋体" w:cs="宋体"/>
          <w:color w:val="auto"/>
          <w:highlight w:val="none"/>
        </w:rPr>
        <w:t xml:space="preserve">）要求做到工完、料净、场地清；</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7、人员配备要求：</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（1）每年防汛及扫雪防冻期间，</w:t>
      </w:r>
      <w:r>
        <w:rPr>
          <w:rFonts w:hint="eastAsia" w:ascii="宋体" w:hAnsi="宋体" w:eastAsia="宋体" w:cs="宋体"/>
          <w:color w:val="auto"/>
          <w:highlight w:val="none"/>
        </w:rPr>
        <w:t xml:space="preserve">必须保证人员及时调动，确保每天不少于</w:t>
      </w: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rPr>
        <w:t xml:space="preserve">人</w:t>
      </w:r>
      <w:r>
        <w:rPr>
          <w:rFonts w:hint="eastAsia" w:ascii="宋体" w:hAnsi="宋体" w:eastAsia="宋体" w:cs="宋体"/>
          <w:color w:val="auto"/>
          <w:highlight w:val="none"/>
        </w:rPr>
        <w:t xml:space="preserve">。需要临时增添人手应急处置的，由采购单位另行通知，中标单位应予以配合。</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2）中标供应商负责维护管理进程中的一切责任，其中包括但不限于万一发生的一切工伤事故及工作人员的作业或非作业性的人身、财产安全等责任，或由于作业、养护管理不到位引起的第三方的人身、财产安全等责任。</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w:t>
      </w:r>
      <w:r>
        <w:rPr>
          <w:rFonts w:ascii="宋体" w:hAnsi="宋体" w:cs="宋体"/>
          <w:color w:val="auto"/>
          <w:highlight w:val="none"/>
        </w:rPr>
        <w:t xml:space="preserve">3</w:t>
      </w:r>
      <w:r>
        <w:rPr>
          <w:rFonts w:hint="eastAsia" w:ascii="宋体" w:hAnsi="宋体" w:eastAsia="宋体" w:cs="宋体"/>
          <w:color w:val="auto"/>
          <w:highlight w:val="none"/>
        </w:rPr>
        <w:t xml:space="preserve">）中标供应商必须按时发工资，聘用人员工资待遇不能</w:t>
      </w:r>
      <w:r>
        <w:rPr>
          <w:rFonts w:hint="eastAsia" w:ascii="宋体" w:hAnsi="宋体" w:eastAsia="宋体" w:cs="宋体"/>
          <w:color w:val="auto"/>
          <w:highlight w:val="none"/>
          <w:lang w:eastAsia="zh-CN"/>
        </w:rPr>
        <w:t xml:space="preserve">低于</w:t>
      </w:r>
      <w:r>
        <w:rPr>
          <w:rFonts w:hint="eastAsia" w:ascii="宋体" w:hAnsi="宋体" w:eastAsia="宋体" w:cs="宋体"/>
          <w:color w:val="auto"/>
          <w:highlight w:val="none"/>
        </w:rPr>
        <w:t xml:space="preserve">当地政府的最低工资待遇标准（社会保险和意外保险另算），任何劳资纠纷全由中标供应商负责。供应商所用人员必须按照中华人民共和国《</w:t>
      </w:r>
      <w:r>
        <w:rPr>
          <w:rFonts w:hint="eastAsia" w:ascii="宋体" w:hAnsi="宋体" w:eastAsia="宋体" w:cs="宋体"/>
          <w:color w:val="auto"/>
          <w:highlight w:val="none"/>
          <w:lang w:eastAsia="zh-CN"/>
        </w:rPr>
        <w:t xml:space="preserve">中华人民共和国劳动法</w:t>
      </w:r>
      <w:r>
        <w:rPr>
          <w:rFonts w:hint="eastAsia" w:ascii="宋体" w:hAnsi="宋体" w:eastAsia="宋体" w:cs="宋体"/>
          <w:color w:val="auto"/>
          <w:highlight w:val="none"/>
        </w:rPr>
        <w:t xml:space="preserve">》的规定执行，如遇到工资纠纷问题由服务方自行解决。</w:t>
      </w:r>
      <w:r/>
    </w:p>
    <w:p>
      <w:pPr>
        <w:spacing w:line="360" w:lineRule="auto"/>
        <w:widowControl/>
        <w:rPr>
          <w:rFonts w:hint="eastAsia" w:ascii="宋体" w:hAnsi="宋体" w:cs="宋体"/>
          <w:b/>
          <w:color w:val="auto"/>
          <w:szCs w:val="21"/>
          <w:highlight w:val="none"/>
        </w:rPr>
      </w:pPr>
      <w:r>
        <w:rPr>
          <w:rFonts w:hint="eastAsia" w:ascii="宋体" w:hAnsi="宋体" w:eastAsia="宋体" w:cs="宋体"/>
          <w:b/>
          <w:color w:val="auto"/>
          <w:highlight w:val="none"/>
        </w:rPr>
        <w:t xml:space="preserve">八</w:t>
      </w:r>
      <w:r>
        <w:rPr>
          <w:rFonts w:hint="eastAsia" w:ascii="宋体" w:hAnsi="宋体" w:eastAsia="宋体" w:cs="宋体"/>
          <w:b/>
          <w:color w:val="auto"/>
          <w:szCs w:val="21"/>
          <w:highlight w:val="none"/>
        </w:rPr>
        <w:t xml:space="preserve">、投标报价要求</w:t>
      </w:r>
      <w:r/>
    </w:p>
    <w:p>
      <w:pPr>
        <w:pStyle w:val="892"/>
        <w:spacing w:line="360" w:lineRule="auto"/>
        <w:rPr>
          <w:rFonts w:ascii="宋体" w:hAnsi="宋体" w:cs="宋体"/>
          <w:color w:val="auto"/>
          <w:highlight w:val="none"/>
        </w:rPr>
      </w:pPr>
      <w:r>
        <w:rPr>
          <w:rFonts w:hint="eastAsia" w:ascii="宋体" w:hAnsi="宋体" w:eastAsia="宋体" w:cs="宋体"/>
          <w:color w:val="auto"/>
          <w:highlight w:val="none"/>
        </w:rPr>
        <w:t xml:space="preserve">投标报价是根据招标文件所确定的范围内的全部产品和内容的价格体现，是为完成招标文件规定的工作所</w:t>
      </w:r>
      <w:r>
        <w:rPr>
          <w:rFonts w:hint="eastAsia" w:ascii="宋体" w:hAnsi="宋体" w:eastAsia="宋体" w:cs="宋体"/>
          <w:color w:val="auto"/>
          <w:highlight w:val="none"/>
          <w:lang w:eastAsia="zh-CN"/>
        </w:rPr>
        <w:t xml:space="preserve">涉及</w:t>
      </w:r>
      <w:r>
        <w:rPr>
          <w:rFonts w:hint="eastAsia" w:ascii="宋体" w:hAnsi="宋体" w:eastAsia="宋体" w:cs="宋体"/>
          <w:color w:val="auto"/>
          <w:highlight w:val="none"/>
        </w:rPr>
        <w:t xml:space="preserve">的一切费用。包括但不仅限于人员费用（工资、福利、培训、体检、社会保险、加班费等）、设备购置、工具购置及维护费用，所用材料消耗费用、管理费用、利润、税金等支出。招标文件未列明，而投标人认为必需的费用也需列入报价。一旦投标结束最终成交，价格合同期内不予调整。如发生漏、缺、少项，都将被认为是中标人的报价让利行为。</w:t>
      </w:r>
      <w:r/>
    </w:p>
    <w:p>
      <w:pPr>
        <w:spacing w:line="360" w:lineRule="auto"/>
        <w:widowControl/>
        <w:rPr>
          <w:rFonts w:hint="eastAsia" w:ascii="宋体" w:hAnsi="宋体" w:cs="宋体"/>
          <w:b/>
          <w:color w:val="auto"/>
          <w:highlight w:val="none"/>
        </w:rPr>
      </w:pPr>
      <w:r>
        <w:rPr>
          <w:rFonts w:hint="eastAsia" w:ascii="宋体" w:hAnsi="宋体" w:eastAsia="宋体" w:cs="宋体"/>
          <w:b/>
          <w:color w:val="auto"/>
          <w:highlight w:val="none"/>
        </w:rPr>
        <w:t xml:space="preserve">九、付款方式</w:t>
      </w:r>
      <w:r/>
    </w:p>
    <w:p>
      <w:pPr>
        <w:ind w:firstLine="411"/>
        <w:spacing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（1）交通设施日常管养费分4次支付，每三个月的次月支付前三个月的日常管养费用，每次支付日常管养费用的25%（扣除相应考核扣款及违约罚款费用）。</w:t>
      </w:r>
      <w:r/>
    </w:p>
    <w:p>
      <w:pPr>
        <w:ind w:firstLine="411"/>
        <w:spacing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（2）更新安装专项费用支付：</w:t>
      </w:r>
      <w:r/>
    </w:p>
    <w:p>
      <w:pPr>
        <w:ind w:firstLine="411"/>
        <w:spacing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①更新安装专项维修完成并验收合格，且完成工程结算审计，按照要求提交所有竣工资料后支付至审定价的70%，余款待一年质保期满后支付。</w:t>
      </w:r>
      <w:r/>
    </w:p>
    <w:p>
      <w:pPr>
        <w:ind w:firstLine="411"/>
        <w:spacing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②如审计核减率在10%以内，审计费用由甲方支付，如审计核减率超过10%，该项目审计费用全部由中标单位支付。</w:t>
      </w:r>
      <w:r/>
    </w:p>
    <w:p>
      <w:pPr>
        <w:ind w:firstLine="411"/>
        <w:spacing w:line="360" w:lineRule="auto"/>
        <w:rPr>
          <w:rFonts w:ascii="宋体" w:hAnsi="宋体" w:cs="宋体"/>
          <w:color w:val="auto"/>
          <w:highlight w:val="none"/>
        </w:rPr>
      </w:pPr>
      <w:r>
        <w:rPr>
          <w:rFonts w:hint="eastAsia" w:ascii="宋体" w:hAnsi="宋体" w:eastAsia="宋体" w:cs="宋体"/>
          <w:color w:val="auto"/>
          <w:highlight w:val="none"/>
          <w:shd w:val="clear" w:color="auto" w:fill="auto"/>
        </w:rPr>
        <w:t xml:space="preserve">（3）甲方收到乙方提供的同等金额的正规发票后，在履行财政相关资金审批手续后向乙方支付合同款。 因采购人使用的是财政资金，采购人在前款规定的付款时间为向政府采购支付部门提出办理财政支付申请手续的时间（不含政府财政支付部门审核的时间），在规定时间内提出支付申请手续后即视为采购人已经按期支付。手续后即视为采购人已经按期支付。</w:t>
      </w:r>
      <w:r/>
    </w:p>
    <w:p>
      <w:pPr>
        <w:pStyle w:val="935"/>
        <w:ind w:right="46"/>
        <w:spacing w:before="78" w:beforeAutospacing="0" w:after="75" w:afterAutospacing="0" w:line="360" w:lineRule="auto"/>
        <w:rPr>
          <w:rFonts w:hint="eastAsia" w:ascii="宋体" w:hAnsi="宋体" w:cs="宋体"/>
          <w:b/>
          <w:iCs/>
          <w:color w:val="auto"/>
          <w:sz w:val="21"/>
          <w:szCs w:val="21"/>
          <w:highlight w:val="none"/>
        </w:rPr>
      </w:pPr>
      <w:r>
        <w:rPr>
          <w:rFonts w:hint="eastAsia" w:ascii="宋体" w:hAnsi="宋体" w:eastAsia="宋体" w:cs="宋体"/>
          <w:b/>
          <w:iCs/>
          <w:color w:val="auto"/>
          <w:sz w:val="21"/>
          <w:szCs w:val="21"/>
          <w:highlight w:val="none"/>
        </w:rPr>
        <w:t xml:space="preserve">十</w:t>
      </w:r>
      <w:r>
        <w:rPr>
          <w:rFonts w:hint="eastAsia" w:ascii="宋体" w:hAnsi="宋体" w:eastAsia="宋体" w:cs="宋体"/>
          <w:b/>
          <w:iCs/>
          <w:color w:val="auto"/>
          <w:sz w:val="21"/>
          <w:szCs w:val="21"/>
          <w:highlight w:val="none"/>
          <w:lang w:val="zh-CN"/>
        </w:rPr>
        <w:t xml:space="preserve">、</w:t>
      </w:r>
      <w:r>
        <w:rPr>
          <w:rFonts w:hint="eastAsia" w:cs="宋体"/>
          <w:b/>
          <w:iCs/>
          <w:color w:val="auto"/>
          <w:sz w:val="21"/>
          <w:szCs w:val="21"/>
          <w:highlight w:val="none"/>
          <w:lang w:val="zh-CN"/>
        </w:rPr>
        <w:t xml:space="preserve">现场勘查</w:t>
      </w:r>
      <w:r/>
    </w:p>
    <w:p>
      <w:pPr>
        <w:pStyle w:val="935"/>
        <w:ind w:right="46" w:firstLine="420"/>
        <w:spacing w:before="78" w:beforeAutospacing="0" w:after="75" w:afterAutospacing="0" w:line="360" w:lineRule="auto"/>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本次采购不组织集中</w:t>
      </w:r>
      <w:r>
        <w:rPr>
          <w:rFonts w:hint="eastAsia" w:cs="宋体"/>
          <w:color w:val="auto"/>
          <w:sz w:val="21"/>
          <w:szCs w:val="21"/>
          <w:highlight w:val="none"/>
          <w:lang w:eastAsia="zh-CN"/>
        </w:rPr>
        <w:t xml:space="preserve">勘查现场</w:t>
      </w:r>
      <w:r>
        <w:rPr>
          <w:rFonts w:ascii="宋体" w:hAnsi="宋体" w:eastAsia="宋体" w:cs="宋体"/>
          <w:color w:val="auto"/>
          <w:sz w:val="21"/>
          <w:szCs w:val="21"/>
          <w:highlight w:val="none"/>
        </w:rPr>
        <w:t xml:space="preserve">。供应商如对采购需求有疑问请与采购联系人沟通。</w:t>
      </w:r>
      <w:r>
        <w:rPr>
          <w:rFonts w:hint="eastAsia" w:ascii="宋体" w:hAnsi="宋体" w:eastAsia="宋体" w:cs="宋体"/>
          <w:color w:val="auto"/>
          <w:sz w:val="21"/>
          <w:szCs w:val="21"/>
          <w:highlight w:val="none"/>
        </w:rPr>
        <w:t xml:space="preserve">请务必对项目现场和周围环境进行仔细认真地查勘，在随后的采购中，对现场资料和数据所</w:t>
      </w:r>
      <w:r>
        <w:rPr>
          <w:rFonts w:hint="eastAsia" w:cs="宋体"/>
          <w:color w:val="auto"/>
          <w:sz w:val="21"/>
          <w:szCs w:val="21"/>
          <w:highlight w:val="none"/>
          <w:lang w:eastAsia="zh-CN"/>
        </w:rPr>
        <w:t xml:space="preserve">做出</w:t>
      </w:r>
      <w:r>
        <w:rPr>
          <w:rFonts w:hint="eastAsia" w:ascii="宋体" w:hAnsi="宋体" w:eastAsia="宋体" w:cs="宋体"/>
          <w:color w:val="auto"/>
          <w:sz w:val="21"/>
          <w:szCs w:val="21"/>
          <w:highlight w:val="none"/>
        </w:rPr>
        <w:t xml:space="preserve">的推论、解释和结论及由此造成的后果由供应商负责。</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892"/>
        <w:rPr>
          <w:rFonts w:ascii="宋体" w:hAnsi="宋体" w:cs="宋体"/>
          <w:color w:val="auto"/>
          <w:highlight w:val="none"/>
        </w:rPr>
        <w:outlineLvl w:val="0"/>
      </w:pPr>
      <w:r>
        <w:rPr>
          <w:rFonts w:hint="eastAsia" w:ascii="宋体" w:hAnsi="宋体" w:eastAsia="宋体" w:cs="宋体"/>
          <w:color w:val="auto"/>
          <w:highlight w:val="none"/>
        </w:rPr>
        <w:t xml:space="preserve">附件一：交通设施日常维护考核评分标准</w:t>
      </w:r>
      <w:r/>
    </w:p>
    <w:tbl>
      <w:tblPr>
        <w:tblStyle w:val="1480"/>
        <w:tblW w:w="9464"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18"/>
        <w:gridCol w:w="2267"/>
        <w:gridCol w:w="817"/>
        <w:gridCol w:w="4142"/>
        <w:gridCol w:w="820"/>
      </w:tblGrid>
      <w:tr>
        <w:trPr>
          <w:trHeight w:val="281"/>
        </w:trPr>
        <w:tc>
          <w:tcPr>
            <w:tcW w:w="1418" w:type="dxa"/>
            <w:textDirection w:val="lrTb"/>
            <w:noWrap w:val="false"/>
          </w:tcPr>
          <w:p>
            <w:pPr>
              <w:jc w:val="center"/>
              <w:rPr>
                <w:rFonts w:ascii="宋体" w:hAnsi="宋体" w:cs="宋体"/>
                <w:color w:val="auto"/>
                <w:highlight w:val="none"/>
              </w:rPr>
            </w:pPr>
            <w:r>
              <w:rPr>
                <w:rFonts w:hint="eastAsia" w:ascii="宋体" w:hAnsi="宋体" w:eastAsia="宋体" w:cs="宋体"/>
                <w:color w:val="auto"/>
                <w:highlight w:val="none"/>
              </w:rPr>
              <w:t xml:space="preserve">项目</w:t>
            </w:r>
            <w:r/>
          </w:p>
        </w:tc>
        <w:tc>
          <w:tcPr>
            <w:tcW w:w="2267" w:type="dxa"/>
            <w:textDirection w:val="lrTb"/>
            <w:noWrap w:val="false"/>
          </w:tcPr>
          <w:p>
            <w:pPr>
              <w:jc w:val="center"/>
              <w:rPr>
                <w:rFonts w:ascii="宋体" w:hAnsi="宋体" w:cs="宋体"/>
                <w:color w:val="auto"/>
                <w:highlight w:val="none"/>
              </w:rPr>
            </w:pPr>
            <w:r>
              <w:rPr>
                <w:rFonts w:hint="eastAsia" w:ascii="宋体" w:hAnsi="宋体" w:eastAsia="宋体" w:cs="宋体"/>
                <w:color w:val="auto"/>
                <w:highlight w:val="none"/>
              </w:rPr>
              <w:t xml:space="preserve">考核内容</w:t>
            </w:r>
            <w:r/>
          </w:p>
        </w:tc>
        <w:tc>
          <w:tcPr>
            <w:tcW w:w="817" w:type="dxa"/>
            <w:textDirection w:val="lrTb"/>
            <w:noWrap w:val="false"/>
          </w:tcPr>
          <w:p>
            <w:pPr>
              <w:jc w:val="center"/>
              <w:rPr>
                <w:rFonts w:ascii="宋体" w:hAnsi="宋体" w:cs="宋体"/>
                <w:color w:val="auto"/>
                <w:highlight w:val="none"/>
              </w:rPr>
            </w:pPr>
            <w:r>
              <w:rPr>
                <w:rFonts w:hint="eastAsia" w:ascii="宋体" w:hAnsi="宋体" w:eastAsia="宋体" w:cs="宋体"/>
                <w:color w:val="auto"/>
                <w:highlight w:val="none"/>
              </w:rPr>
              <w:t xml:space="preserve">分值</w:t>
            </w:r>
            <w:r/>
          </w:p>
        </w:tc>
        <w:tc>
          <w:tcPr>
            <w:tcW w:w="4142" w:type="dxa"/>
            <w:textDirection w:val="lrTb"/>
            <w:noWrap w:val="false"/>
          </w:tcPr>
          <w:p>
            <w:pPr>
              <w:jc w:val="center"/>
              <w:rPr>
                <w:rFonts w:ascii="宋体" w:hAnsi="宋体" w:cs="宋体"/>
                <w:color w:val="auto"/>
                <w:highlight w:val="none"/>
              </w:rPr>
            </w:pPr>
            <w:r>
              <w:rPr>
                <w:rFonts w:hint="eastAsia" w:ascii="宋体" w:hAnsi="宋体" w:eastAsia="宋体" w:cs="宋体"/>
                <w:color w:val="auto"/>
                <w:highlight w:val="none"/>
              </w:rPr>
              <w:t xml:space="preserve">评分标准</w:t>
            </w:r>
            <w:r/>
          </w:p>
        </w:tc>
        <w:tc>
          <w:tcPr>
            <w:tcW w:w="820" w:type="dxa"/>
            <w:textDirection w:val="lrTb"/>
            <w:noWrap w:val="false"/>
          </w:tcPr>
          <w:p>
            <w:pPr>
              <w:jc w:val="center"/>
              <w:rPr>
                <w:rFonts w:ascii="宋体" w:hAnsi="宋体" w:cs="宋体"/>
                <w:color w:val="auto"/>
                <w:highlight w:val="none"/>
              </w:rPr>
            </w:pPr>
            <w:r>
              <w:rPr>
                <w:rFonts w:hint="eastAsia" w:ascii="宋体" w:hAnsi="宋体" w:eastAsia="宋体" w:cs="宋体"/>
                <w:color w:val="auto"/>
                <w:highlight w:val="none"/>
              </w:rPr>
              <w:t xml:space="preserve">得分</w:t>
            </w:r>
            <w:r/>
          </w:p>
        </w:tc>
      </w:tr>
      <w:tr>
        <w:trPr>
          <w:trHeight w:val="2313"/>
        </w:trPr>
        <w:tc>
          <w:tcPr>
            <w:tcW w:w="1418"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hint="eastAsia" w:ascii="宋体" w:hAnsi="宋体" w:eastAsia="宋体" w:cs="宋体"/>
                <w:color w:val="auto"/>
                <w:highlight w:val="none"/>
              </w:rPr>
              <w:t xml:space="preserve">应急抢险</w:t>
            </w:r>
            <w:r/>
          </w:p>
        </w:tc>
        <w:tc>
          <w:tcPr>
            <w:tcW w:w="2267"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严格实行一日一巡，确保巡视质量并做好巡视记录。接到主管部门指令第一时间组织人员对损坏设施进行抢修，排除安全隐患。</w:t>
            </w:r>
            <w:r/>
          </w:p>
        </w:tc>
        <w:tc>
          <w:tcPr>
            <w:tcW w:w="817"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ascii="宋体" w:hAnsi="宋体" w:cs="宋体"/>
                <w:color w:val="auto"/>
                <w:highlight w:val="none"/>
              </w:rPr>
              <w:t xml:space="preserve">15</w:t>
            </w:r>
            <w:r/>
          </w:p>
        </w:tc>
        <w:tc>
          <w:tcPr>
            <w:tcW w:w="4142"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在巡查过程中发现设施明显损坏、影响车辆和行人安全等安全隐患、危急情况及时做好维护并通知养护管理部门，</w:t>
            </w:r>
            <w:r>
              <w:rPr>
                <w:rFonts w:hint="eastAsia" w:ascii="宋体" w:hAnsi="宋体" w:eastAsia="宋体" w:cs="宋体"/>
                <w:color w:val="auto"/>
                <w:highlight w:val="none"/>
                <w:lang w:eastAsia="zh-CN"/>
              </w:rPr>
              <w:t xml:space="preserve">做好</w:t>
            </w:r>
            <w:r>
              <w:rPr>
                <w:rFonts w:ascii="宋体" w:hAnsi="宋体" w:eastAsia="宋体" w:cs="宋体"/>
                <w:color w:val="auto"/>
                <w:highlight w:val="none"/>
              </w:rPr>
              <w:t xml:space="preserve">记录，未达到本条要求者，每次扣0.2分；遇应急情况，如大雨，暴雨，冰雪天等，巡查员应将各自负责巡查道路基本情况报知养护管理单位，未达到本条要求者，每次扣0.1分。</w:t>
            </w:r>
            <w:r/>
          </w:p>
        </w:tc>
        <w:tc>
          <w:tcPr>
            <w:tcW w:w="820"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cs="宋体"/>
                <w:color w:val="auto"/>
                <w:highlight w:val="none"/>
              </w:rPr>
            </w:r>
            <w:r/>
          </w:p>
        </w:tc>
      </w:tr>
      <w:tr>
        <w:trPr>
          <w:trHeight w:val="3273"/>
        </w:trPr>
        <w:tc>
          <w:tcPr>
            <w:tcW w:w="1418"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hint="eastAsia" w:ascii="宋体" w:hAnsi="宋体" w:eastAsia="宋体" w:cs="宋体"/>
                <w:color w:val="auto"/>
                <w:highlight w:val="none"/>
              </w:rPr>
              <w:t xml:space="preserve">设施完好</w:t>
            </w:r>
            <w:r/>
          </w:p>
        </w:tc>
        <w:tc>
          <w:tcPr>
            <w:tcW w:w="2267"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按规范要求做好交通设施养护，确保交通设施完好。</w:t>
            </w:r>
            <w:r/>
          </w:p>
        </w:tc>
        <w:tc>
          <w:tcPr>
            <w:tcW w:w="817"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ascii="宋体" w:hAnsi="宋体" w:cs="宋体"/>
                <w:color w:val="auto"/>
                <w:highlight w:val="none"/>
              </w:rPr>
              <w:t xml:space="preserve">15</w:t>
            </w:r>
            <w:r/>
          </w:p>
        </w:tc>
        <w:tc>
          <w:tcPr>
            <w:tcW w:w="4142"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交通设施完好：同一路口信号灯（以路口为单位、含行人过街信号灯、LED灯接触不良等故障）</w:t>
            </w:r>
            <w:r>
              <w:rPr>
                <w:rFonts w:hint="eastAsia" w:ascii="宋体" w:hAnsi="宋体" w:eastAsia="宋体" w:cs="宋体"/>
                <w:color w:val="auto"/>
                <w:highlight w:val="none"/>
                <w:lang w:eastAsia="zh-CN"/>
              </w:rPr>
              <w:t xml:space="preserve">一个</w:t>
            </w:r>
            <w:r>
              <w:rPr>
                <w:rFonts w:ascii="宋体" w:hAnsi="宋体" w:eastAsia="宋体" w:cs="宋体"/>
                <w:color w:val="auto"/>
                <w:highlight w:val="none"/>
              </w:rPr>
              <w:t xml:space="preserve">月内连续出现两次以上故障，一处扣0.5分；有信号灯检修盖缺失、变形、未按规定加固，一处扣0.5分；有标I牌变形、移位、污染、废标、错误引导、错别字、英文翻译错误，一处扣1分；有标线不清、脱落、反光未达到</w:t>
            </w:r>
            <w:r>
              <w:rPr>
                <w:rFonts w:hint="eastAsia" w:ascii="宋体" w:hAnsi="宋体" w:eastAsia="宋体" w:cs="宋体"/>
                <w:color w:val="auto"/>
                <w:highlight w:val="none"/>
                <w:lang w:eastAsia="zh-CN"/>
              </w:rPr>
              <w:t xml:space="preserve">交通运输部</w:t>
            </w:r>
            <w:r>
              <w:rPr>
                <w:rFonts w:ascii="宋体" w:hAnsi="宋体" w:eastAsia="宋体" w:cs="宋体"/>
                <w:color w:val="auto"/>
                <w:highlight w:val="none"/>
              </w:rPr>
              <w:t xml:space="preserve">《路面标线涂料》的标准规定，一处扣1分；存在上述情况未及时报告及采取安全围护措施及时修复的，一处扣1分。</w:t>
            </w:r>
            <w:r/>
          </w:p>
        </w:tc>
        <w:tc>
          <w:tcPr>
            <w:tcW w:w="820"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cs="宋体"/>
                <w:color w:val="auto"/>
                <w:highlight w:val="none"/>
              </w:rPr>
            </w:r>
            <w:r/>
          </w:p>
        </w:tc>
      </w:tr>
      <w:tr>
        <w:trPr>
          <w:trHeight w:val="3756"/>
        </w:trPr>
        <w:tc>
          <w:tcPr>
            <w:tcW w:w="1418"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hint="eastAsia" w:ascii="宋体" w:hAnsi="宋体" w:eastAsia="宋体" w:cs="宋体"/>
                <w:color w:val="auto"/>
                <w:highlight w:val="none"/>
              </w:rPr>
              <w:t xml:space="preserve">设施维修</w:t>
            </w:r>
            <w:r/>
          </w:p>
        </w:tc>
        <w:tc>
          <w:tcPr>
            <w:tcW w:w="2267"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按规范要求做好交通设施维修，确保按时高质量完成交通设施维修。</w:t>
            </w:r>
            <w:r/>
          </w:p>
        </w:tc>
        <w:tc>
          <w:tcPr>
            <w:tcW w:w="817"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ascii="宋体" w:hAnsi="宋体" w:cs="宋体"/>
                <w:color w:val="auto"/>
                <w:highlight w:val="none"/>
              </w:rPr>
              <w:t xml:space="preserve">40</w:t>
            </w:r>
            <w:r/>
          </w:p>
        </w:tc>
        <w:tc>
          <w:tcPr>
            <w:tcW w:w="4142"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交通设施维修及时性、因质量问题被群众投诉的处理：因质量问题被群众投诉的，每发生一次扣0.5分；热熔标</w:t>
            </w:r>
            <w:r>
              <w:rPr>
                <w:rFonts w:hint="eastAsia" w:ascii="宋体" w:hAnsi="宋体" w:eastAsia="宋体" w:cs="宋体"/>
                <w:color w:val="auto"/>
                <w:highlight w:val="none"/>
                <w:lang w:eastAsia="zh-CN"/>
              </w:rPr>
              <w:t xml:space="preserve">线设</w:t>
            </w:r>
            <w:r>
              <w:rPr>
                <w:rFonts w:ascii="宋体" w:hAnsi="宋体" w:eastAsia="宋体" w:cs="宋体"/>
                <w:color w:val="auto"/>
                <w:highlight w:val="none"/>
              </w:rPr>
              <w:t xml:space="preserve">施反光效果差、剥离，附着不牢、涂膜不平整、涂膜有划痕一处扣0.5分；常温标线白漆发黄、漆膜有气泡或针孔、漆膜遮盖力不够、附着力差</w:t>
            </w:r>
            <w:r>
              <w:rPr>
                <w:rFonts w:hint="eastAsia" w:ascii="宋体" w:hAnsi="宋体" w:eastAsia="宋体" w:cs="宋体"/>
                <w:color w:val="auto"/>
                <w:highlight w:val="none"/>
                <w:lang w:eastAsia="zh-CN"/>
              </w:rPr>
              <w:t xml:space="preserve">一处</w:t>
            </w:r>
            <w:r>
              <w:rPr>
                <w:rFonts w:ascii="宋体" w:hAnsi="宋体" w:eastAsia="宋体" w:cs="宋体"/>
                <w:color w:val="auto"/>
                <w:highlight w:val="none"/>
              </w:rPr>
              <w:t xml:space="preserve">扣0.5分；标志牌反光膜起泡、杆件倾斜、反光效果差一处扣0.5分；信号灯后盖松动及缺失、人行灯立柱倾斜、信号灯帽檐损坏一处扣0.5分；施工单位未能在规定时间内完成修复的，每逾期一次，扣1分。</w:t>
            </w:r>
            <w:r/>
          </w:p>
        </w:tc>
        <w:tc>
          <w:tcPr>
            <w:tcW w:w="820"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cs="宋体"/>
                <w:color w:val="auto"/>
                <w:highlight w:val="none"/>
              </w:rPr>
            </w:r>
            <w:r/>
          </w:p>
        </w:tc>
      </w:tr>
      <w:tr>
        <w:trPr>
          <w:trHeight w:val="2261"/>
        </w:trPr>
        <w:tc>
          <w:tcPr>
            <w:tcW w:w="1418"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hint="eastAsia" w:ascii="宋体" w:hAnsi="宋体" w:eastAsia="宋体" w:cs="宋体"/>
                <w:color w:val="auto"/>
                <w:highlight w:val="none"/>
              </w:rPr>
              <w:t xml:space="preserve">设施保护</w:t>
            </w:r>
            <w:r/>
          </w:p>
        </w:tc>
        <w:tc>
          <w:tcPr>
            <w:tcW w:w="2267"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保护交通设施不被损</w:t>
            </w:r>
            <w:r/>
          </w:p>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坏。</w:t>
            </w:r>
            <w:r/>
          </w:p>
        </w:tc>
        <w:tc>
          <w:tcPr>
            <w:tcW w:w="817"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ascii="宋体" w:hAnsi="宋体" w:cs="宋体"/>
                <w:color w:val="auto"/>
                <w:highlight w:val="none"/>
              </w:rPr>
              <w:t xml:space="preserve">10</w:t>
            </w:r>
            <w:r/>
          </w:p>
        </w:tc>
        <w:tc>
          <w:tcPr>
            <w:tcW w:w="4142"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未及时发现因非法挖掘、占用导致交通设施污染</w:t>
            </w:r>
            <w:r>
              <w:rPr>
                <w:rFonts w:hint="eastAsia" w:ascii="宋体" w:hAnsi="宋体" w:eastAsia="宋体" w:cs="宋体"/>
                <w:color w:val="auto"/>
                <w:highlight w:val="none"/>
                <w:lang w:eastAsia="zh-CN"/>
              </w:rPr>
              <w:t xml:space="preserve">、破</w:t>
            </w:r>
            <w:r>
              <w:rPr>
                <w:rFonts w:ascii="宋体" w:hAnsi="宋体" w:eastAsia="宋体" w:cs="宋体"/>
                <w:color w:val="auto"/>
                <w:highlight w:val="none"/>
              </w:rPr>
              <w:t xml:space="preserve">坏的，一件扣1分；未及时报告管理部门的，一件扣1分；未及时制止并采取保护措施的，一件扣1分。擅自拆除、损坏（标牌、标线、护栏、路名牌）等交通设施或擅自改变原有设施状况的，</w:t>
            </w:r>
            <w:r>
              <w:rPr>
                <w:rFonts w:hint="eastAsia" w:ascii="宋体" w:hAnsi="宋体" w:eastAsia="宋体" w:cs="宋体"/>
                <w:color w:val="auto"/>
                <w:highlight w:val="none"/>
                <w:lang w:eastAsia="zh-CN"/>
              </w:rPr>
              <w:t xml:space="preserve">一律</w:t>
            </w:r>
            <w:r>
              <w:rPr>
                <w:rFonts w:ascii="宋体" w:hAnsi="宋体" w:eastAsia="宋体" w:cs="宋体"/>
                <w:color w:val="auto"/>
                <w:highlight w:val="none"/>
              </w:rPr>
              <w:t xml:space="preserve">扣2分。</w:t>
            </w:r>
            <w:r/>
          </w:p>
        </w:tc>
        <w:tc>
          <w:tcPr>
            <w:tcW w:w="820"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cs="宋体"/>
                <w:color w:val="auto"/>
                <w:highlight w:val="none"/>
              </w:rPr>
            </w:r>
            <w:r/>
          </w:p>
        </w:tc>
      </w:tr>
      <w:tr>
        <w:trPr>
          <w:trHeight w:val="1803"/>
        </w:trPr>
        <w:tc>
          <w:tcPr>
            <w:tcW w:w="1418"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hint="eastAsia" w:ascii="宋体" w:hAnsi="宋体" w:eastAsia="宋体" w:cs="宋体"/>
                <w:color w:val="auto"/>
                <w:highlight w:val="none"/>
              </w:rPr>
              <w:t xml:space="preserve">投诉处理</w:t>
            </w:r>
            <w:r/>
          </w:p>
        </w:tc>
        <w:tc>
          <w:tcPr>
            <w:tcW w:w="2267"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快速回应并处置"12345"等公共服务热线、政务微博、新闻媒体、文明城区检查、数字城管等</w:t>
            </w:r>
            <w:r>
              <w:rPr>
                <w:rFonts w:hint="eastAsia" w:ascii="宋体" w:hAnsi="宋体" w:eastAsia="宋体" w:cs="宋体"/>
                <w:color w:val="auto"/>
                <w:highlight w:val="none"/>
                <w:lang w:eastAsia="zh-CN"/>
              </w:rPr>
              <w:t xml:space="preserve">反映的问题</w:t>
            </w:r>
            <w:r>
              <w:rPr>
                <w:rFonts w:ascii="宋体" w:hAnsi="宋体" w:eastAsia="宋体" w:cs="宋体"/>
                <w:color w:val="auto"/>
                <w:highlight w:val="none"/>
              </w:rPr>
              <w:t xml:space="preserve">。</w:t>
            </w:r>
            <w:r/>
          </w:p>
        </w:tc>
        <w:tc>
          <w:tcPr>
            <w:tcW w:w="817"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ascii="宋体" w:hAnsi="宋体" w:cs="宋体"/>
                <w:color w:val="auto"/>
                <w:highlight w:val="none"/>
              </w:rPr>
              <w:t xml:space="preserve">10</w:t>
            </w:r>
            <w:r/>
          </w:p>
        </w:tc>
        <w:tc>
          <w:tcPr>
            <w:tcW w:w="4142"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养护</w:t>
            </w:r>
            <w:r>
              <w:rPr>
                <w:rFonts w:hint="eastAsia" w:ascii="宋体" w:hAnsi="宋体" w:eastAsia="宋体" w:cs="宋体"/>
                <w:color w:val="auto"/>
                <w:highlight w:val="none"/>
                <w:lang w:eastAsia="zh-CN"/>
              </w:rPr>
              <w:t xml:space="preserve">失误</w:t>
            </w:r>
            <w:r>
              <w:rPr>
                <w:rFonts w:ascii="宋体" w:hAnsi="宋体" w:eastAsia="宋体" w:cs="宋体"/>
                <w:color w:val="auto"/>
                <w:highlight w:val="none"/>
              </w:rPr>
              <w:t xml:space="preserve">造成投诉的，一项扣2分；未在规定期限内处置的，一项扣2分；未按规范要求处置的，一项扣2分；同一事项重复投诉的，一项扣3分；被上级部门考核扣分的，一项扣5分。</w:t>
            </w:r>
            <w:r/>
          </w:p>
        </w:tc>
        <w:tc>
          <w:tcPr>
            <w:tcW w:w="820"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cs="宋体"/>
                <w:color w:val="auto"/>
                <w:highlight w:val="none"/>
              </w:rPr>
            </w:r>
            <w:r/>
          </w:p>
        </w:tc>
      </w:tr>
      <w:tr>
        <w:trPr>
          <w:trHeight w:val="615"/>
        </w:trPr>
        <w:tc>
          <w:tcPr>
            <w:tcW w:w="1418"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hint="eastAsia" w:ascii="宋体" w:hAnsi="宋体" w:eastAsia="宋体" w:cs="宋体"/>
                <w:color w:val="auto"/>
                <w:highlight w:val="none"/>
              </w:rPr>
              <w:t xml:space="preserve">交办事项</w:t>
            </w:r>
            <w:r/>
          </w:p>
        </w:tc>
        <w:tc>
          <w:tcPr>
            <w:tcW w:w="2267"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hint="eastAsia" w:ascii="宋体" w:hAnsi="宋体" w:eastAsia="宋体" w:cs="宋体"/>
                <w:color w:val="auto"/>
                <w:highlight w:val="none"/>
              </w:rPr>
              <w:t xml:space="preserve">认真完成甲方交办的事项</w:t>
            </w:r>
            <w:r/>
          </w:p>
        </w:tc>
        <w:tc>
          <w:tcPr>
            <w:tcW w:w="817"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ascii="宋体" w:hAnsi="宋体" w:cs="宋体"/>
                <w:color w:val="auto"/>
                <w:highlight w:val="none"/>
              </w:rPr>
              <w:t xml:space="preserve">10</w:t>
            </w:r>
            <w:r/>
          </w:p>
        </w:tc>
        <w:tc>
          <w:tcPr>
            <w:tcW w:w="4142"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hint="eastAsia" w:ascii="宋体" w:hAnsi="宋体" w:eastAsia="宋体" w:cs="宋体"/>
                <w:color w:val="auto"/>
                <w:highlight w:val="none"/>
              </w:rPr>
              <w:t xml:space="preserve">甲方</w:t>
            </w:r>
            <w:r>
              <w:rPr>
                <w:rFonts w:ascii="宋体" w:hAnsi="宋体" w:eastAsia="宋体" w:cs="宋体"/>
                <w:color w:val="auto"/>
                <w:highlight w:val="none"/>
              </w:rPr>
              <w:t xml:space="preserve">交办的事项未及时办理的，一项扣2分</w:t>
            </w:r>
            <w:r/>
          </w:p>
        </w:tc>
        <w:tc>
          <w:tcPr>
            <w:tcW w:w="820"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cs="宋体"/>
                <w:color w:val="auto"/>
                <w:highlight w:val="none"/>
              </w:rPr>
            </w:r>
            <w:r/>
          </w:p>
        </w:tc>
      </w:tr>
      <w:tr>
        <w:trPr>
          <w:trHeight w:val="419"/>
        </w:trPr>
        <w:tc>
          <w:tcPr>
            <w:tcW w:w="1418"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hint="eastAsia" w:ascii="宋体" w:hAnsi="宋体" w:eastAsia="宋体" w:cs="宋体"/>
                <w:color w:val="auto"/>
                <w:highlight w:val="none"/>
              </w:rPr>
              <w:t xml:space="preserve">总分</w:t>
            </w:r>
            <w:r/>
          </w:p>
        </w:tc>
        <w:tc>
          <w:tcPr>
            <w:tcW w:w="2267"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cs="宋体"/>
                <w:color w:val="auto"/>
                <w:highlight w:val="none"/>
              </w:rPr>
            </w:r>
            <w:r/>
          </w:p>
        </w:tc>
        <w:tc>
          <w:tcPr>
            <w:tcW w:w="817"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ascii="宋体" w:hAnsi="宋体" w:cs="宋体"/>
                <w:color w:val="auto"/>
                <w:highlight w:val="none"/>
              </w:rPr>
              <w:t xml:space="preserve">100</w:t>
            </w:r>
            <w:r/>
          </w:p>
        </w:tc>
        <w:tc>
          <w:tcPr>
            <w:tcW w:w="4142"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cs="宋体"/>
                <w:color w:val="auto"/>
                <w:highlight w:val="none"/>
              </w:rPr>
            </w:r>
            <w:r/>
          </w:p>
        </w:tc>
        <w:tc>
          <w:tcPr>
            <w:tcW w:w="820"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cs="宋体"/>
                <w:color w:val="auto"/>
                <w:highlight w:val="none"/>
              </w:rPr>
            </w:r>
            <w:r/>
          </w:p>
        </w:tc>
      </w:tr>
    </w:tbl>
    <w:p>
      <w:pPr>
        <w:pStyle w:val="892"/>
        <w:ind w:left="105"/>
        <w:keepLines w:val="0"/>
        <w:keepNext w:val="0"/>
        <w:pageBreakBefore w:val="0"/>
        <w:widowControl w:val="off"/>
        <w:rPr>
          <w:rFonts w:ascii="宋体" w:hAnsi="宋体" w:cs="宋体"/>
          <w:color w:val="auto"/>
          <w:highlight w:val="none"/>
        </w:rPr>
      </w:pPr>
      <w:r>
        <w:rPr>
          <w:rFonts w:ascii="宋体" w:hAnsi="宋体" w:cs="宋体"/>
          <w:color w:val="auto"/>
          <w:highlight w:val="none"/>
        </w:rPr>
      </w:r>
      <w:r/>
    </w:p>
    <w:p>
      <w:pPr>
        <w:pStyle w:val="892"/>
        <w:ind w:left="105"/>
        <w:keepLines w:val="0"/>
        <w:keepNext w:val="0"/>
        <w:pageBreakBefore w:val="0"/>
        <w:widowControl w:val="off"/>
        <w:rPr>
          <w:rFonts w:ascii="宋体" w:hAnsi="宋体" w:cs="宋体"/>
          <w:color w:val="auto"/>
          <w:highlight w:val="none"/>
        </w:rPr>
      </w:pPr>
      <w:r>
        <w:rPr>
          <w:rFonts w:hint="eastAsia" w:ascii="宋体" w:hAnsi="宋体" w:eastAsia="宋体" w:cs="宋体"/>
          <w:color w:val="auto"/>
          <w:highlight w:val="none"/>
        </w:rPr>
        <w:t xml:space="preserve">附件二：交通设施季度维护考核评分标准</w:t>
      </w:r>
      <w:r/>
    </w:p>
    <w:tbl>
      <w:tblPr>
        <w:tblStyle w:val="1480"/>
        <w:tblW w:w="9464"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35"/>
        <w:gridCol w:w="3116"/>
        <w:gridCol w:w="710"/>
        <w:gridCol w:w="3541"/>
        <w:gridCol w:w="962"/>
      </w:tblGrid>
      <w:tr>
        <w:trPr>
          <w:trHeight w:val="420"/>
        </w:trPr>
        <w:tc>
          <w:tcPr>
            <w:tcW w:w="1135"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hint="eastAsia" w:ascii="宋体" w:hAnsi="宋体" w:eastAsia="宋体" w:cs="宋体"/>
                <w:color w:val="auto"/>
                <w:highlight w:val="none"/>
              </w:rPr>
              <w:t xml:space="preserve">项目</w:t>
            </w:r>
            <w:r/>
          </w:p>
        </w:tc>
        <w:tc>
          <w:tcPr>
            <w:tcW w:w="3116"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hint="eastAsia" w:ascii="宋体" w:hAnsi="宋体" w:eastAsia="宋体" w:cs="宋体"/>
                <w:color w:val="auto"/>
                <w:highlight w:val="none"/>
              </w:rPr>
              <w:t xml:space="preserve">管理要求</w:t>
            </w:r>
            <w:r/>
          </w:p>
        </w:tc>
        <w:tc>
          <w:tcPr>
            <w:tcW w:w="710"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hint="eastAsia" w:ascii="宋体" w:hAnsi="宋体" w:eastAsia="宋体" w:cs="宋体"/>
                <w:color w:val="auto"/>
                <w:highlight w:val="none"/>
              </w:rPr>
              <w:t xml:space="preserve">分值</w:t>
            </w:r>
            <w:r/>
          </w:p>
        </w:tc>
        <w:tc>
          <w:tcPr>
            <w:tcW w:w="3541"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hint="eastAsia" w:ascii="宋体" w:hAnsi="宋体" w:eastAsia="宋体" w:cs="宋体"/>
                <w:color w:val="auto"/>
                <w:highlight w:val="none"/>
              </w:rPr>
              <w:t xml:space="preserve">评分标准</w:t>
            </w:r>
            <w:r/>
          </w:p>
        </w:tc>
        <w:tc>
          <w:tcPr>
            <w:tcW w:w="962"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hint="eastAsia" w:ascii="宋体" w:hAnsi="宋体" w:eastAsia="宋体" w:cs="宋体"/>
                <w:color w:val="auto"/>
                <w:highlight w:val="none"/>
              </w:rPr>
              <w:t xml:space="preserve">得分</w:t>
            </w:r>
            <w:r/>
          </w:p>
        </w:tc>
      </w:tr>
      <w:tr>
        <w:trPr>
          <w:trHeight w:val="2280"/>
        </w:trPr>
        <w:tc>
          <w:tcPr>
            <w:tcBorders>
              <w:bottom w:val="none" w:color="000000" w:sz="4" w:space="0"/>
            </w:tcBorders>
            <w:tcW w:w="1135" w:type="dxa"/>
            <w:vAlign w:val="center"/>
            <w:vMerge w:val="restart"/>
            <w:textDirection w:val="lrTb"/>
            <w:noWrap w:val="false"/>
          </w:tcPr>
          <w:p>
            <w:pPr>
              <w:ind w:left="105"/>
              <w:jc w:val="center"/>
              <w:keepLines w:val="0"/>
              <w:keepNext w:val="0"/>
              <w:pageBreakBefore w:val="0"/>
              <w:widowControl w:val="off"/>
              <w:rPr>
                <w:rFonts w:ascii="宋体" w:hAnsi="宋体" w:cs="宋体"/>
                <w:color w:val="auto"/>
                <w:highlight w:val="none"/>
              </w:rPr>
            </w:pPr>
            <w:r>
              <w:rPr>
                <w:rFonts w:hint="eastAsia" w:ascii="宋体" w:hAnsi="宋体" w:eastAsia="宋体" w:cs="宋体"/>
                <w:color w:val="auto"/>
                <w:highlight w:val="none"/>
              </w:rPr>
              <w:t xml:space="preserve">台账资料</w:t>
            </w:r>
            <w:r/>
          </w:p>
          <w:p>
            <w:pPr>
              <w:ind w:left="105"/>
              <w:jc w:val="center"/>
              <w:keepLines w:val="0"/>
              <w:keepNext w:val="0"/>
              <w:pageBreakBefore w:val="0"/>
              <w:widowControl w:val="off"/>
              <w:rPr>
                <w:rFonts w:ascii="宋体" w:hAnsi="宋体" w:cs="宋体"/>
                <w:color w:val="auto"/>
                <w:highlight w:val="none"/>
              </w:rPr>
            </w:pPr>
            <w:r>
              <w:rPr>
                <w:rFonts w:hint="eastAsia" w:ascii="宋体" w:hAnsi="宋体" w:eastAsia="宋体" w:cs="宋体"/>
                <w:color w:val="auto"/>
                <w:highlight w:val="none"/>
              </w:rPr>
              <w:t xml:space="preserve">（40）</w:t>
            </w:r>
            <w:r/>
          </w:p>
        </w:tc>
        <w:tc>
          <w:tcPr>
            <w:tcW w:w="3116"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落实养护负责人及巡视员制度，每项设施落实到人，巡视人员必须具有道桥技术员以上职称或经培训合格的人员，并报</w:t>
            </w:r>
            <w:r>
              <w:rPr>
                <w:rFonts w:hint="eastAsia" w:ascii="宋体" w:hAnsi="宋体" w:eastAsia="宋体" w:cs="宋体"/>
                <w:color w:val="auto"/>
                <w:highlight w:val="none"/>
              </w:rPr>
              <w:t xml:space="preserve">甲方</w:t>
            </w:r>
            <w:r>
              <w:rPr>
                <w:rFonts w:ascii="宋体" w:hAnsi="宋体" w:eastAsia="宋体" w:cs="宋体"/>
                <w:color w:val="auto"/>
                <w:highlight w:val="none"/>
              </w:rPr>
              <w:t xml:space="preserve">备案。巡查记录完善，内容准确，并有病害上报和追踪解决记录。巡查记录要有巡查人员和养护负责人签字。</w:t>
            </w:r>
            <w:r/>
          </w:p>
        </w:tc>
        <w:tc>
          <w:tcPr>
            <w:tcW w:w="710"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ascii="宋体" w:hAnsi="宋体" w:cs="宋体"/>
                <w:color w:val="auto"/>
                <w:highlight w:val="none"/>
              </w:rPr>
              <w:t xml:space="preserve">10</w:t>
            </w:r>
            <w:r/>
          </w:p>
        </w:tc>
        <w:tc>
          <w:tcPr>
            <w:tcW w:w="3541"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未落实养护负责人，每一路或一桥扣1分；未固定巡视人员，每一路或一桥扣1分；未报管理单位备案，扣2分。无巡查记录，一处扣2分；记录不完善，一处扣1分；无病害上报记录，一处扣1分；无处理结果记录，一处扣l分；无巡查人员和养护负责人签字，一处扣1分</w:t>
            </w:r>
            <w:r/>
          </w:p>
        </w:tc>
        <w:tc>
          <w:tcPr>
            <w:tcW w:w="962"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cs="宋体"/>
                <w:color w:val="auto"/>
                <w:highlight w:val="none"/>
              </w:rPr>
            </w:r>
            <w:r/>
          </w:p>
        </w:tc>
      </w:tr>
      <w:tr>
        <w:trPr>
          <w:trHeight w:val="1166"/>
        </w:trPr>
        <w:tc>
          <w:tcPr>
            <w:tcBorders>
              <w:top w:val="none" w:color="000000" w:sz="4" w:space="0"/>
              <w:bottom w:val="none" w:color="000000" w:sz="4" w:space="0"/>
            </w:tcBorders>
            <w:tcW w:w="1135" w:type="dxa"/>
            <w:vAlign w:val="center"/>
            <w:vMerge w:val="continue"/>
            <w:textDirection w:val="lrTb"/>
            <w:noWrap w:val="false"/>
          </w:tcPr>
          <w:p>
            <w:pPr>
              <w:ind w:left="105"/>
              <w:jc w:val="center"/>
              <w:keepLines w:val="0"/>
              <w:keepNext w:val="0"/>
              <w:pageBreakBefore w:val="0"/>
              <w:widowControl w:val="off"/>
              <w:rPr>
                <w:color w:val="auto"/>
                <w:highlight w:val="none"/>
              </w:rPr>
            </w:pPr>
            <w:r>
              <w:rPr>
                <w:color w:val="auto"/>
                <w:highlight w:val="none"/>
              </w:rPr>
            </w:r>
            <w:r/>
          </w:p>
        </w:tc>
        <w:tc>
          <w:tcPr>
            <w:tcW w:w="3116"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养护维修记录要齐全，并附维修前后对照图片。有养护维修质量自检记录，有维修班组长和质检人员签字。</w:t>
            </w:r>
            <w:r/>
          </w:p>
        </w:tc>
        <w:tc>
          <w:tcPr>
            <w:tcW w:w="710"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ascii="宋体" w:hAnsi="宋体" w:cs="宋体"/>
                <w:color w:val="auto"/>
                <w:highlight w:val="none"/>
              </w:rPr>
              <w:t xml:space="preserve">10</w:t>
            </w:r>
            <w:r/>
          </w:p>
        </w:tc>
        <w:tc>
          <w:tcPr>
            <w:tcW w:w="3541"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无记录，扣3分；记录不齐全，一处扣1分；无对照图片，缺一处扣1分；无质量自检，记录一处扣1分；无班组长和质检人员签字，一处扣1分。</w:t>
            </w:r>
            <w:r/>
          </w:p>
        </w:tc>
        <w:tc>
          <w:tcPr>
            <w:tcW w:w="962"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cs="宋体"/>
                <w:color w:val="auto"/>
                <w:highlight w:val="none"/>
              </w:rPr>
            </w:r>
            <w:r/>
          </w:p>
        </w:tc>
      </w:tr>
      <w:tr>
        <w:trPr>
          <w:trHeight w:val="1059"/>
        </w:trPr>
        <w:tc>
          <w:tcPr>
            <w:tcBorders>
              <w:top w:val="none" w:color="000000" w:sz="4" w:space="0"/>
              <w:bottom w:val="none" w:color="000000" w:sz="4" w:space="0"/>
            </w:tcBorders>
            <w:tcW w:w="1135" w:type="dxa"/>
            <w:vAlign w:val="center"/>
            <w:vMerge w:val="continue"/>
            <w:textDirection w:val="lrTb"/>
            <w:noWrap w:val="false"/>
          </w:tcPr>
          <w:p>
            <w:pPr>
              <w:ind w:left="105"/>
              <w:jc w:val="center"/>
              <w:keepLines w:val="0"/>
              <w:keepNext w:val="0"/>
              <w:pageBreakBefore w:val="0"/>
              <w:widowControl w:val="off"/>
              <w:rPr>
                <w:color w:val="auto"/>
                <w:highlight w:val="none"/>
              </w:rPr>
            </w:pPr>
            <w:r>
              <w:rPr>
                <w:color w:val="auto"/>
                <w:highlight w:val="none"/>
              </w:rPr>
            </w:r>
            <w:r/>
          </w:p>
        </w:tc>
        <w:tc>
          <w:tcPr>
            <w:tcW w:w="3116"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有养护作业计划和养护工作量月报表，有养护作业经费申请季度报表，报表格式统一，上报及时、准确。</w:t>
            </w:r>
            <w:r/>
          </w:p>
        </w:tc>
        <w:tc>
          <w:tcPr>
            <w:tcW w:w="710"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ascii="宋体" w:hAnsi="宋体" w:cs="宋体"/>
                <w:color w:val="auto"/>
                <w:highlight w:val="none"/>
              </w:rPr>
              <w:t xml:space="preserve">5</w:t>
            </w:r>
            <w:r/>
          </w:p>
        </w:tc>
        <w:tc>
          <w:tcPr>
            <w:tcW w:w="3541"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无计划或月报表，一次扣3分；未及时报送，一次扣1分；数据不准确，一次扣1分；表式不统一，一次扣0.5分。</w:t>
            </w:r>
            <w:r/>
          </w:p>
        </w:tc>
        <w:tc>
          <w:tcPr>
            <w:tcW w:w="962"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cs="宋体"/>
                <w:color w:val="auto"/>
                <w:highlight w:val="none"/>
              </w:rPr>
            </w:r>
            <w:r/>
          </w:p>
        </w:tc>
      </w:tr>
      <w:tr>
        <w:trPr>
          <w:trHeight w:val="638"/>
        </w:trPr>
        <w:tc>
          <w:tcPr>
            <w:tcBorders>
              <w:top w:val="none" w:color="000000" w:sz="4" w:space="0"/>
              <w:bottom w:val="none" w:color="000000" w:sz="4" w:space="0"/>
            </w:tcBorders>
            <w:tcW w:w="1135" w:type="dxa"/>
            <w:vAlign w:val="center"/>
            <w:vMerge w:val="continue"/>
            <w:textDirection w:val="lrTb"/>
            <w:noWrap w:val="false"/>
          </w:tcPr>
          <w:p>
            <w:pPr>
              <w:ind w:left="105"/>
              <w:jc w:val="center"/>
              <w:keepLines w:val="0"/>
              <w:keepNext w:val="0"/>
              <w:pageBreakBefore w:val="0"/>
              <w:widowControl w:val="off"/>
              <w:rPr>
                <w:color w:val="auto"/>
                <w:highlight w:val="none"/>
              </w:rPr>
            </w:pPr>
            <w:r>
              <w:rPr>
                <w:color w:val="auto"/>
                <w:highlight w:val="none"/>
              </w:rPr>
            </w:r>
            <w:r/>
          </w:p>
        </w:tc>
        <w:tc>
          <w:tcPr>
            <w:tcW w:w="3116"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hint="eastAsia" w:ascii="宋体" w:hAnsi="宋体" w:eastAsia="宋体" w:cs="宋体"/>
                <w:color w:val="auto"/>
                <w:highlight w:val="none"/>
              </w:rPr>
              <w:t xml:space="preserve">养护资料按一路一卡，</w:t>
            </w:r>
            <w:r>
              <w:rPr>
                <w:rFonts w:hint="eastAsia" w:ascii="宋体" w:hAnsi="宋体" w:eastAsia="宋体" w:cs="宋体"/>
                <w:color w:val="auto"/>
                <w:highlight w:val="none"/>
                <w:lang w:eastAsia="zh-CN"/>
              </w:rPr>
              <w:t xml:space="preserve">整理</w:t>
            </w:r>
            <w:r>
              <w:rPr>
                <w:rFonts w:hint="eastAsia" w:ascii="宋体" w:hAnsi="宋体" w:eastAsia="宋体" w:cs="宋体"/>
                <w:color w:val="auto"/>
                <w:highlight w:val="none"/>
              </w:rPr>
              <w:t xml:space="preserve">成册，目录清晰，内容齐全</w:t>
            </w:r>
            <w:r/>
          </w:p>
        </w:tc>
        <w:tc>
          <w:tcPr>
            <w:tcW w:w="710"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ascii="宋体" w:hAnsi="宋体" w:cs="宋体"/>
                <w:color w:val="auto"/>
                <w:highlight w:val="none"/>
              </w:rPr>
              <w:t xml:space="preserve">10</w:t>
            </w:r>
            <w:r/>
          </w:p>
        </w:tc>
        <w:tc>
          <w:tcPr>
            <w:tcW w:w="3541"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hint="eastAsia" w:ascii="宋体" w:hAnsi="宋体" w:eastAsia="宋体" w:cs="宋体"/>
                <w:color w:val="auto"/>
                <w:highlight w:val="none"/>
              </w:rPr>
              <w:t xml:space="preserve">未装订成册，一项扣1分；无内容一项扣2分；内容不齐全，一项扣1分。</w:t>
            </w:r>
            <w:r/>
          </w:p>
        </w:tc>
        <w:tc>
          <w:tcPr>
            <w:tcW w:w="962"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cs="宋体"/>
                <w:color w:val="auto"/>
                <w:highlight w:val="none"/>
              </w:rPr>
            </w:r>
            <w:r/>
          </w:p>
        </w:tc>
      </w:tr>
      <w:tr>
        <w:trPr>
          <w:trHeight w:val="598"/>
        </w:trPr>
        <w:tc>
          <w:tcPr>
            <w:tcBorders>
              <w:top w:val="none" w:color="000000" w:sz="4" w:space="0"/>
            </w:tcBorders>
            <w:tcW w:w="1135" w:type="dxa"/>
            <w:vAlign w:val="center"/>
            <w:vMerge w:val="continue"/>
            <w:textDirection w:val="lrTb"/>
            <w:noWrap w:val="false"/>
          </w:tcPr>
          <w:p>
            <w:pPr>
              <w:ind w:left="105"/>
              <w:jc w:val="center"/>
              <w:keepLines w:val="0"/>
              <w:keepNext w:val="0"/>
              <w:pageBreakBefore w:val="0"/>
              <w:widowControl w:val="off"/>
              <w:rPr>
                <w:color w:val="auto"/>
                <w:highlight w:val="none"/>
              </w:rPr>
            </w:pPr>
            <w:r>
              <w:rPr>
                <w:color w:val="auto"/>
                <w:highlight w:val="none"/>
              </w:rPr>
            </w:r>
            <w:r/>
          </w:p>
        </w:tc>
        <w:tc>
          <w:tcPr>
            <w:tcW w:w="3116"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养护作业维修成本明细账财务数据真实、准确、无虚假；报送及时</w:t>
            </w:r>
            <w:r/>
          </w:p>
        </w:tc>
        <w:tc>
          <w:tcPr>
            <w:tcW w:w="710"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ascii="宋体" w:hAnsi="宋体" w:cs="宋体"/>
                <w:color w:val="auto"/>
                <w:highlight w:val="none"/>
              </w:rPr>
              <w:t xml:space="preserve">5</w:t>
            </w:r>
            <w:r/>
          </w:p>
        </w:tc>
        <w:tc>
          <w:tcPr>
            <w:tcW w:w="3541"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数据虚假扣4分，报送不及时扣1分</w:t>
            </w:r>
            <w:r/>
          </w:p>
        </w:tc>
        <w:tc>
          <w:tcPr>
            <w:tcW w:w="962"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cs="宋体"/>
                <w:color w:val="auto"/>
                <w:highlight w:val="none"/>
              </w:rPr>
            </w:r>
            <w:r/>
          </w:p>
        </w:tc>
      </w:tr>
      <w:tr>
        <w:trPr>
          <w:trHeight w:val="1116"/>
        </w:trPr>
        <w:tc>
          <w:tcPr>
            <w:tcW w:w="1135"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hint="eastAsia" w:ascii="宋体" w:hAnsi="宋体" w:eastAsia="宋体" w:cs="宋体"/>
                <w:color w:val="auto"/>
                <w:highlight w:val="none"/>
              </w:rPr>
              <w:t xml:space="preserve">管理机制</w:t>
            </w:r>
            <w:r/>
          </w:p>
        </w:tc>
        <w:tc>
          <w:tcPr>
            <w:tcW w:w="3116"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内部管理制度和考核制度齐全，并认真执行；按要求参加管理单位组织的会议。</w:t>
            </w:r>
            <w:r/>
          </w:p>
        </w:tc>
        <w:tc>
          <w:tcPr>
            <w:tcW w:w="710"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ascii="宋体" w:hAnsi="宋体" w:cs="宋体"/>
                <w:color w:val="auto"/>
                <w:highlight w:val="none"/>
              </w:rPr>
              <w:t xml:space="preserve">5</w:t>
            </w:r>
            <w:r/>
          </w:p>
        </w:tc>
        <w:tc>
          <w:tcPr>
            <w:tcW w:w="3541"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hint="eastAsia" w:ascii="宋体" w:hAnsi="宋体" w:eastAsia="宋体" w:cs="宋体"/>
                <w:color w:val="auto"/>
                <w:highlight w:val="none"/>
              </w:rPr>
              <w:t xml:space="preserve">无管理制度，扣2分；管理制度不齐全，扣1分；无内部考核制度，扣1分；考核制度未执行，扣l分；未按要求的领导参加会议，一次扣2分。</w:t>
            </w:r>
            <w:r/>
          </w:p>
        </w:tc>
        <w:tc>
          <w:tcPr>
            <w:tcW w:w="962"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cs="宋体"/>
                <w:color w:val="auto"/>
                <w:highlight w:val="none"/>
              </w:rPr>
            </w:r>
            <w:r/>
          </w:p>
        </w:tc>
      </w:tr>
      <w:tr>
        <w:trPr>
          <w:trHeight w:val="343"/>
        </w:trPr>
        <w:tc>
          <w:tcPr>
            <w:tcW w:w="1135"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hint="eastAsia" w:ascii="宋体" w:hAnsi="宋体" w:eastAsia="宋体" w:cs="宋体"/>
                <w:color w:val="auto"/>
                <w:highlight w:val="none"/>
              </w:rPr>
              <w:t xml:space="preserve">应急管理</w:t>
            </w:r>
            <w:r/>
          </w:p>
        </w:tc>
        <w:tc>
          <w:tcPr>
            <w:tcW w:w="3116"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制定各类应急预案，按要求建立应急队伍、储备应急物资和机械设备，组织人员培训和应急演练。发生突发事件，反应迅速、</w:t>
            </w:r>
            <w:r>
              <w:rPr>
                <w:rFonts w:hint="eastAsia" w:ascii="宋体" w:hAnsi="宋体" w:eastAsia="宋体" w:cs="宋体"/>
                <w:color w:val="auto"/>
                <w:highlight w:val="none"/>
              </w:rPr>
              <w:t xml:space="preserve">处置及时，并按信息报送程序报送相关部门</w:t>
            </w:r>
            <w:r/>
          </w:p>
        </w:tc>
        <w:tc>
          <w:tcPr>
            <w:tcW w:w="710"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ascii="宋体" w:hAnsi="宋体" w:cs="宋体"/>
                <w:color w:val="auto"/>
                <w:highlight w:val="none"/>
              </w:rPr>
              <w:t xml:space="preserve">10</w:t>
            </w:r>
            <w:r/>
          </w:p>
        </w:tc>
        <w:tc>
          <w:tcPr>
            <w:tcW w:w="3541"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未制定应急预案、未落实应急队伍、物资、设备，一项扣1分；未组织培训和应急演练，一项扣1分；发生突发事件，半小时内未到现场的，一</w:t>
            </w:r>
            <w:r>
              <w:rPr>
                <w:rFonts w:hint="eastAsia" w:ascii="宋体" w:hAnsi="宋体" w:eastAsia="宋体" w:cs="宋体"/>
                <w:color w:val="auto"/>
                <w:highlight w:val="none"/>
              </w:rPr>
              <w:t xml:space="preserve">次扣l分；未采取相应的安全围护、警示标志等措施导致次生灾害的，一次扣2分；现场处置不及时、不到位的，一次扣3分；未按程序报送信息或迟报、瞒报、漏报、误报的，一次扣l分。</w:t>
            </w:r>
            <w:r/>
          </w:p>
        </w:tc>
        <w:tc>
          <w:tcPr>
            <w:tcW w:w="962"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cs="宋体"/>
                <w:color w:val="auto"/>
                <w:highlight w:val="none"/>
              </w:rPr>
            </w:r>
            <w:r/>
          </w:p>
        </w:tc>
      </w:tr>
      <w:tr>
        <w:trPr>
          <w:trHeight w:val="1887"/>
        </w:trPr>
        <w:tc>
          <w:tcPr>
            <w:tcW w:w="1135"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hint="eastAsia" w:ascii="宋体" w:hAnsi="宋体" w:eastAsia="宋体" w:cs="宋体"/>
                <w:color w:val="auto"/>
                <w:highlight w:val="none"/>
              </w:rPr>
              <w:t xml:space="preserve">安全文明</w:t>
            </w:r>
            <w:r/>
          </w:p>
        </w:tc>
        <w:tc>
          <w:tcPr>
            <w:tcW w:w="3116"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确保交通设施安全运行；职工需接受安全教育和上岗培训，严格执行操作规程；施工现场围护到位、警示标志设置齐全、施工人员按操作规程穿戴防护用具。</w:t>
            </w:r>
            <w:r/>
          </w:p>
        </w:tc>
        <w:tc>
          <w:tcPr>
            <w:tcW w:w="710"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ascii="宋体" w:hAnsi="宋体" w:cs="宋体"/>
                <w:color w:val="auto"/>
                <w:highlight w:val="none"/>
              </w:rPr>
              <w:t xml:space="preserve">10</w:t>
            </w:r>
            <w:r/>
          </w:p>
        </w:tc>
        <w:tc>
          <w:tcPr>
            <w:tcW w:w="3541"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因养护管理不到位造成设施受损、桥洞火灾、人员伤亡等，一次扣5分；职工未接受安全教育或上岗培训，一人次扣1分；未按操作规程作业，一次扣1分；施工现场围护不到位或安全警示标志设置不到位，一次扣1分；作业人员未穿戴防护用具，一人次扣1分。</w:t>
            </w:r>
            <w:r/>
          </w:p>
        </w:tc>
        <w:tc>
          <w:tcPr>
            <w:tcW w:w="962"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cs="宋体"/>
                <w:color w:val="auto"/>
                <w:highlight w:val="none"/>
              </w:rPr>
            </w:r>
            <w:r/>
          </w:p>
        </w:tc>
      </w:tr>
      <w:tr>
        <w:trPr>
          <w:trHeight w:val="1336"/>
        </w:trPr>
        <w:tc>
          <w:tcPr>
            <w:tcW w:w="1135"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hint="eastAsia" w:ascii="宋体" w:hAnsi="宋体" w:eastAsia="宋体" w:cs="宋体"/>
                <w:color w:val="auto"/>
                <w:highlight w:val="none"/>
              </w:rPr>
              <w:t xml:space="preserve">作业管理</w:t>
            </w:r>
            <w:r/>
          </w:p>
        </w:tc>
        <w:tc>
          <w:tcPr>
            <w:tcW w:w="3116"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养护作业不扰民、施工噪音不超标、施工围挡规范整洁、施工材料堆放整齐、施工作业有防尘措施、作业垃圾及时清运，做到工完场清。</w:t>
            </w:r>
            <w:r/>
          </w:p>
        </w:tc>
        <w:tc>
          <w:tcPr>
            <w:tcW w:w="710"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ascii="宋体" w:hAnsi="宋体" w:cs="宋体"/>
                <w:color w:val="auto"/>
                <w:highlight w:val="none"/>
              </w:rPr>
              <w:t xml:space="preserve">10</w:t>
            </w:r>
            <w:r/>
          </w:p>
        </w:tc>
        <w:tc>
          <w:tcPr>
            <w:tcW w:w="3541"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因施工噪音、扬尘等被投诉的，一次扣1分；施工围挡不规范整的，一处扣1分；作业垃圾未及时清运、完工未清除的，一次扣2分。</w:t>
            </w:r>
            <w:r/>
          </w:p>
        </w:tc>
        <w:tc>
          <w:tcPr>
            <w:tcW w:w="962"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cs="宋体"/>
                <w:color w:val="auto"/>
                <w:highlight w:val="none"/>
              </w:rPr>
            </w:r>
            <w:r/>
          </w:p>
        </w:tc>
      </w:tr>
      <w:tr>
        <w:trPr>
          <w:trHeight w:val="822"/>
        </w:trPr>
        <w:tc>
          <w:tcPr>
            <w:tcW w:w="1135"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hint="eastAsia" w:ascii="宋体" w:hAnsi="宋体" w:eastAsia="宋体" w:cs="宋体"/>
                <w:color w:val="auto"/>
                <w:highlight w:val="none"/>
              </w:rPr>
              <w:t xml:space="preserve">指令性任务</w:t>
            </w:r>
            <w:r/>
          </w:p>
        </w:tc>
        <w:tc>
          <w:tcPr>
            <w:tcW w:w="3116"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配合创建等省、市大型活动，不扣分、不失分，认真完成各项指令性任务。</w:t>
            </w:r>
            <w:r/>
          </w:p>
        </w:tc>
        <w:tc>
          <w:tcPr>
            <w:tcW w:w="710"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ascii="宋体" w:hAnsi="宋体" w:cs="宋体"/>
                <w:color w:val="auto"/>
                <w:highlight w:val="none"/>
              </w:rPr>
              <w:t xml:space="preserve">10</w:t>
            </w:r>
            <w:r/>
          </w:p>
        </w:tc>
        <w:tc>
          <w:tcPr>
            <w:tcW w:w="3541"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在创建等省、市大型活动中失分或被上级领导批评的，一次扣5分；未完成指令性任务的，一项扣5分。</w:t>
            </w:r>
            <w:r/>
          </w:p>
        </w:tc>
        <w:tc>
          <w:tcPr>
            <w:tcW w:w="962"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cs="宋体"/>
                <w:color w:val="auto"/>
                <w:highlight w:val="none"/>
              </w:rPr>
            </w:r>
            <w:r/>
          </w:p>
        </w:tc>
      </w:tr>
      <w:tr>
        <w:trPr>
          <w:trHeight w:val="1094"/>
        </w:trPr>
        <w:tc>
          <w:tcPr>
            <w:tcW w:w="1135"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hint="eastAsia" w:ascii="宋体" w:hAnsi="宋体" w:eastAsia="宋体" w:cs="宋体"/>
                <w:color w:val="auto"/>
                <w:highlight w:val="none"/>
              </w:rPr>
              <w:t xml:space="preserve">媒体舆情</w:t>
            </w:r>
            <w:r/>
          </w:p>
        </w:tc>
        <w:tc>
          <w:tcPr>
            <w:tcW w:w="3116"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不发生市政维护方面的有责新闻曝光事件</w:t>
            </w:r>
            <w:r/>
          </w:p>
        </w:tc>
        <w:tc>
          <w:tcPr>
            <w:tcW w:w="710" w:type="dxa"/>
            <w:vAlign w:val="center"/>
            <w:textDirection w:val="lrTb"/>
            <w:noWrap w:val="false"/>
          </w:tcPr>
          <w:p>
            <w:pPr>
              <w:ind w:left="105"/>
              <w:jc w:val="center"/>
              <w:keepLines w:val="0"/>
              <w:keepNext w:val="0"/>
              <w:pageBreakBefore w:val="0"/>
              <w:widowControl w:val="off"/>
              <w:rPr>
                <w:rFonts w:ascii="宋体" w:hAnsi="宋体" w:cs="宋体"/>
                <w:color w:val="auto"/>
                <w:highlight w:val="none"/>
              </w:rPr>
            </w:pPr>
            <w:r>
              <w:rPr>
                <w:rFonts w:ascii="宋体" w:hAnsi="宋体" w:cs="宋体"/>
                <w:color w:val="auto"/>
                <w:highlight w:val="none"/>
              </w:rPr>
              <w:t xml:space="preserve">15</w:t>
            </w:r>
            <w:r/>
          </w:p>
        </w:tc>
        <w:tc>
          <w:tcPr>
            <w:tcW w:w="3541"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eastAsia="宋体" w:cs="宋体"/>
                <w:color w:val="auto"/>
                <w:highlight w:val="none"/>
              </w:rPr>
              <w:t xml:space="preserve">发生有责新闻曝光事件，一件扣3</w:t>
            </w:r>
            <w:r>
              <w:rPr>
                <w:rFonts w:hint="eastAsia" w:ascii="宋体" w:hAnsi="宋体" w:eastAsia="宋体" w:cs="宋体"/>
                <w:color w:val="auto"/>
                <w:highlight w:val="none"/>
                <w:lang w:eastAsia="zh-CN"/>
              </w:rPr>
              <w:t xml:space="preserve">—</w:t>
            </w:r>
            <w:r>
              <w:rPr>
                <w:rFonts w:ascii="宋体" w:hAnsi="宋体" w:eastAsia="宋体" w:cs="宋体"/>
                <w:color w:val="auto"/>
                <w:highlight w:val="none"/>
              </w:rPr>
              <w:t xml:space="preserve">5分，事后未及时处理并主动与媒体回应的，加扣2</w:t>
            </w:r>
            <w:r>
              <w:rPr>
                <w:rFonts w:hint="eastAsia" w:ascii="宋体" w:hAnsi="宋体" w:eastAsia="宋体" w:cs="宋体"/>
                <w:color w:val="auto"/>
                <w:highlight w:val="none"/>
                <w:lang w:eastAsia="zh-CN"/>
              </w:rPr>
              <w:t xml:space="preserve">—</w:t>
            </w:r>
            <w:r>
              <w:rPr>
                <w:rFonts w:ascii="宋体" w:hAnsi="宋体" w:eastAsia="宋体" w:cs="宋体"/>
                <w:color w:val="auto"/>
                <w:highlight w:val="none"/>
              </w:rPr>
              <w:t xml:space="preserve">3分，被媒体连续跟踪曝光的全额扣分。</w:t>
            </w:r>
            <w:r/>
          </w:p>
        </w:tc>
        <w:tc>
          <w:tcPr>
            <w:tcW w:w="962" w:type="dxa"/>
            <w:vAlign w:val="center"/>
            <w:textDirection w:val="lrTb"/>
            <w:noWrap w:val="false"/>
          </w:tcPr>
          <w:p>
            <w:pPr>
              <w:ind w:left="105"/>
              <w:keepLines w:val="0"/>
              <w:keepNext w:val="0"/>
              <w:pageBreakBefore w:val="0"/>
              <w:widowControl w:val="off"/>
              <w:rPr>
                <w:rFonts w:ascii="宋体" w:hAnsi="宋体" w:cs="宋体"/>
                <w:color w:val="auto"/>
                <w:highlight w:val="none"/>
              </w:rPr>
            </w:pPr>
            <w:r>
              <w:rPr>
                <w:rFonts w:ascii="宋体" w:hAnsi="宋体" w:cs="宋体"/>
                <w:color w:val="auto"/>
                <w:highlight w:val="none"/>
              </w:rPr>
            </w:r>
            <w:r/>
          </w:p>
        </w:tc>
      </w:tr>
      <w:tr>
        <w:trPr>
          <w:trHeight w:val="280"/>
        </w:trPr>
        <w:tc>
          <w:tcPr>
            <w:tcW w:w="1135" w:type="dxa"/>
            <w:vAlign w:val="center"/>
            <w:textDirection w:val="lrTb"/>
            <w:noWrap w:val="false"/>
          </w:tcPr>
          <w:p>
            <w:pPr>
              <w:jc w:val="center"/>
              <w:rPr>
                <w:rFonts w:ascii="宋体" w:hAnsi="宋体" w:cs="宋体"/>
                <w:color w:val="auto"/>
                <w:highlight w:val="none"/>
              </w:rPr>
            </w:pPr>
            <w:r>
              <w:rPr>
                <w:rFonts w:hint="eastAsia" w:ascii="宋体" w:hAnsi="宋体" w:eastAsia="宋体" w:cs="宋体"/>
                <w:color w:val="auto"/>
                <w:highlight w:val="none"/>
              </w:rPr>
              <w:t xml:space="preserve">总分</w:t>
            </w:r>
            <w:r/>
          </w:p>
        </w:tc>
        <w:tc>
          <w:tcPr>
            <w:tcW w:w="3116"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710"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t xml:space="preserve">100</w:t>
            </w:r>
            <w:r/>
          </w:p>
        </w:tc>
        <w:tc>
          <w:tcPr>
            <w:tcW w:w="3541"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962"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r>
    </w:tbl>
    <w:p>
      <w:pPr>
        <w:pStyle w:val="892"/>
        <w:rPr>
          <w:rFonts w:ascii="宋体" w:hAnsi="宋体" w:cs="宋体"/>
          <w:color w:val="auto"/>
          <w:highlight w:val="none"/>
        </w:rPr>
      </w:pPr>
      <w:r>
        <w:rPr>
          <w:rFonts w:hint="eastAsia" w:ascii="宋体" w:hAnsi="宋体" w:eastAsia="宋体" w:cs="宋体"/>
          <w:color w:val="auto"/>
          <w:highlight w:val="none"/>
        </w:rPr>
        <w:t xml:space="preserve">注：</w:t>
      </w:r>
      <w:r/>
    </w:p>
    <w:p>
      <w:pPr>
        <w:pStyle w:val="892"/>
        <w:rPr>
          <w:rFonts w:ascii="宋体" w:hAnsi="宋体" w:cs="宋体"/>
          <w:color w:val="auto"/>
          <w:highlight w:val="none"/>
        </w:rPr>
      </w:pPr>
      <w:r>
        <w:rPr>
          <w:rFonts w:hint="eastAsia" w:ascii="宋体" w:hAnsi="宋体" w:eastAsia="宋体" w:cs="宋体"/>
          <w:color w:val="auto"/>
          <w:highlight w:val="none"/>
        </w:rPr>
        <w:t xml:space="preserve">1)采购人对中标单位的考核结果，直接与专项考核经费的支付直接挂钩。</w:t>
      </w:r>
      <w:r/>
    </w:p>
    <w:p>
      <w:pPr>
        <w:pStyle w:val="892"/>
        <w:rPr>
          <w:rFonts w:ascii="宋体" w:hAnsi="宋体" w:cs="宋体"/>
          <w:color w:val="auto"/>
          <w:highlight w:val="none"/>
        </w:rPr>
      </w:pPr>
      <w:r>
        <w:rPr>
          <w:rFonts w:hint="eastAsia" w:ascii="宋体" w:hAnsi="宋体" w:eastAsia="宋体" w:cs="宋体"/>
          <w:color w:val="auto"/>
          <w:highlight w:val="none"/>
        </w:rPr>
        <w:t xml:space="preserve">2）日常考核和季度考核中每扣0.5分，扣除相应维护单位养护经费200元。日常考核必须达到85分（含85分）以上，每低一次，作为不良记录予以通报。</w:t>
      </w:r>
      <w:r/>
    </w:p>
    <w:p>
      <w:pPr>
        <w:pStyle w:val="892"/>
        <w:rPr>
          <w:rFonts w:ascii="宋体" w:hAnsi="宋体" w:cs="宋体"/>
          <w:color w:val="auto"/>
          <w:highlight w:val="none"/>
        </w:rPr>
      </w:pPr>
      <w:r>
        <w:rPr>
          <w:rFonts w:hint="eastAsia" w:ascii="宋体" w:hAnsi="宋体" w:eastAsia="宋体" w:cs="宋体"/>
          <w:color w:val="auto"/>
          <w:highlight w:val="none"/>
        </w:rPr>
        <w:t xml:space="preserve">3）季度考核中，每条项设施抽检单元综合完好得分不得低于维护作业权合同约定的分值，每低0.5分扣除当年维护经费的0.5%;累计三条及三条以上综合完好得分低于合同约定的分值，作为不良记录予以通报。</w:t>
      </w:r>
      <w:r/>
    </w:p>
    <w:p>
      <w:pPr>
        <w:pStyle w:val="892"/>
        <w:rPr>
          <w:rFonts w:ascii="宋体" w:hAnsi="宋体" w:cs="宋体"/>
          <w:color w:val="auto"/>
          <w:highlight w:val="none"/>
        </w:rPr>
      </w:pPr>
      <w:r>
        <w:rPr>
          <w:rFonts w:hint="eastAsia" w:ascii="宋体" w:hAnsi="宋体" w:eastAsia="宋体" w:cs="宋体"/>
          <w:color w:val="auto"/>
          <w:highlight w:val="none"/>
        </w:rPr>
        <w:t xml:space="preserve">4）维护作业单位有下列情形之一的，将列入江宁区维护作业单位企业信誉黑名单，在全区范围内予以通报：</w:t>
      </w:r>
      <w:r/>
    </w:p>
    <w:p>
      <w:pPr>
        <w:pStyle w:val="892"/>
        <w:rPr>
          <w:rFonts w:ascii="宋体" w:hAnsi="宋体" w:cs="宋体"/>
          <w:color w:val="auto"/>
          <w:highlight w:val="none"/>
        </w:rPr>
      </w:pPr>
      <w:r>
        <w:rPr>
          <w:rFonts w:hint="eastAsia" w:ascii="宋体" w:hAnsi="宋体" w:eastAsia="宋体" w:cs="宋体"/>
          <w:color w:val="auto"/>
          <w:highlight w:val="none"/>
        </w:rPr>
        <w:t xml:space="preserve">(1)日常考核，年度累计三次及三次以上低于70分的；</w:t>
      </w:r>
      <w:r/>
    </w:p>
    <w:p>
      <w:pPr>
        <w:pStyle w:val="892"/>
        <w:rPr>
          <w:rFonts w:ascii="宋体" w:hAnsi="宋体" w:cs="宋体"/>
          <w:color w:val="auto"/>
          <w:highlight w:val="none"/>
        </w:rPr>
      </w:pPr>
      <w:r>
        <w:rPr>
          <w:rFonts w:hint="eastAsia" w:ascii="宋体" w:hAnsi="宋体" w:eastAsia="宋体" w:cs="宋体"/>
          <w:color w:val="auto"/>
          <w:highlight w:val="none"/>
        </w:rPr>
        <w:t xml:space="preserve">(2)一年内新闻媒体曝光两次及以上或不良记录三次及以上的；</w:t>
      </w:r>
      <w:r/>
    </w:p>
    <w:p>
      <w:pPr>
        <w:pStyle w:val="935"/>
        <w:ind w:right="46"/>
        <w:spacing w:before="78" w:beforeAutospacing="0" w:after="75"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highlight w:val="none"/>
        </w:rPr>
        <w:t xml:space="preserve">(3)因服务不到位造成较大安全事故及以上的，或在重大活动中失分造成严重影响的。</w:t>
      </w:r>
      <w:bookmarkEnd w:id="28"/>
      <w:r/>
      <w:r/>
    </w:p>
    <w:p>
      <w:pPr>
        <w:pStyle w:val="935"/>
        <w:ind w:right="46" w:firstLine="442"/>
        <w:spacing w:before="78" w:beforeAutospacing="0" w:after="75" w:afterAutospacing="0" w:line="288" w:lineRule="auto"/>
        <w:rPr>
          <w:rFonts w:hint="eastAsia"/>
          <w:color w:val="auto"/>
          <w:sz w:val="32"/>
          <w:szCs w:val="32"/>
          <w:lang w:val="en-US" w:eastAsia="zh-CN"/>
        </w:rPr>
      </w:pPr>
      <w:r>
        <w:rPr>
          <w:rFonts w:hint="eastAsia"/>
          <w:color w:val="auto"/>
          <w:sz w:val="32"/>
          <w:szCs w:val="32"/>
          <w:lang w:val="en-US" w:eastAsia="zh-CN"/>
        </w:rPr>
      </w:r>
      <w:r/>
    </w:p>
    <w:p>
      <w:pPr>
        <w:rPr>
          <w:rFonts w:hint="eastAsia" w:ascii="宋体" w:hAnsi="宋体" w:eastAsia="宋体" w:cs="宋体"/>
          <w:color w:val="auto"/>
        </w:rPr>
      </w:pPr>
      <w:r/>
      <w:bookmarkStart w:id="32" w:name="_Toc18922"/>
      <w:r>
        <w:rPr>
          <w:rFonts w:hint="eastAsia" w:ascii="宋体" w:hAnsi="宋体" w:eastAsia="宋体" w:cs="宋体"/>
          <w:color w:val="auto"/>
        </w:rPr>
        <w:br w:type="page" w:clear="all"/>
      </w:r>
      <w:bookmarkEnd w:id="32"/>
      <w:r/>
      <w:r/>
    </w:p>
    <w:p>
      <w:pPr>
        <w:spacing w:line="360" w:lineRule="exact"/>
        <w:rPr>
          <w:rFonts w:hint="eastAsia" w:ascii="宋体" w:hAnsi="宋体" w:eastAsia="宋体" w:cs="宋体"/>
          <w:b/>
          <w:bCs/>
          <w:color w:val="auto"/>
        </w:rPr>
        <w:sectPr>
          <w:headerReference w:type="default" r:id="rId10"/>
          <w:headerReference w:type="even" r:id="rId11"/>
          <w:headerReference w:type="first" r:id="rId12"/>
          <w:footerReference w:type="default" r:id="rId15"/>
          <w:footerReference w:type="even" r:id="rId16"/>
          <w:footerReference w:type="first" r:id="rId17"/>
          <w:footnotePr/>
          <w:endnotePr/>
          <w:type w:val="nextPage"/>
          <w:pgSz w:w="11906" w:h="16838" w:orient="portrait"/>
          <w:pgMar w:top="1418" w:right="1133" w:bottom="1247" w:left="1304" w:header="851" w:footer="454" w:gutter="0"/>
          <w:cols w:num="1" w:sep="0" w:space="720" w:equalWidth="1"/>
          <w:docGrid w:linePitch="360"/>
        </w:sectPr>
      </w:pPr>
      <w:r>
        <w:rPr>
          <w:rFonts w:hint="eastAsia" w:ascii="宋体" w:hAnsi="宋体" w:eastAsia="宋体" w:cs="宋体"/>
          <w:b/>
          <w:bCs/>
          <w:color w:val="auto"/>
        </w:rPr>
      </w:r>
      <w:r/>
    </w:p>
    <w:p>
      <w:pPr>
        <w:pStyle w:val="939"/>
        <w:ind w:firstLine="210"/>
        <w:rPr>
          <w:rFonts w:hint="eastAsia" w:ascii="宋体" w:hAnsi="宋体" w:eastAsia="宋体" w:cs="宋体"/>
          <w:color w:val="auto"/>
          <w:lang w:eastAsia="zh-CN"/>
        </w:rPr>
      </w:pPr>
      <w:r>
        <w:rPr>
          <w:rFonts w:hint="eastAsia" w:ascii="宋体" w:hAnsi="宋体" w:eastAsia="宋体" w:cs="宋体"/>
          <w:color w:val="auto"/>
          <w:lang w:eastAsia="zh-CN"/>
        </w:rPr>
      </w:r>
      <w:r/>
    </w:p>
    <w:p>
      <w:pPr>
        <w:pStyle w:val="954"/>
        <w:ind w:left="735" w:firstLine="0"/>
        <w:jc w:val="center"/>
        <w:spacing w:line="720" w:lineRule="auto"/>
        <w:rPr>
          <w:rFonts w:hint="eastAsia" w:ascii="宋体" w:hAnsi="宋体" w:eastAsia="宋体" w:cs="宋体"/>
          <w:b/>
          <w:color w:val="auto"/>
          <w:sz w:val="32"/>
          <w:szCs w:val="32"/>
        </w:rPr>
        <w:outlineLvl w:val="0"/>
      </w:pPr>
      <w:r/>
      <w:bookmarkStart w:id="33" w:name="_Toc16643"/>
      <w:r>
        <w:rPr>
          <w:rFonts w:hint="eastAsia" w:ascii="宋体" w:hAnsi="宋体" w:eastAsia="宋体" w:cs="宋体"/>
          <w:b/>
          <w:color w:val="auto"/>
          <w:sz w:val="32"/>
          <w:szCs w:val="32"/>
        </w:rPr>
        <w:t xml:space="preserve">第五章合同草案条款</w:t>
      </w:r>
      <w:bookmarkEnd w:id="33"/>
      <w:r/>
      <w:r/>
    </w:p>
    <w:p>
      <w:pPr>
        <w:pStyle w:val="954"/>
        <w:ind w:firstLine="0"/>
        <w:rPr>
          <w:rFonts w:hint="eastAsia" w:ascii="宋体" w:hAnsi="宋体" w:eastAsia="宋体" w:cs="宋体"/>
          <w:b/>
          <w:color w:val="auto"/>
          <w:sz w:val="52"/>
          <w:szCs w:val="52"/>
        </w:rPr>
      </w:pPr>
      <w:r>
        <w:rPr>
          <w:rFonts w:hint="eastAsia" w:ascii="宋体" w:hAnsi="宋体" w:eastAsia="宋体" w:cs="宋体"/>
          <w:b/>
          <w:color w:val="auto"/>
          <w:sz w:val="52"/>
          <w:szCs w:val="52"/>
        </w:rPr>
      </w:r>
      <w:r/>
    </w:p>
    <w:p>
      <w:pPr>
        <w:pStyle w:val="954"/>
        <w:ind w:firstLine="0"/>
        <w:jc w:val="center"/>
        <w:rPr>
          <w:rFonts w:hint="eastAsia" w:ascii="宋体" w:hAnsi="宋体" w:eastAsia="宋体" w:cs="宋体"/>
          <w:bCs/>
          <w:color w:val="auto"/>
          <w:sz w:val="48"/>
          <w:szCs w:val="48"/>
        </w:rPr>
      </w:pPr>
      <w:r>
        <w:rPr>
          <w:rFonts w:hint="eastAsia" w:ascii="宋体" w:hAnsi="宋体" w:eastAsia="宋体" w:cs="宋体"/>
          <w:bCs/>
          <w:color w:val="auto"/>
          <w:sz w:val="48"/>
          <w:szCs w:val="48"/>
        </w:rPr>
        <w:t xml:space="preserve">南京市政府采购合同</w:t>
      </w:r>
      <w:r/>
    </w:p>
    <w:p>
      <w:pPr>
        <w:pStyle w:val="954"/>
        <w:ind w:firstLine="0"/>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b/>
          <w:color w:val="auto"/>
          <w:sz w:val="36"/>
        </w:rPr>
      </w:pPr>
      <w:r>
        <w:rPr>
          <w:rFonts w:hint="eastAsia" w:ascii="宋体" w:hAnsi="宋体" w:eastAsia="宋体" w:cs="宋体"/>
          <w:b/>
          <w:color w:val="auto"/>
          <w:sz w:val="36"/>
        </w:rPr>
        <w:t xml:space="preserve">（供参考）</w:t>
      </w:r>
      <w:r/>
    </w:p>
    <w:p>
      <w:pPr>
        <w:pStyle w:val="954"/>
        <w:ind w:firstLine="0"/>
        <w:rPr>
          <w:rFonts w:hint="eastAsia" w:ascii="宋体" w:hAnsi="宋体" w:eastAsia="宋体" w:cs="宋体"/>
          <w:color w:val="auto"/>
        </w:rPr>
      </w:pPr>
      <w:r>
        <w:rPr>
          <w:rFonts w:hint="eastAsia" w:ascii="宋体" w:hAnsi="宋体" w:eastAsia="宋体" w:cs="宋体"/>
          <w:color w:val="auto"/>
        </w:rPr>
      </w:r>
      <w:r/>
    </w:p>
    <w:p>
      <w:pPr>
        <w:pStyle w:val="954"/>
        <w:ind w:firstLine="0"/>
        <w:rPr>
          <w:rFonts w:hint="eastAsia" w:ascii="宋体" w:hAnsi="宋体" w:eastAsia="宋体" w:cs="宋体"/>
          <w:color w:val="auto"/>
        </w:rPr>
      </w:pPr>
      <w:r>
        <w:rPr>
          <w:rFonts w:hint="eastAsia" w:ascii="宋体" w:hAnsi="宋体" w:eastAsia="宋体" w:cs="宋体"/>
          <w:color w:val="auto"/>
        </w:rPr>
      </w:r>
      <w:r/>
    </w:p>
    <w:p>
      <w:pPr>
        <w:pStyle w:val="954"/>
        <w:ind w:firstLine="0"/>
        <w:rPr>
          <w:rFonts w:hint="eastAsia" w:ascii="宋体" w:hAnsi="宋体" w:eastAsia="宋体" w:cs="宋体"/>
          <w:color w:val="auto"/>
        </w:rPr>
      </w:pPr>
      <w:r>
        <w:rPr>
          <w:rFonts w:hint="eastAsia" w:ascii="宋体" w:hAnsi="宋体" w:eastAsia="宋体" w:cs="宋体"/>
          <w:color w:val="auto"/>
        </w:rPr>
      </w:r>
      <w:r/>
    </w:p>
    <w:p>
      <w:pPr>
        <w:pStyle w:val="954"/>
        <w:ind w:firstLine="0"/>
        <w:rPr>
          <w:rFonts w:hint="eastAsia" w:ascii="宋体" w:hAnsi="宋体" w:cs="宋体"/>
          <w:color w:val="auto"/>
          <w:highlight w:val="none"/>
        </w:rPr>
      </w:pPr>
      <w:r>
        <w:rPr>
          <w:rFonts w:hint="eastAsia" w:ascii="宋体" w:hAnsi="宋体" w:cs="宋体"/>
          <w:color w:val="auto"/>
          <w:highlight w:val="none"/>
        </w:rPr>
      </w:r>
      <w:r/>
    </w:p>
    <w:p>
      <w:pPr>
        <w:pStyle w:val="954"/>
        <w:ind w:firstLine="1841"/>
        <w:rPr>
          <w:rFonts w:hint="eastAsia" w:ascii="宋体" w:hAnsi="宋体" w:cs="宋体"/>
          <w:b/>
          <w:color w:val="auto"/>
          <w:sz w:val="24"/>
          <w:szCs w:val="24"/>
          <w:highlight w:val="none"/>
          <w:u w:val="single"/>
        </w:rPr>
      </w:pPr>
      <w:r>
        <w:rPr>
          <w:rFonts w:ascii="宋体" w:hAnsi="宋体" w:eastAsia="宋体" w:cs="宋体"/>
          <w:b/>
          <w:color w:val="auto"/>
          <w:sz w:val="24"/>
          <w:szCs w:val="24"/>
          <w:highlight w:val="none"/>
        </w:rPr>
        <w:t xml:space="preserve">合同编号 ： </w:t>
      </w:r>
      <w:r>
        <w:rPr>
          <w:rFonts w:ascii="宋体" w:hAnsi="宋体" w:eastAsia="宋体" w:cs="宋体"/>
          <w:b/>
          <w:color w:val="auto"/>
          <w:sz w:val="24"/>
          <w:szCs w:val="24"/>
          <w:highlight w:val="none"/>
          <w:u w:val="single"/>
        </w:rPr>
        <w:t xml:space="preserve">                     </w:t>
      </w:r>
      <w:r/>
    </w:p>
    <w:p>
      <w:pPr>
        <w:pStyle w:val="954"/>
        <w:ind w:firstLine="1841"/>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954"/>
        <w:ind w:firstLine="1841"/>
        <w:rPr>
          <w:rFonts w:hint="eastAsia" w:ascii="宋体" w:hAnsi="宋体" w:cs="宋体"/>
          <w:b/>
          <w:color w:val="auto"/>
          <w:sz w:val="24"/>
          <w:szCs w:val="24"/>
          <w:highlight w:val="none"/>
          <w:u w:val="single"/>
        </w:rPr>
      </w:pPr>
      <w:r>
        <w:rPr>
          <w:rFonts w:ascii="宋体" w:hAnsi="宋体" w:eastAsia="宋体" w:cs="宋体"/>
          <w:b/>
          <w:color w:val="auto"/>
          <w:sz w:val="24"/>
          <w:szCs w:val="24"/>
          <w:highlight w:val="none"/>
        </w:rPr>
        <w:t xml:space="preserve">项目名称 ：</w:t>
      </w:r>
      <w:r>
        <w:rPr>
          <w:rFonts w:ascii="宋体" w:hAnsi="宋体" w:eastAsia="宋体" w:cs="宋体"/>
          <w:b/>
          <w:color w:val="auto"/>
          <w:sz w:val="24"/>
          <w:szCs w:val="24"/>
          <w:highlight w:val="none"/>
          <w:u w:val="single"/>
        </w:rPr>
        <w:t xml:space="preserve">                      </w:t>
      </w:r>
      <w:r/>
    </w:p>
    <w:p>
      <w:pPr>
        <w:pStyle w:val="954"/>
        <w:ind w:firstLine="1841"/>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954"/>
        <w:ind w:firstLine="1841"/>
        <w:rPr>
          <w:rFonts w:hint="eastAsia" w:ascii="宋体" w:hAnsi="宋体" w:cs="宋体"/>
          <w:b/>
          <w:color w:val="auto"/>
          <w:sz w:val="24"/>
          <w:szCs w:val="24"/>
          <w:highlight w:val="none"/>
          <w:u w:val="single"/>
        </w:rPr>
      </w:pPr>
      <w:r>
        <w:rPr>
          <w:rFonts w:hint="eastAsia" w:ascii="宋体" w:hAnsi="宋体" w:eastAsia="宋体" w:cs="宋体"/>
          <w:b/>
          <w:color w:val="auto"/>
          <w:sz w:val="24"/>
          <w:szCs w:val="24"/>
          <w:highlight w:val="none"/>
        </w:rPr>
        <w:t xml:space="preserve">采购</w:t>
      </w:r>
      <w:r>
        <w:rPr>
          <w:rFonts w:ascii="宋体" w:hAnsi="宋体" w:eastAsia="宋体" w:cs="宋体"/>
          <w:b/>
          <w:color w:val="auto"/>
          <w:sz w:val="24"/>
          <w:szCs w:val="24"/>
          <w:highlight w:val="none"/>
        </w:rPr>
        <w:t xml:space="preserve">单位 ： </w:t>
      </w:r>
      <w:r>
        <w:rPr>
          <w:rFonts w:ascii="宋体" w:hAnsi="宋体" w:eastAsia="宋体" w:cs="宋体"/>
          <w:b/>
          <w:color w:val="auto"/>
          <w:sz w:val="24"/>
          <w:szCs w:val="24"/>
          <w:highlight w:val="none"/>
          <w:u w:val="single"/>
        </w:rPr>
        <w:t xml:space="preserve">                     </w:t>
      </w:r>
      <w:r>
        <w:rPr>
          <w:rFonts w:ascii="宋体" w:hAnsi="宋体" w:eastAsia="宋体" w:cs="宋体"/>
          <w:b/>
          <w:color w:val="auto"/>
          <w:sz w:val="24"/>
          <w:szCs w:val="24"/>
          <w:highlight w:val="none"/>
        </w:rPr>
        <w:t xml:space="preserve"> </w:t>
      </w:r>
      <w:r/>
    </w:p>
    <w:p>
      <w:pPr>
        <w:pStyle w:val="954"/>
        <w:ind w:firstLine="1841"/>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954"/>
        <w:ind w:firstLine="1841"/>
        <w:rPr>
          <w:rFonts w:hint="eastAsia" w:ascii="宋体" w:hAnsi="宋体" w:cs="宋体"/>
          <w:b/>
          <w:color w:val="auto"/>
          <w:sz w:val="24"/>
          <w:szCs w:val="24"/>
          <w:highlight w:val="none"/>
          <w:u w:val="single"/>
        </w:rPr>
      </w:pPr>
      <w:r>
        <w:rPr>
          <w:rFonts w:hint="eastAsia" w:ascii="宋体" w:hAnsi="宋体" w:eastAsia="宋体" w:cs="宋体"/>
          <w:b/>
          <w:color w:val="auto"/>
          <w:sz w:val="24"/>
          <w:szCs w:val="24"/>
          <w:highlight w:val="none"/>
        </w:rPr>
        <w:t xml:space="preserve">服务</w:t>
      </w:r>
      <w:r>
        <w:rPr>
          <w:rFonts w:ascii="宋体" w:hAnsi="宋体" w:eastAsia="宋体" w:cs="宋体"/>
          <w:b/>
          <w:color w:val="auto"/>
          <w:sz w:val="24"/>
          <w:szCs w:val="24"/>
          <w:highlight w:val="none"/>
        </w:rPr>
        <w:t xml:space="preserve">单位 ： </w:t>
      </w:r>
      <w:r>
        <w:rPr>
          <w:rFonts w:ascii="宋体" w:hAnsi="宋体" w:eastAsia="宋体" w:cs="宋体"/>
          <w:b/>
          <w:color w:val="auto"/>
          <w:sz w:val="24"/>
          <w:szCs w:val="24"/>
          <w:highlight w:val="none"/>
          <w:u w:val="single"/>
        </w:rPr>
        <w:t xml:space="preserve">                     </w:t>
      </w:r>
      <w:r>
        <w:rPr>
          <w:rFonts w:ascii="宋体" w:hAnsi="宋体" w:eastAsia="宋体" w:cs="宋体"/>
          <w:b/>
          <w:color w:val="auto"/>
          <w:sz w:val="24"/>
          <w:szCs w:val="24"/>
          <w:highlight w:val="none"/>
        </w:rPr>
        <w:t xml:space="preserve"> </w:t>
      </w:r>
      <w:r/>
    </w:p>
    <w:p>
      <w:pPr>
        <w:pStyle w:val="954"/>
        <w:ind w:firstLine="1841"/>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954"/>
        <w:ind w:firstLine="1841"/>
        <w:rPr>
          <w:rFonts w:hint="eastAsia" w:ascii="宋体" w:hAnsi="宋体" w:cs="宋体"/>
          <w:b/>
          <w:color w:val="auto"/>
          <w:sz w:val="24"/>
          <w:szCs w:val="24"/>
          <w:highlight w:val="none"/>
          <w:u w:val="single"/>
        </w:rPr>
      </w:pPr>
      <w:r>
        <w:rPr>
          <w:rFonts w:ascii="宋体" w:hAnsi="宋体" w:eastAsia="宋体" w:cs="宋体"/>
          <w:b/>
          <w:color w:val="auto"/>
          <w:sz w:val="24"/>
          <w:szCs w:val="24"/>
          <w:highlight w:val="none"/>
        </w:rPr>
        <w:t xml:space="preserve">签订日期 ： </w:t>
      </w:r>
      <w:r>
        <w:rPr>
          <w:rFonts w:ascii="宋体" w:hAnsi="宋体" w:eastAsia="宋体" w:cs="宋体"/>
          <w:b/>
          <w:color w:val="auto"/>
          <w:sz w:val="24"/>
          <w:szCs w:val="24"/>
          <w:highlight w:val="none"/>
          <w:u w:val="single"/>
        </w:rPr>
        <w:t xml:space="preserve">                     </w:t>
      </w:r>
      <w:r/>
    </w:p>
    <w:p>
      <w:pPr>
        <w:pStyle w:val="954"/>
        <w:ind w:firstLine="1841"/>
        <w:rPr>
          <w:rFonts w:hint="eastAsia" w:ascii="宋体" w:hAnsi="宋体" w:cs="宋体"/>
          <w:b/>
          <w:color w:val="auto"/>
          <w:sz w:val="24"/>
          <w:szCs w:val="24"/>
          <w:highlight w:val="none"/>
        </w:rPr>
      </w:pPr>
      <w:r>
        <w:rPr>
          <w:rFonts w:ascii="宋体" w:hAnsi="宋体" w:eastAsia="宋体" w:cs="宋体"/>
          <w:b/>
          <w:color w:val="auto"/>
          <w:sz w:val="24"/>
          <w:szCs w:val="24"/>
          <w:highlight w:val="none"/>
        </w:rPr>
        <w:t xml:space="preserve"> </w:t>
      </w:r>
      <w:r/>
    </w:p>
    <w:p>
      <w:pPr>
        <w:pStyle w:val="954"/>
        <w:ind w:firstLine="0"/>
        <w:rPr>
          <w:rFonts w:hint="eastAsia" w:ascii="宋体" w:hAnsi="宋体" w:cs="宋体"/>
          <w:b/>
          <w:color w:val="auto"/>
          <w:highlight w:val="none"/>
        </w:rPr>
      </w:pPr>
      <w:r>
        <w:rPr>
          <w:rFonts w:hint="eastAsia" w:ascii="宋体" w:hAnsi="宋体" w:cs="宋体"/>
          <w:b/>
          <w:color w:val="auto"/>
          <w:highlight w:val="none"/>
        </w:rPr>
      </w:r>
      <w:r/>
    </w:p>
    <w:p>
      <w:pPr>
        <w:pStyle w:val="954"/>
        <w:ind w:firstLine="0"/>
        <w:rPr>
          <w:rFonts w:hint="eastAsia" w:ascii="宋体" w:hAnsi="宋体" w:cs="宋体"/>
          <w:b/>
          <w:color w:val="auto"/>
          <w:highlight w:val="none"/>
        </w:rPr>
      </w:pPr>
      <w:r>
        <w:rPr>
          <w:rFonts w:hint="eastAsia" w:ascii="宋体" w:hAnsi="宋体" w:cs="宋体"/>
          <w:b/>
          <w:color w:val="auto"/>
          <w:highlight w:val="none"/>
        </w:rPr>
      </w:r>
      <w:r/>
    </w:p>
    <w:p>
      <w:pPr>
        <w:pStyle w:val="954"/>
        <w:ind w:firstLine="0"/>
        <w:rPr>
          <w:rFonts w:hint="eastAsia" w:ascii="宋体" w:hAnsi="宋体" w:cs="宋体"/>
          <w:color w:val="auto"/>
          <w:highlight w:val="none"/>
        </w:rPr>
      </w:pPr>
      <w:r>
        <w:rPr>
          <w:rFonts w:hint="eastAsia" w:ascii="宋体" w:hAnsi="宋体" w:cs="宋体"/>
          <w:color w:val="auto"/>
          <w:highlight w:val="none"/>
        </w:rPr>
      </w:r>
      <w:r/>
    </w:p>
    <w:p>
      <w:pPr>
        <w:pStyle w:val="954"/>
        <w:ind w:firstLine="0"/>
        <w:rPr>
          <w:rFonts w:hint="eastAsia" w:ascii="宋体" w:hAnsi="宋体" w:cs="宋体"/>
          <w:color w:val="auto"/>
          <w:highlight w:val="none"/>
        </w:rPr>
      </w:pPr>
      <w:r>
        <w:rPr>
          <w:rFonts w:hint="eastAsia" w:ascii="宋体" w:hAnsi="宋体" w:cs="宋体"/>
          <w:color w:val="auto"/>
          <w:highlight w:val="none"/>
        </w:rPr>
      </w:r>
      <w:r/>
    </w:p>
    <w:p>
      <w:pPr>
        <w:pStyle w:val="954"/>
        <w:ind w:firstLine="0"/>
        <w:rPr>
          <w:rFonts w:hint="eastAsia" w:ascii="宋体" w:hAnsi="宋体" w:cs="宋体"/>
          <w:color w:val="auto"/>
          <w:highlight w:val="none"/>
        </w:rPr>
      </w:pPr>
      <w:r>
        <w:rPr>
          <w:rFonts w:hint="eastAsia" w:ascii="宋体" w:hAnsi="宋体" w:cs="宋体"/>
          <w:color w:val="auto"/>
          <w:highlight w:val="none"/>
        </w:rPr>
      </w:r>
      <w:r/>
    </w:p>
    <w:p>
      <w:pPr>
        <w:pStyle w:val="954"/>
        <w:ind w:firstLine="0"/>
        <w:rPr>
          <w:rFonts w:hint="eastAsia" w:ascii="宋体" w:hAnsi="宋体" w:cs="宋体"/>
          <w:b/>
          <w:color w:val="auto"/>
          <w:highlight w:val="none"/>
        </w:rPr>
      </w:pPr>
      <w:r>
        <w:rPr>
          <w:rFonts w:hint="eastAsia" w:ascii="宋体" w:hAnsi="宋体" w:cs="宋体"/>
          <w:b/>
          <w:color w:val="auto"/>
          <w:highlight w:val="none"/>
        </w:rPr>
      </w:r>
      <w:r/>
    </w:p>
    <w:p>
      <w:pPr>
        <w:pStyle w:val="954"/>
        <w:ind w:firstLine="0"/>
        <w:rPr>
          <w:rFonts w:hint="eastAsia" w:ascii="宋体" w:hAnsi="宋体" w:cs="宋体"/>
          <w:b/>
          <w:color w:val="auto"/>
          <w:highlight w:val="none"/>
        </w:rPr>
      </w:pPr>
      <w:r>
        <w:rPr>
          <w:rFonts w:hint="eastAsia" w:ascii="宋体" w:hAnsi="宋体" w:cs="宋体"/>
          <w:b/>
          <w:color w:val="auto"/>
          <w:highlight w:val="none"/>
        </w:rPr>
      </w:r>
      <w:r/>
    </w:p>
    <w:p>
      <w:pPr>
        <w:pStyle w:val="954"/>
        <w:ind w:firstLine="0"/>
        <w:jc w:val="center"/>
        <w:rPr>
          <w:rFonts w:hint="eastAsia" w:ascii="宋体" w:hAnsi="宋体" w:cs="宋体"/>
          <w:b/>
          <w:color w:val="auto"/>
          <w:sz w:val="24"/>
          <w:szCs w:val="24"/>
          <w:highlight w:val="none"/>
        </w:rPr>
      </w:pPr>
      <w:r>
        <w:rPr>
          <w:rFonts w:ascii="宋体" w:hAnsi="宋体" w:eastAsia="宋体" w:cs="宋体"/>
          <w:b/>
          <w:color w:val="auto"/>
          <w:sz w:val="24"/>
          <w:szCs w:val="24"/>
          <w:highlight w:val="none"/>
        </w:rPr>
        <w:t xml:space="preserve">南京市工商行政管理局</w:t>
      </w:r>
      <w:r/>
    </w:p>
    <w:p>
      <w:pPr>
        <w:pStyle w:val="954"/>
        <w:ind w:firstLine="0"/>
        <w:jc w:val="center"/>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ascii="宋体" w:hAnsi="宋体" w:eastAsia="宋体" w:cs="宋体"/>
          <w:b/>
          <w:color w:val="auto"/>
          <w:sz w:val="24"/>
          <w:szCs w:val="24"/>
          <w:highlight w:val="none"/>
        </w:rPr>
        <w:t xml:space="preserve">                       监制</w:t>
      </w:r>
      <w:r/>
    </w:p>
    <w:p>
      <w:pPr>
        <w:pStyle w:val="954"/>
        <w:ind w:firstLine="0"/>
        <w:jc w:val="center"/>
        <w:rPr>
          <w:rFonts w:hint="eastAsia" w:ascii="宋体" w:hAnsi="宋体" w:cs="宋体"/>
          <w:b/>
          <w:color w:val="auto"/>
          <w:sz w:val="24"/>
          <w:szCs w:val="24"/>
          <w:highlight w:val="none"/>
        </w:rPr>
      </w:pPr>
      <w:r>
        <w:rPr>
          <w:rFonts w:ascii="宋体" w:hAnsi="宋体" w:eastAsia="宋体" w:cs="宋体"/>
          <w:b/>
          <w:color w:val="auto"/>
          <w:sz w:val="24"/>
          <w:szCs w:val="24"/>
          <w:highlight w:val="none"/>
        </w:rPr>
        <w:t xml:space="preserve">南 京 市 财 政 局</w:t>
      </w:r>
      <w:r/>
    </w:p>
    <w:p>
      <w:pPr>
        <w:pStyle w:val="954"/>
        <w:ind w:firstLine="0"/>
        <w:rPr>
          <w:rFonts w:hint="eastAsia" w:ascii="宋体" w:hAnsi="宋体" w:cs="宋体"/>
          <w:b/>
          <w:color w:val="auto"/>
          <w:highlight w:val="none"/>
        </w:rPr>
      </w:pPr>
      <w:r>
        <w:rPr>
          <w:rFonts w:hint="eastAsia" w:ascii="宋体" w:hAnsi="宋体" w:cs="宋体"/>
          <w:b/>
          <w:color w:val="auto"/>
          <w:highlight w:val="none"/>
        </w:rPr>
      </w:r>
      <w:r/>
    </w:p>
    <w:p>
      <w:pPr>
        <w:pStyle w:val="954"/>
        <w:ind w:firstLine="0"/>
        <w:rPr>
          <w:rFonts w:hint="eastAsia" w:ascii="宋体" w:hAnsi="宋体" w:eastAsia="宋体" w:cs="宋体"/>
          <w:b/>
          <w:color w:val="auto"/>
        </w:rPr>
      </w:pPr>
      <w:r>
        <w:rPr>
          <w:rFonts w:hint="eastAsia" w:ascii="宋体" w:hAnsi="宋体" w:eastAsia="宋体" w:cs="宋体"/>
          <w:b/>
          <w:color w:val="auto"/>
        </w:rPr>
      </w:r>
      <w:r/>
    </w:p>
    <w:p>
      <w:pPr>
        <w:pStyle w:val="954"/>
        <w:ind w:firstLine="0"/>
        <w:rPr>
          <w:rFonts w:hint="eastAsia" w:ascii="宋体" w:hAnsi="宋体" w:eastAsia="宋体" w:cs="宋体"/>
          <w:b/>
          <w:color w:val="auto"/>
        </w:rPr>
      </w:pPr>
      <w:r>
        <w:rPr>
          <w:rFonts w:hint="eastAsia" w:ascii="宋体" w:hAnsi="宋体" w:eastAsia="宋体" w:cs="宋体"/>
          <w:b/>
          <w:color w:val="auto"/>
        </w:rPr>
      </w:r>
      <w:r/>
    </w:p>
    <w:p>
      <w:pPr>
        <w:pStyle w:val="954"/>
        <w:ind w:firstLine="0"/>
        <w:rPr>
          <w:rFonts w:hint="eastAsia" w:ascii="宋体" w:hAnsi="宋体" w:eastAsia="宋体" w:cs="宋体"/>
          <w:b/>
          <w:color w:val="auto"/>
        </w:rPr>
      </w:pPr>
      <w:r>
        <w:rPr>
          <w:rFonts w:hint="eastAsia" w:ascii="宋体" w:hAnsi="宋体" w:eastAsia="宋体" w:cs="宋体"/>
          <w:b/>
          <w:color w:val="auto"/>
        </w:rPr>
      </w:r>
      <w:r/>
    </w:p>
    <w:p>
      <w:pPr>
        <w:pStyle w:val="954"/>
        <w:ind w:firstLine="0"/>
        <w:rPr>
          <w:rFonts w:hint="eastAsia" w:ascii="宋体" w:hAnsi="宋体" w:eastAsia="宋体" w:cs="宋体"/>
          <w:b/>
          <w:color w:val="auto"/>
        </w:rPr>
      </w:pPr>
      <w:r>
        <w:rPr>
          <w:rFonts w:hint="eastAsia" w:ascii="宋体" w:hAnsi="宋体" w:eastAsia="宋体" w:cs="宋体"/>
          <w:b/>
          <w:color w:val="auto"/>
        </w:rPr>
      </w:r>
      <w:r/>
    </w:p>
    <w:p>
      <w:pPr>
        <w:pStyle w:val="954"/>
        <w:ind w:firstLine="0"/>
        <w:rPr>
          <w:rFonts w:hint="eastAsia" w:ascii="宋体" w:hAnsi="宋体" w:eastAsia="宋体" w:cs="宋体"/>
          <w:b/>
          <w:color w:val="auto"/>
        </w:rPr>
      </w:pPr>
      <w:r>
        <w:rPr>
          <w:rFonts w:hint="eastAsia" w:ascii="宋体" w:hAnsi="宋体" w:eastAsia="宋体" w:cs="宋体"/>
          <w:b/>
          <w:color w:val="auto"/>
        </w:rPr>
      </w:r>
      <w:r/>
    </w:p>
    <w:p>
      <w:pPr>
        <w:pStyle w:val="954"/>
        <w:ind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rPr>
          <w:rFonts w:hint="eastAsia" w:ascii="宋体" w:hAnsi="宋体" w:eastAsia="宋体" w:cs="宋体"/>
          <w:color w:val="auto"/>
          <w:szCs w:val="21"/>
        </w:rPr>
      </w:pPr>
      <w:r>
        <w:rPr>
          <w:rFonts w:hint="eastAsia" w:ascii="宋体" w:hAnsi="宋体" w:eastAsia="宋体" w:cs="宋体"/>
          <w:color w:val="auto"/>
          <w:szCs w:val="21"/>
        </w:rPr>
        <w:br w:type="page" w:clear="all"/>
      </w:r>
      <w:r/>
    </w:p>
    <w:p>
      <w:pPr>
        <w:pStyle w:val="1487"/>
        <w:rPr>
          <w:rFonts w:ascii="黑体" w:eastAsia="黑体"/>
          <w:bCs/>
          <w:color w:val="auto"/>
          <w:sz w:val="24"/>
          <w:szCs w:val="24"/>
        </w:rPr>
      </w:pPr>
      <w:r>
        <w:rPr>
          <w:rFonts w:hint="eastAsia" w:ascii="黑体" w:eastAsia="黑体"/>
          <w:bCs/>
          <w:color w:val="auto"/>
          <w:sz w:val="24"/>
          <w:szCs w:val="24"/>
        </w:rPr>
        <w:t xml:space="preserve">合同文本</w:t>
      </w:r>
      <w:r/>
    </w:p>
    <w:p>
      <w:pPr>
        <w:jc w:val="center"/>
        <w:spacing w:line="288" w:lineRule="auto"/>
        <w:rPr>
          <w:rFonts w:ascii="宋体" w:hAnsi="宋体"/>
          <w:bCs/>
          <w:color w:val="auto"/>
          <w:sz w:val="24"/>
          <w:szCs w:val="24"/>
        </w:rPr>
        <w:outlineLvl w:val="0"/>
      </w:pPr>
      <w:r>
        <w:rPr>
          <w:rFonts w:ascii="宋体" w:hAnsi="宋体"/>
          <w:bCs/>
          <w:color w:val="auto"/>
          <w:sz w:val="24"/>
          <w:szCs w:val="24"/>
        </w:rPr>
      </w:r>
      <w:r/>
    </w:p>
    <w:p>
      <w:pPr>
        <w:jc w:val="center"/>
        <w:spacing w:line="288" w:lineRule="auto"/>
        <w:rPr>
          <w:rFonts w:hint="eastAsia" w:ascii="宋体" w:hAnsi="宋体" w:eastAsia="宋体" w:cs="宋体"/>
          <w:bCs/>
          <w:color w:val="auto"/>
          <w:sz w:val="22"/>
          <w:szCs w:val="22"/>
        </w:rPr>
        <w:outlineLvl w:val="0"/>
      </w:pPr>
      <w:r>
        <w:rPr>
          <w:rFonts w:hint="eastAsia" w:ascii="宋体" w:hAnsi="宋体" w:eastAsia="宋体" w:cs="宋体"/>
          <w:bCs/>
          <w:color w:val="auto"/>
          <w:sz w:val="22"/>
          <w:szCs w:val="22"/>
        </w:rPr>
        <w:t xml:space="preserve">以下为本项目的合同条款，合同双方不得对招标、投标文件内容作实质性修改。</w:t>
      </w:r>
      <w:r/>
    </w:p>
    <w:p>
      <w:pPr>
        <w:pStyle w:val="94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采购人（以下称甲方）：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供应商（以下称乙方）：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根据《中华人民共和国政府采购法</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中华人民共和国民法典》等法律法规的规定，甲乙双方按照</w:t>
      </w:r>
      <w:r>
        <w:rPr>
          <w:rFonts w:hint="eastAsia" w:ascii="宋体" w:hAnsi="宋体" w:eastAsia="宋体" w:cs="宋体"/>
          <w:color w:val="auto"/>
          <w:szCs w:val="21"/>
          <w:highlight w:val="none"/>
          <w:u w:val="single"/>
        </w:rPr>
        <w:t xml:space="preserve"> （采购编号：  ）</w:t>
      </w:r>
      <w:r>
        <w:rPr>
          <w:rFonts w:hint="eastAsia" w:ascii="宋体" w:hAnsi="宋体" w:eastAsia="宋体" w:cs="宋体"/>
          <w:color w:val="auto"/>
          <w:szCs w:val="21"/>
          <w:highlight w:val="none"/>
        </w:rPr>
        <w:t xml:space="preserve">项目公开招标结果签订本合同。</w:t>
      </w:r>
      <w:r/>
    </w:p>
    <w:p>
      <w:pPr>
        <w:ind w:firstLine="422"/>
        <w:spacing w:line="360" w:lineRule="auto"/>
        <w:rPr>
          <w:rFonts w:hint="eastAsia" w:ascii="宋体" w:hAnsi="宋体" w:eastAsia="宋体" w:cs="宋体"/>
          <w:b/>
          <w:color w:val="auto"/>
          <w:szCs w:val="21"/>
          <w:highlight w:val="none"/>
        </w:rPr>
        <w:outlineLvl w:val="2"/>
      </w:pPr>
      <w:r/>
      <w:bookmarkStart w:id="34" w:name="_Toc523128877"/>
      <w:r/>
      <w:bookmarkStart w:id="35" w:name="_Toc514592369"/>
      <w:r/>
      <w:bookmarkStart w:id="36" w:name="_Toc523064062"/>
      <w:r>
        <w:rPr>
          <w:rFonts w:hint="eastAsia" w:ascii="宋体" w:hAnsi="宋体" w:eastAsia="宋体" w:cs="宋体"/>
          <w:b/>
          <w:color w:val="auto"/>
          <w:szCs w:val="21"/>
          <w:highlight w:val="none"/>
          <w:lang w:val="zh-CN"/>
        </w:rPr>
        <w:t xml:space="preserve">第一条  合同设施量清单和合同总价</w:t>
      </w:r>
      <w:bookmarkEnd w:id="34"/>
      <w:r/>
      <w:bookmarkEnd w:id="35"/>
      <w:r/>
      <w:bookmarkEnd w:id="36"/>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本项目采购的</w:t>
      </w:r>
      <w:r>
        <w:rPr>
          <w:rFonts w:hint="eastAsia" w:ascii="宋体" w:hAnsi="宋体" w:eastAsia="宋体" w:cs="宋体"/>
          <w:color w:val="auto"/>
          <w:szCs w:val="21"/>
          <w:highlight w:val="none"/>
          <w:lang w:eastAsia="zh-CN"/>
        </w:rPr>
        <w:t xml:space="preserve">是</w:t>
      </w:r>
      <w:r>
        <w:rPr>
          <w:rFonts w:hint="eastAsia" w:ascii="宋体" w:hAnsi="宋体" w:eastAsia="宋体" w:cs="宋体"/>
          <w:color w:val="auto"/>
          <w:szCs w:val="21"/>
          <w:highlight w:val="none"/>
        </w:rPr>
        <w:t xml:space="preserve">南京市江宁区城市管理局所管辖双龙大道以东、沧麒路以东；宏运大道、石杨路以南；东麒路以西（含东麒路及东麒路跨宁杭高架桥）；新亭西路以北及杨家圩片区道路片区、外港河以北、万泰路以北（不含万泰路）的禁令标志、指示标志、路名牌、限高龙门架、护栏</w:t>
      </w:r>
      <w:r>
        <w:rPr>
          <w:rFonts w:hint="eastAsia" w:ascii="宋体" w:hAnsi="宋体" w:eastAsia="宋体" w:cs="宋体"/>
          <w:color w:val="auto"/>
          <w:szCs w:val="21"/>
          <w:highlight w:val="none"/>
          <w:lang w:eastAsia="zh-CN"/>
        </w:rPr>
        <w:t xml:space="preserve">（因</w:t>
      </w:r>
      <w:r>
        <w:rPr>
          <w:rFonts w:hint="eastAsia" w:ascii="宋体" w:hAnsi="宋体" w:eastAsia="宋体" w:cs="宋体"/>
          <w:color w:val="auto"/>
          <w:szCs w:val="21"/>
          <w:highlight w:val="none"/>
        </w:rPr>
        <w:t xml:space="preserve">人为损坏、交通事故、盗窃等因素进行修复）、信号灯杆、信号灯及管线（含人行过街信号灯）、显示屏、信号机及标线等配套交通设施的日常维护管理、设施安装更新，包含交通设施日常管养和更新安装专项。</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主要服务内</w:t>
      </w:r>
      <w:r>
        <w:rPr>
          <w:rFonts w:hint="eastAsia" w:ascii="宋体" w:hAnsi="宋体" w:eastAsia="宋体" w:cs="宋体"/>
          <w:b/>
          <w:bCs/>
          <w:color w:val="auto"/>
          <w:szCs w:val="21"/>
          <w:highlight w:val="none"/>
        </w:rPr>
        <w:t xml:space="preserve">容</w:t>
      </w:r>
      <w:r>
        <w:rPr>
          <w:rFonts w:hint="eastAsia" w:ascii="宋体" w:hAnsi="宋体" w:eastAsia="宋体" w:cs="宋体"/>
          <w:color w:val="auto"/>
          <w:szCs w:val="21"/>
          <w:highlight w:val="none"/>
        </w:rPr>
        <w:t xml:space="preserve">：详见供应商投标文件</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1、服务方式：</w:t>
      </w:r>
      <w:r>
        <w:rPr>
          <w:rFonts w:hint="eastAsia" w:ascii="宋体" w:hAnsi="宋体" w:eastAsia="宋体" w:cs="宋体"/>
          <w:color w:val="auto"/>
          <w:szCs w:val="21"/>
          <w:highlight w:val="none"/>
        </w:rPr>
        <w:t xml:space="preserve">供应商在养护期限内包工、包料、包质量、包安全、包文明施工、包维护设施完好无缺损，风险自担。养护维修所需材料、成品、设备等，均由供应商自行解决，但必须符合原设计、采购人及有关养护技术规程、规范要求。</w:t>
      </w:r>
      <w:r/>
    </w:p>
    <w:p>
      <w:pPr>
        <w:ind w:firstLine="413"/>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2、本合同项下合同价款：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交通设施日常管养：</w:t>
      </w:r>
      <w:r>
        <w:rPr>
          <w:rFonts w:hint="eastAsia" w:ascii="宋体" w:hAnsi="宋体" w:eastAsia="宋体" w:cs="宋体"/>
          <w:color w:val="auto"/>
          <w:szCs w:val="21"/>
          <w:highlight w:val="none"/>
          <w:lang w:val="zh-CN"/>
        </w:rPr>
        <w:t xml:space="preserve">服务价款为</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lang w:val="zh-CN"/>
        </w:rPr>
        <w:t xml:space="preserve">（大写</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），此项为包干费用，为完成日常管养服务所需的各项费用的总和。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更新安装专项：</w:t>
      </w:r>
      <w:r>
        <w:rPr>
          <w:rFonts w:hint="eastAsia" w:ascii="宋体" w:hAnsi="宋体" w:eastAsia="宋体" w:cs="宋体"/>
          <w:color w:val="auto"/>
          <w:szCs w:val="21"/>
          <w:highlight w:val="none"/>
          <w:lang w:val="en-US" w:eastAsia="zh-CN"/>
        </w:rPr>
        <w:t xml:space="preserve">合同期内</w:t>
      </w:r>
      <w:r>
        <w:rPr>
          <w:rFonts w:hint="eastAsia" w:ascii="宋体" w:hAnsi="宋体" w:eastAsia="宋体" w:cs="宋体"/>
          <w:color w:val="auto"/>
          <w:szCs w:val="21"/>
          <w:highlight w:val="none"/>
        </w:rPr>
        <w:t xml:space="preserve">更新安装专项工程结算价</w:t>
      </w:r>
      <w:r>
        <w:rPr>
          <w:rFonts w:hint="eastAsia" w:ascii="宋体" w:hAnsi="宋体" w:eastAsia="宋体" w:cs="宋体"/>
          <w:color w:val="auto"/>
          <w:szCs w:val="21"/>
          <w:highlight w:val="none"/>
          <w:lang w:val="en-US" w:eastAsia="zh-CN"/>
        </w:rPr>
        <w:t xml:space="preserve">最高不超过70万元</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更新安装专项折扣率为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lang w:val="en-US" w:eastAsia="zh-CN"/>
        </w:rPr>
        <w:t xml:space="preserve">%</w:t>
      </w:r>
      <w:r>
        <w:rPr>
          <w:rFonts w:hint="eastAsia" w:ascii="宋体" w:hAnsi="宋体" w:eastAsia="宋体" w:cs="宋体"/>
          <w:color w:val="auto"/>
          <w:szCs w:val="21"/>
          <w:highlight w:val="none"/>
        </w:rPr>
        <w:t xml:space="preserve">，更新安装专项工程结算价=上报结算价×</w:t>
      </w:r>
      <w:r>
        <w:rPr>
          <w:rFonts w:hint="eastAsia" w:ascii="宋体" w:hAnsi="宋体" w:eastAsia="宋体" w:cs="宋体"/>
          <w:color w:val="auto"/>
          <w:szCs w:val="21"/>
          <w:highlight w:val="none"/>
          <w:lang w:val="en-US" w:eastAsia="zh-CN"/>
        </w:rPr>
        <w:t xml:space="preserve">折扣率</w:t>
      </w:r>
      <w:r>
        <w:rPr>
          <w:rFonts w:hint="eastAsia" w:ascii="宋体" w:hAnsi="宋体" w:eastAsia="宋体" w:cs="宋体"/>
          <w:color w:val="auto"/>
          <w:szCs w:val="21"/>
          <w:highlight w:val="none"/>
        </w:rPr>
        <w:t xml:space="preserve">，其中上报结算价的基准单价以《东山主城区交通设施养护-专项更新项目》中单价为准，上报结算价的工程量以现场有效签证为依据，按现场实际发生的工程量进行计算。更新安装工程须经采购人确认并验收合格，</w:t>
      </w:r>
      <w:r>
        <w:rPr>
          <w:rFonts w:hint="eastAsia" w:ascii="宋体" w:hAnsi="宋体" w:eastAsia="宋体" w:cs="宋体"/>
          <w:b w:val="0"/>
          <w:bCs w:val="0"/>
          <w:color w:val="auto"/>
          <w:szCs w:val="21"/>
          <w:highlight w:val="none"/>
        </w:rPr>
        <w:t xml:space="preserve">最终结算价</w:t>
      </w:r>
      <w:r>
        <w:rPr>
          <w:rFonts w:hint="eastAsia" w:ascii="宋体" w:hAnsi="宋体" w:eastAsia="宋体" w:cs="宋体"/>
          <w:color w:val="auto"/>
          <w:szCs w:val="21"/>
          <w:highlight w:val="none"/>
        </w:rPr>
        <w:t xml:space="preserve">以采购人委托的第三方审计为准。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本合同价款</w:t>
      </w:r>
      <w:r>
        <w:rPr>
          <w:rFonts w:hint="eastAsia" w:ascii="宋体" w:hAnsi="宋体" w:eastAsia="宋体" w:cs="宋体"/>
          <w:bCs/>
          <w:iCs/>
          <w:color w:val="auto"/>
          <w:szCs w:val="21"/>
          <w:highlight w:val="none"/>
        </w:rPr>
        <w:t xml:space="preserve">包括但不仅限于人员、设备、工具及维护费用，所用材料消耗费用、管理费用、利润、税金等支出。</w:t>
      </w:r>
      <w:r/>
    </w:p>
    <w:p>
      <w:pPr>
        <w:ind w:firstLine="422"/>
        <w:spacing w:line="360" w:lineRule="auto"/>
        <w:rPr>
          <w:rFonts w:hint="eastAsia" w:ascii="宋体" w:hAnsi="宋体" w:eastAsia="宋体" w:cs="宋体"/>
          <w:b/>
          <w:color w:val="auto"/>
          <w:szCs w:val="21"/>
          <w:highlight w:val="none"/>
        </w:rPr>
        <w:outlineLvl w:val="2"/>
      </w:pPr>
      <w:r/>
      <w:bookmarkStart w:id="37" w:name="_Toc514592368"/>
      <w:r/>
      <w:bookmarkStart w:id="38" w:name="_Toc523064063"/>
      <w:r/>
      <w:bookmarkStart w:id="39" w:name="_Toc523128878"/>
      <w:r>
        <w:rPr>
          <w:rFonts w:hint="eastAsia" w:ascii="宋体" w:hAnsi="宋体" w:eastAsia="宋体" w:cs="宋体"/>
          <w:b/>
          <w:color w:val="auto"/>
          <w:szCs w:val="21"/>
          <w:highlight w:val="none"/>
          <w:lang w:val="zh-CN"/>
        </w:rPr>
        <w:t xml:space="preserve">第二条  组成本合同的文件</w:t>
      </w:r>
      <w:bookmarkEnd w:id="37"/>
      <w:r/>
      <w:bookmarkEnd w:id="38"/>
      <w:r/>
      <w:bookmarkEnd w:id="39"/>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下列文件是组成本合同的不可分割的部分：（1）采购文件；（2）供应商递交的文件；（3）供应商所作的相关书面澄清；（4）中标通知书；（5）甲乙双方商定的其他必要文件。</w:t>
      </w:r>
      <w:r/>
    </w:p>
    <w:p>
      <w:pPr>
        <w:ind w:firstLine="422"/>
        <w:spacing w:line="360" w:lineRule="auto"/>
        <w:rPr>
          <w:rFonts w:hint="eastAsia" w:ascii="宋体" w:hAnsi="宋体" w:eastAsia="宋体" w:cs="宋体"/>
          <w:b/>
          <w:color w:val="auto"/>
          <w:szCs w:val="21"/>
          <w:highlight w:val="none"/>
        </w:rPr>
        <w:outlineLvl w:val="2"/>
      </w:pPr>
      <w:r/>
      <w:bookmarkStart w:id="40" w:name="_Toc514592370"/>
      <w:r/>
      <w:bookmarkStart w:id="41" w:name="_Toc523128879"/>
      <w:r/>
      <w:bookmarkStart w:id="42" w:name="_Toc523064064"/>
      <w:r>
        <w:rPr>
          <w:rFonts w:hint="eastAsia" w:ascii="宋体" w:hAnsi="宋体" w:eastAsia="宋体" w:cs="宋体"/>
          <w:b/>
          <w:color w:val="auto"/>
          <w:szCs w:val="21"/>
          <w:highlight w:val="none"/>
          <w:lang w:val="zh-CN"/>
        </w:rPr>
        <w:t xml:space="preserve">第三条  验收标准（</w:t>
      </w:r>
      <w:r>
        <w:rPr>
          <w:rFonts w:hint="eastAsia" w:ascii="宋体" w:hAnsi="宋体" w:eastAsia="宋体" w:cs="宋体"/>
          <w:b/>
          <w:color w:val="auto"/>
          <w:szCs w:val="21"/>
          <w:highlight w:val="none"/>
        </w:rPr>
        <w:t xml:space="preserve">不包括以下</w:t>
      </w:r>
      <w:r>
        <w:rPr>
          <w:rFonts w:hint="eastAsia" w:ascii="宋体" w:hAnsi="宋体" w:eastAsia="宋体" w:cs="宋体"/>
          <w:b/>
          <w:color w:val="auto"/>
          <w:szCs w:val="21"/>
          <w:highlight w:val="none"/>
          <w:lang w:val="zh-CN"/>
        </w:rPr>
        <w:t xml:space="preserve">）：</w:t>
      </w:r>
      <w:bookmarkEnd w:id="40"/>
      <w:r/>
      <w:bookmarkEnd w:id="41"/>
      <w:r/>
      <w:bookmarkEnd w:id="42"/>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道路交通信号灯》(GB14887—2011)；《道路交通信号控制机》(GB25280-2016)；《道路交通信号灯设置与安装规范》(GB14886-2016)；《公路交通标志和标线设置规范》(JTGD82-2009)；《城市道路交通标志和标线设置规范》(GB51038-2015)；《道路交通标志和标线》(GB5768-2009)；《路面标线涂料》(JT/T2</w:t>
      </w:r>
      <w:r>
        <w:rPr>
          <w:rFonts w:hint="eastAsia" w:ascii="宋体" w:hAnsi="宋体" w:eastAsia="宋体" w:cs="宋体"/>
          <w:color w:val="auto"/>
          <w:szCs w:val="21"/>
          <w:highlight w:val="none"/>
        </w:rPr>
        <w:t xml:space="preserve">80-2016)；《公路交通标志板技术条件》(JT/T297-1995)；《公路交通标志板》(JT/T279-2004)；《公路交通安全设施设计规范》(JTGD81-2017)；《地名标志》(GBl7733-2008)；《公路交通工程钢构件防腐技术条件》(GB/T18226-2015)；《道路交通信号倒计时显示器》(GA/T508-2014)；《道路交通信号控制机》(GB25280-2010)；《公路护栏安全性能评价标准》(JTGB05-01-2013)；《中华人民共和国道路交通安全法实施条例》等及相关规范</w:t>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服务质量需达到规范验收标准，若不符合规范验收标准，由供应商无偿返工。若因供应商原因不能按时保质完成，则甲方有权另外安排单位维修，其相应费</w:t>
      </w:r>
      <w:r>
        <w:rPr>
          <w:rFonts w:hint="eastAsia" w:ascii="宋体" w:hAnsi="宋体" w:eastAsia="宋体" w:cs="宋体"/>
          <w:color w:val="auto"/>
          <w:szCs w:val="21"/>
          <w:highlight w:val="none"/>
          <w:lang w:eastAsia="zh-CN"/>
        </w:rPr>
        <w:t xml:space="preserve">用和</w:t>
      </w:r>
      <w:r>
        <w:rPr>
          <w:rFonts w:hint="eastAsia" w:ascii="宋体" w:hAnsi="宋体" w:eastAsia="宋体" w:cs="宋体"/>
          <w:color w:val="auto"/>
          <w:szCs w:val="21"/>
          <w:highlight w:val="none"/>
        </w:rPr>
        <w:t xml:space="preserve">养护维修将从供应商费用中扣除并由甲方安排。</w:t>
      </w:r>
      <w:r/>
    </w:p>
    <w:p>
      <w:pPr>
        <w:ind w:firstLine="422"/>
        <w:spacing w:line="360" w:lineRule="auto"/>
        <w:rPr>
          <w:rFonts w:hint="eastAsia" w:ascii="宋体" w:hAnsi="宋体" w:eastAsia="宋体" w:cs="宋体"/>
          <w:b/>
          <w:color w:val="auto"/>
          <w:szCs w:val="21"/>
          <w:highlight w:val="none"/>
        </w:rPr>
        <w:outlineLvl w:val="2"/>
      </w:pPr>
      <w:r/>
      <w:bookmarkStart w:id="43" w:name="_Toc523064065"/>
      <w:r/>
      <w:bookmarkStart w:id="44" w:name="_Toc514592371"/>
      <w:r/>
      <w:bookmarkStart w:id="45" w:name="_Toc523128880"/>
      <w:r>
        <w:rPr>
          <w:rFonts w:hint="eastAsia" w:ascii="宋体" w:hAnsi="宋体" w:eastAsia="宋体" w:cs="宋体"/>
          <w:b/>
          <w:color w:val="auto"/>
          <w:szCs w:val="21"/>
          <w:highlight w:val="none"/>
          <w:lang w:val="zh-CN"/>
        </w:rPr>
        <w:t xml:space="preserve">第四条  服务时间</w:t>
      </w:r>
      <w:bookmarkEnd w:id="43"/>
      <w:r/>
      <w:bookmarkEnd w:id="44"/>
      <w:r/>
      <w:bookmarkEnd w:id="45"/>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采购服务时间为一年整，即  年  月  日至  年  月  日。</w:t>
      </w:r>
      <w:r>
        <w:rPr>
          <w:rFonts w:hint="eastAsia" w:ascii="宋体" w:hAnsi="宋体" w:eastAsia="宋体" w:cs="宋体"/>
          <w:color w:val="auto"/>
          <w:highlight w:val="none"/>
        </w:rPr>
        <w:t xml:space="preserve">前三个月为试用期，试用期满经采购人考核合格后，合同方为有效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当出现以下因素时，采购人有权随时终止合同，中标单位不得以任何理由提出索赔要求：1、因中标单位原因发生安全事故；2、中标单位不服从业主正常养护任务安排，造成工作延误；3、中标单位未按照中标承诺要求配备相应设备和人员；4、在履约过程中，存在偷工减料、以次充好等质量问题，造成工程质量不合格：5、全年检查中日常考核和专项考核累计三次得分70分以下；6、中标单位未经采购人同意不得分包，如发现中标单位擅自分包或转包，采购人有权单方解除合同。</w:t>
      </w:r>
      <w:r/>
    </w:p>
    <w:p>
      <w:pPr>
        <w:numPr>
          <w:ilvl w:val="0"/>
          <w:numId w:val="12"/>
        </w:numPr>
        <w:ind w:firstLine="422"/>
        <w:spacing w:line="360" w:lineRule="auto"/>
        <w:rPr>
          <w:rFonts w:hint="eastAsia" w:ascii="宋体" w:hAnsi="宋体" w:eastAsia="宋体" w:cs="宋体"/>
          <w:b/>
          <w:color w:val="auto"/>
          <w:szCs w:val="21"/>
          <w:highlight w:val="none"/>
        </w:rPr>
        <w:outlineLvl w:val="2"/>
      </w:pPr>
      <w:r/>
      <w:bookmarkStart w:id="46" w:name="_Toc514592372"/>
      <w:r/>
      <w:bookmarkStart w:id="47" w:name="_Toc523128881"/>
      <w:r/>
      <w:bookmarkStart w:id="48" w:name="_Toc523064066"/>
      <w:r>
        <w:rPr>
          <w:rFonts w:hint="eastAsia" w:ascii="宋体" w:hAnsi="宋体" w:eastAsia="宋体" w:cs="宋体"/>
          <w:b/>
          <w:color w:val="auto"/>
          <w:szCs w:val="21"/>
          <w:highlight w:val="none"/>
          <w:lang w:val="zh-CN"/>
        </w:rPr>
        <w:t xml:space="preserve"> 具体服务细则</w:t>
      </w:r>
      <w:bookmarkEnd w:id="46"/>
      <w:r/>
      <w:bookmarkEnd w:id="47"/>
      <w:r/>
      <w:bookmarkEnd w:id="48"/>
      <w:r/>
      <w:r/>
    </w:p>
    <w:p>
      <w:pPr>
        <w:ind w:firstLine="420"/>
        <w:spacing w:line="360" w:lineRule="auto"/>
        <w:rPr>
          <w:rFonts w:hint="eastAsia" w:ascii="宋体" w:hAnsi="宋体" w:eastAsia="宋体" w:cs="宋体"/>
          <w:color w:val="auto"/>
          <w:szCs w:val="21"/>
          <w:highlight w:val="none"/>
        </w:rPr>
        <w:outlineLvl w:val="2"/>
      </w:pPr>
      <w:r>
        <w:rPr>
          <w:rFonts w:hint="eastAsia" w:ascii="宋体" w:hAnsi="宋体" w:eastAsia="宋体" w:cs="宋体"/>
          <w:color w:val="auto"/>
          <w:szCs w:val="21"/>
          <w:highlight w:val="none"/>
        </w:rPr>
        <w:t xml:space="preserve">1、交通设施的日常维护管理包含设施维修，文明创建维修，热线、媒体、网络等反映问题维修，上级交办的突击、指令性任务等；属于合同范围和内容的项目，供应商应在接到维护通知之时起立即派人施工，2小时内维护完毕，情况复杂的，8小时内维护完毕。供应商不在约定期限内及时进行维护的，采购人可委托其他人员维护，所需费用从供应商的维护工程款内扣除；供应商施工期间严格按照国家有关规定施工，确保维护设施质量和作业安全，自行承担全部责任。因供应商维护质量原因致使工程在保修期内造成人身和财产损害的，供应商应承担损害赔偿责任。其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标线：标线维护管养，供应商对采购人管辖范围的主次干道标线进行日常维护管养，每年出新一次（施工选择节假日期间），双龙大道以东、姚湖路以西、宏运大道以南、新亭西路和外港河以北及杨家圩片区出新量不少于总量的50%，沧麒路以东、石杨路以南(不含石杨路)、东麒路以西(含东麒路及东麒路跨宁杭高架桥)、万泰路以北(不含万泰路)出新量不少于总量的35%，必须将原有标线水除线清除，标线清理后沥青路面麻面的及时使用沥青修复材料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标牌、限高架：标牌（指路牌、分道牌、路名牌、禁停清拖、禁令标志、桥名牌、限载牌、限高牌），供应商对采购人管辖范围的主次干道标牌立柱进行日常维护管养，标牌立柱扶正，标牌保持整洁；日常巡视和定期检查，设施缺损维修：每日巡视，每月组织技术人员检查二次，每</w:t>
      </w:r>
      <w:r>
        <w:rPr>
          <w:rFonts w:hint="eastAsia" w:ascii="宋体" w:hAnsi="宋体" w:eastAsia="宋体" w:cs="宋体"/>
          <w:color w:val="auto"/>
          <w:szCs w:val="21"/>
          <w:highlight w:val="none"/>
          <w:lang w:eastAsia="zh-CN"/>
        </w:rPr>
        <w:t xml:space="preserve">月例</w:t>
      </w:r>
      <w:r>
        <w:rPr>
          <w:rFonts w:hint="eastAsia" w:ascii="宋体" w:hAnsi="宋体" w:eastAsia="宋体" w:cs="宋体"/>
          <w:color w:val="auto"/>
          <w:szCs w:val="21"/>
          <w:highlight w:val="none"/>
        </w:rPr>
        <w:t xml:space="preserve">行检查一次。保持标牌、限高架完好、整洁。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护栏、防撞柱、爆闪灯、底座：定期检查护栏是否扭曲、裂缝、生锈或疏松，及时发现并修复损坏护栏、对变形的护栏进行校正或更换，定期检查并紧固护栏的连接部件，确保护栏稳固可靠。定期检查防撞柱的稳固性，确保其与地面连接牢固，发现防撞柱损坏或位移，应及时进行修复或调整，</w:t>
      </w:r>
      <w:r>
        <w:rPr>
          <w:rFonts w:hint="eastAsia" w:ascii="宋体" w:hAnsi="宋体" w:eastAsia="宋体" w:cs="宋体"/>
          <w:color w:val="auto"/>
          <w:highlight w:val="none"/>
        </w:rPr>
        <w:t xml:space="preserve">发现反光膜损坏、脱落或污染时，应及时进行修复或更换。定期检查爆闪灯、反光器是否正常，确保其在夜间能起到警示作用，发现爆闪灯、反光器损坏或亮度不足，应及时进行维修或更换。确保护栏底座完好，发现底座变形或损坏及时进行维修或更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（4）信号灯：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交通信号设施的运维系统巡查加人工巡检、日常维护（含交通信号控制机、机箱、交通信号灯、信号倒计时显示器、交通行人灯、交通信号灯杆及相关设施等）。应确保信号灯能被机动车驾驶人、非机动车驾驶人和行人清晰观察到。信号灯出现亮度不足、颜色失真和LED点阵缺失等现象影响使用时，应及时更换，信号灯发现故障、人为损坏及时维修，并做好维修记录。日常巡视和定期检查:日常巡视、定期检查做好相应的台账资料。</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保障东城老城区范围内的自适应路口能够满足交警部门的日常配时管理需求。结合江宁区交警部门对东山老城区交通流量要求积极配合调整信号配时，增加和优化多时段配时方案，缓解交通拥堵。对东山老城区主、次干道路口，在高峰或平峰采用“绿波带”，“红波带”等有效控制方式，提高通行效率。道路交通信号控制工作进行规范化管理，根据路口的实际流量变化，</w:t>
      </w:r>
      <w:r>
        <w:rPr>
          <w:rFonts w:hint="eastAsia" w:ascii="宋体" w:hAnsi="宋体" w:eastAsia="宋体" w:cs="宋体"/>
          <w:color w:val="auto"/>
          <w:szCs w:val="21"/>
          <w:highlight w:val="none"/>
          <w:lang w:eastAsia="zh-CN"/>
        </w:rPr>
        <w:t xml:space="preserve">科学地</w:t>
      </w:r>
      <w:r>
        <w:rPr>
          <w:rFonts w:hint="eastAsia" w:ascii="宋体" w:hAnsi="宋体" w:eastAsia="宋体" w:cs="宋体"/>
          <w:color w:val="auto"/>
          <w:szCs w:val="21"/>
          <w:highlight w:val="none"/>
        </w:rPr>
        <w:t xml:space="preserve">、制定控制方案和合理</w:t>
      </w:r>
      <w:r>
        <w:rPr>
          <w:rFonts w:hint="eastAsia" w:ascii="宋体" w:hAnsi="宋体" w:eastAsia="宋体" w:cs="宋体"/>
          <w:color w:val="auto"/>
          <w:szCs w:val="21"/>
          <w:highlight w:val="none"/>
          <w:lang w:eastAsia="zh-CN"/>
        </w:rPr>
        <w:t xml:space="preserve">地</w:t>
      </w:r>
      <w:r>
        <w:rPr>
          <w:rFonts w:hint="eastAsia" w:ascii="宋体" w:hAnsi="宋体" w:eastAsia="宋体" w:cs="宋体"/>
          <w:color w:val="auto"/>
          <w:szCs w:val="21"/>
          <w:highlight w:val="none"/>
        </w:rPr>
        <w:t xml:space="preserve">分配放行时间，减少路口停车次数，提高路口的实际通行能力，以有效地缓解交通拥堵。</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③东山老城区锈蚀交通信号设施出新，做好路口所有灯具清洁事宜、冬季信号设施铲冰除雪；</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每季度对路口每台联网协调式交通信号控制机开柜检查一次，具体检查内容为：联网协调式交通信号控制机主板、灯驱板整个联网协调式交通信号控制机机箱的清理，接线端子的清理、断电送电的实验，对每组信号灯和倒计时读秒检查，定期检查信号灯的电气系统是否正常，包括电缆、电线、控制回路等，检查是否有破损或老化现象。确保接地良好，防止漏电和电气火灾的发生。每月对检查内容形成文字、图片及报表形式报送至采购方，一个季度为一个巡查周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维护维修承包方式：维保单位在维护期限内包工、包料、包质量、包安全、包文明施工、包维护设施完好无缺损，风险自担。维护维修所需材料、成品、设备等，均由维保单位自行解决，但必须符合原设计、采购方及有关维护技术规程、规范要求。采购单位可根据信号灯使用年限、使用情况、信号灯标准变更等综合因素考量，对符合要求的信号灯使用专项资金予以更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iCs/>
          <w:color w:val="auto"/>
          <w:szCs w:val="21"/>
          <w:highlight w:val="none"/>
        </w:rPr>
        <w:t xml:space="preserve">2、更新安装专项是</w:t>
      </w:r>
      <w:r>
        <w:rPr>
          <w:rFonts w:hint="eastAsia" w:ascii="宋体" w:hAnsi="宋体" w:eastAsia="宋体" w:cs="宋体"/>
          <w:color w:val="auto"/>
          <w:szCs w:val="21"/>
          <w:highlight w:val="none"/>
        </w:rPr>
        <w:t xml:space="preserve">根据动态交通情况</w:t>
      </w:r>
      <w:r>
        <w:rPr>
          <w:rFonts w:hint="eastAsia" w:ascii="宋体" w:hAnsi="宋体" w:eastAsia="宋体" w:cs="宋体"/>
          <w:color w:val="auto"/>
          <w:szCs w:val="21"/>
          <w:highlight w:val="none"/>
        </w:rPr>
        <w:t xml:space="preserve">和交管部门意见，用于解决交通拥堵、消除交通隐患新增加交通信号灯、标识标牌等。安装更新专项包含交通信号灯（悬臂式信号灯、单叉式信号灯、立柱式信号灯、立柱式行人灯的杆件、信号灯、显示屏、信号机、各种电缆、主板、灯驱、调试、PE管、各种开关等）、交通标牌（悬臂式指路牌、悬臂式分道牌、三合一标志、禁停牌、清拖牌、让人标志、人行横道标志、学校区域标志、限速牌、禁鸣牌、单立杆、路名牌等）、限高架（含杆件、标志牌维修、爆闪灯等）、标识标线、隔离栏（机动车隔离护栏、机非隔离护栏、人行道护栏、绿化带护栏等）、防撞柱、爆闪灯、</w:t>
      </w:r>
      <w:r>
        <w:rPr>
          <w:rFonts w:hint="eastAsia" w:ascii="宋体" w:hAnsi="宋体" w:eastAsia="宋体" w:cs="宋体"/>
          <w:color w:val="auto"/>
          <w:spacing w:val="-2"/>
          <w:highlight w:val="none"/>
        </w:rPr>
        <w:t xml:space="preserve">太阳能发光道钉</w:t>
      </w:r>
      <w:r>
        <w:rPr>
          <w:rFonts w:hint="eastAsia" w:ascii="宋体" w:hAnsi="宋体" w:eastAsia="宋体" w:cs="宋体"/>
          <w:color w:val="auto"/>
          <w:szCs w:val="21"/>
          <w:highlight w:val="none"/>
        </w:rPr>
        <w:t xml:space="preserve">等设施新增或更换。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3、养护管理人员要求：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（1）中标单位负责维护管理过程中的一切安全责任，其中包括发生的一切工伤事故及工作人员的作业或非作业性的人身安全等责任。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（2）中标单位必须按时发工资，聘用人员工资待遇不能低于当地政府的最低工资待遇标准（社会保险和意外保险另算），任何劳资纠纷全由中标单位负责。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（3）中标单位必须按法律法规及有关政策为其服务人员购买社会保险、意外保险等相关保险。</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（4）中标单位必须执行国家劳动法的相关规定。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（5）中标单位必须落实好安全生产的措施和配置安全作业的劳保用品。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（6）中标单位的服务人员数量必须满足采购人的实际工作要求，且穿着统一标识的工作服。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（7）中标单位按要求合理配备工程作业车，同时配备巡查人员不少于25人，中标供应商须在中标后7日历天内提供人员花名册（备注 姓名、年龄、性别、籍贯、联系方式等信息）和身份证扫描件报采购人备案，并购买意外伤害等保险，所有劳务工人必须全程参与项目施工，如有变动调整（不含项目经理、工程技术负责人、专职技术人员），需提前三天书面上报采购人，经采购人同意后方可更换。</w:t>
      </w:r>
      <w:r/>
    </w:p>
    <w:p>
      <w:pPr>
        <w:pStyle w:val="939"/>
        <w:numPr>
          <w:ilvl w:val="0"/>
          <w:numId w:val="0"/>
        </w:numPr>
        <w:ind w:left="16" w:firstLine="399"/>
        <w:spacing w:line="360" w:lineRule="auto"/>
        <w:rPr>
          <w:rFonts w:hint="eastAsia" w:ascii="宋体" w:hAnsi="宋体" w:eastAsia="宋体" w:cs="宋体"/>
          <w:color w:val="auto"/>
          <w:spacing w:val="-1"/>
          <w:highlight w:val="none"/>
        </w:rPr>
      </w:pP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lang w:val="en-US" w:eastAsia="zh-CN"/>
        </w:rPr>
        <w:t xml:space="preserve">8</w:t>
      </w:r>
      <w:r>
        <w:rPr>
          <w:rFonts w:hint="eastAsia" w:ascii="宋体" w:hAnsi="宋体" w:eastAsia="宋体" w:cs="宋体"/>
          <w:color w:val="auto"/>
          <w:spacing w:val="-1"/>
          <w:highlight w:val="none"/>
          <w:lang w:eastAsia="zh-CN"/>
        </w:rPr>
        <w:t xml:space="preserve">）中标单位项目负责人、技术人员原则上不允许更换，特殊情况变动调整，需提前一个月书面上报采购人，经采购人同意后方可更换，年度内若更换两次（含两次）以上，采购人有权不与其续签下一年度合同。</w:t>
      </w:r>
      <w:r/>
    </w:p>
    <w:p>
      <w:pPr>
        <w:pStyle w:val="939"/>
        <w:ind w:firstLine="21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中标单位根据采购人要求进行养护区域巡视，及时发现区域内各类设施的损坏情况。对存在安全隐患的，第一时间做好安全防护措施，设立相应警示标志。系统掌握区域内设施具体情况，建立健全日常服务及管理台账制度，认真做好台账的整理和归档工作，按时报送相关工作报表。</w:t>
      </w:r>
      <w:r/>
    </w:p>
    <w:p>
      <w:p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作业人员在养护作业时应当统一着装，必须穿戴具有反光功能的安全标志服装和防护帽，并按照要求设置明显安全标志和采取有效的安全防护措施，必要时应安排专职的安全人员对施工作业区域进行安全管理和监督，并进行现场交通疏导，夜间应设置黄色频闪警示标志，以确保养护作业安全及行车安全。特殊路段的作业必须按照采购人统一部署要求执行。中标单位在施工时应注意行人、车辆的安全，做好交通安全防范和导流措施，并负责与交警、城管等部门的沟通协调。</w:t>
      </w:r>
      <w:r/>
    </w:p>
    <w:p>
      <w:p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6、中标单位应在重大节日、“迎检</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创建”等期间按要求完成采购人交办的突击性任务和指令性任务。</w:t>
      </w:r>
      <w:r/>
    </w:p>
    <w:p>
      <w:p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7、基础资料、</w:t>
      </w:r>
      <w:r>
        <w:rPr>
          <w:rFonts w:hint="eastAsia" w:ascii="宋体" w:hAnsi="宋体" w:eastAsia="宋体" w:cs="宋体"/>
          <w:color w:val="auto"/>
          <w:highlight w:val="none"/>
          <w:lang w:eastAsia="zh-CN"/>
        </w:rPr>
        <w:t xml:space="preserve">台账管理</w:t>
      </w:r>
      <w:r>
        <w:rPr>
          <w:rFonts w:hint="eastAsia" w:ascii="宋体" w:hAnsi="宋体" w:eastAsia="宋体" w:cs="宋体"/>
          <w:color w:val="auto"/>
          <w:highlight w:val="none"/>
        </w:rPr>
        <w:t xml:space="preserve">应做到以下几点：</w:t>
      </w:r>
      <w:r/>
    </w:p>
    <w:p>
      <w:p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（1）每天做好详细的养护日志登记工作，以备采购人不定期抽查；</w:t>
      </w:r>
      <w:r/>
    </w:p>
    <w:p>
      <w:p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（2）每月</w:t>
      </w:r>
      <w:r>
        <w:rPr>
          <w:rFonts w:hint="eastAsia" w:ascii="宋体" w:hAnsi="宋体" w:eastAsia="宋体" w:cs="宋体"/>
          <w:color w:val="auto"/>
          <w:highlight w:val="none"/>
          <w:lang w:eastAsia="zh-CN"/>
        </w:rPr>
        <w:t xml:space="preserve">25日</w:t>
      </w:r>
      <w:r>
        <w:rPr>
          <w:rFonts w:hint="eastAsia" w:ascii="宋体" w:hAnsi="宋体" w:eastAsia="宋体" w:cs="宋体"/>
          <w:color w:val="auto"/>
          <w:highlight w:val="none"/>
        </w:rPr>
        <w:t xml:space="preserve">前向甲方报送本月的养护工作总结及下月养护计划（质量、进度、安全、投资、材料计划等内容，反映存在的问题和应对措施，纸质材料提交甲方）；</w:t>
      </w:r>
      <w:r/>
    </w:p>
    <w:p>
      <w:p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（3）中标单位应当严格按照甲方制定的养护要求进行作业，不得擅自更改，并按采购人要求上报，交由采购人审定，作为考核依据。</w:t>
      </w:r>
      <w:r/>
    </w:p>
    <w:p>
      <w:p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（4）设施维护应当及时做好维修</w:t>
      </w:r>
      <w:r>
        <w:rPr>
          <w:rFonts w:hint="eastAsia" w:ascii="宋体" w:hAnsi="宋体" w:eastAsia="宋体" w:cs="宋体"/>
          <w:color w:val="auto"/>
          <w:highlight w:val="none"/>
          <w:lang w:eastAsia="zh-CN"/>
        </w:rPr>
        <w:t xml:space="preserve">记录</w:t>
      </w:r>
      <w:r>
        <w:rPr>
          <w:rFonts w:hint="eastAsia" w:ascii="宋体" w:hAnsi="宋体" w:eastAsia="宋体" w:cs="宋体"/>
          <w:color w:val="auto"/>
          <w:highlight w:val="none"/>
        </w:rPr>
        <w:t xml:space="preserve">，对有关竣工档案等信息资料应按相应的管理规定进行整理。</w:t>
      </w:r>
      <w:r/>
    </w:p>
    <w:p>
      <w:p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8、对涉及的现有建筑物、构筑物、线杆、地下管线、古树名木等，中标单位应采取有效的保护、防护措施，如中标单位对上述设施造成破坏的，则所有责任由中标单位负责。</w:t>
      </w:r>
      <w:r/>
    </w:p>
    <w:p>
      <w:p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9、中标单位必须无条件按照国家行业规范和采购人要求养护，严格把关，完成自检后及时报验，工作由采购人、维护方双方现场确认。</w:t>
      </w:r>
      <w:r/>
    </w:p>
    <w:p>
      <w:p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10、响应时间要求：中标单位应在接到维护通知之时起立即派人施工，2小时内维修完毕，情况复杂的，8小时内维修完毕。中标单位不在约定期限内及时进行维修的，采购人可委托其他人员维修，所需费用从中标单位的合同款内扣除。</w:t>
      </w:r>
      <w:r/>
    </w:p>
    <w:p>
      <w:p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11、质量安全责任：中标单</w:t>
      </w:r>
      <w:r>
        <w:rPr>
          <w:rFonts w:hint="eastAsia" w:ascii="宋体" w:hAnsi="宋体" w:eastAsia="宋体" w:cs="宋体"/>
          <w:color w:val="auto"/>
          <w:highlight w:val="none"/>
          <w:lang w:eastAsia="zh-CN"/>
        </w:rPr>
        <w:t xml:space="preserve">位在</w:t>
      </w:r>
      <w:r>
        <w:rPr>
          <w:rFonts w:hint="eastAsia" w:ascii="宋体" w:hAnsi="宋体" w:eastAsia="宋体" w:cs="宋体"/>
          <w:color w:val="auto"/>
          <w:highlight w:val="none"/>
        </w:rPr>
        <w:t xml:space="preserve">施工期间严格按照国家有关规定施工，确保维护设施质量和作业安全，自行承担全部责任。因中标单位养护质量原因造成人身和财产损害的，中标单位承担全部损害赔偿责任。</w:t>
      </w:r>
      <w:r/>
    </w:p>
    <w:p>
      <w:p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12、中标单位必须采取切实可行的措施并确保交通畅通和安全，确保安全文明施工，确保各种管、杆线安全运营，确保沿线居民出行方便，确保周边水系畅通等，尽最大努力将施工给群众带来的干扰降至最低限度并制定相关的安全文明措施。</w:t>
      </w:r>
      <w:r/>
    </w:p>
    <w:p>
      <w:p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13、中标单位必须落实安全生产措施，为上岗人员配置统一的工作服和反光袖套，自行解决安全作业问题。在进行施工作业时必须认真负责，注意安全操作，施工作业现场应干净整洁，各类警示标志设置明显；现场的各种设施、材料、设备定点存放，如发生任何意外，中标单位负责事故处理及一切费用，与采购人无关。</w:t>
      </w:r>
      <w:r/>
    </w:p>
    <w:p>
      <w:p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14、养护期内中标单位应</w:t>
      </w:r>
      <w:r>
        <w:rPr>
          <w:rFonts w:hint="eastAsia" w:ascii="宋体" w:hAnsi="宋体" w:eastAsia="宋体" w:cs="宋体"/>
          <w:color w:val="auto"/>
          <w:highlight w:val="none"/>
          <w:lang w:eastAsia="zh-CN"/>
        </w:rPr>
        <w:t xml:space="preserve">做好</w:t>
      </w:r>
      <w:r>
        <w:rPr>
          <w:rFonts w:hint="eastAsia" w:ascii="宋体" w:hAnsi="宋体" w:eastAsia="宋体" w:cs="宋体"/>
          <w:color w:val="auto"/>
          <w:highlight w:val="none"/>
        </w:rPr>
        <w:t xml:space="preserve">管护区域内各类设施的维护及安全生产工作，发现安全隐患及时处理，在管护期限和管护范围内发生的人身和财产等一切安全事故均由中标单位全面负责。</w:t>
      </w:r>
      <w:r/>
    </w:p>
    <w:p>
      <w:p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15、中标单位要对现有设施、设备保持完整、完好，易损件要及时更换、维修，对设施、设备的损失和残缺应及时维修、更换。所有养护材料均由供应商自行提供，但供货时必须提供检验报告。</w:t>
      </w:r>
      <w:r/>
    </w:p>
    <w:p>
      <w:p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16、中标单位应当遵守有关环境保护和安全生产</w:t>
      </w:r>
      <w:r>
        <w:rPr>
          <w:rFonts w:hint="eastAsia" w:ascii="宋体" w:hAnsi="宋体" w:eastAsia="宋体" w:cs="宋体"/>
          <w:color w:val="auto"/>
          <w:highlight w:val="none"/>
          <w:lang w:eastAsia="zh-CN"/>
        </w:rPr>
        <w:t xml:space="preserve">法律法规</w:t>
      </w:r>
      <w:r>
        <w:rPr>
          <w:rFonts w:hint="eastAsia" w:ascii="宋体" w:hAnsi="宋体" w:eastAsia="宋体" w:cs="宋体"/>
          <w:color w:val="auto"/>
          <w:highlight w:val="none"/>
        </w:rPr>
        <w:t xml:space="preserve">的规定，采取措施防止或者减少粉尘、废气、废水、固体废物、噪声、振动和照明产生的污染和危害。严格执行动火作业“四个一律”，动火、电焊、气焊作业人员应持证上岗，动火作业应安排专门人员进行现场安全管理，施工现场应及时清理可燃包装纸、包装盒、可燃编织袋，工人在从事施工作业时不得违规抽烟，施工现场不得使用阻燃性能不达标的建筑材料及制品。养护作业现场应干净整齐。余料及时清理、清扫，禁止随意丢弃。现场的各种设施、材料、设备器材等物料、应当定点存放。禁止在现场外擅自占道堆放作业材料，施工结束后做到工完、料净、场地清。</w:t>
      </w:r>
      <w:r/>
    </w:p>
    <w:p>
      <w:p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17、在养护施工时应当保护其他市政设施的完好。如确需暂时损坏或变更市政设施的，应当经采购人同意后方可实施，施工完成后应请权属单位检查验收，同时做好记录备案工作。</w:t>
      </w:r>
      <w:r/>
    </w:p>
    <w:p>
      <w:p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18、当出现以下因素时，采购人有权随时终止合同，并全额扣减其履约保证金，中标单位不得以任何理由提出索赔要求：</w:t>
      </w:r>
      <w:r/>
    </w:p>
    <w:p>
      <w:pPr>
        <w:pStyle w:val="89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（1）因中标单位原因发生安全事故；</w:t>
      </w:r>
      <w:r/>
    </w:p>
    <w:p>
      <w:pPr>
        <w:pStyle w:val="89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（2）中标单位不服从业主正常养护任务安排，造成工作延误；</w:t>
      </w:r>
      <w:r/>
    </w:p>
    <w:p>
      <w:pPr>
        <w:pStyle w:val="89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（3）中标单位未按照投标承诺配备相应设备和人员；</w:t>
      </w:r>
      <w:r/>
    </w:p>
    <w:p>
      <w:pPr>
        <w:pStyle w:val="89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（4）在履约过程中，存在偷工减料、以次充好等质量问题，造成工程质量不合格；</w:t>
      </w:r>
      <w:r/>
    </w:p>
    <w:p>
      <w:pPr>
        <w:pStyle w:val="89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（5）全年检查中日常考核和专项考核累计三次得分70分以下；</w:t>
      </w:r>
      <w:r/>
    </w:p>
    <w:p>
      <w:pPr>
        <w:pStyle w:val="89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（6）中标单位未经采购人同意不得分包，如发现中标单位擅自分包或转包，采购人有权单方解除合同。</w:t>
      </w:r>
      <w:r/>
    </w:p>
    <w:p>
      <w:p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19、安全文明施工要求：必须严格按照相关规定执行安全文明施工（包含但不限于以下）：</w:t>
      </w:r>
      <w:r/>
    </w:p>
    <w:p>
      <w:pPr>
        <w:pStyle w:val="89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（1）施工区域应设置明显的安全标志、</w:t>
      </w:r>
      <w:r>
        <w:rPr>
          <w:rFonts w:hint="eastAsia" w:ascii="宋体" w:hAnsi="宋体" w:eastAsia="宋体" w:cs="宋体"/>
          <w:color w:val="auto"/>
          <w:highlight w:val="none"/>
          <w:lang w:eastAsia="zh-CN"/>
        </w:rPr>
        <w:t xml:space="preserve">夜间</w:t>
      </w:r>
      <w:r>
        <w:rPr>
          <w:rFonts w:hint="eastAsia" w:ascii="宋体" w:hAnsi="宋体" w:eastAsia="宋体" w:cs="宋体"/>
          <w:color w:val="auto"/>
          <w:highlight w:val="none"/>
        </w:rPr>
        <w:t xml:space="preserve">警示灯具；</w:t>
      </w:r>
      <w:r/>
    </w:p>
    <w:p>
      <w:pPr>
        <w:pStyle w:val="89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（2）施工区域应按规定设置围挡、临时信号灯等；</w:t>
      </w:r>
      <w:r/>
    </w:p>
    <w:p>
      <w:pPr>
        <w:pStyle w:val="89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（3）施工人员作业时要求统一着装；</w:t>
      </w:r>
      <w:r/>
    </w:p>
    <w:p>
      <w:pPr>
        <w:pStyle w:val="89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（4）施工区域做到材料堆放整齐，易扬尘材料必须进行覆盖；</w:t>
      </w:r>
      <w:r/>
    </w:p>
    <w:p>
      <w:pPr>
        <w:pStyle w:val="89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（5）要求做到工完、料净、场地清；</w:t>
      </w:r>
      <w:r/>
    </w:p>
    <w:p>
      <w:pPr>
        <w:pStyle w:val="89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20、中标单位负责养护</w:t>
      </w:r>
      <w:r>
        <w:rPr>
          <w:rFonts w:hint="eastAsia" w:ascii="宋体" w:hAnsi="宋体" w:eastAsia="宋体" w:cs="宋体"/>
          <w:color w:val="auto"/>
          <w:highlight w:val="none"/>
          <w:lang w:eastAsia="zh-CN"/>
        </w:rPr>
        <w:t xml:space="preserve">管理过程</w:t>
      </w:r>
      <w:r>
        <w:rPr>
          <w:rFonts w:hint="eastAsia" w:ascii="宋体" w:hAnsi="宋体" w:eastAsia="宋体" w:cs="宋体"/>
          <w:color w:val="auto"/>
          <w:highlight w:val="none"/>
        </w:rPr>
        <w:t xml:space="preserve">中的一切责任，其中包括但不限于万一发生的一切工伤事故及工作人员的作业或非作业性的人身、财产安全等责任，或由于作业、养护管理不到位引起的第三方的人身、财产安全等责任。</w:t>
      </w:r>
      <w:r/>
    </w:p>
    <w:p>
      <w:pPr>
        <w:pStyle w:val="89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21、中标单位必须按时发工资，聘用人员工资待遇不能</w:t>
      </w:r>
      <w:r>
        <w:rPr>
          <w:rFonts w:hint="eastAsia" w:ascii="宋体" w:hAnsi="宋体" w:eastAsia="宋体" w:cs="宋体"/>
          <w:color w:val="auto"/>
          <w:highlight w:val="none"/>
          <w:lang w:eastAsia="zh-CN"/>
        </w:rPr>
        <w:t xml:space="preserve">低于</w:t>
      </w:r>
      <w:r>
        <w:rPr>
          <w:rFonts w:hint="eastAsia" w:ascii="宋体" w:hAnsi="宋体" w:eastAsia="宋体" w:cs="宋体"/>
          <w:color w:val="auto"/>
          <w:highlight w:val="none"/>
        </w:rPr>
        <w:t xml:space="preserve">当地政府的最低工资待遇标准（社会保险和意外保险另算），任何劳资纠纷全由中标供应商负责。供应商所用人员必须按照中华人民共和国《</w:t>
      </w:r>
      <w:r>
        <w:rPr>
          <w:rFonts w:hint="eastAsia" w:ascii="宋体" w:hAnsi="宋体" w:eastAsia="宋体" w:cs="宋体"/>
          <w:color w:val="auto"/>
          <w:highlight w:val="none"/>
          <w:lang w:eastAsia="zh-CN"/>
        </w:rPr>
        <w:t xml:space="preserve">中华人民共和国劳动法</w:t>
      </w:r>
      <w:r>
        <w:rPr>
          <w:rFonts w:hint="eastAsia" w:ascii="宋体" w:hAnsi="宋体" w:eastAsia="宋体" w:cs="宋体"/>
          <w:color w:val="auto"/>
          <w:highlight w:val="none"/>
        </w:rPr>
        <w:t xml:space="preserve">》的规定执行，如遇到工资纠纷问题由服务方自行解决。</w:t>
      </w:r>
      <w:r/>
    </w:p>
    <w:p>
      <w:pPr>
        <w:pStyle w:val="89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22、本次采购不接受联合报价及分包、转包。</w:t>
      </w:r>
      <w:r/>
    </w:p>
    <w:p>
      <w:pPr>
        <w:ind w:firstLine="422"/>
        <w:spacing w:line="360" w:lineRule="auto"/>
        <w:rPr>
          <w:rFonts w:hint="eastAsia" w:ascii="宋体" w:hAnsi="宋体" w:eastAsia="宋体" w:cs="宋体"/>
          <w:b/>
          <w:color w:val="auto"/>
          <w:szCs w:val="21"/>
          <w:highlight w:val="none"/>
        </w:rPr>
        <w:outlineLvl w:val="2"/>
      </w:pPr>
      <w:r/>
      <w:bookmarkStart w:id="49" w:name="_Toc523064067"/>
      <w:r/>
      <w:bookmarkStart w:id="50" w:name="_Toc514592373"/>
      <w:r/>
      <w:bookmarkStart w:id="51" w:name="_Toc523128882"/>
      <w:r>
        <w:rPr>
          <w:rFonts w:hint="eastAsia" w:ascii="宋体" w:hAnsi="宋体" w:eastAsia="宋体" w:cs="宋体"/>
          <w:b/>
          <w:color w:val="auto"/>
          <w:szCs w:val="21"/>
          <w:highlight w:val="none"/>
          <w:lang w:val="zh-CN"/>
        </w:rPr>
        <w:t xml:space="preserve">第六条 双方的权利和义务</w:t>
      </w:r>
      <w:bookmarkEnd w:id="49"/>
      <w:r/>
      <w:bookmarkEnd w:id="50"/>
      <w:r/>
      <w:bookmarkEnd w:id="51"/>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1、甲方权利和义务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1）甲方每月</w:t>
      </w:r>
      <w:r>
        <w:rPr>
          <w:rFonts w:hint="eastAsia" w:ascii="宋体" w:hAnsi="宋体" w:eastAsia="宋体" w:cs="宋体"/>
          <w:color w:val="auto"/>
          <w:szCs w:val="21"/>
          <w:highlight w:val="none"/>
          <w:lang w:eastAsia="zh-CN"/>
        </w:rPr>
        <w:t xml:space="preserve">28日</w:t>
      </w:r>
      <w:r>
        <w:rPr>
          <w:rFonts w:hint="eastAsia" w:ascii="宋体" w:hAnsi="宋体" w:eastAsia="宋体" w:cs="宋体"/>
          <w:color w:val="auto"/>
          <w:szCs w:val="21"/>
          <w:highlight w:val="none"/>
        </w:rPr>
        <w:t xml:space="preserve">之前审核中标单位上报的下个月度养护计划及月度工作量报表，并于每月5日前检查上个月养护计划执行情况，并进行月度考核；</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2）对中标单位的质量、安全、工期和巡视工作进行不定期抽查；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3）根据养护需要，甲方对中标单位的工作内容及范围有调整的权利，要求中标单位服从；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4）在中标单位不能履行本合同相应责任、义务或未完成履行而造成严重后果时,甲方将书面通知成交供应商终止合同,并按相关</w:t>
      </w:r>
      <w:r>
        <w:rPr>
          <w:rFonts w:hint="eastAsia" w:ascii="宋体" w:hAnsi="宋体" w:eastAsia="宋体" w:cs="宋体"/>
          <w:color w:val="auto"/>
          <w:szCs w:val="21"/>
          <w:highlight w:val="none"/>
          <w:lang w:eastAsia="zh-CN"/>
        </w:rPr>
        <w:t xml:space="preserve">法律法规</w:t>
      </w:r>
      <w:r>
        <w:rPr>
          <w:rFonts w:hint="eastAsia" w:ascii="宋体" w:hAnsi="宋体" w:eastAsia="宋体" w:cs="宋体"/>
          <w:color w:val="auto"/>
          <w:szCs w:val="21"/>
          <w:highlight w:val="none"/>
        </w:rPr>
        <w:t xml:space="preserve">对成交供应商追究责任；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5）帮助协调中标单位养护作业施工与外部环境的问题；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6）按照合同要求及时向中标单位支付养护经费；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7）对中标单位报送的设计图进行确认后，中标单位可实施；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8）在中标单位不能履行本合同相应责任、义务或未完成履行而造成严重后果时,甲方将书面通知中标单位终止合同,并按相关</w:t>
      </w:r>
      <w:r>
        <w:rPr>
          <w:rFonts w:hint="eastAsia" w:ascii="宋体" w:hAnsi="宋体" w:eastAsia="宋体" w:cs="宋体"/>
          <w:color w:val="auto"/>
          <w:szCs w:val="21"/>
          <w:highlight w:val="none"/>
          <w:lang w:eastAsia="zh-CN"/>
        </w:rPr>
        <w:t xml:space="preserve">法律法规</w:t>
      </w:r>
      <w:r>
        <w:rPr>
          <w:rFonts w:hint="eastAsia" w:ascii="宋体" w:hAnsi="宋体" w:eastAsia="宋体" w:cs="宋体"/>
          <w:color w:val="auto"/>
          <w:szCs w:val="21"/>
          <w:highlight w:val="none"/>
        </w:rPr>
        <w:t xml:space="preserve">对中标单位追究责任。</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b/>
          <w:color w:val="auto"/>
          <w:szCs w:val="21"/>
          <w:highlight w:val="none"/>
        </w:rPr>
        <w:t xml:space="preserve">2乙方的权利、责任和义务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1)按照本合同确定的养护设施范围，实施设施养护，确保养护设施完好率，取得相应的养护经费。</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2）乙方应在每月25日前向采购人提交下月的养护书面计划（质量、进度、安全、投资、材料计划等内容，反映存在的问题和应对措施，</w:t>
      </w:r>
      <w:r>
        <w:rPr>
          <w:rFonts w:hint="eastAsia" w:ascii="宋体" w:hAnsi="宋体" w:eastAsia="宋体" w:cs="宋体"/>
          <w:color w:val="auto"/>
          <w:highlight w:val="none"/>
        </w:rPr>
        <w:t xml:space="preserve">纸质材料</w:t>
      </w:r>
      <w:r>
        <w:rPr>
          <w:rFonts w:hint="eastAsia" w:ascii="宋体" w:hAnsi="宋体" w:eastAsia="宋体" w:cs="宋体"/>
          <w:color w:val="auto"/>
          <w:szCs w:val="21"/>
          <w:highlight w:val="none"/>
        </w:rPr>
        <w:t xml:space="preserve">提交采购人），并组织实施经甲方认定的月度养护计划。</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3)根据有关养护的</w:t>
      </w:r>
      <w:r>
        <w:rPr>
          <w:rFonts w:hint="eastAsia" w:ascii="宋体" w:hAnsi="宋体" w:eastAsia="宋体" w:cs="宋体"/>
          <w:color w:val="auto"/>
          <w:szCs w:val="21"/>
          <w:highlight w:val="none"/>
          <w:lang w:eastAsia="zh-CN"/>
        </w:rPr>
        <w:t xml:space="preserve">法律法规</w:t>
      </w:r>
      <w:r>
        <w:rPr>
          <w:rFonts w:hint="eastAsia" w:ascii="宋体" w:hAnsi="宋体" w:eastAsia="宋体" w:cs="宋体"/>
          <w:color w:val="auto"/>
          <w:szCs w:val="21"/>
          <w:highlight w:val="none"/>
        </w:rPr>
        <w:t xml:space="preserve">和规范性文件，以及相关的技术规程和检查、考核办法等要求做好养护工作，确保维护质量。</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4)按照规定对设施组织每日巡视和经常检查，每月对养护计划执行情况进行自查。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5)及时做好养护项目的内、外业资料的记录、收集、整理、保管、上报采购人</w:t>
      </w:r>
      <w:r>
        <w:rPr>
          <w:rFonts w:hint="eastAsia" w:ascii="宋体" w:hAnsi="宋体" w:eastAsia="宋体" w:cs="宋体"/>
          <w:color w:val="auto"/>
          <w:szCs w:val="21"/>
          <w:highlight w:val="none"/>
          <w:lang w:eastAsia="zh-CN"/>
        </w:rPr>
        <w:t xml:space="preserve">等工</w:t>
      </w:r>
      <w:r>
        <w:rPr>
          <w:rFonts w:hint="eastAsia" w:ascii="宋体" w:hAnsi="宋体" w:eastAsia="宋体" w:cs="宋体"/>
          <w:color w:val="auto"/>
          <w:szCs w:val="21"/>
          <w:highlight w:val="none"/>
        </w:rPr>
        <w:t xml:space="preserve">作，配合采购人进行设施完好状况检查、考核及日常安全、质量的检查。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6)乙方进行养护时，必须选用符合设计及甲方要求的材料、设备，如有改变，必须征得甲方代表的签认。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7)做好文明施工及各项现场管理工作，按照文明工地做好施工范围内的交通疏导，若因维护不当或安全措施不足而导致甲方或第三方损失的，乙方应负完全责任，并负经济赔偿责任。</w:t>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8）防汛、暴雪期间，成交供应商需及时上路巡查，并无条件服从甲方的有关抢险调度。</w:t>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9）应文明施工，尽量减少灰尘</w:t>
      </w:r>
      <w:r>
        <w:rPr>
          <w:rFonts w:hint="eastAsia" w:ascii="宋体" w:hAnsi="宋体" w:eastAsia="宋体" w:cs="宋体"/>
          <w:color w:val="auto"/>
          <w:szCs w:val="21"/>
          <w:highlight w:val="none"/>
          <w:lang w:eastAsia="zh-CN"/>
        </w:rPr>
        <w:t xml:space="preserve">噪声</w:t>
      </w:r>
      <w:r>
        <w:rPr>
          <w:rFonts w:hint="eastAsia" w:ascii="宋体" w:hAnsi="宋体" w:eastAsia="宋体" w:cs="宋体"/>
          <w:color w:val="auto"/>
          <w:szCs w:val="21"/>
          <w:highlight w:val="none"/>
        </w:rPr>
        <w:t xml:space="preserve">等，不影响正常活动。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10)乙方对所维护的交通设施包括区域内道路护栏有巡查的义务,如发现人为损坏、非法占用或偷盗等情况时,应予以制止,并及时向甲方报告。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乙方须具有绘图能力，对于维护的工程，需绘制施工图纸的，按照甲方要求绘制施工图、编制施工组织设计，报甲方确认后，专项维修需同时报送造价，甲方审核批准后，乙方可实施。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12）在迎接文明城市检查、应急等各项活动工作中，服从甲方安排，达到检查及应急要求。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13）安排相应车辆，供日常及月度检查考核使用。以上费用由乙方自行承担，结算时不另行计算。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14）实施过程中与市容、交通、道路、周边小区</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外部的协调由乙方自行承担</w:t>
      </w:r>
      <w:r>
        <w:rPr>
          <w:rFonts w:hint="eastAsia" w:ascii="宋体" w:hAnsi="宋体" w:eastAsia="宋体" w:cs="宋体"/>
          <w:color w:val="auto"/>
          <w:szCs w:val="21"/>
          <w:highlight w:val="none"/>
          <w:lang w:eastAsia="zh-CN"/>
        </w:rPr>
        <w:t xml:space="preserve">，由</w:t>
      </w:r>
      <w:r>
        <w:rPr>
          <w:rFonts w:hint="eastAsia" w:ascii="宋体" w:hAnsi="宋体" w:eastAsia="宋体" w:cs="宋体"/>
          <w:color w:val="auto"/>
          <w:szCs w:val="21"/>
          <w:highlight w:val="none"/>
        </w:rPr>
        <w:t xml:space="preserve">甲方协助。接水接电由乙方自行承担，结算时不另行计算。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15)完成甲方交办的道路挖掘行政审批监管及其他临时性工作。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16）乙方所用人员必须按照中华人民共和国《</w:t>
      </w:r>
      <w:r>
        <w:rPr>
          <w:rFonts w:hint="eastAsia" w:ascii="宋体" w:hAnsi="宋体" w:eastAsia="宋体" w:cs="宋体"/>
          <w:color w:val="auto"/>
          <w:szCs w:val="21"/>
          <w:highlight w:val="none"/>
          <w:lang w:eastAsia="zh-CN"/>
        </w:rPr>
        <w:t xml:space="preserve">中华人民共和国劳动法</w:t>
      </w:r>
      <w:r>
        <w:rPr>
          <w:rFonts w:hint="eastAsia" w:ascii="宋体" w:hAnsi="宋体" w:eastAsia="宋体" w:cs="宋体"/>
          <w:color w:val="auto"/>
          <w:szCs w:val="21"/>
          <w:highlight w:val="none"/>
        </w:rPr>
        <w:t xml:space="preserve">》的规定执行，如遇到工资纠纷问题由乙方自行解决。</w:t>
      </w:r>
      <w:r/>
    </w:p>
    <w:p>
      <w:pPr>
        <w:ind w:firstLine="422"/>
        <w:spacing w:line="360" w:lineRule="auto"/>
        <w:rPr>
          <w:rFonts w:hint="eastAsia" w:ascii="宋体" w:hAnsi="宋体" w:eastAsia="宋体" w:cs="宋体"/>
          <w:b/>
          <w:color w:val="auto"/>
          <w:szCs w:val="21"/>
          <w:highlight w:val="none"/>
        </w:rPr>
        <w:outlineLvl w:val="2"/>
      </w:pPr>
      <w:r/>
      <w:bookmarkStart w:id="52" w:name="_Toc514592374"/>
      <w:r/>
      <w:bookmarkStart w:id="53" w:name="_Toc523128883"/>
      <w:r/>
      <w:bookmarkStart w:id="54" w:name="_Toc523064068"/>
      <w:r>
        <w:rPr>
          <w:rFonts w:hint="eastAsia" w:ascii="宋体" w:hAnsi="宋体" w:eastAsia="宋体" w:cs="宋体"/>
          <w:b/>
          <w:color w:val="auto"/>
          <w:szCs w:val="21"/>
          <w:highlight w:val="none"/>
          <w:lang w:val="zh-CN"/>
        </w:rPr>
        <w:t xml:space="preserve">第七条 付款及结算</w:t>
      </w:r>
      <w:bookmarkEnd w:id="52"/>
      <w:r/>
      <w:bookmarkEnd w:id="53"/>
      <w:r/>
      <w:bookmarkEnd w:id="54"/>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合同项下所有款项均以人民币支付。</w:t>
      </w:r>
      <w:r/>
    </w:p>
    <w:p>
      <w:pPr>
        <w:ind w:firstLine="420"/>
        <w:spacing w:line="360" w:lineRule="auto"/>
        <w:rPr>
          <w:rFonts w:hint="eastAsia" w:ascii="宋体" w:hAnsi="宋体" w:eastAsia="宋体" w:cs="宋体"/>
          <w:color w:val="auto"/>
          <w:szCs w:val="21"/>
          <w:highlight w:val="none"/>
        </w:rPr>
      </w:pPr>
      <w:r/>
      <w:bookmarkStart w:id="55" w:name="_Toc514592375"/>
      <w:r/>
      <w:bookmarkStart w:id="56" w:name="_Toc523064069"/>
      <w:r/>
      <w:bookmarkStart w:id="57" w:name="_Toc523128884"/>
      <w:r>
        <w:rPr>
          <w:rFonts w:hint="eastAsia" w:ascii="宋体" w:hAnsi="宋体" w:eastAsia="宋体" w:cs="宋体"/>
          <w:color w:val="auto"/>
          <w:szCs w:val="21"/>
          <w:highlight w:val="none"/>
        </w:rPr>
        <w:t xml:space="preserve">付款方式：</w:t>
      </w:r>
      <w:r/>
    </w:p>
    <w:p>
      <w:pPr>
        <w:ind w:firstLine="411"/>
        <w:spacing w:line="360" w:lineRule="auto"/>
        <w:shd w:val="clear" w:color="auto"/>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（1）交通设施日常管养费分</w:t>
      </w:r>
      <w:r>
        <w:rPr>
          <w:rFonts w:hint="eastAsia" w:ascii="宋体" w:hAnsi="宋体" w:eastAsia="宋体" w:cs="宋体"/>
          <w:color w:val="auto"/>
          <w:highlight w:val="none"/>
          <w:shd w:val="clear" w:color="auto" w:fill="auto"/>
          <w:lang w:val="en-US" w:eastAsia="zh-CN"/>
        </w:rPr>
        <w:t xml:space="preserve">4</w:t>
      </w:r>
      <w:r>
        <w:rPr>
          <w:rFonts w:hint="eastAsia" w:ascii="宋体" w:hAnsi="宋体" w:eastAsia="宋体" w:cs="宋体"/>
          <w:color w:val="auto"/>
          <w:highlight w:val="none"/>
          <w:shd w:val="clear" w:color="auto" w:fill="auto"/>
        </w:rPr>
        <w:t xml:space="preserve">次支付，每</w:t>
      </w:r>
      <w:r>
        <w:rPr>
          <w:rFonts w:hint="eastAsia" w:ascii="宋体" w:hAnsi="宋体" w:eastAsia="宋体" w:cs="宋体"/>
          <w:color w:val="auto"/>
          <w:highlight w:val="none"/>
          <w:shd w:val="clear" w:color="auto" w:fill="auto"/>
          <w:lang w:val="en-US" w:eastAsia="zh-CN"/>
        </w:rPr>
        <w:t xml:space="preserve">三个月的次月</w:t>
      </w:r>
      <w:r>
        <w:rPr>
          <w:rFonts w:hint="eastAsia" w:ascii="宋体" w:hAnsi="宋体" w:eastAsia="宋体" w:cs="宋体"/>
          <w:color w:val="auto"/>
          <w:highlight w:val="none"/>
          <w:shd w:val="clear" w:color="auto" w:fill="auto"/>
        </w:rPr>
        <w:t xml:space="preserve">支付</w:t>
      </w:r>
      <w:r>
        <w:rPr>
          <w:rFonts w:hint="eastAsia" w:ascii="宋体" w:hAnsi="宋体" w:eastAsia="宋体" w:cs="宋体"/>
          <w:color w:val="auto"/>
          <w:highlight w:val="none"/>
          <w:shd w:val="clear" w:color="auto" w:fill="auto"/>
          <w:lang w:val="en-US" w:eastAsia="zh-CN"/>
        </w:rPr>
        <w:t xml:space="preserve">前三个月的日常管养费用</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lang w:val="en-US" w:eastAsia="zh-CN"/>
        </w:rPr>
        <w:t xml:space="preserve">每次支付日常管养费用的25%</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lang w:val="en-US" w:eastAsia="zh-CN"/>
        </w:rPr>
        <w:t xml:space="preserve">扣除相应考核扣款及违约罚款费用</w:t>
      </w:r>
      <w:r>
        <w:rPr>
          <w:rFonts w:hint="eastAsia" w:ascii="宋体" w:hAnsi="宋体" w:eastAsia="宋体" w:cs="宋体"/>
          <w:color w:val="auto"/>
          <w:highlight w:val="none"/>
          <w:shd w:val="clear" w:color="auto" w:fill="auto"/>
          <w:lang w:eastAsia="zh-CN"/>
        </w:rPr>
        <w:t xml:space="preserve">）。</w:t>
      </w:r>
      <w:r/>
    </w:p>
    <w:p>
      <w:pPr>
        <w:ind w:firstLine="41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（2）更新安装专项</w:t>
      </w:r>
      <w:r>
        <w:rPr>
          <w:rFonts w:hint="eastAsia" w:ascii="宋体" w:hAnsi="宋体" w:eastAsia="宋体" w:cs="宋体"/>
          <w:color w:val="auto"/>
          <w:highlight w:val="none"/>
          <w:lang w:eastAsia="zh-CN"/>
        </w:rPr>
        <w:t xml:space="preserve">费用</w:t>
      </w:r>
      <w:r>
        <w:rPr>
          <w:rFonts w:hint="eastAsia" w:ascii="宋体" w:hAnsi="宋体" w:eastAsia="宋体" w:cs="宋体"/>
          <w:color w:val="auto"/>
          <w:highlight w:val="none"/>
        </w:rPr>
        <w:t xml:space="preserve">支付：</w:t>
      </w:r>
      <w:r/>
    </w:p>
    <w:p>
      <w:pPr>
        <w:ind w:firstLine="41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①更新安装专项维修完成并验收合格，且完成工程</w:t>
      </w:r>
      <w:r>
        <w:rPr>
          <w:rFonts w:hint="eastAsia" w:ascii="宋体" w:hAnsi="宋体" w:eastAsia="宋体" w:cs="宋体"/>
          <w:color w:val="auto"/>
          <w:highlight w:val="none"/>
          <w:lang w:val="en-US" w:eastAsia="zh-CN"/>
        </w:rPr>
        <w:t xml:space="preserve">结算</w:t>
      </w:r>
      <w:r>
        <w:rPr>
          <w:rFonts w:hint="eastAsia" w:ascii="宋体" w:hAnsi="宋体" w:eastAsia="宋体" w:cs="宋体"/>
          <w:color w:val="auto"/>
          <w:highlight w:val="none"/>
        </w:rPr>
        <w:t xml:space="preserve">审计，按照要求提交所有竣工资料后支付至审定价的70%，余款待一年质保期满后支付。</w:t>
      </w:r>
      <w:r/>
    </w:p>
    <w:p>
      <w:pPr>
        <w:ind w:firstLine="41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②如审计核减率在10%以内，审计费用由甲方支付，如审计核减率超过10%，该项目审计费用全部由中标单位支付。</w:t>
      </w:r>
      <w:r/>
    </w:p>
    <w:p>
      <w:pPr>
        <w:ind w:firstLine="41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szCs w:val="21"/>
          <w:highlight w:val="none"/>
        </w:rPr>
        <w:t xml:space="preserve">甲方收到乙方提供的同等金额的正规发票后，在履行财政相关资金审批手续后向乙方支付合同款。 因采购人使用的是财政资金，采购人在前款规定的付款时间为向政府采购支付部门提出办理财政支付申请手续的时间（不含政府财政支付部门审核的时间），在规定时间内提出支付申请手续后即视为采购人已经按期支付。手续后即视为采购人已经按期支付。</w:t>
      </w:r>
      <w:r/>
    </w:p>
    <w:p>
      <w:pPr>
        <w:ind w:firstLine="422"/>
        <w:spacing w:line="360" w:lineRule="auto"/>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zh-CN"/>
        </w:rPr>
        <w:t xml:space="preserve">第八条　违约责任</w:t>
      </w:r>
      <w:bookmarkEnd w:id="55"/>
      <w:r/>
      <w:bookmarkEnd w:id="56"/>
      <w:r/>
      <w:bookmarkEnd w:id="57"/>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1、甲方无正当理由拒绝验收或拒付合同款项的，应向乙方偿付合同总价10％的违约金。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2、乙方无法完成项目的，应向甲方支付合同总价10％的违约金，同时甲方有权解除合同。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3、乙方逾期完成项目的，每逾期1天应向甲方偿付逾期交付合同总额0.5％的滞纳金，但滞纳金累计不得超过逾期交付合同总额的5％；一旦滞纳金总额累计达到逾期交付合同总额的5％，甲方有权解除合同。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4、乙方完成的项目不符合要求的，应按照甲方选择的下列一种或多种方式承担赔偿责任：</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（2）在甲方规定时间内，修正有缺陷的部分以达到合同规定的要求并承担一切费用和风险，同时承担甲方因此所遭受的全部损失；</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（3）按合同规定同种货币退还甲方已付款项，同时承担由此发生的一切损失和费用，包括但不限于利息、银行手续费、维权所需诉讼费、律师费及其他必要费用。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6、乙方未按规定和承诺提供伴随服务、售后服务的，应向甲方支付合同总价5％的违约金。</w:t>
      </w:r>
      <w:r/>
    </w:p>
    <w:p>
      <w:pPr>
        <w:pStyle w:val="89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7、违约方承担违约责任并不影响其合同项下的义务（合同解除的除外）。</w:t>
      </w:r>
      <w:r/>
    </w:p>
    <w:p>
      <w:pPr>
        <w:ind w:firstLine="422"/>
        <w:spacing w:line="360" w:lineRule="auto"/>
        <w:rPr>
          <w:rFonts w:hint="eastAsia" w:ascii="宋体" w:hAnsi="宋体" w:eastAsia="宋体" w:cs="宋体"/>
          <w:b/>
          <w:color w:val="auto"/>
          <w:szCs w:val="21"/>
          <w:highlight w:val="none"/>
        </w:rPr>
        <w:outlineLvl w:val="2"/>
      </w:pPr>
      <w:r/>
      <w:bookmarkStart w:id="58" w:name="_Toc514592376"/>
      <w:r/>
      <w:bookmarkStart w:id="59" w:name="_Toc523064070"/>
      <w:r/>
      <w:bookmarkStart w:id="60" w:name="_Toc523128885"/>
      <w:r>
        <w:rPr>
          <w:rFonts w:hint="eastAsia" w:ascii="宋体" w:hAnsi="宋体" w:eastAsia="宋体" w:cs="宋体"/>
          <w:b/>
          <w:color w:val="auto"/>
          <w:szCs w:val="21"/>
          <w:highlight w:val="none"/>
          <w:lang w:val="zh-CN"/>
        </w:rPr>
        <w:t xml:space="preserve">第九条 不可抗力</w:t>
      </w:r>
      <w:bookmarkEnd w:id="58"/>
      <w:r/>
      <w:bookmarkEnd w:id="59"/>
      <w:r/>
      <w:bookmarkEnd w:id="60"/>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1、不可抗力，是指不能预见、不能避免并不能克服的客观情况，如战争、动乱、瘟疫、严重火灾、洪水、地震、风暴或其他自然灾害等。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3、发生不可抗力事件，任何一方均不对因不可抗力无法履行或迟延履行本合同义务而使另一方蒙受的任何损失承担责任，法律另有规定的除外。</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4、合同各方应根据不可抗力对本合同履行的影响程度，协商确定是否终止本合同或是继续履行本合同。</w:t>
      </w:r>
      <w:r/>
    </w:p>
    <w:p>
      <w:pPr>
        <w:ind w:firstLine="422"/>
        <w:spacing w:line="360" w:lineRule="auto"/>
        <w:rPr>
          <w:rFonts w:hint="eastAsia" w:ascii="宋体" w:hAnsi="宋体" w:eastAsia="宋体" w:cs="宋体"/>
          <w:b/>
          <w:color w:val="auto"/>
          <w:szCs w:val="21"/>
          <w:highlight w:val="none"/>
        </w:rPr>
        <w:outlineLvl w:val="2"/>
      </w:pPr>
      <w:r/>
      <w:bookmarkStart w:id="61" w:name="_Toc523128886"/>
      <w:r/>
      <w:bookmarkStart w:id="62" w:name="_Toc523064071"/>
      <w:r/>
      <w:bookmarkStart w:id="63" w:name="_Toc514592377"/>
      <w:r>
        <w:rPr>
          <w:rFonts w:hint="eastAsia" w:ascii="宋体" w:hAnsi="宋体" w:eastAsia="宋体" w:cs="宋体"/>
          <w:b/>
          <w:color w:val="auto"/>
          <w:szCs w:val="21"/>
          <w:highlight w:val="none"/>
          <w:lang w:val="zh-CN"/>
        </w:rPr>
        <w:t xml:space="preserve">第十条 履约保证金</w:t>
      </w:r>
      <w:bookmarkEnd w:id="61"/>
      <w:r/>
      <w:bookmarkEnd w:id="62"/>
      <w:r/>
      <w:bookmarkEnd w:id="63"/>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本项目乙方无需缴纳履约保证金。</w:t>
      </w:r>
      <w:r/>
    </w:p>
    <w:p>
      <w:pPr>
        <w:ind w:firstLine="422"/>
        <w:spacing w:line="360" w:lineRule="auto"/>
        <w:rPr>
          <w:rFonts w:hint="eastAsia" w:ascii="宋体" w:hAnsi="宋体" w:eastAsia="宋体" w:cs="宋体"/>
          <w:b/>
          <w:color w:val="auto"/>
          <w:szCs w:val="21"/>
          <w:highlight w:val="none"/>
        </w:rPr>
        <w:outlineLvl w:val="2"/>
      </w:pPr>
      <w:r/>
      <w:bookmarkStart w:id="64" w:name="_Toc523128888"/>
      <w:r/>
      <w:bookmarkStart w:id="65" w:name="_Toc523064073"/>
      <w:r/>
      <w:bookmarkStart w:id="66" w:name="_Toc514592379"/>
      <w:r>
        <w:rPr>
          <w:rFonts w:hint="eastAsia" w:ascii="宋体" w:hAnsi="宋体" w:eastAsia="宋体" w:cs="宋体"/>
          <w:b/>
          <w:color w:val="auto"/>
          <w:szCs w:val="21"/>
          <w:highlight w:val="none"/>
          <w:lang w:val="zh-CN"/>
        </w:rPr>
        <w:t xml:space="preserve">第十一条  合同的变更、终止</w:t>
      </w:r>
      <w:bookmarkEnd w:id="64"/>
      <w:r/>
      <w:bookmarkEnd w:id="65"/>
      <w:r/>
      <w:bookmarkEnd w:id="66"/>
      <w:r/>
      <w:r/>
    </w:p>
    <w:p>
      <w:pPr>
        <w:ind w:firstLine="411"/>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本合同一经签订，合同双方不得擅自变更或</w:t>
      </w:r>
      <w:r>
        <w:rPr>
          <w:rFonts w:hint="eastAsia" w:ascii="宋体" w:hAnsi="宋体" w:eastAsia="宋体" w:cs="宋体"/>
          <w:color w:val="auto"/>
          <w:szCs w:val="21"/>
          <w:highlight w:val="none"/>
          <w:lang w:eastAsia="zh-CN"/>
        </w:rPr>
        <w:t xml:space="preserve">终止</w:t>
      </w:r>
      <w:r>
        <w:rPr>
          <w:rFonts w:hint="eastAsia" w:ascii="宋体" w:hAnsi="宋体" w:eastAsia="宋体" w:cs="宋体"/>
          <w:color w:val="auto"/>
          <w:szCs w:val="21"/>
          <w:highlight w:val="none"/>
        </w:rPr>
        <w:t xml:space="preserve">合同，除非合同的继续履行将损害国家利益和社会公共利益。</w:t>
      </w:r>
      <w:r/>
    </w:p>
    <w:p>
      <w:pPr>
        <w:ind w:firstLine="422"/>
        <w:spacing w:line="360" w:lineRule="auto"/>
        <w:rPr>
          <w:rFonts w:hint="eastAsia" w:ascii="宋体" w:hAnsi="宋体" w:eastAsia="宋体" w:cs="宋体"/>
          <w:b/>
          <w:color w:val="auto"/>
          <w:szCs w:val="21"/>
          <w:highlight w:val="none"/>
        </w:rPr>
        <w:outlineLvl w:val="2"/>
      </w:pPr>
      <w:r/>
      <w:bookmarkStart w:id="67" w:name="_Toc523064074"/>
      <w:r/>
      <w:bookmarkStart w:id="68" w:name="_Toc523128889"/>
      <w:r/>
      <w:bookmarkStart w:id="69" w:name="_Toc514592380"/>
      <w:r>
        <w:rPr>
          <w:rFonts w:hint="eastAsia" w:ascii="宋体" w:hAnsi="宋体" w:eastAsia="宋体" w:cs="宋体"/>
          <w:b/>
          <w:color w:val="auto"/>
          <w:szCs w:val="21"/>
          <w:highlight w:val="none"/>
          <w:lang w:val="zh-CN"/>
        </w:rPr>
        <w:t xml:space="preserve">第十二条  合同的终止</w:t>
      </w:r>
      <w:bookmarkEnd w:id="67"/>
      <w:r/>
      <w:bookmarkEnd w:id="68"/>
      <w:r/>
      <w:bookmarkEnd w:id="69"/>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本合同因下列原因而终止：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（1）本合同正常履行完毕；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（2）因不可抗力导致本合同无法履行或履行不必要；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（3）任何一方行使解除权解除本合同；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（4）合同的继续履行将损害国家利益和社会公共利益。</w:t>
      </w:r>
      <w:r/>
    </w:p>
    <w:p>
      <w:pPr>
        <w:pStyle w:val="89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（5）在合同履行期间，采购人若受上级管养模式调整要</w:t>
      </w:r>
      <w:r>
        <w:rPr>
          <w:rFonts w:hint="eastAsia" w:ascii="宋体" w:hAnsi="宋体" w:eastAsia="宋体" w:cs="宋体"/>
          <w:color w:val="auto"/>
          <w:highlight w:val="none"/>
          <w:lang w:eastAsia="zh-CN"/>
        </w:rPr>
        <w:t xml:space="preserve">求等</w:t>
      </w:r>
      <w:r>
        <w:rPr>
          <w:rFonts w:hint="eastAsia" w:ascii="宋体" w:hAnsi="宋体" w:eastAsia="宋体" w:cs="宋体"/>
          <w:color w:val="auto"/>
          <w:highlight w:val="none"/>
        </w:rPr>
        <w:t xml:space="preserve">因素影响，本项目合同提前终止，采购人不承担任何违约责任。</w:t>
      </w:r>
      <w:r/>
    </w:p>
    <w:p>
      <w:pPr>
        <w:pStyle w:val="89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除上述情形外，甲乙双方不得擅自终止合同。</w:t>
      </w:r>
      <w:r/>
    </w:p>
    <w:p>
      <w:pPr>
        <w:ind w:firstLine="422"/>
        <w:spacing w:line="360" w:lineRule="auto"/>
        <w:rPr>
          <w:rFonts w:hint="eastAsia" w:ascii="宋体" w:hAnsi="宋体" w:eastAsia="宋体" w:cs="宋体"/>
          <w:b/>
          <w:color w:val="auto"/>
          <w:szCs w:val="21"/>
          <w:highlight w:val="none"/>
        </w:rPr>
        <w:outlineLvl w:val="2"/>
      </w:pPr>
      <w:r/>
      <w:bookmarkStart w:id="70" w:name="_Toc523128890"/>
      <w:r/>
      <w:bookmarkStart w:id="71" w:name="_Toc514592381"/>
      <w:r/>
      <w:bookmarkStart w:id="72" w:name="_Toc523064075"/>
      <w:r>
        <w:rPr>
          <w:rFonts w:hint="eastAsia" w:ascii="宋体" w:hAnsi="宋体" w:eastAsia="宋体" w:cs="宋体"/>
          <w:b/>
          <w:color w:val="auto"/>
          <w:szCs w:val="21"/>
          <w:highlight w:val="none"/>
          <w:lang w:val="zh-CN"/>
        </w:rPr>
        <w:t xml:space="preserve">第十三条  争议解决方式</w:t>
      </w:r>
      <w:bookmarkEnd w:id="70"/>
      <w:r/>
      <w:bookmarkEnd w:id="71"/>
      <w:r/>
      <w:bookmarkEnd w:id="72"/>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在执行本合同过程中所发生的或与本合同有关的一切争端，甲乙双方应通过友好协商的办法进行解决。如协商不能解决，则向甲方所在地人民法院提起诉讼。</w:t>
      </w:r>
      <w:r/>
    </w:p>
    <w:p>
      <w:pPr>
        <w:ind w:firstLine="422"/>
        <w:spacing w:line="360" w:lineRule="auto"/>
        <w:rPr>
          <w:rFonts w:hint="eastAsia" w:ascii="宋体" w:hAnsi="宋体" w:eastAsia="宋体" w:cs="宋体"/>
          <w:b/>
          <w:color w:val="auto"/>
          <w:szCs w:val="21"/>
          <w:highlight w:val="none"/>
        </w:rPr>
        <w:outlineLvl w:val="2"/>
      </w:pPr>
      <w:r/>
      <w:bookmarkStart w:id="73" w:name="_Toc523128891"/>
      <w:r/>
      <w:bookmarkStart w:id="74" w:name="_Toc514592382"/>
      <w:r/>
      <w:bookmarkStart w:id="75" w:name="_Toc523064076"/>
      <w:r>
        <w:rPr>
          <w:rFonts w:hint="eastAsia" w:ascii="宋体" w:hAnsi="宋体" w:eastAsia="宋体" w:cs="宋体"/>
          <w:b/>
          <w:color w:val="auto"/>
          <w:szCs w:val="21"/>
          <w:highlight w:val="none"/>
          <w:lang w:val="zh-CN"/>
        </w:rPr>
        <w:t xml:space="preserve">第十四条  合同生效及其他</w:t>
      </w:r>
      <w:bookmarkEnd w:id="73"/>
      <w:r/>
      <w:bookmarkEnd w:id="74"/>
      <w:r/>
      <w:bookmarkEnd w:id="75"/>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1、合同应在甲乙双方代表签字并加盖公章后生效。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2、本合同一式</w:t>
      </w:r>
      <w:r>
        <w:rPr>
          <w:rFonts w:hint="eastAsia" w:ascii="宋体" w:hAnsi="宋体" w:eastAsia="宋体" w:cs="宋体"/>
          <w:color w:val="auto"/>
          <w:szCs w:val="21"/>
          <w:highlight w:val="none"/>
          <w:lang w:val="en-US" w:eastAsia="zh-CN"/>
        </w:rPr>
        <w:t xml:space="preserve">陆</w:t>
      </w:r>
      <w:r>
        <w:rPr>
          <w:rFonts w:hint="eastAsia" w:ascii="宋体" w:hAnsi="宋体" w:eastAsia="宋体" w:cs="宋体"/>
          <w:color w:val="auto"/>
          <w:szCs w:val="21"/>
          <w:highlight w:val="none"/>
        </w:rPr>
        <w:t xml:space="preserve">份，甲方执</w:t>
      </w:r>
      <w:r>
        <w:rPr>
          <w:rFonts w:hint="eastAsia" w:ascii="宋体" w:hAnsi="宋体" w:eastAsia="宋体" w:cs="宋体"/>
          <w:color w:val="auto"/>
          <w:szCs w:val="21"/>
          <w:highlight w:val="none"/>
          <w:lang w:val="en-US" w:eastAsia="zh-CN"/>
        </w:rPr>
        <w:t xml:space="preserve">肆</w:t>
      </w:r>
      <w:r>
        <w:rPr>
          <w:rFonts w:hint="eastAsia" w:ascii="宋体" w:hAnsi="宋体" w:eastAsia="宋体" w:cs="宋体"/>
          <w:color w:val="auto"/>
          <w:szCs w:val="21"/>
          <w:highlight w:val="none"/>
        </w:rPr>
        <w:t xml:space="preserve">份、乙方执</w:t>
      </w:r>
      <w:r>
        <w:rPr>
          <w:rFonts w:hint="eastAsia" w:ascii="宋体" w:hAnsi="宋体" w:eastAsia="宋体" w:cs="宋体"/>
          <w:color w:val="auto"/>
          <w:szCs w:val="21"/>
          <w:highlight w:val="none"/>
          <w:lang w:val="en-US" w:eastAsia="zh-CN"/>
        </w:rPr>
        <w:t xml:space="preserve">贰</w:t>
      </w:r>
      <w:r>
        <w:rPr>
          <w:rFonts w:hint="eastAsia" w:ascii="宋体" w:hAnsi="宋体" w:eastAsia="宋体" w:cs="宋体"/>
          <w:color w:val="auto"/>
          <w:szCs w:val="21"/>
          <w:highlight w:val="none"/>
        </w:rPr>
        <w:t xml:space="preserve">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3、本合同应按照中华人民共和国的现行法律进行解释。</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甲方（盖章）：                                 乙方（盖章）：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代表签字：</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授权代表签字：</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                     开户银行：</w:t>
      </w:r>
      <w:r/>
    </w:p>
    <w:p>
      <w:pPr>
        <w:ind w:firstLine="483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账号</w:t>
      </w:r>
      <w:r>
        <w:rPr>
          <w:rFonts w:hint="eastAsia" w:ascii="宋体" w:hAnsi="宋体" w:eastAsia="宋体" w:cs="宋体"/>
          <w:color w:val="auto"/>
          <w:szCs w:val="21"/>
          <w:highlight w:val="none"/>
        </w:rPr>
        <w:t xml:space="preserve">：</w:t>
      </w:r>
      <w:r/>
    </w:p>
    <w:p>
      <w:pPr>
        <w:ind w:firstLine="483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r/>
    </w:p>
    <w:p>
      <w:pPr>
        <w:jc w:val="left"/>
        <w:spacing w:line="72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合同附件：</w:t>
      </w:r>
      <w:r/>
    </w:p>
    <w:p>
      <w:pPr>
        <w:pStyle w:val="892"/>
        <w:rPr>
          <w:rFonts w:hint="eastAsia" w:ascii="宋体" w:hAnsi="宋体" w:eastAsia="宋体" w:cs="宋体"/>
          <w:color w:val="auto"/>
          <w:highlight w:val="none"/>
        </w:rPr>
        <w:outlineLvl w:val="0"/>
      </w:pPr>
      <w:r/>
      <w:bookmarkStart w:id="76" w:name="_Toc1417"/>
      <w:r>
        <w:rPr>
          <w:rFonts w:hint="eastAsia" w:ascii="宋体" w:hAnsi="宋体" w:eastAsia="宋体" w:cs="宋体"/>
          <w:color w:val="auto"/>
          <w:highlight w:val="none"/>
        </w:rPr>
        <w:t xml:space="preserve">附件一：交通设施日常维护考核评分标准</w:t>
      </w:r>
      <w:bookmarkEnd w:id="76"/>
      <w:r/>
      <w:r/>
    </w:p>
    <w:tbl>
      <w:tblPr>
        <w:tblStyle w:val="1480"/>
        <w:tblW w:w="9464"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18"/>
        <w:gridCol w:w="2267"/>
        <w:gridCol w:w="817"/>
        <w:gridCol w:w="4142"/>
        <w:gridCol w:w="820"/>
      </w:tblGrid>
      <w:tr>
        <w:trPr>
          <w:trHeight w:val="281"/>
        </w:trPr>
        <w:tc>
          <w:tcPr>
            <w:tcW w:w="1418" w:type="dxa"/>
            <w:textDirection w:val="lrTb"/>
            <w:noWrap w:val="false"/>
          </w:tcPr>
          <w:p>
            <w:pPr>
              <w:ind w:left="105"/>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W w:w="2267" w:type="dxa"/>
            <w:textDirection w:val="lrTb"/>
            <w:noWrap w:val="false"/>
          </w:tcPr>
          <w:p>
            <w:pPr>
              <w:ind w:left="105"/>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考核内容</w:t>
            </w:r>
            <w:r/>
          </w:p>
        </w:tc>
        <w:tc>
          <w:tcPr>
            <w:tcW w:w="817" w:type="dxa"/>
            <w:textDirection w:val="lrTb"/>
            <w:noWrap w:val="false"/>
          </w:tcPr>
          <w:p>
            <w:pPr>
              <w:ind w:left="105"/>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分值</w:t>
            </w:r>
            <w:r/>
          </w:p>
        </w:tc>
        <w:tc>
          <w:tcPr>
            <w:tcW w:w="4142" w:type="dxa"/>
            <w:textDirection w:val="lrTb"/>
            <w:noWrap w:val="false"/>
          </w:tcPr>
          <w:p>
            <w:pPr>
              <w:ind w:left="105"/>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评分标准</w:t>
            </w:r>
            <w:r/>
          </w:p>
        </w:tc>
        <w:tc>
          <w:tcPr>
            <w:tcW w:w="820" w:type="dxa"/>
            <w:textDirection w:val="lrTb"/>
            <w:noWrap w:val="false"/>
          </w:tcPr>
          <w:p>
            <w:pPr>
              <w:ind w:left="105"/>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得分</w:t>
            </w:r>
            <w:r/>
          </w:p>
        </w:tc>
      </w:tr>
      <w:tr>
        <w:trPr>
          <w:trHeight w:val="2923"/>
        </w:trPr>
        <w:tc>
          <w:tcPr>
            <w:tcW w:w="1418" w:type="dxa"/>
            <w:vAlign w:val="center"/>
            <w:textDirection w:val="lrTb"/>
            <w:noWrap w:val="false"/>
          </w:tcPr>
          <w:p>
            <w:pPr>
              <w:ind w:left="105"/>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应急抢险</w:t>
            </w:r>
            <w:r/>
          </w:p>
        </w:tc>
        <w:tc>
          <w:tcPr>
            <w:tcW w:w="2267" w:type="dxa"/>
            <w:vAlign w:val="center"/>
            <w:textDirection w:val="lrTb"/>
            <w:noWrap w:val="false"/>
          </w:tcPr>
          <w:p>
            <w:pPr>
              <w:ind w:left="105"/>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严格实行一日一巡，确保巡视质量并做好巡视记录。接到主管部门指令第一时间组织人员对损坏设施进行抢修，排除安全隐患。</w:t>
            </w:r>
            <w:r/>
          </w:p>
        </w:tc>
        <w:tc>
          <w:tcPr>
            <w:tcW w:w="817" w:type="dxa"/>
            <w:vAlign w:val="center"/>
            <w:textDirection w:val="lrTb"/>
            <w:noWrap w:val="false"/>
          </w:tcPr>
          <w:p>
            <w:pPr>
              <w:ind w:left="105"/>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p>
        </w:tc>
        <w:tc>
          <w:tcPr>
            <w:tcW w:w="4142" w:type="dxa"/>
            <w:vAlign w:val="center"/>
            <w:textDirection w:val="lrTb"/>
            <w:noWrap w:val="false"/>
          </w:tcPr>
          <w:p>
            <w:pPr>
              <w:ind w:left="105"/>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在巡查过程中发现设施明显损坏、影响车辆和行人安全等安全隐患、危急情况及时做好维护并通知养护管理部门，</w:t>
            </w:r>
            <w:r>
              <w:rPr>
                <w:rFonts w:hint="eastAsia" w:ascii="宋体" w:hAnsi="宋体" w:eastAsia="宋体" w:cs="宋体"/>
                <w:color w:val="auto"/>
                <w:highlight w:val="none"/>
                <w:lang w:eastAsia="zh-CN"/>
              </w:rPr>
              <w:t xml:space="preserve">做好</w:t>
            </w:r>
            <w:r>
              <w:rPr>
                <w:rFonts w:hint="eastAsia" w:ascii="宋体" w:hAnsi="宋体" w:eastAsia="宋体" w:cs="宋体"/>
                <w:color w:val="auto"/>
                <w:highlight w:val="none"/>
              </w:rPr>
              <w:t xml:space="preserve">记录，未达到本条要求者，每次扣0.2分；遇应急情况，如大雨，暴雨，冰雪天等，巡查员应将各自负责巡查道路基本情况报知养护管理单位，未达到本条要求者，每次扣0.1分。</w:t>
            </w:r>
            <w:r/>
          </w:p>
        </w:tc>
        <w:tc>
          <w:tcPr>
            <w:tcW w:w="820" w:type="dxa"/>
            <w:vAlign w:val="center"/>
            <w:textDirection w:val="lrTb"/>
            <w:noWrap w:val="false"/>
          </w:tcPr>
          <w:p>
            <w:pPr>
              <w:ind w:left="105"/>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171"/>
        </w:trPr>
        <w:tc>
          <w:tcPr>
            <w:tcW w:w="1418" w:type="dxa"/>
            <w:vAlign w:val="center"/>
            <w:textDirection w:val="lrTb"/>
            <w:noWrap w:val="false"/>
          </w:tcPr>
          <w:p>
            <w:pPr>
              <w:ind w:left="105"/>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设施完好</w:t>
            </w:r>
            <w:r/>
          </w:p>
        </w:tc>
        <w:tc>
          <w:tcPr>
            <w:tcW w:w="2267" w:type="dxa"/>
            <w:vAlign w:val="center"/>
            <w:textDirection w:val="lrTb"/>
            <w:noWrap w:val="false"/>
          </w:tcPr>
          <w:p>
            <w:pPr>
              <w:ind w:left="105"/>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按规范要求做好交通设施养护，确保交通设施完好。</w:t>
            </w:r>
            <w:r/>
          </w:p>
        </w:tc>
        <w:tc>
          <w:tcPr>
            <w:tcW w:w="817" w:type="dxa"/>
            <w:vAlign w:val="center"/>
            <w:textDirection w:val="lrTb"/>
            <w:noWrap w:val="false"/>
          </w:tcPr>
          <w:p>
            <w:pPr>
              <w:ind w:left="105"/>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p>
        </w:tc>
        <w:tc>
          <w:tcPr>
            <w:tcW w:w="4142" w:type="dxa"/>
            <w:vAlign w:val="center"/>
            <w:textDirection w:val="lrTb"/>
            <w:noWrap w:val="false"/>
          </w:tcPr>
          <w:p>
            <w:pPr>
              <w:ind w:left="105"/>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交通设施完好：同一路口信号灯（以路口为单位、含行人过街信号灯、LED灯接触不良等故障）</w:t>
            </w:r>
            <w:r>
              <w:rPr>
                <w:rFonts w:hint="eastAsia" w:ascii="宋体" w:hAnsi="宋体" w:eastAsia="宋体" w:cs="宋体"/>
                <w:color w:val="auto"/>
                <w:highlight w:val="none"/>
                <w:lang w:eastAsia="zh-CN"/>
              </w:rPr>
              <w:t xml:space="preserve">一个</w:t>
            </w:r>
            <w:r>
              <w:rPr>
                <w:rFonts w:hint="eastAsia" w:ascii="宋体" w:hAnsi="宋体" w:eastAsia="宋体" w:cs="宋体"/>
                <w:color w:val="auto"/>
                <w:highlight w:val="none"/>
              </w:rPr>
              <w:t xml:space="preserve">月内连续出现两次以上故障，一处扣0.5分；有信号灯检修盖缺失、变形、未按规定加固，一处扣0.5分；有标I牌变形、移位、污染、废标、错误引导、错别字、英文翻译错误，一处扣1分；有标线不清、脱落、反光未达到</w:t>
            </w:r>
            <w:r>
              <w:rPr>
                <w:rFonts w:hint="eastAsia" w:ascii="宋体" w:hAnsi="宋体" w:eastAsia="宋体" w:cs="宋体"/>
                <w:color w:val="auto"/>
                <w:highlight w:val="none"/>
                <w:lang w:eastAsia="zh-CN"/>
              </w:rPr>
              <w:t xml:space="preserve">交通运输部</w:t>
            </w:r>
            <w:r>
              <w:rPr>
                <w:rFonts w:hint="eastAsia" w:ascii="宋体" w:hAnsi="宋体" w:eastAsia="宋体" w:cs="宋体"/>
                <w:color w:val="auto"/>
                <w:highlight w:val="none"/>
              </w:rPr>
              <w:t xml:space="preserve">《路面标线涂料》的标准规定，一处扣1分；存在上述情况未及时报告及采取安全围护措施及时修复的，一处扣1分。</w:t>
            </w:r>
            <w:r/>
          </w:p>
        </w:tc>
        <w:tc>
          <w:tcPr>
            <w:tcW w:w="820" w:type="dxa"/>
            <w:vAlign w:val="center"/>
            <w:textDirection w:val="lrTb"/>
            <w:noWrap w:val="false"/>
          </w:tcPr>
          <w:p>
            <w:pPr>
              <w:ind w:left="105"/>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911"/>
        </w:trPr>
        <w:tc>
          <w:tcPr>
            <w:tcW w:w="1418" w:type="dxa"/>
            <w:vAlign w:val="center"/>
            <w:textDirection w:val="lrTb"/>
            <w:noWrap w:val="false"/>
          </w:tcPr>
          <w:p>
            <w:pPr>
              <w:ind w:left="105"/>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设施维修</w:t>
            </w:r>
            <w:r/>
          </w:p>
        </w:tc>
        <w:tc>
          <w:tcPr>
            <w:tcW w:w="2267" w:type="dxa"/>
            <w:vAlign w:val="center"/>
            <w:textDirection w:val="lrTb"/>
            <w:noWrap w:val="false"/>
          </w:tcPr>
          <w:p>
            <w:pPr>
              <w:ind w:left="105"/>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按规范要求做好交通设施维修，确保按时高质量完成交通设施维修。</w:t>
            </w:r>
            <w:r/>
          </w:p>
        </w:tc>
        <w:tc>
          <w:tcPr>
            <w:tcW w:w="817" w:type="dxa"/>
            <w:vAlign w:val="center"/>
            <w:textDirection w:val="lrTb"/>
            <w:noWrap w:val="false"/>
          </w:tcPr>
          <w:p>
            <w:pPr>
              <w:ind w:left="105"/>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40</w:t>
            </w:r>
            <w:r/>
          </w:p>
        </w:tc>
        <w:tc>
          <w:tcPr>
            <w:tcW w:w="4142" w:type="dxa"/>
            <w:vAlign w:val="center"/>
            <w:textDirection w:val="lrTb"/>
            <w:noWrap w:val="false"/>
          </w:tcPr>
          <w:p>
            <w:pPr>
              <w:ind w:left="105"/>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交通设施维修及时性、因质量问题被群众投诉的处理：因质量问题被群众投诉的，每发生一次扣0.5分；热熔标</w:t>
            </w:r>
            <w:r>
              <w:rPr>
                <w:rFonts w:hint="eastAsia" w:ascii="宋体" w:hAnsi="宋体" w:eastAsia="宋体" w:cs="宋体"/>
                <w:color w:val="auto"/>
                <w:highlight w:val="none"/>
                <w:lang w:eastAsia="zh-CN"/>
              </w:rPr>
              <w:t xml:space="preserve">线设</w:t>
            </w:r>
            <w:r>
              <w:rPr>
                <w:rFonts w:hint="eastAsia" w:ascii="宋体" w:hAnsi="宋体" w:eastAsia="宋体" w:cs="宋体"/>
                <w:color w:val="auto"/>
                <w:highlight w:val="none"/>
              </w:rPr>
              <w:t xml:space="preserve">施反光效果差、剥离，附着不牢、涂膜不平整、涂膜有划痕一处扣0.5分；常温标线白漆发黄、漆膜有气泡或针孔、漆膜遮盖力不够、附着力差</w:t>
            </w:r>
            <w:r>
              <w:rPr>
                <w:rFonts w:hint="eastAsia" w:ascii="宋体" w:hAnsi="宋体" w:eastAsia="宋体" w:cs="宋体"/>
                <w:color w:val="auto"/>
                <w:highlight w:val="none"/>
                <w:lang w:eastAsia="zh-CN"/>
              </w:rPr>
              <w:t xml:space="preserve">一处</w:t>
            </w:r>
            <w:r>
              <w:rPr>
                <w:rFonts w:hint="eastAsia" w:ascii="宋体" w:hAnsi="宋体" w:eastAsia="宋体" w:cs="宋体"/>
                <w:color w:val="auto"/>
                <w:highlight w:val="none"/>
              </w:rPr>
              <w:t xml:space="preserve">扣0.5分；标志牌反光膜起泡、杆件倾斜、反光效果差一处扣0.5分；信号灯后盖松动及缺失、人行灯立柱倾斜、信号灯帽檐损坏一处扣0.5分；施工单位未能在规定时间内完成修复的，每逾期一次，扣1分。</w:t>
            </w:r>
            <w:r/>
          </w:p>
        </w:tc>
        <w:tc>
          <w:tcPr>
            <w:tcW w:w="820" w:type="dxa"/>
            <w:vAlign w:val="center"/>
            <w:textDirection w:val="lrTb"/>
            <w:noWrap w:val="false"/>
          </w:tcPr>
          <w:p>
            <w:pPr>
              <w:ind w:left="105"/>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541"/>
        </w:trPr>
        <w:tc>
          <w:tcPr>
            <w:tcW w:w="1418" w:type="dxa"/>
            <w:vAlign w:val="center"/>
            <w:textDirection w:val="lrTb"/>
            <w:noWrap w:val="false"/>
          </w:tcPr>
          <w:p>
            <w:pPr>
              <w:ind w:left="105"/>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设施保护</w:t>
            </w:r>
            <w:r/>
          </w:p>
        </w:tc>
        <w:tc>
          <w:tcPr>
            <w:tcW w:w="2267" w:type="dxa"/>
            <w:vAlign w:val="center"/>
            <w:textDirection w:val="lrTb"/>
            <w:noWrap w:val="false"/>
          </w:tcPr>
          <w:p>
            <w:pPr>
              <w:ind w:left="105"/>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保护交通设施不被损</w:t>
            </w:r>
            <w:r/>
          </w:p>
          <w:p>
            <w:pPr>
              <w:ind w:left="105"/>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坏。</w:t>
            </w:r>
            <w:r/>
          </w:p>
        </w:tc>
        <w:tc>
          <w:tcPr>
            <w:tcW w:w="817" w:type="dxa"/>
            <w:vAlign w:val="center"/>
            <w:textDirection w:val="lrTb"/>
            <w:noWrap w:val="false"/>
          </w:tcPr>
          <w:p>
            <w:pPr>
              <w:ind w:left="105"/>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4142" w:type="dxa"/>
            <w:vAlign w:val="center"/>
            <w:textDirection w:val="lrTb"/>
            <w:noWrap w:val="false"/>
          </w:tcPr>
          <w:p>
            <w:pPr>
              <w:ind w:left="105"/>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未及时发现因非法挖掘、占用导致交通设施污染</w:t>
            </w:r>
            <w:r>
              <w:rPr>
                <w:rFonts w:hint="eastAsia" w:ascii="宋体" w:hAnsi="宋体" w:eastAsia="宋体" w:cs="宋体"/>
                <w:color w:val="auto"/>
                <w:highlight w:val="none"/>
                <w:lang w:eastAsia="zh-CN"/>
              </w:rPr>
              <w:t xml:space="preserve">、破</w:t>
            </w:r>
            <w:r>
              <w:rPr>
                <w:rFonts w:hint="eastAsia" w:ascii="宋体" w:hAnsi="宋体" w:eastAsia="宋体" w:cs="宋体"/>
                <w:color w:val="auto"/>
                <w:highlight w:val="none"/>
              </w:rPr>
              <w:t xml:space="preserve">坏的，一件扣1分；未及时报告管理部门的，一件扣1分；未及时制止并采取保护措施的，一件扣1分。擅自拆除、损坏（标牌、标线、护栏、路名牌）等交通设施或擅自改变原有设施状况的，</w:t>
            </w:r>
            <w:r>
              <w:rPr>
                <w:rFonts w:hint="eastAsia" w:ascii="宋体" w:hAnsi="宋体" w:eastAsia="宋体" w:cs="宋体"/>
                <w:color w:val="auto"/>
                <w:highlight w:val="none"/>
                <w:lang w:eastAsia="zh-CN"/>
              </w:rPr>
              <w:t xml:space="preserve">一律</w:t>
            </w:r>
            <w:r>
              <w:rPr>
                <w:rFonts w:hint="eastAsia" w:ascii="宋体" w:hAnsi="宋体" w:eastAsia="宋体" w:cs="宋体"/>
                <w:color w:val="auto"/>
                <w:highlight w:val="none"/>
              </w:rPr>
              <w:t xml:space="preserve">扣2分。</w:t>
            </w:r>
            <w:r/>
          </w:p>
        </w:tc>
        <w:tc>
          <w:tcPr>
            <w:tcW w:w="820" w:type="dxa"/>
            <w:vAlign w:val="center"/>
            <w:textDirection w:val="lrTb"/>
            <w:noWrap w:val="false"/>
          </w:tcPr>
          <w:p>
            <w:pPr>
              <w:ind w:left="105"/>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046"/>
        </w:trPr>
        <w:tc>
          <w:tcPr>
            <w:tcW w:w="1418" w:type="dxa"/>
            <w:vAlign w:val="center"/>
            <w:textDirection w:val="lrTb"/>
            <w:noWrap w:val="false"/>
          </w:tcPr>
          <w:p>
            <w:pPr>
              <w:ind w:left="105"/>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投诉处理</w:t>
            </w:r>
            <w:r/>
          </w:p>
        </w:tc>
        <w:tc>
          <w:tcPr>
            <w:tcW w:w="2267" w:type="dxa"/>
            <w:vAlign w:val="center"/>
            <w:textDirection w:val="lrTb"/>
            <w:noWrap w:val="false"/>
          </w:tcPr>
          <w:p>
            <w:pPr>
              <w:ind w:left="105"/>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快速回应并处置"12345"等公共服务热线、政务微博、新闻媒体、文明城区检查、数字城管等</w:t>
            </w:r>
            <w:r>
              <w:rPr>
                <w:rFonts w:hint="eastAsia" w:ascii="宋体" w:hAnsi="宋体" w:eastAsia="宋体" w:cs="宋体"/>
                <w:color w:val="auto"/>
                <w:highlight w:val="none"/>
                <w:lang w:eastAsia="zh-CN"/>
              </w:rPr>
              <w:t xml:space="preserve">反映的问题</w:t>
            </w:r>
            <w:r>
              <w:rPr>
                <w:rFonts w:hint="eastAsia" w:ascii="宋体" w:hAnsi="宋体" w:eastAsia="宋体" w:cs="宋体"/>
                <w:color w:val="auto"/>
                <w:highlight w:val="none"/>
              </w:rPr>
              <w:t xml:space="preserve">。</w:t>
            </w:r>
            <w:r/>
          </w:p>
        </w:tc>
        <w:tc>
          <w:tcPr>
            <w:tcW w:w="817" w:type="dxa"/>
            <w:vAlign w:val="center"/>
            <w:textDirection w:val="lrTb"/>
            <w:noWrap w:val="false"/>
          </w:tcPr>
          <w:p>
            <w:pPr>
              <w:ind w:left="105"/>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4142" w:type="dxa"/>
            <w:vAlign w:val="center"/>
            <w:textDirection w:val="lrTb"/>
            <w:noWrap w:val="false"/>
          </w:tcPr>
          <w:p>
            <w:pPr>
              <w:ind w:left="105"/>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养护</w:t>
            </w:r>
            <w:r>
              <w:rPr>
                <w:rFonts w:hint="eastAsia" w:ascii="宋体" w:hAnsi="宋体" w:eastAsia="宋体" w:cs="宋体"/>
                <w:color w:val="auto"/>
                <w:highlight w:val="none"/>
                <w:lang w:eastAsia="zh-CN"/>
              </w:rPr>
              <w:t xml:space="preserve">失误</w:t>
            </w:r>
            <w:r>
              <w:rPr>
                <w:rFonts w:hint="eastAsia" w:ascii="宋体" w:hAnsi="宋体" w:eastAsia="宋体" w:cs="宋体"/>
                <w:color w:val="auto"/>
                <w:highlight w:val="none"/>
              </w:rPr>
              <w:t xml:space="preserve">造成投诉的，一项扣2分；未在规定期限内处置的，一项扣2分；未按规范要求处置的，一项扣2分；同一事项重复投诉的，一项扣3分；被上级部门考核扣分的，一项扣5分。</w:t>
            </w:r>
            <w:r/>
          </w:p>
        </w:tc>
        <w:tc>
          <w:tcPr>
            <w:tcW w:w="820" w:type="dxa"/>
            <w:vAlign w:val="center"/>
            <w:textDirection w:val="lrTb"/>
            <w:noWrap w:val="false"/>
          </w:tcPr>
          <w:p>
            <w:pPr>
              <w:ind w:left="105"/>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20"/>
        </w:trPr>
        <w:tc>
          <w:tcPr>
            <w:tcW w:w="1418" w:type="dxa"/>
            <w:vAlign w:val="center"/>
            <w:textDirection w:val="lrTb"/>
            <w:noWrap w:val="false"/>
          </w:tcPr>
          <w:p>
            <w:pPr>
              <w:ind w:left="105"/>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交办事项</w:t>
            </w:r>
            <w:r/>
          </w:p>
        </w:tc>
        <w:tc>
          <w:tcPr>
            <w:tcW w:w="2267" w:type="dxa"/>
            <w:vAlign w:val="center"/>
            <w:textDirection w:val="lrTb"/>
            <w:noWrap w:val="false"/>
          </w:tcPr>
          <w:p>
            <w:pPr>
              <w:ind w:left="105"/>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认真完成甲方交办的事项</w:t>
            </w:r>
            <w:r/>
          </w:p>
        </w:tc>
        <w:tc>
          <w:tcPr>
            <w:tcW w:w="817" w:type="dxa"/>
            <w:vAlign w:val="center"/>
            <w:textDirection w:val="lrTb"/>
            <w:noWrap w:val="false"/>
          </w:tcPr>
          <w:p>
            <w:pPr>
              <w:ind w:left="105"/>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4142" w:type="dxa"/>
            <w:vAlign w:val="center"/>
            <w:textDirection w:val="lrTb"/>
            <w:noWrap w:val="false"/>
          </w:tcPr>
          <w:p>
            <w:pPr>
              <w:ind w:left="105"/>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甲方交办的事项未及时办理</w:t>
            </w:r>
            <w:r/>
          </w:p>
          <w:p>
            <w:pPr>
              <w:ind w:left="105"/>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一项扣2分</w:t>
            </w:r>
            <w:r/>
          </w:p>
        </w:tc>
        <w:tc>
          <w:tcPr>
            <w:tcW w:w="820" w:type="dxa"/>
            <w:vAlign w:val="center"/>
            <w:textDirection w:val="lrTb"/>
            <w:noWrap w:val="false"/>
          </w:tcPr>
          <w:p>
            <w:pPr>
              <w:ind w:left="105"/>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19"/>
        </w:trPr>
        <w:tc>
          <w:tcPr>
            <w:tcW w:w="1418" w:type="dxa"/>
            <w:vAlign w:val="center"/>
            <w:textDirection w:val="lrTb"/>
            <w:noWrap w:val="false"/>
          </w:tcPr>
          <w:p>
            <w:pPr>
              <w:ind w:left="105"/>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总分</w:t>
            </w:r>
            <w:r/>
          </w:p>
        </w:tc>
        <w:tc>
          <w:tcPr>
            <w:tcW w:w="2267" w:type="dxa"/>
            <w:vAlign w:val="center"/>
            <w:textDirection w:val="lrTb"/>
            <w:noWrap w:val="false"/>
          </w:tcPr>
          <w:p>
            <w:pPr>
              <w:ind w:left="105"/>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17" w:type="dxa"/>
            <w:vAlign w:val="center"/>
            <w:textDirection w:val="lrTb"/>
            <w:noWrap w:val="false"/>
          </w:tcPr>
          <w:p>
            <w:pPr>
              <w:ind w:left="105"/>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100</w:t>
            </w:r>
            <w:r/>
          </w:p>
        </w:tc>
        <w:tc>
          <w:tcPr>
            <w:tcW w:w="4142" w:type="dxa"/>
            <w:vAlign w:val="center"/>
            <w:textDirection w:val="lrTb"/>
            <w:noWrap w:val="false"/>
          </w:tcPr>
          <w:p>
            <w:pPr>
              <w:ind w:left="105"/>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0" w:type="dxa"/>
            <w:vAlign w:val="center"/>
            <w:textDirection w:val="lrTb"/>
            <w:noWrap w:val="false"/>
          </w:tcPr>
          <w:p>
            <w:pPr>
              <w:ind w:left="105"/>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892"/>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480"/>
        <w:tblpPr w:horzAnchor="page" w:tblpX="1821" w:vertAnchor="text" w:tblpY="287" w:leftFromText="180" w:topFromText="0" w:rightFromText="180" w:bottomFromText="0"/>
        <w:tblW w:w="946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35"/>
        <w:gridCol w:w="3116"/>
        <w:gridCol w:w="710"/>
        <w:gridCol w:w="3541"/>
        <w:gridCol w:w="962"/>
      </w:tblGrid>
      <w:tr>
        <w:trPr>
          <w:trHeight w:val="420"/>
        </w:trPr>
        <w:tc>
          <w:tcPr>
            <w:tcW w:w="113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W w:w="311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管理要求</w:t>
            </w:r>
            <w:r/>
          </w:p>
        </w:tc>
        <w:tc>
          <w:tcPr>
            <w:tcW w:w="71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分值</w:t>
            </w:r>
            <w:r/>
          </w:p>
        </w:tc>
        <w:tc>
          <w:tcPr>
            <w:tcW w:w="35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评分标准</w:t>
            </w:r>
            <w:r/>
          </w:p>
        </w:tc>
        <w:tc>
          <w:tcPr>
            <w:tcW w:w="9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得分</w:t>
            </w:r>
            <w:r/>
          </w:p>
        </w:tc>
      </w:tr>
      <w:tr>
        <w:trPr>
          <w:trHeight w:val="2280"/>
        </w:trPr>
        <w:tc>
          <w:tcPr>
            <w:tcBorders>
              <w:bottom w:val="none" w:color="000000" w:sz="4" w:space="0"/>
            </w:tcBorders>
            <w:tcW w:w="1135"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台账资料</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（40）</w:t>
            </w:r>
            <w:r/>
          </w:p>
        </w:tc>
        <w:tc>
          <w:tcPr>
            <w:tcW w:w="311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落实养护负责人及巡视员制度，每项设施落实到人，巡视人员必须具有道桥技术员以上职称或经培训合格的人员，并报甲方备案。巡查记录完善，内容准确，并有病害上报和追踪解决记录。巡查记录要有巡查人员和养护负责人签字。</w:t>
            </w:r>
            <w:r/>
          </w:p>
        </w:tc>
        <w:tc>
          <w:tcPr>
            <w:tcW w:w="71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3541"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未落实养护负责人，每一路或一桥扣1分；未固定巡视人员，每一路或一桥扣1分；未报管理单位备案，扣2分。无巡查记录，一处扣2分；记录不完善，一处扣1分；无病害上报记录，一处扣1分；无处理结果记录，一处扣l分；无巡查人员和养护负责人签字，一处扣1分</w:t>
            </w:r>
            <w:r/>
          </w:p>
        </w:tc>
        <w:tc>
          <w:tcPr>
            <w:tcW w:w="96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166"/>
        </w:trPr>
        <w:tc>
          <w:tcPr>
            <w:tcBorders>
              <w:top w:val="none" w:color="000000" w:sz="4" w:space="0"/>
              <w:bottom w:val="none" w:color="000000" w:sz="4" w:space="0"/>
            </w:tcBorders>
            <w:tcW w:w="1135"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11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养护维修记录要齐全，并附维修前后对照图片。有养护维修质量自检记录，有维修班组长和质检人员签字。</w:t>
            </w:r>
            <w:r/>
          </w:p>
        </w:tc>
        <w:tc>
          <w:tcPr>
            <w:tcW w:w="71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3541"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无记录，扣3分；记录不齐全，一处扣1分；无对照图片，缺一处扣1分；无质量自检，记录一处扣1分；无班组长和质检人员签字，一处扣1分。</w:t>
            </w:r>
            <w:r/>
          </w:p>
        </w:tc>
        <w:tc>
          <w:tcPr>
            <w:tcW w:w="96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059"/>
        </w:trPr>
        <w:tc>
          <w:tcPr>
            <w:tcBorders>
              <w:top w:val="none" w:color="000000" w:sz="4" w:space="0"/>
              <w:bottom w:val="none" w:color="000000" w:sz="4" w:space="0"/>
            </w:tcBorders>
            <w:tcW w:w="1135"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11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有养护作业计划和养护工作量月报表，有养护作业经费申请季度报表，报表格式统一，上报及时、准确。</w:t>
            </w:r>
            <w:r/>
          </w:p>
        </w:tc>
        <w:tc>
          <w:tcPr>
            <w:tcW w:w="71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541"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无计划或月报表，一次扣3分；未及时报送，一次扣1分；数据不准确，一次扣1分；表式不统一，一次扣0.5分。</w:t>
            </w:r>
            <w:r/>
          </w:p>
        </w:tc>
        <w:tc>
          <w:tcPr>
            <w:tcW w:w="96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38"/>
        </w:trPr>
        <w:tc>
          <w:tcPr>
            <w:tcBorders>
              <w:top w:val="none" w:color="000000" w:sz="4" w:space="0"/>
              <w:bottom w:val="none" w:color="000000" w:sz="4" w:space="0"/>
            </w:tcBorders>
            <w:tcW w:w="1135"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11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养护资料按一路一卡，</w:t>
            </w:r>
            <w:r>
              <w:rPr>
                <w:rFonts w:hint="eastAsia" w:ascii="宋体" w:hAnsi="宋体" w:eastAsia="宋体" w:cs="宋体"/>
                <w:color w:val="auto"/>
                <w:highlight w:val="none"/>
                <w:lang w:eastAsia="zh-CN"/>
              </w:rPr>
              <w:t xml:space="preserve">整理</w:t>
            </w:r>
            <w:r>
              <w:rPr>
                <w:rFonts w:hint="eastAsia" w:ascii="宋体" w:hAnsi="宋体" w:eastAsia="宋体" w:cs="宋体"/>
                <w:color w:val="auto"/>
                <w:highlight w:val="none"/>
              </w:rPr>
              <w:t xml:space="preserve">成册，目录清晰，内容齐全</w:t>
            </w:r>
            <w:r/>
          </w:p>
        </w:tc>
        <w:tc>
          <w:tcPr>
            <w:tcW w:w="71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3541"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未装订成册，一项扣1分；无内容一项扣2分；内容不齐全，一项扣1分。</w:t>
            </w:r>
            <w:r/>
          </w:p>
        </w:tc>
        <w:tc>
          <w:tcPr>
            <w:tcW w:w="96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98"/>
        </w:trPr>
        <w:tc>
          <w:tcPr>
            <w:tcBorders>
              <w:top w:val="none" w:color="000000" w:sz="4" w:space="0"/>
            </w:tcBorders>
            <w:tcW w:w="1135"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11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养护作业维修成本明细账财务数据真实、准确、无虚假；报送及时</w:t>
            </w:r>
            <w:r/>
          </w:p>
        </w:tc>
        <w:tc>
          <w:tcPr>
            <w:tcW w:w="71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541"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数据虚假扣4分，报送不及时扣1分</w:t>
            </w:r>
            <w:r/>
          </w:p>
        </w:tc>
        <w:tc>
          <w:tcPr>
            <w:tcW w:w="96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116"/>
        </w:trPr>
        <w:tc>
          <w:tcPr>
            <w:tcW w:w="113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管理机制</w:t>
            </w:r>
            <w:r/>
          </w:p>
        </w:tc>
        <w:tc>
          <w:tcPr>
            <w:tcW w:w="311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内部管理制度和考核制度齐全，并认真执行；按要求参加管理单位组织的会议。</w:t>
            </w:r>
            <w:r/>
          </w:p>
        </w:tc>
        <w:tc>
          <w:tcPr>
            <w:tcW w:w="71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541"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无管理制度，扣2分；管理制度不齐全，扣1分；无内部考核制度，扣1分；考核制度未执行，扣l分；未按要求的领导参加会议，一次扣2分。</w:t>
            </w:r>
            <w:r/>
          </w:p>
        </w:tc>
        <w:tc>
          <w:tcPr>
            <w:tcW w:w="96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523"/>
        </w:trPr>
        <w:tc>
          <w:tcPr>
            <w:tcW w:w="113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应急管理</w:t>
            </w:r>
            <w:r/>
          </w:p>
        </w:tc>
        <w:tc>
          <w:tcPr>
            <w:tcW w:w="311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制定各类应急预案，按要求建立应急队伍、储备应急物资和机械设备，组织人员培训和应急演练。发生突发事件，反应迅速、处置及时，并按信息报送程序报送相关部门</w:t>
            </w:r>
            <w:r/>
          </w:p>
        </w:tc>
        <w:tc>
          <w:tcPr>
            <w:tcW w:w="71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3541"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未制定应急预案、未落实应急队伍、物资、设备，一项扣1分；未组织培训和应急演练，一项扣1分；发生突发事件，半小时内未到现场的，一次扣l分；未采取相应的安全围护、警示标志等措施导致次生灾害的，一次扣2分；现场处置不及时、不到位的，一次扣3分；未按程序报送信息或迟报、瞒报、漏报、误报的，一次扣l分。</w:t>
            </w:r>
            <w:r/>
          </w:p>
        </w:tc>
        <w:tc>
          <w:tcPr>
            <w:tcW w:w="96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887"/>
        </w:trPr>
        <w:tc>
          <w:tcPr>
            <w:tcW w:w="113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安全文明</w:t>
            </w:r>
            <w:r/>
          </w:p>
        </w:tc>
        <w:tc>
          <w:tcPr>
            <w:tcW w:w="311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确保交通设施安全运行；职工需接受安全教育和上岗培训，严格执行操作规程；施工现场围护到位、警示标志设置齐全、施工人员按操作规程穿戴防护用具。</w:t>
            </w:r>
            <w:r/>
          </w:p>
        </w:tc>
        <w:tc>
          <w:tcPr>
            <w:tcW w:w="71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3541"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因养护管理不到位造成设施受损、桥洞火灾、人员伤亡等，一次扣5分；职工未接受安全教育或上岗培训，一人次扣1分；未按操作规程作业，一次扣1分；施工现场围护不到位或安全警示标志设置不到位，一次扣1分；作业人员未穿戴防护用具，一人次扣1分。</w:t>
            </w:r>
            <w:r/>
          </w:p>
        </w:tc>
        <w:tc>
          <w:tcPr>
            <w:tcW w:w="96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336"/>
        </w:trPr>
        <w:tc>
          <w:tcPr>
            <w:tcW w:w="113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作业管理</w:t>
            </w:r>
            <w:r/>
          </w:p>
        </w:tc>
        <w:tc>
          <w:tcPr>
            <w:tcW w:w="311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养护作业不扰民、施工噪音不超标、施工围挡规范整洁、施工材料堆放整齐、施工作业有防尘措施、作业垃圾及时清运，做到工完场清。</w:t>
            </w:r>
            <w:r/>
          </w:p>
        </w:tc>
        <w:tc>
          <w:tcPr>
            <w:tcW w:w="71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3541"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因施工噪音、扬尘等被投诉的，一次扣1分；施工围挡不规范整的，一处扣1分；作业垃圾未及时清运、完工未清除的，一次扣2分。</w:t>
            </w:r>
            <w:r/>
          </w:p>
        </w:tc>
        <w:tc>
          <w:tcPr>
            <w:tcW w:w="96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22"/>
        </w:trPr>
        <w:tc>
          <w:tcPr>
            <w:tcW w:w="113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指令性任务</w:t>
            </w:r>
            <w:r/>
          </w:p>
        </w:tc>
        <w:tc>
          <w:tcPr>
            <w:tcW w:w="311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配合创建等省、市大型活动，不扣分、不失分，认真完成各项指令性任务。</w:t>
            </w:r>
            <w:r/>
          </w:p>
        </w:tc>
        <w:tc>
          <w:tcPr>
            <w:tcW w:w="71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3541"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在创建等省、市大型活动中失分或被上级领导批评的，一次扣5分；未完成指令性任务的，一项扣5分。</w:t>
            </w:r>
            <w:r/>
          </w:p>
        </w:tc>
        <w:tc>
          <w:tcPr>
            <w:tcW w:w="96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094"/>
        </w:trPr>
        <w:tc>
          <w:tcPr>
            <w:tcW w:w="113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媒体舆情</w:t>
            </w:r>
            <w:r/>
          </w:p>
        </w:tc>
        <w:tc>
          <w:tcPr>
            <w:tcW w:w="311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不发生市政维护方面的有责新闻曝光事件</w:t>
            </w:r>
            <w:r/>
          </w:p>
        </w:tc>
        <w:tc>
          <w:tcPr>
            <w:tcW w:w="71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p>
        </w:tc>
        <w:tc>
          <w:tcPr>
            <w:tcW w:w="3541"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发生有责新闻曝光事件，一件扣3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5分，事后未及时处理并主动与媒体回应的，加扣2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3分，被媒体连续跟踪曝光的全额扣分。</w:t>
            </w:r>
            <w:r/>
          </w:p>
        </w:tc>
        <w:tc>
          <w:tcPr>
            <w:tcW w:w="96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0"/>
        </w:trPr>
        <w:tc>
          <w:tcPr>
            <w:tcW w:w="113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总分</w:t>
            </w:r>
            <w:r/>
          </w:p>
        </w:tc>
        <w:tc>
          <w:tcPr>
            <w:tcW w:w="311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1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100</w:t>
            </w:r>
            <w:r/>
          </w:p>
        </w:tc>
        <w:tc>
          <w:tcPr>
            <w:tcW w:w="3541"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6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892"/>
        <w:rPr>
          <w:rFonts w:hint="eastAsia" w:ascii="宋体" w:hAnsi="宋体" w:eastAsia="宋体" w:cs="宋体"/>
          <w:color w:val="auto"/>
          <w:highlight w:val="none"/>
        </w:rPr>
      </w:pPr>
      <w:r>
        <w:rPr>
          <w:rFonts w:hint="eastAsia" w:ascii="宋体" w:hAnsi="宋体" w:eastAsia="宋体" w:cs="宋体"/>
          <w:color w:val="auto"/>
          <w:highlight w:val="none"/>
        </w:rPr>
        <w:t xml:space="preserve">附件二：交通设施季度维护考核评分标准</w:t>
      </w:r>
      <w:r/>
    </w:p>
    <w:p>
      <w:pPr>
        <w:pStyle w:val="892"/>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pStyle w:val="892"/>
        <w:rPr>
          <w:rFonts w:hint="eastAsia" w:ascii="宋体" w:hAnsi="宋体" w:eastAsia="宋体" w:cs="宋体"/>
          <w:color w:val="auto"/>
          <w:highlight w:val="none"/>
        </w:rPr>
      </w:pPr>
      <w:r>
        <w:rPr>
          <w:rFonts w:hint="eastAsia" w:ascii="宋体" w:hAnsi="宋体" w:eastAsia="宋体" w:cs="宋体"/>
          <w:color w:val="auto"/>
          <w:highlight w:val="none"/>
        </w:rPr>
        <w:t xml:space="preserve">1)采购人对中标单位的考核结果，直接与专项考核经费的支付直接挂钩。</w:t>
      </w:r>
      <w:r/>
    </w:p>
    <w:p>
      <w:pPr>
        <w:pStyle w:val="892"/>
        <w:rPr>
          <w:rFonts w:hint="eastAsia" w:ascii="宋体" w:hAnsi="宋体" w:eastAsia="宋体" w:cs="宋体"/>
          <w:color w:val="auto"/>
          <w:highlight w:val="none"/>
        </w:rPr>
      </w:pPr>
      <w:r>
        <w:rPr>
          <w:rFonts w:hint="eastAsia" w:ascii="宋体" w:hAnsi="宋体" w:eastAsia="宋体" w:cs="宋体"/>
          <w:color w:val="auto"/>
          <w:highlight w:val="none"/>
        </w:rPr>
        <w:t xml:space="preserve">2）日常考核和季度考核中每扣0.5分，扣除相应维护单位养护经费200元。日常考核必须达到85分（含85分）以上，每低一次，作为不良记录予以通报。</w:t>
      </w:r>
      <w:r/>
    </w:p>
    <w:p>
      <w:pPr>
        <w:pStyle w:val="892"/>
        <w:rPr>
          <w:rFonts w:hint="eastAsia" w:ascii="宋体" w:hAnsi="宋体" w:eastAsia="宋体" w:cs="宋体"/>
          <w:color w:val="auto"/>
          <w:highlight w:val="none"/>
        </w:rPr>
      </w:pPr>
      <w:r>
        <w:rPr>
          <w:rFonts w:hint="eastAsia" w:ascii="宋体" w:hAnsi="宋体" w:eastAsia="宋体" w:cs="宋体"/>
          <w:color w:val="auto"/>
          <w:highlight w:val="none"/>
        </w:rPr>
        <w:t xml:space="preserve">3）季度考核中，每条项设施抽检单元综合完好得分不得低于维护作业权合同约定的分值，每低0.5分扣除当年维护经费的0.5%;累计三条及三条以上综合完好得分低于合同约定的分值，作为不良记录予以通报。</w:t>
      </w:r>
      <w:r/>
    </w:p>
    <w:p>
      <w:pPr>
        <w:pStyle w:val="892"/>
        <w:rPr>
          <w:rFonts w:hint="eastAsia" w:ascii="宋体" w:hAnsi="宋体" w:eastAsia="宋体" w:cs="宋体"/>
          <w:color w:val="auto"/>
          <w:highlight w:val="none"/>
        </w:rPr>
      </w:pPr>
      <w:r>
        <w:rPr>
          <w:rFonts w:hint="eastAsia" w:ascii="宋体" w:hAnsi="宋体" w:eastAsia="宋体" w:cs="宋体"/>
          <w:color w:val="auto"/>
          <w:highlight w:val="none"/>
        </w:rPr>
        <w:t xml:space="preserve">4）维护作业单位有下列情形之一的，将列入江宁区维护作业单位企业信誉黑名单，在全区范围内予以通报：</w:t>
      </w:r>
      <w:r/>
    </w:p>
    <w:p>
      <w:pPr>
        <w:pStyle w:val="892"/>
        <w:rPr>
          <w:rFonts w:hint="eastAsia" w:ascii="宋体" w:hAnsi="宋体" w:eastAsia="宋体" w:cs="宋体"/>
          <w:color w:val="auto"/>
          <w:highlight w:val="none"/>
        </w:rPr>
      </w:pPr>
      <w:r>
        <w:rPr>
          <w:rFonts w:hint="eastAsia" w:ascii="宋体" w:hAnsi="宋体" w:eastAsia="宋体" w:cs="宋体"/>
          <w:color w:val="auto"/>
          <w:highlight w:val="none"/>
        </w:rPr>
        <w:t xml:space="preserve">(1)日常考核，年度累计三次及三次以上低于70分的；</w:t>
      </w:r>
      <w:r/>
    </w:p>
    <w:p>
      <w:pPr>
        <w:pStyle w:val="892"/>
        <w:rPr>
          <w:rFonts w:hint="eastAsia" w:ascii="宋体" w:hAnsi="宋体" w:eastAsia="宋体" w:cs="宋体"/>
          <w:color w:val="auto"/>
          <w:highlight w:val="none"/>
        </w:rPr>
      </w:pPr>
      <w:r>
        <w:rPr>
          <w:rFonts w:hint="eastAsia" w:ascii="宋体" w:hAnsi="宋体" w:eastAsia="宋体" w:cs="宋体"/>
          <w:color w:val="auto"/>
          <w:highlight w:val="none"/>
        </w:rPr>
        <w:t xml:space="preserve">(2)一年内新闻媒体曝光两次及以上或不良记录三次及以上的；</w:t>
      </w:r>
      <w:r/>
    </w:p>
    <w:p>
      <w:pPr>
        <w:pStyle w:val="892"/>
        <w:rPr>
          <w:rFonts w:hint="eastAsia" w:ascii="宋体" w:hAnsi="宋体" w:eastAsia="宋体" w:cs="宋体"/>
          <w:color w:val="auto"/>
          <w:highlight w:val="none"/>
        </w:rPr>
      </w:pPr>
      <w:r>
        <w:rPr>
          <w:rFonts w:hint="eastAsia" w:ascii="宋体" w:hAnsi="宋体" w:eastAsia="宋体" w:cs="宋体"/>
          <w:color w:val="auto"/>
          <w:highlight w:val="none"/>
        </w:rPr>
        <w:t xml:space="preserve">(3)因服务不到位造成较大安全事故及以上的，或在重大活动中失分造成严重影响的。</w:t>
      </w:r>
      <w:r/>
    </w:p>
    <w:p>
      <w:pPr>
        <w:pStyle w:val="954"/>
        <w:ind w:left="735" w:firstLine="0"/>
        <w:jc w:val="center"/>
        <w:spacing w:line="720" w:lineRule="auto"/>
        <w:rPr>
          <w:rFonts w:hint="eastAsia" w:ascii="宋体" w:hAnsi="宋体" w:cs="宋体"/>
          <w:b/>
          <w:color w:val="auto"/>
          <w:sz w:val="32"/>
          <w:szCs w:val="32"/>
          <w:highlight w:val="none"/>
        </w:rPr>
        <w:sectPr>
          <w:headerReference w:type="default" r:id="rId13"/>
          <w:footerReference w:type="default" r:id="rId18"/>
          <w:footnotePr/>
          <w:endnotePr/>
          <w:type w:val="nextPage"/>
          <w:pgSz w:w="11906" w:h="16838" w:orient="portrait"/>
          <w:pgMar w:top="1440" w:right="1800" w:bottom="1440" w:left="1800" w:header="851" w:footer="454" w:gutter="0"/>
          <w:cols w:num="1" w:sep="0" w:space="425" w:equalWidth="1"/>
          <w:docGrid w:linePitch="360"/>
        </w:sectPr>
      </w:pPr>
      <w:r>
        <w:rPr>
          <w:rFonts w:hint="eastAsia" w:ascii="宋体" w:hAnsi="宋体" w:cs="宋体"/>
          <w:b/>
          <w:color w:val="auto"/>
          <w:sz w:val="32"/>
          <w:szCs w:val="32"/>
          <w:highlight w:val="none"/>
        </w:rPr>
      </w:r>
      <w:r/>
    </w:p>
    <w:p>
      <w:pPr>
        <w:pStyle w:val="954"/>
        <w:ind w:left="735" w:firstLine="0"/>
        <w:jc w:val="center"/>
        <w:spacing w:line="720" w:lineRule="auto"/>
        <w:rPr>
          <w:rFonts w:hint="eastAsia" w:ascii="宋体" w:hAnsi="宋体" w:eastAsia="宋体" w:cs="宋体"/>
          <w:b/>
          <w:bCs/>
          <w:color w:val="auto"/>
          <w:sz w:val="28"/>
          <w:szCs w:val="28"/>
        </w:rPr>
        <w:outlineLvl w:val="0"/>
      </w:pPr>
      <w:r/>
      <w:bookmarkStart w:id="77" w:name="_Toc26353"/>
      <w:r/>
      <w:r/>
    </w:p>
    <w:p>
      <w:pPr>
        <w:pStyle w:val="954"/>
        <w:ind w:left="735" w:firstLine="0"/>
        <w:jc w:val="center"/>
        <w:spacing w:line="720" w:lineRule="auto"/>
        <w:rPr>
          <w:rFonts w:hint="eastAsia" w:ascii="宋体" w:hAnsi="宋体" w:eastAsia="宋体" w:cs="宋体"/>
          <w:b/>
          <w:bCs/>
          <w:color w:val="auto"/>
          <w:sz w:val="28"/>
          <w:szCs w:val="28"/>
        </w:rPr>
        <w:outlineLvl w:val="0"/>
      </w:pPr>
      <w:r>
        <w:rPr>
          <w:rFonts w:hint="eastAsia" w:ascii="宋体" w:hAnsi="宋体" w:eastAsia="宋体" w:cs="宋体"/>
          <w:b/>
          <w:bCs/>
          <w:color w:val="auto"/>
          <w:sz w:val="28"/>
          <w:szCs w:val="28"/>
        </w:rPr>
      </w:r>
      <w:r/>
    </w:p>
    <w:p>
      <w:pPr>
        <w:pStyle w:val="954"/>
        <w:ind w:left="735" w:firstLine="0"/>
        <w:jc w:val="center"/>
        <w:spacing w:line="720" w:lineRule="auto"/>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第六章投标文件格式及附件</w:t>
      </w:r>
      <w:bookmarkEnd w:id="77"/>
      <w:r/>
      <w:r/>
    </w:p>
    <w:p>
      <w:pPr>
        <w:jc w:val="center"/>
        <w:rPr>
          <w:rFonts w:hint="eastAsia" w:ascii="宋体" w:hAnsi="宋体" w:eastAsia="宋体" w:cs="宋体"/>
          <w:b/>
          <w:color w:val="auto"/>
          <w:sz w:val="60"/>
          <w:szCs w:val="21"/>
        </w:rPr>
      </w:pPr>
      <w:r>
        <w:rPr>
          <w:rFonts w:hint="eastAsia" w:ascii="宋体" w:hAnsi="宋体" w:eastAsia="宋体" w:cs="宋体"/>
          <w:b/>
          <w:color w:val="auto"/>
          <w:sz w:val="60"/>
          <w:szCs w:val="21"/>
        </w:rPr>
      </w:r>
      <w:r/>
    </w:p>
    <w:p>
      <w:pPr>
        <w:jc w:val="center"/>
        <w:rPr>
          <w:rFonts w:hint="eastAsia" w:ascii="宋体" w:hAnsi="宋体" w:eastAsia="宋体" w:cs="宋体"/>
          <w:b/>
          <w:color w:val="auto"/>
          <w:sz w:val="60"/>
          <w:szCs w:val="21"/>
        </w:rPr>
      </w:pPr>
      <w:r>
        <w:rPr>
          <w:rFonts w:hint="eastAsia" w:ascii="宋体" w:hAnsi="宋体" w:eastAsia="宋体" w:cs="宋体"/>
          <w:b/>
          <w:color w:val="auto"/>
          <w:sz w:val="60"/>
          <w:szCs w:val="21"/>
        </w:rPr>
        <w:t xml:space="preserve">投标文件</w:t>
      </w:r>
      <w:r/>
    </w:p>
    <w:p>
      <w:pPr>
        <w:ind w:firstLine="3708"/>
        <w:rPr>
          <w:rFonts w:hint="eastAsia" w:ascii="宋体" w:hAnsi="宋体" w:eastAsia="宋体" w:cs="宋体"/>
          <w:b/>
          <w:color w:val="auto"/>
          <w:sz w:val="32"/>
          <w:szCs w:val="21"/>
        </w:rPr>
      </w:pPr>
      <w:r>
        <w:rPr>
          <w:rFonts w:hint="eastAsia" w:ascii="宋体" w:hAnsi="宋体" w:eastAsia="宋体" w:cs="宋体"/>
          <w:b/>
          <w:color w:val="auto"/>
          <w:sz w:val="32"/>
          <w:szCs w:val="21"/>
        </w:rPr>
      </w:r>
      <w:r/>
    </w:p>
    <w:p>
      <w:pPr>
        <w:jc w:val="center"/>
        <w:rPr>
          <w:rFonts w:hint="eastAsia" w:ascii="宋体" w:hAnsi="宋体" w:eastAsia="宋体" w:cs="宋体"/>
          <w:b/>
          <w:color w:val="auto"/>
          <w:sz w:val="60"/>
          <w:szCs w:val="21"/>
        </w:rPr>
      </w:pPr>
      <w:r>
        <w:rPr>
          <w:rFonts w:hint="eastAsia" w:ascii="宋体" w:hAnsi="宋体" w:eastAsia="宋体" w:cs="宋体"/>
          <w:b/>
          <w:color w:val="auto"/>
          <w:sz w:val="60"/>
          <w:szCs w:val="21"/>
        </w:rPr>
      </w:r>
      <w:r/>
    </w:p>
    <w:p>
      <w:pPr>
        <w:ind w:firstLine="1084"/>
        <w:rPr>
          <w:rFonts w:hint="eastAsia" w:ascii="宋体" w:hAnsi="宋体" w:eastAsia="宋体" w:cs="宋体"/>
          <w:b/>
          <w:color w:val="auto"/>
          <w:sz w:val="32"/>
          <w:szCs w:val="21"/>
        </w:rPr>
      </w:pPr>
      <w:r>
        <w:rPr>
          <w:rFonts w:hint="eastAsia" w:ascii="宋体" w:hAnsi="宋体" w:eastAsia="宋体" w:cs="宋体"/>
          <w:b/>
          <w:color w:val="auto"/>
          <w:sz w:val="32"/>
          <w:szCs w:val="21"/>
        </w:rPr>
        <w:t xml:space="preserve">项目编号：</w:t>
      </w:r>
      <w:r/>
    </w:p>
    <w:p>
      <w:pPr>
        <w:ind w:firstLine="1084"/>
        <w:rPr>
          <w:rFonts w:hint="eastAsia" w:ascii="宋体" w:hAnsi="宋体" w:eastAsia="宋体" w:cs="宋体"/>
          <w:b/>
          <w:color w:val="auto"/>
          <w:sz w:val="32"/>
          <w:szCs w:val="21"/>
          <w:u w:val="single"/>
        </w:rPr>
      </w:pPr>
      <w:r>
        <w:rPr>
          <w:rFonts w:hint="eastAsia" w:ascii="宋体" w:hAnsi="宋体" w:eastAsia="宋体" w:cs="宋体"/>
          <w:b/>
          <w:color w:val="auto"/>
          <w:sz w:val="32"/>
          <w:szCs w:val="21"/>
        </w:rPr>
        <w:t xml:space="preserve">项目名称：</w:t>
      </w:r>
      <w:r/>
    </w:p>
    <w:p>
      <w:pPr>
        <w:ind w:firstLine="1063"/>
        <w:rPr>
          <w:rFonts w:hint="eastAsia" w:ascii="宋体" w:hAnsi="宋体" w:eastAsia="宋体" w:cs="宋体"/>
          <w:b/>
          <w:color w:val="auto"/>
          <w:sz w:val="32"/>
          <w:szCs w:val="21"/>
        </w:rPr>
      </w:pPr>
      <w:r>
        <w:rPr>
          <w:rFonts w:hint="eastAsia" w:ascii="宋体" w:hAnsi="宋体" w:eastAsia="宋体" w:cs="宋体"/>
          <w:b/>
          <w:color w:val="auto"/>
          <w:sz w:val="32"/>
          <w:szCs w:val="21"/>
        </w:rPr>
      </w:r>
      <w:r/>
    </w:p>
    <w:p>
      <w:pPr>
        <w:ind w:firstLine="1063"/>
        <w:rPr>
          <w:rFonts w:hint="eastAsia" w:ascii="宋体" w:hAnsi="宋体" w:eastAsia="宋体" w:cs="宋体"/>
          <w:b/>
          <w:color w:val="auto"/>
          <w:sz w:val="32"/>
          <w:szCs w:val="21"/>
        </w:rPr>
      </w:pPr>
      <w:r>
        <w:rPr>
          <w:rFonts w:hint="eastAsia" w:ascii="宋体" w:hAnsi="宋体" w:eastAsia="宋体" w:cs="宋体"/>
          <w:b/>
          <w:color w:val="auto"/>
          <w:sz w:val="32"/>
          <w:szCs w:val="21"/>
        </w:rPr>
      </w:r>
      <w:r/>
    </w:p>
    <w:p>
      <w:pPr>
        <w:ind w:firstLine="1063"/>
        <w:rPr>
          <w:rFonts w:hint="eastAsia" w:ascii="宋体" w:hAnsi="宋体" w:eastAsia="宋体" w:cs="宋体"/>
          <w:b/>
          <w:color w:val="auto"/>
          <w:sz w:val="32"/>
          <w:szCs w:val="21"/>
          <w:u w:val="single"/>
        </w:rPr>
      </w:pPr>
      <w:r>
        <w:rPr>
          <w:rFonts w:hint="eastAsia" w:ascii="宋体" w:hAnsi="宋体" w:eastAsia="宋体" w:cs="宋体"/>
          <w:b/>
          <w:color w:val="auto"/>
          <w:sz w:val="32"/>
          <w:szCs w:val="21"/>
        </w:rPr>
        <w:t xml:space="preserve">投标人名称：</w:t>
      </w:r>
      <w:r/>
    </w:p>
    <w:p>
      <w:pPr>
        <w:ind w:firstLine="1063"/>
        <w:rPr>
          <w:rFonts w:hint="eastAsia" w:ascii="宋体" w:hAnsi="宋体" w:eastAsia="宋体" w:cs="宋体"/>
          <w:b/>
          <w:color w:val="auto"/>
          <w:sz w:val="32"/>
          <w:szCs w:val="21"/>
        </w:rPr>
      </w:pPr>
      <w:r>
        <w:rPr>
          <w:rFonts w:hint="eastAsia" w:ascii="宋体" w:hAnsi="宋体" w:eastAsia="宋体" w:cs="宋体"/>
          <w:b/>
          <w:color w:val="auto"/>
          <w:sz w:val="32"/>
          <w:szCs w:val="21"/>
        </w:rPr>
        <w:t xml:space="preserve">日期：</w:t>
      </w:r>
      <w:r/>
    </w:p>
    <w:p>
      <w:pPr>
        <w:jc w:val="center"/>
        <w:rPr>
          <w:rFonts w:hint="eastAsia" w:ascii="宋体" w:hAnsi="宋体" w:eastAsia="宋体" w:cs="宋体"/>
          <w:b/>
          <w:bCs/>
          <w:color w:val="auto"/>
          <w:sz w:val="40"/>
          <w:szCs w:val="21"/>
        </w:rPr>
      </w:pPr>
      <w:r>
        <w:rPr>
          <w:rFonts w:hint="eastAsia" w:ascii="宋体" w:hAnsi="宋体" w:eastAsia="宋体" w:cs="宋体"/>
          <w:b/>
          <w:bCs/>
          <w:color w:val="auto"/>
          <w:sz w:val="40"/>
          <w:szCs w:val="21"/>
        </w:rPr>
      </w:r>
      <w:r/>
    </w:p>
    <w:p>
      <w:pPr>
        <w:pStyle w:val="954"/>
        <w:ind w:left="735" w:firstLine="0"/>
        <w:jc w:val="center"/>
        <w:spacing w:line="720" w:lineRule="auto"/>
        <w:rPr>
          <w:rFonts w:hint="eastAsia" w:ascii="宋体" w:hAnsi="宋体" w:eastAsia="宋体" w:cs="宋体"/>
          <w:b/>
          <w:bCs/>
          <w:color w:val="auto"/>
          <w:sz w:val="36"/>
        </w:rPr>
      </w:pPr>
      <w:r>
        <w:rPr>
          <w:rFonts w:hint="eastAsia" w:ascii="宋体" w:hAnsi="宋体" w:eastAsia="宋体" w:cs="宋体"/>
          <w:b/>
          <w:bCs/>
          <w:color w:val="auto"/>
          <w:sz w:val="36"/>
        </w:rPr>
      </w:r>
      <w:r/>
    </w:p>
    <w:p>
      <w:pPr>
        <w:pStyle w:val="954"/>
        <w:ind w:left="735" w:firstLine="0"/>
        <w:jc w:val="center"/>
        <w:spacing w:line="720" w:lineRule="auto"/>
        <w:rPr>
          <w:rFonts w:hint="eastAsia" w:ascii="宋体" w:hAnsi="宋体" w:eastAsia="宋体" w:cs="宋体"/>
          <w:b/>
          <w:bCs/>
          <w:color w:val="auto"/>
          <w:sz w:val="36"/>
        </w:rPr>
      </w:pPr>
      <w:r>
        <w:rPr>
          <w:rFonts w:hint="eastAsia" w:ascii="宋体" w:hAnsi="宋体" w:eastAsia="宋体" w:cs="宋体"/>
          <w:b/>
          <w:bCs/>
          <w:color w:val="auto"/>
          <w:sz w:val="36"/>
        </w:rPr>
      </w:r>
      <w:r/>
    </w:p>
    <w:p>
      <w:pPr>
        <w:pStyle w:val="954"/>
        <w:ind w:left="735" w:firstLine="0"/>
        <w:jc w:val="center"/>
        <w:spacing w:line="720" w:lineRule="auto"/>
        <w:rPr>
          <w:rFonts w:hint="eastAsia" w:ascii="宋体" w:hAnsi="宋体" w:eastAsia="宋体" w:cs="宋体"/>
          <w:b/>
          <w:bCs/>
          <w:color w:val="auto"/>
          <w:sz w:val="36"/>
        </w:rPr>
      </w:pPr>
      <w:r>
        <w:rPr>
          <w:rFonts w:hint="eastAsia" w:ascii="宋体" w:hAnsi="宋体" w:eastAsia="宋体" w:cs="宋体"/>
          <w:b/>
          <w:bCs/>
          <w:color w:val="auto"/>
          <w:sz w:val="36"/>
        </w:rPr>
      </w:r>
      <w:r/>
    </w:p>
    <w:p>
      <w:pPr>
        <w:ind w:left="6" w:right="21"/>
        <w:jc w:val="center"/>
        <w:spacing w:before="70"/>
        <w:rPr>
          <w:rFonts w:hint="eastAsia" w:ascii="宋体" w:hAnsi="宋体" w:eastAsia="宋体" w:cs="宋体"/>
          <w:b/>
          <w:color w:val="auto"/>
          <w:sz w:val="40"/>
          <w:szCs w:val="44"/>
        </w:rPr>
      </w:pPr>
      <w:r/>
      <w:bookmarkStart w:id="78" w:name="_bookmark6"/>
      <w:r/>
      <w:bookmarkEnd w:id="78"/>
      <w:r/>
      <w:bookmarkStart w:id="79" w:name="评分索引表"/>
      <w:r/>
      <w:bookmarkEnd w:id="79"/>
      <w:r/>
      <w:r/>
    </w:p>
    <w:p>
      <w:pPr>
        <w:ind w:left="6" w:right="21"/>
        <w:jc w:val="center"/>
        <w:spacing w:before="70"/>
        <w:rPr>
          <w:rFonts w:hint="eastAsia" w:ascii="宋体" w:hAnsi="宋体" w:eastAsia="宋体" w:cs="宋体"/>
          <w:b/>
          <w:color w:val="auto"/>
          <w:sz w:val="32"/>
          <w:szCs w:val="36"/>
        </w:rPr>
      </w:pPr>
      <w:r>
        <w:rPr>
          <w:rFonts w:hint="eastAsia" w:ascii="宋体" w:hAnsi="宋体" w:eastAsia="宋体" w:cs="宋体"/>
          <w:b/>
          <w:color w:val="auto"/>
          <w:sz w:val="32"/>
          <w:szCs w:val="36"/>
        </w:rPr>
      </w:r>
      <w:r/>
    </w:p>
    <w:p>
      <w:pPr>
        <w:ind w:left="6" w:right="21"/>
        <w:jc w:val="center"/>
        <w:spacing w:before="70"/>
        <w:rPr>
          <w:rFonts w:hint="eastAsia" w:ascii="宋体" w:hAnsi="宋体" w:eastAsia="宋体" w:cs="宋体"/>
          <w:b/>
          <w:color w:val="auto"/>
          <w:sz w:val="32"/>
          <w:szCs w:val="36"/>
        </w:rPr>
      </w:pPr>
      <w:r>
        <w:rPr>
          <w:rFonts w:hint="eastAsia" w:ascii="宋体" w:hAnsi="宋体" w:eastAsia="宋体" w:cs="宋体"/>
          <w:b/>
          <w:color w:val="auto"/>
          <w:sz w:val="32"/>
          <w:szCs w:val="36"/>
        </w:rPr>
      </w:r>
      <w:r/>
    </w:p>
    <w:p>
      <w:pPr>
        <w:ind w:left="6" w:right="21"/>
        <w:jc w:val="center"/>
        <w:spacing w:before="70"/>
        <w:rPr>
          <w:rFonts w:hint="eastAsia" w:ascii="宋体" w:hAnsi="宋体" w:eastAsia="宋体" w:cs="宋体"/>
          <w:b/>
          <w:color w:val="auto"/>
          <w:sz w:val="32"/>
          <w:szCs w:val="36"/>
        </w:rPr>
      </w:pPr>
      <w:r>
        <w:rPr>
          <w:rFonts w:hint="eastAsia" w:ascii="宋体" w:hAnsi="宋体" w:eastAsia="宋体" w:cs="宋体"/>
          <w:b/>
          <w:color w:val="auto"/>
          <w:sz w:val="32"/>
          <w:szCs w:val="36"/>
        </w:rPr>
        <w:t xml:space="preserve">评分索引表</w:t>
      </w:r>
      <w:r/>
    </w:p>
    <w:p>
      <w:pPr>
        <w:pStyle w:val="891"/>
        <w:ind w:firstLine="201"/>
        <w:spacing w:before="12"/>
        <w:rPr>
          <w:rFonts w:hint="eastAsia" w:ascii="宋体" w:hAnsi="宋体" w:eastAsia="宋体" w:cs="宋体"/>
          <w:b/>
          <w:color w:val="auto"/>
          <w:sz w:val="10"/>
          <w:lang w:eastAsia="zh-CN"/>
        </w:rPr>
      </w:pPr>
      <w:r>
        <w:rPr>
          <w:rFonts w:hint="eastAsia" w:ascii="宋体" w:hAnsi="宋体" w:eastAsia="宋体" w:cs="宋体"/>
          <w:b/>
          <w:color w:val="auto"/>
          <w:sz w:val="10"/>
          <w:lang w:eastAsia="zh-CN"/>
        </w:rPr>
      </w:r>
      <w:r/>
    </w:p>
    <w:tbl>
      <w:tblPr>
        <w:tblStyle w:val="890"/>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70"/>
        <w:gridCol w:w="3570"/>
      </w:tblGrid>
      <w:tr>
        <w:trPr>
          <w:jc w:val="center"/>
          <w:trHeight w:val="460"/>
        </w:trPr>
        <w:tc>
          <w:tcPr>
            <w:tcW w:w="5670" w:type="dxa"/>
            <w:vAlign w:val="center"/>
            <w:textDirection w:val="lrTb"/>
            <w:noWrap w:val="false"/>
          </w:tcPr>
          <w:p>
            <w:pPr>
              <w:pStyle w:val="1113"/>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评分项目</w:t>
            </w:r>
            <w:r/>
          </w:p>
        </w:tc>
        <w:tc>
          <w:tcPr>
            <w:tcW w:w="3570" w:type="dxa"/>
            <w:vAlign w:val="center"/>
            <w:textDirection w:val="lrTb"/>
            <w:noWrap w:val="false"/>
          </w:tcPr>
          <w:p>
            <w:pPr>
              <w:pStyle w:val="1113"/>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在投标文件中的页码位置</w:t>
            </w:r>
            <w:r/>
          </w:p>
        </w:tc>
      </w:tr>
      <w:tr>
        <w:trPr>
          <w:jc w:val="center"/>
          <w:trHeight w:val="446"/>
        </w:trPr>
        <w:tc>
          <w:tcPr>
            <w:tcW w:w="5670" w:type="dxa"/>
            <w:vAlign w:val="center"/>
            <w:textDirection w:val="lrTb"/>
            <w:noWrap w:val="false"/>
          </w:tcPr>
          <w:p>
            <w:pPr>
              <w:pStyle w:val="1113"/>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570" w:type="dxa"/>
            <w:vAlign w:val="center"/>
            <w:textDirection w:val="lrTb"/>
            <w:noWrap w:val="false"/>
          </w:tcPr>
          <w:p>
            <w:pPr>
              <w:pStyle w:val="1113"/>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08"/>
        </w:trPr>
        <w:tc>
          <w:tcPr>
            <w:tcW w:w="5670" w:type="dxa"/>
            <w:vAlign w:val="center"/>
            <w:textDirection w:val="lrTb"/>
            <w:noWrap w:val="false"/>
          </w:tcPr>
          <w:p>
            <w:pPr>
              <w:pStyle w:val="1113"/>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570" w:type="dxa"/>
            <w:vAlign w:val="center"/>
            <w:textDirection w:val="lrTb"/>
            <w:noWrap w:val="false"/>
          </w:tcPr>
          <w:p>
            <w:pPr>
              <w:pStyle w:val="1113"/>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08"/>
        </w:trPr>
        <w:tc>
          <w:tcPr>
            <w:tcW w:w="5670" w:type="dxa"/>
            <w:vAlign w:val="center"/>
            <w:textDirection w:val="lrTb"/>
            <w:noWrap w:val="false"/>
          </w:tcPr>
          <w:p>
            <w:pPr>
              <w:pStyle w:val="1113"/>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570" w:type="dxa"/>
            <w:vAlign w:val="center"/>
            <w:textDirection w:val="lrTb"/>
            <w:noWrap w:val="false"/>
          </w:tcPr>
          <w:p>
            <w:pPr>
              <w:pStyle w:val="1113"/>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60"/>
        </w:trPr>
        <w:tc>
          <w:tcPr>
            <w:tcW w:w="5670" w:type="dxa"/>
            <w:vAlign w:val="center"/>
            <w:textDirection w:val="lrTb"/>
            <w:noWrap w:val="false"/>
          </w:tcPr>
          <w:p>
            <w:pPr>
              <w:pStyle w:val="1113"/>
              <w:ind w:left="1968"/>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行数不够，自行添加</w:t>
            </w:r>
            <w:r/>
          </w:p>
        </w:tc>
        <w:tc>
          <w:tcPr>
            <w:tcW w:w="3570" w:type="dxa"/>
            <w:vAlign w:val="center"/>
            <w:textDirection w:val="lrTb"/>
            <w:noWrap w:val="false"/>
          </w:tcPr>
          <w:p>
            <w:pPr>
              <w:pStyle w:val="1113"/>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pStyle w:val="891"/>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注：建议投标供应商为《投标书》制作详细目录，并将该《评分索引表》放在投标书目录之前。</w:t>
      </w:r>
      <w:r/>
    </w:p>
    <w:p>
      <w:pPr>
        <w:pStyle w:val="954"/>
        <w:ind w:left="735" w:firstLine="0"/>
        <w:jc w:val="center"/>
        <w:spacing w:line="720" w:lineRule="auto"/>
        <w:rPr>
          <w:rFonts w:hint="eastAsia" w:ascii="宋体" w:hAnsi="宋体" w:eastAsia="宋体" w:cs="宋体"/>
          <w:b/>
          <w:bCs/>
          <w:color w:val="auto"/>
          <w:sz w:val="36"/>
        </w:rPr>
      </w:pPr>
      <w:r>
        <w:rPr>
          <w:rFonts w:hint="eastAsia" w:ascii="宋体" w:hAnsi="宋体" w:eastAsia="宋体" w:cs="宋体"/>
          <w:b/>
          <w:bCs/>
          <w:color w:val="auto"/>
          <w:sz w:val="36"/>
        </w:rPr>
      </w:r>
      <w:r/>
    </w:p>
    <w:p>
      <w:pPr>
        <w:pStyle w:val="954"/>
        <w:ind w:left="735" w:firstLine="0"/>
        <w:jc w:val="center"/>
        <w:spacing w:line="720" w:lineRule="auto"/>
        <w:rPr>
          <w:rFonts w:hint="eastAsia" w:ascii="宋体" w:hAnsi="宋体" w:eastAsia="宋体" w:cs="宋体"/>
          <w:b/>
          <w:bCs/>
          <w:color w:val="auto"/>
          <w:sz w:val="36"/>
        </w:rPr>
      </w:pPr>
      <w:r>
        <w:rPr>
          <w:rFonts w:hint="eastAsia" w:ascii="宋体" w:hAnsi="宋体" w:eastAsia="宋体" w:cs="宋体"/>
          <w:b/>
          <w:bCs/>
          <w:color w:val="auto"/>
          <w:sz w:val="36"/>
        </w:rPr>
      </w:r>
      <w:r/>
    </w:p>
    <w:p>
      <w:pPr>
        <w:pStyle w:val="954"/>
        <w:ind w:left="735" w:firstLine="0"/>
        <w:jc w:val="center"/>
        <w:spacing w:line="720" w:lineRule="auto"/>
        <w:rPr>
          <w:rFonts w:hint="eastAsia" w:ascii="宋体" w:hAnsi="宋体" w:eastAsia="宋体" w:cs="宋体"/>
          <w:b/>
          <w:color w:val="auto"/>
          <w:sz w:val="32"/>
          <w:szCs w:val="32"/>
        </w:rPr>
      </w:pPr>
      <w:r>
        <w:rPr>
          <w:rFonts w:hint="eastAsia" w:ascii="宋体" w:hAnsi="宋体" w:eastAsia="宋体" w:cs="宋体"/>
          <w:b/>
          <w:bCs/>
          <w:color w:val="auto"/>
          <w:sz w:val="36"/>
        </w:rPr>
        <w:br w:type="page" w:clear="all"/>
      </w:r>
      <w:r/>
    </w:p>
    <w:p>
      <w:pPr>
        <w:pStyle w:val="954"/>
        <w:ind w:firstLine="0"/>
        <w:rPr>
          <w:rFonts w:hint="eastAsia" w:ascii="宋体" w:hAnsi="宋体" w:eastAsia="宋体" w:cs="宋体"/>
          <w:b/>
          <w:bCs/>
          <w:color w:val="auto"/>
        </w:rPr>
      </w:pPr>
      <w:r/>
      <w:bookmarkStart w:id="80" w:name="_Hlk35523136"/>
      <w:r/>
      <w:r/>
    </w:p>
    <w:p>
      <w:pPr>
        <w:pStyle w:val="954"/>
        <w:ind w:firstLine="0"/>
        <w:rPr>
          <w:rFonts w:hint="eastAsia" w:ascii="宋体" w:hAnsi="宋体" w:eastAsia="宋体" w:cs="宋体"/>
          <w:b/>
          <w:bCs/>
          <w:color w:val="auto"/>
        </w:rPr>
        <w:outlineLvl w:val="1"/>
      </w:pPr>
      <w:r/>
      <w:bookmarkStart w:id="81" w:name="_Toc2923"/>
      <w:r>
        <w:rPr>
          <w:rFonts w:hint="eastAsia" w:ascii="宋体" w:hAnsi="宋体" w:eastAsia="宋体" w:cs="宋体"/>
          <w:b/>
          <w:bCs/>
          <w:color w:val="auto"/>
        </w:rPr>
        <w:t xml:space="preserve">目录</w:t>
      </w:r>
      <w:bookmarkEnd w:id="80"/>
      <w:r>
        <w:rPr>
          <w:rFonts w:hint="eastAsia" w:ascii="宋体" w:hAnsi="宋体" w:eastAsia="宋体" w:cs="宋体"/>
          <w:b/>
          <w:bCs/>
          <w:color w:val="auto"/>
        </w:rPr>
        <w:t xml:space="preserve">一：投标申请及声明</w:t>
      </w:r>
      <w:bookmarkEnd w:id="81"/>
      <w:r/>
      <w:r/>
    </w:p>
    <w:p>
      <w:pPr>
        <w:pStyle w:val="954"/>
        <w:ind w:firstLine="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投标申请及声明</w:t>
      </w:r>
      <w:r/>
    </w:p>
    <w:p>
      <w:pPr>
        <w:pStyle w:val="954"/>
        <w:ind w:firstLine="0"/>
        <w:spacing w:line="264" w:lineRule="auto"/>
        <w:rPr>
          <w:rFonts w:hint="eastAsia" w:ascii="宋体" w:hAnsi="宋体" w:eastAsia="宋体" w:cs="宋体"/>
          <w:color w:val="auto"/>
        </w:rPr>
      </w:pPr>
      <w:r>
        <w:rPr>
          <w:rFonts w:hint="eastAsia" w:ascii="宋体" w:hAnsi="宋体" w:eastAsia="宋体" w:cs="宋体"/>
          <w:color w:val="auto"/>
        </w:rPr>
        <w:t xml:space="preserve">致：南京市江宁区城市管理局</w:t>
      </w:r>
      <w:r/>
    </w:p>
    <w:p>
      <w:pPr>
        <w:ind w:firstLine="420"/>
        <w:spacing w:line="264" w:lineRule="auto"/>
        <w:rPr>
          <w:rFonts w:hint="eastAsia" w:ascii="宋体" w:hAnsi="宋体" w:eastAsia="宋体" w:cs="宋体"/>
          <w:color w:val="auto"/>
          <w:szCs w:val="21"/>
          <w:lang w:val="zh-CN"/>
        </w:rPr>
      </w:pPr>
      <w:r>
        <w:rPr>
          <w:rFonts w:hint="eastAsia" w:ascii="宋体" w:hAnsi="宋体" w:eastAsia="宋体" w:cs="宋体"/>
          <w:color w:val="auto"/>
        </w:rPr>
        <w:t xml:space="preserve">根据贵方</w:t>
      </w:r>
      <w:r>
        <w:rPr>
          <w:rFonts w:hint="eastAsia" w:ascii="宋体" w:hAnsi="宋体" w:eastAsia="宋体" w:cs="宋体"/>
          <w:color w:val="auto"/>
          <w:u w:val="single"/>
        </w:rPr>
        <w:t xml:space="preserve">（项目名称）（项目编号）</w:t>
      </w:r>
      <w:r>
        <w:rPr>
          <w:rFonts w:hint="eastAsia" w:ascii="宋体" w:hAnsi="宋体" w:eastAsia="宋体" w:cs="宋体"/>
          <w:bCs/>
          <w:color w:val="auto"/>
        </w:rPr>
        <w:t xml:space="preserve">投标</w:t>
      </w:r>
      <w:r>
        <w:rPr>
          <w:rFonts w:hint="eastAsia" w:ascii="宋体" w:hAnsi="宋体" w:eastAsia="宋体" w:cs="宋体"/>
          <w:color w:val="auto"/>
        </w:rPr>
        <w:t xml:space="preserve">邀请，</w:t>
      </w:r>
      <w:r>
        <w:rPr>
          <w:rFonts w:hint="eastAsia" w:ascii="宋体" w:hAnsi="宋体" w:eastAsia="宋体" w:cs="宋体"/>
          <w:color w:val="auto"/>
          <w:szCs w:val="21"/>
          <w:lang w:val="zh-CN"/>
        </w:rPr>
        <w:t xml:space="preserve">正式授权下述签字人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zh-CN"/>
        </w:rPr>
        <w:t xml:space="preserve">(姓名和职务)</w:t>
      </w:r>
      <w:r>
        <w:rPr>
          <w:rFonts w:hint="eastAsia" w:ascii="宋体" w:hAnsi="宋体" w:eastAsia="宋体" w:cs="宋体"/>
          <w:color w:val="auto"/>
          <w:szCs w:val="21"/>
          <w:lang w:val="zh-CN"/>
        </w:rPr>
        <w:t xml:space="preserve">代表投标供应商</w:t>
      </w:r>
      <w:r>
        <w:rPr>
          <w:rFonts w:hint="eastAsia" w:ascii="宋体" w:hAnsi="宋体" w:eastAsia="宋体" w:cs="宋体"/>
          <w:color w:val="auto"/>
          <w:szCs w:val="21"/>
          <w:u w:val="single"/>
          <w:lang w:val="zh-CN"/>
        </w:rPr>
        <w:t xml:space="preserve">（投标供应商名称）</w:t>
      </w:r>
      <w:r>
        <w:rPr>
          <w:rFonts w:hint="eastAsia" w:ascii="宋体" w:hAnsi="宋体" w:eastAsia="宋体" w:cs="宋体"/>
          <w:color w:val="auto"/>
          <w:szCs w:val="21"/>
          <w:lang w:val="zh-CN"/>
        </w:rPr>
        <w:t xml:space="preserve">，提交投标文件</w:t>
      </w:r>
      <w:r>
        <w:rPr>
          <w:rFonts w:hint="eastAsia" w:ascii="宋体" w:hAnsi="宋体" w:eastAsia="宋体" w:cs="宋体"/>
          <w:color w:val="auto"/>
          <w:szCs w:val="21"/>
          <w:u w:val="single"/>
          <w:lang w:val="zh-CN"/>
        </w:rPr>
        <w:t xml:space="preserve">正本壹份</w:t>
      </w:r>
      <w:r>
        <w:rPr>
          <w:rFonts w:hint="eastAsia" w:ascii="宋体" w:hAnsi="宋体" w:eastAsia="宋体" w:cs="宋体"/>
          <w:color w:val="auto"/>
          <w:szCs w:val="21"/>
          <w:lang w:val="zh-CN"/>
        </w:rPr>
        <w:t xml:space="preserve">。</w:t>
      </w:r>
      <w:r/>
    </w:p>
    <w:p>
      <w:pPr>
        <w:ind w:firstLine="420"/>
        <w:spacing w:line="264" w:lineRule="auto"/>
        <w:rPr>
          <w:rFonts w:hint="eastAsia" w:ascii="宋体" w:hAnsi="宋体" w:eastAsia="宋体" w:cs="宋体"/>
          <w:color w:val="auto"/>
        </w:rPr>
      </w:pPr>
      <w:r>
        <w:rPr>
          <w:rFonts w:hint="eastAsia" w:ascii="宋体" w:hAnsi="宋体" w:eastAsia="宋体" w:cs="宋体"/>
          <w:color w:val="auto"/>
        </w:rPr>
        <w:t xml:space="preserve">据此函，签字人兹宣布同意如下：</w:t>
      </w:r>
      <w:r/>
    </w:p>
    <w:p>
      <w:pPr>
        <w:ind w:firstLine="420"/>
        <w:spacing w:line="264" w:lineRule="auto"/>
        <w:rPr>
          <w:rFonts w:hint="eastAsia" w:ascii="宋体" w:hAnsi="宋体" w:eastAsia="宋体" w:cs="宋体"/>
          <w:color w:val="auto"/>
        </w:rPr>
      </w:pPr>
      <w:r>
        <w:rPr>
          <w:rFonts w:hint="eastAsia" w:ascii="宋体" w:hAnsi="宋体" w:eastAsia="宋体" w:cs="宋体"/>
          <w:color w:val="auto"/>
        </w:rPr>
        <w:t xml:space="preserve">1、我们的资格条件完全符合政府采购法和本次采购要求，我们同意并向贵方提供了与本次采购活动有关的所有证据和资料。</w:t>
      </w:r>
      <w:r/>
    </w:p>
    <w:p>
      <w:pPr>
        <w:ind w:firstLine="420"/>
        <w:spacing w:line="264" w:lineRule="auto"/>
        <w:rPr>
          <w:rFonts w:hint="default" w:ascii="宋体" w:hAnsi="宋体" w:eastAsia="宋体" w:cs="宋体"/>
          <w:color w:val="auto"/>
          <w:szCs w:val="21"/>
          <w:lang w:val="en-US"/>
        </w:rPr>
      </w:pPr>
      <w:r>
        <w:rPr>
          <w:rFonts w:hint="eastAsia" w:ascii="宋体" w:hAnsi="宋体" w:eastAsia="宋体" w:cs="宋体"/>
          <w:color w:val="auto"/>
        </w:rPr>
        <w:t xml:space="preserve">2、</w:t>
      </w:r>
      <w:r>
        <w:rPr>
          <w:rFonts w:hint="eastAsia" w:ascii="宋体" w:hAnsi="宋体" w:eastAsia="宋体" w:cs="宋体"/>
          <w:color w:val="auto"/>
          <w:szCs w:val="21"/>
          <w:highlight w:val="none"/>
          <w:lang w:val="zh-CN"/>
        </w:rPr>
        <w:t xml:space="preserve">按招标要求，</w:t>
      </w:r>
      <w:r>
        <w:rPr>
          <w:rFonts w:ascii="宋体" w:hAnsi="宋体" w:eastAsia="宋体" w:cs="宋体"/>
          <w:color w:val="auto"/>
          <w:highlight w:val="none"/>
        </w:rPr>
        <w:t xml:space="preserve">我们的</w:t>
      </w:r>
      <w:r>
        <w:rPr>
          <w:rFonts w:hint="eastAsia" w:ascii="宋体" w:hAnsi="宋体" w:eastAsia="宋体" w:cs="宋体"/>
          <w:color w:val="auto"/>
          <w:szCs w:val="21"/>
          <w:highlight w:val="none"/>
        </w:rPr>
        <w:t xml:space="preserve">投标总报价</w:t>
      </w:r>
      <w:r>
        <w:rPr>
          <w:rFonts w:hint="eastAsia" w:ascii="宋体" w:hAnsi="宋体" w:eastAsia="宋体" w:cs="宋体"/>
          <w:color w:val="auto"/>
          <w:highlight w:val="none"/>
        </w:rPr>
        <w:t xml:space="preserve">为</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rPr>
          <w:rFonts w:hint="eastAsia" w:ascii="宋体" w:hAnsi="宋体" w:eastAsia="宋体" w:cs="宋体"/>
          <w:color w:val="auto"/>
          <w:szCs w:val="21"/>
          <w:highlight w:val="none"/>
        </w:rPr>
        <w:t xml:space="preserve">元（大写</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eastAsia="宋体" w:cs="宋体"/>
          <w:color w:val="auto"/>
          <w:szCs w:val="21"/>
          <w:highlight w:val="none"/>
        </w:rPr>
        <w:t xml:space="preserve">元），</w:t>
      </w:r>
      <w:r>
        <w:rPr>
          <w:rFonts w:hint="eastAsia" w:ascii="宋体" w:hAnsi="宋体" w:eastAsia="宋体" w:cs="宋体"/>
          <w:bCs/>
          <w:color w:val="auto"/>
          <w:highlight w:val="none"/>
        </w:rPr>
        <w:t xml:space="preserve">其中：其中：</w:t>
      </w:r>
      <w:r>
        <w:rPr>
          <w:rFonts w:hint="eastAsia" w:ascii="宋体" w:hAnsi="宋体" w:eastAsia="宋体" w:cs="宋体"/>
          <w:color w:val="auto"/>
          <w:szCs w:val="21"/>
          <w:highlight w:val="none"/>
        </w:rPr>
        <w:t xml:space="preserve">交通设施日常管养</w:t>
      </w:r>
      <w:r>
        <w:rPr>
          <w:rFonts w:hint="eastAsia" w:ascii="宋体" w:hAnsi="宋体" w:eastAsia="宋体" w:cs="宋体"/>
          <w:color w:val="auto"/>
          <w:highlight w:val="none"/>
        </w:rPr>
        <w:t xml:space="preserve">为</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none"/>
          <w:lang w:val="en-US" w:eastAsia="zh-CN"/>
        </w:rPr>
        <w:t xml:space="preserve">万</w:t>
      </w:r>
      <w:r>
        <w:rPr>
          <w:rFonts w:hint="eastAsia" w:ascii="宋体" w:hAnsi="宋体" w:eastAsia="宋体" w:cs="宋体"/>
          <w:color w:val="auto"/>
          <w:szCs w:val="21"/>
          <w:highlight w:val="none"/>
        </w:rPr>
        <w:t xml:space="preserve">元，</w:t>
      </w:r>
      <w:r>
        <w:rPr>
          <w:rFonts w:hint="eastAsia" w:ascii="宋体" w:hAnsi="宋体" w:eastAsia="宋体" w:cs="宋体"/>
          <w:color w:val="auto"/>
          <w:highlight w:val="none"/>
          <w:lang w:eastAsia="zh-CN"/>
        </w:rPr>
        <w:t xml:space="preserve">更新安装专项</w:t>
      </w:r>
      <w:r>
        <w:rPr>
          <w:rFonts w:hint="eastAsia" w:ascii="宋体" w:hAnsi="宋体" w:eastAsia="宋体" w:cs="宋体"/>
          <w:color w:val="auto"/>
          <w:highlight w:val="none"/>
          <w:lang w:val="en-US" w:eastAsia="zh-CN"/>
        </w:rPr>
        <w:t xml:space="preserve">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eastAsia="zh-CN"/>
        </w:rPr>
        <w:t xml:space="preserve">万元，更新安装专项折扣率为</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 </w:t>
      </w:r>
      <w:r/>
    </w:p>
    <w:p>
      <w:pPr>
        <w:ind w:firstLine="420"/>
        <w:spacing w:line="264" w:lineRule="auto"/>
        <w:rPr>
          <w:rFonts w:hint="eastAsia" w:ascii="宋体" w:hAnsi="宋体" w:eastAsia="宋体" w:cs="宋体"/>
          <w:color w:val="auto"/>
        </w:rPr>
        <w:outlineLvl w:val="1"/>
      </w:pPr>
      <w:r/>
      <w:bookmarkStart w:id="82" w:name="_Toc26604"/>
      <w:r>
        <w:rPr>
          <w:rFonts w:hint="eastAsia" w:ascii="宋体" w:hAnsi="宋体" w:eastAsia="宋体" w:cs="宋体"/>
          <w:color w:val="auto"/>
        </w:rPr>
        <w:t xml:space="preserve">3、项目负责人为</w:t>
      </w:r>
      <w:r>
        <w:rPr>
          <w:rFonts w:hint="eastAsia" w:ascii="宋体" w:hAnsi="宋体" w:eastAsia="宋体" w:cs="宋体"/>
          <w:color w:val="auto"/>
          <w:u w:val="single"/>
        </w:rPr>
        <w:t xml:space="preserve">       </w:t>
      </w:r>
      <w:r>
        <w:rPr>
          <w:rFonts w:hint="eastAsia" w:ascii="宋体" w:hAnsi="宋体" w:eastAsia="宋体" w:cs="宋体"/>
          <w:color w:val="auto"/>
        </w:rPr>
        <w:t xml:space="preserve">。</w:t>
      </w:r>
      <w:bookmarkEnd w:id="82"/>
      <w:r/>
      <w:r/>
    </w:p>
    <w:p>
      <w:pPr>
        <w:ind w:firstLine="420"/>
        <w:spacing w:line="264" w:lineRule="auto"/>
        <w:rPr>
          <w:rFonts w:hint="eastAsia" w:ascii="宋体" w:hAnsi="宋体" w:eastAsia="宋体" w:cs="宋体"/>
          <w:color w:val="auto"/>
        </w:rPr>
      </w:pPr>
      <w:r>
        <w:rPr>
          <w:rFonts w:hint="eastAsia" w:ascii="宋体" w:hAnsi="宋体" w:eastAsia="宋体" w:cs="宋体"/>
          <w:color w:val="auto"/>
        </w:rPr>
        <w:t xml:space="preserve">4、我们已详细审核全部招标文件及其有效补充文件，我们放弃对招标文件任何误解的权利，无论招标结果如何，我们不对招标文件本身提出质疑。否则，属于不诚信和故意扰乱政府采购活动行为，我们将无条件接受处罚。</w:t>
      </w:r>
      <w:r/>
    </w:p>
    <w:p>
      <w:pPr>
        <w:ind w:firstLine="420"/>
        <w:spacing w:line="264" w:lineRule="auto"/>
        <w:rPr>
          <w:rFonts w:hint="eastAsia" w:ascii="宋体" w:hAnsi="宋体" w:eastAsia="宋体" w:cs="宋体"/>
          <w:color w:val="auto"/>
          <w:szCs w:val="21"/>
          <w:lang w:val="zh-CN"/>
        </w:rPr>
      </w:pPr>
      <w:r>
        <w:rPr>
          <w:rFonts w:hint="eastAsia" w:ascii="宋体" w:hAnsi="宋体" w:eastAsia="宋体" w:cs="宋体"/>
          <w:color w:val="auto"/>
          <w:szCs w:val="21"/>
        </w:rPr>
        <w:t xml:space="preserve">5</w:t>
      </w:r>
      <w:r>
        <w:rPr>
          <w:rFonts w:hint="eastAsia" w:ascii="宋体" w:hAnsi="宋体" w:eastAsia="宋体" w:cs="宋体"/>
          <w:color w:val="auto"/>
          <w:szCs w:val="21"/>
          <w:lang w:val="zh-CN"/>
        </w:rPr>
        <w:t xml:space="preserve">、我们同意从规定的开标日期起遵循本投标文件，并在规定的投标有效期期满之前均具有约束力。</w:t>
      </w:r>
      <w:r/>
    </w:p>
    <w:p>
      <w:pPr>
        <w:ind w:firstLine="420"/>
        <w:spacing w:line="264" w:lineRule="auto"/>
        <w:rPr>
          <w:rFonts w:hint="eastAsia" w:ascii="宋体" w:hAnsi="宋体" w:eastAsia="宋体" w:cs="宋体"/>
          <w:bCs/>
          <w:color w:val="auto"/>
          <w:szCs w:val="21"/>
          <w:lang w:val="zh-CN"/>
        </w:rPr>
      </w:pPr>
      <w:r>
        <w:rPr>
          <w:rFonts w:hint="eastAsia" w:ascii="宋体" w:hAnsi="宋体" w:eastAsia="宋体" w:cs="宋体"/>
          <w:color w:val="auto"/>
          <w:szCs w:val="21"/>
        </w:rPr>
        <w:t xml:space="preserve">6</w:t>
      </w:r>
      <w:r>
        <w:rPr>
          <w:rFonts w:hint="eastAsia" w:ascii="宋体" w:hAnsi="宋体" w:eastAsia="宋体" w:cs="宋体"/>
          <w:color w:val="auto"/>
          <w:szCs w:val="21"/>
          <w:lang w:val="zh-CN"/>
        </w:rPr>
        <w:t xml:space="preserve">、如果在开标后规定的投标有效期内撤回投标，</w:t>
      </w:r>
      <w:r>
        <w:rPr>
          <w:rFonts w:hint="eastAsia" w:ascii="宋体" w:hAnsi="宋体" w:eastAsia="宋体" w:cs="宋体"/>
          <w:bCs/>
          <w:color w:val="auto"/>
          <w:szCs w:val="21"/>
          <w:lang w:val="zh-CN"/>
        </w:rPr>
        <w:t xml:space="preserve">按照《南京市政府采购供应商信用管理工作暂行办法》（宁财规[2018]10号）属第十三条第11款情形，作一般失信行为处理，纳入供应商诚信档案记录。</w:t>
      </w:r>
      <w:r/>
    </w:p>
    <w:p>
      <w:pPr>
        <w:ind w:firstLine="420"/>
        <w:spacing w:line="264" w:lineRule="auto"/>
        <w:rPr>
          <w:rFonts w:hint="eastAsia" w:ascii="宋体" w:hAnsi="宋体" w:eastAsia="宋体" w:cs="宋体"/>
          <w:color w:val="auto"/>
          <w:szCs w:val="21"/>
          <w:lang w:val="zh-CN"/>
        </w:rPr>
      </w:pPr>
      <w:r>
        <w:rPr>
          <w:rFonts w:hint="eastAsia" w:ascii="宋体" w:hAnsi="宋体" w:eastAsia="宋体" w:cs="宋体"/>
          <w:color w:val="auto"/>
          <w:szCs w:val="21"/>
        </w:rPr>
        <w:t xml:space="preserve">7</w:t>
      </w:r>
      <w:r>
        <w:rPr>
          <w:rFonts w:hint="eastAsia" w:ascii="宋体" w:hAnsi="宋体" w:eastAsia="宋体" w:cs="宋体"/>
          <w:color w:val="auto"/>
          <w:szCs w:val="21"/>
          <w:lang w:val="zh-CN"/>
        </w:rPr>
        <w:t xml:space="preserve">、</w:t>
      </w:r>
      <w:r>
        <w:rPr>
          <w:rFonts w:hint="eastAsia" w:ascii="宋体" w:hAnsi="宋体" w:eastAsia="宋体" w:cs="宋体"/>
          <w:color w:val="auto"/>
        </w:rPr>
        <w:t xml:space="preserve">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20"/>
        <w:spacing w:line="264" w:lineRule="auto"/>
        <w:rPr>
          <w:rFonts w:hint="eastAsia" w:ascii="宋体" w:hAnsi="宋体" w:eastAsia="宋体" w:cs="宋体"/>
          <w:color w:val="auto"/>
          <w:szCs w:val="21"/>
          <w:lang w:val="zh-CN"/>
        </w:rPr>
      </w:pPr>
      <w:r>
        <w:rPr>
          <w:rFonts w:hint="eastAsia" w:ascii="宋体" w:hAnsi="宋体" w:eastAsia="宋体" w:cs="宋体"/>
          <w:color w:val="auto"/>
          <w:szCs w:val="21"/>
        </w:rPr>
        <w:t xml:space="preserve">8</w:t>
      </w:r>
      <w:r>
        <w:rPr>
          <w:rFonts w:hint="eastAsia" w:ascii="宋体" w:hAnsi="宋体" w:eastAsia="宋体" w:cs="宋体"/>
          <w:color w:val="auto"/>
          <w:szCs w:val="21"/>
          <w:lang w:val="zh-CN"/>
        </w:rPr>
        <w:t xml:space="preserve">、一旦我方中标，我方将根据招标文件的规定严格履行合同，并</w:t>
      </w:r>
      <w:r>
        <w:rPr>
          <w:rFonts w:hint="eastAsia" w:ascii="宋体" w:hAnsi="宋体" w:eastAsia="宋体" w:cs="宋体"/>
          <w:color w:val="auto"/>
        </w:rPr>
        <w:t xml:space="preserve">保证于承诺的时间内完成本项目规定的服务内容。</w:t>
      </w:r>
      <w:r/>
    </w:p>
    <w:p>
      <w:pPr>
        <w:ind w:firstLine="420"/>
        <w:spacing w:line="264" w:lineRule="auto"/>
        <w:rPr>
          <w:rFonts w:hint="eastAsia" w:ascii="宋体" w:hAnsi="宋体" w:eastAsia="宋体" w:cs="宋体"/>
          <w:color w:val="auto"/>
          <w:szCs w:val="21"/>
          <w:lang w:val="zh-CN"/>
        </w:rPr>
      </w:pPr>
      <w:r>
        <w:rPr>
          <w:rFonts w:hint="eastAsia" w:ascii="宋体" w:hAnsi="宋体" w:eastAsia="宋体" w:cs="宋体"/>
          <w:color w:val="auto"/>
          <w:szCs w:val="21"/>
        </w:rPr>
        <w:t xml:space="preserve">9</w:t>
      </w:r>
      <w:r>
        <w:rPr>
          <w:rFonts w:hint="eastAsia" w:ascii="宋体" w:hAnsi="宋体" w:eastAsia="宋体" w:cs="宋体"/>
          <w:color w:val="auto"/>
          <w:szCs w:val="21"/>
          <w:lang w:val="zh-CN"/>
        </w:rPr>
        <w:t xml:space="preserve">、我方决不提供虚假材料谋取中标、决不采取不正当手段诋毁、排挤其他供应商、决不与采购人、其它供应商或者市装备中心恶意串通、决不向采购人、市装备中心工作人员和评委进行商业贿赂、决不在采购过程中与采购人进行协商谈判、决不拒绝有关部门监督检查或提供虚假情况，如有违反，无条件接受相关管理部门的处罚。</w:t>
      </w:r>
      <w:r/>
    </w:p>
    <w:p>
      <w:pPr>
        <w:ind w:firstLine="420"/>
        <w:spacing w:line="264" w:lineRule="auto"/>
        <w:rPr>
          <w:rFonts w:hint="eastAsia" w:ascii="宋体" w:hAnsi="宋体" w:eastAsia="宋体" w:cs="宋体"/>
          <w:color w:val="auto"/>
          <w:szCs w:val="21"/>
          <w:lang w:val="zh-CN"/>
        </w:rPr>
        <w:outlineLvl w:val="1"/>
      </w:pPr>
      <w:r/>
      <w:bookmarkStart w:id="83" w:name="_Toc12108"/>
      <w:r>
        <w:rPr>
          <w:rFonts w:hint="eastAsia" w:ascii="宋体" w:hAnsi="宋体" w:eastAsia="宋体" w:cs="宋体"/>
          <w:color w:val="auto"/>
          <w:szCs w:val="21"/>
        </w:rPr>
        <w:t xml:space="preserve">10</w:t>
      </w:r>
      <w:r>
        <w:rPr>
          <w:rFonts w:hint="eastAsia" w:ascii="宋体" w:hAnsi="宋体" w:eastAsia="宋体" w:cs="宋体"/>
          <w:color w:val="auto"/>
          <w:szCs w:val="21"/>
          <w:lang w:val="zh-CN"/>
        </w:rPr>
        <w:t xml:space="preserve">、与本投标有关的正式联系方式为：</w:t>
      </w:r>
      <w:bookmarkEnd w:id="83"/>
      <w:r/>
      <w:r/>
    </w:p>
    <w:p>
      <w:pPr>
        <w:ind w:firstLine="420"/>
        <w:spacing w:line="264" w:lineRule="auto"/>
        <w:rPr>
          <w:rFonts w:hint="eastAsia" w:ascii="宋体" w:hAnsi="宋体" w:eastAsia="宋体" w:cs="宋体"/>
          <w:color w:val="auto"/>
          <w:szCs w:val="21"/>
          <w:u w:val="single"/>
          <w:lang w:val="zh-CN"/>
        </w:rPr>
      </w:pPr>
      <w:r>
        <w:rPr>
          <w:rFonts w:hint="eastAsia" w:ascii="宋体" w:hAnsi="宋体" w:eastAsia="宋体" w:cs="宋体"/>
          <w:color w:val="auto"/>
          <w:szCs w:val="21"/>
          <w:lang w:val="zh-CN"/>
        </w:rPr>
        <w:t xml:space="preserve">地址：</w:t>
      </w:r>
      <w:r/>
    </w:p>
    <w:p>
      <w:pPr>
        <w:ind w:firstLine="420"/>
        <w:spacing w:line="264" w:lineRule="auto"/>
        <w:rPr>
          <w:rFonts w:hint="eastAsia" w:ascii="宋体" w:hAnsi="宋体" w:eastAsia="宋体" w:cs="宋体"/>
          <w:color w:val="auto"/>
          <w:szCs w:val="21"/>
          <w:u w:val="single"/>
          <w:lang w:val="zh-CN"/>
        </w:rPr>
      </w:pPr>
      <w:r>
        <w:rPr>
          <w:rFonts w:hint="eastAsia" w:ascii="宋体" w:hAnsi="宋体" w:eastAsia="宋体" w:cs="宋体"/>
          <w:color w:val="auto"/>
          <w:szCs w:val="21"/>
          <w:lang w:val="zh-CN"/>
        </w:rPr>
        <w:t xml:space="preserve">电话：</w:t>
      </w:r>
      <w:r/>
    </w:p>
    <w:p>
      <w:pPr>
        <w:ind w:firstLine="420"/>
        <w:spacing w:line="264" w:lineRule="auto"/>
        <w:rPr>
          <w:rFonts w:hint="eastAsia" w:ascii="宋体" w:hAnsi="宋体" w:eastAsia="宋体" w:cs="宋体"/>
          <w:color w:val="auto"/>
          <w:szCs w:val="21"/>
          <w:u w:val="single"/>
          <w:lang w:val="zh-CN"/>
        </w:rPr>
      </w:pPr>
      <w:r>
        <w:rPr>
          <w:rFonts w:hint="eastAsia" w:ascii="宋体" w:hAnsi="宋体" w:eastAsia="宋体" w:cs="宋体"/>
          <w:color w:val="auto"/>
          <w:szCs w:val="21"/>
          <w:lang w:val="zh-CN"/>
        </w:rPr>
        <w:t xml:space="preserve">传真：</w:t>
      </w:r>
      <w:r/>
    </w:p>
    <w:p>
      <w:pPr>
        <w:ind w:firstLine="420"/>
        <w:spacing w:line="264"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开户银行：</w:t>
      </w:r>
      <w:r/>
    </w:p>
    <w:p>
      <w:pPr>
        <w:ind w:firstLine="420"/>
        <w:spacing w:line="264"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银行账号：</w:t>
      </w:r>
      <w:r/>
    </w:p>
    <w:p>
      <w:pPr>
        <w:ind w:firstLine="420"/>
        <w:spacing w:line="264" w:lineRule="auto"/>
        <w:rPr>
          <w:rFonts w:hint="eastAsia" w:ascii="宋体" w:hAnsi="宋体" w:eastAsia="宋体" w:cs="宋体"/>
          <w:color w:val="auto"/>
          <w:szCs w:val="21"/>
          <w:u w:val="single"/>
          <w:lang w:val="zh-CN"/>
        </w:rPr>
      </w:pPr>
      <w:r>
        <w:rPr>
          <w:rFonts w:hint="eastAsia" w:ascii="宋体" w:hAnsi="宋体" w:eastAsia="宋体" w:cs="宋体"/>
          <w:color w:val="auto"/>
          <w:szCs w:val="21"/>
          <w:lang w:val="zh-CN"/>
        </w:rPr>
        <w:t xml:space="preserve">投标供应商授权代表姓名（签字</w:t>
      </w:r>
      <w:r>
        <w:rPr>
          <w:rFonts w:hint="eastAsia" w:ascii="宋体" w:hAnsi="宋体" w:eastAsia="宋体" w:cs="宋体"/>
          <w:color w:val="auto"/>
          <w:szCs w:val="21"/>
        </w:rPr>
        <w:t xml:space="preserve">或盖章</w:t>
      </w:r>
      <w:r>
        <w:rPr>
          <w:rFonts w:hint="eastAsia" w:ascii="宋体" w:hAnsi="宋体" w:eastAsia="宋体" w:cs="宋体"/>
          <w:color w:val="auto"/>
          <w:szCs w:val="21"/>
          <w:lang w:val="zh-CN"/>
        </w:rPr>
        <w:t xml:space="preserve">）：</w:t>
      </w:r>
      <w:r/>
    </w:p>
    <w:p>
      <w:pPr>
        <w:ind w:firstLine="420"/>
        <w:spacing w:line="264"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投标供应商名称（章）：</w:t>
      </w:r>
      <w:r/>
    </w:p>
    <w:p>
      <w:pPr>
        <w:pStyle w:val="954"/>
        <w:spacing w:line="264" w:lineRule="auto"/>
        <w:rPr>
          <w:rFonts w:hint="eastAsia" w:ascii="宋体" w:hAnsi="宋体" w:eastAsia="宋体" w:cs="宋体"/>
          <w:color w:val="auto"/>
        </w:rPr>
      </w:pPr>
      <w:r>
        <w:rPr>
          <w:rFonts w:hint="eastAsia" w:ascii="宋体" w:hAnsi="宋体" w:eastAsia="宋体" w:cs="宋体"/>
          <w:color w:val="auto"/>
          <w:szCs w:val="21"/>
          <w:lang w:val="zh-CN"/>
        </w:rPr>
        <w:t xml:space="preserve">日期：</w:t>
      </w:r>
      <w:r>
        <w:rPr>
          <w:rFonts w:hint="eastAsia" w:ascii="宋体" w:hAnsi="宋体" w:eastAsia="宋体" w:cs="宋体"/>
          <w:color w:val="auto"/>
          <w:szCs w:val="21"/>
        </w:rPr>
        <w:t xml:space="preserve"> </w:t>
      </w:r>
      <w:r>
        <w:rPr>
          <w:rFonts w:hint="eastAsia" w:ascii="宋体" w:hAnsi="宋体" w:eastAsia="宋体" w:cs="宋体"/>
          <w:color w:val="auto"/>
          <w:szCs w:val="21"/>
          <w:lang w:val="zh-CN"/>
        </w:rPr>
        <w:t xml:space="preserve">年</w:t>
      </w:r>
      <w:r>
        <w:rPr>
          <w:rFonts w:hint="eastAsia" w:ascii="宋体" w:hAnsi="宋体" w:eastAsia="宋体" w:cs="宋体"/>
          <w:color w:val="auto"/>
          <w:szCs w:val="21"/>
        </w:rPr>
        <w:t xml:space="preserve"> </w:t>
      </w:r>
      <w:r>
        <w:rPr>
          <w:rFonts w:hint="eastAsia" w:ascii="宋体" w:hAnsi="宋体" w:eastAsia="宋体" w:cs="宋体"/>
          <w:color w:val="auto"/>
          <w:szCs w:val="21"/>
          <w:lang w:val="zh-CN"/>
        </w:rPr>
        <w:t xml:space="preserve">月</w:t>
      </w:r>
      <w:r>
        <w:rPr>
          <w:rFonts w:hint="eastAsia" w:ascii="宋体" w:hAnsi="宋体" w:eastAsia="宋体" w:cs="宋体"/>
          <w:color w:val="auto"/>
          <w:szCs w:val="21"/>
        </w:rPr>
        <w:t xml:space="preserve"> </w:t>
      </w:r>
      <w:r>
        <w:rPr>
          <w:rFonts w:hint="eastAsia" w:ascii="宋体" w:hAnsi="宋体" w:eastAsia="宋体" w:cs="宋体"/>
          <w:color w:val="auto"/>
          <w:szCs w:val="21"/>
          <w:lang w:val="zh-CN"/>
        </w:rPr>
        <w:t xml:space="preserve">日</w:t>
      </w:r>
      <w:r/>
    </w:p>
    <w:p>
      <w:pPr>
        <w:pStyle w:val="954"/>
        <w:ind w:left="840" w:hanging="105"/>
        <w:spacing w:line="288" w:lineRule="auto"/>
        <w:rPr>
          <w:rFonts w:hint="eastAsia" w:ascii="宋体" w:hAnsi="宋体" w:eastAsia="宋体" w:cs="宋体"/>
          <w:color w:val="auto"/>
        </w:rPr>
      </w:pPr>
      <w:r>
        <w:rPr>
          <w:rFonts w:hint="eastAsia" w:ascii="宋体" w:hAnsi="宋体" w:eastAsia="宋体" w:cs="宋体"/>
          <w:color w:val="auto"/>
        </w:rPr>
      </w:r>
      <w:r/>
    </w:p>
    <w:p>
      <w:pPr>
        <w:ind w:firstLine="122"/>
        <w:rPr>
          <w:rFonts w:hint="eastAsia" w:ascii="宋体" w:hAnsi="宋体" w:eastAsia="宋体" w:cs="宋体"/>
          <w:b/>
          <w:color w:val="auto"/>
        </w:rPr>
      </w:pPr>
      <w:r>
        <w:rPr>
          <w:rFonts w:hint="eastAsia" w:ascii="宋体" w:hAnsi="宋体" w:eastAsia="宋体" w:cs="宋体"/>
          <w:b/>
          <w:color w:val="auto"/>
        </w:rPr>
      </w:r>
      <w:r/>
    </w:p>
    <w:p>
      <w:pPr>
        <w:ind w:firstLine="122"/>
        <w:rPr>
          <w:rFonts w:hint="eastAsia" w:ascii="宋体" w:hAnsi="宋体" w:eastAsia="宋体" w:cs="宋体"/>
          <w:b/>
          <w:bCs/>
          <w:color w:val="auto"/>
        </w:rPr>
      </w:pPr>
      <w:r>
        <w:rPr>
          <w:rFonts w:hint="eastAsia" w:ascii="宋体" w:hAnsi="宋体" w:eastAsia="宋体" w:cs="宋体"/>
          <w:b/>
          <w:bCs/>
          <w:color w:val="auto"/>
        </w:rPr>
      </w:r>
      <w:r/>
    </w:p>
    <w:p>
      <w:pPr>
        <w:rPr>
          <w:rFonts w:hint="eastAsia" w:ascii="宋体" w:hAnsi="宋体" w:eastAsia="宋体" w:cs="宋体"/>
          <w:b/>
          <w:bCs/>
          <w:color w:val="auto"/>
        </w:rPr>
      </w:pPr>
      <w:r>
        <w:rPr>
          <w:rFonts w:hint="eastAsia" w:ascii="宋体" w:hAnsi="宋体" w:eastAsia="宋体" w:cs="宋体"/>
          <w:b/>
          <w:bCs/>
          <w:color w:val="auto"/>
        </w:rPr>
        <w:br w:type="page" w:clear="all"/>
      </w:r>
      <w:r/>
    </w:p>
    <w:p>
      <w:pPr>
        <w:ind w:firstLine="122"/>
        <w:rPr>
          <w:rFonts w:hint="eastAsia" w:ascii="宋体" w:hAnsi="宋体" w:eastAsia="宋体" w:cs="宋体"/>
          <w:b/>
          <w:bCs/>
          <w:color w:val="auto"/>
        </w:rPr>
      </w:pPr>
      <w:r>
        <w:rPr>
          <w:rFonts w:hint="eastAsia" w:ascii="宋体" w:hAnsi="宋体" w:eastAsia="宋体" w:cs="宋体"/>
          <w:b/>
          <w:bCs/>
          <w:color w:val="auto"/>
        </w:rPr>
      </w:r>
      <w:r/>
    </w:p>
    <w:p>
      <w:pPr>
        <w:ind w:firstLine="122"/>
        <w:rPr>
          <w:rFonts w:hint="eastAsia" w:ascii="宋体" w:hAnsi="宋体" w:eastAsia="宋体" w:cs="宋体"/>
          <w:b/>
          <w:color w:val="auto"/>
        </w:rPr>
      </w:pPr>
      <w:r>
        <w:rPr>
          <w:rFonts w:hint="eastAsia" w:ascii="宋体" w:hAnsi="宋体" w:eastAsia="宋体" w:cs="宋体"/>
          <w:b/>
          <w:bCs/>
          <w:color w:val="auto"/>
        </w:rPr>
        <w:t xml:space="preserve">目录</w:t>
      </w:r>
      <w:r>
        <w:rPr>
          <w:rFonts w:hint="eastAsia" w:ascii="宋体" w:hAnsi="宋体" w:eastAsia="宋体" w:cs="宋体"/>
          <w:b/>
          <w:color w:val="auto"/>
        </w:rPr>
        <w:t xml:space="preserve">二、法定代表人授权书及委托代理人身份证文件的复印件</w:t>
      </w:r>
      <w:r/>
    </w:p>
    <w:p>
      <w:pPr>
        <w:ind w:firstLine="256"/>
        <w:jc w:val="center"/>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ind w:firstLine="163"/>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法定代表人授权书</w:t>
      </w:r>
      <w:r/>
    </w:p>
    <w:p>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致：南京市江宁区城市管理局</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本授权书声明：注册于</w:t>
      </w:r>
      <w:r>
        <w:rPr>
          <w:rFonts w:hint="eastAsia" w:ascii="宋体" w:hAnsi="宋体" w:eastAsia="宋体" w:cs="宋体"/>
          <w:color w:val="auto"/>
          <w:szCs w:val="21"/>
          <w:u w:val="single"/>
        </w:rPr>
        <w:t xml:space="preserve">（供应商住址）</w:t>
      </w:r>
      <w:r>
        <w:rPr>
          <w:rFonts w:hint="eastAsia" w:ascii="宋体" w:hAnsi="宋体" w:eastAsia="宋体" w:cs="宋体"/>
          <w:color w:val="auto"/>
          <w:szCs w:val="21"/>
        </w:rPr>
        <w:t xml:space="preserve">的</w:t>
      </w:r>
      <w:r>
        <w:rPr>
          <w:rFonts w:hint="eastAsia" w:ascii="宋体" w:hAnsi="宋体" w:eastAsia="宋体" w:cs="宋体"/>
          <w:color w:val="auto"/>
          <w:szCs w:val="21"/>
          <w:u w:val="single"/>
        </w:rPr>
        <w:t xml:space="preserve">（供应商名称）</w:t>
      </w:r>
      <w:r>
        <w:rPr>
          <w:rFonts w:hint="eastAsia" w:ascii="宋体" w:hAnsi="宋体" w:eastAsia="宋体" w:cs="宋体"/>
          <w:color w:val="auto"/>
          <w:szCs w:val="21"/>
        </w:rPr>
        <w:t xml:space="preserve">法定代表人</w:t>
      </w:r>
      <w:r>
        <w:rPr>
          <w:rFonts w:hint="eastAsia" w:ascii="宋体" w:hAnsi="宋体" w:eastAsia="宋体" w:cs="宋体"/>
          <w:color w:val="auto"/>
          <w:szCs w:val="21"/>
          <w:u w:val="single"/>
        </w:rPr>
        <w:t xml:space="preserve">（法定代表人姓名、职务）</w:t>
      </w:r>
      <w:r>
        <w:rPr>
          <w:rFonts w:hint="eastAsia" w:ascii="宋体" w:hAnsi="宋体" w:eastAsia="宋体" w:cs="宋体"/>
          <w:color w:val="auto"/>
          <w:szCs w:val="21"/>
        </w:rPr>
        <w:t xml:space="preserve">代表本公司授权在下面签字的</w:t>
      </w:r>
      <w:r>
        <w:rPr>
          <w:rFonts w:hint="eastAsia" w:ascii="宋体" w:hAnsi="宋体" w:eastAsia="宋体" w:cs="宋体"/>
          <w:color w:val="auto"/>
          <w:szCs w:val="21"/>
          <w:u w:val="single"/>
        </w:rPr>
        <w:t xml:space="preserve">（供应商代表姓名、职务）</w:t>
      </w:r>
      <w:r>
        <w:rPr>
          <w:rFonts w:hint="eastAsia" w:ascii="宋体" w:hAnsi="宋体" w:eastAsia="宋体" w:cs="宋体"/>
          <w:color w:val="auto"/>
          <w:szCs w:val="21"/>
        </w:rPr>
        <w:t xml:space="preserve">为本公司的合法代理人，就贵方组织的</w:t>
      </w:r>
      <w:r>
        <w:rPr>
          <w:rFonts w:hint="eastAsia" w:ascii="宋体" w:hAnsi="宋体" w:eastAsia="宋体" w:cs="宋体"/>
          <w:color w:val="auto"/>
          <w:szCs w:val="21"/>
          <w:u w:val="single"/>
        </w:rPr>
        <w:t xml:space="preserve">（项目名称）（项目编号）</w:t>
      </w:r>
      <w:r>
        <w:rPr>
          <w:rFonts w:hint="eastAsia" w:ascii="宋体" w:hAnsi="宋体" w:eastAsia="宋体" w:cs="宋体"/>
          <w:color w:val="auto"/>
          <w:szCs w:val="21"/>
        </w:rPr>
        <w:t xml:space="preserve">进行</w:t>
      </w:r>
      <w:r>
        <w:rPr>
          <w:rFonts w:hint="eastAsia" w:ascii="宋体" w:hAnsi="宋体" w:eastAsia="宋体" w:cs="宋体"/>
          <w:bCs/>
          <w:color w:val="auto"/>
          <w:szCs w:val="21"/>
        </w:rPr>
        <w:t xml:space="preserve">投标</w:t>
      </w:r>
      <w:r>
        <w:rPr>
          <w:rFonts w:hint="eastAsia" w:ascii="宋体" w:hAnsi="宋体" w:eastAsia="宋体" w:cs="宋体"/>
          <w:color w:val="auto"/>
          <w:szCs w:val="21"/>
        </w:rPr>
        <w:t xml:space="preserve">报价，以本公司名义处理一切与之有关的事务。</w:t>
      </w:r>
      <w:r/>
    </w:p>
    <w:p>
      <w:pPr>
        <w:ind w:firstLine="122"/>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122"/>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本授权书于年月日签字生效，特此声明。</w:t>
      </w:r>
      <w:r/>
    </w:p>
    <w:p>
      <w:pPr>
        <w:ind w:firstLine="122"/>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投标供应商（</w:t>
      </w:r>
      <w:r>
        <w:rPr>
          <w:rFonts w:hint="eastAsia" w:ascii="宋体" w:hAnsi="宋体" w:eastAsia="宋体" w:cs="宋体"/>
          <w:color w:val="auto"/>
          <w:lang w:val="zh-CN"/>
        </w:rPr>
        <w:t xml:space="preserve">盖</w:t>
      </w:r>
      <w:r>
        <w:rPr>
          <w:rFonts w:hint="eastAsia" w:ascii="宋体" w:hAnsi="宋体" w:eastAsia="宋体" w:cs="宋体"/>
          <w:color w:val="auto"/>
          <w:szCs w:val="21"/>
          <w:lang w:val="zh-CN"/>
        </w:rPr>
        <w:t xml:space="preserve">章）：</w:t>
      </w:r>
      <w:r/>
    </w:p>
    <w:p>
      <w:pPr>
        <w:ind w:firstLine="122"/>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法定代表人</w:t>
      </w:r>
      <w:r>
        <w:rPr>
          <w:rFonts w:hint="eastAsia" w:ascii="宋体" w:hAnsi="宋体" w:eastAsia="宋体" w:cs="宋体"/>
          <w:color w:val="auto"/>
          <w:szCs w:val="21"/>
          <w:lang w:val="zh-CN"/>
        </w:rPr>
        <w:t xml:space="preserve">（签字</w:t>
      </w:r>
      <w:r>
        <w:rPr>
          <w:rFonts w:hint="eastAsia" w:ascii="宋体" w:hAnsi="宋体" w:eastAsia="宋体" w:cs="宋体"/>
          <w:color w:val="auto"/>
          <w:szCs w:val="21"/>
        </w:rPr>
        <w:t xml:space="preserve">或盖章</w:t>
      </w:r>
      <w:r>
        <w:rPr>
          <w:rFonts w:hint="eastAsia" w:ascii="宋体" w:hAnsi="宋体" w:eastAsia="宋体" w:cs="宋体"/>
          <w:color w:val="auto"/>
          <w:szCs w:val="21"/>
          <w:lang w:val="zh-CN"/>
        </w:rPr>
        <w:t xml:space="preserve">）</w:t>
      </w:r>
      <w:r>
        <w:rPr>
          <w:rFonts w:hint="eastAsia" w:ascii="宋体" w:hAnsi="宋体" w:eastAsia="宋体" w:cs="宋体"/>
          <w:color w:val="auto"/>
          <w:szCs w:val="21"/>
        </w:rPr>
        <w:t xml:space="preserve">：</w:t>
      </w:r>
      <w:r/>
    </w:p>
    <w:p>
      <w:pPr>
        <w:ind w:firstLine="122"/>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被授权人</w:t>
      </w:r>
      <w:r>
        <w:rPr>
          <w:rFonts w:hint="eastAsia" w:ascii="宋体" w:hAnsi="宋体" w:eastAsia="宋体" w:cs="宋体"/>
          <w:color w:val="auto"/>
          <w:lang w:val="zh-CN"/>
        </w:rPr>
        <w:t xml:space="preserve">（签字</w:t>
      </w:r>
      <w:r>
        <w:rPr>
          <w:rFonts w:hint="eastAsia" w:ascii="宋体" w:hAnsi="宋体" w:eastAsia="宋体" w:cs="宋体"/>
          <w:color w:val="auto"/>
        </w:rPr>
        <w:t xml:space="preserve">或盖章</w:t>
      </w:r>
      <w:r>
        <w:rPr>
          <w:rFonts w:hint="eastAsia" w:ascii="宋体" w:hAnsi="宋体" w:eastAsia="宋体" w:cs="宋体"/>
          <w:color w:val="auto"/>
          <w:lang w:val="zh-CN"/>
        </w:rPr>
        <w:t xml:space="preserve">）</w:t>
      </w:r>
      <w:r>
        <w:rPr>
          <w:rFonts w:hint="eastAsia" w:ascii="宋体" w:hAnsi="宋体" w:eastAsia="宋体" w:cs="宋体"/>
          <w:color w:val="auto"/>
          <w:szCs w:val="21"/>
        </w:rPr>
        <w:t xml:space="preserve">：</w:t>
      </w:r>
      <w:r/>
    </w:p>
    <w:p>
      <w:pPr>
        <w:ind w:firstLine="122"/>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日期： 年 月 日</w:t>
      </w:r>
      <w:r/>
    </w:p>
    <w:p>
      <w:pPr>
        <w:ind w:firstLine="122"/>
        <w:rPr>
          <w:rFonts w:hint="eastAsia" w:ascii="宋体" w:hAnsi="宋体" w:eastAsia="宋体" w:cs="宋体"/>
          <w:color w:val="auto"/>
        </w:rPr>
      </w:pPr>
      <w:r>
        <w:rPr>
          <w:rFonts w:hint="eastAsia" w:ascii="宋体" w:hAnsi="宋体" w:eastAsia="宋体" w:cs="宋体"/>
          <w:color w:val="auto"/>
        </w:rPr>
      </w:r>
      <w:r/>
    </w:p>
    <w:p>
      <w:pPr>
        <w:ind w:firstLine="122"/>
        <w:rPr>
          <w:rFonts w:hint="eastAsia" w:ascii="宋体" w:hAnsi="宋体" w:eastAsia="宋体" w:cs="宋体"/>
          <w:color w:val="auto"/>
        </w:rPr>
      </w:pPr>
      <w:r>
        <w:rPr>
          <w:rFonts w:hint="eastAsia" w:ascii="宋体" w:hAnsi="宋体" w:eastAsia="宋体" w:cs="宋体"/>
          <w:color w:val="auto"/>
        </w:rPr>
      </w:r>
      <w:r/>
    </w:p>
    <w:p>
      <w:pPr>
        <w:ind w:firstLine="122"/>
        <w:rPr>
          <w:rFonts w:hint="eastAsia" w:ascii="宋体" w:hAnsi="宋体" w:eastAsia="宋体" w:cs="宋体"/>
          <w:color w:val="auto"/>
        </w:rPr>
      </w:pPr>
      <w:r>
        <w:rPr>
          <w:rFonts w:hint="eastAsia" w:ascii="宋体" w:hAnsi="宋体" w:eastAsia="宋体" w:cs="宋体"/>
          <w:color w:val="auto"/>
        </w:rPr>
      </w:r>
      <w:r/>
    </w:p>
    <w:p>
      <w:pPr>
        <w:ind w:firstLine="122"/>
        <w:rPr>
          <w:rFonts w:hint="eastAsia" w:ascii="宋体" w:hAnsi="宋体" w:eastAsia="宋体" w:cs="宋体"/>
          <w:color w:val="auto"/>
        </w:rPr>
      </w:pPr>
      <w:r>
        <w:rPr>
          <w:rFonts w:hint="eastAsia" w:ascii="宋体" w:hAnsi="宋体" w:eastAsia="宋体" w:cs="宋体"/>
          <w:color w:val="auto"/>
        </w:rPr>
      </w:r>
      <w:r/>
    </w:p>
    <w:p>
      <w:pPr>
        <w:ind w:firstLine="122"/>
        <w:jc w:val="center"/>
        <w:rPr>
          <w:rFonts w:hint="eastAsia" w:ascii="宋体" w:hAnsi="宋体" w:eastAsia="宋体" w:cs="宋体"/>
          <w:color w:val="auto"/>
        </w:rPr>
      </w:pPr>
      <w:r>
        <w:rPr>
          <w:rFonts w:hint="eastAsia" w:ascii="宋体" w:hAnsi="宋体" w:eastAsia="宋体" w:cs="宋体"/>
          <w:color w:val="auto"/>
        </w:rPr>
        <w:t xml:space="preserve">委托代理人的身份证明文件的复印件：</w:t>
      </w:r>
      <w:r/>
    </w:p>
    <w:p>
      <w:pPr>
        <w:ind w:firstLine="122"/>
        <w:rPr>
          <w:rFonts w:hint="eastAsia" w:ascii="宋体" w:hAnsi="宋体" w:eastAsia="宋体" w:cs="宋体"/>
          <w:color w:val="auto"/>
        </w:rPr>
      </w:pPr>
      <w:r>
        <w:rPr>
          <w:rFonts w:hint="eastAsia" w:ascii="宋体" w:hAnsi="宋体" w:eastAsia="宋体" w:cs="宋体"/>
          <w:color w:val="auto"/>
        </w:rPr>
      </w:r>
      <w:r/>
    </w:p>
    <w:p>
      <w:pPr>
        <w:ind w:firstLine="122"/>
        <w:rPr>
          <w:rFonts w:hint="eastAsia" w:ascii="宋体" w:hAnsi="宋体" w:eastAsia="宋体" w:cs="宋体"/>
          <w:color w:val="auto"/>
        </w:rPr>
      </w:pPr>
      <w:r>
        <w:rPr>
          <w:rFonts w:hint="eastAsia" w:ascii="宋体" w:hAnsi="宋体" w:eastAsia="宋体" w:cs="宋体"/>
          <w:color w:val="auto"/>
        </w:rPr>
      </w:r>
      <w:r/>
    </w:p>
    <w:p>
      <w:pPr>
        <w:ind w:firstLine="122"/>
        <w:rPr>
          <w:rFonts w:hint="eastAsia" w:ascii="宋体" w:hAnsi="宋体" w:eastAsia="宋体" w:cs="宋体"/>
          <w:color w:val="auto"/>
        </w:rPr>
      </w:pPr>
      <w:r>
        <w:rPr>
          <w:rFonts w:hint="eastAsia" w:ascii="宋体" w:hAnsi="宋体" w:eastAsia="宋体" w:cs="宋体"/>
          <w:color w:val="auto"/>
        </w:rPr>
      </w:r>
      <w:r/>
    </w:p>
    <w:p>
      <w:pPr>
        <w:ind w:firstLine="122"/>
        <w:rPr>
          <w:rFonts w:hint="eastAsia" w:ascii="宋体" w:hAnsi="宋体" w:eastAsia="宋体" w:cs="宋体"/>
          <w:color w:val="auto"/>
        </w:rPr>
      </w:pPr>
      <w:r>
        <w:rPr>
          <w:rFonts w:hint="eastAsia" w:ascii="宋体" w:hAnsi="宋体" w:eastAsia="宋体" w:cs="宋体"/>
          <w:color w:val="auto"/>
        </w:rPr>
      </w:r>
      <w:r/>
    </w:p>
    <w:p>
      <w:pPr>
        <w:ind w:firstLine="122"/>
        <w:rPr>
          <w:rFonts w:hint="eastAsia" w:ascii="宋体" w:hAnsi="宋体" w:eastAsia="宋体" w:cs="宋体"/>
          <w:color w:val="auto"/>
        </w:rPr>
      </w:pPr>
      <w:r>
        <w:rPr>
          <w:rFonts w:hint="eastAsia" w:ascii="宋体" w:hAnsi="宋体" w:eastAsia="宋体" w:cs="宋体"/>
          <w:color w:val="auto"/>
        </w:rPr>
      </w:r>
      <w:r/>
    </w:p>
    <w:p>
      <w:pPr>
        <w:ind w:firstLine="122"/>
        <w:rPr>
          <w:rFonts w:hint="eastAsia" w:ascii="宋体" w:hAnsi="宋体" w:eastAsia="宋体" w:cs="宋体"/>
          <w:color w:val="auto"/>
        </w:rPr>
      </w:pPr>
      <w:r>
        <w:rPr>
          <w:rFonts w:hint="eastAsia" w:ascii="宋体" w:hAnsi="宋体" w:eastAsia="宋体" w:cs="宋体"/>
          <w:color w:val="auto"/>
        </w:rPr>
      </w:r>
      <w:r/>
    </w:p>
    <w:p>
      <w:pPr>
        <w:ind w:firstLine="122"/>
        <w:rPr>
          <w:rFonts w:hint="eastAsia" w:ascii="宋体" w:hAnsi="宋体" w:eastAsia="宋体" w:cs="宋体"/>
          <w:color w:val="auto"/>
        </w:rPr>
      </w:pPr>
      <w:r>
        <w:rPr>
          <w:rFonts w:hint="eastAsia" w:ascii="宋体" w:hAnsi="宋体" w:eastAsia="宋体" w:cs="宋体"/>
          <w:color w:val="auto"/>
        </w:rPr>
      </w:r>
      <w:r/>
    </w:p>
    <w:p>
      <w:pPr>
        <w:ind w:firstLine="122"/>
        <w:rPr>
          <w:rFonts w:hint="eastAsia" w:ascii="宋体" w:hAnsi="宋体" w:eastAsia="宋体" w:cs="宋体"/>
          <w:color w:val="auto"/>
        </w:rPr>
      </w:pPr>
      <w:r>
        <w:rPr>
          <w:rFonts w:hint="eastAsia" w:ascii="宋体" w:hAnsi="宋体" w:eastAsia="宋体" w:cs="宋体"/>
          <w:color w:val="auto"/>
        </w:rPr>
      </w:r>
      <w:r/>
    </w:p>
    <w:p>
      <w:pPr>
        <w:ind w:firstLine="122"/>
        <w:rPr>
          <w:rFonts w:hint="eastAsia" w:ascii="宋体" w:hAnsi="宋体" w:eastAsia="宋体" w:cs="宋体"/>
          <w:color w:val="auto"/>
        </w:rPr>
      </w:pPr>
      <w:r>
        <w:rPr>
          <w:rFonts w:hint="eastAsia" w:ascii="宋体" w:hAnsi="宋体" w:eastAsia="宋体" w:cs="宋体"/>
          <w:color w:val="auto"/>
        </w:rPr>
      </w:r>
      <w:r/>
    </w:p>
    <w:p>
      <w:pPr>
        <w:ind w:firstLine="122"/>
        <w:rPr>
          <w:rFonts w:hint="eastAsia" w:ascii="宋体" w:hAnsi="宋体" w:eastAsia="宋体" w:cs="宋体"/>
          <w:color w:val="auto"/>
        </w:rPr>
      </w:pPr>
      <w:r>
        <w:rPr>
          <w:rFonts w:hint="eastAsia" w:ascii="宋体" w:hAnsi="宋体" w:eastAsia="宋体" w:cs="宋体"/>
          <w:color w:val="auto"/>
        </w:rPr>
      </w:r>
      <w:r/>
    </w:p>
    <w:p>
      <w:pPr>
        <w:ind w:firstLine="122"/>
        <w:rPr>
          <w:rFonts w:hint="eastAsia" w:ascii="宋体" w:hAnsi="宋体" w:eastAsia="宋体" w:cs="宋体"/>
          <w:color w:val="auto"/>
        </w:rPr>
      </w:pPr>
      <w:r>
        <w:rPr>
          <w:rFonts w:hint="eastAsia" w:ascii="宋体" w:hAnsi="宋体" w:eastAsia="宋体" w:cs="宋体"/>
          <w:color w:val="auto"/>
        </w:rPr>
      </w:r>
      <w:r/>
    </w:p>
    <w:p>
      <w:pPr>
        <w:ind w:firstLine="122"/>
        <w:rPr>
          <w:rFonts w:hint="eastAsia" w:ascii="宋体" w:hAnsi="宋体" w:eastAsia="宋体" w:cs="宋体"/>
          <w:color w:val="auto"/>
        </w:rPr>
      </w:pPr>
      <w:r>
        <w:rPr>
          <w:rFonts w:hint="eastAsia" w:ascii="宋体" w:hAnsi="宋体" w:eastAsia="宋体" w:cs="宋体"/>
          <w:color w:val="auto"/>
        </w:rPr>
      </w:r>
      <w:r/>
    </w:p>
    <w:p>
      <w:pPr>
        <w:ind w:firstLine="122"/>
        <w:rPr>
          <w:rFonts w:hint="eastAsia" w:ascii="宋体" w:hAnsi="宋体" w:eastAsia="宋体" w:cs="宋体"/>
          <w:color w:val="auto"/>
        </w:rPr>
      </w:pPr>
      <w:r>
        <w:rPr>
          <w:rFonts w:hint="eastAsia" w:ascii="宋体" w:hAnsi="宋体" w:eastAsia="宋体" w:cs="宋体"/>
          <w:color w:val="auto"/>
        </w:rPr>
      </w:r>
      <w:r/>
    </w:p>
    <w:p>
      <w:pPr>
        <w:ind w:firstLine="122"/>
        <w:rPr>
          <w:rFonts w:hint="eastAsia" w:ascii="宋体" w:hAnsi="宋体" w:eastAsia="宋体" w:cs="宋体"/>
          <w:color w:val="auto"/>
        </w:rPr>
      </w:pPr>
      <w:r>
        <w:rPr>
          <w:rFonts w:hint="eastAsia" w:ascii="宋体" w:hAnsi="宋体" w:eastAsia="宋体" w:cs="宋体"/>
          <w:color w:val="auto"/>
        </w:rPr>
      </w:r>
      <w:r/>
    </w:p>
    <w:p>
      <w:pPr>
        <w:ind w:firstLine="122"/>
        <w:rPr>
          <w:rFonts w:hint="eastAsia" w:ascii="宋体" w:hAnsi="宋体" w:eastAsia="宋体" w:cs="宋体"/>
          <w:color w:val="auto"/>
        </w:rPr>
      </w:pPr>
      <w:r>
        <w:rPr>
          <w:rFonts w:hint="eastAsia" w:ascii="宋体" w:hAnsi="宋体" w:eastAsia="宋体" w:cs="宋体"/>
          <w:color w:val="auto"/>
        </w:rPr>
      </w:r>
      <w:r/>
    </w:p>
    <w:p>
      <w:pPr>
        <w:ind w:firstLine="122"/>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br w:type="page" w:clear="all"/>
      </w:r>
      <w:r/>
    </w:p>
    <w:p>
      <w:pPr>
        <w:pStyle w:val="892"/>
        <w:rPr>
          <w:rFonts w:hint="eastAsia" w:ascii="宋体" w:hAnsi="宋体" w:eastAsia="宋体" w:cs="宋体"/>
          <w:color w:val="auto"/>
        </w:rPr>
      </w:pPr>
      <w:r>
        <w:rPr>
          <w:rFonts w:hint="eastAsia" w:ascii="宋体" w:hAnsi="宋体" w:eastAsia="宋体" w:cs="宋体"/>
          <w:color w:val="auto"/>
        </w:rPr>
      </w:r>
      <w:r/>
    </w:p>
    <w:p>
      <w:pPr>
        <w:jc w:val="left"/>
        <w:widowControl/>
        <w:rPr>
          <w:rFonts w:hint="eastAsia" w:ascii="宋体" w:hAnsi="宋体" w:eastAsia="宋体" w:cs="宋体"/>
          <w:b/>
          <w:color w:val="auto"/>
          <w:szCs w:val="21"/>
          <w:lang w:val="zh-CN"/>
        </w:rPr>
      </w:pPr>
      <w:r>
        <w:rPr>
          <w:rFonts w:hint="eastAsia" w:ascii="宋体" w:hAnsi="宋体" w:eastAsia="宋体" w:cs="宋体"/>
          <w:b/>
          <w:bCs/>
          <w:color w:val="auto"/>
        </w:rPr>
        <w:t xml:space="preserve">目录</w:t>
      </w:r>
      <w:r>
        <w:rPr>
          <w:rFonts w:hint="eastAsia" w:ascii="宋体" w:hAnsi="宋体" w:eastAsia="宋体" w:cs="宋体"/>
          <w:b/>
          <w:color w:val="auto"/>
          <w:szCs w:val="21"/>
          <w:lang w:val="zh-CN"/>
        </w:rPr>
        <w:t xml:space="preserve">三、开标一览表</w:t>
      </w:r>
      <w:r/>
    </w:p>
    <w:p>
      <w:pPr>
        <w:jc w:val="center"/>
        <w:spacing w:line="240" w:lineRule="atLeast"/>
        <w:widowControl/>
        <w:rPr>
          <w:rFonts w:hint="eastAsia" w:ascii="宋体" w:hAnsi="宋体" w:eastAsia="宋体" w:cs="宋体"/>
          <w:color w:val="auto"/>
          <w:sz w:val="32"/>
          <w:szCs w:val="32"/>
          <w:lang w:val="zh-CN"/>
        </w:rPr>
        <w:outlineLvl w:val="0"/>
      </w:pPr>
      <w:r/>
      <w:bookmarkStart w:id="84" w:name="_Toc21106"/>
      <w:r>
        <w:rPr>
          <w:rFonts w:hint="eastAsia" w:ascii="宋体" w:hAnsi="宋体" w:eastAsia="宋体" w:cs="宋体"/>
          <w:color w:val="auto"/>
          <w:sz w:val="32"/>
          <w:szCs w:val="32"/>
          <w:lang w:val="zh-CN"/>
        </w:rPr>
        <w:t xml:space="preserve">开标一览表</w:t>
      </w:r>
      <w:bookmarkEnd w:id="84"/>
      <w:r/>
      <w:r/>
    </w:p>
    <w:p>
      <w:pPr>
        <w:spacing w:line="360" w:lineRule="auto"/>
        <w:rPr>
          <w:rFonts w:hint="eastAsia" w:ascii="宋体" w:hAnsi="宋体" w:eastAsia="宋体" w:cs="宋体"/>
          <w:bCs/>
          <w:color w:val="auto"/>
          <w:szCs w:val="20"/>
        </w:rPr>
      </w:pPr>
      <w:r>
        <w:rPr>
          <w:rFonts w:hint="eastAsia" w:ascii="宋体" w:hAnsi="宋体" w:eastAsia="宋体" w:cs="宋体"/>
          <w:bCs/>
          <w:color w:val="auto"/>
          <w:szCs w:val="20"/>
        </w:rPr>
        <w:t xml:space="preserve">项目编号：</w:t>
      </w:r>
      <w:r/>
    </w:p>
    <w:p>
      <w:pPr>
        <w:spacing w:line="360" w:lineRule="auto"/>
        <w:rPr>
          <w:rFonts w:hint="eastAsia" w:ascii="宋体" w:hAnsi="宋体" w:eastAsia="宋体" w:cs="宋体"/>
          <w:bCs/>
          <w:color w:val="auto"/>
          <w:szCs w:val="20"/>
        </w:rPr>
      </w:pPr>
      <w:r>
        <w:rPr>
          <w:rFonts w:hint="eastAsia" w:ascii="宋体" w:hAnsi="宋体" w:eastAsia="宋体" w:cs="宋体"/>
          <w:bCs/>
          <w:color w:val="auto"/>
          <w:szCs w:val="20"/>
        </w:rPr>
        <w:t xml:space="preserve">项目名称：</w:t>
      </w:r>
      <w:r/>
    </w:p>
    <w:tbl>
      <w:tblPr>
        <w:tblStyle w:val="890"/>
        <w:tblW w:w="94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58"/>
        <w:gridCol w:w="6840"/>
      </w:tblGrid>
      <w:tr>
        <w:trPr>
          <w:cantSplit/>
          <w:trHeight w:val="1602"/>
        </w:trPr>
        <w:tc>
          <w:tcPr>
            <w:tcW w:w="2658" w:type="dxa"/>
            <w:vAlign w:val="center"/>
            <w:textDirection w:val="lrTb"/>
            <w:noWrap w:val="false"/>
          </w:tcPr>
          <w:p>
            <w:pPr>
              <w:pStyle w:val="891"/>
              <w:jc w:val="center"/>
              <w:spacing w:after="156"/>
              <w:rPr>
                <w:rFonts w:hint="eastAsia" w:ascii="宋体" w:hAnsi="宋体" w:eastAsia="宋体" w:cs="宋体"/>
                <w:bCs/>
                <w:color w:val="auto"/>
                <w:lang w:eastAsia="zh-CN"/>
              </w:rPr>
            </w:pPr>
            <w:r>
              <w:rPr>
                <w:rFonts w:hint="eastAsia" w:eastAsia="宋体" w:cs="宋体"/>
                <w:color w:val="auto"/>
                <w:lang w:val="en-US" w:eastAsia="zh-CN"/>
              </w:rPr>
              <w:t xml:space="preserve">投标报价</w:t>
            </w:r>
            <w:r/>
          </w:p>
        </w:tc>
        <w:tc>
          <w:tcPr>
            <w:tcW w:w="6840" w:type="dxa"/>
            <w:vAlign w:val="center"/>
            <w:textDirection w:val="lrTb"/>
            <w:noWrap w:val="false"/>
          </w:tcPr>
          <w:p>
            <w:pPr>
              <w:pStyle w:val="891"/>
              <w:ind w:left="119"/>
              <w:keepLines w:val="0"/>
              <w:keepNext w:val="0"/>
              <w:pageBreakBefore w:val="0"/>
              <w:spacing w:after="156" w:line="360" w:lineRule="auto"/>
              <w:widowControl w:val="off"/>
              <w:rPr>
                <w:rFonts w:hint="eastAsia" w:ascii="宋体" w:hAnsi="宋体" w:eastAsia="宋体" w:cs="宋体"/>
                <w:bCs/>
                <w:color w:val="auto"/>
                <w:lang w:eastAsia="zh-CN"/>
              </w:rPr>
            </w:pPr>
            <w:r>
              <w:rPr>
                <w:rFonts w:hint="eastAsia" w:ascii="宋体" w:hAnsi="宋体" w:eastAsia="宋体" w:cs="宋体"/>
                <w:color w:val="auto"/>
                <w:szCs w:val="21"/>
                <w:highlight w:val="none"/>
              </w:rPr>
              <w:t xml:space="preserve">投标总报价</w:t>
            </w:r>
            <w:r>
              <w:rPr>
                <w:rFonts w:hint="eastAsia" w:ascii="宋体" w:hAnsi="宋体" w:eastAsia="宋体" w:cs="宋体"/>
                <w:color w:val="auto"/>
                <w:highlight w:val="none"/>
              </w:rPr>
              <w:t xml:space="preserve">为</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none"/>
                <w:lang w:val="en-US" w:eastAsia="zh-CN"/>
              </w:rPr>
              <w:t xml:space="preserve">万</w:t>
            </w:r>
            <w:r>
              <w:rPr>
                <w:rFonts w:hint="eastAsia" w:ascii="宋体" w:hAnsi="宋体" w:eastAsia="宋体" w:cs="宋体"/>
                <w:color w:val="auto"/>
                <w:szCs w:val="21"/>
                <w:highlight w:val="none"/>
              </w:rPr>
              <w:t xml:space="preserve">元，</w:t>
            </w:r>
            <w:r>
              <w:rPr>
                <w:rFonts w:hint="eastAsia" w:ascii="宋体" w:hAnsi="宋体" w:eastAsia="宋体" w:cs="宋体"/>
                <w:bCs/>
                <w:color w:val="auto"/>
                <w:highlight w:val="none"/>
              </w:rPr>
              <w:t xml:space="preserve">其中：</w:t>
            </w:r>
            <w:r>
              <w:rPr>
                <w:rFonts w:hint="eastAsia" w:ascii="宋体" w:hAnsi="宋体" w:eastAsia="宋体" w:cs="宋体"/>
                <w:color w:val="auto"/>
                <w:szCs w:val="21"/>
                <w:highlight w:val="none"/>
              </w:rPr>
              <w:t xml:space="preserve">交通设施日常管养</w:t>
            </w:r>
            <w:r>
              <w:rPr>
                <w:rFonts w:hint="eastAsia" w:ascii="宋体" w:hAnsi="宋体" w:eastAsia="宋体" w:cs="宋体"/>
                <w:color w:val="auto"/>
                <w:highlight w:val="none"/>
              </w:rPr>
              <w:t xml:space="preserve">为</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none"/>
                <w:lang w:val="en-US" w:eastAsia="zh-CN"/>
              </w:rPr>
              <w:t xml:space="preserve">万</w:t>
            </w:r>
            <w:r>
              <w:rPr>
                <w:rFonts w:hint="eastAsia" w:ascii="宋体" w:hAnsi="宋体" w:eastAsia="宋体" w:cs="宋体"/>
                <w:color w:val="auto"/>
                <w:szCs w:val="21"/>
                <w:highlight w:val="none"/>
              </w:rPr>
              <w:t xml:space="preserve">元，</w:t>
            </w:r>
            <w:r>
              <w:rPr>
                <w:rFonts w:hint="eastAsia" w:ascii="宋体" w:hAnsi="宋体" w:eastAsia="宋体" w:cs="宋体"/>
                <w:color w:val="auto"/>
                <w:highlight w:val="none"/>
                <w:lang w:eastAsia="zh-CN"/>
              </w:rPr>
              <w:t xml:space="preserve">更新安装专项</w:t>
            </w:r>
            <w:r>
              <w:rPr>
                <w:rFonts w:hint="eastAsia" w:ascii="宋体" w:hAnsi="宋体" w:eastAsia="宋体" w:cs="宋体"/>
                <w:color w:val="auto"/>
                <w:highlight w:val="none"/>
              </w:rPr>
              <w:t xml:space="preserve">为</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rPr>
                <w:rFonts w:hint="eastAsia"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none"/>
                <w:lang w:val="en-US" w:eastAsia="zh-CN"/>
              </w:rPr>
              <w:t xml:space="preserve">万</w:t>
            </w:r>
            <w:r>
              <w:rPr>
                <w:rFonts w:hint="eastAsia" w:ascii="宋体" w:hAnsi="宋体" w:eastAsia="宋体" w:cs="宋体"/>
                <w:color w:val="auto"/>
                <w:szCs w:val="21"/>
                <w:highlight w:val="none"/>
              </w:rPr>
              <w:t xml:space="preserve">元</w:t>
            </w:r>
            <w:r>
              <w:rPr>
                <w:rFonts w:hint="eastAsia" w:ascii="宋体" w:hAnsi="宋体" w:eastAsia="宋体" w:cs="宋体"/>
                <w:color w:val="auto"/>
                <w:highlight w:val="none"/>
                <w:lang w:eastAsia="zh-CN"/>
              </w:rPr>
              <w:t xml:space="preserve">，更新安装专项折扣率为</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lang w:eastAsia="zh-CN"/>
              </w:rPr>
              <w:t xml:space="preserve">%</w:t>
            </w:r>
            <w:r>
              <w:rPr>
                <w:rFonts w:ascii="宋体" w:hAnsi="宋体" w:cs="宋体"/>
                <w:bCs/>
                <w:color w:val="auto"/>
                <w:highlight w:val="none"/>
              </w:rPr>
              <w:t xml:space="preserve">  </w:t>
            </w:r>
            <w:r>
              <w:rPr>
                <w:rFonts w:hint="eastAsia" w:ascii="宋体" w:hAnsi="宋体" w:eastAsia="宋体" w:cs="宋体"/>
                <w:bCs/>
                <w:color w:val="auto"/>
                <w:lang w:eastAsia="zh-CN"/>
              </w:rPr>
              <w:t xml:space="preserve">     </w:t>
            </w:r>
            <w:r/>
          </w:p>
        </w:tc>
      </w:tr>
      <w:tr>
        <w:trPr>
          <w:trHeight w:val="682"/>
        </w:trPr>
        <w:tc>
          <w:tcPr>
            <w:tcW w:w="2658" w:type="dxa"/>
            <w:vAlign w:val="center"/>
            <w:textDirection w:val="lrTb"/>
            <w:noWrap w:val="false"/>
          </w:tcPr>
          <w:p>
            <w:pPr>
              <w:pStyle w:val="891"/>
              <w:jc w:val="center"/>
              <w:spacing w:after="156"/>
              <w:rPr>
                <w:rFonts w:hint="eastAsia" w:ascii="宋体" w:hAnsi="宋体" w:eastAsia="宋体" w:cs="宋体"/>
                <w:bCs/>
                <w:color w:val="auto"/>
                <w:lang w:eastAsia="zh-CN"/>
              </w:rPr>
            </w:pPr>
            <w:r>
              <w:rPr>
                <w:rFonts w:hint="eastAsia" w:ascii="宋体" w:hAnsi="宋体" w:eastAsia="宋体" w:cs="宋体"/>
                <w:bCs/>
                <w:color w:val="auto"/>
                <w:lang w:eastAsia="zh-CN"/>
              </w:rPr>
              <w:t xml:space="preserve">投标标的是否全部由小微企业提供</w:t>
            </w:r>
            <w:r/>
          </w:p>
        </w:tc>
        <w:tc>
          <w:tcPr>
            <w:tcW w:w="6840" w:type="dxa"/>
            <w:vAlign w:val="center"/>
            <w:textDirection w:val="lrTb"/>
            <w:noWrap w:val="false"/>
          </w:tcPr>
          <w:p>
            <w:pPr>
              <w:pStyle w:val="891"/>
              <w:ind w:left="0" w:firstLine="1890"/>
              <w:spacing w:after="156"/>
              <w:rPr>
                <w:rFonts w:hint="eastAsia" w:ascii="宋体" w:hAnsi="宋体" w:eastAsia="宋体" w:cs="宋体"/>
                <w:bCs/>
                <w:color w:val="auto"/>
                <w:lang w:eastAsia="zh-CN"/>
              </w:rPr>
            </w:pPr>
            <w:r>
              <w:rPr>
                <w:rFonts w:hint="eastAsia" w:ascii="宋体" w:hAnsi="宋体" w:eastAsia="宋体" w:cs="宋体"/>
                <w:color w:val="auto"/>
                <w:lang w:eastAsia="zh-CN"/>
              </w:rPr>
              <w:t xml:space="preserve">（填写“是”或“否）</w:t>
            </w:r>
            <w:r/>
          </w:p>
        </w:tc>
      </w:tr>
      <w:tr>
        <w:trPr>
          <w:trHeight w:val="707"/>
        </w:trPr>
        <w:tc>
          <w:tcPr>
            <w:tcW w:w="2658" w:type="dxa"/>
            <w:vAlign w:val="center"/>
            <w:textDirection w:val="lrTb"/>
            <w:noWrap w:val="false"/>
          </w:tcPr>
          <w:p>
            <w:pPr>
              <w:pStyle w:val="891"/>
              <w:jc w:val="center"/>
              <w:spacing w:after="156"/>
              <w:rPr>
                <w:rFonts w:hint="eastAsia" w:ascii="宋体" w:hAnsi="宋体" w:eastAsia="宋体" w:cs="宋体"/>
                <w:bCs/>
                <w:color w:val="auto"/>
                <w:lang w:eastAsia="zh-CN"/>
              </w:rPr>
            </w:pPr>
            <w:r>
              <w:rPr>
                <w:rFonts w:hint="eastAsia" w:ascii="宋体" w:hAnsi="宋体" w:eastAsia="宋体" w:cs="宋体"/>
                <w:bCs/>
                <w:color w:val="auto"/>
                <w:lang w:eastAsia="zh-CN"/>
              </w:rPr>
              <w:t xml:space="preserve">合同履行期限</w:t>
            </w:r>
            <w:r/>
          </w:p>
        </w:tc>
        <w:tc>
          <w:tcPr>
            <w:tcW w:w="6840" w:type="dxa"/>
            <w:vAlign w:val="center"/>
            <w:textDirection w:val="lrTb"/>
            <w:noWrap w:val="false"/>
          </w:tcPr>
          <w:p>
            <w:pPr>
              <w:pStyle w:val="891"/>
              <w:ind w:left="0"/>
              <w:spacing w:after="156"/>
              <w:rPr>
                <w:rFonts w:hint="eastAsia" w:ascii="宋体" w:hAnsi="宋体" w:eastAsia="宋体" w:cs="宋体"/>
                <w:color w:val="auto"/>
                <w:lang w:val="zh-CN" w:eastAsia="zh-CN"/>
              </w:rPr>
            </w:pPr>
            <w:r>
              <w:rPr>
                <w:rFonts w:hint="eastAsia" w:ascii="宋体" w:hAnsi="宋体" w:eastAsia="宋体" w:cs="宋体"/>
                <w:bCs/>
                <w:color w:val="auto"/>
                <w:lang w:eastAsia="zh-CN"/>
              </w:rPr>
              <w:t xml:space="preserve">合同生效之日起一年。</w:t>
            </w:r>
            <w:r/>
          </w:p>
        </w:tc>
      </w:tr>
      <w:tr>
        <w:trPr>
          <w:trHeight w:val="844"/>
        </w:trPr>
        <w:tc>
          <w:tcPr>
            <w:tcW w:w="2658" w:type="dxa"/>
            <w:vAlign w:val="center"/>
            <w:textDirection w:val="lrTb"/>
            <w:noWrap w:val="false"/>
          </w:tcPr>
          <w:p>
            <w:pPr>
              <w:pStyle w:val="891"/>
              <w:jc w:val="center"/>
              <w:spacing w:after="156"/>
              <w:rPr>
                <w:rFonts w:hint="eastAsia" w:ascii="宋体" w:hAnsi="宋体" w:eastAsia="宋体" w:cs="宋体"/>
                <w:bCs/>
                <w:color w:val="auto"/>
                <w:lang w:eastAsia="zh-CN"/>
              </w:rPr>
            </w:pPr>
            <w:r>
              <w:rPr>
                <w:rFonts w:hint="eastAsia" w:ascii="宋体" w:hAnsi="宋体" w:eastAsia="宋体" w:cs="宋体"/>
                <w:bCs/>
                <w:color w:val="auto"/>
                <w:lang w:eastAsia="zh-CN"/>
              </w:rPr>
              <w:t xml:space="preserve">其它</w:t>
            </w:r>
            <w:r/>
          </w:p>
        </w:tc>
        <w:tc>
          <w:tcPr>
            <w:tcW w:w="6840" w:type="dxa"/>
            <w:vAlign w:val="center"/>
            <w:textDirection w:val="lrTb"/>
            <w:noWrap w:val="false"/>
          </w:tcPr>
          <w:p>
            <w:pPr>
              <w:pStyle w:val="891"/>
              <w:spacing w:after="156"/>
              <w:rPr>
                <w:rFonts w:hint="eastAsia" w:ascii="宋体" w:hAnsi="宋体" w:eastAsia="宋体" w:cs="宋体"/>
                <w:bCs/>
                <w:color w:val="auto"/>
                <w:lang w:eastAsia="zh-CN"/>
              </w:rPr>
            </w:pPr>
            <w:r>
              <w:rPr>
                <w:rFonts w:hint="eastAsia" w:ascii="宋体" w:hAnsi="宋体" w:eastAsia="宋体" w:cs="宋体"/>
                <w:color w:val="auto"/>
                <w:lang w:val="zh-CN" w:eastAsia="zh-CN"/>
              </w:rPr>
              <w:t xml:space="preserve">（如有优惠条件须在此注明）</w:t>
            </w:r>
            <w:r/>
          </w:p>
        </w:tc>
      </w:tr>
    </w:tbl>
    <w:p>
      <w:pPr>
        <w:pStyle w:val="891"/>
        <w:ind w:left="119" w:firstLine="482"/>
        <w:spacing w:line="360" w:lineRule="auto"/>
        <w:rPr>
          <w:rFonts w:hint="eastAsia" w:ascii="宋体" w:hAnsi="宋体" w:eastAsia="宋体" w:cs="宋体"/>
          <w:color w:val="auto"/>
          <w:lang w:val="zh-CN" w:eastAsia="zh-CN"/>
        </w:rPr>
      </w:pPr>
      <w:r>
        <w:rPr>
          <w:rFonts w:hint="eastAsia" w:ascii="宋体" w:hAnsi="宋体" w:eastAsia="宋体" w:cs="宋体"/>
          <w:color w:val="auto"/>
          <w:lang w:val="zh-CN" w:eastAsia="zh-CN"/>
        </w:rPr>
        <w:t xml:space="preserve">投标供应商（盖章）：</w:t>
      </w:r>
      <w:r/>
    </w:p>
    <w:p>
      <w:pPr>
        <w:pStyle w:val="891"/>
        <w:ind w:left="119" w:firstLine="482"/>
        <w:jc w:val="both"/>
        <w:spacing w:line="360" w:lineRule="auto"/>
        <w:rPr>
          <w:rFonts w:hint="eastAsia" w:ascii="宋体" w:hAnsi="宋体" w:eastAsia="宋体" w:cs="宋体"/>
          <w:color w:val="auto"/>
          <w:lang w:val="zh-CN" w:eastAsia="zh-CN"/>
        </w:rPr>
      </w:pPr>
      <w:r>
        <w:rPr>
          <w:rFonts w:hint="eastAsia" w:ascii="宋体" w:hAnsi="宋体" w:eastAsia="宋体" w:cs="宋体"/>
          <w:color w:val="auto"/>
          <w:lang w:val="zh-CN" w:eastAsia="zh-CN"/>
        </w:rPr>
        <w:t xml:space="preserve">授权代表（签字</w:t>
      </w:r>
      <w:r>
        <w:rPr>
          <w:rFonts w:hint="eastAsia" w:ascii="宋体" w:hAnsi="宋体" w:eastAsia="宋体" w:cs="宋体"/>
          <w:color w:val="auto"/>
          <w:lang w:eastAsia="zh-CN"/>
        </w:rPr>
        <w:t xml:space="preserve">或盖章</w:t>
      </w:r>
      <w:r>
        <w:rPr>
          <w:rFonts w:hint="eastAsia" w:ascii="宋体" w:hAnsi="宋体" w:eastAsia="宋体" w:cs="宋体"/>
          <w:color w:val="auto"/>
          <w:lang w:val="zh-CN" w:eastAsia="zh-CN"/>
        </w:rPr>
        <w:t xml:space="preserve">）：</w:t>
      </w:r>
      <w:r/>
    </w:p>
    <w:p>
      <w:pPr>
        <w:pStyle w:val="891"/>
        <w:ind w:left="119" w:firstLine="482"/>
        <w:jc w:val="both"/>
        <w:spacing w:line="360" w:lineRule="auto"/>
        <w:rPr>
          <w:rFonts w:hint="eastAsia" w:ascii="宋体" w:hAnsi="宋体" w:eastAsia="宋体" w:cs="宋体"/>
          <w:color w:val="auto"/>
          <w:lang w:val="zh-CN" w:eastAsia="zh-CN"/>
        </w:rPr>
      </w:pPr>
      <w:r>
        <w:rPr>
          <w:rFonts w:hint="eastAsia" w:ascii="宋体" w:hAnsi="宋体" w:eastAsia="宋体" w:cs="宋体"/>
          <w:color w:val="auto"/>
          <w:lang w:val="zh-CN" w:eastAsia="zh-CN"/>
        </w:rPr>
        <w:t xml:space="preserve">日期：</w:t>
      </w:r>
      <w:r>
        <w:rPr>
          <w:rFonts w:hint="eastAsia" w:ascii="宋体" w:hAnsi="宋体" w:eastAsia="宋体" w:cs="宋体"/>
          <w:color w:val="auto"/>
          <w:lang w:eastAsia="zh-CN"/>
        </w:rPr>
        <w:t xml:space="preserve"> </w:t>
      </w:r>
      <w:r>
        <w:rPr>
          <w:rFonts w:hint="eastAsia" w:ascii="宋体" w:hAnsi="宋体" w:eastAsia="宋体" w:cs="宋体"/>
          <w:color w:val="auto"/>
          <w:lang w:val="zh-CN" w:eastAsia="zh-CN"/>
        </w:rPr>
        <w:t xml:space="preserve">年</w:t>
      </w:r>
      <w:r>
        <w:rPr>
          <w:rFonts w:hint="eastAsia" w:ascii="宋体" w:hAnsi="宋体" w:eastAsia="宋体" w:cs="宋体"/>
          <w:color w:val="auto"/>
          <w:lang w:eastAsia="zh-CN"/>
        </w:rPr>
        <w:t xml:space="preserve"> </w:t>
      </w:r>
      <w:r>
        <w:rPr>
          <w:rFonts w:hint="eastAsia" w:ascii="宋体" w:hAnsi="宋体" w:eastAsia="宋体" w:cs="宋体"/>
          <w:color w:val="auto"/>
          <w:lang w:val="zh-CN" w:eastAsia="zh-CN"/>
        </w:rPr>
        <w:t xml:space="preserve">月</w:t>
      </w:r>
      <w:r>
        <w:rPr>
          <w:rFonts w:hint="eastAsia" w:ascii="宋体" w:hAnsi="宋体" w:eastAsia="宋体" w:cs="宋体"/>
          <w:color w:val="auto"/>
          <w:lang w:eastAsia="zh-CN"/>
        </w:rPr>
        <w:t xml:space="preserve"> </w:t>
      </w:r>
      <w:r>
        <w:rPr>
          <w:rFonts w:hint="eastAsia" w:ascii="宋体" w:hAnsi="宋体" w:eastAsia="宋体" w:cs="宋体"/>
          <w:color w:val="auto"/>
          <w:lang w:val="zh-CN" w:eastAsia="zh-CN"/>
        </w:rPr>
        <w:t xml:space="preserve">日</w:t>
      </w:r>
      <w:r/>
    </w:p>
    <w:p>
      <w:pPr>
        <w:ind w:firstLine="400"/>
        <w:spacing w:line="360" w:lineRule="auto"/>
        <w:rPr>
          <w:rFonts w:hint="eastAsia" w:ascii="宋体" w:hAnsi="宋体" w:eastAsia="宋体" w:cs="宋体"/>
          <w:color w:val="auto"/>
          <w:sz w:val="20"/>
          <w:szCs w:val="20"/>
          <w:lang w:val="zh-CN"/>
        </w:rPr>
      </w:pPr>
      <w:r>
        <w:rPr>
          <w:rFonts w:hint="eastAsia" w:ascii="宋体" w:hAnsi="宋体" w:eastAsia="宋体" w:cs="宋体"/>
          <w:color w:val="auto"/>
          <w:sz w:val="20"/>
          <w:szCs w:val="20"/>
          <w:lang w:val="zh-CN"/>
        </w:rPr>
        <w:t xml:space="preserve">说明:</w:t>
      </w:r>
      <w:r/>
    </w:p>
    <w:p>
      <w:pPr>
        <w:ind w:firstLine="400"/>
        <w:spacing w:line="360" w:lineRule="auto"/>
        <w:rPr>
          <w:rFonts w:hint="eastAsia" w:ascii="宋体" w:hAnsi="宋体" w:eastAsia="宋体" w:cs="宋体"/>
          <w:color w:val="auto"/>
          <w:sz w:val="20"/>
          <w:szCs w:val="20"/>
          <w:lang w:val="zh-CN"/>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lang w:val="zh-CN"/>
        </w:rPr>
        <w:t xml:space="preserve">对每一项服务仅接受一个价格，不得填报有选择性报价方案。若有优惠条款须注明，但不得影响报价，影响产品整体功能。</w:t>
      </w:r>
      <w:r/>
    </w:p>
    <w:p>
      <w:pPr>
        <w:ind w:firstLine="400"/>
        <w:spacing w:line="360" w:lineRule="auto"/>
        <w:rPr>
          <w:rFonts w:hint="eastAsia" w:ascii="宋体" w:hAnsi="宋体" w:eastAsia="宋体" w:cs="宋体"/>
          <w:color w:val="auto"/>
          <w:sz w:val="20"/>
          <w:szCs w:val="20"/>
          <w:lang w:val="zh-CN"/>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lang w:val="zh-CN"/>
        </w:rPr>
        <w:t xml:space="preserve">“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ind w:firstLine="420"/>
        <w:keepLines w:val="0"/>
        <w:keepNext w:val="0"/>
        <w:pageBreakBefore w:val="0"/>
        <w:spacing w:line="240" w:lineRule="auto"/>
        <w:widowControl w:val="off"/>
        <w:rPr>
          <w:rFonts w:hint="eastAsia" w:asciiTheme="minorEastAsia" w:hAnsiTheme="minorEastAsia" w:eastAsiaTheme="minorEastAsia" w:cstheme="minorEastAsia"/>
          <w:b w:val="0"/>
          <w:bCs w:val="0"/>
          <w:color w:val="auto"/>
          <w:sz w:val="21"/>
          <w:szCs w:val="21"/>
          <w:highlight w:val="none"/>
          <w:shd w:val="clear" w:color="auto" w:fill="auto"/>
        </w:rPr>
      </w:pPr>
      <w:r>
        <w:rPr>
          <w:rFonts w:hint="eastAsia" w:eastAsia="宋体" w:asciiTheme="minorEastAsia" w:hAnsiTheme="minorEastAsia" w:cstheme="minorEastAsia"/>
          <w:b w:val="0"/>
          <w:bCs w:val="0"/>
          <w:color w:val="auto"/>
          <w:sz w:val="21"/>
          <w:szCs w:val="21"/>
          <w:highlight w:val="none"/>
          <w:shd w:val="clear" w:color="auto" w:fill="auto"/>
          <w:lang w:val="en-US" w:eastAsia="zh-CN"/>
        </w:rPr>
        <w:t xml:space="preserve">3.</w:t>
      </w:r>
      <w:r>
        <w:rPr>
          <w:rFonts w:hint="eastAsia" w:asciiTheme="minorEastAsia" w:hAnsiTheme="minorEastAsia" w:eastAsiaTheme="minorEastAsia" w:cstheme="minorEastAsia"/>
          <w:b w:val="0"/>
          <w:bCs w:val="0"/>
          <w:color w:val="auto"/>
          <w:sz w:val="21"/>
          <w:szCs w:val="21"/>
          <w:highlight w:val="none"/>
          <w:shd w:val="clear" w:color="auto" w:fill="auto"/>
        </w:rPr>
        <w:t xml:space="preserve">交通设施日常管养：按总价包干方式报价，供应商需对范围内交通设施状况详细勘察，在养护期间，完成范围内交通设施养护服务所有内容及要求产生的一切费用均含在报价中。凡招标文件没做具体要求的，按照国家现行的有关法规、政策以及各项规范执行。</w:t>
      </w:r>
      <w:r/>
    </w:p>
    <w:p>
      <w:pPr>
        <w:ind w:firstLine="420"/>
        <w:keepLines w:val="0"/>
        <w:keepNext w:val="0"/>
        <w:pageBreakBefore w:val="0"/>
        <w:spacing w:line="240" w:lineRule="auto"/>
        <w:widowControl w:val="off"/>
        <w:rPr>
          <w:rFonts w:hint="eastAsia" w:ascii="宋体" w:hAnsi="宋体" w:eastAsia="宋体" w:cs="宋体"/>
          <w:b w:val="0"/>
          <w:bCs w:val="0"/>
          <w:color w:val="auto"/>
          <w:szCs w:val="21"/>
          <w:highlight w:val="none"/>
          <w:lang w:eastAsia="zh-CN"/>
        </w:rPr>
      </w:pPr>
      <w:r>
        <w:rPr>
          <w:rFonts w:hint="eastAsia" w:eastAsia="宋体" w:asciiTheme="minorEastAsia" w:hAnsiTheme="minorEastAsia" w:cstheme="minorEastAsia"/>
          <w:b w:val="0"/>
          <w:bCs w:val="0"/>
          <w:color w:val="auto"/>
          <w:sz w:val="21"/>
          <w:szCs w:val="21"/>
          <w:highlight w:val="none"/>
          <w:shd w:val="clear" w:color="auto" w:fill="auto"/>
          <w:lang w:val="en-US" w:eastAsia="zh-CN"/>
        </w:rPr>
        <w:t xml:space="preserve">4.</w:t>
      </w:r>
      <w:r>
        <w:rPr>
          <w:rFonts w:hint="eastAsia" w:asciiTheme="minorEastAsia" w:hAnsiTheme="minorEastAsia" w:eastAsiaTheme="minorEastAsia" w:cstheme="minorEastAsia"/>
          <w:b w:val="0"/>
          <w:bCs w:val="0"/>
          <w:color w:val="auto"/>
          <w:sz w:val="21"/>
          <w:szCs w:val="21"/>
          <w:highlight w:val="none"/>
          <w:shd w:val="clear" w:color="auto" w:fill="auto"/>
        </w:rPr>
        <w:t xml:space="preserve">更新安装专项：按</w:t>
      </w:r>
      <w:r>
        <w:rPr>
          <w:rFonts w:hint="eastAsia" w:eastAsia="宋体" w:asciiTheme="minorEastAsia" w:hAnsiTheme="minorEastAsia" w:cstheme="minorEastAsia"/>
          <w:b w:val="0"/>
          <w:bCs w:val="0"/>
          <w:color w:val="auto"/>
          <w:sz w:val="21"/>
          <w:szCs w:val="21"/>
          <w:highlight w:val="none"/>
          <w:shd w:val="clear" w:color="auto" w:fill="auto"/>
          <w:lang w:val="en-US" w:eastAsia="zh-CN"/>
        </w:rPr>
        <w:t xml:space="preserve">折扣率</w:t>
      </w:r>
      <w:r>
        <w:rPr>
          <w:rFonts w:hint="eastAsia" w:asciiTheme="minorEastAsia" w:hAnsiTheme="minorEastAsia" w:eastAsiaTheme="minorEastAsia" w:cstheme="minorEastAsia"/>
          <w:b w:val="0"/>
          <w:bCs w:val="0"/>
          <w:color w:val="auto"/>
          <w:sz w:val="21"/>
          <w:szCs w:val="21"/>
          <w:highlight w:val="none"/>
          <w:shd w:val="clear" w:color="auto" w:fill="auto"/>
        </w:rPr>
        <w:t xml:space="preserve">方式报价，</w:t>
      </w:r>
      <w:r>
        <w:rPr>
          <w:rFonts w:hint="eastAsia" w:ascii="宋体" w:hAnsi="宋体" w:eastAsia="宋体" w:cs="宋体"/>
          <w:b w:val="0"/>
          <w:bCs w:val="0"/>
          <w:color w:val="auto"/>
          <w:highlight w:val="none"/>
          <w:lang w:eastAsia="zh-CN"/>
        </w:rPr>
        <w:t xml:space="preserve">更新安装专项折扣率</w:t>
      </w:r>
      <w:r>
        <w:rPr>
          <w:rFonts w:hint="eastAsia" w:asciiTheme="minorEastAsia" w:hAnsiTheme="minorEastAsia" w:eastAsiaTheme="minorEastAsia" w:cstheme="minorEastAsia"/>
          <w:b w:val="0"/>
          <w:bCs w:val="0"/>
          <w:color w:val="auto"/>
          <w:sz w:val="21"/>
          <w:szCs w:val="21"/>
          <w:highlight w:val="none"/>
          <w:shd w:val="clear" w:color="auto" w:fill="auto"/>
        </w:rPr>
        <w:t xml:space="preserve">=</w:t>
      </w:r>
      <w:r>
        <w:rPr>
          <w:rFonts w:hint="eastAsia" w:ascii="宋体" w:hAnsi="宋体" w:eastAsia="宋体" w:cs="宋体"/>
          <w:b w:val="0"/>
          <w:bCs w:val="0"/>
          <w:color w:val="auto"/>
          <w:highlight w:val="none"/>
          <w:lang w:eastAsia="zh-CN"/>
        </w:rPr>
        <w:t xml:space="preserve">更新安装专项</w:t>
      </w:r>
      <w:r>
        <w:rPr>
          <w:rFonts w:hint="eastAsia" w:ascii="宋体" w:hAnsi="宋体" w:eastAsia="宋体" w:cs="宋体"/>
          <w:b w:val="0"/>
          <w:bCs w:val="0"/>
          <w:color w:val="auto"/>
          <w:highlight w:val="none"/>
          <w:lang w:val="en-US" w:eastAsia="zh-CN"/>
        </w:rPr>
        <w:t xml:space="preserve">报价</w:t>
      </w:r>
      <w:r>
        <w:rPr>
          <w:rFonts w:hint="eastAsia" w:asciiTheme="minorEastAsia" w:hAnsiTheme="minorEastAsia" w:eastAsiaTheme="minorEastAsia" w:cstheme="minorEastAsia"/>
          <w:b w:val="0"/>
          <w:bCs w:val="0"/>
          <w:color w:val="auto"/>
          <w:sz w:val="21"/>
          <w:szCs w:val="21"/>
          <w:highlight w:val="none"/>
          <w:shd w:val="clear" w:color="auto" w:fill="auto"/>
        </w:rPr>
        <w:t xml:space="preserve">/更新安装专项最高限价</w:t>
      </w:r>
      <w:r>
        <w:rPr>
          <w:rFonts w:hint="eastAsia" w:eastAsia="宋体" w:asciiTheme="minorEastAsia" w:hAnsiTheme="minorEastAsia" w:cstheme="minorEastAsia"/>
          <w:b w:val="0"/>
          <w:bCs w:val="0"/>
          <w:color w:val="auto"/>
          <w:sz w:val="21"/>
          <w:szCs w:val="21"/>
          <w:highlight w:val="none"/>
          <w:shd w:val="clear" w:color="auto" w:fill="auto"/>
          <w:lang w:val="en-US" w:eastAsia="zh-CN"/>
        </w:rPr>
        <w:t xml:space="preserve">7</w:t>
      </w:r>
      <w:r>
        <w:rPr>
          <w:rFonts w:hint="eastAsia" w:asciiTheme="minorEastAsia" w:hAnsiTheme="minorEastAsia" w:eastAsiaTheme="minorEastAsia" w:cstheme="minorEastAsia"/>
          <w:b w:val="0"/>
          <w:bCs w:val="0"/>
          <w:color w:val="auto"/>
          <w:sz w:val="21"/>
          <w:szCs w:val="21"/>
          <w:highlight w:val="none"/>
          <w:shd w:val="clear" w:color="auto" w:fill="auto"/>
        </w:rPr>
        <w:t xml:space="preserve">0万元。供应商报价并非最终结算价，仅作为计算“更新安装专项工程结算系数”的依据。</w:t>
      </w:r>
      <w:r>
        <w:rPr>
          <w:rFonts w:hint="eastAsia" w:ascii="宋体" w:hAnsi="宋体" w:eastAsia="宋体" w:cs="宋体"/>
          <w:b w:val="0"/>
          <w:bCs w:val="0"/>
          <w:color w:val="auto"/>
          <w:szCs w:val="21"/>
          <w:highlight w:val="none"/>
        </w:rPr>
        <w:t xml:space="preserve">更新安装专项工程结算价=上报结算价×</w:t>
      </w:r>
      <w:r>
        <w:rPr>
          <w:rFonts w:hint="eastAsia" w:ascii="宋体" w:hAnsi="宋体" w:eastAsia="宋体" w:cs="宋体"/>
          <w:b w:val="0"/>
          <w:bCs w:val="0"/>
          <w:color w:val="auto"/>
          <w:szCs w:val="21"/>
          <w:highlight w:val="none"/>
          <w:lang w:val="en-US" w:eastAsia="zh-CN"/>
        </w:rPr>
        <w:t xml:space="preserve">折扣率</w:t>
      </w:r>
      <w:r>
        <w:rPr>
          <w:rFonts w:hint="eastAsia" w:ascii="宋体" w:hAnsi="宋体" w:eastAsia="宋体" w:cs="宋体"/>
          <w:b w:val="0"/>
          <w:bCs w:val="0"/>
          <w:color w:val="auto"/>
          <w:szCs w:val="21"/>
          <w:highlight w:val="none"/>
        </w:rPr>
        <w:t xml:space="preserve">，其中上报结算价的基准单价以《东山主城区交通设施养护-专项更新项目》中单价为准，上报结算价的工程量以现场有效签证为依据，按现场实际发生的工程量进行计算。更新安装工程须经采购人确认并验收合格，最终结算价以采购人委托的第三方审计为准</w:t>
      </w:r>
      <w:r>
        <w:rPr>
          <w:rFonts w:hint="eastAsia" w:ascii="宋体" w:hAnsi="宋体" w:eastAsia="宋体" w:cs="宋体"/>
          <w:b w:val="0"/>
          <w:bCs w:val="0"/>
          <w:color w:val="auto"/>
          <w:szCs w:val="21"/>
          <w:highlight w:val="none"/>
          <w:lang w:eastAsia="zh-CN"/>
        </w:rPr>
        <w:t xml:space="preserve">。</w:t>
      </w:r>
      <w:r/>
    </w:p>
    <w:p>
      <w:pPr>
        <w:pStyle w:val="891"/>
        <w:rPr>
          <w:rFonts w:hint="eastAsia"/>
          <w:color w:val="auto"/>
          <w:lang w:val="zh-CN"/>
        </w:rPr>
      </w:pPr>
      <w:r>
        <w:rPr>
          <w:rFonts w:hint="eastAsia"/>
          <w:color w:val="auto"/>
          <w:lang w:val="zh-CN"/>
        </w:rPr>
      </w:r>
      <w:r/>
    </w:p>
    <w:p>
      <w:pPr>
        <w:rPr>
          <w:rFonts w:hint="eastAsia" w:ascii="宋体" w:hAnsi="宋体" w:eastAsia="宋体" w:cs="宋体"/>
          <w:b/>
          <w:bCs/>
          <w:color w:val="auto"/>
        </w:rPr>
      </w:pPr>
      <w:r>
        <w:rPr>
          <w:rFonts w:hint="eastAsia" w:ascii="宋体" w:hAnsi="宋体" w:eastAsia="宋体" w:cs="宋体"/>
          <w:b/>
          <w:bCs/>
          <w:color w:val="auto"/>
        </w:rPr>
        <w:br w:type="page" w:clear="all"/>
      </w:r>
      <w:r/>
    </w:p>
    <w:p>
      <w:pPr>
        <w:rPr>
          <w:rFonts w:hint="eastAsia" w:ascii="宋体" w:hAnsi="宋体" w:eastAsia="宋体" w:cs="宋体"/>
          <w:b/>
          <w:color w:val="auto"/>
        </w:rPr>
      </w:pPr>
      <w:r>
        <w:rPr>
          <w:rFonts w:hint="eastAsia" w:ascii="宋体" w:hAnsi="宋体" w:eastAsia="宋体" w:cs="宋体"/>
          <w:b/>
          <w:bCs/>
          <w:color w:val="auto"/>
        </w:rPr>
        <w:t xml:space="preserve">目录四</w:t>
      </w:r>
      <w:r>
        <w:rPr>
          <w:rFonts w:hint="eastAsia" w:ascii="宋体" w:hAnsi="宋体" w:eastAsia="宋体" w:cs="宋体"/>
          <w:b/>
          <w:color w:val="auto"/>
        </w:rPr>
        <w:t xml:space="preserve">、投标分项报价表</w:t>
      </w:r>
      <w:r/>
    </w:p>
    <w:p>
      <w:pPr>
        <w:jc w:val="center"/>
        <w:spacing w:line="240" w:lineRule="atLeast"/>
        <w:widowControl/>
        <w:rPr>
          <w:rFonts w:hint="eastAsia" w:ascii="宋体" w:hAnsi="宋体" w:cs="宋体"/>
          <w:color w:val="auto"/>
          <w:sz w:val="36"/>
          <w:szCs w:val="36"/>
          <w:highlight w:val="none"/>
        </w:rPr>
        <w:outlineLvl w:val="0"/>
      </w:pPr>
      <w:r/>
      <w:bookmarkStart w:id="85" w:name="_Toc4983"/>
      <w:r>
        <w:rPr>
          <w:rFonts w:hint="eastAsia" w:ascii="宋体" w:hAnsi="宋体" w:eastAsia="宋体" w:cs="宋体"/>
          <w:color w:val="auto"/>
          <w:sz w:val="36"/>
          <w:szCs w:val="36"/>
          <w:highlight w:val="none"/>
          <w:lang w:val="zh-CN"/>
        </w:rPr>
        <w:t xml:space="preserve">分项报价表</w:t>
      </w:r>
      <w:bookmarkEnd w:id="85"/>
      <w:r/>
      <w:r/>
    </w:p>
    <w:tbl>
      <w:tblPr>
        <w:tblStyle w:val="890"/>
        <w:tblW w:w="9556" w:type="dxa"/>
        <w:tblInd w:w="-5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0"/>
        <w:gridCol w:w="3267"/>
        <w:gridCol w:w="1384"/>
        <w:gridCol w:w="1657"/>
        <w:gridCol w:w="1134"/>
        <w:gridCol w:w="1134"/>
      </w:tblGrid>
      <w:tr>
        <w:trPr>
          <w:trHeight w:val="567"/>
        </w:trPr>
        <w:tc>
          <w:tcPr>
            <w:gridSpan w:val="6"/>
            <w:tcW w:w="9556" w:type="dxa"/>
            <w:vAlign w:val="center"/>
            <w:textDirection w:val="lrTb"/>
            <w:noWrap w:val="false"/>
          </w:tcPr>
          <w:p>
            <w:pPr>
              <w:jc w:val="both"/>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eastAsia="宋体" w:cs="宋体"/>
                <w:b/>
                <w:bCs/>
                <w:color w:val="auto"/>
                <w:szCs w:val="21"/>
                <w:highlight w:val="none"/>
                <w:lang w:val="en-US" w:eastAsia="zh-CN"/>
              </w:rPr>
              <w:t xml:space="preserve">一、</w:t>
            </w:r>
            <w:r>
              <w:rPr>
                <w:rFonts w:hint="eastAsia" w:ascii="宋体" w:hAnsi="宋体" w:eastAsia="宋体" w:cs="宋体"/>
                <w:b/>
                <w:bCs/>
                <w:color w:val="auto"/>
                <w:szCs w:val="21"/>
                <w:highlight w:val="none"/>
              </w:rPr>
              <w:t xml:space="preserve">交通设施日常管养</w:t>
            </w:r>
            <w:r/>
          </w:p>
        </w:tc>
      </w:tr>
      <w:tr>
        <w:trPr>
          <w:trHeight w:val="567"/>
        </w:trPr>
        <w:tc>
          <w:tcPr>
            <w:tcW w:w="980"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序号</w:t>
            </w:r>
            <w:r/>
          </w:p>
        </w:tc>
        <w:tc>
          <w:tcPr>
            <w:tcW w:w="3267"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交通设施名称</w:t>
            </w:r>
            <w:r/>
          </w:p>
        </w:tc>
        <w:tc>
          <w:tcPr>
            <w:shd w:val="clear" w:color="auto" w:fill="auto"/>
            <w:tcW w:w="138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单位</w:t>
            </w:r>
            <w:r/>
          </w:p>
        </w:tc>
        <w:tc>
          <w:tcPr>
            <w:shd w:val="clear" w:color="auto" w:fill="auto"/>
            <w:tcW w:w="1657"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工程量</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综合</w:t>
            </w:r>
            <w:r>
              <w:rPr>
                <w:rFonts w:hint="eastAsia" w:ascii="宋体" w:hAnsi="宋体" w:eastAsia="宋体" w:cs="宋体"/>
                <w:color w:val="auto"/>
                <w:szCs w:val="21"/>
                <w:highlight w:val="none"/>
              </w:rPr>
              <w:t xml:space="preserve">单价（元）</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eastAsia="zh-CN"/>
              </w:rPr>
              <w:t xml:space="preserve">合计</w:t>
            </w:r>
            <w:r/>
          </w:p>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（元）</w:t>
            </w:r>
            <w:r/>
          </w:p>
        </w:tc>
      </w:tr>
      <w:tr>
        <w:trPr>
          <w:trHeight w:val="567"/>
        </w:trPr>
        <w:tc>
          <w:tcPr>
            <w:shd w:val="clear" w:color="auto" w:fill="auto"/>
            <w:tcW w:w="98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W w:w="326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机动车隔离护栏</w:t>
            </w:r>
            <w:r/>
          </w:p>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（中央护栏）</w:t>
            </w:r>
            <w:r/>
          </w:p>
        </w:tc>
        <w:tc>
          <w:tcPr>
            <w:shd w:val="clear" w:color="auto" w:fill="auto"/>
            <w:tcW w:w="13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W w:w="1657"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 w:val="21"/>
                <w:szCs w:val="21"/>
                <w:highlight w:val="none"/>
              </w:rPr>
              <w:t xml:space="preserve">16583</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　</w:t>
            </w:r>
            <w:r/>
          </w:p>
        </w:tc>
      </w:tr>
      <w:tr>
        <w:trPr>
          <w:trHeight w:val="625"/>
        </w:trPr>
        <w:tc>
          <w:tcPr>
            <w:shd w:val="clear" w:color="auto" w:fill="auto"/>
            <w:tcW w:w="98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auto"/>
            <w:tcW w:w="326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机非隔离护栏</w:t>
            </w:r>
            <w:r/>
          </w:p>
        </w:tc>
        <w:tc>
          <w:tcPr>
            <w:shd w:val="clear" w:color="auto" w:fill="auto"/>
            <w:tcW w:w="13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m</w:t>
            </w:r>
            <w:r/>
          </w:p>
        </w:tc>
        <w:tc>
          <w:tcPr>
            <w:shd w:val="clear" w:color="auto" w:fill="auto"/>
            <w:tcW w:w="1657"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 w:val="21"/>
                <w:szCs w:val="21"/>
                <w:highlight w:val="none"/>
                <w:lang w:bidi="ar"/>
              </w:rPr>
              <w:t xml:space="preserve">37</w:t>
            </w:r>
            <w:r>
              <w:rPr>
                <w:rFonts w:hint="eastAsia" w:ascii="宋体" w:hAnsi="宋体" w:eastAsia="宋体" w:cs="宋体"/>
                <w:color w:val="auto"/>
                <w:sz w:val="21"/>
                <w:szCs w:val="21"/>
                <w:highlight w:val="none"/>
                <w:lang w:val="en-US" w:eastAsia="zh-CN" w:bidi="ar"/>
              </w:rPr>
              <w:t xml:space="preserve">8</w:t>
            </w:r>
            <w:bookmarkStart w:id="151" w:name="_GoBack"/>
            <w:r/>
            <w:bookmarkEnd w:id="151"/>
            <w:r>
              <w:rPr>
                <w:rFonts w:hint="eastAsia" w:ascii="宋体" w:hAnsi="宋体" w:eastAsia="宋体" w:cs="宋体"/>
                <w:color w:val="auto"/>
                <w:sz w:val="21"/>
                <w:szCs w:val="21"/>
                <w:highlight w:val="none"/>
                <w:lang w:val="en-US" w:eastAsia="zh-CN" w:bidi="ar"/>
              </w:rPr>
              <w:t xml:space="preserve">21</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　</w:t>
            </w:r>
            <w:r/>
          </w:p>
        </w:tc>
      </w:tr>
      <w:tr>
        <w:trPr>
          <w:trHeight w:val="567"/>
        </w:trPr>
        <w:tc>
          <w:tcPr>
            <w:shd w:val="clear" w:color="auto" w:fill="auto"/>
            <w:tcW w:w="98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3</w:t>
            </w:r>
            <w:r/>
          </w:p>
        </w:tc>
        <w:tc>
          <w:tcPr>
            <w:shd w:val="clear" w:color="auto" w:fill="auto"/>
            <w:tcW w:w="326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长悬臂（</w:t>
            </w:r>
            <w:r>
              <w:rPr>
                <w:rFonts w:ascii="宋体" w:hAnsi="宋体" w:eastAsia="宋体" w:cs="宋体"/>
                <w:color w:val="auto"/>
                <w:highlight w:val="none"/>
              </w:rPr>
              <w:t xml:space="preserve">悬臂式信号灯</w:t>
            </w:r>
            <w:r>
              <w:rPr>
                <w:rFonts w:hint="eastAsia" w:ascii="宋体" w:hAnsi="宋体" w:eastAsia="宋体" w:cs="宋体"/>
                <w:color w:val="auto"/>
                <w:szCs w:val="21"/>
                <w:highlight w:val="none"/>
              </w:rPr>
              <w:t xml:space="preserve">）</w:t>
            </w:r>
            <w:r/>
          </w:p>
        </w:tc>
        <w:tc>
          <w:tcPr>
            <w:shd w:val="clear" w:color="auto" w:fill="auto"/>
            <w:tcW w:w="13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W w:w="1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
              </w:rPr>
              <w:t xml:space="preserve">328</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　</w:t>
            </w:r>
            <w:r/>
          </w:p>
        </w:tc>
      </w:tr>
      <w:tr>
        <w:trPr>
          <w:trHeight w:val="567"/>
        </w:trPr>
        <w:tc>
          <w:tcPr>
            <w:shd w:val="clear" w:color="auto" w:fill="auto"/>
            <w:tcW w:w="98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4</w:t>
            </w:r>
            <w:r/>
          </w:p>
        </w:tc>
        <w:tc>
          <w:tcPr>
            <w:shd w:val="clear" w:color="auto" w:fill="auto"/>
            <w:tcW w:w="326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单叉式（</w:t>
            </w:r>
            <w:r>
              <w:rPr>
                <w:rFonts w:ascii="宋体" w:hAnsi="宋体" w:eastAsia="宋体" w:cs="宋体"/>
                <w:color w:val="auto"/>
                <w:highlight w:val="none"/>
              </w:rPr>
              <w:t xml:space="preserve">单叉式信号灯</w:t>
            </w:r>
            <w:r>
              <w:rPr>
                <w:rFonts w:hint="eastAsia" w:ascii="宋体" w:hAnsi="宋体" w:eastAsia="宋体" w:cs="宋体"/>
                <w:color w:val="auto"/>
                <w:szCs w:val="21"/>
                <w:highlight w:val="none"/>
              </w:rPr>
              <w:t xml:space="preserve">）</w:t>
            </w:r>
            <w:r/>
          </w:p>
        </w:tc>
        <w:tc>
          <w:tcPr>
            <w:shd w:val="clear" w:color="auto" w:fill="auto"/>
            <w:tcW w:w="13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W w:w="1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lang w:bidi="ar"/>
              </w:rPr>
              <w:t xml:space="preserve">49</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　</w:t>
            </w:r>
            <w:r/>
          </w:p>
        </w:tc>
      </w:tr>
      <w:tr>
        <w:trPr>
          <w:trHeight w:val="567"/>
        </w:trPr>
        <w:tc>
          <w:tcPr>
            <w:shd w:val="clear" w:color="auto" w:fill="auto"/>
            <w:tcW w:w="98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5</w:t>
            </w:r>
            <w:r/>
          </w:p>
        </w:tc>
        <w:tc>
          <w:tcPr>
            <w:shd w:val="clear" w:color="auto" w:fill="auto"/>
            <w:tcW w:w="326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立柱式（</w:t>
            </w:r>
            <w:r>
              <w:rPr>
                <w:rFonts w:ascii="宋体" w:hAnsi="宋体" w:eastAsia="宋体" w:cs="宋体"/>
                <w:color w:val="auto"/>
                <w:highlight w:val="none"/>
              </w:rPr>
              <w:t xml:space="preserve">立柱式信号灯</w:t>
            </w:r>
            <w:r>
              <w:rPr>
                <w:rFonts w:hint="eastAsia" w:ascii="宋体" w:hAnsi="宋体" w:eastAsia="宋体" w:cs="宋体"/>
                <w:color w:val="auto"/>
                <w:szCs w:val="21"/>
                <w:highlight w:val="none"/>
              </w:rPr>
              <w:t xml:space="preserve">）</w:t>
            </w:r>
            <w:r/>
          </w:p>
        </w:tc>
        <w:tc>
          <w:tcPr>
            <w:shd w:val="clear" w:color="auto" w:fill="auto"/>
            <w:tcW w:w="13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W w:w="1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lang w:bidi="ar"/>
              </w:rPr>
              <w:t xml:space="preserve">32</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　</w:t>
            </w:r>
            <w:r/>
          </w:p>
        </w:tc>
      </w:tr>
      <w:tr>
        <w:trPr>
          <w:trHeight w:val="567"/>
        </w:trPr>
        <w:tc>
          <w:tcPr>
            <w:shd w:val="clear" w:color="auto" w:fill="auto"/>
            <w:tcW w:w="98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6</w:t>
            </w:r>
            <w:r/>
          </w:p>
        </w:tc>
        <w:tc>
          <w:tcPr>
            <w:shd w:val="clear" w:color="auto" w:fill="auto"/>
            <w:tcW w:w="326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圆盘灯/箭头灯</w:t>
            </w:r>
            <w:r/>
          </w:p>
        </w:tc>
        <w:tc>
          <w:tcPr>
            <w:shd w:val="clear" w:color="auto" w:fill="auto"/>
            <w:tcW w:w="13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lang w:bidi="ar"/>
              </w:rPr>
              <w:t xml:space="preserve">个</w:t>
            </w:r>
            <w:r/>
          </w:p>
        </w:tc>
        <w:tc>
          <w:tcPr>
            <w:shd w:val="clear" w:color="auto" w:fill="auto"/>
            <w:tcW w:w="1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
              </w:rPr>
              <w:t xml:space="preserve">2149</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　</w:t>
            </w:r>
            <w:r/>
          </w:p>
        </w:tc>
      </w:tr>
      <w:tr>
        <w:trPr>
          <w:trHeight w:val="567"/>
        </w:trPr>
        <w:tc>
          <w:tcPr>
            <w:shd w:val="clear" w:color="auto" w:fill="auto"/>
            <w:tcW w:w="98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7</w:t>
            </w:r>
            <w:r/>
          </w:p>
        </w:tc>
        <w:tc>
          <w:tcPr>
            <w:shd w:val="clear" w:color="auto" w:fill="auto"/>
            <w:tcW w:w="326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倒计时器</w:t>
            </w:r>
            <w:r/>
          </w:p>
        </w:tc>
        <w:tc>
          <w:tcPr>
            <w:shd w:val="clear" w:color="auto" w:fill="auto"/>
            <w:tcW w:w="13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W w:w="1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
              </w:rPr>
              <w:t xml:space="preserve">380</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　</w:t>
            </w:r>
            <w:r/>
          </w:p>
        </w:tc>
      </w:tr>
      <w:tr>
        <w:trPr>
          <w:trHeight w:val="567"/>
        </w:trPr>
        <w:tc>
          <w:tcPr>
            <w:shd w:val="clear" w:color="auto" w:fill="auto"/>
            <w:tcW w:w="98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W w:w="326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LED屏</w:t>
            </w:r>
            <w:r/>
          </w:p>
        </w:tc>
        <w:tc>
          <w:tcPr>
            <w:shd w:val="clear" w:color="auto" w:fill="auto"/>
            <w:tcW w:w="13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W w:w="1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lang w:bidi="ar"/>
              </w:rPr>
              <w:t xml:space="preserve">42</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shd w:val="clear" w:color="auto" w:fill="auto"/>
            <w:tcW w:w="98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9</w:t>
            </w:r>
            <w:r/>
          </w:p>
        </w:tc>
        <w:tc>
          <w:tcPr>
            <w:shd w:val="clear" w:color="auto" w:fill="auto"/>
            <w:tcW w:w="326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人行灯</w:t>
            </w:r>
            <w:r/>
          </w:p>
        </w:tc>
        <w:tc>
          <w:tcPr>
            <w:shd w:val="clear" w:color="auto" w:fill="auto"/>
            <w:tcW w:w="13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套</w:t>
            </w:r>
            <w:r/>
          </w:p>
        </w:tc>
        <w:tc>
          <w:tcPr>
            <w:shd w:val="clear" w:color="auto" w:fill="auto"/>
            <w:tcW w:w="1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
              </w:rPr>
              <w:t xml:space="preserve">692</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shd w:val="clear" w:color="auto" w:fill="auto"/>
            <w:tcW w:w="98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W w:w="326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指路牌</w:t>
            </w:r>
            <w:r/>
          </w:p>
        </w:tc>
        <w:tc>
          <w:tcPr>
            <w:shd w:val="clear" w:color="auto" w:fill="auto"/>
            <w:tcW w:w="13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块</w:t>
            </w:r>
            <w:r/>
          </w:p>
        </w:tc>
        <w:tc>
          <w:tcPr>
            <w:shd w:val="clear" w:color="auto" w:fill="auto"/>
            <w:tcW w:w="1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
              </w:rPr>
              <w:t xml:space="preserve">341</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shd w:val="clear" w:color="auto" w:fill="auto"/>
            <w:tcW w:w="98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11</w:t>
            </w:r>
            <w:r/>
          </w:p>
        </w:tc>
        <w:tc>
          <w:tcPr>
            <w:shd w:val="clear" w:color="auto" w:fill="auto"/>
            <w:tcW w:w="326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车道行驶标志</w:t>
            </w:r>
            <w:r/>
          </w:p>
        </w:tc>
        <w:tc>
          <w:tcPr>
            <w:shd w:val="clear" w:color="auto" w:fill="auto"/>
            <w:tcW w:w="13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块</w:t>
            </w:r>
            <w:r/>
          </w:p>
        </w:tc>
        <w:tc>
          <w:tcPr>
            <w:shd w:val="clear" w:color="auto" w:fill="auto"/>
            <w:tcW w:w="1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
              </w:rPr>
              <w:t xml:space="preserve">803</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shd w:val="clear" w:color="auto" w:fill="auto"/>
            <w:tcW w:w="98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12</w:t>
            </w:r>
            <w:r/>
          </w:p>
        </w:tc>
        <w:tc>
          <w:tcPr>
            <w:shd w:val="clear" w:color="auto" w:fill="auto"/>
            <w:tcW w:w="326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路名牌</w:t>
            </w:r>
            <w:r/>
          </w:p>
        </w:tc>
        <w:tc>
          <w:tcPr>
            <w:shd w:val="clear" w:color="auto" w:fill="auto"/>
            <w:tcW w:w="13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块</w:t>
            </w:r>
            <w:r/>
          </w:p>
        </w:tc>
        <w:tc>
          <w:tcPr>
            <w:shd w:val="clear" w:color="auto" w:fill="auto"/>
            <w:tcW w:w="1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
              </w:rPr>
              <w:t xml:space="preserve">559</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shd w:val="clear" w:color="auto" w:fill="auto"/>
            <w:tcW w:w="98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13</w:t>
            </w:r>
            <w:r/>
          </w:p>
        </w:tc>
        <w:tc>
          <w:tcPr>
            <w:shd w:val="clear" w:color="auto" w:fill="auto"/>
            <w:tcW w:w="326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禁停清拖</w:t>
            </w:r>
            <w:r/>
          </w:p>
        </w:tc>
        <w:tc>
          <w:tcPr>
            <w:shd w:val="clear" w:color="auto" w:fill="auto"/>
            <w:tcW w:w="13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块</w:t>
            </w:r>
            <w:r/>
          </w:p>
        </w:tc>
        <w:tc>
          <w:tcPr>
            <w:shd w:val="clear" w:color="auto" w:fill="auto"/>
            <w:tcW w:w="1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lang w:bidi="ar"/>
              </w:rPr>
              <w:t xml:space="preserve">242</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shd w:val="clear" w:color="auto" w:fill="auto"/>
            <w:tcW w:w="98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bidi="ar"/>
              </w:rPr>
              <w:t xml:space="preserve">14</w:t>
            </w:r>
            <w:r/>
          </w:p>
        </w:tc>
        <w:tc>
          <w:tcPr>
            <w:shd w:val="clear" w:color="auto" w:fill="auto"/>
            <w:tcW w:w="326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禁令标志</w:t>
            </w:r>
            <w:r/>
          </w:p>
        </w:tc>
        <w:tc>
          <w:tcPr>
            <w:shd w:val="clear" w:color="auto" w:fill="auto"/>
            <w:tcW w:w="13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块</w:t>
            </w:r>
            <w:r/>
          </w:p>
        </w:tc>
        <w:tc>
          <w:tcPr>
            <w:shd w:val="clear" w:color="auto" w:fill="auto"/>
            <w:tcW w:w="1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
              </w:rPr>
              <w:t xml:space="preserve">1190</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shd w:val="clear" w:color="auto" w:fill="auto"/>
            <w:tcW w:w="98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15</w:t>
            </w:r>
            <w:r/>
          </w:p>
        </w:tc>
        <w:tc>
          <w:tcPr>
            <w:shd w:val="clear" w:color="auto" w:fill="auto"/>
            <w:tcW w:w="326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限高架</w:t>
            </w:r>
            <w:r/>
          </w:p>
        </w:tc>
        <w:tc>
          <w:tcPr>
            <w:shd w:val="clear" w:color="auto" w:fill="auto"/>
            <w:tcW w:w="13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W w:w="1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shd w:val="clear" w:color="auto" w:fill="auto"/>
            <w:tcW w:w="98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16</w:t>
            </w:r>
            <w:r/>
          </w:p>
        </w:tc>
        <w:tc>
          <w:tcPr>
            <w:shd w:val="clear" w:color="auto" w:fill="auto"/>
            <w:tcW w:w="326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桥名牌</w:t>
            </w:r>
            <w:r/>
          </w:p>
        </w:tc>
        <w:tc>
          <w:tcPr>
            <w:shd w:val="clear" w:color="auto" w:fill="auto"/>
            <w:tcW w:w="13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W w:w="1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lang w:bidi="ar"/>
              </w:rPr>
              <w:t xml:space="preserve">44</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shd w:val="clear" w:color="auto" w:fill="auto"/>
            <w:tcW w:w="98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17</w:t>
            </w:r>
            <w:r/>
          </w:p>
        </w:tc>
        <w:tc>
          <w:tcPr>
            <w:shd w:val="clear" w:color="auto" w:fill="auto"/>
            <w:tcW w:w="326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限载牌</w:t>
            </w:r>
            <w:r/>
          </w:p>
        </w:tc>
        <w:tc>
          <w:tcPr>
            <w:shd w:val="clear" w:color="auto" w:fill="auto"/>
            <w:tcW w:w="13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块</w:t>
            </w:r>
            <w:r/>
          </w:p>
        </w:tc>
        <w:tc>
          <w:tcPr>
            <w:shd w:val="clear" w:color="auto" w:fill="auto"/>
            <w:tcW w:w="1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lang w:bidi="ar"/>
              </w:rPr>
              <w:t xml:space="preserve">71</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shd w:val="clear" w:color="auto" w:fill="auto"/>
            <w:tcW w:w="98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18</w:t>
            </w:r>
            <w:r/>
          </w:p>
        </w:tc>
        <w:tc>
          <w:tcPr>
            <w:shd w:val="clear" w:color="auto" w:fill="auto"/>
            <w:tcW w:w="326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限高牌</w:t>
            </w:r>
            <w:r/>
          </w:p>
        </w:tc>
        <w:tc>
          <w:tcPr>
            <w:shd w:val="clear" w:color="auto" w:fill="auto"/>
            <w:tcW w:w="13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块</w:t>
            </w:r>
            <w:r/>
          </w:p>
        </w:tc>
        <w:tc>
          <w:tcPr>
            <w:shd w:val="clear" w:color="auto" w:fill="auto"/>
            <w:tcW w:w="1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lang w:bidi="ar"/>
              </w:rPr>
              <w:t xml:space="preserve">30</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shd w:val="clear" w:color="auto" w:fill="auto"/>
            <w:tcW w:w="98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19</w:t>
            </w:r>
            <w:r/>
          </w:p>
        </w:tc>
        <w:tc>
          <w:tcPr>
            <w:shd w:val="clear" w:color="auto" w:fill="auto"/>
            <w:tcW w:w="326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交通标线+地面标识</w:t>
            </w:r>
            <w:r/>
          </w:p>
        </w:tc>
        <w:tc>
          <w:tcPr>
            <w:shd w:val="clear" w:color="auto" w:fill="auto"/>
            <w:tcW w:w="13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highlight w:val="none"/>
              </w:rPr>
              <w:t xml:space="preserve">平方米</w:t>
            </w:r>
            <w:r/>
          </w:p>
        </w:tc>
        <w:tc>
          <w:tcPr>
            <w:shd w:val="clear" w:color="auto" w:fill="auto"/>
            <w:tcW w:w="1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
              </w:rPr>
              <w:t xml:space="preserve">76382</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shd w:val="clear" w:color="auto" w:fill="auto"/>
            <w:tcW w:w="98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auto" w:fill="auto"/>
            <w:tcW w:w="326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陶颗粒</w:t>
            </w:r>
            <w:r/>
          </w:p>
        </w:tc>
        <w:tc>
          <w:tcPr>
            <w:shd w:val="clear" w:color="auto" w:fill="auto"/>
            <w:tcW w:w="13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highlight w:val="none"/>
              </w:rPr>
              <w:t xml:space="preserve">平方米</w:t>
            </w:r>
            <w:r/>
          </w:p>
        </w:tc>
        <w:tc>
          <w:tcPr>
            <w:shd w:val="clear" w:color="auto" w:fill="auto"/>
            <w:tcW w:w="1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
              </w:rPr>
              <w:t xml:space="preserve">6092</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shd w:val="clear" w:color="auto" w:fill="auto"/>
            <w:tcW w:w="98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21</w:t>
            </w:r>
            <w:r/>
          </w:p>
        </w:tc>
        <w:tc>
          <w:tcPr>
            <w:shd w:val="clear" w:color="auto" w:fill="auto"/>
            <w:tcW w:w="326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防撞柱</w:t>
            </w:r>
            <w:r/>
          </w:p>
        </w:tc>
        <w:tc>
          <w:tcPr>
            <w:shd w:val="clear" w:color="auto" w:fill="auto"/>
            <w:tcW w:w="13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套</w:t>
            </w:r>
            <w:r/>
          </w:p>
        </w:tc>
        <w:tc>
          <w:tcPr>
            <w:shd w:val="clear" w:color="auto" w:fill="auto"/>
            <w:tcW w:w="1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lang w:bidi="ar"/>
              </w:rPr>
              <w:t xml:space="preserve">1003</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shd w:val="clear" w:color="auto" w:fill="auto"/>
            <w:tcW w:w="98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22</w:t>
            </w:r>
            <w:r/>
          </w:p>
        </w:tc>
        <w:tc>
          <w:tcPr>
            <w:shd w:val="clear" w:color="auto" w:fill="auto"/>
            <w:tcW w:w="326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爆闪灯</w:t>
            </w:r>
            <w:r/>
          </w:p>
        </w:tc>
        <w:tc>
          <w:tcPr>
            <w:shd w:val="clear" w:color="auto" w:fill="auto"/>
            <w:tcW w:w="13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套</w:t>
            </w:r>
            <w:r/>
          </w:p>
        </w:tc>
        <w:tc>
          <w:tcPr>
            <w:shd w:val="clear" w:color="auto" w:fill="auto"/>
            <w:tcW w:w="1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lang w:bidi="ar"/>
              </w:rPr>
              <w:t xml:space="preserve">187</w:t>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13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gridSpan w:val="2"/>
            <w:shd w:val="clear" w:color="auto" w:fill="auto"/>
            <w:tcW w:w="424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交通设施日常管养合计（元）</w:t>
            </w:r>
            <w:r/>
          </w:p>
        </w:tc>
        <w:tc>
          <w:tcPr>
            <w:gridSpan w:val="4"/>
            <w:shd w:val="clear" w:color="auto" w:fill="auto"/>
            <w:tcW w:w="5309"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　</w:t>
            </w:r>
            <w:r/>
          </w:p>
        </w:tc>
      </w:tr>
      <w:tr>
        <w:trPr>
          <w:trHeight w:val="567"/>
        </w:trPr>
        <w:tc>
          <w:tcPr>
            <w:gridSpan w:val="6"/>
            <w:shd w:val="clear" w:color="auto" w:fill="auto"/>
            <w:tcW w:w="9556" w:type="dxa"/>
            <w:vAlign w:val="center"/>
            <w:textDirection w:val="lrTb"/>
            <w:noWrap w:val="false"/>
          </w:tcPr>
          <w:p>
            <w:pPr>
              <w:jc w:val="left"/>
              <w:spacing w:line="360" w:lineRule="auto"/>
              <w:widowControl/>
              <w:rPr>
                <w:rFonts w:hint="default" w:ascii="宋体" w:hAnsi="宋体" w:cs="宋体"/>
                <w:color w:val="auto"/>
                <w:szCs w:val="21"/>
                <w:highlight w:val="none"/>
              </w:rPr>
            </w:pPr>
            <w:r>
              <w:rPr>
                <w:rFonts w:hint="eastAsia" w:ascii="宋体" w:hAnsi="宋体" w:eastAsia="宋体" w:cs="宋体"/>
                <w:b/>
                <w:bCs/>
                <w:color w:val="auto"/>
                <w:szCs w:val="21"/>
                <w:highlight w:val="none"/>
                <w:lang w:val="en-US" w:eastAsia="zh-CN"/>
              </w:rPr>
              <w:t xml:space="preserve">二、</w:t>
            </w:r>
            <w:r>
              <w:rPr>
                <w:rFonts w:hint="eastAsia" w:ascii="宋体" w:hAnsi="宋体" w:eastAsia="宋体" w:cs="宋体"/>
                <w:b/>
                <w:bCs/>
                <w:color w:val="auto"/>
                <w:szCs w:val="21"/>
                <w:highlight w:val="none"/>
              </w:rPr>
              <w:t xml:space="preserve">交通设施更新安装</w:t>
            </w:r>
            <w:r>
              <w:rPr>
                <w:rFonts w:hint="default" w:ascii="宋体" w:hAnsi="宋体" w:eastAsia="宋体" w:cs="宋体"/>
                <w:b/>
                <w:bCs/>
                <w:color w:val="auto"/>
                <w:szCs w:val="21"/>
                <w:highlight w:val="none"/>
              </w:rPr>
              <w:t xml:space="preserve">专项</w:t>
            </w:r>
            <w:r/>
          </w:p>
        </w:tc>
      </w:tr>
      <w:tr>
        <w:trPr>
          <w:trHeight w:val="1526"/>
        </w:trPr>
        <w:tc>
          <w:tcPr>
            <w:gridSpan w:val="6"/>
            <w:shd w:val="clear" w:color="auto" w:fill="auto"/>
            <w:tcW w:w="9556"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eastAsia="宋体" w:cs="宋体"/>
                <w:color w:val="auto"/>
                <w:highlight w:val="none"/>
                <w:lang w:eastAsia="zh-CN"/>
              </w:rPr>
              <w:t xml:space="preserve">更新安装专项</w:t>
            </w:r>
            <w:r>
              <w:rPr>
                <w:rFonts w:hint="eastAsia" w:ascii="宋体" w:hAnsi="宋体" w:eastAsia="宋体" w:cs="宋体"/>
                <w:color w:val="auto"/>
                <w:highlight w:val="none"/>
              </w:rPr>
              <w:t xml:space="preserve">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万元，</w:t>
            </w:r>
            <w:r>
              <w:rPr>
                <w:rFonts w:hint="eastAsia" w:ascii="宋体" w:hAnsi="宋体" w:eastAsia="宋体" w:cs="宋体"/>
                <w:bCs/>
                <w:color w:val="auto"/>
                <w:highlight w:val="none"/>
              </w:rPr>
              <w:t xml:space="preserve">（</w:t>
            </w:r>
            <w:r>
              <w:rPr>
                <w:rFonts w:hint="eastAsia" w:ascii="宋体" w:hAnsi="宋体" w:eastAsia="宋体" w:cs="宋体"/>
                <w:color w:val="auto"/>
                <w:szCs w:val="21"/>
                <w:highlight w:val="none"/>
              </w:rPr>
              <w:t xml:space="preserve">更新安装专项折扣率为</w:t>
            </w:r>
            <w:r>
              <w:rPr>
                <w:rFonts w:hint="eastAsia" w:ascii="宋体" w:hAnsi="宋体" w:cs="宋体"/>
                <w:color w:val="auto"/>
                <w:szCs w:val="21"/>
                <w:highlight w:val="none"/>
                <w:u w:val="single"/>
              </w:rPr>
              <w:t xml:space="preserve">         %</w:t>
            </w:r>
            <w:r>
              <w:rPr>
                <w:rFonts w:hint="eastAsia" w:ascii="宋体" w:hAnsi="宋体" w:eastAsia="宋体" w:cs="宋体"/>
                <w:bCs/>
                <w:color w:val="auto"/>
                <w:highlight w:val="none"/>
              </w:rPr>
              <w:t xml:space="preserve">）</w:t>
            </w:r>
            <w:r/>
          </w:p>
        </w:tc>
      </w:tr>
    </w:tbl>
    <w:p>
      <w:pPr>
        <w:pStyle w:val="891"/>
        <w:ind w:left="119" w:right="-908" w:hanging="828"/>
        <w:spacing w:line="360" w:lineRule="auto"/>
        <w:rPr>
          <w:rFonts w:hint="eastAsia" w:ascii="宋体" w:hAnsi="宋体" w:cs="宋体"/>
          <w:color w:val="auto"/>
          <w:highlight w:val="none"/>
        </w:rPr>
      </w:pPr>
      <w:r>
        <w:rPr>
          <w:rFonts w:hint="eastAsia" w:ascii="宋体" w:hAnsi="宋体" w:eastAsia="宋体" w:cs="宋体"/>
          <w:color w:val="auto"/>
          <w:highlight w:val="none"/>
          <w:lang w:eastAsia="zh-CN"/>
        </w:rPr>
        <w:t xml:space="preserve">注：</w:t>
      </w:r>
      <w:r/>
    </w:p>
    <w:p>
      <w:pPr>
        <w:ind w:left="-619" w:firstLine="0"/>
        <w:rPr>
          <w:rFonts w:hint="eastAsia" w:ascii="宋体" w:hAnsi="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交通设施日常管养：报价为</w:t>
      </w:r>
      <w:r>
        <w:rPr>
          <w:rFonts w:hint="eastAsia" w:ascii="宋体" w:hAnsi="宋体" w:eastAsia="宋体" w:cs="宋体"/>
          <w:color w:val="auto"/>
          <w:highlight w:val="none"/>
          <w:lang w:val="en-US" w:eastAsia="zh-CN"/>
        </w:rPr>
        <w:t xml:space="preserve">全年</w:t>
      </w:r>
      <w:r>
        <w:rPr>
          <w:rFonts w:hint="eastAsia" w:ascii="宋体" w:hAnsi="宋体" w:eastAsia="宋体" w:cs="宋体"/>
          <w:color w:val="auto"/>
          <w:highlight w:val="none"/>
          <w:lang w:eastAsia="zh-CN"/>
        </w:rPr>
        <w:t xml:space="preserve">全费用综合单价（即将所有费用均摊销至各综合单价中），报综合单价和总价。</w:t>
      </w:r>
      <w:r/>
    </w:p>
    <w:p>
      <w:pPr>
        <w:ind w:left="-619" w:firstLine="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rPr>
          <w:rFonts w:hint="eastAsia" w:asciiTheme="minorEastAsia" w:hAnsiTheme="minorEastAsia" w:eastAsiaTheme="minorEastAsia" w:cstheme="minorEastAsia"/>
          <w:b w:val="0"/>
          <w:bCs w:val="0"/>
          <w:color w:val="auto"/>
          <w:sz w:val="21"/>
          <w:szCs w:val="21"/>
          <w:highlight w:val="none"/>
          <w:shd w:val="clear" w:color="auto" w:fill="auto"/>
        </w:rPr>
        <w:t xml:space="preserve">更新安装专项：按</w:t>
      </w:r>
      <w:r>
        <w:rPr>
          <w:rFonts w:hint="eastAsia" w:eastAsia="宋体" w:asciiTheme="minorEastAsia" w:hAnsiTheme="minorEastAsia" w:cstheme="minorEastAsia"/>
          <w:b w:val="0"/>
          <w:bCs w:val="0"/>
          <w:color w:val="auto"/>
          <w:sz w:val="21"/>
          <w:szCs w:val="21"/>
          <w:highlight w:val="none"/>
          <w:shd w:val="clear" w:color="auto" w:fill="auto"/>
          <w:lang w:val="en-US" w:eastAsia="zh-CN"/>
        </w:rPr>
        <w:t xml:space="preserve">折扣率</w:t>
      </w:r>
      <w:r>
        <w:rPr>
          <w:rFonts w:hint="eastAsia" w:asciiTheme="minorEastAsia" w:hAnsiTheme="minorEastAsia" w:eastAsiaTheme="minorEastAsia" w:cstheme="minorEastAsia"/>
          <w:b w:val="0"/>
          <w:bCs w:val="0"/>
          <w:color w:val="auto"/>
          <w:sz w:val="21"/>
          <w:szCs w:val="21"/>
          <w:highlight w:val="none"/>
          <w:shd w:val="clear" w:color="auto" w:fill="auto"/>
        </w:rPr>
        <w:t xml:space="preserve">方式报价，</w:t>
      </w:r>
      <w:r>
        <w:rPr>
          <w:rFonts w:hint="eastAsia" w:ascii="宋体" w:hAnsi="宋体" w:eastAsia="宋体" w:cs="宋体"/>
          <w:b w:val="0"/>
          <w:bCs w:val="0"/>
          <w:color w:val="auto"/>
          <w:highlight w:val="none"/>
          <w:lang w:eastAsia="zh-CN"/>
        </w:rPr>
        <w:t xml:space="preserve">更新安装专项折扣率</w:t>
      </w:r>
      <w:r>
        <w:rPr>
          <w:rFonts w:hint="eastAsia" w:asciiTheme="minorEastAsia" w:hAnsiTheme="minorEastAsia" w:eastAsiaTheme="minorEastAsia" w:cstheme="minorEastAsia"/>
          <w:b w:val="0"/>
          <w:bCs w:val="0"/>
          <w:color w:val="auto"/>
          <w:sz w:val="21"/>
          <w:szCs w:val="21"/>
          <w:highlight w:val="none"/>
          <w:shd w:val="clear" w:color="auto" w:fill="auto"/>
        </w:rPr>
        <w:t xml:space="preserve">=</w:t>
      </w:r>
      <w:r>
        <w:rPr>
          <w:rFonts w:hint="eastAsia" w:ascii="宋体" w:hAnsi="宋体" w:eastAsia="宋体" w:cs="宋体"/>
          <w:b w:val="0"/>
          <w:bCs w:val="0"/>
          <w:color w:val="auto"/>
          <w:highlight w:val="none"/>
          <w:lang w:eastAsia="zh-CN"/>
        </w:rPr>
        <w:t xml:space="preserve">更新安装专项</w:t>
      </w:r>
      <w:r>
        <w:rPr>
          <w:rFonts w:hint="eastAsia" w:ascii="宋体" w:hAnsi="宋体" w:eastAsia="宋体" w:cs="宋体"/>
          <w:b w:val="0"/>
          <w:bCs w:val="0"/>
          <w:color w:val="auto"/>
          <w:highlight w:val="none"/>
          <w:lang w:val="en-US" w:eastAsia="zh-CN"/>
        </w:rPr>
        <w:t xml:space="preserve">报价</w:t>
      </w:r>
      <w:r>
        <w:rPr>
          <w:rFonts w:hint="eastAsia" w:asciiTheme="minorEastAsia" w:hAnsiTheme="minorEastAsia" w:eastAsiaTheme="minorEastAsia" w:cstheme="minorEastAsia"/>
          <w:b w:val="0"/>
          <w:bCs w:val="0"/>
          <w:color w:val="auto"/>
          <w:sz w:val="21"/>
          <w:szCs w:val="21"/>
          <w:highlight w:val="none"/>
          <w:shd w:val="clear" w:color="auto" w:fill="auto"/>
        </w:rPr>
        <w:t xml:space="preserve">/更新安装专项最高限价</w:t>
      </w:r>
      <w:r>
        <w:rPr>
          <w:rFonts w:hint="eastAsia" w:eastAsia="宋体" w:asciiTheme="minorEastAsia" w:hAnsiTheme="minorEastAsia" w:cstheme="minorEastAsia"/>
          <w:b w:val="0"/>
          <w:bCs w:val="0"/>
          <w:color w:val="auto"/>
          <w:sz w:val="21"/>
          <w:szCs w:val="21"/>
          <w:highlight w:val="none"/>
          <w:shd w:val="clear" w:color="auto" w:fill="auto"/>
          <w:lang w:val="en-US" w:eastAsia="zh-CN"/>
        </w:rPr>
        <w:t xml:space="preserve">7</w:t>
      </w:r>
      <w:r>
        <w:rPr>
          <w:rFonts w:hint="eastAsia" w:asciiTheme="minorEastAsia" w:hAnsiTheme="minorEastAsia" w:eastAsiaTheme="minorEastAsia" w:cstheme="minorEastAsia"/>
          <w:b w:val="0"/>
          <w:bCs w:val="0"/>
          <w:color w:val="auto"/>
          <w:sz w:val="21"/>
          <w:szCs w:val="21"/>
          <w:highlight w:val="none"/>
          <w:shd w:val="clear" w:color="auto" w:fill="auto"/>
        </w:rPr>
        <w:t xml:space="preserve">0万元。供应商报价并非最终结算价，仅作为计算“更新安装专项工程结算系数”的依据。</w:t>
      </w:r>
      <w:r>
        <w:rPr>
          <w:rFonts w:hint="eastAsia" w:ascii="宋体" w:hAnsi="宋体" w:eastAsia="宋体" w:cs="宋体"/>
          <w:b w:val="0"/>
          <w:bCs w:val="0"/>
          <w:color w:val="auto"/>
          <w:szCs w:val="21"/>
          <w:highlight w:val="none"/>
        </w:rPr>
        <w:t xml:space="preserve">更新安装专项工程结算价=上报结算价×</w:t>
      </w:r>
      <w:r>
        <w:rPr>
          <w:rFonts w:hint="eastAsia" w:ascii="宋体" w:hAnsi="宋体" w:eastAsia="宋体" w:cs="宋体"/>
          <w:b w:val="0"/>
          <w:bCs w:val="0"/>
          <w:color w:val="auto"/>
          <w:szCs w:val="21"/>
          <w:highlight w:val="none"/>
          <w:lang w:val="en-US" w:eastAsia="zh-CN"/>
        </w:rPr>
        <w:t xml:space="preserve">折扣率</w:t>
      </w:r>
      <w:r>
        <w:rPr>
          <w:rFonts w:hint="eastAsia" w:ascii="宋体" w:hAnsi="宋体" w:eastAsia="宋体" w:cs="宋体"/>
          <w:b w:val="0"/>
          <w:bCs w:val="0"/>
          <w:color w:val="auto"/>
          <w:szCs w:val="21"/>
          <w:highlight w:val="none"/>
        </w:rPr>
        <w:t xml:space="preserve">，其中上报结算价的基准单价以《东山主城区交通设施养护-专项更新项目》中单价为准，上报结算价的工程量以现场有效签证为依据，按现场实际发生的工程量进行计算。更新安装工程须经采购人确认并验收合格，最终结算价以采购人委托的第三方审计为准</w:t>
      </w:r>
      <w:r>
        <w:rPr>
          <w:rFonts w:hint="eastAsia" w:ascii="宋体" w:hAnsi="宋体" w:eastAsia="宋体" w:cs="宋体"/>
          <w:b w:val="0"/>
          <w:bCs w:val="0"/>
          <w:color w:val="auto"/>
          <w:szCs w:val="21"/>
          <w:highlight w:val="none"/>
          <w:lang w:eastAsia="zh-CN"/>
        </w:rPr>
        <w:t xml:space="preserve">。</w:t>
      </w:r>
      <w:r/>
    </w:p>
    <w:p>
      <w:pPr>
        <w:ind w:left="-619" w:firstLine="0"/>
        <w:rPr>
          <w:rFonts w:hint="eastAsia" w:ascii="宋体" w:hAnsi="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表中的设施名称、数量、单位均不得更改，否则将作为无效投标处理</w:t>
      </w:r>
      <w:r/>
    </w:p>
    <w:p>
      <w:pPr>
        <w:ind w:left="-619" w:firstLine="0"/>
        <w:rPr>
          <w:rFonts w:hint="eastAsia" w:ascii="宋体" w:hAnsi="宋体" w:cs="宋体"/>
          <w:color w:val="auto"/>
          <w:highlight w:val="none"/>
        </w:rPr>
      </w:pPr>
      <w:r/>
      <w:bookmarkStart w:id="86" w:name="_Hlk164712507"/>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具体报价要求，详见招标文件项目需求报价说明。在养护期间，完成养护服务所有内容及要求产生的一切费用均包含在报价中。凡招标文件没做具体要求的，按照国家现行的有关法规、政策以及各项规范执行。</w:t>
      </w:r>
      <w:bookmarkEnd w:id="86"/>
      <w:r/>
      <w:r/>
    </w:p>
    <w:p>
      <w:pPr>
        <w:pStyle w:val="891"/>
        <w:ind w:right="840"/>
        <w:jc w:val="both"/>
        <w:spacing w:line="260" w:lineRule="exact"/>
        <w:rPr>
          <w:rFonts w:hint="eastAsia" w:ascii="宋体" w:hAnsi="宋体" w:eastAsia="宋体" w:cs="宋体"/>
          <w:color w:val="auto"/>
          <w:lang w:val="zh-CN" w:eastAsia="zh-CN"/>
        </w:rPr>
      </w:pPr>
      <w:r>
        <w:rPr>
          <w:rFonts w:hint="eastAsia" w:ascii="宋体" w:hAnsi="宋体" w:eastAsia="宋体" w:cs="宋体"/>
          <w:color w:val="auto"/>
          <w:lang w:val="zh-CN" w:eastAsia="zh-CN"/>
        </w:rPr>
      </w:r>
      <w:r/>
    </w:p>
    <w:p>
      <w:pPr>
        <w:pStyle w:val="891"/>
        <w:ind w:right="840" w:firstLine="4920"/>
        <w:jc w:val="both"/>
        <w:spacing w:line="260" w:lineRule="exact"/>
        <w:rPr>
          <w:rFonts w:hint="eastAsia" w:ascii="宋体" w:hAnsi="宋体" w:eastAsia="宋体" w:cs="宋体"/>
          <w:color w:val="auto"/>
          <w:lang w:val="zh-CN" w:eastAsia="zh-CN"/>
        </w:rPr>
      </w:pPr>
      <w:r>
        <w:rPr>
          <w:rFonts w:hint="eastAsia" w:ascii="宋体" w:hAnsi="宋体" w:eastAsia="宋体" w:cs="宋体"/>
          <w:color w:val="auto"/>
          <w:lang w:val="zh-CN" w:eastAsia="zh-CN"/>
        </w:rPr>
        <w:t xml:space="preserve">投标单位（盖章）：</w:t>
      </w:r>
      <w:r/>
    </w:p>
    <w:p>
      <w:pPr>
        <w:pStyle w:val="891"/>
        <w:ind w:right="840" w:firstLine="4920"/>
        <w:jc w:val="both"/>
        <w:spacing w:line="260" w:lineRule="exact"/>
        <w:rPr>
          <w:rFonts w:hint="eastAsia" w:ascii="宋体" w:hAnsi="宋体" w:eastAsia="宋体" w:cs="宋体"/>
          <w:color w:val="auto"/>
          <w:lang w:val="zh-CN" w:eastAsia="zh-CN"/>
        </w:rPr>
      </w:pPr>
      <w:r>
        <w:rPr>
          <w:rFonts w:hint="eastAsia" w:ascii="宋体" w:hAnsi="宋体" w:eastAsia="宋体" w:cs="宋体"/>
          <w:color w:val="auto"/>
          <w:lang w:val="zh-CN" w:eastAsia="zh-CN"/>
        </w:rPr>
        <w:t xml:space="preserve">授权代表（签字</w:t>
      </w:r>
      <w:r>
        <w:rPr>
          <w:rFonts w:hint="eastAsia" w:ascii="宋体" w:hAnsi="宋体" w:eastAsia="宋体" w:cs="宋体"/>
          <w:color w:val="auto"/>
          <w:lang w:eastAsia="zh-CN"/>
        </w:rPr>
        <w:t xml:space="preserve">或盖章</w:t>
      </w:r>
      <w:r>
        <w:rPr>
          <w:rFonts w:hint="eastAsia" w:ascii="宋体" w:hAnsi="宋体" w:eastAsia="宋体" w:cs="宋体"/>
          <w:color w:val="auto"/>
          <w:lang w:val="zh-CN" w:eastAsia="zh-CN"/>
        </w:rPr>
        <w:t xml:space="preserve">）：</w:t>
      </w:r>
      <w:r/>
    </w:p>
    <w:p>
      <w:pPr>
        <w:pStyle w:val="891"/>
        <w:ind w:firstLine="4920"/>
        <w:jc w:val="both"/>
        <w:spacing w:line="260" w:lineRule="exact"/>
        <w:rPr>
          <w:rFonts w:hint="eastAsia" w:ascii="宋体" w:hAnsi="宋体" w:eastAsia="宋体" w:cs="宋体"/>
          <w:color w:val="auto"/>
          <w:lang w:val="zh-CN" w:eastAsia="zh-CN"/>
        </w:rPr>
      </w:pPr>
      <w:r>
        <w:rPr>
          <w:rFonts w:hint="eastAsia" w:ascii="宋体" w:hAnsi="宋体" w:eastAsia="宋体" w:cs="宋体"/>
          <w:color w:val="auto"/>
          <w:lang w:val="zh-CN" w:eastAsia="zh-CN"/>
        </w:rPr>
        <w:t xml:space="preserve">日期：年 月  日</w:t>
      </w:r>
      <w:r/>
    </w:p>
    <w:p>
      <w:pPr>
        <w:pStyle w:val="891"/>
        <w:ind w:left="119" w:firstLine="482"/>
        <w:jc w:val="right"/>
        <w:spacing w:line="260" w:lineRule="exact"/>
        <w:rPr>
          <w:rFonts w:hint="eastAsia" w:ascii="宋体" w:hAnsi="宋体" w:eastAsia="宋体" w:cs="宋体"/>
          <w:color w:val="auto"/>
          <w:lang w:val="zh-CN" w:eastAsia="zh-CN"/>
        </w:rPr>
      </w:pPr>
      <w:r>
        <w:rPr>
          <w:rFonts w:hint="eastAsia" w:ascii="宋体" w:hAnsi="宋体" w:eastAsia="宋体" w:cs="宋体"/>
          <w:color w:val="auto"/>
          <w:lang w:val="zh-CN" w:eastAsia="zh-CN"/>
        </w:rPr>
      </w:r>
      <w:r/>
    </w:p>
    <w:p>
      <w:pPr>
        <w:pStyle w:val="891"/>
        <w:ind w:left="119" w:firstLine="482"/>
        <w:jc w:val="right"/>
        <w:spacing w:line="260" w:lineRule="exact"/>
        <w:rPr>
          <w:rFonts w:hint="eastAsia" w:ascii="宋体" w:hAnsi="宋体" w:eastAsia="宋体" w:cs="宋体"/>
          <w:color w:val="auto"/>
          <w:lang w:val="zh-CN" w:eastAsia="zh-CN"/>
        </w:rPr>
      </w:pPr>
      <w:r>
        <w:rPr>
          <w:rFonts w:hint="eastAsia" w:ascii="宋体" w:hAnsi="宋体" w:eastAsia="宋体" w:cs="宋体"/>
          <w:color w:val="auto"/>
          <w:lang w:val="zh-CN" w:eastAsia="zh-CN"/>
        </w:rPr>
      </w:r>
      <w:r/>
    </w:p>
    <w:p>
      <w:pPr>
        <w:pStyle w:val="891"/>
        <w:ind w:left="119" w:firstLine="482"/>
        <w:jc w:val="right"/>
        <w:spacing w:line="260" w:lineRule="exact"/>
        <w:rPr>
          <w:rFonts w:hint="eastAsia" w:ascii="宋体" w:hAnsi="宋体" w:eastAsia="宋体" w:cs="宋体"/>
          <w:color w:val="auto"/>
          <w:lang w:val="zh-CN" w:eastAsia="zh-CN"/>
        </w:rPr>
      </w:pPr>
      <w:r>
        <w:rPr>
          <w:rFonts w:hint="eastAsia" w:ascii="宋体" w:hAnsi="宋体" w:eastAsia="宋体" w:cs="宋体"/>
          <w:color w:val="auto"/>
          <w:lang w:val="zh-CN" w:eastAsia="zh-CN"/>
        </w:rPr>
      </w:r>
      <w:r/>
    </w:p>
    <w:p>
      <w:pPr>
        <w:pStyle w:val="891"/>
        <w:ind w:left="119" w:firstLine="482"/>
        <w:jc w:val="right"/>
        <w:spacing w:line="260" w:lineRule="exact"/>
        <w:rPr>
          <w:rFonts w:hint="eastAsia" w:ascii="宋体" w:hAnsi="宋体" w:eastAsia="宋体" w:cs="宋体"/>
          <w:color w:val="auto"/>
          <w:lang w:val="zh-CN" w:eastAsia="zh-CN"/>
        </w:rPr>
      </w:pPr>
      <w:r>
        <w:rPr>
          <w:rFonts w:hint="eastAsia" w:ascii="宋体" w:hAnsi="宋体" w:eastAsia="宋体" w:cs="宋体"/>
          <w:color w:val="auto"/>
          <w:lang w:val="zh-CN" w:eastAsia="zh-CN"/>
        </w:rPr>
      </w:r>
      <w:r/>
    </w:p>
    <w:p>
      <w:pPr>
        <w:rPr>
          <w:rFonts w:hint="eastAsia" w:ascii="宋体" w:hAnsi="宋体" w:eastAsia="宋体" w:cs="宋体"/>
          <w:color w:val="auto"/>
          <w:sz w:val="24"/>
          <w:lang w:val="zh-CN"/>
        </w:rPr>
      </w:pPr>
      <w:r>
        <w:rPr>
          <w:rFonts w:hint="eastAsia" w:ascii="宋体" w:hAnsi="宋体" w:eastAsia="宋体" w:cs="宋体"/>
          <w:color w:val="auto"/>
          <w:sz w:val="24"/>
          <w:lang w:val="zh-CN"/>
        </w:rPr>
        <w:br w:type="page" w:clear="all"/>
      </w:r>
      <w:r/>
    </w:p>
    <w:p>
      <w:pPr>
        <w:pStyle w:val="892"/>
        <w:rPr>
          <w:rFonts w:hint="eastAsia" w:ascii="宋体" w:hAnsi="宋体" w:eastAsia="宋体" w:cs="宋体"/>
          <w:color w:val="auto"/>
          <w:lang w:val="zh-CN"/>
        </w:rPr>
      </w:pPr>
      <w:r>
        <w:rPr>
          <w:rFonts w:hint="eastAsia" w:ascii="宋体" w:hAnsi="宋体" w:eastAsia="宋体" w:cs="宋体"/>
          <w:color w:val="auto"/>
          <w:lang w:val="zh-CN"/>
        </w:rPr>
      </w:r>
      <w:r/>
    </w:p>
    <w:p>
      <w:pPr>
        <w:pStyle w:val="881"/>
        <w:rPr>
          <w:rFonts w:hint="eastAsia" w:ascii="宋体" w:hAnsi="宋体" w:eastAsia="宋体" w:cs="宋体"/>
          <w:color w:val="auto"/>
          <w:sz w:val="22"/>
          <w:szCs w:val="22"/>
          <w:lang w:val="zh-CN"/>
        </w:rPr>
      </w:pPr>
      <w:r/>
      <w:bookmarkStart w:id="87" w:name="_Toc32500"/>
      <w:r/>
      <w:bookmarkStart w:id="88" w:name="_Toc27709"/>
      <w:r>
        <w:rPr>
          <w:rFonts w:hint="eastAsia" w:ascii="宋体" w:hAnsi="宋体" w:eastAsia="宋体" w:cs="宋体"/>
          <w:color w:val="auto"/>
          <w:sz w:val="22"/>
          <w:szCs w:val="22"/>
          <w:lang w:val="zh-CN"/>
        </w:rPr>
        <w:t xml:space="preserve">目录五、技术规格偏离表格式</w:t>
      </w:r>
      <w:bookmarkEnd w:id="87"/>
      <w:r/>
      <w:bookmarkEnd w:id="88"/>
      <w:r/>
      <w:r/>
    </w:p>
    <w:p>
      <w:pPr>
        <w:ind w:left="420"/>
        <w:jc w:val="center"/>
        <w:spacing w:line="360" w:lineRule="auto"/>
        <w:shd w:val="clear" w:color="auto" w:fill="ffffff"/>
        <w:widowControl/>
        <w:rPr>
          <w:rFonts w:hint="eastAsia" w:ascii="宋体" w:hAnsi="宋体" w:eastAsia="宋体" w:cs="宋体"/>
          <w:b/>
          <w:bCs/>
          <w:color w:val="auto"/>
          <w:sz w:val="28"/>
          <w:szCs w:val="28"/>
        </w:rPr>
        <w:outlineLvl w:val="0"/>
      </w:pPr>
      <w:r/>
      <w:bookmarkStart w:id="89" w:name="_Toc21719"/>
      <w:r>
        <w:rPr>
          <w:rFonts w:hint="eastAsia" w:ascii="宋体" w:hAnsi="宋体" w:eastAsia="宋体" w:cs="宋体"/>
          <w:b/>
          <w:bCs/>
          <w:color w:val="auto"/>
          <w:sz w:val="28"/>
          <w:szCs w:val="28"/>
        </w:rPr>
        <w:t xml:space="preserve">技术规格偏离表</w:t>
      </w:r>
      <w:bookmarkEnd w:id="89"/>
      <w:r/>
      <w:r/>
    </w:p>
    <w:p>
      <w:pPr>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 w:val="24"/>
        </w:rPr>
        <w:t xml:space="preserve">                     </w:t>
      </w:r>
      <w:r/>
    </w:p>
    <w:tbl>
      <w:tblPr>
        <w:tblStyle w:val="890"/>
        <w:tblW w:w="8326" w:type="dxa"/>
        <w:jc w:val="center"/>
        <w:tblLayout w:type="fixed"/>
        <w:tblCellMar>
          <w:left w:w="0" w:type="dxa"/>
          <w:top w:w="0" w:type="dxa"/>
          <w:right w:w="0" w:type="dxa"/>
          <w:bottom w:w="0" w:type="dxa"/>
        </w:tblCellMar>
        <w:tblLook w:val="04A0" w:firstRow="1" w:lastRow="0" w:firstColumn="1" w:lastColumn="0" w:noHBand="0" w:noVBand="1"/>
      </w:tblPr>
      <w:tblGrid>
        <w:gridCol w:w="642"/>
        <w:gridCol w:w="1778"/>
        <w:gridCol w:w="2268"/>
        <w:gridCol w:w="678"/>
        <w:gridCol w:w="1448"/>
        <w:gridCol w:w="1512"/>
      </w:tblGrid>
      <w:tr>
        <w:trPr>
          <w:jc w:val="center"/>
          <w:trHeight w:val="284"/>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366" w:type="dxa"/>
            <w:vAlign w:val="center"/>
            <w:textDirection w:val="lrTb"/>
            <w:noWrap w:val="false"/>
          </w:tcPr>
          <w:p>
            <w:pP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2960" w:type="dxa"/>
            <w:vAlign w:val="center"/>
            <w:textDirection w:val="lrTb"/>
            <w:noWrap w:val="false"/>
          </w:tcPr>
          <w:p>
            <w:pP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项目编号;</w:t>
            </w:r>
            <w:r/>
          </w:p>
        </w:tc>
      </w:tr>
      <w:tr>
        <w:trPr>
          <w:jc w:val="center"/>
          <w:trHeight w:val="284"/>
        </w:trPr>
        <w:tc>
          <w:tcPr>
            <w:tcBorders>
              <w:top w:val="single" w:color="auto" w:sz="8" w:space="0"/>
              <w:left w:val="single" w:color="auto" w:sz="8" w:space="0"/>
              <w:bottom w:val="single" w:color="auto" w:sz="6" w:space="0"/>
              <w:right w:val="single" w:color="auto" w:sz="6"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序号</w:t>
            </w:r>
            <w:r/>
          </w:p>
        </w:tc>
        <w:tc>
          <w:tcPr>
            <w:tcBorders>
              <w:top w:val="single" w:color="auto" w:sz="8" w:space="0"/>
              <w:left w:val="single" w:color="auto" w:sz="6" w:space="0"/>
              <w:bottom w:val="single" w:color="auto" w:sz="6" w:space="0"/>
              <w:right w:val="single" w:color="auto" w:sz="6" w:space="0"/>
            </w:tcBorders>
            <w:tcMar>
              <w:left w:w="10" w:type="dxa"/>
              <w:top w:w="0" w:type="dxa"/>
              <w:right w:w="10" w:type="dxa"/>
              <w:bottom w:w="0" w:type="dxa"/>
            </w:tcMar>
            <w:tcW w:w="1778"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招标文件条目号</w:t>
            </w:r>
            <w:r/>
          </w:p>
        </w:tc>
        <w:tc>
          <w:tcPr>
            <w:tcBorders>
              <w:top w:val="single" w:color="auto" w:sz="8" w:space="0"/>
              <w:left w:val="single" w:color="auto" w:sz="6" w:space="0"/>
              <w:bottom w:val="single" w:color="auto" w:sz="6" w:space="0"/>
              <w:right w:val="single" w:color="auto" w:sz="6" w:space="0"/>
            </w:tcBorders>
            <w:tcMar>
              <w:left w:w="10" w:type="dxa"/>
              <w:top w:w="0" w:type="dxa"/>
              <w:right w:w="10" w:type="dxa"/>
              <w:bottom w:w="0" w:type="dxa"/>
            </w:tcMar>
            <w:tcW w:w="2268"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招标要求规格</w:t>
            </w:r>
            <w:r/>
          </w:p>
        </w:tc>
        <w:tc>
          <w:tcPr>
            <w:gridSpan w:val="2"/>
            <w:tcBorders>
              <w:top w:val="single" w:color="auto" w:sz="8" w:space="0"/>
              <w:left w:val="single" w:color="auto" w:sz="6" w:space="0"/>
              <w:bottom w:val="single" w:color="auto" w:sz="6" w:space="0"/>
              <w:right w:val="single" w:color="auto" w:sz="6" w:space="0"/>
            </w:tcBorders>
            <w:tcMar>
              <w:left w:w="10" w:type="dxa"/>
              <w:top w:w="0" w:type="dxa"/>
              <w:right w:w="10" w:type="dxa"/>
              <w:bottom w:w="0" w:type="dxa"/>
            </w:tcMar>
            <w:tcW w:w="2126"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投标响应</w:t>
            </w:r>
            <w:r/>
          </w:p>
        </w:tc>
        <w:tc>
          <w:tcPr>
            <w:tcBorders>
              <w:top w:val="single" w:color="auto" w:sz="8" w:space="0"/>
              <w:left w:val="single" w:color="auto" w:sz="6" w:space="0"/>
              <w:bottom w:val="single" w:color="auto" w:sz="6" w:space="0"/>
              <w:right w:val="single" w:color="auto" w:sz="8" w:space="0"/>
            </w:tcBorders>
            <w:tcMar>
              <w:left w:w="10" w:type="dxa"/>
              <w:top w:w="0" w:type="dxa"/>
              <w:right w:w="10" w:type="dxa"/>
              <w:bottom w:w="0" w:type="dxa"/>
            </w:tcMar>
            <w:tcW w:w="1512"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偏离</w:t>
            </w:r>
            <w:r/>
          </w:p>
        </w:tc>
      </w:tr>
      <w:tr>
        <w:trPr>
          <w:jc w:val="center"/>
          <w:trHeight w:val="284"/>
        </w:trPr>
        <w:tc>
          <w:tcPr>
            <w:tcBorders>
              <w:top w:val="single" w:color="auto" w:sz="6" w:space="0"/>
              <w:left w:val="single" w:color="auto" w:sz="8" w:space="0"/>
              <w:bottom w:val="single" w:color="auto" w:sz="6" w:space="0"/>
              <w:right w:val="single" w:color="auto" w:sz="6"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778"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268"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gridSpan w:val="2"/>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126"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tcBorders>
              <w:top w:val="single" w:color="auto" w:sz="6" w:space="0"/>
              <w:left w:val="single" w:color="auto" w:sz="6" w:space="0"/>
              <w:bottom w:val="single" w:color="auto" w:sz="6" w:space="0"/>
              <w:right w:val="single" w:color="auto" w:sz="8" w:space="0"/>
            </w:tcBorders>
            <w:tcMar>
              <w:left w:w="10" w:type="dxa"/>
              <w:top w:w="0" w:type="dxa"/>
              <w:right w:w="10" w:type="dxa"/>
              <w:bottom w:w="0" w:type="dxa"/>
            </w:tcMar>
            <w:tcW w:w="1512"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r>
      <w:tr>
        <w:trPr>
          <w:jc w:val="center"/>
          <w:trHeight w:val="284"/>
        </w:trPr>
        <w:tc>
          <w:tcPr>
            <w:tcBorders>
              <w:top w:val="single" w:color="auto" w:sz="6" w:space="0"/>
              <w:left w:val="single" w:color="auto" w:sz="8" w:space="0"/>
              <w:bottom w:val="single" w:color="auto" w:sz="6" w:space="0"/>
              <w:right w:val="single" w:color="auto" w:sz="6"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778"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268"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gridSpan w:val="2"/>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126"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tcBorders>
              <w:top w:val="single" w:color="auto" w:sz="6" w:space="0"/>
              <w:left w:val="single" w:color="auto" w:sz="6" w:space="0"/>
              <w:bottom w:val="single" w:color="auto" w:sz="6" w:space="0"/>
              <w:right w:val="single" w:color="auto" w:sz="8" w:space="0"/>
            </w:tcBorders>
            <w:tcMar>
              <w:left w:w="10" w:type="dxa"/>
              <w:top w:w="0" w:type="dxa"/>
              <w:right w:w="10" w:type="dxa"/>
              <w:bottom w:w="0" w:type="dxa"/>
            </w:tcMar>
            <w:tcW w:w="1512"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r>
      <w:tr>
        <w:trPr>
          <w:jc w:val="center"/>
          <w:trHeight w:val="284"/>
        </w:trPr>
        <w:tc>
          <w:tcPr>
            <w:tcBorders>
              <w:top w:val="single" w:color="auto" w:sz="6" w:space="0"/>
              <w:left w:val="single" w:color="auto" w:sz="8" w:space="0"/>
              <w:bottom w:val="single" w:color="auto" w:sz="8" w:space="0"/>
              <w:right w:val="single" w:color="auto" w:sz="6"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1778"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268"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gridSpan w:val="2"/>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126"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tcBorders>
              <w:top w:val="single" w:color="auto" w:sz="6" w:space="0"/>
              <w:left w:val="single" w:color="auto" w:sz="6" w:space="0"/>
              <w:bottom w:val="single" w:color="auto" w:sz="8" w:space="0"/>
              <w:right w:val="single" w:color="auto" w:sz="8" w:space="0"/>
            </w:tcBorders>
            <w:tcMar>
              <w:left w:w="10" w:type="dxa"/>
              <w:top w:w="0" w:type="dxa"/>
              <w:right w:w="10" w:type="dxa"/>
              <w:bottom w:w="0" w:type="dxa"/>
            </w:tcMar>
            <w:tcW w:w="1512"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r>
      <w:tr>
        <w:trPr>
          <w:jc w:val="center"/>
        </w:trPr>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642" w:type="dxa"/>
            <w:vAlign w:val="center"/>
            <w:textDirection w:val="lrTb"/>
            <w:noWrap w:val="false"/>
          </w:tcPr>
          <w:p>
            <w:pP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778" w:type="dxa"/>
            <w:vAlign w:val="center"/>
            <w:textDirection w:val="lrTb"/>
            <w:noWrap w:val="false"/>
          </w:tcPr>
          <w:p>
            <w:pP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2268" w:type="dxa"/>
            <w:vAlign w:val="center"/>
            <w:textDirection w:val="lrTb"/>
            <w:noWrap w:val="false"/>
          </w:tcPr>
          <w:p>
            <w:pP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678" w:type="dxa"/>
            <w:vAlign w:val="center"/>
            <w:textDirection w:val="lrTb"/>
            <w:noWrap w:val="false"/>
          </w:tcPr>
          <w:p>
            <w:pP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448" w:type="dxa"/>
            <w:vAlign w:val="center"/>
            <w:textDirection w:val="lrTb"/>
            <w:noWrap w:val="false"/>
          </w:tcPr>
          <w:p>
            <w:pP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512" w:type="dxa"/>
            <w:vAlign w:val="center"/>
            <w:textDirection w:val="lrTb"/>
            <w:noWrap w:val="false"/>
          </w:tcPr>
          <w:p>
            <w:pP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642" w:type="dxa"/>
            <w:vAlign w:val="center"/>
            <w:textDirection w:val="lrTb"/>
            <w:noWrap w:val="false"/>
          </w:tcPr>
          <w:p>
            <w:pPr>
              <w:spacing w:line="360" w:lineRule="auto"/>
              <w:widowControl/>
              <w:rPr>
                <w:rFonts w:hint="eastAsia" w:ascii="宋体" w:hAnsi="宋体" w:eastAsia="宋体" w:cs="宋体"/>
                <w:color w:val="auto"/>
                <w:sz w:val="2"/>
              </w:rPr>
            </w:pPr>
            <w:r>
              <w:rPr>
                <w:rFonts w:hint="eastAsia" w:ascii="宋体" w:hAnsi="宋体" w:eastAsia="宋体" w:cs="宋体"/>
                <w:color w:val="auto"/>
                <w:sz w:val="2"/>
              </w:rPr>
            </w:r>
            <w:r/>
          </w:p>
        </w:tc>
        <w:tc>
          <w:tcPr>
            <w:tcBorders>
              <w:top w:val="none" w:color="000000" w:sz="4" w:space="0"/>
              <w:left w:val="none" w:color="000000" w:sz="4" w:space="0"/>
              <w:bottom w:val="none" w:color="000000" w:sz="4" w:space="0"/>
              <w:right w:val="none" w:color="000000" w:sz="4" w:space="0"/>
            </w:tcBorders>
            <w:tcW w:w="1778" w:type="dxa"/>
            <w:vAlign w:val="center"/>
            <w:textDirection w:val="lrTb"/>
            <w:noWrap w:val="false"/>
          </w:tcPr>
          <w:p>
            <w:pPr>
              <w:spacing w:line="360" w:lineRule="auto"/>
              <w:widowControl/>
              <w:rPr>
                <w:rFonts w:hint="eastAsia" w:ascii="宋体" w:hAnsi="宋体" w:eastAsia="宋体" w:cs="宋体"/>
                <w:color w:val="auto"/>
                <w:sz w:val="2"/>
              </w:rPr>
            </w:pPr>
            <w:r>
              <w:rPr>
                <w:rFonts w:hint="eastAsia" w:ascii="宋体" w:hAnsi="宋体" w:eastAsia="宋体" w:cs="宋体"/>
                <w:color w:val="auto"/>
                <w:sz w:val="2"/>
              </w:rPr>
            </w:r>
            <w:r/>
          </w:p>
        </w:tc>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spacing w:line="360" w:lineRule="auto"/>
              <w:widowControl/>
              <w:rPr>
                <w:rFonts w:hint="eastAsia" w:ascii="宋体" w:hAnsi="宋体" w:eastAsia="宋体" w:cs="宋体"/>
                <w:color w:val="auto"/>
                <w:sz w:val="2"/>
              </w:rPr>
            </w:pPr>
            <w:r>
              <w:rPr>
                <w:rFonts w:hint="eastAsia" w:ascii="宋体" w:hAnsi="宋体" w:eastAsia="宋体" w:cs="宋体"/>
                <w:color w:val="auto"/>
                <w:sz w:val="2"/>
              </w:rPr>
            </w:r>
            <w:r/>
          </w:p>
        </w:tc>
        <w:tc>
          <w:tcPr>
            <w:tcBorders>
              <w:top w:val="none" w:color="000000" w:sz="4" w:space="0"/>
              <w:left w:val="none" w:color="000000" w:sz="4" w:space="0"/>
              <w:bottom w:val="none" w:color="000000" w:sz="4" w:space="0"/>
              <w:right w:val="none" w:color="000000" w:sz="4" w:space="0"/>
            </w:tcBorders>
            <w:tcW w:w="678" w:type="dxa"/>
            <w:vAlign w:val="center"/>
            <w:textDirection w:val="lrTb"/>
            <w:noWrap w:val="false"/>
          </w:tcPr>
          <w:p>
            <w:pPr>
              <w:spacing w:line="360" w:lineRule="auto"/>
              <w:widowControl/>
              <w:rPr>
                <w:rFonts w:hint="eastAsia" w:ascii="宋体" w:hAnsi="宋体" w:eastAsia="宋体" w:cs="宋体"/>
                <w:color w:val="auto"/>
                <w:sz w:val="2"/>
              </w:rPr>
            </w:pPr>
            <w:r>
              <w:rPr>
                <w:rFonts w:hint="eastAsia" w:ascii="宋体" w:hAnsi="宋体" w:eastAsia="宋体" w:cs="宋体"/>
                <w:color w:val="auto"/>
                <w:sz w:val="2"/>
              </w:rPr>
            </w:r>
            <w:r/>
          </w:p>
        </w:tc>
        <w:tc>
          <w:tcPr>
            <w:tcBorders>
              <w:top w:val="none" w:color="000000" w:sz="4" w:space="0"/>
              <w:left w:val="none" w:color="000000" w:sz="4" w:space="0"/>
              <w:bottom w:val="none" w:color="000000" w:sz="4" w:space="0"/>
              <w:right w:val="none" w:color="000000" w:sz="4" w:space="0"/>
            </w:tcBorders>
            <w:tcW w:w="1448" w:type="dxa"/>
            <w:vAlign w:val="center"/>
            <w:textDirection w:val="lrTb"/>
            <w:noWrap w:val="false"/>
          </w:tcPr>
          <w:p>
            <w:pPr>
              <w:spacing w:line="360" w:lineRule="auto"/>
              <w:widowControl/>
              <w:rPr>
                <w:rFonts w:hint="eastAsia" w:ascii="宋体" w:hAnsi="宋体" w:eastAsia="宋体" w:cs="宋体"/>
                <w:color w:val="auto"/>
                <w:sz w:val="2"/>
              </w:rPr>
            </w:pPr>
            <w:r>
              <w:rPr>
                <w:rFonts w:hint="eastAsia" w:ascii="宋体" w:hAnsi="宋体" w:eastAsia="宋体" w:cs="宋体"/>
                <w:color w:val="auto"/>
                <w:sz w:val="2"/>
              </w:rPr>
            </w:r>
            <w:r/>
          </w:p>
        </w:tc>
        <w:tc>
          <w:tcPr>
            <w:tcBorders>
              <w:top w:val="none" w:color="000000" w:sz="4" w:space="0"/>
              <w:left w:val="none" w:color="000000" w:sz="4" w:space="0"/>
              <w:bottom w:val="none" w:color="000000" w:sz="4" w:space="0"/>
              <w:right w:val="none" w:color="000000" w:sz="4" w:space="0"/>
            </w:tcBorders>
            <w:tcW w:w="1512" w:type="dxa"/>
            <w:vAlign w:val="center"/>
            <w:textDirection w:val="lrTb"/>
            <w:noWrap w:val="false"/>
          </w:tcPr>
          <w:p>
            <w:pPr>
              <w:spacing w:line="360" w:lineRule="auto"/>
              <w:widowControl/>
              <w:rPr>
                <w:rFonts w:hint="eastAsia" w:ascii="宋体" w:hAnsi="宋体" w:eastAsia="宋体" w:cs="宋体"/>
                <w:color w:val="auto"/>
                <w:sz w:val="2"/>
              </w:rPr>
            </w:pPr>
            <w:r>
              <w:rPr>
                <w:rFonts w:hint="eastAsia" w:ascii="宋体" w:hAnsi="宋体" w:eastAsia="宋体" w:cs="宋体"/>
                <w:color w:val="auto"/>
                <w:sz w:val="2"/>
              </w:rPr>
            </w:r>
            <w:r/>
          </w:p>
        </w:tc>
      </w:tr>
    </w:tbl>
    <w:p>
      <w:pPr>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说明：</w:t>
      </w:r>
      <w:r/>
    </w:p>
    <w:p>
      <w:pPr>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如果行数不够，请自行增加。</w:t>
      </w:r>
      <w:r/>
    </w:p>
    <w:p>
      <w:pPr>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投标人名称：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（盖章）</w:t>
      </w:r>
      <w:r/>
    </w:p>
    <w:p>
      <w:pPr>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p>
      <w:pPr>
        <w:pStyle w:val="939"/>
        <w:ind w:firstLine="210"/>
        <w:rPr>
          <w:rFonts w:hint="eastAsia" w:ascii="宋体" w:hAnsi="宋体" w:eastAsia="宋体" w:cs="宋体"/>
          <w:color w:val="auto"/>
          <w:lang w:eastAsia="zh-CN"/>
        </w:rPr>
      </w:pPr>
      <w:r>
        <w:rPr>
          <w:rFonts w:hint="eastAsia" w:ascii="宋体" w:hAnsi="宋体" w:eastAsia="宋体" w:cs="宋体"/>
          <w:color w:val="auto"/>
          <w:lang w:eastAsia="zh-CN"/>
        </w:rPr>
      </w:r>
      <w:r/>
    </w:p>
    <w:p>
      <w:pPr>
        <w:rPr>
          <w:rFonts w:hint="eastAsia" w:ascii="宋体" w:hAnsi="宋体" w:eastAsia="宋体" w:cs="宋体"/>
          <w:color w:val="auto"/>
          <w:sz w:val="22"/>
          <w:lang w:val="zh-CN"/>
        </w:rPr>
      </w:pPr>
      <w:r/>
      <w:bookmarkStart w:id="90" w:name="_Toc481604684"/>
      <w:r/>
      <w:bookmarkStart w:id="91" w:name="_Toc2435"/>
      <w:r/>
      <w:bookmarkStart w:id="92" w:name="_Toc5434"/>
      <w:r>
        <w:rPr>
          <w:rFonts w:hint="eastAsia" w:ascii="宋体" w:hAnsi="宋体" w:eastAsia="宋体" w:cs="宋体"/>
          <w:color w:val="auto"/>
          <w:sz w:val="22"/>
          <w:lang w:val="zh-CN"/>
        </w:rPr>
        <w:br w:type="page" w:clear="all"/>
      </w:r>
      <w:r/>
    </w:p>
    <w:p>
      <w:pPr>
        <w:pStyle w:val="881"/>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r>
      <w:r/>
    </w:p>
    <w:p>
      <w:pPr>
        <w:pStyle w:val="881"/>
        <w:rPr>
          <w:rFonts w:hint="eastAsia" w:ascii="宋体" w:hAnsi="宋体" w:eastAsia="宋体" w:cs="宋体"/>
          <w:color w:val="auto"/>
          <w:sz w:val="22"/>
          <w:szCs w:val="22"/>
        </w:rPr>
      </w:pPr>
      <w:r/>
      <w:bookmarkStart w:id="93" w:name="_Toc24106"/>
      <w:r>
        <w:rPr>
          <w:rFonts w:hint="eastAsia" w:ascii="宋体" w:hAnsi="宋体" w:eastAsia="宋体" w:cs="宋体"/>
          <w:color w:val="auto"/>
          <w:sz w:val="22"/>
          <w:szCs w:val="22"/>
          <w:lang w:val="zh-CN"/>
        </w:rPr>
        <w:t xml:space="preserve">目录六、商务条款偏离表格式</w:t>
      </w:r>
      <w:bookmarkEnd w:id="90"/>
      <w:r/>
      <w:bookmarkEnd w:id="91"/>
      <w:r/>
      <w:bookmarkEnd w:id="92"/>
      <w:r/>
      <w:bookmarkEnd w:id="93"/>
      <w:r/>
      <w:r/>
    </w:p>
    <w:p>
      <w:pPr>
        <w:ind w:left="420"/>
        <w:jc w:val="center"/>
        <w:spacing w:line="360" w:lineRule="auto"/>
        <w:shd w:val="clear" w:color="auto" w:fill="ffffff"/>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商务条款偏离表 </w:t>
      </w:r>
      <w:r/>
    </w:p>
    <w:tbl>
      <w:tblPr>
        <w:tblStyle w:val="890"/>
        <w:tblW w:w="8326" w:type="dxa"/>
        <w:jc w:val="center"/>
        <w:tblLayout w:type="fixed"/>
        <w:tblCellMar>
          <w:left w:w="0" w:type="dxa"/>
          <w:top w:w="0" w:type="dxa"/>
          <w:right w:w="0" w:type="dxa"/>
          <w:bottom w:w="0" w:type="dxa"/>
        </w:tblCellMar>
        <w:tblLook w:val="04A0" w:firstRow="1" w:lastRow="0" w:firstColumn="1" w:lastColumn="0" w:noHBand="0" w:noVBand="1"/>
      </w:tblPr>
      <w:tblGrid>
        <w:gridCol w:w="719"/>
        <w:gridCol w:w="1701"/>
        <w:gridCol w:w="2268"/>
        <w:gridCol w:w="678"/>
        <w:gridCol w:w="1448"/>
        <w:gridCol w:w="1512"/>
      </w:tblGrid>
      <w:tr>
        <w:trPr>
          <w:jc w:val="center"/>
          <w:trHeight w:val="284"/>
          <w:tblHeader/>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366" w:type="dxa"/>
            <w:vAlign w:val="center"/>
            <w:textDirection w:val="lrTb"/>
            <w:noWrap w:val="false"/>
          </w:tcPr>
          <w:p>
            <w:pP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2960" w:type="dxa"/>
            <w:vAlign w:val="center"/>
            <w:textDirection w:val="lrTb"/>
            <w:noWrap w:val="false"/>
          </w:tcPr>
          <w:p>
            <w:pP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项目编号：</w:t>
            </w:r>
            <w:r/>
          </w:p>
        </w:tc>
      </w:tr>
      <w:tr>
        <w:trPr>
          <w:jc w:val="center"/>
          <w:trHeight w:val="284"/>
        </w:trPr>
        <w:tc>
          <w:tcPr>
            <w:tcBorders>
              <w:top w:val="single" w:color="auto" w:sz="8" w:space="0"/>
              <w:left w:val="single" w:color="auto" w:sz="8" w:space="0"/>
              <w:bottom w:val="single" w:color="auto" w:sz="6" w:space="0"/>
              <w:right w:val="single" w:color="auto" w:sz="6" w:space="0"/>
            </w:tcBorders>
            <w:tcMar>
              <w:left w:w="10" w:type="dxa"/>
              <w:top w:w="0" w:type="dxa"/>
              <w:right w:w="10" w:type="dxa"/>
              <w:bottom w:w="0" w:type="dxa"/>
            </w:tcMar>
            <w:tcW w:w="719"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序号</w:t>
            </w:r>
            <w:r/>
          </w:p>
        </w:tc>
        <w:tc>
          <w:tcPr>
            <w:tcBorders>
              <w:top w:val="single" w:color="auto" w:sz="8" w:space="0"/>
              <w:left w:val="single" w:color="auto" w:sz="6" w:space="0"/>
              <w:bottom w:val="single" w:color="auto" w:sz="6" w:space="0"/>
              <w:right w:val="single" w:color="auto" w:sz="6" w:space="0"/>
            </w:tcBorders>
            <w:tcMar>
              <w:left w:w="10" w:type="dxa"/>
              <w:top w:w="0" w:type="dxa"/>
              <w:right w:w="10" w:type="dxa"/>
              <w:bottom w:w="0" w:type="dxa"/>
            </w:tcMar>
            <w:tcW w:w="1701"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招标文件条目号</w:t>
            </w:r>
            <w:r/>
          </w:p>
        </w:tc>
        <w:tc>
          <w:tcPr>
            <w:tcBorders>
              <w:top w:val="single" w:color="auto" w:sz="8" w:space="0"/>
              <w:left w:val="single" w:color="auto" w:sz="6" w:space="0"/>
              <w:bottom w:val="single" w:color="auto" w:sz="6" w:space="0"/>
              <w:right w:val="single" w:color="auto" w:sz="6" w:space="0"/>
            </w:tcBorders>
            <w:tcMar>
              <w:left w:w="10" w:type="dxa"/>
              <w:top w:w="0" w:type="dxa"/>
              <w:right w:w="10" w:type="dxa"/>
              <w:bottom w:w="0" w:type="dxa"/>
            </w:tcMar>
            <w:tcW w:w="2268"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招标文件要求的商务条款</w:t>
            </w:r>
            <w:r/>
          </w:p>
        </w:tc>
        <w:tc>
          <w:tcPr>
            <w:gridSpan w:val="2"/>
            <w:tcBorders>
              <w:top w:val="single" w:color="auto" w:sz="8" w:space="0"/>
              <w:left w:val="single" w:color="auto" w:sz="6" w:space="0"/>
              <w:bottom w:val="single" w:color="auto" w:sz="6" w:space="0"/>
              <w:right w:val="single" w:color="auto" w:sz="6" w:space="0"/>
            </w:tcBorders>
            <w:tcMar>
              <w:left w:w="10" w:type="dxa"/>
              <w:top w:w="0" w:type="dxa"/>
              <w:right w:w="10" w:type="dxa"/>
              <w:bottom w:w="0" w:type="dxa"/>
            </w:tcMar>
            <w:tcW w:w="2126"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投标响应</w:t>
            </w:r>
            <w:r/>
          </w:p>
        </w:tc>
        <w:tc>
          <w:tcPr>
            <w:tcBorders>
              <w:top w:val="single" w:color="auto" w:sz="8" w:space="0"/>
              <w:left w:val="single" w:color="auto" w:sz="6" w:space="0"/>
              <w:bottom w:val="single" w:color="auto" w:sz="6" w:space="0"/>
              <w:right w:val="single" w:color="auto" w:sz="8" w:space="0"/>
            </w:tcBorders>
            <w:tcMar>
              <w:left w:w="10" w:type="dxa"/>
              <w:top w:w="0" w:type="dxa"/>
              <w:right w:w="10" w:type="dxa"/>
              <w:bottom w:w="0" w:type="dxa"/>
            </w:tcMar>
            <w:tcW w:w="1512"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偏离</w:t>
            </w:r>
            <w:r/>
          </w:p>
        </w:tc>
      </w:tr>
      <w:tr>
        <w:trPr>
          <w:jc w:val="center"/>
          <w:trHeight w:val="284"/>
        </w:trPr>
        <w:tc>
          <w:tcPr>
            <w:tcBorders>
              <w:top w:val="single" w:color="auto" w:sz="6" w:space="0"/>
              <w:left w:val="single" w:color="auto" w:sz="8" w:space="0"/>
              <w:bottom w:val="single" w:color="auto" w:sz="6" w:space="0"/>
              <w:right w:val="single" w:color="auto" w:sz="6" w:space="0"/>
            </w:tcBorders>
            <w:tcMar>
              <w:left w:w="10" w:type="dxa"/>
              <w:top w:w="0" w:type="dxa"/>
              <w:right w:w="10" w:type="dxa"/>
              <w:bottom w:w="0" w:type="dxa"/>
            </w:tcMar>
            <w:tcW w:w="719"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701"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268"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gridSpan w:val="2"/>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126"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tcBorders>
              <w:top w:val="single" w:color="auto" w:sz="6" w:space="0"/>
              <w:left w:val="single" w:color="auto" w:sz="6" w:space="0"/>
              <w:bottom w:val="single" w:color="auto" w:sz="6" w:space="0"/>
              <w:right w:val="single" w:color="auto" w:sz="8" w:space="0"/>
            </w:tcBorders>
            <w:tcMar>
              <w:left w:w="10" w:type="dxa"/>
              <w:top w:w="0" w:type="dxa"/>
              <w:right w:w="10" w:type="dxa"/>
              <w:bottom w:w="0" w:type="dxa"/>
            </w:tcMar>
            <w:tcW w:w="1512"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r>
      <w:tr>
        <w:trPr>
          <w:jc w:val="center"/>
          <w:trHeight w:val="284"/>
        </w:trPr>
        <w:tc>
          <w:tcPr>
            <w:tcBorders>
              <w:top w:val="single" w:color="auto" w:sz="6" w:space="0"/>
              <w:left w:val="single" w:color="auto" w:sz="8" w:space="0"/>
              <w:bottom w:val="single" w:color="auto" w:sz="6" w:space="0"/>
              <w:right w:val="single" w:color="auto" w:sz="6" w:space="0"/>
            </w:tcBorders>
            <w:tcMar>
              <w:left w:w="10" w:type="dxa"/>
              <w:top w:w="0" w:type="dxa"/>
              <w:right w:w="10" w:type="dxa"/>
              <w:bottom w:w="0" w:type="dxa"/>
            </w:tcMar>
            <w:tcW w:w="719"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701"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268"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gridSpan w:val="2"/>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126"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tcBorders>
              <w:top w:val="single" w:color="auto" w:sz="6" w:space="0"/>
              <w:left w:val="single" w:color="auto" w:sz="6" w:space="0"/>
              <w:bottom w:val="single" w:color="auto" w:sz="6" w:space="0"/>
              <w:right w:val="single" w:color="auto" w:sz="8" w:space="0"/>
            </w:tcBorders>
            <w:tcMar>
              <w:left w:w="10" w:type="dxa"/>
              <w:top w:w="0" w:type="dxa"/>
              <w:right w:w="10" w:type="dxa"/>
              <w:bottom w:w="0" w:type="dxa"/>
            </w:tcMar>
            <w:tcW w:w="1512"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r>
      <w:tr>
        <w:trPr>
          <w:jc w:val="center"/>
          <w:trHeight w:val="284"/>
        </w:trPr>
        <w:tc>
          <w:tcPr>
            <w:tcBorders>
              <w:top w:val="single" w:color="auto" w:sz="6" w:space="0"/>
              <w:left w:val="single" w:color="auto" w:sz="8" w:space="0"/>
              <w:bottom w:val="single" w:color="auto" w:sz="6" w:space="0"/>
              <w:right w:val="single" w:color="auto" w:sz="6" w:space="0"/>
            </w:tcBorders>
            <w:tcMar>
              <w:left w:w="10" w:type="dxa"/>
              <w:top w:w="0" w:type="dxa"/>
              <w:right w:w="10" w:type="dxa"/>
              <w:bottom w:w="0" w:type="dxa"/>
            </w:tcMar>
            <w:tcW w:w="719"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701"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268"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gridSpan w:val="2"/>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126"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c>
          <w:tcPr>
            <w:tcBorders>
              <w:top w:val="single" w:color="auto" w:sz="6" w:space="0"/>
              <w:left w:val="single" w:color="auto" w:sz="6" w:space="0"/>
              <w:bottom w:val="single" w:color="auto" w:sz="6" w:space="0"/>
              <w:right w:val="single" w:color="auto" w:sz="8" w:space="0"/>
            </w:tcBorders>
            <w:tcMar>
              <w:left w:w="10" w:type="dxa"/>
              <w:top w:w="0" w:type="dxa"/>
              <w:right w:w="10" w:type="dxa"/>
              <w:bottom w:w="0" w:type="dxa"/>
            </w:tcMar>
            <w:tcW w:w="1512"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719" w:type="dxa"/>
            <w:vAlign w:val="center"/>
            <w:textDirection w:val="lrTb"/>
            <w:noWrap w:val="false"/>
          </w:tcPr>
          <w:p>
            <w:pPr>
              <w:spacing w:line="360" w:lineRule="auto"/>
              <w:widowControl/>
              <w:rPr>
                <w:rFonts w:hint="eastAsia" w:ascii="宋体" w:hAnsi="宋体" w:eastAsia="宋体" w:cs="宋体"/>
                <w:color w:val="auto"/>
                <w:sz w:val="2"/>
              </w:rPr>
            </w:pPr>
            <w:r>
              <w:rPr>
                <w:rFonts w:hint="eastAsia" w:ascii="宋体" w:hAnsi="宋体" w:eastAsia="宋体" w:cs="宋体"/>
                <w:color w:val="auto"/>
                <w:sz w:val="2"/>
              </w:rPr>
            </w:r>
            <w:r/>
          </w:p>
        </w:tc>
        <w:tc>
          <w:tcPr>
            <w:tcBorders>
              <w:top w:val="none" w:color="000000" w:sz="4" w:space="0"/>
              <w:left w:val="none" w:color="000000" w:sz="4" w:space="0"/>
              <w:bottom w:val="none" w:color="000000" w:sz="4" w:space="0"/>
              <w:right w:val="none" w:color="000000" w:sz="4" w:space="0"/>
            </w:tcBorders>
            <w:tcW w:w="1701" w:type="dxa"/>
            <w:vAlign w:val="center"/>
            <w:textDirection w:val="lrTb"/>
            <w:noWrap w:val="false"/>
          </w:tcPr>
          <w:p>
            <w:pPr>
              <w:spacing w:line="360" w:lineRule="auto"/>
              <w:widowControl/>
              <w:rPr>
                <w:rFonts w:hint="eastAsia" w:ascii="宋体" w:hAnsi="宋体" w:eastAsia="宋体" w:cs="宋体"/>
                <w:color w:val="auto"/>
                <w:sz w:val="2"/>
              </w:rPr>
            </w:pPr>
            <w:r>
              <w:rPr>
                <w:rFonts w:hint="eastAsia" w:ascii="宋体" w:hAnsi="宋体" w:eastAsia="宋体" w:cs="宋体"/>
                <w:color w:val="auto"/>
                <w:sz w:val="2"/>
              </w:rPr>
            </w:r>
            <w:r/>
          </w:p>
        </w:tc>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spacing w:line="360" w:lineRule="auto"/>
              <w:widowControl/>
              <w:rPr>
                <w:rFonts w:hint="eastAsia" w:ascii="宋体" w:hAnsi="宋体" w:eastAsia="宋体" w:cs="宋体"/>
                <w:color w:val="auto"/>
                <w:sz w:val="2"/>
              </w:rPr>
            </w:pPr>
            <w:r>
              <w:rPr>
                <w:rFonts w:hint="eastAsia" w:ascii="宋体" w:hAnsi="宋体" w:eastAsia="宋体" w:cs="宋体"/>
                <w:color w:val="auto"/>
                <w:sz w:val="2"/>
              </w:rPr>
            </w:r>
            <w:r/>
          </w:p>
        </w:tc>
        <w:tc>
          <w:tcPr>
            <w:tcBorders>
              <w:top w:val="none" w:color="000000" w:sz="4" w:space="0"/>
              <w:left w:val="none" w:color="000000" w:sz="4" w:space="0"/>
              <w:bottom w:val="none" w:color="000000" w:sz="4" w:space="0"/>
              <w:right w:val="none" w:color="000000" w:sz="4" w:space="0"/>
            </w:tcBorders>
            <w:tcW w:w="678" w:type="dxa"/>
            <w:vAlign w:val="center"/>
            <w:textDirection w:val="lrTb"/>
            <w:noWrap w:val="false"/>
          </w:tcPr>
          <w:p>
            <w:pPr>
              <w:spacing w:line="360" w:lineRule="auto"/>
              <w:widowControl/>
              <w:rPr>
                <w:rFonts w:hint="eastAsia" w:ascii="宋体" w:hAnsi="宋体" w:eastAsia="宋体" w:cs="宋体"/>
                <w:color w:val="auto"/>
                <w:sz w:val="2"/>
              </w:rPr>
            </w:pPr>
            <w:r>
              <w:rPr>
                <w:rFonts w:hint="eastAsia" w:ascii="宋体" w:hAnsi="宋体" w:eastAsia="宋体" w:cs="宋体"/>
                <w:color w:val="auto"/>
                <w:sz w:val="2"/>
              </w:rPr>
            </w:r>
            <w:r/>
          </w:p>
        </w:tc>
        <w:tc>
          <w:tcPr>
            <w:tcBorders>
              <w:top w:val="none" w:color="000000" w:sz="4" w:space="0"/>
              <w:left w:val="none" w:color="000000" w:sz="4" w:space="0"/>
              <w:bottom w:val="none" w:color="000000" w:sz="4" w:space="0"/>
              <w:right w:val="none" w:color="000000" w:sz="4" w:space="0"/>
            </w:tcBorders>
            <w:tcW w:w="1448" w:type="dxa"/>
            <w:vAlign w:val="center"/>
            <w:textDirection w:val="lrTb"/>
            <w:noWrap w:val="false"/>
          </w:tcPr>
          <w:p>
            <w:pPr>
              <w:spacing w:line="360" w:lineRule="auto"/>
              <w:widowControl/>
              <w:rPr>
                <w:rFonts w:hint="eastAsia" w:ascii="宋体" w:hAnsi="宋体" w:eastAsia="宋体" w:cs="宋体"/>
                <w:color w:val="auto"/>
                <w:sz w:val="2"/>
              </w:rPr>
            </w:pPr>
            <w:r>
              <w:rPr>
                <w:rFonts w:hint="eastAsia" w:ascii="宋体" w:hAnsi="宋体" w:eastAsia="宋体" w:cs="宋体"/>
                <w:color w:val="auto"/>
                <w:sz w:val="2"/>
              </w:rPr>
            </w:r>
            <w:r/>
          </w:p>
        </w:tc>
        <w:tc>
          <w:tcPr>
            <w:tcBorders>
              <w:top w:val="none" w:color="000000" w:sz="4" w:space="0"/>
              <w:left w:val="none" w:color="000000" w:sz="4" w:space="0"/>
              <w:bottom w:val="none" w:color="000000" w:sz="4" w:space="0"/>
              <w:right w:val="none" w:color="000000" w:sz="4" w:space="0"/>
            </w:tcBorders>
            <w:tcW w:w="1512" w:type="dxa"/>
            <w:vAlign w:val="center"/>
            <w:textDirection w:val="lrTb"/>
            <w:noWrap w:val="false"/>
          </w:tcPr>
          <w:p>
            <w:pPr>
              <w:spacing w:line="360" w:lineRule="auto"/>
              <w:widowControl/>
              <w:rPr>
                <w:rFonts w:hint="eastAsia" w:ascii="宋体" w:hAnsi="宋体" w:eastAsia="宋体" w:cs="宋体"/>
                <w:color w:val="auto"/>
                <w:sz w:val="2"/>
              </w:rPr>
            </w:pPr>
            <w:r>
              <w:rPr>
                <w:rFonts w:hint="eastAsia" w:ascii="宋体" w:hAnsi="宋体" w:eastAsia="宋体" w:cs="宋体"/>
                <w:color w:val="auto"/>
                <w:sz w:val="2"/>
              </w:rPr>
            </w:r>
            <w:r/>
          </w:p>
        </w:tc>
      </w:tr>
    </w:tbl>
    <w:p>
      <w:pPr>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说明：如果行数不够，请自行增加。</w:t>
      </w:r>
      <w:r/>
    </w:p>
    <w:p>
      <w:pPr>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投标人名称：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（盖章）</w:t>
      </w:r>
      <w:r/>
    </w:p>
    <w:p>
      <w:pPr>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r>
      <w:r/>
    </w:p>
    <w:p>
      <w:pPr>
        <w:pStyle w:val="881"/>
        <w:rPr>
          <w:rFonts w:hint="eastAsia" w:ascii="宋体" w:hAnsi="宋体" w:eastAsia="宋体" w:cs="宋体"/>
          <w:color w:val="auto"/>
          <w:sz w:val="24"/>
          <w:lang w:val="zh-CN"/>
        </w:rPr>
      </w:pPr>
      <w:r/>
      <w:bookmarkStart w:id="94" w:name="_Toc7467"/>
      <w:r/>
      <w:bookmarkStart w:id="95" w:name="_Toc481604687"/>
      <w:r/>
      <w:r/>
    </w:p>
    <w:p>
      <w:pPr>
        <w:rPr>
          <w:rFonts w:hint="eastAsia" w:ascii="宋体" w:hAnsi="宋体" w:eastAsia="宋体" w:cs="宋体"/>
          <w:color w:val="auto"/>
          <w:sz w:val="22"/>
          <w:lang w:val="zh-CN"/>
        </w:rPr>
      </w:pPr>
      <w:r/>
      <w:bookmarkStart w:id="96" w:name="_Toc28487"/>
      <w:r>
        <w:rPr>
          <w:rFonts w:hint="eastAsia" w:ascii="宋体" w:hAnsi="宋体" w:eastAsia="宋体" w:cs="宋体"/>
          <w:color w:val="auto"/>
          <w:sz w:val="22"/>
          <w:lang w:val="zh-CN"/>
        </w:rPr>
        <w:br w:type="page" w:clear="all"/>
      </w:r>
      <w:r/>
    </w:p>
    <w:p>
      <w:pPr>
        <w:pStyle w:val="881"/>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r>
      <w:r/>
    </w:p>
    <w:p>
      <w:pPr>
        <w:pStyle w:val="881"/>
        <w:rPr>
          <w:rFonts w:hint="eastAsia" w:ascii="宋体" w:hAnsi="宋体" w:eastAsia="宋体" w:cs="宋体"/>
          <w:color w:val="auto"/>
          <w:sz w:val="22"/>
          <w:szCs w:val="22"/>
        </w:rPr>
      </w:pPr>
      <w:r/>
      <w:bookmarkStart w:id="97" w:name="_Toc16487"/>
      <w:r>
        <w:rPr>
          <w:rFonts w:hint="eastAsia" w:ascii="宋体" w:hAnsi="宋体" w:eastAsia="宋体" w:cs="宋体"/>
          <w:color w:val="auto"/>
          <w:sz w:val="22"/>
          <w:szCs w:val="22"/>
          <w:lang w:val="zh-CN"/>
        </w:rPr>
        <w:t xml:space="preserve">目录</w:t>
      </w:r>
      <w:r>
        <w:rPr>
          <w:rFonts w:hint="eastAsia" w:ascii="宋体" w:hAnsi="宋体" w:eastAsia="宋体" w:cs="宋体"/>
          <w:color w:val="auto"/>
          <w:sz w:val="22"/>
          <w:szCs w:val="22"/>
        </w:rPr>
        <w:t xml:space="preserve">七</w:t>
      </w:r>
      <w:r>
        <w:rPr>
          <w:rFonts w:hint="eastAsia" w:ascii="宋体" w:hAnsi="宋体" w:eastAsia="宋体" w:cs="宋体"/>
          <w:color w:val="auto"/>
          <w:sz w:val="22"/>
          <w:szCs w:val="22"/>
          <w:lang w:val="zh-CN"/>
        </w:rPr>
        <w:t xml:space="preserve">、投标人拟投入本项目服务人员一览表</w:t>
      </w:r>
      <w:bookmarkEnd w:id="94"/>
      <w:r/>
      <w:bookmarkEnd w:id="95"/>
      <w:r/>
      <w:bookmarkEnd w:id="96"/>
      <w:r/>
      <w:bookmarkEnd w:id="97"/>
      <w:r/>
      <w:r/>
    </w:p>
    <w:p>
      <w:pPr>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p>
      <w:pPr>
        <w:ind w:left="420"/>
        <w:jc w:val="center"/>
        <w:spacing w:line="360" w:lineRule="auto"/>
        <w:shd w:val="clear" w:color="auto" w:fill="ffffff"/>
        <w:widowControl/>
        <w:rPr>
          <w:rFonts w:hint="eastAsia" w:ascii="宋体" w:hAnsi="宋体" w:eastAsia="宋体" w:cs="宋体"/>
          <w:b/>
          <w:bCs/>
          <w:color w:val="auto"/>
          <w:sz w:val="28"/>
          <w:szCs w:val="28"/>
        </w:rPr>
        <w:outlineLvl w:val="0"/>
      </w:pPr>
      <w:r/>
      <w:bookmarkStart w:id="98" w:name="_Toc383"/>
      <w:r/>
      <w:bookmarkStart w:id="99" w:name="_Toc21829"/>
      <w:r>
        <w:rPr>
          <w:rFonts w:hint="eastAsia" w:ascii="宋体" w:hAnsi="宋体" w:eastAsia="宋体" w:cs="宋体"/>
          <w:b/>
          <w:bCs/>
          <w:color w:val="auto"/>
          <w:sz w:val="28"/>
          <w:szCs w:val="28"/>
        </w:rPr>
        <w:t xml:space="preserve">拟投入本项目人员一览表</w:t>
      </w:r>
      <w:bookmarkEnd w:id="98"/>
      <w:r/>
      <w:bookmarkEnd w:id="99"/>
      <w:r/>
      <w:r/>
    </w:p>
    <w:p>
      <w:pPr>
        <w:rPr>
          <w:rFonts w:hint="eastAsia" w:ascii="宋体" w:hAnsi="宋体" w:eastAsia="宋体" w:cs="宋体"/>
          <w:color w:val="auto"/>
          <w:szCs w:val="21"/>
        </w:rPr>
      </w:pPr>
      <w:r>
        <w:rPr>
          <w:rFonts w:hint="eastAsia" w:ascii="宋体" w:hAnsi="宋体" w:eastAsia="宋体" w:cs="宋体"/>
          <w:color w:val="auto"/>
          <w:szCs w:val="21"/>
        </w:rPr>
        <w:t xml:space="preserve">项目名称：</w:t>
      </w:r>
      <w:r/>
    </w:p>
    <w:p>
      <w:pPr>
        <w:rPr>
          <w:rFonts w:hint="eastAsia" w:ascii="宋体" w:hAnsi="宋体" w:eastAsia="宋体" w:cs="宋体"/>
          <w:color w:val="auto"/>
          <w:szCs w:val="21"/>
        </w:rPr>
      </w:pPr>
      <w:r>
        <w:rPr>
          <w:rFonts w:hint="eastAsia" w:ascii="宋体" w:hAnsi="宋体" w:eastAsia="宋体" w:cs="宋体"/>
          <w:color w:val="auto"/>
          <w:szCs w:val="21"/>
        </w:rPr>
        <w:t xml:space="preserve">项目编号：</w:t>
      </w:r>
      <w:r/>
    </w:p>
    <w:tbl>
      <w:tblPr>
        <w:tblStyle w:val="890"/>
        <w:tblW w:w="8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1"/>
        <w:gridCol w:w="528"/>
        <w:gridCol w:w="791"/>
        <w:gridCol w:w="562"/>
        <w:gridCol w:w="599"/>
        <w:gridCol w:w="959"/>
        <w:gridCol w:w="787"/>
        <w:gridCol w:w="862"/>
        <w:gridCol w:w="840"/>
        <w:gridCol w:w="747"/>
        <w:gridCol w:w="717"/>
        <w:gridCol w:w="719"/>
      </w:tblGrid>
      <w:tr>
        <w:trPr>
          <w:jc w:val="center"/>
          <w:trHeight w:val="1896"/>
        </w:trPr>
        <w:tc>
          <w:tcPr>
            <w:tcW w:w="451" w:type="dxa"/>
            <w:vAlign w:val="center"/>
            <w:textDirection w:val="lrTb"/>
            <w:noWrap w:val="false"/>
          </w:tcPr>
          <w:p>
            <w:pPr>
              <w:jc w:val="center"/>
              <w:rPr>
                <w:rFonts w:hint="eastAsia" w:ascii="宋体" w:hAnsi="宋体" w:eastAsia="宋体" w:cs="宋体"/>
                <w:b/>
                <w:color w:val="auto"/>
                <w:szCs w:val="21"/>
              </w:rPr>
            </w:pPr>
            <w:r>
              <w:rPr>
                <w:rFonts w:hint="eastAsia" w:ascii="宋体" w:hAnsi="宋体" w:eastAsia="宋体" w:cs="宋体"/>
                <w:b/>
                <w:color w:val="auto"/>
                <w:szCs w:val="21"/>
              </w:rPr>
              <w:t xml:space="preserve">序号</w:t>
            </w:r>
            <w:r/>
          </w:p>
        </w:tc>
        <w:tc>
          <w:tcPr>
            <w:tcW w:w="528" w:type="dxa"/>
            <w:vAlign w:val="center"/>
            <w:textDirection w:val="lrTb"/>
            <w:noWrap w:val="false"/>
          </w:tcPr>
          <w:p>
            <w:pPr>
              <w:jc w:val="center"/>
              <w:rPr>
                <w:rFonts w:hint="eastAsia" w:ascii="宋体" w:hAnsi="宋体" w:eastAsia="宋体" w:cs="宋体"/>
                <w:b/>
                <w:color w:val="auto"/>
                <w:szCs w:val="21"/>
              </w:rPr>
            </w:pPr>
            <w:r>
              <w:rPr>
                <w:rFonts w:hint="eastAsia" w:ascii="宋体" w:hAnsi="宋体" w:eastAsia="宋体" w:cs="宋体"/>
                <w:b/>
                <w:color w:val="auto"/>
                <w:szCs w:val="21"/>
              </w:rPr>
              <w:t xml:space="preserve">姓名</w:t>
            </w:r>
            <w:r/>
          </w:p>
        </w:tc>
        <w:tc>
          <w:tcPr>
            <w:tcW w:w="791" w:type="dxa"/>
            <w:vAlign w:val="center"/>
            <w:textDirection w:val="lrTb"/>
            <w:noWrap w:val="false"/>
          </w:tcPr>
          <w:p>
            <w:pPr>
              <w:jc w:val="center"/>
              <w:rPr>
                <w:rFonts w:hint="eastAsia" w:ascii="宋体" w:hAnsi="宋体" w:eastAsia="宋体" w:cs="宋体"/>
                <w:b/>
                <w:color w:val="auto"/>
                <w:szCs w:val="21"/>
              </w:rPr>
            </w:pPr>
            <w:r>
              <w:rPr>
                <w:rFonts w:hint="eastAsia" w:ascii="宋体" w:hAnsi="宋体" w:eastAsia="宋体" w:cs="宋体"/>
                <w:b/>
                <w:color w:val="auto"/>
                <w:szCs w:val="21"/>
              </w:rPr>
              <w:t xml:space="preserve">职务</w:t>
            </w:r>
            <w:r/>
          </w:p>
        </w:tc>
        <w:tc>
          <w:tcPr>
            <w:tcW w:w="562" w:type="dxa"/>
            <w:vAlign w:val="center"/>
            <w:textDirection w:val="lrTb"/>
            <w:noWrap w:val="false"/>
          </w:tcPr>
          <w:p>
            <w:pPr>
              <w:jc w:val="center"/>
              <w:rPr>
                <w:rFonts w:hint="eastAsia" w:ascii="宋体" w:hAnsi="宋体" w:eastAsia="宋体" w:cs="宋体"/>
                <w:b/>
                <w:color w:val="auto"/>
                <w:szCs w:val="21"/>
              </w:rPr>
            </w:pPr>
            <w:r>
              <w:rPr>
                <w:rFonts w:hint="eastAsia" w:ascii="宋体" w:hAnsi="宋体" w:eastAsia="宋体" w:cs="宋体"/>
                <w:b/>
                <w:color w:val="auto"/>
                <w:szCs w:val="21"/>
              </w:rPr>
              <w:t xml:space="preserve">性别</w:t>
            </w:r>
            <w:r/>
          </w:p>
        </w:tc>
        <w:tc>
          <w:tcPr>
            <w:tcW w:w="599" w:type="dxa"/>
            <w:vAlign w:val="center"/>
            <w:textDirection w:val="lrTb"/>
            <w:noWrap w:val="false"/>
          </w:tcPr>
          <w:p>
            <w:pPr>
              <w:jc w:val="center"/>
              <w:rPr>
                <w:rFonts w:hint="eastAsia" w:ascii="宋体" w:hAnsi="宋体" w:eastAsia="宋体" w:cs="宋体"/>
                <w:b/>
                <w:color w:val="auto"/>
                <w:szCs w:val="21"/>
              </w:rPr>
            </w:pPr>
            <w:r>
              <w:rPr>
                <w:rFonts w:hint="eastAsia" w:ascii="宋体" w:hAnsi="宋体" w:eastAsia="宋体" w:cs="宋体"/>
                <w:b/>
                <w:color w:val="auto"/>
                <w:szCs w:val="21"/>
              </w:rPr>
              <w:t xml:space="preserve">年龄</w:t>
            </w:r>
            <w:r/>
          </w:p>
        </w:tc>
        <w:tc>
          <w:tcPr>
            <w:tcW w:w="959" w:type="dxa"/>
            <w:vAlign w:val="center"/>
            <w:textDirection w:val="lrTb"/>
            <w:noWrap w:val="false"/>
          </w:tcPr>
          <w:p>
            <w:pPr>
              <w:jc w:val="center"/>
              <w:rPr>
                <w:rFonts w:hint="eastAsia" w:ascii="宋体" w:hAnsi="宋体" w:eastAsia="宋体" w:cs="宋体"/>
                <w:b/>
                <w:color w:val="auto"/>
                <w:szCs w:val="21"/>
              </w:rPr>
            </w:pPr>
            <w:r>
              <w:rPr>
                <w:rFonts w:hint="eastAsia" w:ascii="宋体" w:hAnsi="宋体" w:eastAsia="宋体" w:cs="宋体"/>
                <w:b/>
                <w:color w:val="auto"/>
                <w:szCs w:val="21"/>
              </w:rPr>
              <w:t xml:space="preserve">专业</w:t>
            </w:r>
            <w:r/>
          </w:p>
        </w:tc>
        <w:tc>
          <w:tcPr>
            <w:tcW w:w="787" w:type="dxa"/>
            <w:vAlign w:val="center"/>
            <w:textDirection w:val="lrTb"/>
            <w:noWrap w:val="false"/>
          </w:tcPr>
          <w:p>
            <w:pPr>
              <w:jc w:val="center"/>
              <w:rPr>
                <w:rFonts w:hint="eastAsia" w:ascii="宋体" w:hAnsi="宋体" w:eastAsia="宋体" w:cs="宋体"/>
                <w:b/>
                <w:color w:val="auto"/>
                <w:szCs w:val="21"/>
              </w:rPr>
            </w:pPr>
            <w:r>
              <w:rPr>
                <w:rFonts w:hint="eastAsia" w:ascii="宋体" w:hAnsi="宋体" w:eastAsia="宋体" w:cs="宋体"/>
                <w:b/>
                <w:color w:val="auto"/>
                <w:szCs w:val="21"/>
              </w:rPr>
              <w:t xml:space="preserve">学历</w:t>
            </w:r>
            <w:r/>
          </w:p>
        </w:tc>
        <w:tc>
          <w:tcPr>
            <w:tcW w:w="862" w:type="dxa"/>
            <w:vAlign w:val="center"/>
            <w:textDirection w:val="lrTb"/>
            <w:noWrap w:val="false"/>
          </w:tcPr>
          <w:p>
            <w:pPr>
              <w:jc w:val="center"/>
              <w:rPr>
                <w:rFonts w:hint="eastAsia" w:ascii="宋体" w:hAnsi="宋体" w:eastAsia="宋体" w:cs="宋体"/>
                <w:b/>
                <w:color w:val="auto"/>
                <w:szCs w:val="21"/>
              </w:rPr>
            </w:pPr>
            <w:r>
              <w:rPr>
                <w:rFonts w:hint="eastAsia" w:ascii="宋体" w:hAnsi="宋体" w:eastAsia="宋体" w:cs="宋体"/>
                <w:b/>
                <w:color w:val="auto"/>
                <w:szCs w:val="21"/>
              </w:rPr>
              <w:t xml:space="preserve">执业</w:t>
            </w:r>
            <w:r/>
          </w:p>
          <w:p>
            <w:pPr>
              <w:jc w:val="center"/>
              <w:rPr>
                <w:rFonts w:hint="eastAsia" w:ascii="宋体" w:hAnsi="宋体" w:eastAsia="宋体" w:cs="宋体"/>
                <w:b/>
                <w:color w:val="auto"/>
                <w:szCs w:val="21"/>
              </w:rPr>
            </w:pPr>
            <w:r>
              <w:rPr>
                <w:rFonts w:hint="eastAsia" w:ascii="宋体" w:hAnsi="宋体" w:eastAsia="宋体" w:cs="宋体"/>
                <w:b/>
                <w:color w:val="auto"/>
                <w:szCs w:val="21"/>
              </w:rPr>
              <w:t xml:space="preserve">资格</w:t>
            </w:r>
            <w:r/>
          </w:p>
        </w:tc>
        <w:tc>
          <w:tcPr>
            <w:tcW w:w="840" w:type="dxa"/>
            <w:vAlign w:val="center"/>
            <w:textDirection w:val="lrTb"/>
            <w:noWrap w:val="false"/>
          </w:tcPr>
          <w:p>
            <w:pPr>
              <w:jc w:val="center"/>
              <w:rPr>
                <w:rFonts w:hint="eastAsia" w:ascii="宋体" w:hAnsi="宋体" w:eastAsia="宋体" w:cs="宋体"/>
                <w:b/>
                <w:color w:val="auto"/>
                <w:szCs w:val="21"/>
              </w:rPr>
            </w:pPr>
            <w:r>
              <w:rPr>
                <w:rFonts w:hint="eastAsia" w:ascii="宋体" w:hAnsi="宋体" w:eastAsia="宋体" w:cs="宋体"/>
                <w:b/>
                <w:color w:val="auto"/>
                <w:szCs w:val="21"/>
              </w:rPr>
              <w:t xml:space="preserve">证书号</w:t>
            </w:r>
            <w:r/>
          </w:p>
        </w:tc>
        <w:tc>
          <w:tcPr>
            <w:tcW w:w="747" w:type="dxa"/>
            <w:vAlign w:val="center"/>
            <w:textDirection w:val="lrTb"/>
            <w:noWrap w:val="false"/>
          </w:tcPr>
          <w:p>
            <w:pPr>
              <w:jc w:val="center"/>
              <w:rPr>
                <w:rFonts w:hint="eastAsia" w:ascii="宋体" w:hAnsi="宋体" w:eastAsia="宋体" w:cs="宋体"/>
                <w:b/>
                <w:color w:val="auto"/>
                <w:szCs w:val="21"/>
              </w:rPr>
            </w:pPr>
            <w:r>
              <w:rPr>
                <w:rFonts w:hint="eastAsia" w:ascii="宋体" w:hAnsi="宋体" w:eastAsia="宋体" w:cs="宋体"/>
                <w:b/>
                <w:color w:val="auto"/>
                <w:szCs w:val="21"/>
              </w:rPr>
              <w:t xml:space="preserve">技术职称</w:t>
            </w:r>
            <w:r/>
          </w:p>
        </w:tc>
        <w:tc>
          <w:tcPr>
            <w:tcW w:w="717" w:type="dxa"/>
            <w:vAlign w:val="center"/>
            <w:textDirection w:val="lrTb"/>
            <w:noWrap w:val="false"/>
          </w:tcPr>
          <w:p>
            <w:pPr>
              <w:jc w:val="center"/>
              <w:rPr>
                <w:rFonts w:hint="eastAsia" w:ascii="宋体" w:hAnsi="宋体" w:eastAsia="宋体" w:cs="宋体"/>
                <w:b/>
                <w:color w:val="auto"/>
                <w:szCs w:val="21"/>
              </w:rPr>
            </w:pPr>
            <w:r>
              <w:rPr>
                <w:rFonts w:hint="eastAsia" w:ascii="宋体" w:hAnsi="宋体" w:eastAsia="宋体" w:cs="宋体"/>
                <w:b/>
                <w:color w:val="auto"/>
                <w:szCs w:val="21"/>
              </w:rPr>
              <w:t xml:space="preserve">相关工作年限</w:t>
            </w:r>
            <w:r/>
          </w:p>
        </w:tc>
        <w:tc>
          <w:tcPr>
            <w:tcW w:w="719" w:type="dxa"/>
            <w:vAlign w:val="center"/>
            <w:textDirection w:val="lrTb"/>
            <w:noWrap w:val="false"/>
          </w:tcPr>
          <w:p>
            <w:pPr>
              <w:jc w:val="center"/>
              <w:rPr>
                <w:rFonts w:hint="eastAsia" w:ascii="宋体" w:hAnsi="宋体" w:eastAsia="宋体" w:cs="宋体"/>
                <w:b/>
                <w:color w:val="auto"/>
                <w:szCs w:val="21"/>
              </w:rPr>
            </w:pPr>
            <w:r>
              <w:rPr>
                <w:rFonts w:hint="eastAsia" w:ascii="宋体" w:hAnsi="宋体" w:eastAsia="宋体" w:cs="宋体"/>
                <w:b/>
                <w:color w:val="auto"/>
                <w:szCs w:val="21"/>
              </w:rPr>
              <w:t xml:space="preserve">备注</w:t>
            </w:r>
            <w:r/>
          </w:p>
        </w:tc>
      </w:tr>
      <w:tr>
        <w:trPr>
          <w:jc w:val="center"/>
          <w:trHeight w:val="341"/>
        </w:trPr>
        <w:tc>
          <w:tcPr>
            <w:tcW w:w="451"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528"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791"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562"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599"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959"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787"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862"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840"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747"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717"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719"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341"/>
        </w:trPr>
        <w:tc>
          <w:tcPr>
            <w:tcW w:w="451"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528"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791"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562"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599"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959"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787"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862"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840"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747"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717"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719"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341"/>
        </w:trPr>
        <w:tc>
          <w:tcPr>
            <w:tcW w:w="451"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528"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791"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562"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599"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959"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787"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862"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840"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747"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717"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719" w:type="dxa"/>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bl>
    <w:p>
      <w:pPr>
        <w:rPr>
          <w:rFonts w:hint="eastAsia" w:ascii="宋体" w:hAnsi="宋体" w:eastAsia="宋体" w:cs="宋体"/>
          <w:b/>
          <w:color w:val="auto"/>
          <w:szCs w:val="21"/>
        </w:rPr>
      </w:pPr>
      <w:r>
        <w:rPr>
          <w:rFonts w:hint="eastAsia" w:ascii="宋体" w:hAnsi="宋体" w:eastAsia="宋体" w:cs="宋体"/>
          <w:b/>
          <w:color w:val="auto"/>
          <w:szCs w:val="21"/>
        </w:rPr>
        <w:t xml:space="preserve">说明：</w:t>
      </w:r>
      <w:r/>
    </w:p>
    <w:p>
      <w:pPr>
        <w:rPr>
          <w:rFonts w:hint="eastAsia" w:ascii="宋体" w:hAnsi="宋体" w:eastAsia="宋体" w:cs="宋体"/>
          <w:b/>
          <w:color w:val="auto"/>
          <w:szCs w:val="21"/>
        </w:rPr>
      </w:pPr>
      <w:r>
        <w:rPr>
          <w:rFonts w:hint="eastAsia" w:ascii="宋体" w:hAnsi="宋体" w:eastAsia="宋体" w:cs="宋体"/>
          <w:b/>
          <w:color w:val="auto"/>
          <w:szCs w:val="21"/>
        </w:rPr>
        <w:t xml:space="preserve">“备注”栏，可填写该人员擅长的工程（或工作）种类；职务填项目负责人或项目组成员</w:t>
      </w:r>
      <w:r/>
    </w:p>
    <w:p>
      <w:pPr>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 </w:t>
      </w:r>
      <w:r>
        <w:rPr>
          <w:rFonts w:hint="eastAsia" w:ascii="宋体" w:hAnsi="宋体" w:eastAsia="宋体" w:cs="宋体"/>
          <w:b/>
          <w:bCs/>
          <w:color w:val="auto"/>
          <w:szCs w:val="21"/>
        </w:rPr>
        <w:t xml:space="preserve"> </w:t>
      </w:r>
      <w:r>
        <w:rPr>
          <w:rFonts w:hint="eastAsia" w:ascii="宋体" w:hAnsi="宋体" w:eastAsia="宋体" w:cs="宋体"/>
          <w:color w:val="auto"/>
          <w:szCs w:val="21"/>
        </w:rPr>
        <w:t xml:space="preserve">说明：如果行数不够，请自行增加。</w:t>
      </w:r>
      <w:r/>
    </w:p>
    <w:p>
      <w:pPr>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投标人名称：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（盖章）</w:t>
      </w:r>
      <w:r/>
    </w:p>
    <w:p>
      <w:pPr>
        <w:spacing w:line="360" w:lineRule="auto"/>
        <w:shd w:val="clear" w:color="auto" w:fill="ffffff"/>
        <w:widowControl/>
        <w:rPr>
          <w:rFonts w:hint="eastAsia" w:ascii="宋体" w:hAnsi="宋体" w:eastAsia="宋体" w:cs="宋体"/>
          <w:color w:val="auto"/>
          <w:szCs w:val="21"/>
        </w:rPr>
      </w:pPr>
      <w:r/>
      <w:bookmarkStart w:id="100" w:name="_Toc481604688"/>
      <w:r/>
      <w:bookmarkStart w:id="101" w:name="_Toc16575"/>
      <w:r/>
      <w:r/>
    </w:p>
    <w:p>
      <w:pPr>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r>
      <w:r/>
    </w:p>
    <w:p>
      <w:pPr>
        <w:spacing w:line="360" w:lineRule="auto"/>
        <w:rPr>
          <w:rFonts w:hint="eastAsia" w:ascii="宋体" w:hAnsi="宋体" w:eastAsia="宋体" w:cs="宋体"/>
          <w:b/>
          <w:color w:val="auto"/>
          <w:sz w:val="22"/>
        </w:rPr>
      </w:pPr>
      <w:r/>
      <w:bookmarkStart w:id="102" w:name="_Toc11592"/>
      <w:r/>
      <w:r/>
    </w:p>
    <w:p>
      <w:pPr>
        <w:pStyle w:val="881"/>
        <w:rPr>
          <w:rFonts w:hint="eastAsia" w:ascii="宋体" w:hAnsi="宋体" w:eastAsia="宋体" w:cs="宋体"/>
          <w:color w:val="auto"/>
          <w:sz w:val="22"/>
          <w:szCs w:val="22"/>
        </w:rPr>
      </w:pPr>
      <w:r>
        <w:rPr>
          <w:rFonts w:hint="eastAsia" w:ascii="宋体" w:hAnsi="宋体" w:eastAsia="宋体" w:cs="宋体"/>
          <w:color w:val="auto"/>
          <w:sz w:val="22"/>
          <w:szCs w:val="22"/>
        </w:rPr>
        <w:br w:type="page" w:clear="all"/>
      </w:r>
      <w:r/>
    </w:p>
    <w:p>
      <w:pPr>
        <w:pStyle w:val="881"/>
        <w:rPr>
          <w:rFonts w:hint="eastAsia" w:ascii="宋体" w:hAnsi="宋体" w:eastAsia="宋体" w:cs="宋体"/>
          <w:color w:val="auto"/>
          <w:sz w:val="22"/>
          <w:szCs w:val="22"/>
        </w:rPr>
      </w:pPr>
      <w:r>
        <w:rPr>
          <w:rFonts w:hint="eastAsia" w:ascii="宋体" w:hAnsi="宋体" w:eastAsia="宋体" w:cs="宋体"/>
          <w:color w:val="auto"/>
          <w:sz w:val="22"/>
          <w:szCs w:val="22"/>
        </w:rPr>
      </w:r>
      <w:r/>
    </w:p>
    <w:p>
      <w:pPr>
        <w:pStyle w:val="881"/>
        <w:rPr>
          <w:rFonts w:hint="eastAsia" w:ascii="宋体" w:hAnsi="宋体" w:eastAsia="宋体" w:cs="宋体"/>
          <w:color w:val="auto"/>
          <w:sz w:val="22"/>
          <w:szCs w:val="22"/>
        </w:rPr>
      </w:pPr>
      <w:r/>
      <w:bookmarkStart w:id="103" w:name="_Toc8061"/>
      <w:r>
        <w:rPr>
          <w:rFonts w:hint="eastAsia" w:ascii="宋体" w:hAnsi="宋体" w:eastAsia="宋体" w:cs="宋体"/>
          <w:color w:val="auto"/>
          <w:sz w:val="22"/>
          <w:szCs w:val="22"/>
          <w:lang w:val="zh-CN"/>
        </w:rPr>
        <w:t xml:space="preserve">目录</w:t>
      </w:r>
      <w:r>
        <w:rPr>
          <w:rFonts w:hint="eastAsia" w:ascii="宋体" w:hAnsi="宋体" w:eastAsia="宋体" w:cs="宋体"/>
          <w:color w:val="auto"/>
          <w:sz w:val="22"/>
          <w:szCs w:val="22"/>
        </w:rPr>
        <w:t xml:space="preserve">八</w:t>
      </w:r>
      <w:r>
        <w:rPr>
          <w:rFonts w:hint="eastAsia" w:ascii="宋体" w:hAnsi="宋体" w:eastAsia="宋体" w:cs="宋体"/>
          <w:color w:val="auto"/>
          <w:sz w:val="22"/>
          <w:szCs w:val="22"/>
          <w:lang w:val="zh-CN"/>
        </w:rPr>
        <w:t xml:space="preserve">、拟投入本项目车辆或设备一览表</w:t>
      </w:r>
      <w:bookmarkEnd w:id="103"/>
      <w:r/>
      <w:r/>
    </w:p>
    <w:p>
      <w:pPr>
        <w:spacing w:line="360" w:lineRule="auto"/>
        <w:rPr>
          <w:rFonts w:hint="eastAsia" w:ascii="宋体" w:hAnsi="宋体" w:eastAsia="宋体" w:cs="宋体"/>
          <w:b/>
          <w:color w:val="auto"/>
          <w:sz w:val="22"/>
        </w:rPr>
      </w:pPr>
      <w:r>
        <w:rPr>
          <w:rFonts w:hint="eastAsia" w:ascii="宋体" w:hAnsi="宋体" w:eastAsia="宋体" w:cs="宋体"/>
          <w:b/>
          <w:color w:val="auto"/>
          <w:sz w:val="22"/>
        </w:rPr>
      </w:r>
      <w:r/>
    </w:p>
    <w:p>
      <w:pPr>
        <w:ind w:left="420"/>
        <w:jc w:val="center"/>
        <w:spacing w:line="360" w:lineRule="auto"/>
        <w:shd w:val="clear" w:color="auto" w:fill="ffffff"/>
        <w:widowControl/>
        <w:rPr>
          <w:rFonts w:hint="eastAsia" w:ascii="宋体" w:hAnsi="宋体" w:eastAsia="宋体" w:cs="宋体"/>
          <w:b/>
          <w:bCs/>
          <w:color w:val="auto"/>
          <w:sz w:val="28"/>
          <w:szCs w:val="28"/>
        </w:rPr>
        <w:outlineLvl w:val="0"/>
      </w:pPr>
      <w:r/>
      <w:bookmarkStart w:id="104" w:name="_Toc6053"/>
      <w:r>
        <w:rPr>
          <w:rFonts w:hint="eastAsia" w:ascii="宋体" w:hAnsi="宋体" w:eastAsia="宋体" w:cs="宋体"/>
          <w:b/>
          <w:bCs/>
          <w:color w:val="auto"/>
          <w:sz w:val="28"/>
          <w:szCs w:val="28"/>
        </w:rPr>
        <w:t xml:space="preserve">拟投入本项目车辆或设备一览表</w:t>
      </w:r>
      <w:bookmarkEnd w:id="104"/>
      <w:r/>
      <w:r/>
    </w:p>
    <w:p>
      <w:pPr>
        <w:rPr>
          <w:rFonts w:hint="eastAsia" w:ascii="宋体" w:hAnsi="宋体" w:eastAsia="宋体" w:cs="宋体"/>
          <w:color w:val="auto"/>
          <w:szCs w:val="21"/>
        </w:rPr>
      </w:pPr>
      <w:r>
        <w:rPr>
          <w:rFonts w:hint="eastAsia" w:ascii="宋体" w:hAnsi="宋体" w:eastAsia="宋体" w:cs="宋体"/>
          <w:color w:val="auto"/>
          <w:szCs w:val="21"/>
        </w:rPr>
        <w:t xml:space="preserve">项目名称：</w:t>
      </w:r>
      <w:r/>
    </w:p>
    <w:tbl>
      <w:tblPr>
        <w:tblStyle w:val="890"/>
        <w:tblpPr w:horzAnchor="page" w:tblpX="996" w:vertAnchor="text" w:tblpY="429" w:leftFromText="180" w:topFromText="0" w:rightFromText="180" w:bottomFromText="0"/>
        <w:tblW w:w="963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2357"/>
        <w:gridCol w:w="1825"/>
        <w:gridCol w:w="1638"/>
        <w:gridCol w:w="2118"/>
        <w:gridCol w:w="992"/>
      </w:tblGrid>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车辆或设备名称</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规格型号</w:t>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使用年限</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自有或租赁说明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备注</w:t>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r>
    </w:tbl>
    <w:p>
      <w:pPr>
        <w:rPr>
          <w:rFonts w:hint="eastAsia" w:ascii="宋体" w:hAnsi="宋体" w:eastAsia="宋体" w:cs="宋体"/>
          <w:color w:val="auto"/>
          <w:szCs w:val="21"/>
        </w:rPr>
      </w:pPr>
      <w:r>
        <w:rPr>
          <w:rFonts w:hint="eastAsia" w:ascii="宋体" w:hAnsi="宋体" w:eastAsia="宋体" w:cs="宋体"/>
          <w:color w:val="auto"/>
          <w:szCs w:val="21"/>
        </w:rPr>
        <w:t xml:space="preserve">项目编号：</w:t>
      </w:r>
      <w:r/>
    </w:p>
    <w:p>
      <w:pPr>
        <w:rPr>
          <w:rFonts w:hint="eastAsia" w:ascii="宋体" w:hAnsi="宋体" w:eastAsia="宋体" w:cs="宋体"/>
          <w:color w:val="auto"/>
          <w:szCs w:val="21"/>
          <w:lang w:val="zh-CN"/>
        </w:rPr>
      </w:pPr>
      <w:r>
        <w:rPr>
          <w:rFonts w:hint="eastAsia" w:ascii="宋体" w:hAnsi="宋体" w:eastAsia="宋体" w:cs="宋体"/>
          <w:color w:val="auto"/>
          <w:szCs w:val="21"/>
          <w:lang w:val="zh-CN"/>
        </w:rPr>
      </w:r>
      <w:r/>
    </w:p>
    <w:p>
      <w:pPr>
        <w:rPr>
          <w:rFonts w:hint="eastAsia" w:ascii="宋体" w:hAnsi="宋体" w:eastAsia="宋体" w:cs="宋体"/>
          <w:color w:val="auto"/>
          <w:szCs w:val="21"/>
          <w:lang w:val="zh-CN"/>
        </w:rPr>
      </w:pPr>
      <w:r>
        <w:rPr>
          <w:rFonts w:hint="eastAsia" w:ascii="宋体" w:hAnsi="宋体" w:eastAsia="宋体" w:cs="宋体"/>
          <w:color w:val="auto"/>
          <w:szCs w:val="21"/>
        </w:rPr>
        <w:t xml:space="preserve">说明：如果行数不够，请自行增加。</w:t>
      </w:r>
      <w:r/>
    </w:p>
    <w:p>
      <w:pPr>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r>
      <w:r/>
    </w:p>
    <w:p>
      <w:pPr>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投标人名称：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（盖章）</w:t>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rPr>
          <w:rFonts w:hint="eastAsia" w:ascii="宋体" w:hAnsi="宋体" w:eastAsia="宋体" w:cs="宋体"/>
          <w:b/>
          <w:color w:val="auto"/>
          <w:sz w:val="22"/>
        </w:rPr>
      </w:pPr>
      <w:r>
        <w:rPr>
          <w:rFonts w:hint="eastAsia" w:ascii="宋体" w:hAnsi="宋体" w:eastAsia="宋体" w:cs="宋体"/>
          <w:b/>
          <w:color w:val="auto"/>
          <w:sz w:val="22"/>
        </w:rPr>
        <w:br w:type="page" w:clear="all"/>
      </w:r>
      <w:r/>
    </w:p>
    <w:p>
      <w:pPr>
        <w:spacing w:line="360" w:lineRule="auto"/>
        <w:rPr>
          <w:rFonts w:hint="eastAsia" w:ascii="宋体" w:hAnsi="宋体" w:eastAsia="宋体" w:cs="宋体"/>
          <w:b/>
          <w:color w:val="auto"/>
          <w:sz w:val="22"/>
        </w:rPr>
      </w:pPr>
      <w:r>
        <w:rPr>
          <w:rFonts w:hint="eastAsia" w:ascii="宋体" w:hAnsi="宋体" w:eastAsia="宋体" w:cs="宋体"/>
          <w:b/>
          <w:color w:val="auto"/>
          <w:sz w:val="22"/>
        </w:rPr>
      </w:r>
      <w:r/>
    </w:p>
    <w:p>
      <w:pPr>
        <w:spacing w:line="360" w:lineRule="auto"/>
        <w:rPr>
          <w:rFonts w:hint="eastAsia" w:ascii="宋体" w:hAnsi="宋体" w:eastAsia="宋体" w:cs="宋体"/>
          <w:b/>
          <w:color w:val="auto"/>
          <w:sz w:val="22"/>
        </w:rPr>
        <w:outlineLvl w:val="0"/>
      </w:pPr>
      <w:r/>
      <w:bookmarkStart w:id="105" w:name="_Toc5877"/>
      <w:r>
        <w:rPr>
          <w:rFonts w:hint="eastAsia" w:ascii="宋体" w:hAnsi="宋体" w:eastAsia="宋体" w:cs="宋体"/>
          <w:b/>
          <w:color w:val="auto"/>
          <w:sz w:val="22"/>
        </w:rPr>
        <w:t xml:space="preserve">目录九、投标人类似业绩及证明材料</w:t>
      </w:r>
      <w:bookmarkEnd w:id="100"/>
      <w:r/>
      <w:bookmarkEnd w:id="101"/>
      <w:r>
        <w:rPr>
          <w:rFonts w:hint="eastAsia" w:ascii="宋体" w:hAnsi="宋体" w:eastAsia="宋体" w:cs="宋体"/>
          <w:b/>
          <w:color w:val="auto"/>
          <w:sz w:val="22"/>
        </w:rPr>
        <w:t xml:space="preserve">（若有）</w:t>
      </w:r>
      <w:bookmarkEnd w:id="102"/>
      <w:r/>
      <w:bookmarkEnd w:id="105"/>
      <w:r/>
      <w:r/>
    </w:p>
    <w:p>
      <w:pPr>
        <w:ind w:left="420"/>
        <w:jc w:val="center"/>
        <w:spacing w:line="360" w:lineRule="auto"/>
        <w:shd w:val="clear" w:color="auto" w:fill="ffffff"/>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left="420"/>
        <w:jc w:val="center"/>
        <w:spacing w:line="360" w:lineRule="auto"/>
        <w:shd w:val="clear" w:color="auto" w:fill="ffffff"/>
        <w:widowControl/>
        <w:rPr>
          <w:rFonts w:hint="eastAsia" w:ascii="宋体" w:hAnsi="宋体" w:eastAsia="宋体" w:cs="宋体"/>
          <w:b/>
          <w:bCs/>
          <w:color w:val="auto"/>
          <w:sz w:val="28"/>
          <w:szCs w:val="28"/>
        </w:rPr>
        <w:outlineLvl w:val="0"/>
      </w:pPr>
      <w:r/>
      <w:bookmarkStart w:id="106" w:name="_Toc1813"/>
      <w:r>
        <w:rPr>
          <w:rFonts w:hint="eastAsia" w:ascii="宋体" w:hAnsi="宋体" w:eastAsia="宋体" w:cs="宋体"/>
          <w:b/>
          <w:bCs/>
          <w:color w:val="auto"/>
          <w:sz w:val="28"/>
          <w:szCs w:val="28"/>
        </w:rPr>
        <w:t xml:space="preserve">投标人类似业绩及证明材料一览表</w:t>
      </w:r>
      <w:bookmarkEnd w:id="106"/>
      <w:r/>
      <w:r/>
    </w:p>
    <w:p>
      <w:pPr>
        <w:rPr>
          <w:rFonts w:hint="eastAsia" w:ascii="宋体" w:hAnsi="宋体" w:eastAsia="宋体" w:cs="宋体"/>
          <w:color w:val="auto"/>
          <w:szCs w:val="21"/>
        </w:rPr>
      </w:pPr>
      <w:r>
        <w:rPr>
          <w:rFonts w:hint="eastAsia" w:ascii="宋体" w:hAnsi="宋体" w:eastAsia="宋体" w:cs="宋体"/>
          <w:color w:val="auto"/>
          <w:szCs w:val="21"/>
        </w:rPr>
        <w:t xml:space="preserve">项目名称：</w:t>
      </w:r>
      <w:r/>
    </w:p>
    <w:tbl>
      <w:tblPr>
        <w:tblStyle w:val="890"/>
        <w:tblpPr w:horzAnchor="page" w:tblpX="996" w:vertAnchor="text" w:tblpY="429" w:leftFromText="180" w:topFromText="0" w:rightFromText="180" w:bottomFromText="0"/>
        <w:tblW w:w="963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2357"/>
        <w:gridCol w:w="2450"/>
        <w:gridCol w:w="1800"/>
        <w:gridCol w:w="1331"/>
        <w:gridCol w:w="992"/>
      </w:tblGrid>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项目名称</w:t>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甲方名称</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合同签订时间</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合同价格</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备注</w:t>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r>
    </w:tbl>
    <w:p>
      <w:pPr>
        <w:rPr>
          <w:rFonts w:hint="eastAsia" w:ascii="宋体" w:hAnsi="宋体" w:eastAsia="宋体" w:cs="宋体"/>
          <w:color w:val="auto"/>
          <w:szCs w:val="21"/>
        </w:rPr>
      </w:pPr>
      <w:r>
        <w:rPr>
          <w:rFonts w:hint="eastAsia" w:ascii="宋体" w:hAnsi="宋体" w:eastAsia="宋体" w:cs="宋体"/>
          <w:color w:val="auto"/>
          <w:szCs w:val="21"/>
        </w:rPr>
        <w:t xml:space="preserve">项目编号：</w:t>
      </w:r>
      <w:r/>
    </w:p>
    <w:p>
      <w:pPr>
        <w:rPr>
          <w:rFonts w:hint="eastAsia" w:ascii="宋体" w:hAnsi="宋体" w:eastAsia="宋体" w:cs="宋体"/>
          <w:color w:val="auto"/>
          <w:szCs w:val="21"/>
          <w:lang w:val="zh-CN"/>
        </w:rPr>
      </w:pPr>
      <w:r>
        <w:rPr>
          <w:rFonts w:hint="eastAsia" w:ascii="宋体" w:hAnsi="宋体" w:eastAsia="宋体" w:cs="宋体"/>
          <w:color w:val="auto"/>
          <w:szCs w:val="21"/>
          <w:lang w:val="zh-CN"/>
        </w:rPr>
      </w:r>
      <w:r/>
    </w:p>
    <w:p>
      <w:pPr>
        <w:rPr>
          <w:rFonts w:hint="eastAsia" w:ascii="宋体" w:hAnsi="宋体" w:eastAsia="宋体" w:cs="宋体"/>
          <w:color w:val="auto"/>
          <w:szCs w:val="21"/>
          <w:lang w:val="zh-CN"/>
        </w:rPr>
      </w:pPr>
      <w:r>
        <w:rPr>
          <w:rFonts w:hint="eastAsia" w:ascii="宋体" w:hAnsi="宋体" w:eastAsia="宋体" w:cs="宋体"/>
          <w:color w:val="auto"/>
          <w:szCs w:val="21"/>
        </w:rPr>
        <w:t xml:space="preserve">说明：如果行数不够，请自行增加。</w:t>
      </w:r>
      <w:r/>
    </w:p>
    <w:p>
      <w:pPr>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r>
      <w:r/>
    </w:p>
    <w:p>
      <w:pPr>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投标人名称：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（盖章）</w:t>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rPr>
          <w:rFonts w:hint="eastAsia" w:ascii="宋体" w:hAnsi="宋体" w:eastAsia="宋体" w:cs="宋体"/>
          <w:b/>
          <w:color w:val="auto"/>
          <w:sz w:val="22"/>
        </w:rPr>
      </w:pPr>
      <w:r/>
      <w:bookmarkStart w:id="107" w:name="_Toc5117"/>
      <w:r>
        <w:rPr>
          <w:rFonts w:hint="eastAsia" w:ascii="宋体" w:hAnsi="宋体" w:eastAsia="宋体" w:cs="宋体"/>
          <w:b/>
          <w:color w:val="auto"/>
          <w:sz w:val="22"/>
        </w:rPr>
        <w:br w:type="page" w:clear="all"/>
      </w:r>
      <w:r/>
    </w:p>
    <w:p>
      <w:pPr>
        <w:spacing w:line="360" w:lineRule="auto"/>
        <w:rPr>
          <w:rFonts w:hint="eastAsia" w:ascii="宋体" w:hAnsi="宋体" w:eastAsia="宋体" w:cs="宋体"/>
          <w:b/>
          <w:color w:val="auto"/>
          <w:sz w:val="22"/>
        </w:rPr>
      </w:pPr>
      <w:r>
        <w:rPr>
          <w:rFonts w:hint="eastAsia" w:ascii="宋体" w:hAnsi="宋体" w:eastAsia="宋体" w:cs="宋体"/>
          <w:b/>
          <w:color w:val="auto"/>
          <w:sz w:val="22"/>
        </w:rPr>
      </w:r>
      <w:r/>
    </w:p>
    <w:p>
      <w:pPr>
        <w:spacing w:line="360" w:lineRule="auto"/>
        <w:rPr>
          <w:rFonts w:hint="eastAsia" w:ascii="宋体" w:hAnsi="宋体" w:eastAsia="宋体" w:cs="宋体"/>
          <w:b/>
          <w:color w:val="auto"/>
          <w:sz w:val="22"/>
        </w:rPr>
        <w:outlineLvl w:val="0"/>
      </w:pPr>
      <w:r/>
      <w:bookmarkStart w:id="108" w:name="_Toc15413"/>
      <w:r>
        <w:rPr>
          <w:rFonts w:hint="eastAsia" w:ascii="宋体" w:hAnsi="宋体" w:eastAsia="宋体" w:cs="宋体"/>
          <w:b/>
          <w:color w:val="auto"/>
          <w:sz w:val="22"/>
        </w:rPr>
        <w:t xml:space="preserve">目录十、实施方案（根据招标文件要求，格式自拟）</w:t>
      </w:r>
      <w:bookmarkEnd w:id="107"/>
      <w:r/>
      <w:bookmarkEnd w:id="108"/>
      <w:r/>
      <w:r/>
    </w:p>
    <w:p>
      <w:pPr>
        <w:spacing w:line="360" w:lineRule="auto"/>
        <w:rPr>
          <w:rFonts w:hint="eastAsia" w:ascii="宋体" w:hAnsi="宋体" w:eastAsia="宋体" w:cs="宋体"/>
          <w:b/>
          <w:color w:val="auto"/>
          <w:sz w:val="22"/>
        </w:rPr>
      </w:pPr>
      <w:r>
        <w:rPr>
          <w:rFonts w:hint="eastAsia" w:ascii="宋体" w:hAnsi="宋体" w:eastAsia="宋体" w:cs="宋体"/>
          <w:b/>
          <w:color w:val="auto"/>
          <w:sz w:val="22"/>
        </w:rPr>
      </w:r>
      <w:r/>
    </w:p>
    <w:p>
      <w:pPr>
        <w:spacing w:line="360" w:lineRule="auto"/>
        <w:rPr>
          <w:rFonts w:hint="eastAsia" w:ascii="宋体" w:hAnsi="宋体" w:eastAsia="宋体" w:cs="宋体"/>
          <w:b/>
          <w:color w:val="auto"/>
          <w:sz w:val="22"/>
        </w:rPr>
      </w:pPr>
      <w:r>
        <w:rPr>
          <w:rFonts w:hint="eastAsia" w:ascii="宋体" w:hAnsi="宋体" w:eastAsia="宋体" w:cs="宋体"/>
          <w:b/>
          <w:color w:val="auto"/>
          <w:sz w:val="22"/>
        </w:rPr>
      </w:r>
      <w:r/>
    </w:p>
    <w:p>
      <w:pPr>
        <w:spacing w:line="360" w:lineRule="auto"/>
        <w:rPr>
          <w:rFonts w:hint="eastAsia" w:ascii="宋体" w:hAnsi="宋体" w:eastAsia="宋体" w:cs="宋体"/>
          <w:b/>
          <w:color w:val="auto"/>
          <w:sz w:val="22"/>
        </w:rPr>
      </w:pPr>
      <w:r>
        <w:rPr>
          <w:rFonts w:hint="eastAsia" w:ascii="宋体" w:hAnsi="宋体" w:eastAsia="宋体" w:cs="宋体"/>
          <w:b/>
          <w:color w:val="auto"/>
          <w:sz w:val="22"/>
        </w:rPr>
      </w:r>
      <w:r/>
    </w:p>
    <w:p>
      <w:pPr>
        <w:spacing w:line="360" w:lineRule="auto"/>
        <w:rPr>
          <w:rFonts w:hint="eastAsia" w:ascii="宋体" w:hAnsi="宋体" w:eastAsia="宋体" w:cs="宋体"/>
          <w:b/>
          <w:color w:val="auto"/>
          <w:sz w:val="22"/>
        </w:rPr>
        <w:outlineLvl w:val="0"/>
      </w:pPr>
      <w:r/>
      <w:bookmarkStart w:id="109" w:name="_Toc11667"/>
      <w:r/>
      <w:bookmarkStart w:id="110" w:name="_Toc23880"/>
      <w:r>
        <w:rPr>
          <w:rFonts w:hint="eastAsia" w:ascii="宋体" w:hAnsi="宋体" w:eastAsia="宋体" w:cs="宋体"/>
          <w:b/>
          <w:color w:val="auto"/>
          <w:sz w:val="22"/>
        </w:rPr>
        <w:t xml:space="preserve">目录十一、服务与承诺</w:t>
      </w:r>
      <w:bookmarkEnd w:id="109"/>
      <w:r>
        <w:rPr>
          <w:rFonts w:hint="eastAsia" w:ascii="宋体" w:hAnsi="宋体" w:eastAsia="宋体" w:cs="宋体"/>
          <w:b/>
          <w:color w:val="auto"/>
          <w:sz w:val="22"/>
        </w:rPr>
        <w:t xml:space="preserve">（根据招标文件要求，格式自拟）</w:t>
      </w:r>
      <w:bookmarkEnd w:id="110"/>
      <w:r/>
      <w:r/>
    </w:p>
    <w:p>
      <w:pPr>
        <w:spacing w:line="360" w:lineRule="auto"/>
        <w:rPr>
          <w:rFonts w:hint="eastAsia" w:ascii="宋体" w:hAnsi="宋体" w:eastAsia="宋体" w:cs="宋体"/>
          <w:b/>
          <w:color w:val="auto"/>
          <w:sz w:val="22"/>
        </w:rPr>
      </w:pPr>
      <w:r>
        <w:rPr>
          <w:rFonts w:hint="eastAsia" w:ascii="宋体" w:hAnsi="宋体" w:eastAsia="宋体" w:cs="宋体"/>
          <w:b/>
          <w:color w:val="auto"/>
          <w:sz w:val="22"/>
        </w:rPr>
      </w:r>
      <w:r/>
    </w:p>
    <w:p>
      <w:pPr>
        <w:spacing w:line="360" w:lineRule="auto"/>
        <w:rPr>
          <w:rFonts w:hint="eastAsia" w:ascii="宋体" w:hAnsi="宋体" w:eastAsia="宋体" w:cs="宋体"/>
          <w:b/>
          <w:color w:val="auto"/>
          <w:sz w:val="22"/>
        </w:rPr>
      </w:pPr>
      <w:r>
        <w:rPr>
          <w:rFonts w:hint="eastAsia" w:ascii="宋体" w:hAnsi="宋体" w:eastAsia="宋体" w:cs="宋体"/>
          <w:b/>
          <w:color w:val="auto"/>
          <w:sz w:val="22"/>
        </w:rPr>
      </w:r>
      <w:r/>
    </w:p>
    <w:p>
      <w:pPr>
        <w:spacing w:line="360" w:lineRule="auto"/>
        <w:rPr>
          <w:rFonts w:hint="eastAsia" w:ascii="宋体" w:hAnsi="宋体" w:eastAsia="宋体" w:cs="宋体"/>
          <w:b/>
          <w:color w:val="auto"/>
          <w:sz w:val="22"/>
        </w:rPr>
      </w:pPr>
      <w:r>
        <w:rPr>
          <w:rFonts w:hint="eastAsia" w:ascii="宋体" w:hAnsi="宋体" w:eastAsia="宋体" w:cs="宋体"/>
          <w:b/>
          <w:color w:val="auto"/>
          <w:sz w:val="22"/>
        </w:rPr>
      </w:r>
      <w:r/>
    </w:p>
    <w:p>
      <w:pPr>
        <w:spacing w:line="360" w:lineRule="auto"/>
        <w:rPr>
          <w:rFonts w:hint="eastAsia" w:ascii="宋体" w:hAnsi="宋体" w:eastAsia="宋体" w:cs="宋体"/>
          <w:b/>
          <w:color w:val="auto"/>
          <w:sz w:val="22"/>
        </w:rPr>
      </w:pPr>
      <w:r>
        <w:rPr>
          <w:rFonts w:hint="eastAsia" w:ascii="宋体" w:hAnsi="宋体" w:eastAsia="宋体" w:cs="宋体"/>
          <w:b/>
          <w:color w:val="auto"/>
          <w:sz w:val="22"/>
        </w:rPr>
      </w:r>
      <w:r/>
    </w:p>
    <w:p>
      <w:pPr>
        <w:spacing w:line="360" w:lineRule="auto"/>
        <w:rPr>
          <w:rFonts w:hint="eastAsia" w:ascii="宋体" w:hAnsi="宋体" w:eastAsia="宋体" w:cs="宋体"/>
          <w:color w:val="auto"/>
          <w:sz w:val="22"/>
        </w:rPr>
        <w:outlineLvl w:val="0"/>
      </w:pPr>
      <w:r/>
      <w:bookmarkStart w:id="111" w:name="_Toc1514"/>
      <w:r/>
      <w:bookmarkStart w:id="112" w:name="_Toc27100"/>
      <w:r>
        <w:rPr>
          <w:rFonts w:hint="eastAsia" w:ascii="宋体" w:hAnsi="宋体" w:eastAsia="宋体" w:cs="宋体"/>
          <w:b/>
          <w:color w:val="auto"/>
          <w:sz w:val="22"/>
        </w:rPr>
        <w:t xml:space="preserve">目录十二、其他证明文件及材料（若有）</w:t>
      </w:r>
      <w:bookmarkEnd w:id="111"/>
      <w:r/>
      <w:bookmarkEnd w:id="112"/>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before="50" w:after="50"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spacing w:before="50" w:after="50"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spacing w:before="50" w:after="50"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rPr>
          <w:rFonts w:hint="eastAsia" w:ascii="宋体" w:hAnsi="宋体" w:eastAsia="宋体" w:cs="宋体"/>
          <w:b/>
          <w:color w:val="auto"/>
          <w:sz w:val="22"/>
        </w:rPr>
      </w:pPr>
      <w:r/>
      <w:bookmarkStart w:id="113" w:name="_Toc847"/>
      <w:r>
        <w:rPr>
          <w:rFonts w:hint="eastAsia" w:ascii="宋体" w:hAnsi="宋体" w:eastAsia="宋体" w:cs="宋体"/>
          <w:b/>
          <w:color w:val="auto"/>
          <w:sz w:val="22"/>
        </w:rPr>
        <w:br w:type="page" w:clear="all"/>
      </w:r>
      <w:r/>
    </w:p>
    <w:p>
      <w:pPr>
        <w:spacing w:before="50" w:after="50" w:line="360" w:lineRule="auto"/>
        <w:rPr>
          <w:rFonts w:hint="eastAsia" w:ascii="宋体" w:hAnsi="宋体" w:eastAsia="宋体" w:cs="宋体"/>
          <w:b/>
          <w:color w:val="auto"/>
          <w:sz w:val="22"/>
        </w:rPr>
      </w:pPr>
      <w:r>
        <w:rPr>
          <w:rFonts w:hint="eastAsia" w:ascii="宋体" w:hAnsi="宋体" w:eastAsia="宋体" w:cs="宋体"/>
          <w:b/>
          <w:color w:val="auto"/>
          <w:sz w:val="22"/>
        </w:rPr>
      </w:r>
      <w:r/>
    </w:p>
    <w:p>
      <w:pPr>
        <w:spacing w:before="50" w:after="50" w:line="360" w:lineRule="auto"/>
        <w:rPr>
          <w:rFonts w:hint="eastAsia" w:ascii="宋体" w:hAnsi="宋体" w:eastAsia="宋体" w:cs="宋体"/>
          <w:b/>
          <w:color w:val="auto"/>
          <w:sz w:val="22"/>
        </w:rPr>
        <w:outlineLvl w:val="0"/>
      </w:pPr>
      <w:r/>
      <w:bookmarkStart w:id="114" w:name="_Toc16610"/>
      <w:r>
        <w:rPr>
          <w:rFonts w:hint="eastAsia" w:ascii="宋体" w:hAnsi="宋体" w:eastAsia="宋体" w:cs="宋体"/>
          <w:b/>
          <w:color w:val="auto"/>
          <w:sz w:val="22"/>
        </w:rPr>
        <w:t xml:space="preserve">目录十二、《南京市政府采购供应商信用记录表暨信用承诺书》（网站在线打印）</w:t>
      </w:r>
      <w:bookmarkEnd w:id="113"/>
      <w:r/>
      <w:bookmarkEnd w:id="114"/>
      <w:r/>
      <w:r/>
    </w:p>
    <w:p>
      <w:pPr>
        <w:jc w:val="center"/>
        <w:spacing w:line="360" w:lineRule="auto"/>
        <w:rPr>
          <w:rFonts w:hint="eastAsia" w:ascii="宋体" w:hAnsi="宋体" w:eastAsia="宋体" w:cs="宋体"/>
          <w:b/>
          <w:color w:val="auto"/>
          <w:sz w:val="28"/>
          <w:szCs w:val="28"/>
        </w:rPr>
        <w:outlineLvl w:val="0"/>
      </w:pPr>
      <w:r/>
      <w:bookmarkStart w:id="115" w:name="_Toc20416"/>
      <w:r/>
      <w:bookmarkStart w:id="116" w:name="_Toc10256"/>
      <w:r>
        <w:rPr>
          <w:rFonts w:hint="eastAsia" w:ascii="宋体" w:hAnsi="宋体" w:eastAsia="宋体" w:cs="宋体"/>
          <w:b/>
          <w:bCs/>
          <w:color w:val="auto"/>
          <w:sz w:val="28"/>
          <w:szCs w:val="28"/>
        </w:rPr>
        <w:t xml:space="preserve">南京市政府采购供应商信用记录表暨信用承诺书</w:t>
      </w:r>
      <w:bookmarkEnd w:id="115"/>
      <w:r/>
      <w:bookmarkEnd w:id="116"/>
      <w:r/>
      <w:r/>
    </w:p>
    <w:p>
      <w:pPr>
        <w:pStyle w:val="892"/>
        <w:jc w:val="center"/>
        <w:rPr>
          <w:rFonts w:hint="eastAsia" w:ascii="宋体" w:hAnsi="宋体" w:eastAsia="宋体" w:cs="宋体"/>
          <w:color w:val="auto"/>
        </w:rPr>
      </w:pPr>
      <w:r>
        <w:rPr>
          <w:rFonts w:hint="eastAsia" w:ascii="宋体" w:hAnsi="宋体" w:eastAsia="宋体" w:cs="宋体"/>
          <w:color w:val="auto"/>
        </w:rPr>
      </w:r>
      <w:r/>
    </w:p>
    <w:p>
      <w:pPr>
        <w:ind w:firstLine="3990"/>
        <w:jc w:val="right"/>
        <w:rPr>
          <w:rFonts w:hint="eastAsia" w:ascii="宋体" w:hAnsi="宋体" w:eastAsia="宋体" w:cs="宋体"/>
          <w:color w:val="auto"/>
          <w:szCs w:val="21"/>
        </w:rPr>
      </w:pPr>
      <w:r>
        <w:rPr>
          <w:rFonts w:hint="eastAsia" w:ascii="宋体" w:hAnsi="宋体" w:eastAsia="宋体" w:cs="宋体"/>
          <w:color w:val="auto"/>
          <w:szCs w:val="21"/>
        </w:rPr>
        <w:t xml:space="preserve">年 月 日</w:t>
      </w:r>
      <w:r/>
    </w:p>
    <w:tbl>
      <w:tblPr>
        <w:tblStyle w:val="8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7"/>
        <w:gridCol w:w="2114"/>
        <w:gridCol w:w="2147"/>
        <w:gridCol w:w="2114"/>
      </w:tblGrid>
      <w:tr>
        <w:trPr>
          <w:trHeight w:val="567"/>
        </w:trPr>
        <w:tc>
          <w:tcPr>
            <w:tcW w:w="2147" w:type="dxa"/>
            <w:vAlign w:val="center"/>
            <w:textDirection w:val="lrTb"/>
            <w:noWrap w:val="false"/>
          </w:tcPr>
          <w:p>
            <w:pPr>
              <w:pStyle w:val="892"/>
              <w:ind w:firstLine="0"/>
              <w:jc w:val="center"/>
              <w:rPr>
                <w:rFonts w:hint="eastAsia" w:ascii="宋体" w:hAnsi="宋体" w:eastAsia="宋体" w:cs="宋体"/>
                <w:b/>
                <w:bCs/>
                <w:color w:val="auto"/>
              </w:rPr>
            </w:pPr>
            <w:r>
              <w:rPr>
                <w:rFonts w:hint="eastAsia" w:ascii="宋体" w:hAnsi="宋体" w:eastAsia="宋体" w:cs="宋体"/>
                <w:b/>
                <w:bCs/>
                <w:color w:val="auto"/>
              </w:rPr>
              <w:t xml:space="preserve">单位名称</w:t>
            </w:r>
            <w:r/>
          </w:p>
        </w:tc>
        <w:tc>
          <w:tcPr>
            <w:tcW w:w="2114" w:type="dxa"/>
            <w:vAlign w:val="center"/>
            <w:textDirection w:val="lrTb"/>
            <w:noWrap w:val="false"/>
          </w:tcPr>
          <w:p>
            <w:pPr>
              <w:pStyle w:val="892"/>
              <w:jc w:val="center"/>
              <w:rPr>
                <w:rFonts w:hint="eastAsia" w:ascii="宋体" w:hAnsi="宋体" w:eastAsia="宋体" w:cs="宋体"/>
                <w:color w:val="auto"/>
              </w:rPr>
            </w:pPr>
            <w:r>
              <w:rPr>
                <w:rFonts w:hint="eastAsia" w:ascii="宋体" w:hAnsi="宋体" w:eastAsia="宋体" w:cs="宋体"/>
                <w:color w:val="auto"/>
              </w:rPr>
            </w:r>
            <w:r/>
          </w:p>
        </w:tc>
        <w:tc>
          <w:tcPr>
            <w:tcW w:w="2147" w:type="dxa"/>
            <w:vAlign w:val="center"/>
            <w:textDirection w:val="lrTb"/>
            <w:noWrap w:val="false"/>
          </w:tcPr>
          <w:p>
            <w:pPr>
              <w:pStyle w:val="892"/>
              <w:ind w:firstLine="0"/>
              <w:jc w:val="center"/>
              <w:rPr>
                <w:rFonts w:hint="eastAsia" w:ascii="宋体" w:hAnsi="宋体" w:eastAsia="宋体" w:cs="宋体"/>
                <w:b/>
                <w:bCs/>
                <w:color w:val="auto"/>
              </w:rPr>
            </w:pPr>
            <w:r>
              <w:rPr>
                <w:rFonts w:hint="eastAsia" w:ascii="宋体" w:hAnsi="宋体" w:eastAsia="宋体" w:cs="宋体"/>
                <w:b/>
                <w:bCs/>
                <w:color w:val="auto"/>
              </w:rPr>
              <w:t xml:space="preserve">统一社会信用代码</w:t>
            </w:r>
            <w:r/>
          </w:p>
        </w:tc>
        <w:tc>
          <w:tcPr>
            <w:tcW w:w="2114" w:type="dxa"/>
            <w:vAlign w:val="center"/>
            <w:textDirection w:val="lrTb"/>
            <w:noWrap w:val="false"/>
          </w:tcPr>
          <w:p>
            <w:pPr>
              <w:pStyle w:val="892"/>
              <w:jc w:val="center"/>
              <w:rPr>
                <w:rFonts w:hint="eastAsia" w:ascii="宋体" w:hAnsi="宋体" w:eastAsia="宋体" w:cs="宋体"/>
                <w:color w:val="auto"/>
              </w:rPr>
            </w:pPr>
            <w:r>
              <w:rPr>
                <w:rFonts w:hint="eastAsia" w:ascii="宋体" w:hAnsi="宋体" w:eastAsia="宋体" w:cs="宋体"/>
                <w:color w:val="auto"/>
              </w:rPr>
            </w:r>
            <w:r/>
          </w:p>
        </w:tc>
      </w:tr>
      <w:tr>
        <w:trPr>
          <w:trHeight w:val="567"/>
        </w:trPr>
        <w:tc>
          <w:tcPr>
            <w:tcW w:w="2147" w:type="dxa"/>
            <w:vAlign w:val="center"/>
            <w:textDirection w:val="lrTb"/>
            <w:noWrap w:val="false"/>
          </w:tcPr>
          <w:p>
            <w:pPr>
              <w:pStyle w:val="892"/>
              <w:ind w:firstLine="0"/>
              <w:jc w:val="center"/>
              <w:rPr>
                <w:rFonts w:hint="eastAsia" w:ascii="宋体" w:hAnsi="宋体" w:eastAsia="宋体" w:cs="宋体"/>
                <w:b/>
                <w:bCs/>
                <w:color w:val="auto"/>
              </w:rPr>
            </w:pPr>
            <w:r>
              <w:rPr>
                <w:rFonts w:hint="eastAsia" w:ascii="宋体" w:hAnsi="宋体" w:eastAsia="宋体" w:cs="宋体"/>
                <w:b/>
                <w:bCs/>
                <w:color w:val="auto"/>
              </w:rPr>
              <w:t xml:space="preserve">法定代表人</w:t>
            </w:r>
            <w:r/>
          </w:p>
        </w:tc>
        <w:tc>
          <w:tcPr>
            <w:tcW w:w="2114" w:type="dxa"/>
            <w:vAlign w:val="center"/>
            <w:textDirection w:val="lrTb"/>
            <w:noWrap w:val="false"/>
          </w:tcPr>
          <w:p>
            <w:pPr>
              <w:pStyle w:val="892"/>
              <w:jc w:val="center"/>
              <w:rPr>
                <w:rFonts w:hint="eastAsia" w:ascii="宋体" w:hAnsi="宋体" w:eastAsia="宋体" w:cs="宋体"/>
                <w:color w:val="auto"/>
              </w:rPr>
            </w:pPr>
            <w:r>
              <w:rPr>
                <w:rFonts w:hint="eastAsia" w:ascii="宋体" w:hAnsi="宋体" w:eastAsia="宋体" w:cs="宋体"/>
                <w:color w:val="auto"/>
              </w:rPr>
            </w:r>
            <w:r/>
          </w:p>
        </w:tc>
        <w:tc>
          <w:tcPr>
            <w:tcW w:w="2147" w:type="dxa"/>
            <w:vAlign w:val="center"/>
            <w:textDirection w:val="lrTb"/>
            <w:noWrap w:val="false"/>
          </w:tcPr>
          <w:p>
            <w:pPr>
              <w:pStyle w:val="892"/>
              <w:ind w:firstLine="0"/>
              <w:jc w:val="center"/>
              <w:rPr>
                <w:rFonts w:hint="eastAsia" w:ascii="宋体" w:hAnsi="宋体" w:eastAsia="宋体" w:cs="宋体"/>
                <w:b/>
                <w:bCs/>
                <w:color w:val="auto"/>
              </w:rPr>
            </w:pPr>
            <w:r>
              <w:rPr>
                <w:rFonts w:hint="eastAsia" w:ascii="宋体" w:hAnsi="宋体" w:eastAsia="宋体" w:cs="宋体"/>
                <w:b/>
                <w:bCs/>
                <w:color w:val="auto"/>
              </w:rPr>
              <w:t xml:space="preserve">联系人</w:t>
            </w:r>
            <w:r/>
          </w:p>
        </w:tc>
        <w:tc>
          <w:tcPr>
            <w:tcW w:w="2114" w:type="dxa"/>
            <w:vAlign w:val="center"/>
            <w:textDirection w:val="lrTb"/>
            <w:noWrap w:val="false"/>
          </w:tcPr>
          <w:p>
            <w:pPr>
              <w:pStyle w:val="892"/>
              <w:jc w:val="center"/>
              <w:rPr>
                <w:rFonts w:hint="eastAsia" w:ascii="宋体" w:hAnsi="宋体" w:eastAsia="宋体" w:cs="宋体"/>
                <w:color w:val="auto"/>
              </w:rPr>
            </w:pPr>
            <w:r>
              <w:rPr>
                <w:rFonts w:hint="eastAsia" w:ascii="宋体" w:hAnsi="宋体" w:eastAsia="宋体" w:cs="宋体"/>
                <w:color w:val="auto"/>
              </w:rPr>
            </w:r>
            <w:r/>
          </w:p>
        </w:tc>
      </w:tr>
      <w:tr>
        <w:trPr>
          <w:trHeight w:val="567"/>
        </w:trPr>
        <w:tc>
          <w:tcPr>
            <w:tcW w:w="2147" w:type="dxa"/>
            <w:vAlign w:val="center"/>
            <w:textDirection w:val="lrTb"/>
            <w:noWrap w:val="false"/>
          </w:tcPr>
          <w:p>
            <w:pPr>
              <w:pStyle w:val="892"/>
              <w:ind w:firstLine="0"/>
              <w:jc w:val="center"/>
              <w:rPr>
                <w:rFonts w:hint="eastAsia" w:ascii="宋体" w:hAnsi="宋体" w:eastAsia="宋体" w:cs="宋体"/>
                <w:b/>
                <w:bCs/>
                <w:color w:val="auto"/>
              </w:rPr>
            </w:pPr>
            <w:r>
              <w:rPr>
                <w:rFonts w:hint="eastAsia" w:ascii="宋体" w:hAnsi="宋体" w:eastAsia="宋体" w:cs="宋体"/>
                <w:b/>
                <w:bCs/>
                <w:color w:val="auto"/>
              </w:rPr>
              <w:t xml:space="preserve">联系地址</w:t>
            </w:r>
            <w:r/>
          </w:p>
        </w:tc>
        <w:tc>
          <w:tcPr>
            <w:tcW w:w="2114" w:type="dxa"/>
            <w:vAlign w:val="center"/>
            <w:textDirection w:val="lrTb"/>
            <w:noWrap w:val="false"/>
          </w:tcPr>
          <w:p>
            <w:pPr>
              <w:pStyle w:val="892"/>
              <w:jc w:val="center"/>
              <w:rPr>
                <w:rFonts w:hint="eastAsia" w:ascii="宋体" w:hAnsi="宋体" w:eastAsia="宋体" w:cs="宋体"/>
                <w:color w:val="auto"/>
              </w:rPr>
            </w:pPr>
            <w:r>
              <w:rPr>
                <w:rFonts w:hint="eastAsia" w:ascii="宋体" w:hAnsi="宋体" w:eastAsia="宋体" w:cs="宋体"/>
                <w:color w:val="auto"/>
              </w:rPr>
            </w:r>
            <w:r/>
          </w:p>
        </w:tc>
        <w:tc>
          <w:tcPr>
            <w:tcW w:w="2147" w:type="dxa"/>
            <w:vAlign w:val="center"/>
            <w:textDirection w:val="lrTb"/>
            <w:noWrap w:val="false"/>
          </w:tcPr>
          <w:p>
            <w:pPr>
              <w:pStyle w:val="892"/>
              <w:ind w:firstLine="0"/>
              <w:jc w:val="center"/>
              <w:rPr>
                <w:rFonts w:hint="eastAsia" w:ascii="宋体" w:hAnsi="宋体" w:eastAsia="宋体" w:cs="宋体"/>
                <w:b/>
                <w:bCs/>
                <w:color w:val="auto"/>
              </w:rPr>
            </w:pPr>
            <w:r>
              <w:rPr>
                <w:rFonts w:hint="eastAsia" w:ascii="宋体" w:hAnsi="宋体" w:eastAsia="宋体" w:cs="宋体"/>
                <w:b/>
                <w:bCs/>
                <w:color w:val="auto"/>
              </w:rPr>
              <w:t xml:space="preserve">联系电话</w:t>
            </w:r>
            <w:r/>
          </w:p>
        </w:tc>
        <w:tc>
          <w:tcPr>
            <w:tcW w:w="2114" w:type="dxa"/>
            <w:vAlign w:val="center"/>
            <w:textDirection w:val="lrTb"/>
            <w:noWrap w:val="false"/>
          </w:tcPr>
          <w:p>
            <w:pPr>
              <w:pStyle w:val="892"/>
              <w:jc w:val="center"/>
              <w:rPr>
                <w:rFonts w:hint="eastAsia" w:ascii="宋体" w:hAnsi="宋体" w:eastAsia="宋体" w:cs="宋体"/>
                <w:color w:val="auto"/>
              </w:rPr>
            </w:pPr>
            <w:r>
              <w:rPr>
                <w:rFonts w:hint="eastAsia" w:ascii="宋体" w:hAnsi="宋体" w:eastAsia="宋体" w:cs="宋体"/>
                <w:color w:val="auto"/>
              </w:rPr>
            </w:r>
            <w:r/>
          </w:p>
        </w:tc>
      </w:tr>
      <w:tr>
        <w:trPr>
          <w:trHeight w:val="780"/>
        </w:trPr>
        <w:tc>
          <w:tcPr>
            <w:tcW w:w="2147" w:type="dxa"/>
            <w:vAlign w:val="center"/>
            <w:textDirection w:val="lrTb"/>
            <w:noWrap w:val="false"/>
          </w:tcPr>
          <w:p>
            <w:pPr>
              <w:pStyle w:val="892"/>
              <w:ind w:firstLine="0"/>
              <w:jc w:val="center"/>
              <w:rPr>
                <w:rFonts w:hint="eastAsia" w:ascii="宋体" w:hAnsi="宋体" w:eastAsia="宋体" w:cs="宋体"/>
                <w:b/>
                <w:bCs/>
                <w:color w:val="auto"/>
              </w:rPr>
            </w:pPr>
            <w:r>
              <w:rPr>
                <w:rFonts w:hint="eastAsia" w:ascii="宋体" w:hAnsi="宋体" w:eastAsia="宋体" w:cs="宋体"/>
                <w:b/>
                <w:bCs/>
                <w:color w:val="auto"/>
              </w:rPr>
              <w:t xml:space="preserve">诚信档案记录情况</w:t>
            </w:r>
            <w:r/>
          </w:p>
        </w:tc>
        <w:tc>
          <w:tcPr>
            <w:gridSpan w:val="3"/>
            <w:tcW w:w="6375" w:type="dxa"/>
            <w:vAlign w:val="center"/>
            <w:textDirection w:val="lrTb"/>
            <w:noWrap w:val="false"/>
          </w:tcPr>
          <w:p>
            <w:pPr>
              <w:pStyle w:val="892"/>
              <w:jc w:val="center"/>
              <w:rPr>
                <w:rFonts w:hint="eastAsia" w:ascii="宋体" w:hAnsi="宋体" w:eastAsia="宋体" w:cs="宋体"/>
                <w:color w:val="auto"/>
              </w:rPr>
            </w:pPr>
            <w:r>
              <w:rPr>
                <w:rFonts w:hint="eastAsia" w:ascii="宋体" w:hAnsi="宋体" w:eastAsia="宋体" w:cs="宋体"/>
                <w:color w:val="auto"/>
              </w:rPr>
            </w:r>
            <w:r/>
          </w:p>
        </w:tc>
      </w:tr>
      <w:tr>
        <w:trPr>
          <w:trHeight w:val="6368"/>
        </w:trPr>
        <w:tc>
          <w:tcPr>
            <w:tcW w:w="2147" w:type="dxa"/>
            <w:vAlign w:val="center"/>
            <w:textDirection w:val="lrTb"/>
            <w:noWrap w:val="false"/>
          </w:tcPr>
          <w:p>
            <w:pPr>
              <w:pStyle w:val="892"/>
              <w:ind w:firstLine="0"/>
              <w:jc w:val="center"/>
              <w:rPr>
                <w:rFonts w:hint="eastAsia" w:ascii="宋体" w:hAnsi="宋体" w:eastAsia="宋体" w:cs="宋体"/>
                <w:b/>
                <w:bCs/>
                <w:color w:val="auto"/>
              </w:rPr>
            </w:pPr>
            <w:r>
              <w:rPr>
                <w:rFonts w:hint="eastAsia" w:ascii="宋体" w:hAnsi="宋体" w:eastAsia="宋体" w:cs="宋体"/>
                <w:b/>
                <w:bCs/>
                <w:color w:val="auto"/>
              </w:rPr>
              <w:t xml:space="preserve">信用承诺</w:t>
            </w:r>
            <w:r/>
          </w:p>
        </w:tc>
        <w:tc>
          <w:tcPr>
            <w:gridSpan w:val="3"/>
            <w:tcW w:w="6375" w:type="dxa"/>
            <w:vAlign w:val="center"/>
            <w:textDirection w:val="lrTb"/>
            <w:noWrap w:val="false"/>
          </w:tcPr>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w:t>
            </w:r>
            <w:r/>
          </w:p>
          <w:p>
            <w:pPr>
              <w:spacing w:line="360" w:lineRule="auto"/>
              <w:rPr>
                <w:rFonts w:hint="eastAsia" w:ascii="宋体" w:hAnsi="宋体" w:eastAsia="宋体" w:cs="宋体"/>
                <w:color w:val="auto"/>
              </w:rPr>
            </w:pPr>
            <w:r>
              <w:rPr>
                <w:rFonts w:hint="eastAsia" w:ascii="宋体" w:hAnsi="宋体" w:eastAsia="宋体" w:cs="宋体"/>
                <w:color w:val="auto"/>
              </w:rPr>
              <w:t xml:space="preserve">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信用承诺如有弄虚作假或其他违法违规行为，愿承担一切法律责任，接受各级政府采购监管部门和有权机关的审查和处罚。</w:t>
            </w:r>
            <w:r/>
          </w:p>
          <w:p>
            <w:pPr>
              <w:pStyle w:val="892"/>
              <w:rPr>
                <w:rFonts w:hint="eastAsia" w:ascii="宋体" w:hAnsi="宋体" w:eastAsia="宋体" w:cs="宋体"/>
                <w:color w:val="auto"/>
              </w:rPr>
            </w:pPr>
            <w:r>
              <w:rPr>
                <w:rFonts w:hint="eastAsia" w:ascii="宋体" w:hAnsi="宋体" w:eastAsia="宋体" w:cs="宋体"/>
                <w:color w:val="auto"/>
              </w:rPr>
            </w:r>
            <w:r/>
          </w:p>
          <w:p>
            <w:pPr>
              <w:pStyle w:val="892"/>
              <w:rPr>
                <w:rFonts w:hint="eastAsia" w:ascii="宋体" w:hAnsi="宋体" w:eastAsia="宋体" w:cs="宋体"/>
                <w:color w:val="auto"/>
              </w:rPr>
            </w:pPr>
            <w:r>
              <w:rPr>
                <w:rFonts w:hint="eastAsia" w:ascii="宋体" w:hAnsi="宋体" w:eastAsia="宋体" w:cs="宋体"/>
                <w:color w:val="auto"/>
              </w:rPr>
            </w:r>
            <w:r/>
          </w:p>
          <w:p>
            <w:pPr>
              <w:pStyle w:val="892"/>
              <w:spacing w:line="360" w:lineRule="auto"/>
              <w:rPr>
                <w:rFonts w:hint="eastAsia" w:ascii="宋体" w:hAnsi="宋体" w:eastAsia="宋体" w:cs="宋体"/>
                <w:color w:val="auto"/>
              </w:rPr>
            </w:pPr>
            <w:r>
              <w:rPr>
                <w:rFonts w:hint="eastAsia" w:ascii="宋体" w:hAnsi="宋体" w:eastAsia="宋体" w:cs="宋体"/>
                <w:color w:val="auto"/>
              </w:rPr>
              <w:t xml:space="preserve">供应商名称（盖章）</w:t>
            </w:r>
            <w:r/>
          </w:p>
          <w:p>
            <w:pPr>
              <w:pStyle w:val="892"/>
              <w:spacing w:line="360" w:lineRule="auto"/>
              <w:rPr>
                <w:rFonts w:hint="eastAsia" w:ascii="宋体" w:hAnsi="宋体" w:eastAsia="宋体" w:cs="宋体"/>
                <w:color w:val="auto"/>
              </w:rPr>
            </w:pPr>
            <w:r>
              <w:rPr>
                <w:rFonts w:hint="eastAsia" w:ascii="宋体" w:hAnsi="宋体" w:eastAsia="宋体" w:cs="宋体"/>
                <w:color w:val="auto"/>
              </w:rPr>
              <w:t xml:space="preserve">法定代表人（签字）</w:t>
            </w:r>
            <w:r/>
          </w:p>
          <w:p>
            <w:pPr>
              <w:pStyle w:val="892"/>
              <w:jc w:val="right"/>
              <w:spacing w:line="360" w:lineRule="auto"/>
              <w:rPr>
                <w:rFonts w:hint="eastAsia" w:ascii="宋体" w:hAnsi="宋体" w:eastAsia="宋体" w:cs="宋体"/>
                <w:color w:val="auto"/>
              </w:rPr>
            </w:pPr>
            <w:r>
              <w:rPr>
                <w:rFonts w:hint="eastAsia" w:ascii="宋体" w:hAnsi="宋体" w:eastAsia="宋体" w:cs="宋体"/>
                <w:color w:val="auto"/>
              </w:rPr>
              <w:t xml:space="preserve">年月日</w:t>
            </w:r>
            <w:r/>
          </w:p>
        </w:tc>
      </w:tr>
    </w:tbl>
    <w:p>
      <w:pPr>
        <w:jc w:val="center"/>
        <w:widowControl/>
        <w:rPr>
          <w:rFonts w:hint="eastAsia" w:ascii="宋体" w:hAnsi="宋体" w:eastAsia="宋体" w:cs="宋体"/>
          <w:b/>
          <w:color w:val="auto"/>
          <w:szCs w:val="21"/>
        </w:rPr>
      </w:pPr>
      <w:r>
        <w:rPr>
          <w:rFonts w:hint="eastAsia" w:ascii="宋体" w:hAnsi="宋体" w:eastAsia="宋体" w:cs="宋体"/>
          <w:b/>
          <w:color w:val="auto"/>
          <w:szCs w:val="21"/>
        </w:rPr>
      </w:r>
      <w:r/>
    </w:p>
    <w:p>
      <w:pPr>
        <w:jc w:val="center"/>
        <w:widowControl/>
        <w:rPr>
          <w:rFonts w:hint="eastAsia" w:ascii="宋体" w:hAnsi="宋体" w:eastAsia="宋体" w:cs="宋体"/>
          <w:b/>
          <w:color w:val="auto"/>
          <w:sz w:val="18"/>
          <w:szCs w:val="18"/>
          <w:lang w:val="zh-CN"/>
        </w:rPr>
      </w:pPr>
      <w:r>
        <w:rPr>
          <w:rFonts w:hint="eastAsia" w:ascii="宋体" w:hAnsi="宋体" w:eastAsia="宋体" w:cs="宋体"/>
          <w:b/>
          <w:color w:val="auto"/>
          <w:szCs w:val="21"/>
        </w:rPr>
        <w:t xml:space="preserve">本格式供参考，应</w:t>
      </w:r>
      <w:r>
        <w:rPr>
          <w:rFonts w:hint="eastAsia" w:ascii="宋体" w:hAnsi="宋体" w:eastAsia="宋体" w:cs="宋体"/>
          <w:b/>
          <w:color w:val="auto"/>
          <w:szCs w:val="21"/>
          <w:lang w:val="zh-CN"/>
        </w:rPr>
        <w:t xml:space="preserve">提供“信用南京”在线打印的《南京市政府采购供应商信用记录表暨信用承诺书》</w:t>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rPr>
          <w:rFonts w:hint="eastAsia" w:ascii="宋体" w:hAnsi="宋体" w:eastAsia="宋体" w:cs="宋体"/>
          <w:b/>
          <w:color w:val="auto"/>
          <w:sz w:val="22"/>
        </w:rPr>
      </w:pPr>
      <w:r/>
      <w:bookmarkStart w:id="117" w:name="_Toc21762"/>
      <w:r>
        <w:rPr>
          <w:rFonts w:hint="eastAsia" w:ascii="宋体" w:hAnsi="宋体" w:eastAsia="宋体" w:cs="宋体"/>
          <w:b/>
          <w:color w:val="auto"/>
          <w:sz w:val="22"/>
        </w:rPr>
        <w:br w:type="page" w:clear="all"/>
      </w:r>
      <w:r/>
    </w:p>
    <w:p>
      <w:pPr>
        <w:spacing w:line="360" w:lineRule="auto"/>
        <w:rPr>
          <w:rFonts w:hint="eastAsia" w:ascii="宋体" w:hAnsi="宋体" w:eastAsia="宋体" w:cs="宋体"/>
          <w:b/>
          <w:color w:val="auto"/>
          <w:sz w:val="22"/>
        </w:rPr>
      </w:pPr>
      <w:r>
        <w:rPr>
          <w:rFonts w:hint="eastAsia" w:ascii="宋体" w:hAnsi="宋体" w:eastAsia="宋体" w:cs="宋体"/>
          <w:b/>
          <w:color w:val="auto"/>
          <w:sz w:val="22"/>
        </w:rPr>
      </w:r>
      <w:r/>
    </w:p>
    <w:p>
      <w:pPr>
        <w:spacing w:line="360" w:lineRule="auto"/>
        <w:rPr>
          <w:rFonts w:hint="eastAsia" w:ascii="宋体" w:hAnsi="宋体" w:eastAsia="宋体" w:cs="宋体"/>
          <w:b/>
          <w:color w:val="auto"/>
          <w:sz w:val="22"/>
        </w:rPr>
        <w:outlineLvl w:val="0"/>
      </w:pPr>
      <w:r/>
      <w:bookmarkStart w:id="118" w:name="_Toc17972"/>
      <w:r>
        <w:rPr>
          <w:rFonts w:hint="eastAsia" w:ascii="宋体" w:hAnsi="宋体" w:eastAsia="宋体" w:cs="宋体"/>
          <w:b/>
          <w:color w:val="auto"/>
          <w:sz w:val="22"/>
        </w:rPr>
        <w:t xml:space="preserve">目录十三、中小企业声明函格式(一)</w:t>
      </w:r>
      <w:bookmarkEnd w:id="117"/>
      <w:r/>
      <w:bookmarkEnd w:id="118"/>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center"/>
        <w:spacing w:line="360" w:lineRule="auto"/>
        <w:rPr>
          <w:rFonts w:hint="eastAsia" w:ascii="宋体" w:hAnsi="宋体" w:eastAsia="宋体" w:cs="宋体"/>
          <w:b/>
          <w:bCs/>
          <w:color w:val="auto"/>
          <w:sz w:val="28"/>
          <w:szCs w:val="28"/>
        </w:rPr>
        <w:outlineLvl w:val="0"/>
      </w:pPr>
      <w:r/>
      <w:bookmarkStart w:id="119" w:name="_Toc9898"/>
      <w:r/>
      <w:bookmarkStart w:id="120" w:name="_Toc23791"/>
      <w:r>
        <w:rPr>
          <w:rFonts w:hint="eastAsia" w:ascii="宋体" w:hAnsi="宋体" w:eastAsia="宋体" w:cs="宋体"/>
          <w:b/>
          <w:bCs/>
          <w:color w:val="auto"/>
          <w:sz w:val="28"/>
          <w:szCs w:val="28"/>
        </w:rPr>
        <w:t xml:space="preserve">中小企业声明函(服务)</w:t>
      </w:r>
      <w:bookmarkEnd w:id="119"/>
      <w:r/>
      <w:bookmarkEnd w:id="120"/>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本公司（联合体）郑重声明，根据《政府采购促进中小企业发展管理办法》（财库﹝2020﹞46号）的规定，本公司（联合体）参加</w:t>
      </w:r>
      <w:r>
        <w:rPr>
          <w:rFonts w:hint="eastAsia" w:ascii="宋体" w:hAnsi="宋体" w:eastAsia="宋体" w:cs="宋体"/>
          <w:b/>
          <w:bCs/>
          <w:i/>
          <w:iCs/>
          <w:color w:val="auto"/>
          <w:sz w:val="22"/>
          <w:u w:val="single"/>
        </w:rPr>
        <w:t xml:space="preserve">（单位名称）</w:t>
      </w:r>
      <w:r>
        <w:rPr>
          <w:rFonts w:hint="eastAsia" w:ascii="宋体" w:hAnsi="宋体" w:eastAsia="宋体" w:cs="宋体"/>
          <w:color w:val="auto"/>
          <w:sz w:val="22"/>
        </w:rPr>
        <w:t xml:space="preserve">的</w:t>
      </w:r>
      <w:r>
        <w:rPr>
          <w:rFonts w:hint="eastAsia" w:ascii="宋体" w:hAnsi="宋体" w:eastAsia="宋体" w:cs="宋体"/>
          <w:b/>
          <w:bCs/>
          <w:i/>
          <w:iCs/>
          <w:color w:val="auto"/>
          <w:sz w:val="22"/>
          <w:u w:val="single"/>
        </w:rPr>
        <w:t xml:space="preserve">（项目名称）</w:t>
      </w:r>
      <w:r>
        <w:rPr>
          <w:rFonts w:hint="eastAsia" w:ascii="宋体" w:hAnsi="宋体" w:eastAsia="宋体" w:cs="宋体"/>
          <w:color w:val="auto"/>
          <w:sz w:val="2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42"/>
        <w:spacing w:line="360" w:lineRule="auto"/>
        <w:rPr>
          <w:rFonts w:hint="eastAsia" w:ascii="宋体" w:hAnsi="宋体" w:eastAsia="宋体" w:cs="宋体"/>
          <w:color w:val="auto"/>
          <w:sz w:val="22"/>
        </w:rPr>
      </w:pPr>
      <w:r>
        <w:rPr>
          <w:rFonts w:hint="eastAsia" w:ascii="宋体" w:hAnsi="宋体" w:eastAsia="宋体" w:cs="宋体"/>
          <w:b/>
          <w:bCs/>
          <w:i/>
          <w:iCs/>
          <w:color w:val="auto"/>
          <w:sz w:val="22"/>
          <w:u w:val="single"/>
        </w:rPr>
        <w:t xml:space="preserve">（标的名称）</w:t>
      </w:r>
      <w:r>
        <w:rPr>
          <w:rFonts w:hint="eastAsia" w:ascii="宋体" w:hAnsi="宋体" w:eastAsia="宋体" w:cs="宋体"/>
          <w:color w:val="auto"/>
          <w:sz w:val="22"/>
        </w:rPr>
        <w:t xml:space="preserve">，属于</w:t>
      </w:r>
      <w:r>
        <w:rPr>
          <w:rFonts w:hint="eastAsia" w:ascii="宋体" w:hAnsi="宋体" w:eastAsia="宋体" w:cs="宋体"/>
          <w:b/>
          <w:bCs/>
          <w:i/>
          <w:iCs/>
          <w:color w:val="auto"/>
          <w:sz w:val="22"/>
          <w:u w:val="single"/>
        </w:rPr>
        <w:t xml:space="preserve">（采购文件中明确的所属行业）</w:t>
      </w:r>
      <w:r>
        <w:rPr>
          <w:rFonts w:hint="eastAsia" w:ascii="宋体" w:hAnsi="宋体" w:eastAsia="宋体" w:cs="宋体"/>
          <w:color w:val="auto"/>
          <w:sz w:val="22"/>
        </w:rPr>
        <w:t xml:space="preserve">；承建（承接）企业为</w:t>
      </w:r>
      <w:r>
        <w:rPr>
          <w:rFonts w:hint="eastAsia" w:ascii="宋体" w:hAnsi="宋体" w:eastAsia="宋体" w:cs="宋体"/>
          <w:b/>
          <w:bCs/>
          <w:i/>
          <w:iCs/>
          <w:color w:val="auto"/>
          <w:sz w:val="22"/>
          <w:u w:val="single"/>
        </w:rPr>
        <w:t xml:space="preserve">（企业名称）</w:t>
      </w:r>
      <w:r>
        <w:rPr>
          <w:rFonts w:hint="eastAsia" w:ascii="宋体" w:hAnsi="宋体" w:eastAsia="宋体" w:cs="宋体"/>
          <w:color w:val="auto"/>
          <w:sz w:val="22"/>
        </w:rPr>
        <w:t xml:space="preserve">，从业人员人，营业收入为万元，资产总额为万元，属于</w:t>
      </w:r>
      <w:r>
        <w:rPr>
          <w:rFonts w:hint="eastAsia" w:ascii="宋体" w:hAnsi="宋体" w:eastAsia="宋体" w:cs="宋体"/>
          <w:b/>
          <w:bCs/>
          <w:i/>
          <w:iCs/>
          <w:color w:val="auto"/>
          <w:sz w:val="22"/>
          <w:u w:val="single"/>
        </w:rPr>
        <w:t xml:space="preserve">（中型企业、小型企业、微型企业）</w:t>
      </w:r>
      <w:r>
        <w:rPr>
          <w:rFonts w:hint="eastAsia" w:ascii="宋体" w:hAnsi="宋体" w:eastAsia="宋体" w:cs="宋体"/>
          <w:color w:val="auto"/>
          <w:sz w:val="22"/>
        </w:rPr>
        <w:t xml:space="preserve">；</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以上企业，不属于大企业的分支机构，不存在控股股东为大企业的情形，也不存在与大企业的负责人为同一人的情形。</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本企业对上述声明内容的真实性负责。如有虚假，将依法承担相应责任。</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企业名称（盖章）：</w:t>
      </w:r>
      <w:r/>
    </w:p>
    <w:p>
      <w:pPr>
        <w:ind w:firstLine="480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日期：</w:t>
      </w:r>
      <w:r/>
    </w:p>
    <w:p>
      <w:pPr>
        <w:pStyle w:val="892"/>
        <w:rPr>
          <w:rFonts w:hint="eastAsia" w:ascii="宋体" w:hAnsi="宋体" w:eastAsia="宋体" w:cs="宋体"/>
          <w:color w:val="auto"/>
        </w:rPr>
      </w:pPr>
      <w:r>
        <w:rPr>
          <w:rFonts w:hint="eastAsia" w:ascii="宋体" w:hAnsi="宋体" w:eastAsia="宋体" w:cs="宋体"/>
          <w:color w:val="auto"/>
        </w:rPr>
      </w:r>
      <w:r/>
    </w:p>
    <w:p>
      <w:pPr>
        <w:pStyle w:val="892"/>
        <w:rPr>
          <w:rFonts w:hint="eastAsia" w:ascii="宋体" w:hAnsi="宋体" w:eastAsia="宋体" w:cs="宋体"/>
          <w:color w:val="auto"/>
        </w:rPr>
      </w:pPr>
      <w:r>
        <w:rPr>
          <w:rFonts w:hint="eastAsia" w:ascii="宋体" w:hAnsi="宋体" w:eastAsia="宋体" w:cs="宋体"/>
          <w:color w:val="auto"/>
        </w:rPr>
      </w:r>
      <w:r/>
    </w:p>
    <w:p>
      <w:pPr>
        <w:pStyle w:val="892"/>
        <w:rPr>
          <w:rFonts w:hint="eastAsia" w:ascii="宋体" w:hAnsi="宋体" w:eastAsia="宋体" w:cs="宋体"/>
          <w:color w:val="auto"/>
        </w:rPr>
      </w:pPr>
      <w:r>
        <w:rPr>
          <w:rFonts w:hint="eastAsia" w:ascii="宋体" w:hAnsi="宋体" w:eastAsia="宋体" w:cs="宋体"/>
          <w:color w:val="auto"/>
        </w:rPr>
      </w:r>
      <w:r/>
    </w:p>
    <w:p>
      <w:pPr>
        <w:pStyle w:val="892"/>
        <w:rPr>
          <w:rFonts w:hint="eastAsia" w:ascii="宋体" w:hAnsi="宋体" w:eastAsia="宋体" w:cs="宋体"/>
          <w:color w:val="auto"/>
        </w:rPr>
      </w:pPr>
      <w:r>
        <w:rPr>
          <w:rFonts w:hint="eastAsia" w:ascii="宋体" w:hAnsi="宋体" w:eastAsia="宋体" w:cs="宋体"/>
          <w:color w:val="auto"/>
        </w:rPr>
      </w:r>
      <w:r/>
    </w:p>
    <w:p>
      <w:pPr>
        <w:pStyle w:val="892"/>
        <w:rPr>
          <w:rFonts w:hint="eastAsia" w:ascii="宋体" w:hAnsi="宋体" w:eastAsia="宋体" w:cs="宋体"/>
          <w:color w:val="auto"/>
        </w:rPr>
      </w:pPr>
      <w:r>
        <w:rPr>
          <w:rFonts w:hint="eastAsia" w:ascii="宋体" w:hAnsi="宋体" w:eastAsia="宋体" w:cs="宋体"/>
          <w:color w:val="auto"/>
        </w:rPr>
      </w:r>
      <w:r/>
    </w:p>
    <w:p>
      <w:pPr>
        <w:pStyle w:val="892"/>
        <w:rPr>
          <w:rFonts w:hint="eastAsia" w:ascii="宋体" w:hAnsi="宋体" w:eastAsia="宋体" w:cs="宋体"/>
          <w:color w:val="auto"/>
        </w:rPr>
      </w:pPr>
      <w:r>
        <w:rPr>
          <w:rFonts w:hint="eastAsia" w:ascii="宋体" w:hAnsi="宋体" w:eastAsia="宋体" w:cs="宋体"/>
          <w:color w:val="auto"/>
        </w:rPr>
      </w:r>
      <w:r/>
    </w:p>
    <w:p>
      <w:pPr>
        <w:pStyle w:val="892"/>
        <w:rPr>
          <w:rFonts w:hint="eastAsia" w:ascii="宋体" w:hAnsi="宋体" w:eastAsia="宋体" w:cs="宋体"/>
          <w:color w:val="auto"/>
        </w:rPr>
      </w:pPr>
      <w:r>
        <w:rPr>
          <w:rFonts w:hint="eastAsia" w:ascii="宋体" w:hAnsi="宋体" w:eastAsia="宋体" w:cs="宋体"/>
          <w:color w:val="auto"/>
        </w:rPr>
      </w:r>
      <w:r/>
    </w:p>
    <w:p>
      <w:pPr>
        <w:pStyle w:val="892"/>
        <w:rPr>
          <w:rFonts w:hint="eastAsia" w:ascii="宋体" w:hAnsi="宋体" w:eastAsia="宋体" w:cs="宋体"/>
          <w:color w:val="auto"/>
        </w:rPr>
      </w:pPr>
      <w:r>
        <w:rPr>
          <w:rFonts w:hint="eastAsia" w:ascii="宋体" w:hAnsi="宋体" w:eastAsia="宋体" w:cs="宋体"/>
          <w:color w:val="auto"/>
        </w:rPr>
      </w:r>
      <w:r/>
    </w:p>
    <w:p>
      <w:pPr>
        <w:pStyle w:val="892"/>
        <w:rPr>
          <w:rFonts w:hint="eastAsia" w:ascii="宋体" w:hAnsi="宋体" w:eastAsia="宋体" w:cs="宋体"/>
          <w:color w:val="auto"/>
        </w:rPr>
      </w:pPr>
      <w:r>
        <w:rPr>
          <w:rFonts w:hint="eastAsia" w:ascii="宋体" w:hAnsi="宋体" w:eastAsia="宋体" w:cs="宋体"/>
          <w:color w:val="auto"/>
        </w:rPr>
      </w:r>
      <w:r/>
    </w:p>
    <w:p>
      <w:pPr>
        <w:pStyle w:val="892"/>
        <w:rPr>
          <w:rFonts w:hint="eastAsia" w:ascii="宋体" w:hAnsi="宋体" w:eastAsia="宋体" w:cs="宋体"/>
          <w:color w:val="auto"/>
        </w:rPr>
      </w:pPr>
      <w:r>
        <w:rPr>
          <w:rFonts w:hint="eastAsia" w:ascii="宋体" w:hAnsi="宋体" w:eastAsia="宋体" w:cs="宋体"/>
          <w:color w:val="auto"/>
        </w:rPr>
      </w:r>
      <w:r/>
    </w:p>
    <w:p>
      <w:pPr>
        <w:pStyle w:val="892"/>
        <w:rPr>
          <w:rFonts w:hint="eastAsia" w:ascii="宋体" w:hAnsi="宋体" w:eastAsia="宋体" w:cs="宋体"/>
          <w:color w:val="auto"/>
        </w:rPr>
      </w:pPr>
      <w:r>
        <w:rPr>
          <w:rFonts w:hint="eastAsia" w:ascii="宋体" w:hAnsi="宋体" w:eastAsia="宋体" w:cs="宋体"/>
          <w:color w:val="auto"/>
        </w:rPr>
      </w:r>
      <w:r/>
    </w:p>
    <w:p>
      <w:pPr>
        <w:pStyle w:val="892"/>
        <w:rPr>
          <w:rFonts w:hint="eastAsia" w:ascii="宋体" w:hAnsi="宋体" w:eastAsia="宋体" w:cs="宋体"/>
          <w:color w:val="auto"/>
        </w:rPr>
      </w:pPr>
      <w:r>
        <w:rPr>
          <w:rFonts w:hint="eastAsia" w:ascii="宋体" w:hAnsi="宋体" w:eastAsia="宋体" w:cs="宋体"/>
          <w:color w:val="auto"/>
        </w:rPr>
      </w:r>
      <w:r/>
    </w:p>
    <w:p>
      <w:pPr>
        <w:pStyle w:val="892"/>
        <w:rPr>
          <w:rFonts w:hint="eastAsia" w:ascii="宋体" w:hAnsi="宋体" w:eastAsia="宋体" w:cs="宋体"/>
          <w:color w:val="auto"/>
        </w:rPr>
      </w:pPr>
      <w:r>
        <w:rPr>
          <w:rFonts w:hint="eastAsia" w:ascii="宋体" w:hAnsi="宋体" w:eastAsia="宋体" w:cs="宋体"/>
          <w:color w:val="auto"/>
        </w:rPr>
      </w:r>
      <w:r/>
    </w:p>
    <w:p>
      <w:pPr>
        <w:pStyle w:val="892"/>
        <w:rPr>
          <w:rFonts w:hint="eastAsia" w:ascii="宋体" w:hAnsi="宋体" w:eastAsia="宋体" w:cs="宋体"/>
          <w:color w:val="auto"/>
        </w:rPr>
      </w:pPr>
      <w:r>
        <w:rPr>
          <w:rFonts w:hint="eastAsia" w:ascii="宋体" w:hAnsi="宋体" w:eastAsia="宋体" w:cs="宋体"/>
          <w:color w:val="auto"/>
        </w:rPr>
      </w:r>
      <w:r/>
    </w:p>
    <w:p>
      <w:pPr>
        <w:pStyle w:val="892"/>
        <w:rPr>
          <w:rFonts w:hint="eastAsia" w:ascii="宋体" w:hAnsi="宋体" w:eastAsia="宋体" w:cs="宋体"/>
          <w:color w:val="auto"/>
        </w:rPr>
      </w:pPr>
      <w:r>
        <w:rPr>
          <w:rFonts w:hint="eastAsia" w:ascii="宋体" w:hAnsi="宋体" w:eastAsia="宋体" w:cs="宋体"/>
          <w:color w:val="auto"/>
        </w:rPr>
      </w:r>
      <w:r/>
    </w:p>
    <w:p>
      <w:pPr>
        <w:pStyle w:val="939"/>
        <w:ind w:firstLine="210"/>
        <w:rPr>
          <w:rFonts w:hint="eastAsia" w:ascii="宋体" w:hAnsi="宋体" w:eastAsia="宋体" w:cs="宋体"/>
          <w:color w:val="auto"/>
          <w:lang w:eastAsia="zh-CN"/>
        </w:rPr>
      </w:pPr>
      <w:r>
        <w:rPr>
          <w:rFonts w:hint="eastAsia" w:ascii="宋体" w:hAnsi="宋体" w:eastAsia="宋体" w:cs="宋体"/>
          <w:color w:val="auto"/>
          <w:lang w:eastAsia="zh-CN"/>
        </w:rPr>
      </w:r>
      <w:r/>
    </w:p>
    <w:p>
      <w:pPr>
        <w:rPr>
          <w:rFonts w:hint="eastAsia" w:ascii="宋体" w:hAnsi="宋体" w:eastAsia="宋体" w:cs="宋体"/>
          <w:b/>
          <w:color w:val="auto"/>
          <w:sz w:val="22"/>
        </w:rPr>
      </w:pPr>
      <w:r/>
      <w:bookmarkStart w:id="121" w:name="_Toc16567"/>
      <w:r/>
      <w:bookmarkStart w:id="122" w:name="_Toc22355"/>
      <w:r>
        <w:rPr>
          <w:rFonts w:hint="eastAsia" w:ascii="宋体" w:hAnsi="宋体" w:eastAsia="宋体" w:cs="宋体"/>
          <w:b/>
          <w:color w:val="auto"/>
          <w:sz w:val="22"/>
        </w:rPr>
        <w:br w:type="page" w:clear="all"/>
      </w:r>
      <w:r/>
    </w:p>
    <w:p>
      <w:pPr>
        <w:spacing w:line="360" w:lineRule="auto"/>
        <w:widowControl/>
        <w:rPr>
          <w:rFonts w:hint="eastAsia" w:ascii="宋体" w:hAnsi="宋体" w:eastAsia="宋体" w:cs="宋体"/>
          <w:b/>
          <w:color w:val="auto"/>
          <w:sz w:val="22"/>
        </w:rPr>
        <w:outlineLvl w:val="0"/>
      </w:pPr>
      <w:r>
        <w:rPr>
          <w:rFonts w:hint="eastAsia" w:ascii="宋体" w:hAnsi="宋体" w:eastAsia="宋体" w:cs="宋体"/>
          <w:b/>
          <w:color w:val="auto"/>
          <w:sz w:val="22"/>
        </w:rPr>
      </w:r>
      <w:r/>
    </w:p>
    <w:p>
      <w:pPr>
        <w:spacing w:line="360" w:lineRule="auto"/>
        <w:widowControl/>
        <w:rPr>
          <w:rFonts w:hint="eastAsia" w:ascii="宋体" w:hAnsi="宋体" w:eastAsia="宋体" w:cs="宋体"/>
          <w:b/>
          <w:color w:val="auto"/>
          <w:sz w:val="24"/>
          <w:szCs w:val="24"/>
        </w:rPr>
        <w:outlineLvl w:val="0"/>
      </w:pPr>
      <w:r>
        <w:rPr>
          <w:rFonts w:hint="eastAsia" w:ascii="宋体" w:hAnsi="宋体" w:eastAsia="宋体" w:cs="宋体"/>
          <w:b/>
          <w:color w:val="auto"/>
          <w:sz w:val="22"/>
        </w:rPr>
        <w:t xml:space="preserve">目录十四</w:t>
      </w:r>
      <w:r>
        <w:rPr>
          <w:rFonts w:hint="eastAsia" w:ascii="宋体" w:hAnsi="宋体" w:eastAsia="宋体" w:cs="宋体"/>
          <w:b/>
          <w:color w:val="auto"/>
          <w:sz w:val="24"/>
          <w:szCs w:val="24"/>
        </w:rPr>
        <w:t xml:space="preserve">、无重大违法记录声明格式</w:t>
      </w:r>
      <w:bookmarkEnd w:id="121"/>
      <w:r/>
      <w:bookmarkEnd w:id="122"/>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center"/>
        <w:spacing w:line="360" w:lineRule="auto"/>
        <w:rPr>
          <w:rFonts w:hint="eastAsia" w:ascii="宋体" w:hAnsi="宋体" w:eastAsia="宋体" w:cs="宋体"/>
          <w:b/>
          <w:bCs/>
          <w:color w:val="auto"/>
          <w:sz w:val="28"/>
          <w:szCs w:val="28"/>
        </w:rPr>
        <w:outlineLvl w:val="0"/>
      </w:pPr>
      <w:r/>
      <w:bookmarkStart w:id="123" w:name="_Toc10961"/>
      <w:r/>
      <w:bookmarkStart w:id="124" w:name="_Toc27431"/>
      <w:r>
        <w:rPr>
          <w:rFonts w:hint="eastAsia" w:ascii="宋体" w:hAnsi="宋体" w:eastAsia="宋体" w:cs="宋体"/>
          <w:b/>
          <w:bCs/>
          <w:color w:val="auto"/>
          <w:sz w:val="28"/>
          <w:szCs w:val="28"/>
        </w:rPr>
        <w:t xml:space="preserve">无重大违法记录声明</w:t>
      </w:r>
      <w:bookmarkEnd w:id="123"/>
      <w:r/>
      <w:bookmarkEnd w:id="124"/>
      <w:r/>
      <w:r/>
    </w:p>
    <w:p>
      <w:pP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南京市江宁区城市管理局：</w:t>
      </w:r>
      <w:r/>
    </w:p>
    <w:p>
      <w:pPr>
        <w:ind w:firstLine="418"/>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我单位</w:t>
      </w:r>
      <w:r>
        <w:rPr>
          <w:rFonts w:hint="eastAsia" w:ascii="宋体" w:hAnsi="宋体" w:eastAsia="宋体" w:cs="宋体"/>
          <w:color w:val="auto"/>
          <w:sz w:val="22"/>
          <w:u w:val="single"/>
        </w:rPr>
        <w:t xml:space="preserve">（供应商名称）</w:t>
      </w:r>
      <w:r>
        <w:rPr>
          <w:rFonts w:hint="eastAsia" w:ascii="宋体" w:hAnsi="宋体" w:eastAsia="宋体" w:cs="宋体"/>
          <w:color w:val="auto"/>
          <w:sz w:val="22"/>
        </w:rPr>
        <w:t xml:space="preserve">郑重声明：</w:t>
      </w:r>
      <w:r/>
    </w:p>
    <w:p>
      <w:pPr>
        <w:ind w:firstLine="418"/>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参加政府采购活动前3年内在经营活动中 </w:t>
      </w:r>
      <w:r>
        <w:rPr>
          <w:rFonts w:hint="eastAsia" w:ascii="宋体" w:hAnsi="宋体" w:eastAsia="宋体" w:cs="宋体"/>
          <w:color w:val="auto"/>
          <w:sz w:val="22"/>
          <w:u w:val="single"/>
        </w:rPr>
        <w:t xml:space="preserve">         </w:t>
      </w:r>
      <w:r>
        <w:rPr>
          <w:rFonts w:hint="eastAsia" w:ascii="宋体" w:hAnsi="宋体" w:eastAsia="宋体" w:cs="宋体"/>
          <w:color w:val="auto"/>
          <w:sz w:val="22"/>
        </w:rPr>
        <w:t xml:space="preserve">（在下划线上如实填写：有或没有）重大违法记录。</w:t>
      </w:r>
      <w:r/>
    </w:p>
    <w:p>
      <w:pP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auto"/>
          <w:sz w:val="22"/>
        </w:rPr>
      </w:pPr>
      <w:r>
        <w:rPr>
          <w:rFonts w:hint="eastAsia" w:ascii="宋体" w:hAnsi="宋体" w:eastAsia="宋体" w:cs="宋体"/>
          <w:color w:val="auto"/>
          <w:sz w:val="22"/>
        </w:rPr>
      </w:r>
      <w:r/>
    </w:p>
    <w:p>
      <w:pPr>
        <w:ind w:firstLine="5038"/>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声明人：（公章）</w:t>
      </w:r>
      <w:r/>
    </w:p>
    <w:p>
      <w:pPr>
        <w:ind w:firstLine="5038"/>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日期：  年  月  日</w:t>
      </w:r>
      <w:r/>
    </w:p>
    <w:p>
      <w:pPr>
        <w:pStyle w:val="939"/>
        <w:ind w:firstLine="210"/>
        <w:rPr>
          <w:rFonts w:hint="eastAsia" w:ascii="宋体" w:hAnsi="宋体" w:eastAsia="宋体" w:cs="宋体"/>
          <w:color w:val="auto"/>
          <w:lang w:eastAsia="zh-CN"/>
        </w:rPr>
      </w:pPr>
      <w:r>
        <w:rPr>
          <w:rFonts w:hint="eastAsia" w:ascii="宋体" w:hAnsi="宋体" w:eastAsia="宋体" w:cs="宋体"/>
          <w:color w:val="auto"/>
          <w:lang w:eastAsia="zh-CN"/>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rPr>
          <w:rFonts w:hint="eastAsia" w:ascii="宋体" w:hAnsi="宋体" w:eastAsia="宋体" w:cs="宋体"/>
          <w:b/>
          <w:color w:val="auto"/>
          <w:sz w:val="24"/>
          <w:szCs w:val="24"/>
        </w:rPr>
      </w:pPr>
      <w:r/>
      <w:bookmarkStart w:id="125" w:name="_Toc26633"/>
      <w:r>
        <w:rPr>
          <w:rFonts w:hint="eastAsia" w:ascii="宋体" w:hAnsi="宋体" w:eastAsia="宋体" w:cs="宋体"/>
          <w:b/>
          <w:color w:val="auto"/>
          <w:sz w:val="24"/>
          <w:szCs w:val="24"/>
        </w:rPr>
        <w:br w:type="page" w:clear="all"/>
      </w:r>
      <w:r/>
    </w:p>
    <w:p>
      <w:pPr>
        <w:spacing w:line="360" w:lineRule="auto"/>
        <w:rPr>
          <w:rFonts w:hint="eastAsia" w:ascii="宋体" w:hAnsi="宋体" w:eastAsia="宋体" w:cs="宋体"/>
          <w:b/>
          <w:color w:val="auto"/>
          <w:sz w:val="22"/>
        </w:rPr>
      </w:pPr>
      <w:r>
        <w:rPr>
          <w:rFonts w:hint="eastAsia" w:ascii="宋体" w:hAnsi="宋体" w:eastAsia="宋体" w:cs="宋体"/>
          <w:b/>
          <w:color w:val="auto"/>
          <w:sz w:val="22"/>
        </w:rPr>
      </w:r>
      <w:r/>
    </w:p>
    <w:p>
      <w:pPr>
        <w:spacing w:line="360" w:lineRule="auto"/>
        <w:rPr>
          <w:rFonts w:hint="eastAsia" w:ascii="宋体" w:hAnsi="宋体" w:eastAsia="宋体" w:cs="宋体"/>
          <w:b/>
          <w:color w:val="auto"/>
          <w:sz w:val="24"/>
          <w:szCs w:val="24"/>
        </w:rPr>
        <w:outlineLvl w:val="0"/>
      </w:pPr>
      <w:r/>
      <w:bookmarkStart w:id="126" w:name="_Toc16750"/>
      <w:r>
        <w:rPr>
          <w:rFonts w:hint="eastAsia" w:ascii="宋体" w:hAnsi="宋体" w:eastAsia="宋体" w:cs="宋体"/>
          <w:b/>
          <w:color w:val="auto"/>
          <w:sz w:val="22"/>
        </w:rPr>
        <w:t xml:space="preserve">目录十五</w:t>
      </w:r>
      <w:r>
        <w:rPr>
          <w:rFonts w:hint="eastAsia" w:ascii="宋体" w:hAnsi="宋体" w:eastAsia="宋体" w:cs="宋体"/>
          <w:b/>
          <w:color w:val="auto"/>
          <w:sz w:val="24"/>
          <w:szCs w:val="24"/>
        </w:rPr>
        <w:t xml:space="preserve">、具备履行合同所必需的设备和专业技术能力的声明格式及证明材料</w:t>
      </w:r>
      <w:bookmarkEnd w:id="125"/>
      <w:r/>
      <w:bookmarkEnd w:id="126"/>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center"/>
        <w:spacing w:line="360" w:lineRule="auto"/>
        <w:rPr>
          <w:rFonts w:hint="eastAsia" w:ascii="宋体" w:hAnsi="宋体" w:eastAsia="宋体" w:cs="宋体"/>
          <w:b/>
          <w:bCs/>
          <w:color w:val="auto"/>
          <w:sz w:val="22"/>
        </w:rPr>
        <w:outlineLvl w:val="0"/>
      </w:pPr>
      <w:r/>
      <w:bookmarkStart w:id="127" w:name="_Toc17466"/>
      <w:r/>
      <w:bookmarkStart w:id="128" w:name="_Toc30986"/>
      <w:r>
        <w:rPr>
          <w:rFonts w:hint="eastAsia" w:ascii="宋体" w:hAnsi="宋体" w:eastAsia="宋体" w:cs="宋体"/>
          <w:b/>
          <w:bCs/>
          <w:color w:val="auto"/>
          <w:sz w:val="28"/>
          <w:szCs w:val="28"/>
        </w:rPr>
        <w:t xml:space="preserve">具备履行合同所必需的设备和专业技术能力的声明格式</w:t>
      </w:r>
      <w:bookmarkEnd w:id="127"/>
      <w:r/>
      <w:bookmarkEnd w:id="128"/>
      <w:r/>
      <w:r/>
    </w:p>
    <w:p>
      <w:pP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南京市江宁区城市管理局：</w:t>
      </w:r>
      <w:r/>
    </w:p>
    <w:p>
      <w:pPr>
        <w:ind w:firstLine="492"/>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我单位</w:t>
      </w:r>
      <w:r>
        <w:rPr>
          <w:rFonts w:hint="eastAsia" w:ascii="宋体" w:hAnsi="宋体" w:eastAsia="宋体" w:cs="宋体"/>
          <w:color w:val="auto"/>
          <w:sz w:val="22"/>
          <w:u w:val="single"/>
        </w:rPr>
        <w:t xml:space="preserve">（供应商名称）</w:t>
      </w:r>
      <w:r>
        <w:rPr>
          <w:rFonts w:hint="eastAsia" w:ascii="宋体" w:hAnsi="宋体" w:eastAsia="宋体" w:cs="宋体"/>
          <w:color w:val="auto"/>
          <w:sz w:val="22"/>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主要设备有：</w:t>
      </w:r>
      <w:r>
        <w:rPr>
          <w:rFonts w:hint="eastAsia" w:ascii="宋体" w:hAnsi="宋体" w:eastAsia="宋体" w:cs="宋体"/>
          <w:color w:val="auto"/>
          <w:sz w:val="22"/>
          <w:u w:val="single"/>
        </w:rPr>
        <w:t xml:space="preserve">                              </w:t>
      </w:r>
      <w:r/>
    </w:p>
    <w:p>
      <w:pPr>
        <w:ind w:firstLine="492"/>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主要专业技术能力有：</w:t>
      </w:r>
      <w:r>
        <w:rPr>
          <w:rFonts w:hint="eastAsia" w:ascii="宋体" w:hAnsi="宋体" w:eastAsia="宋体" w:cs="宋体"/>
          <w:color w:val="auto"/>
          <w:sz w:val="22"/>
          <w:u w:val="single"/>
        </w:rPr>
        <w:t xml:space="preserve">                              </w:t>
      </w:r>
      <w:r/>
    </w:p>
    <w:p>
      <w:pPr>
        <w:spacing w:line="360" w:lineRule="auto"/>
        <w:rPr>
          <w:rFonts w:hint="eastAsia" w:ascii="宋体" w:hAnsi="宋体" w:eastAsia="宋体" w:cs="宋体"/>
          <w:color w:val="auto"/>
          <w:sz w:val="22"/>
        </w:rPr>
      </w:pPr>
      <w:r>
        <w:rPr>
          <w:rFonts w:hint="eastAsia" w:ascii="宋体" w:hAnsi="宋体" w:eastAsia="宋体" w:cs="宋体"/>
          <w:color w:val="auto"/>
          <w:sz w:val="22"/>
        </w:rPr>
      </w:r>
      <w:r/>
    </w:p>
    <w:p>
      <w:pPr>
        <w:ind w:firstLine="5678"/>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声明人：（公章）</w:t>
      </w:r>
      <w:r/>
    </w:p>
    <w:p>
      <w:pPr>
        <w:ind w:firstLine="5678"/>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日期：年月日</w:t>
      </w:r>
      <w:r/>
    </w:p>
    <w:p>
      <w:pPr>
        <w:rPr>
          <w:rFonts w:hint="eastAsia" w:ascii="宋体" w:hAnsi="宋体" w:eastAsia="宋体" w:cs="宋体"/>
          <w:b/>
          <w:color w:val="auto"/>
          <w:spacing w:val="15"/>
          <w:szCs w:val="21"/>
        </w:rPr>
      </w:pPr>
      <w:r>
        <w:rPr>
          <w:rFonts w:hint="eastAsia" w:ascii="宋体" w:hAnsi="宋体" w:eastAsia="宋体" w:cs="宋体"/>
          <w:b/>
          <w:color w:val="auto"/>
          <w:spacing w:val="15"/>
          <w:szCs w:val="21"/>
        </w:rPr>
      </w:r>
      <w:r/>
    </w:p>
    <w:p>
      <w:pPr>
        <w:rPr>
          <w:rFonts w:hint="eastAsia" w:ascii="宋体" w:hAnsi="宋体" w:eastAsia="宋体" w:cs="宋体"/>
          <w:b/>
          <w:color w:val="auto"/>
          <w:spacing w:val="15"/>
          <w:szCs w:val="21"/>
        </w:rPr>
      </w:pPr>
      <w:r>
        <w:rPr>
          <w:rFonts w:hint="eastAsia" w:ascii="宋体" w:hAnsi="宋体" w:eastAsia="宋体" w:cs="宋体"/>
          <w:b/>
          <w:color w:val="auto"/>
          <w:spacing w:val="15"/>
          <w:szCs w:val="21"/>
        </w:rPr>
      </w:r>
      <w:r/>
    </w:p>
    <w:p>
      <w:pPr>
        <w:rPr>
          <w:rFonts w:hint="eastAsia" w:ascii="宋体" w:hAnsi="宋体" w:eastAsia="宋体" w:cs="宋体"/>
          <w:b/>
          <w:color w:val="auto"/>
          <w:spacing w:val="15"/>
          <w:szCs w:val="21"/>
        </w:rPr>
      </w:pPr>
      <w:r/>
      <w:bookmarkStart w:id="129" w:name="_Toc840"/>
      <w:r>
        <w:rPr>
          <w:rFonts w:hint="eastAsia" w:ascii="宋体" w:hAnsi="宋体" w:eastAsia="宋体" w:cs="宋体"/>
          <w:b/>
          <w:color w:val="auto"/>
          <w:spacing w:val="15"/>
          <w:szCs w:val="21"/>
        </w:rPr>
        <w:br w:type="page" w:clear="all"/>
      </w:r>
      <w:r/>
    </w:p>
    <w:p>
      <w:pPr>
        <w:rPr>
          <w:rFonts w:hint="eastAsia" w:ascii="宋体" w:hAnsi="宋体" w:eastAsia="宋体" w:cs="宋体"/>
          <w:b/>
          <w:color w:val="auto"/>
          <w:sz w:val="20"/>
          <w:szCs w:val="20"/>
        </w:rPr>
        <w:outlineLvl w:val="0"/>
      </w:pPr>
      <w:r/>
      <w:bookmarkStart w:id="130" w:name="_Toc12626"/>
      <w:r/>
      <w:r/>
    </w:p>
    <w:p>
      <w:pPr>
        <w:rPr>
          <w:rFonts w:hint="eastAsia" w:ascii="宋体" w:hAnsi="宋体" w:eastAsia="宋体" w:cs="宋体"/>
          <w:b/>
          <w:color w:val="auto"/>
          <w:spacing w:val="15"/>
          <w:sz w:val="18"/>
          <w:szCs w:val="18"/>
        </w:rPr>
        <w:outlineLvl w:val="0"/>
      </w:pPr>
      <w:r>
        <w:rPr>
          <w:rFonts w:hint="eastAsia" w:ascii="宋体" w:hAnsi="宋体" w:eastAsia="宋体" w:cs="宋体"/>
          <w:b/>
          <w:color w:val="auto"/>
          <w:sz w:val="20"/>
          <w:szCs w:val="20"/>
        </w:rPr>
        <w:t xml:space="preserve">目录十六</w:t>
      </w:r>
      <w:r>
        <w:rPr>
          <w:rFonts w:hint="eastAsia" w:ascii="宋体" w:hAnsi="宋体" w:eastAsia="宋体" w:cs="宋体"/>
          <w:b/>
          <w:color w:val="auto"/>
          <w:szCs w:val="21"/>
        </w:rPr>
        <w:t xml:space="preserve">、</w:t>
      </w:r>
      <w:r>
        <w:rPr>
          <w:rFonts w:hint="eastAsia" w:ascii="宋体" w:hAnsi="宋体" w:eastAsia="宋体" w:cs="宋体"/>
          <w:b/>
          <w:color w:val="auto"/>
          <w:spacing w:val="15"/>
          <w:szCs w:val="21"/>
        </w:rPr>
        <w:t xml:space="preserve">残疾人福利性单位声明函</w:t>
      </w:r>
      <w:bookmarkEnd w:id="129"/>
      <w:r>
        <w:rPr>
          <w:rFonts w:hint="eastAsia" w:ascii="宋体" w:hAnsi="宋体" w:eastAsia="宋体" w:cs="宋体"/>
          <w:b/>
          <w:bCs/>
          <w:color w:val="auto"/>
          <w:szCs w:val="21"/>
        </w:rPr>
        <w:t xml:space="preserve">（若有）</w:t>
      </w:r>
      <w:bookmarkEnd w:id="130"/>
      <w:r/>
      <w:r/>
    </w:p>
    <w:p>
      <w:pPr>
        <w:rPr>
          <w:rFonts w:hint="eastAsia" w:ascii="宋体" w:hAnsi="宋体" w:eastAsia="宋体" w:cs="宋体"/>
          <w:b/>
          <w:color w:val="auto"/>
          <w:spacing w:val="15"/>
          <w:szCs w:val="21"/>
        </w:rPr>
      </w:pPr>
      <w:r>
        <w:rPr>
          <w:rFonts w:hint="eastAsia" w:ascii="宋体" w:hAnsi="宋体" w:eastAsia="宋体" w:cs="宋体"/>
          <w:b/>
          <w:color w:val="auto"/>
          <w:spacing w:val="15"/>
          <w:szCs w:val="21"/>
        </w:rPr>
      </w:r>
      <w:r/>
    </w:p>
    <w:p>
      <w:pPr>
        <w:jc w:val="center"/>
        <w:rPr>
          <w:rFonts w:hint="eastAsia" w:ascii="宋体" w:hAnsi="宋体" w:eastAsia="宋体" w:cs="宋体"/>
          <w:b/>
          <w:color w:val="auto"/>
          <w:spacing w:val="15"/>
          <w:sz w:val="22"/>
        </w:rPr>
        <w:outlineLvl w:val="0"/>
      </w:pPr>
      <w:r/>
      <w:bookmarkStart w:id="131" w:name="_Toc23978"/>
      <w:r/>
      <w:bookmarkStart w:id="132" w:name="_Toc32721"/>
      <w:r>
        <w:rPr>
          <w:rFonts w:hint="eastAsia" w:ascii="宋体" w:hAnsi="宋体" w:eastAsia="宋体" w:cs="宋体"/>
          <w:b/>
          <w:color w:val="auto"/>
          <w:spacing w:val="15"/>
          <w:sz w:val="28"/>
          <w:szCs w:val="28"/>
        </w:rPr>
        <w:t xml:space="preserve">残疾人福利性单位声明函</w:t>
      </w:r>
      <w:bookmarkEnd w:id="131"/>
      <w:r/>
      <w:bookmarkEnd w:id="132"/>
      <w:r/>
      <w:r/>
    </w:p>
    <w:p>
      <w:pPr>
        <w:ind w:firstLine="500"/>
        <w:spacing w:line="360" w:lineRule="auto"/>
        <w:rPr>
          <w:rFonts w:hint="eastAsia" w:ascii="宋体" w:hAnsi="宋体" w:eastAsia="宋体" w:cs="宋体"/>
          <w:color w:val="auto"/>
          <w:spacing w:val="15"/>
          <w:sz w:val="22"/>
        </w:rPr>
      </w:pPr>
      <w:r>
        <w:rPr>
          <w:rFonts w:hint="eastAsia" w:ascii="宋体" w:hAnsi="宋体" w:eastAsia="宋体" w:cs="宋体"/>
          <w:color w:val="auto"/>
          <w:spacing w:val="15"/>
          <w:sz w:val="22"/>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spacing w:val="15"/>
          <w:sz w:val="22"/>
          <w:u w:val="single"/>
        </w:rPr>
        <w:t xml:space="preserve">       </w:t>
      </w:r>
      <w:r>
        <w:rPr>
          <w:rFonts w:hint="eastAsia" w:ascii="宋体" w:hAnsi="宋体" w:eastAsia="宋体" w:cs="宋体"/>
          <w:color w:val="auto"/>
          <w:spacing w:val="15"/>
          <w:sz w:val="22"/>
        </w:rPr>
        <w:t xml:space="preserve">单位的</w:t>
      </w:r>
      <w:r>
        <w:rPr>
          <w:rFonts w:hint="eastAsia" w:ascii="宋体" w:hAnsi="宋体" w:eastAsia="宋体" w:cs="宋体"/>
          <w:color w:val="auto"/>
          <w:spacing w:val="15"/>
          <w:sz w:val="22"/>
          <w:u w:val="single"/>
        </w:rPr>
        <w:t xml:space="preserve">       </w:t>
      </w:r>
      <w:r>
        <w:rPr>
          <w:rFonts w:hint="eastAsia" w:ascii="宋体" w:hAnsi="宋体" w:eastAsia="宋体" w:cs="宋体"/>
          <w:color w:val="auto"/>
          <w:spacing w:val="15"/>
          <w:sz w:val="22"/>
        </w:rPr>
        <w:t xml:space="preserve">项目采购活动提供本单位制造的货物（由本单位承担工程/提供服务），或者提供其他残疾人福利性单位制造的货物（不包括使用非残疾人福利性单位注册商标的货物）。</w:t>
      </w:r>
      <w:r/>
    </w:p>
    <w:p>
      <w:pPr>
        <w:ind w:firstLine="500"/>
        <w:spacing w:line="360" w:lineRule="auto"/>
        <w:rPr>
          <w:rFonts w:hint="eastAsia" w:ascii="宋体" w:hAnsi="宋体" w:eastAsia="宋体" w:cs="宋体"/>
          <w:color w:val="auto"/>
          <w:spacing w:val="15"/>
          <w:sz w:val="22"/>
        </w:rPr>
      </w:pPr>
      <w:r>
        <w:rPr>
          <w:rFonts w:hint="eastAsia" w:ascii="宋体" w:hAnsi="宋体" w:eastAsia="宋体" w:cs="宋体"/>
          <w:color w:val="auto"/>
          <w:spacing w:val="15"/>
          <w:sz w:val="22"/>
        </w:rPr>
        <w:t xml:space="preserve">本单位对上述声明的真实性负责。如有虚假，将依法承担相应责任。</w:t>
      </w:r>
      <w:r/>
    </w:p>
    <w:p>
      <w:pPr>
        <w:ind w:firstLine="502"/>
        <w:rPr>
          <w:rFonts w:hint="eastAsia" w:ascii="宋体" w:hAnsi="宋体" w:eastAsia="宋体" w:cs="宋体"/>
          <w:b/>
          <w:color w:val="auto"/>
          <w:spacing w:val="15"/>
          <w:sz w:val="22"/>
        </w:rPr>
      </w:pPr>
      <w:r>
        <w:rPr>
          <w:rFonts w:hint="eastAsia" w:ascii="宋体" w:hAnsi="宋体" w:eastAsia="宋体" w:cs="宋体"/>
          <w:b/>
          <w:color w:val="auto"/>
          <w:spacing w:val="15"/>
          <w:sz w:val="22"/>
        </w:rPr>
      </w:r>
      <w:r/>
    </w:p>
    <w:p>
      <w:pPr>
        <w:ind w:firstLine="502"/>
        <w:rPr>
          <w:rFonts w:hint="eastAsia" w:ascii="宋体" w:hAnsi="宋体" w:eastAsia="宋体" w:cs="宋体"/>
          <w:b/>
          <w:color w:val="auto"/>
          <w:spacing w:val="15"/>
          <w:sz w:val="22"/>
        </w:rPr>
      </w:pPr>
      <w:r>
        <w:rPr>
          <w:rFonts w:hint="eastAsia" w:ascii="宋体" w:hAnsi="宋体" w:eastAsia="宋体" w:cs="宋体"/>
          <w:b/>
          <w:color w:val="auto"/>
          <w:spacing w:val="15"/>
          <w:sz w:val="22"/>
        </w:rPr>
      </w:r>
      <w:r/>
    </w:p>
    <w:p>
      <w:pPr>
        <w:ind w:firstLine="3375"/>
        <w:rPr>
          <w:rFonts w:hint="eastAsia" w:ascii="宋体" w:hAnsi="宋体" w:eastAsia="宋体" w:cs="宋体"/>
          <w:color w:val="auto"/>
          <w:spacing w:val="15"/>
          <w:sz w:val="22"/>
        </w:rPr>
      </w:pPr>
      <w:r>
        <w:rPr>
          <w:rFonts w:hint="eastAsia" w:ascii="宋体" w:hAnsi="宋体" w:eastAsia="宋体" w:cs="宋体"/>
          <w:color w:val="auto"/>
          <w:spacing w:val="15"/>
          <w:sz w:val="22"/>
        </w:rPr>
        <w:t xml:space="preserve">单位名称（盖章）：</w:t>
      </w:r>
      <w:r/>
    </w:p>
    <w:p>
      <w:pPr>
        <w:ind w:firstLine="3375"/>
        <w:rPr>
          <w:rFonts w:hint="eastAsia" w:ascii="宋体" w:hAnsi="宋体" w:eastAsia="宋体" w:cs="宋体"/>
          <w:b/>
          <w:color w:val="auto"/>
          <w:spacing w:val="15"/>
          <w:sz w:val="22"/>
        </w:rPr>
      </w:pPr>
      <w:r>
        <w:rPr>
          <w:rFonts w:hint="eastAsia" w:ascii="宋体" w:hAnsi="宋体" w:eastAsia="宋体" w:cs="宋体"/>
          <w:color w:val="auto"/>
          <w:spacing w:val="15"/>
          <w:sz w:val="22"/>
        </w:rPr>
        <w:t xml:space="preserve">日期：</w:t>
      </w:r>
      <w:r>
        <w:rPr>
          <w:rFonts w:hint="eastAsia" w:ascii="宋体" w:hAnsi="宋体" w:eastAsia="宋体" w:cs="宋体"/>
          <w:color w:val="auto"/>
          <w:sz w:val="22"/>
        </w:rPr>
        <w:t xml:space="preserve">  年  月  日</w:t>
      </w:r>
      <w:r/>
    </w:p>
    <w:p>
      <w:pPr>
        <w:pStyle w:val="892"/>
        <w:ind w:firstLine="482"/>
        <w:rPr>
          <w:rFonts w:hint="eastAsia" w:ascii="宋体" w:hAnsi="宋体" w:eastAsia="宋体" w:cs="宋体"/>
          <w:b/>
          <w:color w:val="auto"/>
          <w:spacing w:val="15"/>
          <w:szCs w:val="21"/>
        </w:rPr>
      </w:pPr>
      <w:r>
        <w:rPr>
          <w:rFonts w:hint="eastAsia" w:ascii="宋体" w:hAnsi="宋体" w:eastAsia="宋体" w:cs="宋体"/>
          <w:b/>
          <w:color w:val="auto"/>
          <w:spacing w:val="15"/>
          <w:szCs w:val="21"/>
        </w:rPr>
      </w:r>
      <w:r/>
    </w:p>
    <w:p>
      <w:pPr>
        <w:pStyle w:val="892"/>
        <w:ind w:firstLine="482"/>
        <w:rPr>
          <w:rFonts w:hint="eastAsia" w:ascii="宋体" w:hAnsi="宋体" w:eastAsia="宋体" w:cs="宋体"/>
          <w:b/>
          <w:color w:val="auto"/>
          <w:spacing w:val="15"/>
          <w:szCs w:val="21"/>
        </w:rPr>
      </w:pPr>
      <w:r>
        <w:rPr>
          <w:rFonts w:hint="eastAsia" w:ascii="宋体" w:hAnsi="宋体" w:eastAsia="宋体" w:cs="宋体"/>
          <w:b/>
          <w:color w:val="auto"/>
          <w:spacing w:val="15"/>
          <w:szCs w:val="21"/>
        </w:rPr>
      </w:r>
      <w:r/>
    </w:p>
    <w:p>
      <w:pPr>
        <w:pStyle w:val="892"/>
        <w:ind w:firstLine="482"/>
        <w:rPr>
          <w:rFonts w:hint="eastAsia" w:ascii="宋体" w:hAnsi="宋体" w:eastAsia="宋体" w:cs="宋体"/>
          <w:b/>
          <w:color w:val="auto"/>
          <w:spacing w:val="15"/>
          <w:szCs w:val="21"/>
        </w:rPr>
      </w:pPr>
      <w:r>
        <w:rPr>
          <w:rFonts w:hint="eastAsia" w:ascii="宋体" w:hAnsi="宋体" w:eastAsia="宋体" w:cs="宋体"/>
          <w:b/>
          <w:color w:val="auto"/>
          <w:spacing w:val="15"/>
          <w:szCs w:val="21"/>
        </w:rPr>
      </w:r>
      <w:r/>
    </w:p>
    <w:p>
      <w:pPr>
        <w:pStyle w:val="892"/>
        <w:ind w:firstLine="482"/>
        <w:rPr>
          <w:rFonts w:hint="eastAsia" w:ascii="宋体" w:hAnsi="宋体" w:eastAsia="宋体" w:cs="宋体"/>
          <w:b/>
          <w:color w:val="auto"/>
          <w:spacing w:val="15"/>
          <w:szCs w:val="21"/>
        </w:rPr>
      </w:pPr>
      <w:r>
        <w:rPr>
          <w:rFonts w:hint="eastAsia" w:ascii="宋体" w:hAnsi="宋体" w:eastAsia="宋体" w:cs="宋体"/>
          <w:b/>
          <w:color w:val="auto"/>
          <w:spacing w:val="15"/>
          <w:szCs w:val="21"/>
        </w:rPr>
      </w:r>
      <w:r/>
    </w:p>
    <w:p>
      <w:pPr>
        <w:pStyle w:val="892"/>
        <w:ind w:firstLine="482"/>
        <w:rPr>
          <w:rFonts w:hint="eastAsia" w:ascii="宋体" w:hAnsi="宋体" w:eastAsia="宋体" w:cs="宋体"/>
          <w:b/>
          <w:color w:val="auto"/>
          <w:spacing w:val="15"/>
          <w:szCs w:val="21"/>
        </w:rPr>
      </w:pPr>
      <w:r>
        <w:rPr>
          <w:rFonts w:hint="eastAsia" w:ascii="宋体" w:hAnsi="宋体" w:eastAsia="宋体" w:cs="宋体"/>
          <w:b/>
          <w:color w:val="auto"/>
          <w:spacing w:val="15"/>
          <w:szCs w:val="21"/>
        </w:rPr>
      </w:r>
      <w:r/>
    </w:p>
    <w:p>
      <w:pPr>
        <w:rPr>
          <w:rFonts w:hint="eastAsia" w:ascii="宋体" w:hAnsi="宋体" w:eastAsia="宋体" w:cs="宋体"/>
          <w:b/>
          <w:color w:val="auto"/>
          <w:spacing w:val="15"/>
          <w:szCs w:val="21"/>
        </w:rPr>
      </w:pPr>
      <w:r>
        <w:rPr>
          <w:rFonts w:hint="eastAsia" w:ascii="宋体" w:hAnsi="宋体" w:eastAsia="宋体" w:cs="宋体"/>
          <w:b/>
          <w:color w:val="auto"/>
          <w:spacing w:val="15"/>
          <w:szCs w:val="21"/>
        </w:rPr>
        <w:br w:type="page" w:clear="all"/>
      </w:r>
      <w:r/>
    </w:p>
    <w:p>
      <w:pPr>
        <w:pStyle w:val="892"/>
        <w:ind w:firstLine="482"/>
        <w:rPr>
          <w:rFonts w:hint="eastAsia" w:ascii="宋体" w:hAnsi="宋体" w:eastAsia="宋体" w:cs="宋体"/>
          <w:b/>
          <w:color w:val="auto"/>
          <w:spacing w:val="15"/>
          <w:szCs w:val="21"/>
        </w:rPr>
      </w:pPr>
      <w:r>
        <w:rPr>
          <w:rFonts w:hint="eastAsia" w:ascii="宋体" w:hAnsi="宋体" w:eastAsia="宋体" w:cs="宋体"/>
          <w:b/>
          <w:color w:val="auto"/>
          <w:spacing w:val="15"/>
          <w:szCs w:val="21"/>
        </w:rPr>
      </w:r>
      <w:r/>
    </w:p>
    <w:p>
      <w:pPr>
        <w:rPr>
          <w:rFonts w:hint="eastAsia" w:ascii="宋体" w:hAnsi="宋体" w:eastAsia="宋体" w:cs="宋体"/>
          <w:b/>
          <w:color w:val="auto"/>
          <w:spacing w:val="15"/>
          <w:sz w:val="18"/>
          <w:szCs w:val="18"/>
        </w:rPr>
        <w:outlineLvl w:val="0"/>
      </w:pPr>
      <w:r/>
      <w:bookmarkStart w:id="133" w:name="_Toc4246"/>
      <w:r/>
      <w:bookmarkStart w:id="134" w:name="_Toc12348"/>
      <w:r>
        <w:rPr>
          <w:rFonts w:hint="eastAsia" w:ascii="宋体" w:hAnsi="宋体" w:eastAsia="宋体" w:cs="宋体"/>
          <w:b/>
          <w:color w:val="auto"/>
          <w:sz w:val="20"/>
          <w:szCs w:val="20"/>
        </w:rPr>
        <w:t xml:space="preserve">目录十七</w:t>
      </w:r>
      <w:r>
        <w:rPr>
          <w:rFonts w:hint="eastAsia" w:ascii="宋体" w:hAnsi="宋体" w:eastAsia="宋体" w:cs="宋体"/>
          <w:b/>
          <w:color w:val="auto"/>
          <w:szCs w:val="21"/>
        </w:rPr>
        <w:t xml:space="preserve">、</w:t>
      </w:r>
      <w:r>
        <w:rPr>
          <w:rFonts w:hint="eastAsia" w:ascii="宋体" w:hAnsi="宋体" w:eastAsia="宋体" w:cs="宋体"/>
          <w:b/>
          <w:color w:val="auto"/>
          <w:spacing w:val="15"/>
          <w:szCs w:val="21"/>
        </w:rPr>
        <w:t xml:space="preserve">属于监狱企业的证明文件</w:t>
      </w:r>
      <w:bookmarkEnd w:id="133"/>
      <w:r>
        <w:rPr>
          <w:rFonts w:hint="eastAsia" w:ascii="宋体" w:hAnsi="宋体" w:eastAsia="宋体" w:cs="宋体"/>
          <w:b/>
          <w:bCs/>
          <w:color w:val="auto"/>
          <w:szCs w:val="21"/>
        </w:rPr>
        <w:t xml:space="preserve">（若有）</w:t>
      </w:r>
      <w:bookmarkEnd w:id="134"/>
      <w:r/>
      <w:r/>
    </w:p>
    <w:p>
      <w:pPr>
        <w:rPr>
          <w:rFonts w:hint="eastAsia" w:ascii="宋体" w:hAnsi="宋体" w:eastAsia="宋体" w:cs="宋体"/>
          <w:b/>
          <w:color w:val="auto"/>
          <w:spacing w:val="15"/>
          <w:szCs w:val="21"/>
        </w:rPr>
      </w:pPr>
      <w:r>
        <w:rPr>
          <w:rFonts w:hint="eastAsia" w:ascii="宋体" w:hAnsi="宋体" w:eastAsia="宋体" w:cs="宋体"/>
          <w:b/>
          <w:color w:val="auto"/>
          <w:spacing w:val="15"/>
          <w:szCs w:val="21"/>
        </w:rPr>
      </w:r>
      <w:r/>
    </w:p>
    <w:p>
      <w:pPr>
        <w:jc w:val="center"/>
        <w:rPr>
          <w:rFonts w:hint="eastAsia" w:ascii="宋体" w:hAnsi="宋体" w:eastAsia="宋体" w:cs="宋体"/>
          <w:b/>
          <w:color w:val="auto"/>
          <w:spacing w:val="15"/>
          <w:sz w:val="28"/>
          <w:szCs w:val="28"/>
        </w:rPr>
        <w:outlineLvl w:val="0"/>
      </w:pPr>
      <w:r/>
      <w:bookmarkStart w:id="135" w:name="_Toc1394"/>
      <w:r/>
      <w:bookmarkStart w:id="136" w:name="_Toc22415"/>
      <w:r>
        <w:rPr>
          <w:rFonts w:hint="eastAsia" w:ascii="宋体" w:hAnsi="宋体" w:eastAsia="宋体" w:cs="宋体"/>
          <w:b/>
          <w:color w:val="auto"/>
          <w:spacing w:val="15"/>
          <w:sz w:val="28"/>
          <w:szCs w:val="28"/>
        </w:rPr>
        <w:t xml:space="preserve">属于监狱企业的证明文件</w:t>
      </w:r>
      <w:bookmarkEnd w:id="135"/>
      <w:r/>
      <w:bookmarkEnd w:id="136"/>
      <w:r/>
      <w:r/>
    </w:p>
    <w:p>
      <w:pPr>
        <w:rPr>
          <w:rFonts w:hint="eastAsia" w:ascii="宋体" w:hAnsi="宋体" w:eastAsia="宋体" w:cs="宋体"/>
          <w:color w:val="auto"/>
          <w:spacing w:val="15"/>
          <w:szCs w:val="21"/>
        </w:rPr>
      </w:pPr>
      <w:r>
        <w:rPr>
          <w:rFonts w:hint="eastAsia" w:ascii="宋体" w:hAnsi="宋体" w:eastAsia="宋体" w:cs="宋体"/>
          <w:color w:val="auto"/>
          <w:spacing w:val="15"/>
          <w:szCs w:val="21"/>
        </w:rPr>
        <w:t xml:space="preserve">（提供由省级以上监狱管理局、戒毒管理局(含新疆生产建设兵团)出具的属于监狱企业的证明文件）（如有）</w:t>
      </w:r>
      <w:r/>
    </w:p>
    <w:p>
      <w:pPr>
        <w:rPr>
          <w:rFonts w:hint="eastAsia" w:ascii="宋体" w:hAnsi="宋体" w:eastAsia="宋体" w:cs="宋体"/>
          <w:b/>
          <w:color w:val="auto"/>
          <w:spacing w:val="15"/>
          <w:szCs w:val="21"/>
        </w:rPr>
      </w:pPr>
      <w:r>
        <w:rPr>
          <w:rFonts w:hint="eastAsia" w:ascii="宋体" w:hAnsi="宋体" w:eastAsia="宋体" w:cs="宋体"/>
          <w:b/>
          <w:color w:val="auto"/>
          <w:spacing w:val="15"/>
          <w:szCs w:val="21"/>
        </w:rPr>
      </w:r>
      <w:r/>
    </w:p>
    <w:p>
      <w:pPr>
        <w:pStyle w:val="939"/>
        <w:ind w:firstLine="210"/>
        <w:rPr>
          <w:rFonts w:hint="eastAsia" w:ascii="宋体" w:hAnsi="宋体" w:eastAsia="宋体" w:cs="宋体"/>
          <w:color w:val="auto"/>
          <w:lang w:eastAsia="zh-CN"/>
        </w:rPr>
      </w:pPr>
      <w:r>
        <w:rPr>
          <w:rFonts w:hint="eastAsia" w:ascii="宋体" w:hAnsi="宋体" w:eastAsia="宋体" w:cs="宋体"/>
          <w:color w:val="auto"/>
          <w:lang w:eastAsia="zh-CN"/>
        </w:rPr>
      </w:r>
      <w:r/>
    </w:p>
    <w:p>
      <w:pPr>
        <w:pStyle w:val="939"/>
        <w:ind w:firstLine="210"/>
        <w:rPr>
          <w:rFonts w:hint="eastAsia" w:ascii="宋体" w:hAnsi="宋体" w:eastAsia="宋体" w:cs="宋体"/>
          <w:color w:val="auto"/>
          <w:lang w:eastAsia="zh-CN"/>
        </w:rPr>
      </w:pPr>
      <w:r>
        <w:rPr>
          <w:rFonts w:hint="eastAsia" w:ascii="宋体" w:hAnsi="宋体" w:eastAsia="宋体" w:cs="宋体"/>
          <w:color w:val="auto"/>
          <w:lang w:eastAsia="zh-CN"/>
        </w:rPr>
      </w:r>
      <w:r/>
    </w:p>
    <w:p>
      <w:pPr>
        <w:rPr>
          <w:rFonts w:hint="eastAsia" w:ascii="宋体" w:hAnsi="宋体" w:eastAsia="宋体" w:cs="宋体"/>
          <w:b/>
          <w:color w:val="auto"/>
          <w:spacing w:val="15"/>
          <w:sz w:val="18"/>
          <w:szCs w:val="18"/>
        </w:rPr>
        <w:outlineLvl w:val="0"/>
      </w:pPr>
      <w:r/>
      <w:bookmarkStart w:id="137" w:name="_Toc12699"/>
      <w:r/>
      <w:bookmarkStart w:id="138" w:name="_Toc25567"/>
      <w:r>
        <w:rPr>
          <w:rFonts w:hint="eastAsia" w:ascii="宋体" w:hAnsi="宋体" w:eastAsia="宋体" w:cs="宋体"/>
          <w:b/>
          <w:color w:val="auto"/>
          <w:sz w:val="20"/>
          <w:szCs w:val="20"/>
        </w:rPr>
        <w:t xml:space="preserve">目录十八</w:t>
      </w:r>
      <w:r>
        <w:rPr>
          <w:rFonts w:hint="eastAsia" w:ascii="宋体" w:hAnsi="宋体" w:eastAsia="宋体" w:cs="宋体"/>
          <w:b/>
          <w:color w:val="auto"/>
          <w:szCs w:val="21"/>
        </w:rPr>
        <w:t xml:space="preserve">、</w:t>
      </w:r>
      <w:r>
        <w:rPr>
          <w:rFonts w:hint="eastAsia" w:ascii="宋体" w:hAnsi="宋体" w:eastAsia="宋体" w:cs="宋体"/>
          <w:b/>
          <w:color w:val="auto"/>
          <w:spacing w:val="15"/>
          <w:szCs w:val="21"/>
        </w:rPr>
        <w:t xml:space="preserve">节能产品认证文件</w:t>
      </w:r>
      <w:bookmarkEnd w:id="137"/>
      <w:r>
        <w:rPr>
          <w:rFonts w:hint="eastAsia" w:ascii="宋体" w:hAnsi="宋体" w:eastAsia="宋体" w:cs="宋体"/>
          <w:b/>
          <w:bCs/>
          <w:color w:val="auto"/>
          <w:szCs w:val="21"/>
        </w:rPr>
        <w:t xml:space="preserve">（若有）</w:t>
      </w:r>
      <w:bookmarkEnd w:id="138"/>
      <w:r/>
      <w:r/>
    </w:p>
    <w:p>
      <w:pPr>
        <w:rPr>
          <w:rFonts w:hint="eastAsia" w:ascii="宋体" w:hAnsi="宋体" w:eastAsia="宋体" w:cs="宋体"/>
          <w:b/>
          <w:color w:val="auto"/>
          <w:spacing w:val="15"/>
          <w:szCs w:val="21"/>
        </w:rPr>
      </w:pPr>
      <w:r>
        <w:rPr>
          <w:rFonts w:hint="eastAsia" w:ascii="宋体" w:hAnsi="宋体" w:eastAsia="宋体" w:cs="宋体"/>
          <w:b/>
          <w:color w:val="auto"/>
          <w:spacing w:val="15"/>
          <w:szCs w:val="21"/>
        </w:rPr>
      </w:r>
      <w:r/>
    </w:p>
    <w:p>
      <w:pPr>
        <w:jc w:val="center"/>
        <w:rPr>
          <w:rFonts w:hint="eastAsia" w:ascii="宋体" w:hAnsi="宋体" w:eastAsia="宋体" w:cs="宋体"/>
          <w:b/>
          <w:color w:val="auto"/>
          <w:spacing w:val="15"/>
          <w:sz w:val="28"/>
          <w:szCs w:val="28"/>
        </w:rPr>
        <w:outlineLvl w:val="0"/>
      </w:pPr>
      <w:r/>
      <w:bookmarkStart w:id="139" w:name="_Toc14874"/>
      <w:r>
        <w:rPr>
          <w:rFonts w:hint="eastAsia" w:ascii="宋体" w:hAnsi="宋体" w:eastAsia="宋体" w:cs="宋体"/>
          <w:b/>
          <w:color w:val="auto"/>
          <w:spacing w:val="15"/>
          <w:sz w:val="28"/>
          <w:szCs w:val="28"/>
        </w:rPr>
        <w:t xml:space="preserve">节能产品认证文件</w:t>
      </w:r>
      <w:bookmarkEnd w:id="139"/>
      <w:r/>
      <w:r/>
    </w:p>
    <w:p>
      <w:pPr>
        <w:jc w:val="center"/>
        <w:rPr>
          <w:rFonts w:hint="eastAsia" w:ascii="宋体" w:hAnsi="宋体" w:eastAsia="宋体" w:cs="宋体"/>
          <w:color w:val="auto"/>
          <w:spacing w:val="15"/>
          <w:szCs w:val="21"/>
        </w:rPr>
        <w:outlineLvl w:val="0"/>
      </w:pPr>
      <w:r/>
      <w:bookmarkStart w:id="140" w:name="_Toc32722"/>
      <w:r/>
      <w:bookmarkStart w:id="141" w:name="_Toc27650"/>
      <w:r>
        <w:rPr>
          <w:rFonts w:hint="eastAsia" w:ascii="宋体" w:hAnsi="宋体" w:eastAsia="宋体" w:cs="宋体"/>
          <w:color w:val="auto"/>
          <w:spacing w:val="15"/>
          <w:szCs w:val="21"/>
        </w:rPr>
        <w:t xml:space="preserve">（提供产品在《节能产品政府采购清单》中相应的页面）</w:t>
      </w:r>
      <w:bookmarkEnd w:id="140"/>
      <w:r/>
      <w:bookmarkEnd w:id="141"/>
      <w:r/>
      <w:r/>
    </w:p>
    <w:p>
      <w:pPr>
        <w:rPr>
          <w:rFonts w:hint="eastAsia" w:ascii="宋体" w:hAnsi="宋体" w:eastAsia="宋体" w:cs="宋体"/>
          <w:color w:val="auto"/>
          <w:spacing w:val="15"/>
          <w:szCs w:val="21"/>
        </w:rPr>
      </w:pPr>
      <w:r>
        <w:rPr>
          <w:rFonts w:hint="eastAsia" w:ascii="宋体" w:hAnsi="宋体" w:eastAsia="宋体" w:cs="宋体"/>
          <w:color w:val="auto"/>
          <w:spacing w:val="15"/>
          <w:szCs w:val="21"/>
        </w:rPr>
      </w:r>
      <w:r/>
    </w:p>
    <w:p>
      <w:pPr>
        <w:rPr>
          <w:rFonts w:hint="eastAsia" w:ascii="宋体" w:hAnsi="宋体" w:eastAsia="宋体" w:cs="宋体"/>
          <w:b/>
          <w:color w:val="auto"/>
          <w:spacing w:val="15"/>
          <w:szCs w:val="21"/>
        </w:rPr>
      </w:pPr>
      <w:r/>
      <w:bookmarkStart w:id="142" w:name="_Toc8921"/>
      <w:r/>
      <w:r/>
    </w:p>
    <w:p>
      <w:pPr>
        <w:rPr>
          <w:rFonts w:hint="eastAsia" w:ascii="宋体" w:hAnsi="宋体" w:eastAsia="宋体" w:cs="宋体"/>
          <w:b/>
          <w:color w:val="auto"/>
          <w:spacing w:val="15"/>
          <w:sz w:val="18"/>
          <w:szCs w:val="18"/>
        </w:rPr>
        <w:outlineLvl w:val="0"/>
      </w:pPr>
      <w:r/>
      <w:bookmarkStart w:id="143" w:name="_Toc16034"/>
      <w:r>
        <w:rPr>
          <w:rFonts w:hint="eastAsia" w:ascii="宋体" w:hAnsi="宋体" w:eastAsia="宋体" w:cs="宋体"/>
          <w:b/>
          <w:color w:val="auto"/>
          <w:sz w:val="20"/>
          <w:szCs w:val="20"/>
        </w:rPr>
        <w:t xml:space="preserve">目录十九</w:t>
      </w:r>
      <w:r>
        <w:rPr>
          <w:rFonts w:hint="eastAsia" w:ascii="宋体" w:hAnsi="宋体" w:eastAsia="宋体" w:cs="宋体"/>
          <w:b/>
          <w:color w:val="auto"/>
          <w:szCs w:val="21"/>
        </w:rPr>
        <w:t xml:space="preserve">、</w:t>
      </w:r>
      <w:r>
        <w:rPr>
          <w:rFonts w:hint="eastAsia" w:ascii="宋体" w:hAnsi="宋体" w:eastAsia="宋体" w:cs="宋体"/>
          <w:b/>
          <w:color w:val="auto"/>
          <w:spacing w:val="15"/>
          <w:szCs w:val="21"/>
        </w:rPr>
        <w:t xml:space="preserve">环境标志产品认证文件</w:t>
      </w:r>
      <w:bookmarkEnd w:id="142"/>
      <w:r>
        <w:rPr>
          <w:rFonts w:hint="eastAsia" w:ascii="宋体" w:hAnsi="宋体" w:eastAsia="宋体" w:cs="宋体"/>
          <w:b/>
          <w:bCs/>
          <w:color w:val="auto"/>
          <w:szCs w:val="21"/>
        </w:rPr>
        <w:t xml:space="preserve">（若有）</w:t>
      </w:r>
      <w:bookmarkEnd w:id="143"/>
      <w:r/>
      <w:r/>
    </w:p>
    <w:p>
      <w:pPr>
        <w:rPr>
          <w:rFonts w:hint="eastAsia" w:ascii="宋体" w:hAnsi="宋体" w:eastAsia="宋体" w:cs="宋体"/>
          <w:b/>
          <w:color w:val="auto"/>
          <w:spacing w:val="15"/>
          <w:szCs w:val="21"/>
        </w:rPr>
      </w:pPr>
      <w:r>
        <w:rPr>
          <w:rFonts w:hint="eastAsia" w:ascii="宋体" w:hAnsi="宋体" w:eastAsia="宋体" w:cs="宋体"/>
          <w:b/>
          <w:color w:val="auto"/>
          <w:spacing w:val="15"/>
          <w:szCs w:val="21"/>
        </w:rPr>
      </w:r>
      <w:r/>
    </w:p>
    <w:p>
      <w:pPr>
        <w:jc w:val="center"/>
        <w:rPr>
          <w:rFonts w:hint="eastAsia" w:ascii="宋体" w:hAnsi="宋体" w:eastAsia="宋体" w:cs="宋体"/>
          <w:b/>
          <w:color w:val="auto"/>
          <w:spacing w:val="15"/>
          <w:sz w:val="28"/>
          <w:szCs w:val="28"/>
        </w:rPr>
        <w:outlineLvl w:val="0"/>
      </w:pPr>
      <w:r/>
      <w:bookmarkStart w:id="144" w:name="_Toc22207"/>
      <w:r/>
      <w:bookmarkStart w:id="145" w:name="_Toc19745"/>
      <w:r>
        <w:rPr>
          <w:rFonts w:hint="eastAsia" w:ascii="宋体" w:hAnsi="宋体" w:eastAsia="宋体" w:cs="宋体"/>
          <w:b/>
          <w:color w:val="auto"/>
          <w:spacing w:val="15"/>
          <w:sz w:val="28"/>
          <w:szCs w:val="28"/>
        </w:rPr>
        <w:t xml:space="preserve">环境标志产品认证文件</w:t>
      </w:r>
      <w:bookmarkEnd w:id="144"/>
      <w:r/>
      <w:bookmarkEnd w:id="145"/>
      <w:r/>
      <w:r/>
    </w:p>
    <w:p>
      <w:pPr>
        <w:jc w:val="center"/>
        <w:rPr>
          <w:rFonts w:hint="eastAsia" w:ascii="宋体" w:hAnsi="宋体" w:eastAsia="宋体" w:cs="宋体"/>
          <w:color w:val="auto"/>
          <w:spacing w:val="15"/>
          <w:szCs w:val="21"/>
        </w:rPr>
      </w:pPr>
      <w:r>
        <w:rPr>
          <w:rFonts w:hint="eastAsia" w:ascii="宋体" w:hAnsi="宋体" w:eastAsia="宋体" w:cs="宋体"/>
          <w:color w:val="auto"/>
          <w:spacing w:val="15"/>
          <w:szCs w:val="21"/>
        </w:rPr>
        <w:t xml:space="preserve">（提供产品在《环境标志产品政府采购清单》中相应的页面）</w:t>
      </w:r>
      <w:r/>
    </w:p>
    <w:p>
      <w:pPr>
        <w:pStyle w:val="939"/>
        <w:ind w:firstLine="210"/>
        <w:rPr>
          <w:rFonts w:hint="eastAsia" w:ascii="宋体" w:hAnsi="宋体" w:eastAsia="宋体" w:cs="宋体"/>
          <w:color w:val="auto"/>
          <w:lang w:eastAsia="zh-CN"/>
        </w:rPr>
      </w:pPr>
      <w:r>
        <w:rPr>
          <w:rFonts w:hint="eastAsia" w:ascii="宋体" w:hAnsi="宋体" w:eastAsia="宋体" w:cs="宋体"/>
          <w:color w:val="auto"/>
          <w:lang w:eastAsia="zh-CN"/>
        </w:rPr>
      </w:r>
      <w:r/>
    </w:p>
    <w:p>
      <w:pPr>
        <w:rPr>
          <w:rFonts w:hint="eastAsia" w:ascii="宋体" w:hAnsi="宋体" w:eastAsia="宋体" w:cs="宋体"/>
          <w:b/>
          <w:color w:val="auto"/>
          <w:spacing w:val="15"/>
          <w:szCs w:val="21"/>
        </w:rPr>
      </w:pPr>
      <w:r>
        <w:rPr>
          <w:rFonts w:hint="eastAsia" w:ascii="宋体" w:hAnsi="宋体" w:eastAsia="宋体" w:cs="宋体"/>
          <w:b/>
          <w:color w:val="auto"/>
          <w:spacing w:val="15"/>
          <w:szCs w:val="21"/>
        </w:rPr>
      </w:r>
      <w:r/>
    </w:p>
    <w:p>
      <w:pPr>
        <w:rPr>
          <w:rFonts w:hint="eastAsia" w:ascii="宋体" w:hAnsi="宋体" w:eastAsia="宋体" w:cs="宋体"/>
          <w:b/>
          <w:color w:val="auto"/>
          <w:spacing w:val="15"/>
          <w:sz w:val="18"/>
          <w:szCs w:val="18"/>
        </w:rPr>
        <w:outlineLvl w:val="0"/>
      </w:pPr>
      <w:r/>
      <w:bookmarkStart w:id="146" w:name="_Toc7954"/>
      <w:r/>
      <w:bookmarkStart w:id="147" w:name="_Toc17265"/>
      <w:r>
        <w:rPr>
          <w:rFonts w:hint="eastAsia" w:ascii="宋体" w:hAnsi="宋体" w:eastAsia="宋体" w:cs="宋体"/>
          <w:b/>
          <w:color w:val="auto"/>
          <w:sz w:val="20"/>
          <w:szCs w:val="20"/>
        </w:rPr>
        <w:t xml:space="preserve">目录二十</w:t>
      </w:r>
      <w:r>
        <w:rPr>
          <w:rFonts w:hint="eastAsia" w:ascii="宋体" w:hAnsi="宋体" w:eastAsia="宋体" w:cs="宋体"/>
          <w:b/>
          <w:color w:val="auto"/>
          <w:szCs w:val="21"/>
        </w:rPr>
        <w:t xml:space="preserve">、</w:t>
      </w:r>
      <w:r>
        <w:rPr>
          <w:rFonts w:hint="eastAsia" w:ascii="宋体" w:hAnsi="宋体" w:eastAsia="宋体" w:cs="宋体"/>
          <w:b/>
          <w:color w:val="auto"/>
          <w:spacing w:val="15"/>
          <w:szCs w:val="21"/>
        </w:rPr>
        <w:t xml:space="preserve">进口产品转让技术、消化吸收再创新方案</w:t>
      </w:r>
      <w:bookmarkEnd w:id="146"/>
      <w:r>
        <w:rPr>
          <w:rFonts w:hint="eastAsia" w:ascii="宋体" w:hAnsi="宋体" w:eastAsia="宋体" w:cs="宋体"/>
          <w:b/>
          <w:bCs/>
          <w:color w:val="auto"/>
          <w:szCs w:val="21"/>
        </w:rPr>
        <w:t xml:space="preserve">（若有）</w:t>
      </w:r>
      <w:bookmarkEnd w:id="147"/>
      <w:r/>
      <w:r/>
    </w:p>
    <w:p>
      <w:pPr>
        <w:rPr>
          <w:rFonts w:hint="eastAsia" w:ascii="宋体" w:hAnsi="宋体" w:eastAsia="宋体" w:cs="宋体"/>
          <w:b/>
          <w:color w:val="auto"/>
          <w:spacing w:val="15"/>
          <w:szCs w:val="21"/>
        </w:rPr>
      </w:pPr>
      <w:r>
        <w:rPr>
          <w:rFonts w:hint="eastAsia" w:ascii="宋体" w:hAnsi="宋体" w:eastAsia="宋体" w:cs="宋体"/>
          <w:b/>
          <w:color w:val="auto"/>
          <w:spacing w:val="15"/>
          <w:szCs w:val="21"/>
        </w:rPr>
      </w:r>
      <w:r/>
    </w:p>
    <w:p>
      <w:pPr>
        <w:jc w:val="center"/>
        <w:rPr>
          <w:rFonts w:hint="eastAsia" w:ascii="宋体" w:hAnsi="宋体" w:eastAsia="宋体" w:cs="宋体"/>
          <w:b/>
          <w:color w:val="auto"/>
          <w:spacing w:val="15"/>
          <w:sz w:val="28"/>
          <w:szCs w:val="28"/>
        </w:rPr>
        <w:outlineLvl w:val="0"/>
      </w:pPr>
      <w:r/>
      <w:bookmarkStart w:id="148" w:name="_Toc1581"/>
      <w:r>
        <w:rPr>
          <w:rFonts w:hint="eastAsia" w:ascii="宋体" w:hAnsi="宋体" w:eastAsia="宋体" w:cs="宋体"/>
          <w:b/>
          <w:color w:val="auto"/>
          <w:spacing w:val="15"/>
          <w:sz w:val="28"/>
          <w:szCs w:val="28"/>
        </w:rPr>
        <w:t xml:space="preserve">进口产品转让技术、消化吸收再创新方案</w:t>
      </w:r>
      <w:bookmarkEnd w:id="148"/>
      <w:r/>
      <w:r/>
    </w:p>
    <w:p>
      <w:pPr>
        <w:jc w:val="center"/>
        <w:rPr>
          <w:rFonts w:hint="eastAsia" w:ascii="宋体" w:hAnsi="宋体" w:eastAsia="宋体" w:cs="宋体"/>
          <w:color w:val="auto"/>
          <w:spacing w:val="15"/>
          <w:szCs w:val="21"/>
        </w:rPr>
      </w:pPr>
      <w:r>
        <w:rPr>
          <w:rFonts w:hint="eastAsia" w:ascii="宋体" w:hAnsi="宋体" w:eastAsia="宋体" w:cs="宋体"/>
          <w:color w:val="auto"/>
          <w:spacing w:val="15"/>
          <w:szCs w:val="21"/>
        </w:rPr>
        <w:t xml:space="preserve">（对于允许进口产品参加的项目）</w:t>
      </w:r>
      <w:r/>
    </w:p>
    <w:p>
      <w:pPr>
        <w:rPr>
          <w:rFonts w:hint="eastAsia" w:ascii="宋体" w:hAnsi="宋体" w:eastAsia="宋体" w:cs="宋体"/>
          <w:b/>
          <w:color w:val="auto"/>
          <w:spacing w:val="15"/>
          <w:szCs w:val="21"/>
        </w:rPr>
      </w:pPr>
      <w:r>
        <w:rPr>
          <w:rFonts w:hint="eastAsia" w:ascii="宋体" w:hAnsi="宋体" w:eastAsia="宋体" w:cs="宋体"/>
          <w:b/>
          <w:color w:val="auto"/>
          <w:spacing w:val="15"/>
          <w:szCs w:val="21"/>
        </w:rPr>
      </w:r>
      <w:r/>
    </w:p>
    <w:p>
      <w:pPr>
        <w:rPr>
          <w:rFonts w:hint="eastAsia" w:ascii="宋体" w:hAnsi="宋体" w:eastAsia="宋体" w:cs="宋体"/>
          <w:b/>
          <w:color w:val="auto"/>
          <w:spacing w:val="15"/>
          <w:szCs w:val="21"/>
        </w:rPr>
      </w:pPr>
      <w:r>
        <w:rPr>
          <w:rFonts w:hint="eastAsia" w:ascii="宋体" w:hAnsi="宋体" w:eastAsia="宋体" w:cs="宋体"/>
          <w:b/>
          <w:color w:val="auto"/>
          <w:spacing w:val="15"/>
          <w:szCs w:val="21"/>
        </w:rPr>
      </w:r>
      <w:r/>
    </w:p>
    <w:p>
      <w:pPr>
        <w:rPr>
          <w:rFonts w:hint="eastAsia" w:ascii="宋体" w:hAnsi="宋体" w:eastAsia="宋体" w:cs="宋体"/>
          <w:b/>
          <w:color w:val="auto"/>
          <w:spacing w:val="15"/>
          <w:szCs w:val="21"/>
        </w:rPr>
      </w:pPr>
      <w:r>
        <w:rPr>
          <w:rFonts w:hint="eastAsia" w:ascii="宋体" w:hAnsi="宋体" w:eastAsia="宋体" w:cs="宋体"/>
          <w:b/>
          <w:color w:val="auto"/>
          <w:spacing w:val="15"/>
          <w:szCs w:val="21"/>
        </w:rPr>
      </w:r>
      <w:r/>
    </w:p>
    <w:p>
      <w:pPr>
        <w:rPr>
          <w:rFonts w:hint="eastAsia" w:ascii="宋体" w:hAnsi="宋体" w:eastAsia="宋体" w:cs="宋体"/>
          <w:b/>
          <w:color w:val="auto"/>
          <w:spacing w:val="15"/>
          <w:sz w:val="18"/>
          <w:szCs w:val="18"/>
        </w:rPr>
        <w:outlineLvl w:val="0"/>
      </w:pPr>
      <w:r/>
      <w:bookmarkStart w:id="149" w:name="_Toc16216"/>
      <w:r/>
      <w:bookmarkStart w:id="150" w:name="_Toc27564"/>
      <w:r>
        <w:rPr>
          <w:rFonts w:hint="eastAsia" w:ascii="宋体" w:hAnsi="宋体" w:eastAsia="宋体" w:cs="宋体"/>
          <w:b/>
          <w:color w:val="auto"/>
          <w:sz w:val="20"/>
          <w:szCs w:val="20"/>
        </w:rPr>
        <w:t xml:space="preserve">目录二十一</w:t>
      </w:r>
      <w:r>
        <w:rPr>
          <w:rFonts w:hint="eastAsia" w:ascii="宋体" w:hAnsi="宋体" w:eastAsia="宋体" w:cs="宋体"/>
          <w:b/>
          <w:color w:val="auto"/>
          <w:szCs w:val="21"/>
        </w:rPr>
        <w:t xml:space="preserve">、</w:t>
      </w:r>
      <w:r>
        <w:rPr>
          <w:rFonts w:hint="eastAsia" w:ascii="宋体" w:hAnsi="宋体" w:eastAsia="宋体" w:cs="宋体"/>
          <w:b/>
          <w:color w:val="auto"/>
          <w:spacing w:val="15"/>
          <w:szCs w:val="21"/>
        </w:rPr>
        <w:t xml:space="preserve">投标人认为需提供的其他资料</w:t>
      </w:r>
      <w:bookmarkEnd w:id="149"/>
      <w:r>
        <w:rPr>
          <w:rFonts w:hint="eastAsia" w:ascii="宋体" w:hAnsi="宋体" w:eastAsia="宋体" w:cs="宋体"/>
          <w:b/>
          <w:bCs/>
          <w:color w:val="auto"/>
          <w:szCs w:val="21"/>
        </w:rPr>
        <w:t xml:space="preserve">（若有）</w:t>
      </w:r>
      <w:bookmarkEnd w:id="150"/>
      <w:r/>
      <w:r/>
    </w:p>
    <w:p>
      <w:pPr>
        <w:rPr>
          <w:rFonts w:hint="eastAsia" w:ascii="宋体" w:hAnsi="宋体" w:eastAsia="宋体" w:cs="宋体"/>
          <w:b/>
          <w:color w:val="auto"/>
          <w:spacing w:val="15"/>
          <w:szCs w:val="21"/>
        </w:rPr>
      </w:pPr>
      <w:r>
        <w:rPr>
          <w:rFonts w:hint="eastAsia" w:ascii="宋体" w:hAnsi="宋体" w:eastAsia="宋体" w:cs="宋体"/>
          <w:b/>
          <w:color w:val="auto"/>
          <w:spacing w:val="15"/>
          <w:szCs w:val="21"/>
        </w:rPr>
      </w:r>
      <w:r/>
    </w:p>
    <w:p>
      <w:pPr>
        <w:pStyle w:val="881"/>
        <w:spacing w:before="0" w:after="0" w:line="360" w:lineRule="auto"/>
        <w:rPr>
          <w:rFonts w:hint="eastAsia" w:ascii="宋体" w:hAnsi="宋体" w:eastAsia="宋体" w:cs="宋体"/>
          <w:color w:val="auto"/>
        </w:rPr>
      </w:pPr>
      <w:r>
        <w:rPr>
          <w:rFonts w:hint="eastAsia" w:ascii="宋体" w:hAnsi="宋体" w:eastAsia="宋体" w:cs="宋体"/>
          <w:color w:val="auto"/>
        </w:rPr>
      </w:r>
      <w:r/>
    </w:p>
    <w:sectPr>
      <w:headerReference w:type="default" r:id="rId14"/>
      <w:footerReference w:type="default" r:id="rId1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KNLe">
    <w:panose1 w:val="020B0503020202020204"/>
  </w:font>
  <w:font w:name="Wingdings">
    <w:panose1 w:val="05000000000000000000"/>
  </w:font>
  <w:font w:name="华文楷体">
    <w:panose1 w:val="02010600040101010101"/>
  </w:font>
  <w:font w:name="华文细黑">
    <w:panose1 w:val="02010600040101010101"/>
  </w:font>
  <w:font w:name="汉仪大黑简">
    <w:panose1 w:val="020B0503020202020204"/>
  </w:font>
  <w:font w:name="文鼎CS中宋">
    <w:panose1 w:val="020B0503020202020204"/>
  </w:font>
  <w:font w:name="Tahoma">
    <w:panose1 w:val="020B0604030504040204"/>
  </w:font>
  <w:font w:name="TimesNewRomanPSMT">
    <w:panose1 w:val="02020603050405020304"/>
  </w:font>
  <w:font w:name="FZHTJW--GB1-0">
    <w:panose1 w:val="020B0503020202020204"/>
  </w:font>
  <w:font w:name="ˎ̥">
    <w:panose1 w:val="020B0503020202020204"/>
  </w:font>
  <w:font w:name="楷体_GB2312">
    <w:panose1 w:val="02010609060101010101"/>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FZFSJW--GB1-0">
    <w:panose1 w:val="020B0503020202020204"/>
  </w:font>
  <w:font w:name="Arial">
    <w:panose1 w:val="020B0604020202020204"/>
  </w:font>
  <w:font w:name="微软雅黑">
    <w:panose1 w:val="020B0503020204020204"/>
  </w:font>
  <w:font w:name="Calibri">
    <w:panose1 w:val="020F050202020403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6"/>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6"/>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6"/>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6"/>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6"/>
                          </w:pPr>
                          <w:r>
                            <w:fldChar w:fldCharType="begin"/>
                          </w:r>
                          <w:r>
                            <w:instrText xml:space="preserve"> PAGE  \* MERGEFORMAT </w:instrText>
                          </w:r>
                          <w:r>
                            <w:fldChar w:fldCharType="separate"/>
                          </w:r>
                          <w:r>
                            <w:t xml:space="preserve">75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6"/>
                    </w:pPr>
                    <w:r>
                      <w:fldChar w:fldCharType="begin"/>
                    </w:r>
                    <w:r>
                      <w:instrText xml:space="preserve"> PAGE  \* MERGEFORMAT </w:instrText>
                    </w:r>
                    <w:r>
                      <w:fldChar w:fldCharType="separate"/>
                    </w:r>
                    <w:r>
                      <w:t xml:space="preserve">75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pBdr>
        <w:top w:val="none" w:color="000000" w:sz="0" w:space="1"/>
        <w:left w:val="none" w:color="000000" w:sz="0" w:space="4"/>
        <w:right w:val="none" w:color="000000" w:sz="0" w:space="4"/>
      </w:pBdr>
    </w:pPr>
    <w:r>
      <w:rPr>
        <w:rFonts w:hint="eastAsia"/>
      </w:rPr>
      <mc:AlternateContent>
        <mc:Choice Requires="wpg">
          <w:drawing>
            <wp:inline xmlns:wp="http://schemas.openxmlformats.org/drawingml/2006/wordprocessingDrawing" distT="0" distB="0" distL="0" distR="0">
              <wp:extent cx="1050290" cy="254635"/>
              <wp:effectExtent l="0" t="0" r="0" b="3810"/>
              <wp:docPr id="1" name="图片 1373909582"/>
              <wp:cNvGraphicFramePr/>
              <a:graphic xmlns:a="http://schemas.openxmlformats.org/drawingml/2006/main">
                <a:graphicData uri="http://schemas.openxmlformats.org/drawingml/2006/picture">
                  <pic:pic xmlns:pic="http://schemas.openxmlformats.org/drawingml/2006/picture">
                    <pic:nvPicPr>
                      <pic:cNvPr id="1" name="图片 1373909582"/>
                      <pic:cNvPicPr/>
                      <pic:nvPr/>
                    </pic:nvPicPr>
                    <pic:blipFill>
                      <a:blip r:embed="rId1"/>
                      <a:stretch/>
                    </pic:blipFill>
                    <pic:spPr bwMode="auto">
                      <a:xfrm>
                        <a:off x="0" y="0"/>
                        <a:ext cx="1050508" cy="254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2.7pt;height:20.1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sz w:val="13"/>
        <w:szCs w:val="15"/>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left"/>
    </w:pPr>
    <w:r>
      <w:rPr>
        <w:rFonts w:hint="eastAsia"/>
      </w:rPr>
      <w:t xml:space="preserve">                                                                                            </w:t>
    </w:r>
    <w:r>
      <mc:AlternateContent>
        <mc:Choice Requires="wpg">
          <w:drawing>
            <wp:inline xmlns:wp="http://schemas.openxmlformats.org/drawingml/2006/wordprocessingDrawing" distT="0" distB="0" distL="0" distR="0">
              <wp:extent cx="729615" cy="205740"/>
              <wp:effectExtent l="0" t="0" r="1905" b="7620"/>
              <wp:docPr id="2" name="图片 453613822" descr="24f2a38a0f81217625c6ac78bad6f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53613822" descr="24f2a38a0f81217625c6ac78bad6ffb"/>
                      <pic:cNvPicPr>
                        <a:picLocks noChangeAspect="1"/>
                      </pic:cNvPicPr>
                      <pic:nvPr/>
                    </pic:nvPicPr>
                    <pic:blipFill>
                      <a:blip r:embed="rId1"/>
                      <a:stretch/>
                    </pic:blipFill>
                    <pic:spPr bwMode="auto">
                      <a:xfrm>
                        <a:off x="0" y="0"/>
                        <a:ext cx="729615" cy="2057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4pt;height:16.2pt;mso-wrap-distance-left:0.0pt;mso-wrap-distance-top:0.0pt;mso-wrap-distance-right:0.0pt;mso-wrap-distance-bottom:0.0pt;" stroked="false">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right="180"/>
      <w:jc w:val="right"/>
      <w:rPr>
        <w:i/>
      </w:rPr>
    </w:pPr>
    <w:r>
      <w:rPr>
        <w:i/>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right="180"/>
      <w:jc w:val="right"/>
      <w:rPr>
        <w:i/>
      </w:rPr>
    </w:pPr>
    <w:r>
      <mc:AlternateContent>
        <mc:Choice Requires="wpg">
          <w:drawing>
            <wp:inline xmlns:wp="http://schemas.openxmlformats.org/drawingml/2006/wordprocessingDrawing" distT="0" distB="0" distL="0" distR="0">
              <wp:extent cx="729615" cy="205740"/>
              <wp:effectExtent l="0" t="0" r="1905" b="7620"/>
              <wp:docPr id="3" name="图片 1857635056" descr="24f2a38a0f81217625c6ac78bad6f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857635056" descr="24f2a38a0f81217625c6ac78bad6ffb"/>
                      <pic:cNvPicPr>
                        <a:picLocks noChangeAspect="1"/>
                      </pic:cNvPicPr>
                      <pic:nvPr/>
                    </pic:nvPicPr>
                    <pic:blipFill>
                      <a:blip r:embed="rId1"/>
                      <a:stretch/>
                    </pic:blipFill>
                    <pic:spPr bwMode="auto">
                      <a:xfrm>
                        <a:off x="0" y="0"/>
                        <a:ext cx="729615" cy="2057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4pt;height:16.2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51"/>
      <w:isLgl w:val="false"/>
      <w:suff w:val="tab"/>
      <w:lvlText w:val="%1、"/>
      <w:lvlJc w:val="left"/>
      <w:pPr>
        <w:ind w:left="360" w:hanging="360"/>
      </w:pPr>
      <w:rPr>
        <w:rFonts w:hint="default" w:cs="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pStyle w:val="1376"/>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4"/>
      <w:numFmt w:val="japaneseCounting"/>
      <w:pStyle w:val="1349"/>
      <w:isLgl w:val="false"/>
      <w:suff w:val="tab"/>
      <w:lvlText w:val="%1、"/>
      <w:lvlJc w:val="left"/>
      <w:pPr>
        <w:ind w:left="456" w:hanging="456"/>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pStyle w:val="1271"/>
      <w:isLgl w:val="false"/>
      <w:suff w:val="tab"/>
      <w:lvlText w:val="o"/>
      <w:lvlJc w:val="left"/>
      <w:pPr>
        <w:ind w:left="1440" w:hanging="360"/>
      </w:pPr>
      <w:rPr>
        <w:rFonts w:hint="default" w:ascii="Courier New" w:hAnsi="Courier New" w:eastAsia="Courier New" w:cs="Courier New"/>
      </w:rPr>
    </w:lvl>
    <w:lvl w:ilvl="2">
      <w:start w:val="1"/>
      <w:numFmt w:val="bullet"/>
      <w:pStyle w:val="1330"/>
      <w:isLgl w:val="false"/>
      <w:suff w:val="tab"/>
      <w:lvlText w:val="§"/>
      <w:lvlJc w:val="left"/>
      <w:pPr>
        <w:ind w:left="2160" w:hanging="360"/>
      </w:pPr>
      <w:rPr>
        <w:rFonts w:hint="default" w:ascii="Wingdings" w:hAnsi="Wingdings" w:eastAsia="Wingdings" w:cs="Wingdings"/>
      </w:rPr>
    </w:lvl>
    <w:lvl w:ilvl="3">
      <w:start w:val="1"/>
      <w:numFmt w:val="bullet"/>
      <w:pStyle w:val="883"/>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6">
    <w:multiLevelType w:val="hybridMultilevel"/>
    <w:lvl w:ilvl="0">
      <w:start w:val="1"/>
      <w:numFmt w:val="japaneseCounting"/>
      <w:pStyle w:val="1279"/>
      <w:isLgl w:val="false"/>
      <w:suff w:val="tab"/>
      <w:lvlText w:val="第%1章"/>
      <w:lvlJc w:val="left"/>
      <w:pPr>
        <w:ind w:left="735" w:hanging="735"/>
      </w:pPr>
      <w:rPr>
        <w:rFonts w:hint="default"/>
      </w:rPr>
    </w:lvl>
    <w:lvl w:ilvl="1">
      <w:start w:val="1"/>
      <w:numFmt w:val="lowerLetter"/>
      <w:isLgl w:val="false"/>
      <w:suff w:val="tab"/>
      <w:lvlText w:val="%2)"/>
      <w:lvlJc w:val="left"/>
      <w:pPr>
        <w:ind w:left="840" w:hanging="420"/>
      </w:pPr>
    </w:lvl>
    <w:lvl w:ilvl="2">
      <w:start w:val="1"/>
      <w:numFmt w:val="lowerRoman"/>
      <w:pStyle w:val="882"/>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pStyle w:val="1288"/>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0"/>
  </w:num>
  <w:num w:numId="4">
    <w:abstractNumId w:val="3"/>
  </w:num>
  <w:num w:numId="5">
    <w:abstractNumId w:val="2"/>
  </w:num>
  <w:num w:numId="6">
    <w:abstractNumId w:val="1"/>
  </w:num>
  <w:num w:numId="7">
    <w:abstractNumId w:val="9"/>
  </w:num>
  <w:num w:numId="8">
    <w:abstractNumId w:val="5"/>
  </w:num>
  <w:num w:numId="9">
    <w:abstractNumId w:val="11"/>
  </w:num>
  <w:num w:numId="10">
    <w:abstractNumId w:val="7"/>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9" w:default="1">
    <w:name w:val="Normal"/>
    <w:next w:val="891"/>
    <w:uiPriority w:val="0"/>
    <w:qFormat/>
    <w:pPr>
      <w:jc w:val="both"/>
      <w:widowControl w:val="off"/>
    </w:pPr>
    <w:rPr>
      <w:rFonts w:hint="default" w:asciiTheme="minorHAnsi" w:hAnsiTheme="minorHAnsi" w:eastAsiaTheme="minorEastAsia" w:cstheme="minorBidi"/>
      <w:sz w:val="21"/>
      <w:szCs w:val="22"/>
    </w:rPr>
  </w:style>
  <w:style w:type="paragraph" w:styleId="880">
    <w:name w:val="Heading 1"/>
    <w:basedOn w:val="879"/>
    <w:next w:val="879"/>
    <w:link w:val="1106"/>
    <w:uiPriority w:val="0"/>
    <w:qFormat/>
    <w:pPr>
      <w:keepLines/>
      <w:keepNext/>
      <w:spacing w:before="340" w:after="330" w:line="578" w:lineRule="auto"/>
      <w:outlineLvl w:val="0"/>
    </w:pPr>
    <w:rPr>
      <w:b/>
      <w:bCs/>
      <w:sz w:val="44"/>
      <w:szCs w:val="44"/>
    </w:rPr>
  </w:style>
  <w:style w:type="paragraph" w:styleId="881">
    <w:name w:val="Heading 2"/>
    <w:basedOn w:val="879"/>
    <w:next w:val="892"/>
    <w:link w:val="1105"/>
    <w:uiPriority w:val="0"/>
    <w:qFormat/>
    <w:pPr>
      <w:jc w:val="left"/>
      <w:keepLines/>
      <w:keepNext/>
      <w:spacing w:before="120" w:after="120"/>
      <w:outlineLvl w:val="1"/>
    </w:pPr>
    <w:rPr>
      <w:rFonts w:ascii="宋体" w:hAnsi="宋体" w:eastAsia="宋体" w:cs="Times New Roman"/>
      <w:b/>
      <w:szCs w:val="24"/>
    </w:rPr>
  </w:style>
  <w:style w:type="paragraph" w:styleId="882">
    <w:name w:val="Heading 3"/>
    <w:basedOn w:val="879"/>
    <w:next w:val="892"/>
    <w:link w:val="1130"/>
    <w:uiPriority w:val="0"/>
    <w:qFormat/>
    <w:pPr>
      <w:numPr>
        <w:ilvl w:val="2"/>
        <w:numId w:val="1"/>
      </w:numPr>
      <w:keepLines/>
      <w:keepNext/>
      <w:spacing w:before="260" w:after="260" w:line="415" w:lineRule="auto"/>
      <w:tabs>
        <w:tab w:val="left" w:pos="720" w:leader="none"/>
        <w:tab w:val="left" w:pos="2563" w:leader="none"/>
      </w:tabs>
      <w:outlineLvl w:val="2"/>
    </w:pPr>
    <w:rPr>
      <w:rFonts w:ascii="宋体" w:hAnsi="Times New Roman" w:eastAsia="Calibri" w:cs="宋体"/>
      <w:b/>
      <w:color w:val="000000"/>
      <w:sz w:val="32"/>
      <w:szCs w:val="20"/>
      <w:lang w:val="zh-CN"/>
    </w:rPr>
  </w:style>
  <w:style w:type="paragraph" w:styleId="883">
    <w:name w:val="Heading 4"/>
    <w:basedOn w:val="879"/>
    <w:next w:val="879"/>
    <w:link w:val="1131"/>
    <w:uiPriority w:val="0"/>
    <w:qFormat/>
    <w:pPr>
      <w:numPr>
        <w:ilvl w:val="3"/>
        <w:numId w:val="2"/>
      </w:numPr>
      <w:keepLines/>
      <w:keepNext/>
      <w:spacing w:before="280" w:after="290" w:line="376" w:lineRule="auto"/>
      <w:tabs>
        <w:tab w:val="left" w:pos="4409" w:leader="none"/>
      </w:tabs>
      <w:outlineLvl w:val="3"/>
    </w:pPr>
    <w:rPr>
      <w:rFonts w:ascii="Arial" w:hAnsi="Arial" w:eastAsia="黑体" w:cs="宋体"/>
      <w:b/>
      <w:bCs/>
      <w:sz w:val="28"/>
      <w:szCs w:val="28"/>
      <w:lang w:val="zh-CN"/>
    </w:rPr>
  </w:style>
  <w:style w:type="paragraph" w:styleId="884">
    <w:name w:val="Heading 5"/>
    <w:basedOn w:val="879"/>
    <w:next w:val="879"/>
    <w:link w:val="1132"/>
    <w:uiPriority w:val="0"/>
    <w:qFormat/>
    <w:pPr>
      <w:keepLines/>
      <w:keepNext/>
      <w:spacing w:before="280" w:after="290" w:line="372" w:lineRule="auto"/>
      <w:outlineLvl w:val="4"/>
    </w:pPr>
    <w:rPr>
      <w:rFonts w:ascii="Times New Roman" w:hAnsi="Times New Roman" w:eastAsia="Calibri" w:cs="宋体"/>
      <w:b/>
      <w:bCs/>
      <w:sz w:val="28"/>
      <w:szCs w:val="28"/>
      <w:lang w:val="zh-CN"/>
    </w:rPr>
  </w:style>
  <w:style w:type="paragraph" w:styleId="885">
    <w:name w:val="Heading 6"/>
    <w:basedOn w:val="879"/>
    <w:next w:val="879"/>
    <w:link w:val="1133"/>
    <w:uiPriority w:val="0"/>
    <w:qFormat/>
    <w:pPr>
      <w:keepLines/>
      <w:keepNext/>
      <w:spacing w:before="240" w:after="64" w:line="316" w:lineRule="auto"/>
      <w:outlineLvl w:val="5"/>
    </w:pPr>
    <w:rPr>
      <w:rFonts w:ascii="Cambria" w:hAnsi="Cambria" w:eastAsia="Calibri" w:cs="宋体"/>
      <w:b/>
      <w:bCs/>
      <w:sz w:val="24"/>
      <w:szCs w:val="20"/>
      <w:lang w:val="zh-CN"/>
    </w:rPr>
  </w:style>
  <w:style w:type="paragraph" w:styleId="886">
    <w:name w:val="Heading 7"/>
    <w:basedOn w:val="879"/>
    <w:next w:val="879"/>
    <w:link w:val="1134"/>
    <w:uiPriority w:val="0"/>
    <w:qFormat/>
    <w:pPr>
      <w:keepLines/>
      <w:keepNext/>
      <w:spacing w:before="240" w:after="64" w:line="316" w:lineRule="auto"/>
      <w:outlineLvl w:val="6"/>
    </w:pPr>
    <w:rPr>
      <w:rFonts w:ascii="Times New Roman" w:hAnsi="Times New Roman" w:eastAsia="Calibri" w:cs="宋体"/>
      <w:b/>
      <w:bCs/>
      <w:sz w:val="24"/>
      <w:szCs w:val="20"/>
      <w:lang w:val="zh-CN"/>
    </w:rPr>
  </w:style>
  <w:style w:type="paragraph" w:styleId="887">
    <w:name w:val="Heading 8"/>
    <w:basedOn w:val="879"/>
    <w:next w:val="879"/>
    <w:link w:val="1135"/>
    <w:uiPriority w:val="0"/>
    <w:qFormat/>
    <w:pPr>
      <w:keepLines/>
      <w:keepNext/>
      <w:spacing w:before="240" w:after="64" w:line="316" w:lineRule="auto"/>
      <w:outlineLvl w:val="7"/>
    </w:pPr>
    <w:rPr>
      <w:rFonts w:ascii="Cambria" w:hAnsi="Cambria" w:eastAsia="Calibri" w:cs="宋体"/>
      <w:sz w:val="24"/>
      <w:szCs w:val="20"/>
      <w:lang w:val="zh-CN"/>
    </w:rPr>
  </w:style>
  <w:style w:type="paragraph" w:styleId="888">
    <w:name w:val="Heading 9"/>
    <w:basedOn w:val="879"/>
    <w:next w:val="879"/>
    <w:link w:val="1136"/>
    <w:uiPriority w:val="0"/>
    <w:qFormat/>
    <w:pPr>
      <w:keepLines/>
      <w:keepNext/>
      <w:spacing w:before="240" w:after="64" w:line="316" w:lineRule="auto"/>
      <w:outlineLvl w:val="8"/>
    </w:pPr>
    <w:rPr>
      <w:rFonts w:ascii="Cambria" w:hAnsi="Cambria" w:eastAsia="Calibri" w:cs="宋体"/>
      <w:sz w:val="20"/>
      <w:szCs w:val="21"/>
      <w:lang w:val="zh-CN"/>
    </w:rPr>
  </w:style>
  <w:style w:type="character" w:styleId="889" w:default="1">
    <w:name w:val="Default Paragraph Font"/>
    <w:uiPriority w:val="1"/>
    <w:semiHidden/>
    <w:unhideWhenUsed/>
    <w:qFormat/>
  </w:style>
  <w:style w:type="table" w:styleId="890" w:default="1">
    <w:name w:val="Normal Table"/>
    <w:uiPriority w:val="99"/>
    <w:semiHidden/>
    <w:unhideWhenUsed/>
    <w:qFormat/>
    <w:tblPr>
      <w:tblCellMar>
        <w:left w:w="108" w:type="dxa"/>
        <w:top w:w="0" w:type="dxa"/>
        <w:right w:w="108" w:type="dxa"/>
        <w:bottom w:w="0" w:type="dxa"/>
      </w:tblCellMar>
    </w:tblPr>
  </w:style>
  <w:style w:type="paragraph" w:styleId="891">
    <w:name w:val="Body Text"/>
    <w:basedOn w:val="879"/>
    <w:next w:val="879"/>
    <w:link w:val="1107"/>
    <w:uiPriority w:val="0"/>
    <w:qFormat/>
    <w:pPr>
      <w:ind w:left="118"/>
      <w:jc w:val="left"/>
      <w:spacing w:before="133"/>
    </w:pPr>
    <w:rPr>
      <w:rFonts w:ascii="宋体" w:hAnsi="宋体" w:cs="Times New Roman"/>
      <w:szCs w:val="21"/>
      <w:lang w:eastAsia="en-US"/>
    </w:rPr>
  </w:style>
  <w:style w:type="paragraph" w:styleId="892">
    <w:name w:val="Normal Indent"/>
    <w:basedOn w:val="879"/>
    <w:link w:val="1119"/>
    <w:uiPriority w:val="0"/>
    <w:unhideWhenUsed/>
    <w:qFormat/>
    <w:pPr>
      <w:ind w:firstLine="420"/>
    </w:pPr>
  </w:style>
  <w:style w:type="paragraph" w:styleId="893">
    <w:name w:val="List 3"/>
    <w:basedOn w:val="879"/>
    <w:uiPriority w:val="0"/>
    <w:qFormat/>
    <w:pPr>
      <w:ind w:left="1260" w:hanging="420"/>
    </w:pPr>
    <w:rPr>
      <w:rFonts w:ascii="Times New Roman" w:hAnsi="Times New Roman" w:eastAsia="Calibri" w:cs="宋体"/>
      <w:sz w:val="20"/>
      <w:szCs w:val="20"/>
      <w:lang w:val="zh-CN"/>
    </w:rPr>
  </w:style>
  <w:style w:type="paragraph" w:styleId="894">
    <w:name w:val="toc 7"/>
    <w:basedOn w:val="879"/>
    <w:next w:val="879"/>
    <w:uiPriority w:val="0"/>
    <w:qFormat/>
    <w:pPr>
      <w:ind w:left="1260"/>
      <w:jc w:val="left"/>
    </w:pPr>
    <w:rPr>
      <w:rFonts w:ascii="Times New Roman" w:hAnsi="Times New Roman" w:eastAsia="Calibri" w:cs="宋体"/>
      <w:sz w:val="18"/>
      <w:szCs w:val="20"/>
      <w:lang w:val="zh-CN"/>
    </w:rPr>
  </w:style>
  <w:style w:type="paragraph" w:styleId="895">
    <w:name w:val="List Number 2"/>
    <w:basedOn w:val="879"/>
    <w:uiPriority w:val="0"/>
    <w:qFormat/>
    <w:pPr>
      <w:ind w:left="1440" w:hanging="1440"/>
      <w:spacing w:line="360" w:lineRule="auto"/>
      <w:tabs>
        <w:tab w:val="left" w:pos="1440" w:leader="none"/>
      </w:tabs>
    </w:pPr>
    <w:rPr>
      <w:rFonts w:ascii="Times New Roman" w:hAnsi="Times New Roman" w:eastAsia="Calibri" w:cs="宋体"/>
      <w:sz w:val="24"/>
      <w:szCs w:val="20"/>
      <w:lang w:val="zh-CN"/>
    </w:rPr>
  </w:style>
  <w:style w:type="paragraph" w:styleId="896">
    <w:name w:val="index 8"/>
    <w:basedOn w:val="879"/>
    <w:next w:val="879"/>
    <w:uiPriority w:val="0"/>
    <w:qFormat/>
    <w:pPr>
      <w:ind w:left="2940"/>
    </w:pPr>
    <w:rPr>
      <w:rFonts w:ascii="Times New Roman" w:hAnsi="Times New Roman" w:eastAsia="Calibri" w:cs="宋体"/>
      <w:sz w:val="20"/>
      <w:szCs w:val="20"/>
      <w:lang w:val="zh-CN"/>
    </w:rPr>
  </w:style>
  <w:style w:type="paragraph" w:styleId="897">
    <w:name w:val="List Number"/>
    <w:basedOn w:val="879"/>
    <w:uiPriority w:val="0"/>
    <w:qFormat/>
    <w:pPr>
      <w:ind w:left="2952" w:hanging="432"/>
      <w:tabs>
        <w:tab w:val="left" w:pos="2952" w:leader="none"/>
      </w:tabs>
    </w:pPr>
    <w:rPr>
      <w:rFonts w:ascii="Times New Roman" w:hAnsi="Times New Roman" w:eastAsia="Calibri" w:cs="宋体"/>
      <w:sz w:val="20"/>
      <w:szCs w:val="20"/>
      <w:lang w:val="zh-CN"/>
    </w:rPr>
  </w:style>
  <w:style w:type="paragraph" w:styleId="898">
    <w:name w:val="Caption"/>
    <w:basedOn w:val="879"/>
    <w:next w:val="8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9">
    <w:name w:val="index 5"/>
    <w:basedOn w:val="879"/>
    <w:next w:val="879"/>
    <w:uiPriority w:val="0"/>
    <w:qFormat/>
    <w:pPr>
      <w:ind w:left="1680"/>
    </w:pPr>
    <w:rPr>
      <w:rFonts w:ascii="Times New Roman" w:hAnsi="Times New Roman" w:eastAsia="Calibri" w:cs="宋体"/>
      <w:sz w:val="20"/>
      <w:szCs w:val="20"/>
      <w:lang w:val="zh-CN"/>
    </w:rPr>
  </w:style>
  <w:style w:type="paragraph" w:styleId="900">
    <w:name w:val="Document Map"/>
    <w:basedOn w:val="879"/>
    <w:link w:val="1137"/>
    <w:uiPriority w:val="0"/>
    <w:qFormat/>
    <w:pPr>
      <w:shd w:val="clear" w:color="auto" w:fill="000080"/>
    </w:pPr>
    <w:rPr>
      <w:rFonts w:ascii="Times New Roman" w:hAnsi="Times New Roman" w:eastAsia="Calibri" w:cs="宋体"/>
      <w:sz w:val="20"/>
      <w:szCs w:val="20"/>
      <w:lang w:val="zh-CN"/>
    </w:rPr>
  </w:style>
  <w:style w:type="paragraph" w:styleId="901">
    <w:name w:val="annotation text"/>
    <w:basedOn w:val="879"/>
    <w:link w:val="1126"/>
    <w:uiPriority w:val="0"/>
    <w:unhideWhenUsed/>
    <w:qFormat/>
    <w:pPr>
      <w:jc w:val="left"/>
    </w:pPr>
  </w:style>
  <w:style w:type="paragraph" w:styleId="902">
    <w:name w:val="index 6"/>
    <w:basedOn w:val="879"/>
    <w:next w:val="879"/>
    <w:uiPriority w:val="0"/>
    <w:qFormat/>
    <w:pPr>
      <w:ind w:left="2100"/>
    </w:pPr>
    <w:rPr>
      <w:rFonts w:ascii="Times New Roman" w:hAnsi="Times New Roman" w:eastAsia="Calibri" w:cs="宋体"/>
      <w:sz w:val="20"/>
      <w:szCs w:val="20"/>
      <w:lang w:val="zh-CN"/>
    </w:rPr>
  </w:style>
  <w:style w:type="paragraph" w:styleId="903">
    <w:name w:val="Salutation"/>
    <w:basedOn w:val="879"/>
    <w:next w:val="879"/>
    <w:link w:val="1138"/>
    <w:uiPriority w:val="0"/>
    <w:qFormat/>
    <w:rPr>
      <w:rFonts w:ascii="仿宋_GB2312" w:hAnsi="Times New Roman" w:eastAsia="仿宋_GB2312" w:cs="宋体"/>
      <w:sz w:val="28"/>
      <w:szCs w:val="20"/>
      <w:lang w:val="zh-CN"/>
    </w:rPr>
  </w:style>
  <w:style w:type="paragraph" w:styleId="904">
    <w:name w:val="Body Text 3"/>
    <w:basedOn w:val="879"/>
    <w:link w:val="1139"/>
    <w:uiPriority w:val="0"/>
    <w:qFormat/>
    <w:rPr>
      <w:rFonts w:ascii="仿宋_GB2312" w:hAnsi="Times New Roman" w:eastAsia="仿宋_GB2312" w:cs="宋体"/>
      <w:sz w:val="32"/>
      <w:szCs w:val="20"/>
      <w:lang w:val="zh-CN"/>
    </w:rPr>
  </w:style>
  <w:style w:type="paragraph" w:styleId="905">
    <w:name w:val="Body Text Indent"/>
    <w:basedOn w:val="879"/>
    <w:link w:val="1140"/>
    <w:uiPriority w:val="0"/>
    <w:qFormat/>
    <w:pPr>
      <w:ind w:left="200"/>
      <w:spacing w:after="120"/>
    </w:pPr>
    <w:rPr>
      <w:rFonts w:ascii="Times New Roman" w:hAnsi="Times New Roman" w:eastAsia="Calibri" w:cs="宋体"/>
      <w:sz w:val="20"/>
      <w:szCs w:val="20"/>
      <w:lang w:val="zh-CN"/>
    </w:rPr>
  </w:style>
  <w:style w:type="paragraph" w:styleId="906">
    <w:name w:val="index 4"/>
    <w:basedOn w:val="879"/>
    <w:next w:val="879"/>
    <w:uiPriority w:val="0"/>
    <w:qFormat/>
    <w:pPr>
      <w:ind w:left="600"/>
    </w:pPr>
    <w:rPr>
      <w:rFonts w:ascii="Times New Roman" w:hAnsi="Times New Roman" w:eastAsia="宋体" w:cs="Times New Roman"/>
      <w:szCs w:val="24"/>
    </w:rPr>
  </w:style>
  <w:style w:type="paragraph" w:styleId="907">
    <w:name w:val="toc 5"/>
    <w:basedOn w:val="879"/>
    <w:next w:val="879"/>
    <w:uiPriority w:val="0"/>
    <w:qFormat/>
    <w:pPr>
      <w:ind w:left="800"/>
    </w:pPr>
    <w:rPr>
      <w:rFonts w:ascii="Times New Roman" w:hAnsi="Times New Roman" w:eastAsia="Calibri" w:cs="宋体"/>
      <w:sz w:val="20"/>
      <w:szCs w:val="20"/>
      <w:lang w:val="zh-CN"/>
    </w:rPr>
  </w:style>
  <w:style w:type="paragraph" w:styleId="908">
    <w:name w:val="toc 3"/>
    <w:basedOn w:val="879"/>
    <w:next w:val="879"/>
    <w:uiPriority w:val="0"/>
    <w:qFormat/>
    <w:pPr>
      <w:ind w:left="400"/>
    </w:pPr>
    <w:rPr>
      <w:rFonts w:ascii="Times New Roman" w:hAnsi="Times New Roman" w:eastAsia="Calibri" w:cs="宋体"/>
      <w:sz w:val="20"/>
      <w:szCs w:val="20"/>
      <w:lang w:val="zh-CN"/>
    </w:rPr>
  </w:style>
  <w:style w:type="paragraph" w:styleId="909">
    <w:name w:val="Plain Text"/>
    <w:basedOn w:val="879"/>
    <w:link w:val="1110"/>
    <w:uiPriority w:val="0"/>
    <w:qFormat/>
    <w:rPr>
      <w:rFonts w:ascii="宋体" w:hAnsi="Courier New" w:eastAsia="宋体" w:cs="Times New Roman"/>
      <w:szCs w:val="21"/>
    </w:rPr>
  </w:style>
  <w:style w:type="paragraph" w:styleId="910">
    <w:name w:val="toc 8"/>
    <w:basedOn w:val="879"/>
    <w:next w:val="879"/>
    <w:uiPriority w:val="0"/>
    <w:qFormat/>
    <w:pPr>
      <w:ind w:left="1470"/>
      <w:jc w:val="left"/>
    </w:pPr>
    <w:rPr>
      <w:rFonts w:ascii="Times New Roman" w:hAnsi="Times New Roman" w:eastAsia="Calibri" w:cs="宋体"/>
      <w:sz w:val="18"/>
      <w:szCs w:val="20"/>
      <w:lang w:val="zh-CN"/>
    </w:rPr>
  </w:style>
  <w:style w:type="paragraph" w:styleId="911">
    <w:name w:val="index 3"/>
    <w:basedOn w:val="879"/>
    <w:next w:val="879"/>
    <w:uiPriority w:val="0"/>
    <w:qFormat/>
    <w:pPr>
      <w:ind w:left="840"/>
    </w:pPr>
    <w:rPr>
      <w:rFonts w:ascii="Times New Roman" w:hAnsi="Times New Roman" w:eastAsia="Calibri" w:cs="宋体"/>
      <w:sz w:val="20"/>
      <w:szCs w:val="20"/>
      <w:lang w:val="zh-CN"/>
    </w:rPr>
  </w:style>
  <w:style w:type="paragraph" w:styleId="912">
    <w:name w:val="Date"/>
    <w:basedOn w:val="879"/>
    <w:next w:val="879"/>
    <w:link w:val="1099"/>
    <w:uiPriority w:val="0"/>
    <w:unhideWhenUsed/>
    <w:qFormat/>
    <w:pPr>
      <w:ind w:left="100"/>
    </w:pPr>
  </w:style>
  <w:style w:type="paragraph" w:styleId="913">
    <w:name w:val="Body Text Indent 2"/>
    <w:basedOn w:val="879"/>
    <w:link w:val="1141"/>
    <w:uiPriority w:val="0"/>
    <w:qFormat/>
    <w:pPr>
      <w:ind w:left="630" w:firstLine="645"/>
    </w:pPr>
    <w:rPr>
      <w:rFonts w:ascii="Arial" w:hAnsi="Arial" w:eastAsia="仿宋_GB2312" w:cs="宋体"/>
      <w:sz w:val="32"/>
      <w:szCs w:val="20"/>
      <w:lang w:val="zh-CN"/>
    </w:rPr>
  </w:style>
  <w:style w:type="paragraph" w:styleId="914">
    <w:name w:val="endnote text"/>
    <w:basedOn w:val="879"/>
    <w:link w:val="1142"/>
    <w:uiPriority w:val="0"/>
    <w:qFormat/>
    <w:pPr>
      <w:jc w:val="left"/>
    </w:pPr>
    <w:rPr>
      <w:rFonts w:ascii="Times New Roman" w:hAnsi="Times New Roman" w:eastAsia="Calibri" w:cs="宋体"/>
      <w:sz w:val="20"/>
      <w:szCs w:val="20"/>
      <w:lang w:val="zh-CN"/>
    </w:rPr>
  </w:style>
  <w:style w:type="paragraph" w:styleId="915">
    <w:name w:val="Balloon Text"/>
    <w:basedOn w:val="879"/>
    <w:link w:val="1128"/>
    <w:uiPriority w:val="0"/>
    <w:qFormat/>
    <w:rPr>
      <w:rFonts w:ascii="Calibri" w:hAnsi="Calibri" w:eastAsia="宋体" w:cs="Times New Roman"/>
      <w:sz w:val="16"/>
      <w:szCs w:val="16"/>
    </w:rPr>
  </w:style>
  <w:style w:type="paragraph" w:styleId="916">
    <w:name w:val="Footer"/>
    <w:basedOn w:val="879"/>
    <w:link w:val="1101"/>
    <w:uiPriority w:val="99"/>
    <w:unhideWhenUsed/>
    <w:qFormat/>
    <w:pPr>
      <w:jc w:val="left"/>
      <w:tabs>
        <w:tab w:val="center" w:pos="4153" w:leader="none"/>
        <w:tab w:val="right" w:pos="8306" w:leader="none"/>
      </w:tabs>
    </w:pPr>
    <w:rPr>
      <w:sz w:val="18"/>
      <w:szCs w:val="18"/>
    </w:rPr>
  </w:style>
  <w:style w:type="paragraph" w:styleId="917">
    <w:name w:val="envelope return"/>
    <w:basedOn w:val="879"/>
    <w:uiPriority w:val="99"/>
    <w:unhideWhenUsed/>
    <w:qFormat/>
    <w:rPr>
      <w:rFonts w:ascii="Arial" w:hAnsi="Arial" w:cs="Arial"/>
    </w:rPr>
  </w:style>
  <w:style w:type="paragraph" w:styleId="918">
    <w:name w:val="Header"/>
    <w:basedOn w:val="879"/>
    <w:link w:val="110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9">
    <w:name w:val="Signature"/>
    <w:basedOn w:val="879"/>
    <w:link w:val="1143"/>
    <w:uiPriority w:val="0"/>
    <w:qFormat/>
    <w:pPr>
      <w:jc w:val="center"/>
      <w:spacing w:after="600" w:line="312" w:lineRule="atLeast"/>
    </w:pPr>
    <w:rPr>
      <w:rFonts w:ascii="Times New Roman" w:hAnsi="Times New Roman" w:eastAsia="仿宋_GB2312" w:cs="宋体"/>
      <w:sz w:val="24"/>
      <w:szCs w:val="20"/>
      <w:lang w:val="zh-CN"/>
    </w:rPr>
  </w:style>
  <w:style w:type="paragraph" w:styleId="920">
    <w:name w:val="toc 1"/>
    <w:basedOn w:val="879"/>
    <w:next w:val="879"/>
    <w:uiPriority w:val="0"/>
    <w:qFormat/>
    <w:pPr>
      <w:jc w:val="left"/>
    </w:pPr>
    <w:rPr>
      <w:rFonts w:ascii="Times New Roman" w:hAnsi="Times New Roman" w:eastAsia="楷体_GB2312" w:cs="Times New Roman"/>
      <w:sz w:val="24"/>
      <w:szCs w:val="20"/>
    </w:rPr>
  </w:style>
  <w:style w:type="paragraph" w:styleId="921">
    <w:name w:val="toc 4"/>
    <w:basedOn w:val="879"/>
    <w:next w:val="879"/>
    <w:uiPriority w:val="0"/>
    <w:qFormat/>
    <w:pPr>
      <w:ind w:left="600"/>
    </w:pPr>
    <w:rPr>
      <w:rFonts w:ascii="Times New Roman" w:hAnsi="Times New Roman" w:eastAsia="Calibri" w:cs="宋体"/>
      <w:sz w:val="20"/>
      <w:szCs w:val="20"/>
      <w:lang w:val="zh-CN"/>
    </w:rPr>
  </w:style>
  <w:style w:type="paragraph" w:styleId="922">
    <w:name w:val="index heading"/>
    <w:basedOn w:val="879"/>
    <w:next w:val="923"/>
    <w:uiPriority w:val="0"/>
    <w:qFormat/>
    <w:rPr>
      <w:rFonts w:ascii="Times New Roman" w:hAnsi="Times New Roman" w:eastAsia="Calibri" w:cs="宋体"/>
      <w:sz w:val="20"/>
      <w:szCs w:val="20"/>
      <w:lang w:val="zh-CN"/>
    </w:rPr>
  </w:style>
  <w:style w:type="paragraph" w:styleId="923">
    <w:name w:val="index 1"/>
    <w:basedOn w:val="879"/>
    <w:next w:val="879"/>
    <w:uiPriority w:val="0"/>
    <w:unhideWhenUsed/>
    <w:qFormat/>
  </w:style>
  <w:style w:type="paragraph" w:styleId="924">
    <w:name w:val="Subtitle"/>
    <w:basedOn w:val="879"/>
    <w:next w:val="879"/>
    <w:link w:val="1144"/>
    <w:uiPriority w:val="0"/>
    <w:qFormat/>
    <w:pPr>
      <w:jc w:val="center"/>
      <w:spacing w:before="240" w:after="60" w:line="312" w:lineRule="auto"/>
      <w:outlineLvl w:val="1"/>
    </w:pPr>
    <w:rPr>
      <w:rFonts w:ascii="Cambria" w:hAnsi="Cambria" w:eastAsia="Calibri" w:cs="宋体"/>
      <w:b/>
      <w:bCs/>
      <w:sz w:val="32"/>
      <w:szCs w:val="32"/>
      <w:lang w:val="zh-CN"/>
    </w:rPr>
  </w:style>
  <w:style w:type="paragraph" w:styleId="925">
    <w:name w:val="footnote text"/>
    <w:basedOn w:val="879"/>
    <w:link w:val="1145"/>
    <w:uiPriority w:val="0"/>
    <w:qFormat/>
    <w:pPr>
      <w:jc w:val="left"/>
    </w:pPr>
    <w:rPr>
      <w:rFonts w:ascii="Times New Roman" w:hAnsi="Times New Roman" w:eastAsia="Calibri" w:cs="宋体"/>
      <w:sz w:val="18"/>
      <w:szCs w:val="18"/>
      <w:lang w:val="zh-CN"/>
    </w:rPr>
  </w:style>
  <w:style w:type="paragraph" w:styleId="926">
    <w:name w:val="toc 6"/>
    <w:basedOn w:val="879"/>
    <w:next w:val="879"/>
    <w:uiPriority w:val="0"/>
    <w:qFormat/>
    <w:pPr>
      <w:ind w:left="1050"/>
      <w:jc w:val="left"/>
    </w:pPr>
    <w:rPr>
      <w:rFonts w:ascii="Times New Roman" w:hAnsi="Times New Roman" w:eastAsia="Calibri" w:cs="宋体"/>
      <w:sz w:val="18"/>
      <w:szCs w:val="20"/>
      <w:lang w:val="zh-CN"/>
    </w:rPr>
  </w:style>
  <w:style w:type="paragraph" w:styleId="927">
    <w:name w:val="Body Text Indent 3"/>
    <w:basedOn w:val="879"/>
    <w:link w:val="1146"/>
    <w:uiPriority w:val="0"/>
    <w:qFormat/>
    <w:pPr>
      <w:ind w:left="645" w:firstLine="645"/>
    </w:pPr>
    <w:rPr>
      <w:rFonts w:ascii="Arial" w:hAnsi="Arial" w:eastAsia="仿宋_GB2312" w:cs="宋体"/>
      <w:color w:val="ffff00"/>
      <w:sz w:val="32"/>
      <w:szCs w:val="20"/>
      <w:lang w:val="zh-CN"/>
    </w:rPr>
  </w:style>
  <w:style w:type="paragraph" w:styleId="928">
    <w:name w:val="index 7"/>
    <w:basedOn w:val="879"/>
    <w:next w:val="879"/>
    <w:uiPriority w:val="0"/>
    <w:qFormat/>
    <w:pPr>
      <w:ind w:left="2520"/>
    </w:pPr>
    <w:rPr>
      <w:rFonts w:ascii="Times New Roman" w:hAnsi="Times New Roman" w:eastAsia="Calibri" w:cs="宋体"/>
      <w:sz w:val="20"/>
      <w:szCs w:val="20"/>
      <w:lang w:val="zh-CN"/>
    </w:rPr>
  </w:style>
  <w:style w:type="paragraph" w:styleId="929">
    <w:name w:val="index 9"/>
    <w:basedOn w:val="879"/>
    <w:next w:val="879"/>
    <w:uiPriority w:val="0"/>
    <w:qFormat/>
    <w:pPr>
      <w:ind w:left="3360"/>
    </w:pPr>
    <w:rPr>
      <w:rFonts w:ascii="Times New Roman" w:hAnsi="Times New Roman" w:eastAsia="Calibri" w:cs="宋体"/>
      <w:sz w:val="20"/>
      <w:szCs w:val="20"/>
      <w:lang w:val="zh-CN"/>
    </w:rPr>
  </w:style>
  <w:style w:type="paragraph" w:styleId="930">
    <w:name w:val="table of figures"/>
    <w:basedOn w:val="879"/>
    <w:next w:val="879"/>
    <w:uiPriority w:val="0"/>
    <w:qFormat/>
    <w:pPr>
      <w:ind w:left="840" w:hanging="420"/>
    </w:pPr>
    <w:rPr>
      <w:rFonts w:ascii="Times New Roman" w:hAnsi="Times New Roman" w:eastAsia="Calibri" w:cs="宋体"/>
      <w:sz w:val="20"/>
      <w:szCs w:val="20"/>
      <w:lang w:val="zh-CN"/>
    </w:rPr>
  </w:style>
  <w:style w:type="paragraph" w:styleId="931">
    <w:name w:val="toc 2"/>
    <w:basedOn w:val="879"/>
    <w:next w:val="879"/>
    <w:uiPriority w:val="0"/>
    <w:qFormat/>
    <w:pPr>
      <w:ind w:left="200"/>
    </w:pPr>
    <w:rPr>
      <w:rFonts w:ascii="Times New Roman" w:hAnsi="Times New Roman" w:eastAsia="Calibri" w:cs="宋体"/>
      <w:sz w:val="20"/>
      <w:szCs w:val="20"/>
      <w:lang w:val="zh-CN"/>
    </w:rPr>
  </w:style>
  <w:style w:type="paragraph" w:styleId="932">
    <w:name w:val="toc 9"/>
    <w:basedOn w:val="879"/>
    <w:next w:val="879"/>
    <w:uiPriority w:val="0"/>
    <w:qFormat/>
    <w:pPr>
      <w:ind w:left="1680"/>
      <w:jc w:val="left"/>
    </w:pPr>
    <w:rPr>
      <w:rFonts w:ascii="Times New Roman" w:hAnsi="Times New Roman" w:eastAsia="Calibri" w:cs="宋体"/>
      <w:sz w:val="18"/>
      <w:szCs w:val="20"/>
      <w:lang w:val="zh-CN"/>
    </w:rPr>
  </w:style>
  <w:style w:type="paragraph" w:styleId="933">
    <w:name w:val="Body Text 2"/>
    <w:basedOn w:val="879"/>
    <w:link w:val="1147"/>
    <w:uiPriority w:val="0"/>
    <w:qFormat/>
    <w:pPr>
      <w:jc w:val="center"/>
      <w:widowControl/>
    </w:pPr>
    <w:rPr>
      <w:rFonts w:ascii="楷体_GB2312" w:hAnsi="Times New Roman" w:eastAsia="楷体_GB2312" w:cs="宋体"/>
      <w:sz w:val="28"/>
      <w:szCs w:val="20"/>
      <w:lang w:val="zh-CN"/>
    </w:rPr>
  </w:style>
  <w:style w:type="paragraph" w:styleId="934">
    <w:name w:val="HTML Preformatted"/>
    <w:basedOn w:val="879"/>
    <w:link w:val="11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Times New Roman" w:eastAsia="黑体" w:cs="Courier New"/>
      <w:sz w:val="20"/>
      <w:szCs w:val="20"/>
      <w:lang w:val="zh-CN"/>
    </w:rPr>
  </w:style>
  <w:style w:type="paragraph" w:styleId="935">
    <w:name w:val="Normal (Web)"/>
    <w:basedOn w:val="879"/>
    <w:uiPriority w:val="99"/>
    <w:qFormat/>
    <w:pPr>
      <w:jc w:val="left"/>
      <w:spacing w:before="100" w:beforeAutospacing="1" w:after="100" w:afterAutospacing="1"/>
      <w:widowControl/>
    </w:pPr>
    <w:rPr>
      <w:rFonts w:ascii="宋体" w:hAnsi="宋体" w:eastAsia="宋体" w:cs="宋体"/>
      <w:sz w:val="24"/>
      <w:szCs w:val="24"/>
    </w:rPr>
  </w:style>
  <w:style w:type="paragraph" w:styleId="936">
    <w:name w:val="index 2"/>
    <w:basedOn w:val="879"/>
    <w:next w:val="879"/>
    <w:uiPriority w:val="0"/>
    <w:qFormat/>
    <w:pPr>
      <w:ind w:left="420"/>
    </w:pPr>
    <w:rPr>
      <w:rFonts w:ascii="Times New Roman" w:hAnsi="Times New Roman" w:eastAsia="Calibri" w:cs="宋体"/>
      <w:sz w:val="20"/>
      <w:szCs w:val="20"/>
      <w:lang w:val="zh-CN"/>
    </w:rPr>
  </w:style>
  <w:style w:type="paragraph" w:styleId="937">
    <w:name w:val="Title"/>
    <w:basedOn w:val="879"/>
    <w:next w:val="879"/>
    <w:link w:val="1149"/>
    <w:uiPriority w:val="0"/>
    <w:qFormat/>
    <w:pPr>
      <w:jc w:val="center"/>
      <w:spacing w:before="240" w:after="60"/>
      <w:outlineLvl w:val="0"/>
    </w:pPr>
    <w:rPr>
      <w:rFonts w:ascii="Cambria" w:hAnsi="Cambria" w:eastAsia="Calibri" w:cs="宋体"/>
      <w:b/>
      <w:bCs/>
      <w:sz w:val="32"/>
      <w:szCs w:val="32"/>
      <w:lang w:val="zh-CN"/>
    </w:rPr>
  </w:style>
  <w:style w:type="paragraph" w:styleId="938">
    <w:name w:val="annotation subject"/>
    <w:basedOn w:val="901"/>
    <w:next w:val="901"/>
    <w:link w:val="1127"/>
    <w:uiPriority w:val="0"/>
    <w:unhideWhenUsed/>
    <w:qFormat/>
    <w:rPr>
      <w:b/>
      <w:bCs/>
    </w:rPr>
  </w:style>
  <w:style w:type="paragraph" w:styleId="939">
    <w:name w:val="Body Text First Indent"/>
    <w:basedOn w:val="891"/>
    <w:link w:val="1483"/>
    <w:uiPriority w:val="0"/>
    <w:qFormat/>
    <w:pPr>
      <w:ind w:firstLine="420"/>
      <w:spacing w:after="120"/>
    </w:pPr>
    <w:rPr>
      <w:rFonts w:ascii="Times New Roman" w:hAnsi="Times New Roman"/>
      <w:szCs w:val="24"/>
    </w:rPr>
  </w:style>
  <w:style w:type="paragraph" w:styleId="940">
    <w:name w:val="Body Text First Indent 2"/>
    <w:basedOn w:val="905"/>
    <w:uiPriority w:val="99"/>
    <w:qFormat/>
    <w:pPr>
      <w:ind w:firstLine="420"/>
    </w:pPr>
  </w:style>
  <w:style w:type="table" w:styleId="941">
    <w:name w:val="Table Grid"/>
    <w:basedOn w:val="890"/>
    <w:uiPriority w:val="3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942">
    <w:name w:val="Strong"/>
    <w:uiPriority w:val="0"/>
    <w:qFormat/>
    <w:rPr>
      <w:b/>
      <w:bCs/>
    </w:rPr>
  </w:style>
  <w:style w:type="character" w:styleId="943">
    <w:name w:val="endnote reference"/>
    <w:uiPriority w:val="0"/>
    <w:qFormat/>
    <w:rPr>
      <w:vertAlign w:val="superscript"/>
    </w:rPr>
  </w:style>
  <w:style w:type="character" w:styleId="944">
    <w:name w:val="page number"/>
    <w:basedOn w:val="889"/>
    <w:uiPriority w:val="0"/>
    <w:qFormat/>
  </w:style>
  <w:style w:type="character" w:styleId="945">
    <w:name w:val="FollowedHyperlink"/>
    <w:uiPriority w:val="0"/>
    <w:qFormat/>
    <w:rPr>
      <w:color w:val="800080"/>
      <w:u w:val="single"/>
    </w:rPr>
  </w:style>
  <w:style w:type="character" w:styleId="946">
    <w:name w:val="Emphasis"/>
    <w:uiPriority w:val="0"/>
    <w:qFormat/>
    <w:rPr>
      <w:i/>
      <w:iCs/>
    </w:rPr>
  </w:style>
  <w:style w:type="character" w:styleId="947">
    <w:name w:val="line number"/>
    <w:uiPriority w:val="0"/>
    <w:qFormat/>
  </w:style>
  <w:style w:type="character" w:styleId="948">
    <w:name w:val="HTML Definition"/>
    <w:uiPriority w:val="99"/>
    <w:unhideWhenUsed/>
    <w:qFormat/>
    <w:rPr>
      <w:i/>
      <w:shd w:val="clear" w:color="auto" w:fill="f4f4f4"/>
    </w:rPr>
  </w:style>
  <w:style w:type="character" w:styleId="949">
    <w:name w:val="HTML Typewriter"/>
    <w:uiPriority w:val="0"/>
    <w:qFormat/>
    <w:rPr>
      <w:rFonts w:ascii="宋体" w:eastAsia="宋体" w:cs="宋体"/>
      <w:sz w:val="24"/>
      <w:szCs w:val="24"/>
      <w:lang w:bidi="ar-SA"/>
    </w:rPr>
  </w:style>
  <w:style w:type="character" w:styleId="950">
    <w:name w:val="Hyperlink"/>
    <w:uiPriority w:val="0"/>
    <w:qFormat/>
    <w:rPr>
      <w:color w:val="0000ff"/>
      <w:u w:val="single"/>
    </w:rPr>
  </w:style>
  <w:style w:type="character" w:styleId="951">
    <w:name w:val="annotation reference"/>
    <w:basedOn w:val="889"/>
    <w:uiPriority w:val="0"/>
    <w:unhideWhenUsed/>
    <w:qFormat/>
    <w:rPr>
      <w:sz w:val="21"/>
      <w:szCs w:val="21"/>
    </w:rPr>
  </w:style>
  <w:style w:type="character" w:styleId="952">
    <w:name w:val="footnote reference"/>
    <w:uiPriority w:val="0"/>
    <w:qFormat/>
    <w:rPr>
      <w:vertAlign w:val="superscript"/>
    </w:rPr>
  </w:style>
  <w:style w:type="character" w:styleId="953">
    <w:name w:val="HTML Sample"/>
    <w:uiPriority w:val="0"/>
    <w:qFormat/>
    <w:rPr>
      <w:rFonts w:ascii="Courier New" w:hAnsi="Courier New" w:eastAsia="宋体" w:cs="Courier New"/>
      <w:lang w:bidi="ar-SA"/>
    </w:rPr>
  </w:style>
  <w:style w:type="paragraph" w:styleId="954">
    <w:name w:val="List Paragraph"/>
    <w:basedOn w:val="879"/>
    <w:link w:val="1104"/>
    <w:uiPriority w:val="0"/>
    <w:qFormat/>
    <w:pPr>
      <w:ind w:firstLine="420"/>
    </w:pPr>
  </w:style>
  <w:style w:type="character" w:styleId="955" w:customStyle="1">
    <w:name w:val="Heading 1 Char"/>
    <w:basedOn w:val="889"/>
    <w:uiPriority w:val="9"/>
    <w:qFormat/>
    <w:rPr>
      <w:rFonts w:ascii="Arial" w:hAnsi="Arial" w:eastAsia="Arial" w:cs="Arial"/>
      <w:sz w:val="40"/>
      <w:szCs w:val="40"/>
    </w:rPr>
  </w:style>
  <w:style w:type="character" w:styleId="956" w:customStyle="1">
    <w:name w:val="Heading 2 Char"/>
    <w:basedOn w:val="889"/>
    <w:uiPriority w:val="9"/>
    <w:qFormat/>
    <w:rPr>
      <w:rFonts w:ascii="Arial" w:hAnsi="Arial" w:eastAsia="Arial" w:cs="Arial"/>
      <w:sz w:val="34"/>
    </w:rPr>
  </w:style>
  <w:style w:type="character" w:styleId="957" w:customStyle="1">
    <w:name w:val="Heading 3 Char"/>
    <w:basedOn w:val="889"/>
    <w:uiPriority w:val="9"/>
    <w:qFormat/>
    <w:rPr>
      <w:rFonts w:ascii="Arial" w:hAnsi="Arial" w:eastAsia="Arial" w:cs="Arial"/>
      <w:sz w:val="30"/>
      <w:szCs w:val="30"/>
    </w:rPr>
  </w:style>
  <w:style w:type="character" w:styleId="958" w:customStyle="1">
    <w:name w:val="Heading 4 Char"/>
    <w:basedOn w:val="889"/>
    <w:uiPriority w:val="9"/>
    <w:qFormat/>
    <w:rPr>
      <w:rFonts w:ascii="Arial" w:hAnsi="Arial" w:eastAsia="Arial" w:cs="Arial"/>
      <w:b/>
      <w:bCs/>
      <w:sz w:val="26"/>
      <w:szCs w:val="26"/>
    </w:rPr>
  </w:style>
  <w:style w:type="character" w:styleId="959" w:customStyle="1">
    <w:name w:val="Heading 5 Char"/>
    <w:basedOn w:val="889"/>
    <w:uiPriority w:val="9"/>
    <w:qFormat/>
    <w:rPr>
      <w:rFonts w:ascii="Arial" w:hAnsi="Arial" w:eastAsia="Arial" w:cs="Arial"/>
      <w:b/>
      <w:bCs/>
      <w:sz w:val="24"/>
      <w:szCs w:val="24"/>
    </w:rPr>
  </w:style>
  <w:style w:type="character" w:styleId="960" w:customStyle="1">
    <w:name w:val="Heading 6 Char"/>
    <w:basedOn w:val="889"/>
    <w:uiPriority w:val="9"/>
    <w:qFormat/>
    <w:rPr>
      <w:rFonts w:ascii="Arial" w:hAnsi="Arial" w:eastAsia="Arial" w:cs="Arial"/>
      <w:b/>
      <w:bCs/>
      <w:sz w:val="22"/>
      <w:szCs w:val="22"/>
    </w:rPr>
  </w:style>
  <w:style w:type="character" w:styleId="961" w:customStyle="1">
    <w:name w:val="Heading 7 Char"/>
    <w:basedOn w:val="889"/>
    <w:uiPriority w:val="9"/>
    <w:qFormat/>
    <w:rPr>
      <w:rFonts w:ascii="Arial" w:hAnsi="Arial" w:eastAsia="Arial" w:cs="Arial"/>
      <w:b/>
      <w:bCs/>
      <w:i/>
      <w:iCs/>
      <w:sz w:val="22"/>
      <w:szCs w:val="22"/>
    </w:rPr>
  </w:style>
  <w:style w:type="character" w:styleId="962" w:customStyle="1">
    <w:name w:val="Heading 8 Char"/>
    <w:basedOn w:val="889"/>
    <w:uiPriority w:val="9"/>
    <w:qFormat/>
    <w:rPr>
      <w:rFonts w:ascii="Arial" w:hAnsi="Arial" w:eastAsia="Arial" w:cs="Arial"/>
      <w:i/>
      <w:iCs/>
      <w:sz w:val="22"/>
      <w:szCs w:val="22"/>
    </w:rPr>
  </w:style>
  <w:style w:type="character" w:styleId="963" w:customStyle="1">
    <w:name w:val="Heading 9 Char"/>
    <w:basedOn w:val="889"/>
    <w:uiPriority w:val="9"/>
    <w:qFormat/>
    <w:rPr>
      <w:rFonts w:ascii="Arial" w:hAnsi="Arial" w:eastAsia="Arial" w:cs="Arial"/>
      <w:i/>
      <w:iCs/>
      <w:sz w:val="21"/>
      <w:szCs w:val="21"/>
    </w:rPr>
  </w:style>
  <w:style w:type="character" w:styleId="964" w:customStyle="1">
    <w:name w:val="Title Char"/>
    <w:basedOn w:val="889"/>
    <w:uiPriority w:val="10"/>
    <w:qFormat/>
    <w:rPr>
      <w:sz w:val="48"/>
      <w:szCs w:val="48"/>
    </w:rPr>
  </w:style>
  <w:style w:type="character" w:styleId="965" w:customStyle="1">
    <w:name w:val="Subtitle Char"/>
    <w:basedOn w:val="889"/>
    <w:uiPriority w:val="11"/>
    <w:qFormat/>
    <w:rPr>
      <w:sz w:val="24"/>
      <w:szCs w:val="24"/>
    </w:rPr>
  </w:style>
  <w:style w:type="character" w:styleId="966" w:customStyle="1">
    <w:name w:val="Quote Char"/>
    <w:uiPriority w:val="29"/>
    <w:qFormat/>
    <w:rPr>
      <w:i/>
    </w:rPr>
  </w:style>
  <w:style w:type="character" w:styleId="967" w:customStyle="1">
    <w:name w:val="Intense Quote Char"/>
    <w:uiPriority w:val="30"/>
    <w:qFormat/>
    <w:rPr>
      <w:i/>
    </w:rPr>
  </w:style>
  <w:style w:type="character" w:styleId="968" w:customStyle="1">
    <w:name w:val="Header Char"/>
    <w:basedOn w:val="889"/>
    <w:uiPriority w:val="99"/>
    <w:qFormat/>
  </w:style>
  <w:style w:type="character" w:styleId="969" w:customStyle="1">
    <w:name w:val="Footer Char"/>
    <w:basedOn w:val="889"/>
    <w:uiPriority w:val="99"/>
    <w:qFormat/>
  </w:style>
  <w:style w:type="character" w:styleId="970" w:customStyle="1">
    <w:name w:val="Caption Char"/>
    <w:uiPriority w:val="99"/>
    <w:qFormat/>
  </w:style>
  <w:style w:type="table" w:styleId="971" w:customStyle="1">
    <w:name w:val="Table Grid Light"/>
    <w:basedOn w:val="8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2" w:customStyle="1">
    <w:name w:val="Plain Table 1"/>
    <w:basedOn w:val="8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Plain Table 2"/>
    <w:basedOn w:val="8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Plain Table 3"/>
    <w:basedOn w:val="8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customStyle="1">
    <w:name w:val="Plain Table 4"/>
    <w:basedOn w:val="8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customStyle="1">
    <w:name w:val="Plain Table 5"/>
    <w:basedOn w:val="8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7" w:customStyle="1">
    <w:name w:val="Grid Table 1 Light"/>
    <w:basedOn w:val="8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1"/>
    <w:basedOn w:val="89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2"/>
    <w:basedOn w:val="89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3"/>
    <w:basedOn w:val="89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4"/>
    <w:basedOn w:val="89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5"/>
    <w:basedOn w:val="89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6"/>
    <w:basedOn w:val="89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4" w:customStyle="1">
    <w:name w:val="Grid Table 2"/>
    <w:basedOn w:val="8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5" w:customStyle="1">
    <w:name w:val="Grid Table 2 - Accent 1"/>
    <w:basedOn w:val="89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6" w:customStyle="1">
    <w:name w:val="Grid Table 2 - Accent 2"/>
    <w:basedOn w:val="89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2 - Accent 3"/>
    <w:basedOn w:val="89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2 - Accent 4"/>
    <w:basedOn w:val="89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2 - Accent 5"/>
    <w:basedOn w:val="89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Grid Table 2 - Accent 6"/>
    <w:basedOn w:val="89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Grid Table 3"/>
    <w:basedOn w:val="8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1"/>
    <w:basedOn w:val="89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2"/>
    <w:basedOn w:val="89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3"/>
    <w:basedOn w:val="89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4"/>
    <w:basedOn w:val="89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5"/>
    <w:basedOn w:val="89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6"/>
    <w:basedOn w:val="89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4"/>
    <w:basedOn w:val="8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9" w:customStyle="1">
    <w:name w:val="Grid Table 4 - Accent 1"/>
    <w:basedOn w:val="89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0" w:customStyle="1">
    <w:name w:val="Grid Table 4 - Accent 2"/>
    <w:basedOn w:val="89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1" w:customStyle="1">
    <w:name w:val="Grid Table 4 - Accent 3"/>
    <w:basedOn w:val="89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2" w:customStyle="1">
    <w:name w:val="Grid Table 4 - Accent 4"/>
    <w:basedOn w:val="89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3" w:customStyle="1">
    <w:name w:val="Grid Table 4 - Accent 5"/>
    <w:basedOn w:val="89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4" w:customStyle="1">
    <w:name w:val="Grid Table 4 - Accent 6"/>
    <w:basedOn w:val="89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5" w:customStyle="1">
    <w:name w:val="Grid Table 5 Dark"/>
    <w:basedOn w:val="8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6" w:customStyle="1">
    <w:name w:val="Grid Table 5 Dark- Accent 1"/>
    <w:basedOn w:val="8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7" w:customStyle="1">
    <w:name w:val="Grid Table 5 Dark - Accent 2"/>
    <w:basedOn w:val="8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8" w:customStyle="1">
    <w:name w:val="Grid Table 5 Dark - Accent 3"/>
    <w:basedOn w:val="8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9" w:customStyle="1">
    <w:name w:val="Grid Table 5 Dark- Accent 4"/>
    <w:basedOn w:val="8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0" w:customStyle="1">
    <w:name w:val="Grid Table 5 Dark - Accent 5"/>
    <w:basedOn w:val="8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1" w:customStyle="1">
    <w:name w:val="Grid Table 5 Dark - Accent 6"/>
    <w:basedOn w:val="8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2" w:customStyle="1">
    <w:name w:val="Grid Table 6 Colorful"/>
    <w:basedOn w:val="8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3" w:customStyle="1">
    <w:name w:val="Grid Table 6 Colorful - Accent 1"/>
    <w:basedOn w:val="89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4" w:customStyle="1">
    <w:name w:val="Grid Table 6 Colorful - Accent 2"/>
    <w:basedOn w:val="89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5" w:customStyle="1">
    <w:name w:val="Grid Table 6 Colorful - Accent 3"/>
    <w:basedOn w:val="89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6" w:customStyle="1">
    <w:name w:val="Grid Table 6 Colorful - Accent 4"/>
    <w:basedOn w:val="89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7" w:customStyle="1">
    <w:name w:val="Grid Table 6 Colorful - Accent 5"/>
    <w:basedOn w:val="89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8" w:customStyle="1">
    <w:name w:val="Grid Table 6 Colorful - Accent 6"/>
    <w:basedOn w:val="89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9" w:customStyle="1">
    <w:name w:val="Grid Table 7 Colorful"/>
    <w:basedOn w:val="8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Grid Table 7 Colorful - Accent 1"/>
    <w:basedOn w:val="89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1" w:customStyle="1">
    <w:name w:val="Grid Table 7 Colorful - Accent 2"/>
    <w:basedOn w:val="89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2" w:customStyle="1">
    <w:name w:val="Grid Table 7 Colorful - Accent 3"/>
    <w:basedOn w:val="89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3" w:customStyle="1">
    <w:name w:val="Grid Table 7 Colorful - Accent 4"/>
    <w:basedOn w:val="89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Grid Table 7 Colorful - Accent 5"/>
    <w:basedOn w:val="89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5" w:customStyle="1">
    <w:name w:val="Grid Table 7 Colorful - Accent 6"/>
    <w:basedOn w:val="89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6" w:customStyle="1">
    <w:name w:val="List Table 1 Light"/>
    <w:basedOn w:val="8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7" w:customStyle="1">
    <w:name w:val="List Table 1 Light - Accent 1"/>
    <w:basedOn w:val="89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8" w:customStyle="1">
    <w:name w:val="List Table 1 Light - Accent 2"/>
    <w:basedOn w:val="89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9" w:customStyle="1">
    <w:name w:val="List Table 1 Light - Accent 3"/>
    <w:basedOn w:val="89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0" w:customStyle="1">
    <w:name w:val="List Table 1 Light - Accent 4"/>
    <w:basedOn w:val="89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1" w:customStyle="1">
    <w:name w:val="List Table 1 Light - Accent 5"/>
    <w:basedOn w:val="89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2" w:customStyle="1">
    <w:name w:val="List Table 1 Light - Accent 6"/>
    <w:basedOn w:val="89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3" w:customStyle="1">
    <w:name w:val="List Table 2"/>
    <w:basedOn w:val="8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4" w:customStyle="1">
    <w:name w:val="List Table 2 - Accent 1"/>
    <w:basedOn w:val="89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5" w:customStyle="1">
    <w:name w:val="List Table 2 - Accent 2"/>
    <w:basedOn w:val="89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6" w:customStyle="1">
    <w:name w:val="List Table 2 - Accent 3"/>
    <w:basedOn w:val="89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7" w:customStyle="1">
    <w:name w:val="List Table 2 - Accent 4"/>
    <w:basedOn w:val="89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8" w:customStyle="1">
    <w:name w:val="List Table 2 - Accent 5"/>
    <w:basedOn w:val="89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9" w:customStyle="1">
    <w:name w:val="List Table 2 - Accent 6"/>
    <w:basedOn w:val="89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0" w:customStyle="1">
    <w:name w:val="List Table 3"/>
    <w:basedOn w:val="8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3 - Accent 1"/>
    <w:basedOn w:val="89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2" w:customStyle="1">
    <w:name w:val="List Table 3 - Accent 2"/>
    <w:basedOn w:val="89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3" w:customStyle="1">
    <w:name w:val="List Table 3 - Accent 3"/>
    <w:basedOn w:val="89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4" w:customStyle="1">
    <w:name w:val="List Table 3 - Accent 4"/>
    <w:basedOn w:val="89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5" w:customStyle="1">
    <w:name w:val="List Table 3 - Accent 5"/>
    <w:basedOn w:val="89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6" w:customStyle="1">
    <w:name w:val="List Table 3 - Accent 6"/>
    <w:basedOn w:val="89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7" w:customStyle="1">
    <w:name w:val="List Table 4"/>
    <w:basedOn w:val="8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4 - Accent 1"/>
    <w:basedOn w:val="89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4 - Accent 2"/>
    <w:basedOn w:val="89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0" w:customStyle="1">
    <w:name w:val="List Table 4 - Accent 3"/>
    <w:basedOn w:val="89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1" w:customStyle="1">
    <w:name w:val="List Table 4 - Accent 4"/>
    <w:basedOn w:val="89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2" w:customStyle="1">
    <w:name w:val="List Table 4 - Accent 5"/>
    <w:basedOn w:val="89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3" w:customStyle="1">
    <w:name w:val="List Table 4 - Accent 6"/>
    <w:basedOn w:val="89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4" w:customStyle="1">
    <w:name w:val="List Table 5 Dark"/>
    <w:basedOn w:val="8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1"/>
    <w:basedOn w:val="89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2"/>
    <w:basedOn w:val="89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3"/>
    <w:basedOn w:val="89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4"/>
    <w:basedOn w:val="89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5"/>
    <w:basedOn w:val="89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6"/>
    <w:basedOn w:val="89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6 Colorful"/>
    <w:basedOn w:val="8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2" w:customStyle="1">
    <w:name w:val="List Table 6 Colorful - Accent 1"/>
    <w:basedOn w:val="89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3" w:customStyle="1">
    <w:name w:val="List Table 6 Colorful - Accent 2"/>
    <w:basedOn w:val="89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4" w:customStyle="1">
    <w:name w:val="List Table 6 Colorful - Accent 3"/>
    <w:basedOn w:val="89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5" w:customStyle="1">
    <w:name w:val="List Table 6 Colorful - Accent 4"/>
    <w:basedOn w:val="89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6" w:customStyle="1">
    <w:name w:val="List Table 6 Colorful - Accent 5"/>
    <w:basedOn w:val="89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7" w:customStyle="1">
    <w:name w:val="List Table 6 Colorful - Accent 6"/>
    <w:basedOn w:val="89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8" w:customStyle="1">
    <w:name w:val="List Table 7 Colorful"/>
    <w:basedOn w:val="8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9" w:customStyle="1">
    <w:name w:val="List Table 7 Colorful - Accent 1"/>
    <w:basedOn w:val="89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0" w:customStyle="1">
    <w:name w:val="List Table 7 Colorful - Accent 2"/>
    <w:basedOn w:val="89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1" w:customStyle="1">
    <w:name w:val="List Table 7 Colorful - Accent 3"/>
    <w:basedOn w:val="89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2" w:customStyle="1">
    <w:name w:val="List Table 7 Colorful - Accent 4"/>
    <w:basedOn w:val="89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List Table 7 Colorful - Accent 5"/>
    <w:basedOn w:val="89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4" w:customStyle="1">
    <w:name w:val="List Table 7 Colorful - Accent 6"/>
    <w:basedOn w:val="89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5" w:customStyle="1">
    <w:name w:val="Lined - Accent"/>
    <w:basedOn w:val="8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Lined - Accent 1"/>
    <w:basedOn w:val="8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7" w:customStyle="1">
    <w:name w:val="Lined - Accent 2"/>
    <w:basedOn w:val="8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8" w:customStyle="1">
    <w:name w:val="Lined - Accent 3"/>
    <w:basedOn w:val="8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9" w:customStyle="1">
    <w:name w:val="Lined - Accent 4"/>
    <w:basedOn w:val="8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0" w:customStyle="1">
    <w:name w:val="Lined - Accent 5"/>
    <w:basedOn w:val="8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1" w:customStyle="1">
    <w:name w:val="Lined - Accent 6"/>
    <w:basedOn w:val="8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2" w:customStyle="1">
    <w:name w:val="Bordered &amp; Lined - Accent"/>
    <w:basedOn w:val="89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Bordered &amp; Lined - Accent 1"/>
    <w:basedOn w:val="89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4" w:customStyle="1">
    <w:name w:val="Bordered &amp; Lined - Accent 2"/>
    <w:basedOn w:val="89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5" w:customStyle="1">
    <w:name w:val="Bordered &amp; Lined - Accent 3"/>
    <w:basedOn w:val="89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6" w:customStyle="1">
    <w:name w:val="Bordered &amp; Lined - Accent 4"/>
    <w:basedOn w:val="89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7" w:customStyle="1">
    <w:name w:val="Bordered &amp; Lined - Accent 5"/>
    <w:basedOn w:val="89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8" w:customStyle="1">
    <w:name w:val="Bordered &amp; Lined - Accent 6"/>
    <w:basedOn w:val="89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9" w:customStyle="1">
    <w:name w:val="Bordered"/>
    <w:basedOn w:val="89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0" w:customStyle="1">
    <w:name w:val="Bordered - Accent 1"/>
    <w:basedOn w:val="89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1" w:customStyle="1">
    <w:name w:val="Bordered - Accent 2"/>
    <w:basedOn w:val="89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2" w:customStyle="1">
    <w:name w:val="Bordered - Accent 3"/>
    <w:basedOn w:val="89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3" w:customStyle="1">
    <w:name w:val="Bordered - Accent 4"/>
    <w:basedOn w:val="89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4" w:customStyle="1">
    <w:name w:val="Bordered - Accent 5"/>
    <w:basedOn w:val="89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5" w:customStyle="1">
    <w:name w:val="Bordered - Accent 6"/>
    <w:basedOn w:val="89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6" w:customStyle="1">
    <w:name w:val="Footnote Text Char"/>
    <w:uiPriority w:val="99"/>
    <w:qFormat/>
    <w:rPr>
      <w:sz w:val="18"/>
    </w:rPr>
  </w:style>
  <w:style w:type="character" w:styleId="1097" w:customStyle="1">
    <w:name w:val="Endnote Text Char"/>
    <w:uiPriority w:val="99"/>
    <w:qFormat/>
    <w:rPr>
      <w:sz w:val="20"/>
    </w:rPr>
  </w:style>
  <w:style w:type="paragraph" w:styleId="1098" w:customStyle="1">
    <w:name w:val="TOC Heading"/>
    <w:uiPriority w:val="39"/>
    <w:unhideWhenUsed/>
    <w:qFormat/>
    <w:rPr>
      <w:rFonts w:hint="default" w:ascii="Times New Roman" w:hAnsi="Times New Roman" w:eastAsia="宋体" w:cs="Times New Roman"/>
    </w:rPr>
  </w:style>
  <w:style w:type="character" w:styleId="1099" w:customStyle="1">
    <w:name w:val="日期 字符"/>
    <w:basedOn w:val="889"/>
    <w:link w:val="912"/>
    <w:uiPriority w:val="99"/>
    <w:semiHidden/>
    <w:qFormat/>
  </w:style>
  <w:style w:type="character" w:styleId="1100" w:customStyle="1">
    <w:name w:val="页眉 字符"/>
    <w:basedOn w:val="889"/>
    <w:link w:val="918"/>
    <w:uiPriority w:val="99"/>
    <w:qFormat/>
    <w:rPr>
      <w:sz w:val="18"/>
      <w:szCs w:val="18"/>
    </w:rPr>
  </w:style>
  <w:style w:type="character" w:styleId="1101" w:customStyle="1">
    <w:name w:val="页脚 字符"/>
    <w:basedOn w:val="889"/>
    <w:link w:val="916"/>
    <w:uiPriority w:val="99"/>
    <w:qFormat/>
    <w:rPr>
      <w:sz w:val="18"/>
      <w:szCs w:val="18"/>
    </w:rPr>
  </w:style>
  <w:style w:type="paragraph" w:styleId="1102" w:customStyle="1">
    <w:name w:val="_Style 14"/>
    <w:basedOn w:val="879"/>
    <w:next w:val="879"/>
    <w:uiPriority w:val="39"/>
    <w:qFormat/>
    <w:pPr>
      <w:spacing w:line="360" w:lineRule="auto"/>
      <w:tabs>
        <w:tab w:val="right" w:pos="8720" w:leader="dot"/>
      </w:tabs>
    </w:pPr>
    <w:rPr>
      <w:rFonts w:ascii="Times New Roman" w:hAnsi="Times New Roman" w:eastAsia="宋体" w:cs="Times New Roman"/>
      <w:szCs w:val="24"/>
    </w:rPr>
  </w:style>
  <w:style w:type="paragraph" w:styleId="1103" w:customStyle="1">
    <w:name w:val="格式4"/>
    <w:basedOn w:val="879"/>
    <w:uiPriority w:val="0"/>
    <w:qFormat/>
    <w:pPr>
      <w:ind w:left="990" w:hanging="360"/>
      <w:spacing w:line="420" w:lineRule="exact"/>
    </w:pPr>
    <w:rPr>
      <w:rFonts w:ascii="宋体" w:hAnsi="宋体" w:eastAsia="宋体" w:cs="Times New Roman"/>
      <w:color w:val="000000"/>
      <w:sz w:val="24"/>
      <w:szCs w:val="20"/>
    </w:rPr>
  </w:style>
  <w:style w:type="character" w:styleId="1104" w:customStyle="1">
    <w:name w:val="列出段落 字符"/>
    <w:link w:val="954"/>
    <w:uiPriority w:val="34"/>
    <w:qFormat/>
  </w:style>
  <w:style w:type="character" w:styleId="1105" w:customStyle="1">
    <w:name w:val="标题 2 字符"/>
    <w:basedOn w:val="889"/>
    <w:link w:val="881"/>
    <w:uiPriority w:val="0"/>
    <w:qFormat/>
    <w:rPr>
      <w:rFonts w:ascii="宋体" w:hAnsi="宋体" w:eastAsia="宋体" w:cs="Times New Roman"/>
      <w:b/>
      <w:szCs w:val="24"/>
    </w:rPr>
  </w:style>
  <w:style w:type="character" w:styleId="1106" w:customStyle="1">
    <w:name w:val="标题 1 字符"/>
    <w:basedOn w:val="889"/>
    <w:link w:val="880"/>
    <w:uiPriority w:val="9"/>
    <w:qFormat/>
    <w:rPr>
      <w:b/>
      <w:bCs/>
      <w:sz w:val="44"/>
      <w:szCs w:val="44"/>
    </w:rPr>
  </w:style>
  <w:style w:type="character" w:styleId="1107" w:customStyle="1">
    <w:name w:val="正文文本 字符"/>
    <w:link w:val="891"/>
    <w:uiPriority w:val="0"/>
    <w:qFormat/>
    <w:rPr>
      <w:rFonts w:ascii="宋体" w:hAnsi="宋体" w:cs="Times New Roman"/>
      <w:szCs w:val="21"/>
      <w:lang w:eastAsia="en-US"/>
    </w:rPr>
  </w:style>
  <w:style w:type="character" w:styleId="1108" w:customStyle="1">
    <w:name w:val="正文文本 字符1"/>
    <w:basedOn w:val="889"/>
    <w:uiPriority w:val="99"/>
    <w:semiHidden/>
    <w:qFormat/>
  </w:style>
  <w:style w:type="paragraph" w:styleId="1109" w:customStyle="1">
    <w:name w:val="首行缩进"/>
    <w:basedOn w:val="879"/>
    <w:uiPriority w:val="0"/>
    <w:qFormat/>
    <w:pPr>
      <w:ind w:firstLine="720"/>
      <w:jc w:val="left"/>
    </w:pPr>
    <w:rPr>
      <w:rFonts w:ascii="宋体" w:hAnsi="宋体" w:eastAsia="宋体" w:cs="Times New Roman"/>
      <w:sz w:val="24"/>
      <w:szCs w:val="20"/>
    </w:rPr>
  </w:style>
  <w:style w:type="character" w:styleId="1110" w:customStyle="1">
    <w:name w:val="纯文本 字符"/>
    <w:basedOn w:val="889"/>
    <w:link w:val="909"/>
    <w:uiPriority w:val="0"/>
    <w:qFormat/>
    <w:rPr>
      <w:rFonts w:ascii="宋体" w:hAnsi="Courier New" w:eastAsia="宋体" w:cs="Times New Roman"/>
      <w:sz w:val="21"/>
      <w:szCs w:val="21"/>
    </w:rPr>
  </w:style>
  <w:style w:type="paragraph" w:styleId="1111" w:customStyle="1">
    <w:name w:val="Default"/>
    <w:uiPriority w:val="0"/>
    <w:qFormat/>
    <w:pPr>
      <w:widowControl w:val="off"/>
    </w:pPr>
    <w:rPr>
      <w:rFonts w:hint="default" w:ascii="宋体" w:hAnsi="Calibri" w:eastAsia="宋体" w:cs="宋体"/>
      <w:color w:val="000000"/>
      <w:sz w:val="24"/>
      <w:szCs w:val="24"/>
    </w:rPr>
  </w:style>
  <w:style w:type="paragraph" w:styleId="1112" w:customStyle="1">
    <w:name w:val="列出段落11"/>
    <w:basedOn w:val="879"/>
    <w:uiPriority w:val="0"/>
    <w:qFormat/>
    <w:pPr>
      <w:ind w:firstLine="420"/>
      <w:jc w:val="left"/>
    </w:pPr>
    <w:rPr>
      <w:rFonts w:ascii="Calibri" w:hAnsi="Calibri" w:eastAsia="宋体" w:cs="宋体"/>
      <w:sz w:val="22"/>
      <w:lang w:val="zh-CN" w:bidi="zh-CN"/>
    </w:rPr>
  </w:style>
  <w:style w:type="paragraph" w:styleId="1113" w:customStyle="1">
    <w:name w:val="Table Paragraph"/>
    <w:basedOn w:val="879"/>
    <w:uiPriority w:val="0"/>
    <w:qFormat/>
    <w:pPr>
      <w:jc w:val="left"/>
    </w:pPr>
    <w:rPr>
      <w:rFonts w:ascii="宋体" w:hAnsi="宋体" w:eastAsia="宋体" w:cs="宋体"/>
      <w:sz w:val="22"/>
      <w:lang w:val="zh-CN" w:bidi="zh-CN"/>
    </w:rPr>
  </w:style>
  <w:style w:type="character" w:styleId="1114" w:customStyle="1">
    <w:name w:val="fontstyle01"/>
    <w:basedOn w:val="889"/>
    <w:uiPriority w:val="0"/>
    <w:qFormat/>
    <w:rPr>
      <w:rFonts w:hint="default" w:ascii="FZFSJW--GB1-0" w:hAnsi="FZFSJW--GB1-0"/>
      <w:color w:val="000000"/>
      <w:sz w:val="32"/>
      <w:szCs w:val="32"/>
    </w:rPr>
  </w:style>
  <w:style w:type="character" w:styleId="1115" w:customStyle="1">
    <w:name w:val="fontstyle21"/>
    <w:basedOn w:val="889"/>
    <w:uiPriority w:val="0"/>
    <w:qFormat/>
    <w:rPr>
      <w:rFonts w:hint="default" w:ascii="FZHTJW--GB1-0" w:hAnsi="FZHTJW--GB1-0"/>
      <w:color w:val="000000"/>
      <w:sz w:val="32"/>
      <w:szCs w:val="32"/>
    </w:rPr>
  </w:style>
  <w:style w:type="character" w:styleId="1116" w:customStyle="1">
    <w:name w:val="fontstyle31"/>
    <w:basedOn w:val="889"/>
    <w:uiPriority w:val="0"/>
    <w:qFormat/>
    <w:rPr>
      <w:rFonts w:hint="default" w:ascii="Calibri" w:hAnsi="Calibri" w:cs="Calibri"/>
      <w:color w:val="000000"/>
      <w:sz w:val="32"/>
      <w:szCs w:val="32"/>
    </w:rPr>
  </w:style>
  <w:style w:type="character" w:styleId="1117" w:customStyle="1">
    <w:name w:val="fontstyle41"/>
    <w:basedOn w:val="889"/>
    <w:uiPriority w:val="0"/>
    <w:qFormat/>
    <w:rPr>
      <w:rFonts w:hint="default" w:ascii="TimesNewRomanPSMT" w:hAnsi="TimesNewRomanPSMT"/>
      <w:color w:val="000000"/>
      <w:sz w:val="32"/>
      <w:szCs w:val="32"/>
    </w:rPr>
  </w:style>
  <w:style w:type="paragraph" w:styleId="1118">
    <w:name w:val="No Spacing"/>
    <w:uiPriority w:val="0"/>
    <w:qFormat/>
    <w:pPr>
      <w:jc w:val="both"/>
      <w:widowControl w:val="off"/>
    </w:pPr>
    <w:rPr>
      <w:rFonts w:hint="default" w:ascii="Calibri" w:hAnsi="Calibri" w:eastAsia="宋体" w:cs="Times New Roman"/>
      <w:sz w:val="21"/>
      <w:szCs w:val="22"/>
    </w:rPr>
  </w:style>
  <w:style w:type="character" w:styleId="1119" w:customStyle="1">
    <w:name w:val="正文缩进 字符"/>
    <w:link w:val="892"/>
    <w:uiPriority w:val="0"/>
    <w:qFormat/>
    <w:rPr>
      <w:sz w:val="21"/>
      <w:szCs w:val="22"/>
    </w:rPr>
  </w:style>
  <w:style w:type="paragraph" w:styleId="1120" w:customStyle="1">
    <w:name w:val="_Style 39"/>
    <w:basedOn w:val="879"/>
    <w:next w:val="879"/>
    <w:uiPriority w:val="0"/>
    <w:qFormat/>
    <w:pPr>
      <w:jc w:val="left"/>
    </w:pPr>
    <w:rPr>
      <w:rFonts w:ascii="Times New Roman" w:hAnsi="Times New Roman" w:eastAsia="楷体_GB2312" w:cs="Times New Roman"/>
      <w:sz w:val="24"/>
      <w:szCs w:val="20"/>
    </w:rPr>
  </w:style>
  <w:style w:type="paragraph" w:styleId="1121" w:customStyle="1">
    <w:name w:val="列出段落2"/>
    <w:basedOn w:val="879"/>
    <w:uiPriority w:val="0"/>
    <w:qFormat/>
    <w:pPr>
      <w:contextualSpacing/>
      <w:ind w:left="720"/>
      <w:jc w:val="left"/>
      <w:widowControl/>
    </w:pPr>
    <w:rPr>
      <w:rFonts w:ascii="Arial" w:hAnsi="Arial" w:eastAsia="黑体" w:cs="Times New Roman"/>
      <w:sz w:val="24"/>
      <w:szCs w:val="24"/>
      <w:lang w:eastAsia="en-US"/>
    </w:rPr>
  </w:style>
  <w:style w:type="paragraph" w:styleId="1122" w:customStyle="1">
    <w:name w:val="_Style 391"/>
    <w:basedOn w:val="879"/>
    <w:next w:val="879"/>
    <w:uiPriority w:val="0"/>
    <w:qFormat/>
    <w:pPr>
      <w:jc w:val="left"/>
    </w:pPr>
    <w:rPr>
      <w:rFonts w:ascii="Times New Roman" w:hAnsi="Times New Roman" w:eastAsia="楷体_GB2312" w:cs="Times New Roman"/>
      <w:sz w:val="24"/>
      <w:szCs w:val="20"/>
    </w:rPr>
  </w:style>
  <w:style w:type="paragraph" w:styleId="1123" w:customStyle="1">
    <w:name w:val="列出段落1"/>
    <w:basedOn w:val="879"/>
    <w:uiPriority w:val="34"/>
    <w:qFormat/>
    <w:pPr>
      <w:ind w:firstLine="420"/>
    </w:pPr>
    <w:rPr>
      <w:rFonts w:ascii="Times New Roman" w:hAnsi="Times New Roman" w:eastAsia="宋体" w:cs="Times New Roman"/>
      <w:szCs w:val="20"/>
    </w:rPr>
  </w:style>
  <w:style w:type="paragraph" w:styleId="1124" w:customStyle="1">
    <w:name w:val="正文（绿盟科技）"/>
    <w:uiPriority w:val="0"/>
    <w:qFormat/>
    <w:pPr>
      <w:spacing w:line="300" w:lineRule="auto"/>
    </w:pPr>
    <w:rPr>
      <w:rFonts w:hint="default" w:ascii="Arial" w:hAnsi="Arial" w:eastAsia="宋体" w:cs="黑体"/>
      <w:sz w:val="21"/>
      <w:szCs w:val="21"/>
    </w:rPr>
  </w:style>
  <w:style w:type="paragraph" w:styleId="1125" w:customStyle="1">
    <w:name w:val="修订1"/>
    <w:hidden/>
    <w:uiPriority w:val="0"/>
    <w:qFormat/>
    <w:rPr>
      <w:rFonts w:hint="default" w:asciiTheme="minorHAnsi" w:hAnsiTheme="minorHAnsi" w:eastAsiaTheme="minorEastAsia" w:cstheme="minorBidi"/>
      <w:sz w:val="21"/>
      <w:szCs w:val="22"/>
    </w:rPr>
  </w:style>
  <w:style w:type="character" w:styleId="1126" w:customStyle="1">
    <w:name w:val="批注文字 字符"/>
    <w:basedOn w:val="889"/>
    <w:link w:val="901"/>
    <w:uiPriority w:val="0"/>
    <w:qFormat/>
    <w:rPr>
      <w:sz w:val="21"/>
      <w:szCs w:val="22"/>
    </w:rPr>
  </w:style>
  <w:style w:type="character" w:styleId="1127" w:customStyle="1">
    <w:name w:val="批注主题 字符"/>
    <w:basedOn w:val="1126"/>
    <w:link w:val="938"/>
    <w:uiPriority w:val="99"/>
    <w:semiHidden/>
    <w:qFormat/>
    <w:rPr>
      <w:b/>
      <w:bCs/>
      <w:sz w:val="21"/>
      <w:szCs w:val="22"/>
    </w:rPr>
  </w:style>
  <w:style w:type="character" w:styleId="1128" w:customStyle="1">
    <w:name w:val="批注框文本 字符"/>
    <w:basedOn w:val="889"/>
    <w:link w:val="915"/>
    <w:uiPriority w:val="0"/>
    <w:qFormat/>
    <w:rPr>
      <w:rFonts w:ascii="Calibri" w:hAnsi="Calibri" w:eastAsia="宋体" w:cs="Times New Roman"/>
      <w:sz w:val="16"/>
      <w:szCs w:val="16"/>
    </w:rPr>
  </w:style>
  <w:style w:type="paragraph" w:styleId="1129" w:customStyle="1">
    <w:name w:val="表格内"/>
    <w:basedOn w:val="879"/>
    <w:uiPriority w:val="0"/>
    <w:qFormat/>
    <w:pPr>
      <w:jc w:val="center"/>
      <w:spacing w:line="360" w:lineRule="exact"/>
    </w:pPr>
    <w:rPr>
      <w:rFonts w:ascii="宋体" w:hAnsi="宋体" w:eastAsia="宋体" w:cs="宋体"/>
      <w:szCs w:val="24"/>
      <w:lang w:val="zh-TW" w:eastAsia="zh-TW" w:bidi="zh-TW"/>
    </w:rPr>
  </w:style>
  <w:style w:type="character" w:styleId="1130" w:customStyle="1">
    <w:name w:val="标题 3 字符"/>
    <w:basedOn w:val="889"/>
    <w:link w:val="882"/>
    <w:uiPriority w:val="0"/>
    <w:qFormat/>
    <w:rPr>
      <w:rFonts w:ascii="宋体" w:hAnsi="Times New Roman" w:eastAsia="Calibri" w:cs="宋体"/>
      <w:b/>
      <w:color w:val="000000"/>
      <w:sz w:val="32"/>
      <w:lang w:val="zh-CN"/>
    </w:rPr>
  </w:style>
  <w:style w:type="character" w:styleId="1131" w:customStyle="1">
    <w:name w:val="标题 4 字符"/>
    <w:basedOn w:val="889"/>
    <w:link w:val="883"/>
    <w:uiPriority w:val="0"/>
    <w:qFormat/>
    <w:rPr>
      <w:rFonts w:ascii="Arial" w:hAnsi="Arial" w:eastAsia="黑体" w:cs="宋体"/>
      <w:b/>
      <w:bCs/>
      <w:sz w:val="28"/>
      <w:szCs w:val="28"/>
      <w:lang w:val="zh-CN"/>
    </w:rPr>
  </w:style>
  <w:style w:type="character" w:styleId="1132" w:customStyle="1">
    <w:name w:val="标题 5 字符"/>
    <w:basedOn w:val="889"/>
    <w:link w:val="884"/>
    <w:uiPriority w:val="0"/>
    <w:qFormat/>
    <w:rPr>
      <w:rFonts w:ascii="Times New Roman" w:hAnsi="Times New Roman" w:eastAsia="Calibri" w:cs="宋体"/>
      <w:b/>
      <w:bCs/>
      <w:sz w:val="28"/>
      <w:szCs w:val="28"/>
      <w:lang w:val="zh-CN"/>
    </w:rPr>
  </w:style>
  <w:style w:type="character" w:styleId="1133" w:customStyle="1">
    <w:name w:val="标题 6 字符"/>
    <w:basedOn w:val="889"/>
    <w:link w:val="885"/>
    <w:uiPriority w:val="0"/>
    <w:qFormat/>
    <w:rPr>
      <w:rFonts w:ascii="Cambria" w:hAnsi="Cambria" w:eastAsia="Calibri" w:cs="宋体"/>
      <w:b/>
      <w:bCs/>
      <w:sz w:val="24"/>
      <w:lang w:val="zh-CN"/>
    </w:rPr>
  </w:style>
  <w:style w:type="character" w:styleId="1134" w:customStyle="1">
    <w:name w:val="标题 7 字符"/>
    <w:basedOn w:val="889"/>
    <w:link w:val="886"/>
    <w:uiPriority w:val="0"/>
    <w:qFormat/>
    <w:rPr>
      <w:rFonts w:ascii="Times New Roman" w:hAnsi="Times New Roman" w:eastAsia="Calibri" w:cs="宋体"/>
      <w:b/>
      <w:bCs/>
      <w:sz w:val="24"/>
      <w:lang w:val="zh-CN"/>
    </w:rPr>
  </w:style>
  <w:style w:type="character" w:styleId="1135" w:customStyle="1">
    <w:name w:val="标题 8 字符"/>
    <w:basedOn w:val="889"/>
    <w:link w:val="887"/>
    <w:uiPriority w:val="0"/>
    <w:qFormat/>
    <w:rPr>
      <w:rFonts w:ascii="Cambria" w:hAnsi="Cambria" w:eastAsia="Calibri" w:cs="宋体"/>
      <w:sz w:val="24"/>
      <w:lang w:val="zh-CN"/>
    </w:rPr>
  </w:style>
  <w:style w:type="character" w:styleId="1136" w:customStyle="1">
    <w:name w:val="标题 9 字符"/>
    <w:basedOn w:val="889"/>
    <w:link w:val="888"/>
    <w:uiPriority w:val="0"/>
    <w:qFormat/>
    <w:rPr>
      <w:rFonts w:ascii="Cambria" w:hAnsi="Cambria" w:eastAsia="Calibri" w:cs="宋体"/>
      <w:szCs w:val="21"/>
      <w:lang w:val="zh-CN"/>
    </w:rPr>
  </w:style>
  <w:style w:type="character" w:styleId="1137" w:customStyle="1">
    <w:name w:val="文档结构图 字符"/>
    <w:basedOn w:val="889"/>
    <w:link w:val="900"/>
    <w:uiPriority w:val="0"/>
    <w:qFormat/>
    <w:rPr>
      <w:rFonts w:ascii="Times New Roman" w:hAnsi="Times New Roman" w:eastAsia="Calibri" w:cs="宋体"/>
      <w:shd w:val="clear" w:color="auto" w:fill="000080"/>
      <w:lang w:val="zh-CN"/>
    </w:rPr>
  </w:style>
  <w:style w:type="character" w:styleId="1138" w:customStyle="1">
    <w:name w:val="称呼 字符"/>
    <w:basedOn w:val="889"/>
    <w:link w:val="903"/>
    <w:uiPriority w:val="0"/>
    <w:qFormat/>
    <w:rPr>
      <w:rFonts w:ascii="仿宋_GB2312" w:hAnsi="Times New Roman" w:eastAsia="仿宋_GB2312" w:cs="宋体"/>
      <w:sz w:val="28"/>
      <w:lang w:val="zh-CN"/>
    </w:rPr>
  </w:style>
  <w:style w:type="character" w:styleId="1139" w:customStyle="1">
    <w:name w:val="正文文本 3 字符"/>
    <w:basedOn w:val="889"/>
    <w:link w:val="904"/>
    <w:uiPriority w:val="0"/>
    <w:qFormat/>
    <w:rPr>
      <w:rFonts w:ascii="仿宋_GB2312" w:hAnsi="Times New Roman" w:eastAsia="仿宋_GB2312" w:cs="宋体"/>
      <w:sz w:val="32"/>
      <w:lang w:val="zh-CN"/>
    </w:rPr>
  </w:style>
  <w:style w:type="character" w:styleId="1140" w:customStyle="1">
    <w:name w:val="正文文本缩进 字符"/>
    <w:basedOn w:val="889"/>
    <w:link w:val="905"/>
    <w:uiPriority w:val="0"/>
    <w:qFormat/>
    <w:rPr>
      <w:rFonts w:ascii="Times New Roman" w:hAnsi="Times New Roman" w:eastAsia="Calibri" w:cs="宋体"/>
      <w:lang w:val="zh-CN"/>
    </w:rPr>
  </w:style>
  <w:style w:type="character" w:styleId="1141" w:customStyle="1">
    <w:name w:val="正文文本缩进 2 字符"/>
    <w:basedOn w:val="889"/>
    <w:link w:val="913"/>
    <w:uiPriority w:val="0"/>
    <w:qFormat/>
    <w:rPr>
      <w:rFonts w:ascii="Arial" w:hAnsi="Arial" w:eastAsia="仿宋_GB2312" w:cs="宋体"/>
      <w:sz w:val="32"/>
      <w:lang w:val="zh-CN"/>
    </w:rPr>
  </w:style>
  <w:style w:type="character" w:styleId="1142" w:customStyle="1">
    <w:name w:val="尾注文本 字符"/>
    <w:basedOn w:val="889"/>
    <w:link w:val="914"/>
    <w:uiPriority w:val="0"/>
    <w:qFormat/>
    <w:rPr>
      <w:rFonts w:ascii="Times New Roman" w:hAnsi="Times New Roman" w:eastAsia="Calibri" w:cs="宋体"/>
      <w:lang w:val="zh-CN"/>
    </w:rPr>
  </w:style>
  <w:style w:type="character" w:styleId="1143" w:customStyle="1">
    <w:name w:val="签名 字符"/>
    <w:basedOn w:val="889"/>
    <w:link w:val="919"/>
    <w:uiPriority w:val="0"/>
    <w:qFormat/>
    <w:rPr>
      <w:rFonts w:ascii="Times New Roman" w:hAnsi="Times New Roman" w:eastAsia="仿宋_GB2312" w:cs="宋体"/>
      <w:sz w:val="24"/>
      <w:lang w:val="zh-CN"/>
    </w:rPr>
  </w:style>
  <w:style w:type="character" w:styleId="1144" w:customStyle="1">
    <w:name w:val="副标题 字符"/>
    <w:basedOn w:val="889"/>
    <w:link w:val="924"/>
    <w:uiPriority w:val="0"/>
    <w:qFormat/>
    <w:rPr>
      <w:rFonts w:ascii="Cambria" w:hAnsi="Cambria" w:eastAsia="Calibri" w:cs="宋体"/>
      <w:b/>
      <w:bCs/>
      <w:sz w:val="32"/>
      <w:szCs w:val="32"/>
      <w:lang w:val="zh-CN"/>
    </w:rPr>
  </w:style>
  <w:style w:type="character" w:styleId="1145" w:customStyle="1">
    <w:name w:val="脚注文本 字符"/>
    <w:basedOn w:val="889"/>
    <w:link w:val="925"/>
    <w:uiPriority w:val="0"/>
    <w:qFormat/>
    <w:rPr>
      <w:rFonts w:ascii="Times New Roman" w:hAnsi="Times New Roman" w:eastAsia="Calibri" w:cs="宋体"/>
      <w:sz w:val="18"/>
      <w:szCs w:val="18"/>
      <w:lang w:val="zh-CN"/>
    </w:rPr>
  </w:style>
  <w:style w:type="character" w:styleId="1146" w:customStyle="1">
    <w:name w:val="正文文本缩进 3 字符"/>
    <w:basedOn w:val="889"/>
    <w:link w:val="927"/>
    <w:uiPriority w:val="0"/>
    <w:qFormat/>
    <w:rPr>
      <w:rFonts w:ascii="Arial" w:hAnsi="Arial" w:eastAsia="仿宋_GB2312" w:cs="宋体"/>
      <w:color w:val="ffff00"/>
      <w:sz w:val="32"/>
      <w:lang w:val="zh-CN"/>
    </w:rPr>
  </w:style>
  <w:style w:type="character" w:styleId="1147" w:customStyle="1">
    <w:name w:val="正文文本 2 字符"/>
    <w:basedOn w:val="889"/>
    <w:link w:val="933"/>
    <w:uiPriority w:val="0"/>
    <w:qFormat/>
    <w:rPr>
      <w:rFonts w:ascii="楷体_GB2312" w:hAnsi="Times New Roman" w:eastAsia="楷体_GB2312" w:cs="宋体"/>
      <w:sz w:val="28"/>
      <w:lang w:val="zh-CN"/>
    </w:rPr>
  </w:style>
  <w:style w:type="character" w:styleId="1148" w:customStyle="1">
    <w:name w:val="HTML 预设格式 字符"/>
    <w:basedOn w:val="889"/>
    <w:link w:val="934"/>
    <w:uiPriority w:val="0"/>
    <w:qFormat/>
    <w:rPr>
      <w:rFonts w:ascii="黑体" w:hAnsi="Times New Roman" w:eastAsia="黑体" w:cs="Courier New"/>
      <w:lang w:val="zh-CN"/>
    </w:rPr>
  </w:style>
  <w:style w:type="character" w:styleId="1149" w:customStyle="1">
    <w:name w:val="标题 字符"/>
    <w:basedOn w:val="889"/>
    <w:link w:val="937"/>
    <w:uiPriority w:val="0"/>
    <w:qFormat/>
    <w:rPr>
      <w:rFonts w:ascii="Cambria" w:hAnsi="Cambria" w:eastAsia="Calibri" w:cs="宋体"/>
      <w:b/>
      <w:bCs/>
      <w:sz w:val="32"/>
      <w:szCs w:val="32"/>
      <w:lang w:val="zh-CN"/>
    </w:rPr>
  </w:style>
  <w:style w:type="character" w:styleId="1150" w:customStyle="1">
    <w:name w:val="不明显强调1"/>
    <w:uiPriority w:val="0"/>
    <w:qFormat/>
    <w:rPr>
      <w:i/>
      <w:iCs/>
      <w:color w:val="808080"/>
    </w:rPr>
  </w:style>
  <w:style w:type="character" w:styleId="1151" w:customStyle="1">
    <w:name w:val="正文文本 Char1"/>
    <w:uiPriority w:val="0"/>
    <w:qFormat/>
    <w:rPr>
      <w:sz w:val="21"/>
      <w:szCs w:val="22"/>
    </w:rPr>
  </w:style>
  <w:style w:type="character" w:styleId="1152" w:customStyle="1">
    <w:name w:val="明显参考1"/>
    <w:uiPriority w:val="0"/>
    <w:qFormat/>
    <w:rPr>
      <w:b/>
      <w:bCs/>
      <w:smallCaps/>
      <w:color w:val="c0504d"/>
      <w:spacing w:val="5"/>
      <w:u w:val="single"/>
    </w:rPr>
  </w:style>
  <w:style w:type="character" w:styleId="1153" w:customStyle="1">
    <w:name w:val="批注主题 Char1"/>
    <w:uiPriority w:val="0"/>
    <w:qFormat/>
    <w:rPr>
      <w:b/>
      <w:bCs/>
      <w:sz w:val="21"/>
      <w:szCs w:val="22"/>
    </w:rPr>
  </w:style>
  <w:style w:type="character" w:styleId="1154" w:customStyle="1">
    <w:name w:val="文档结构图 Char1"/>
    <w:uiPriority w:val="0"/>
    <w:qFormat/>
    <w:rPr>
      <w:rFonts w:ascii="宋体"/>
      <w:sz w:val="18"/>
      <w:szCs w:val="18"/>
    </w:rPr>
  </w:style>
  <w:style w:type="character" w:styleId="1155" w:customStyle="1">
    <w:name w:val="不明显参考1"/>
    <w:uiPriority w:val="0"/>
    <w:qFormat/>
    <w:rPr>
      <w:smallCaps/>
      <w:color w:val="c0504d"/>
      <w:u w:val="single"/>
    </w:rPr>
  </w:style>
  <w:style w:type="character" w:styleId="1156" w:customStyle="1">
    <w:name w:val="textcontents"/>
    <w:uiPriority w:val="0"/>
    <w:qFormat/>
    <w:rPr>
      <w:rFonts w:cs="Times New Roman"/>
      <w:lang w:bidi="ar-SA"/>
    </w:rPr>
  </w:style>
  <w:style w:type="character" w:styleId="1157" w:customStyle="1">
    <w:name w:val="引用 Char1"/>
    <w:uiPriority w:val="0"/>
    <w:qFormat/>
    <w:rPr>
      <w:i/>
      <w:iCs/>
      <w:color w:val="000000"/>
      <w:sz w:val="21"/>
      <w:szCs w:val="24"/>
    </w:rPr>
  </w:style>
  <w:style w:type="character" w:styleId="1158" w:customStyle="1">
    <w:name w:val="标题 4 Char1"/>
    <w:uiPriority w:val="0"/>
    <w:qFormat/>
    <w:rPr>
      <w:rFonts w:ascii="Cambria" w:hAnsi="Cambria" w:eastAsia="宋体" w:cs="Times New Roman"/>
      <w:b/>
      <w:bCs/>
      <w:sz w:val="28"/>
      <w:szCs w:val="28"/>
      <w:lang w:bidi="ar-SA"/>
    </w:rPr>
  </w:style>
  <w:style w:type="character" w:styleId="1159" w:customStyle="1">
    <w:name w:val="标题 3 Char1"/>
    <w:uiPriority w:val="0"/>
    <w:qFormat/>
    <w:rPr>
      <w:b/>
      <w:bCs/>
      <w:sz w:val="32"/>
      <w:szCs w:val="32"/>
    </w:rPr>
  </w:style>
  <w:style w:type="character" w:styleId="1160" w:customStyle="1">
    <w:name w:val="标题 1 Char1"/>
    <w:uiPriority w:val="0"/>
    <w:qFormat/>
    <w:rPr>
      <w:b/>
      <w:bCs/>
      <w:sz w:val="44"/>
      <w:szCs w:val="44"/>
    </w:rPr>
  </w:style>
  <w:style w:type="character" w:styleId="1161" w:customStyle="1">
    <w:name w:val="纯文本 Char"/>
    <w:uiPriority w:val="0"/>
    <w:qFormat/>
    <w:rPr>
      <w:rFonts w:ascii="宋体" w:cs="Courier New"/>
      <w:sz w:val="21"/>
      <w:szCs w:val="21"/>
      <w:lang w:bidi="ar-SA"/>
    </w:rPr>
  </w:style>
  <w:style w:type="character" w:styleId="1162" w:customStyle="1">
    <w:name w:val="书籍标题1"/>
    <w:uiPriority w:val="0"/>
    <w:qFormat/>
    <w:rPr>
      <w:b/>
      <w:bCs/>
      <w:smallCaps/>
      <w:spacing w:val="5"/>
    </w:rPr>
  </w:style>
  <w:style w:type="character" w:styleId="1163" w:customStyle="1">
    <w:name w:val="明显强调1"/>
    <w:uiPriority w:val="0"/>
    <w:qFormat/>
    <w:rPr>
      <w:b/>
      <w:bCs/>
      <w:i/>
      <w:iCs/>
      <w:color w:val="4f81bd"/>
    </w:rPr>
  </w:style>
  <w:style w:type="character" w:styleId="1164" w:customStyle="1">
    <w:name w:val="日期 Char1"/>
    <w:uiPriority w:val="0"/>
    <w:qFormat/>
    <w:rPr>
      <w:sz w:val="21"/>
      <w:szCs w:val="22"/>
    </w:rPr>
  </w:style>
  <w:style w:type="character" w:styleId="1165" w:customStyle="1">
    <w:name w:val="批注文字 Char Char"/>
    <w:uiPriority w:val="0"/>
    <w:qFormat/>
    <w:rPr>
      <w:rFonts w:ascii="宋体" w:eastAsia="宋体" w:cs="Times New Roman"/>
      <w:sz w:val="28"/>
      <w:szCs w:val="20"/>
      <w:lang w:bidi="ar-SA"/>
    </w:rPr>
  </w:style>
  <w:style w:type="character" w:styleId="1166" w:customStyle="1">
    <w:name w:val="批注框文本 Char1"/>
    <w:uiPriority w:val="0"/>
    <w:qFormat/>
    <w:rPr>
      <w:sz w:val="18"/>
      <w:szCs w:val="18"/>
    </w:rPr>
  </w:style>
  <w:style w:type="character" w:styleId="1167" w:customStyle="1">
    <w:name w:val="副标题 Char1"/>
    <w:uiPriority w:val="0"/>
    <w:qFormat/>
    <w:rPr>
      <w:rFonts w:ascii="Cambria" w:hAnsi="Cambria" w:cs="Times New Roman"/>
      <w:b/>
      <w:bCs/>
      <w:sz w:val="32"/>
      <w:szCs w:val="32"/>
      <w:lang w:bidi="ar-SA"/>
    </w:rPr>
  </w:style>
  <w:style w:type="character" w:styleId="1168" w:customStyle="1">
    <w:name w:val="批注主题 Char2"/>
    <w:uiPriority w:val="0"/>
    <w:qFormat/>
    <w:rPr>
      <w:b/>
      <w:bCs/>
      <w:sz w:val="21"/>
      <w:szCs w:val="24"/>
    </w:rPr>
  </w:style>
  <w:style w:type="character" w:styleId="1169" w:customStyle="1">
    <w:name w:val="明显引用 Char1"/>
    <w:uiPriority w:val="0"/>
    <w:qFormat/>
    <w:rPr>
      <w:b/>
      <w:bCs/>
      <w:i/>
      <w:iCs/>
      <w:color w:val="4f81bd"/>
      <w:sz w:val="21"/>
      <w:szCs w:val="24"/>
    </w:rPr>
  </w:style>
  <w:style w:type="paragraph" w:styleId="1170" w:customStyle="1">
    <w:name w:val="Char Char Char Char Char Char Char1 Char"/>
    <w:basedOn w:val="879"/>
    <w:uiPriority w:val="0"/>
    <w:qFormat/>
    <w:rPr>
      <w:rFonts w:ascii="Tahoma" w:hAnsi="Tahoma" w:eastAsia="Calibri" w:cs="Tahoma"/>
      <w:sz w:val="24"/>
      <w:szCs w:val="24"/>
      <w:lang w:val="zh-CN"/>
    </w:rPr>
  </w:style>
  <w:style w:type="paragraph" w:styleId="1171" w:customStyle="1">
    <w:name w:val="Char7"/>
    <w:basedOn w:val="900"/>
    <w:uiPriority w:val="0"/>
    <w:qFormat/>
    <w:pPr>
      <w:spacing w:line="360" w:lineRule="auto"/>
    </w:pPr>
    <w:rPr>
      <w:rFonts w:ascii="Tahoma" w:hAnsi="Tahoma"/>
      <w:sz w:val="24"/>
    </w:rPr>
  </w:style>
  <w:style w:type="paragraph" w:styleId="1172" w:customStyle="1">
    <w:name w:val="纯文本1"/>
    <w:basedOn w:val="879"/>
    <w:uiPriority w:val="0"/>
    <w:qFormat/>
    <w:rPr>
      <w:rFonts w:ascii="宋体" w:hAnsi="宋体" w:eastAsia="楷体_GB2312" w:cs="Times New Roman"/>
      <w:sz w:val="26"/>
      <w:szCs w:val="20"/>
      <w:lang w:val="zh-CN"/>
    </w:rPr>
  </w:style>
  <w:style w:type="paragraph" w:styleId="1173" w:customStyle="1">
    <w:name w:val="样式 小四 段前: 5 磅 段后: 5 磅 首行缩进:  2 字符"/>
    <w:basedOn w:val="879"/>
    <w:uiPriority w:val="0"/>
    <w:qFormat/>
    <w:pPr>
      <w:spacing w:line="360" w:lineRule="auto"/>
    </w:pPr>
    <w:rPr>
      <w:rFonts w:ascii="宋体" w:hAnsi="Times New Roman" w:eastAsia="Calibri" w:cs="宋体"/>
      <w:sz w:val="20"/>
      <w:szCs w:val="21"/>
      <w:lang w:val="zh-CN"/>
    </w:rPr>
  </w:style>
  <w:style w:type="paragraph" w:styleId="1174">
    <w:name w:val="Quote"/>
    <w:basedOn w:val="879"/>
    <w:next w:val="879"/>
    <w:link w:val="1175"/>
    <w:uiPriority w:val="0"/>
    <w:qFormat/>
    <w:rPr>
      <w:rFonts w:ascii="Times New Roman" w:hAnsi="Times New Roman" w:eastAsia="Calibri" w:cs="宋体"/>
      <w:i/>
      <w:iCs/>
      <w:color w:val="000000"/>
      <w:sz w:val="20"/>
      <w:lang w:val="zh-CN"/>
    </w:rPr>
  </w:style>
  <w:style w:type="character" w:styleId="1175" w:customStyle="1">
    <w:name w:val="引用 字符"/>
    <w:basedOn w:val="889"/>
    <w:link w:val="1174"/>
    <w:uiPriority w:val="0"/>
    <w:qFormat/>
    <w:rPr>
      <w:rFonts w:ascii="Times New Roman" w:hAnsi="Times New Roman" w:eastAsia="Calibri" w:cs="宋体"/>
      <w:i/>
      <w:iCs/>
      <w:color w:val="000000"/>
      <w:szCs w:val="22"/>
      <w:lang w:val="zh-CN"/>
    </w:rPr>
  </w:style>
  <w:style w:type="paragraph" w:styleId="1176" w:customStyle="1">
    <w:name w:val="Char71"/>
    <w:basedOn w:val="900"/>
    <w:uiPriority w:val="0"/>
    <w:qFormat/>
    <w:pPr>
      <w:spacing w:line="360" w:lineRule="auto"/>
    </w:pPr>
    <w:rPr>
      <w:rFonts w:ascii="Tahoma" w:hAnsi="Tahoma"/>
      <w:sz w:val="24"/>
    </w:rPr>
  </w:style>
  <w:style w:type="paragraph" w:styleId="1177" w:customStyle="1">
    <w:name w:val="Char"/>
    <w:basedOn w:val="879"/>
    <w:uiPriority w:val="0"/>
    <w:qFormat/>
    <w:pPr>
      <w:jc w:val="left"/>
      <w:spacing w:after="160" w:line="240" w:lineRule="exact"/>
      <w:widowControl/>
    </w:pPr>
    <w:rPr>
      <w:rFonts w:ascii="Verdana" w:hAnsi="Verdana" w:eastAsia="仿宋_GB2312" w:cs="宋体"/>
      <w:sz w:val="24"/>
      <w:szCs w:val="20"/>
      <w:lang w:val="zh-CN"/>
    </w:rPr>
  </w:style>
  <w:style w:type="paragraph" w:styleId="1178" w:customStyle="1">
    <w:name w:val="列出段落12"/>
    <w:basedOn w:val="879"/>
    <w:uiPriority w:val="0"/>
    <w:qFormat/>
    <w:pPr>
      <w:ind w:firstLine="200"/>
    </w:pPr>
    <w:rPr>
      <w:rFonts w:ascii="Calibri" w:hAnsi="Calibri" w:eastAsia="Calibri" w:cs="宋体"/>
      <w:sz w:val="20"/>
      <w:lang w:val="zh-CN"/>
    </w:rPr>
  </w:style>
  <w:style w:type="paragraph" w:styleId="1179" w:customStyle="1">
    <w:name w:val="Char Char Char Char Char Char Char Char Char Char Char Char Char Char Char Char"/>
    <w:basedOn w:val="879"/>
    <w:uiPriority w:val="0"/>
    <w:qFormat/>
    <w:pPr>
      <w:ind w:left="482" w:firstLine="200"/>
      <w:spacing w:line="360" w:lineRule="auto"/>
      <w:tabs>
        <w:tab w:val="left" w:pos="360" w:leader="none"/>
      </w:tabs>
    </w:pPr>
    <w:rPr>
      <w:rFonts w:ascii="宋体" w:hAnsi="Times New Roman" w:eastAsia="Calibri" w:cs="宋体"/>
      <w:sz w:val="24"/>
      <w:szCs w:val="20"/>
      <w:lang w:val="zh-CN"/>
    </w:rPr>
  </w:style>
  <w:style w:type="paragraph" w:styleId="1180" w:customStyle="1">
    <w:name w:val="标题5"/>
    <w:basedOn w:val="882"/>
    <w:uiPriority w:val="0"/>
    <w:qFormat/>
    <w:pPr>
      <w:numPr>
        <w:ilvl w:val="0"/>
        <w:numId w:val="0"/>
      </w:numPr>
      <w:spacing w:line="412" w:lineRule="auto"/>
      <w:tabs>
        <w:tab w:val="clear" w:pos="720" w:leader="none"/>
        <w:tab w:val="clear" w:pos="2563" w:leader="none"/>
      </w:tabs>
    </w:pPr>
    <w:rPr>
      <w:rFonts w:ascii="Arial" w:hAnsi="Arial"/>
      <w:bCs/>
      <w:color w:val="auto"/>
      <w:sz w:val="24"/>
      <w:szCs w:val="32"/>
    </w:rPr>
  </w:style>
  <w:style w:type="paragraph" w:styleId="1181" w:customStyle="1">
    <w:name w:val="TOC 标题1"/>
    <w:basedOn w:val="880"/>
    <w:next w:val="879"/>
    <w:uiPriority w:val="0"/>
    <w:qFormat/>
    <w:pPr>
      <w:tabs>
        <w:tab w:val="left" w:pos="432" w:leader="none"/>
      </w:tabs>
      <w:outlineLvl w:val="9"/>
    </w:pPr>
    <w:rPr>
      <w:rFonts w:ascii="Calibri" w:hAnsi="Calibri" w:eastAsia="Calibri" w:cs="宋体"/>
      <w:lang w:val="zh-CN"/>
    </w:rPr>
  </w:style>
  <w:style w:type="paragraph" w:styleId="1182">
    <w:name w:val="Intense Quote"/>
    <w:basedOn w:val="879"/>
    <w:next w:val="879"/>
    <w:link w:val="1183"/>
    <w:uiPriority w:val="0"/>
    <w:qFormat/>
    <w:pPr>
      <w:ind w:left="936" w:right="936"/>
      <w:spacing w:before="200" w:after="280"/>
      <w:pBdr>
        <w:bottom w:val="single" w:color="4F81BD" w:sz="4" w:space="4"/>
      </w:pBdr>
    </w:pPr>
    <w:rPr>
      <w:rFonts w:ascii="Times New Roman" w:hAnsi="Times New Roman" w:eastAsia="Calibri" w:cs="宋体"/>
      <w:b/>
      <w:bCs/>
      <w:i/>
      <w:iCs/>
      <w:color w:val="4f81bd"/>
      <w:sz w:val="20"/>
      <w:lang w:val="zh-CN"/>
    </w:rPr>
  </w:style>
  <w:style w:type="character" w:styleId="1183" w:customStyle="1">
    <w:name w:val="明显引用 字符"/>
    <w:basedOn w:val="889"/>
    <w:link w:val="1182"/>
    <w:uiPriority w:val="0"/>
    <w:qFormat/>
    <w:rPr>
      <w:rFonts w:ascii="Times New Roman" w:hAnsi="Times New Roman" w:eastAsia="Calibri" w:cs="宋体"/>
      <w:b/>
      <w:bCs/>
      <w:i/>
      <w:iCs/>
      <w:color w:val="4f81bd"/>
      <w:szCs w:val="22"/>
      <w:lang w:val="zh-CN"/>
    </w:rPr>
  </w:style>
  <w:style w:type="paragraph" w:styleId="1184" w:customStyle="1">
    <w:name w:val="Char11"/>
    <w:basedOn w:val="879"/>
    <w:uiPriority w:val="0"/>
    <w:qFormat/>
    <w:pPr>
      <w:jc w:val="left"/>
      <w:spacing w:after="160" w:line="240" w:lineRule="exact"/>
      <w:widowControl/>
    </w:pPr>
    <w:rPr>
      <w:rFonts w:ascii="Verdana" w:hAnsi="Verdana" w:eastAsia="仿宋_GB2312" w:cs="宋体"/>
      <w:sz w:val="24"/>
      <w:szCs w:val="20"/>
      <w:lang w:val="zh-CN"/>
    </w:rPr>
  </w:style>
  <w:style w:type="paragraph" w:styleId="1185" w:customStyle="1">
    <w:name w:val="标题4"/>
    <w:basedOn w:val="881"/>
    <w:next w:val="906"/>
    <w:uiPriority w:val="0"/>
    <w:qFormat/>
    <w:pPr>
      <w:jc w:val="both"/>
      <w:spacing w:before="260" w:after="260" w:line="412" w:lineRule="auto"/>
    </w:pPr>
    <w:rPr>
      <w:rFonts w:ascii="Arial" w:hAnsi="Arial" w:cs="宋体"/>
      <w:bCs/>
      <w:sz w:val="24"/>
      <w:szCs w:val="32"/>
      <w:lang w:val="zh-CN"/>
    </w:rPr>
  </w:style>
  <w:style w:type="paragraph" w:styleId="1186" w:customStyle="1">
    <w:name w:val="pa-2"/>
    <w:basedOn w:val="879"/>
    <w:uiPriority w:val="0"/>
    <w:qFormat/>
    <w:pPr>
      <w:ind w:firstLine="700"/>
      <w:spacing w:line="320" w:lineRule="atLeast"/>
      <w:widowControl/>
    </w:pPr>
    <w:rPr>
      <w:rFonts w:ascii="宋体" w:hAnsi="Times New Roman" w:eastAsia="Calibri" w:cs="宋体"/>
      <w:sz w:val="24"/>
      <w:szCs w:val="20"/>
      <w:lang w:val="zh-CN"/>
    </w:rPr>
  </w:style>
  <w:style w:type="paragraph" w:styleId="1187" w:customStyle="1">
    <w:name w:val="列表段落1"/>
    <w:basedOn w:val="879"/>
    <w:uiPriority w:val="0"/>
    <w:qFormat/>
    <w:pPr>
      <w:ind w:firstLine="200"/>
    </w:pPr>
    <w:rPr>
      <w:rFonts w:ascii="Times New Roman" w:hAnsi="Times New Roman" w:eastAsia="Calibri" w:cs="宋体"/>
      <w:sz w:val="20"/>
      <w:szCs w:val="20"/>
      <w:lang w:val="zh-CN"/>
    </w:rPr>
  </w:style>
  <w:style w:type="paragraph" w:styleId="1188" w:customStyle="1">
    <w:name w:val="普通 (Web)"/>
    <w:basedOn w:val="879"/>
    <w:uiPriority w:val="0"/>
    <w:qFormat/>
    <w:pPr>
      <w:jc w:val="left"/>
      <w:spacing w:before="100" w:beforeAutospacing="1" w:after="100" w:afterAutospacing="1"/>
      <w:widowControl/>
    </w:pPr>
    <w:rPr>
      <w:rFonts w:ascii="宋体" w:hAnsi="Times New Roman" w:eastAsia="宋体" w:cs="Times New Roman"/>
      <w:sz w:val="24"/>
      <w:szCs w:val="24"/>
      <w:lang w:val="zh-CN"/>
    </w:rPr>
  </w:style>
  <w:style w:type="paragraph" w:styleId="1189" w:customStyle="1">
    <w:name w:val="默认段落字体 Para Char Char Char Char Char Char Char"/>
    <w:basedOn w:val="879"/>
    <w:uiPriority w:val="0"/>
    <w:qFormat/>
    <w:rPr>
      <w:rFonts w:ascii="Tahoma" w:hAnsi="Tahoma" w:eastAsia="Calibri" w:cs="宋体"/>
      <w:sz w:val="24"/>
      <w:szCs w:val="20"/>
      <w:lang w:val="zh-CN"/>
    </w:rPr>
  </w:style>
  <w:style w:type="paragraph" w:styleId="1190" w:customStyle="1">
    <w:name w:val="TOC 标题11"/>
    <w:basedOn w:val="880"/>
    <w:next w:val="879"/>
    <w:uiPriority w:val="0"/>
    <w:qFormat/>
    <w:pPr>
      <w:ind w:left="8"/>
      <w:jc w:val="center"/>
      <w:keepLines w:val="0"/>
      <w:keepNext w:val="0"/>
      <w:spacing w:before="0" w:after="0" w:line="240" w:lineRule="auto"/>
      <w:outlineLvl w:val="9"/>
    </w:pPr>
    <w:rPr>
      <w:rFonts w:ascii="黑体" w:hAnsi="Times New Roman" w:eastAsia="黑体" w:cs="黑体"/>
      <w:b w:val="0"/>
      <w:bCs w:val="0"/>
      <w:sz w:val="30"/>
      <w:szCs w:val="30"/>
      <w:lang w:val="zh-CN" w:bidi="zh-CN"/>
    </w:rPr>
  </w:style>
  <w:style w:type="character" w:styleId="1191" w:customStyle="1">
    <w:name w:val="Char Char18"/>
    <w:uiPriority w:val="0"/>
    <w:qFormat/>
    <w:rPr>
      <w:rFonts w:eastAsia="宋体"/>
      <w:b/>
      <w:sz w:val="24"/>
      <w:lang w:val="en-US" w:eastAsia="zh-CN"/>
    </w:rPr>
  </w:style>
  <w:style w:type="character" w:styleId="1192" w:customStyle="1">
    <w:name w:val="Char Char21"/>
    <w:uiPriority w:val="0"/>
    <w:qFormat/>
    <w:rPr>
      <w:rFonts w:ascii="Arial" w:hAnsi="Arial" w:eastAsia="黑体"/>
      <w:sz w:val="24"/>
      <w:szCs w:val="24"/>
    </w:rPr>
  </w:style>
  <w:style w:type="character" w:styleId="1193" w:customStyle="1">
    <w:name w:val="style13"/>
    <w:uiPriority w:val="0"/>
    <w:qFormat/>
    <w:rPr>
      <w:sz w:val="18"/>
      <w:szCs w:val="18"/>
    </w:rPr>
  </w:style>
  <w:style w:type="character" w:styleId="1194" w:customStyle="1">
    <w:name w:val="style131"/>
    <w:uiPriority w:val="0"/>
    <w:qFormat/>
    <w:rPr>
      <w:rFonts w:cs="Times New Roman"/>
      <w:sz w:val="18"/>
      <w:szCs w:val="18"/>
      <w:lang w:bidi="ar-SA"/>
    </w:rPr>
  </w:style>
  <w:style w:type="character" w:styleId="1195" w:customStyle="1">
    <w:name w:val="t1"/>
    <w:uiPriority w:val="0"/>
    <w:qFormat/>
  </w:style>
  <w:style w:type="character" w:styleId="1196" w:customStyle="1">
    <w:name w:val="纯文本 Char Char Char"/>
    <w:uiPriority w:val="0"/>
    <w:qFormat/>
    <w:rPr>
      <w:rFonts w:ascii="宋体" w:eastAsia="宋体"/>
      <w:sz w:val="21"/>
      <w:szCs w:val="21"/>
      <w:lang w:val="en-US" w:eastAsia="zh-CN" w:bidi="ar-SA"/>
    </w:rPr>
  </w:style>
  <w:style w:type="character" w:styleId="1197" w:customStyle="1">
    <w:name w:val="2nd level Char"/>
    <w:uiPriority w:val="0"/>
    <w:qFormat/>
    <w:rPr>
      <w:rFonts w:ascii="Arial" w:hAnsi="Arial" w:eastAsia="黑体"/>
      <w:b/>
      <w:bCs/>
      <w:sz w:val="32"/>
      <w:szCs w:val="32"/>
      <w:lang w:val="en-US" w:eastAsia="zh-CN" w:bidi="ar-SA"/>
    </w:rPr>
  </w:style>
  <w:style w:type="character" w:styleId="1198" w:customStyle="1">
    <w:name w:val="标题 3 Char Char"/>
    <w:uiPriority w:val="0"/>
    <w:qFormat/>
    <w:rPr>
      <w:rFonts w:eastAsia="仿宋_GB2312"/>
      <w:b/>
      <w:bCs/>
      <w:sz w:val="28"/>
      <w:szCs w:val="32"/>
      <w:lang w:val="en-US" w:eastAsia="zh-CN" w:bidi="ar-SA"/>
    </w:rPr>
  </w:style>
  <w:style w:type="character" w:styleId="1199" w:customStyle="1">
    <w:name w:val="华宇段落1 Char Char"/>
    <w:uiPriority w:val="0"/>
    <w:qFormat/>
    <w:rPr>
      <w:rFonts w:eastAsia="宋体"/>
      <w:bCs/>
      <w:sz w:val="24"/>
      <w:szCs w:val="24"/>
      <w:lang w:val="en-US" w:eastAsia="zh-CN" w:bidi="ar-SA"/>
    </w:rPr>
  </w:style>
  <w:style w:type="character" w:styleId="1200" w:customStyle="1">
    <w:name w:val="标准文本 Char"/>
    <w:uiPriority w:val="0"/>
    <w:qFormat/>
    <w:rPr>
      <w:rFonts w:eastAsia="宋体" w:cs="宋体"/>
      <w:sz w:val="24"/>
      <w:szCs w:val="24"/>
      <w:lang w:val="en-US" w:eastAsia="zh-CN" w:bidi="ar-SA"/>
    </w:rPr>
  </w:style>
  <w:style w:type="character" w:styleId="1201" w:customStyle="1">
    <w:name w:val="Char Char23"/>
    <w:uiPriority w:val="0"/>
    <w:qFormat/>
    <w:rPr>
      <w:rFonts w:ascii="Arial" w:hAnsi="Arial" w:eastAsia="黑体"/>
      <w:b/>
      <w:bCs/>
      <w:sz w:val="24"/>
      <w:szCs w:val="24"/>
    </w:rPr>
  </w:style>
  <w:style w:type="character" w:styleId="1202" w:customStyle="1">
    <w:name w:val="listbenefit"/>
    <w:uiPriority w:val="0"/>
    <w:qFormat/>
  </w:style>
  <w:style w:type="character" w:styleId="1203" w:customStyle="1">
    <w:name w:val="content"/>
    <w:uiPriority w:val="0"/>
    <w:qFormat/>
  </w:style>
  <w:style w:type="character" w:styleId="1204" w:customStyle="1">
    <w:name w:val="para_small"/>
    <w:uiPriority w:val="0"/>
    <w:qFormat/>
  </w:style>
  <w:style w:type="character" w:styleId="120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06" w:customStyle="1">
    <w:name w:val="h Char Char"/>
    <w:uiPriority w:val="0"/>
    <w:qFormat/>
    <w:rPr>
      <w:rFonts w:eastAsia="宋体"/>
      <w:sz w:val="18"/>
      <w:szCs w:val="18"/>
      <w:lang w:val="en-US" w:eastAsia="zh-CN" w:bidi="ar-SA"/>
    </w:rPr>
  </w:style>
  <w:style w:type="character" w:styleId="1207" w:customStyle="1">
    <w:name w:val="正文 + 宋体 Char"/>
    <w:uiPriority w:val="0"/>
    <w:qFormat/>
    <w:rPr>
      <w:rFonts w:eastAsia="宋体"/>
      <w:sz w:val="21"/>
      <w:szCs w:val="24"/>
      <w:lang w:val="en-US" w:eastAsia="zh-CN" w:bidi="ar-SA"/>
    </w:rPr>
  </w:style>
  <w:style w:type="character" w:styleId="1208" w:customStyle="1">
    <w:name w:val="Char Char25"/>
    <w:uiPriority w:val="0"/>
    <w:qFormat/>
    <w:rPr>
      <w:rFonts w:ascii="Arial" w:hAnsi="Arial" w:eastAsia="黑体"/>
      <w:b/>
      <w:sz w:val="28"/>
    </w:rPr>
  </w:style>
  <w:style w:type="character" w:styleId="1209" w:customStyle="1">
    <w:name w:val="param-value"/>
    <w:uiPriority w:val="0"/>
    <w:qFormat/>
  </w:style>
  <w:style w:type="character" w:styleId="1210" w:customStyle="1">
    <w:name w:val="样式 宋体 小四"/>
    <w:uiPriority w:val="0"/>
    <w:qFormat/>
    <w:rPr>
      <w:rFonts w:ascii="宋体"/>
      <w:sz w:val="24"/>
    </w:rPr>
  </w:style>
  <w:style w:type="character" w:styleId="1211" w:customStyle="1">
    <w:name w:val="小四 段落 宋体 Char Char Char1"/>
    <w:uiPriority w:val="0"/>
    <w:qFormat/>
    <w:rPr>
      <w:rFonts w:ascii="宋体" w:eastAsia="宋体"/>
      <w:sz w:val="24"/>
      <w:szCs w:val="24"/>
      <w:lang w:val="en-US" w:eastAsia="zh-CN" w:bidi="ar-SA"/>
    </w:rPr>
  </w:style>
  <w:style w:type="character" w:styleId="1212" w:customStyle="1">
    <w:name w:val="小四 段落 宋体 Char1"/>
    <w:uiPriority w:val="0"/>
    <w:qFormat/>
    <w:rPr>
      <w:rFonts w:eastAsia="宋体"/>
      <w:sz w:val="24"/>
      <w:szCs w:val="24"/>
      <w:lang w:val="en-US" w:eastAsia="zh-CN" w:bidi="ar-SA"/>
    </w:rPr>
  </w:style>
  <w:style w:type="character" w:styleId="1213" w:customStyle="1">
    <w:name w:val="普通文字1 Char"/>
    <w:uiPriority w:val="0"/>
    <w:qFormat/>
    <w:rPr>
      <w:rFonts w:ascii="宋体" w:eastAsia="宋体"/>
      <w:sz w:val="21"/>
      <w:szCs w:val="21"/>
      <w:lang w:val="en-US" w:eastAsia="zh-CN" w:bidi="ar-SA"/>
    </w:rPr>
  </w:style>
  <w:style w:type="character" w:styleId="1214" w:customStyle="1">
    <w:name w:val="subtitle1"/>
    <w:uiPriority w:val="0"/>
    <w:qFormat/>
    <w:rPr>
      <w:rFonts w:ascii="Georgia" w:hAnsi="Georgia"/>
      <w:b/>
      <w:bCs/>
      <w:color w:val="666666"/>
      <w:sz w:val="18"/>
      <w:szCs w:val="18"/>
    </w:rPr>
  </w:style>
  <w:style w:type="character" w:styleId="1215" w:customStyle="1">
    <w:name w:val="Char Char24"/>
    <w:uiPriority w:val="0"/>
    <w:qFormat/>
    <w:rPr>
      <w:b/>
      <w:bCs/>
      <w:sz w:val="28"/>
      <w:szCs w:val="28"/>
    </w:rPr>
  </w:style>
  <w:style w:type="character" w:styleId="1216" w:customStyle="1">
    <w:name w:val="point_normal1"/>
    <w:uiPriority w:val="0"/>
    <w:qFormat/>
    <w:rPr>
      <w:rFonts w:ascii="Arial" w:hAnsi="Arial" w:cs="Arial"/>
      <w:sz w:val="18"/>
      <w:szCs w:val="18"/>
      <w:lang w:bidi="ar-SA"/>
    </w:rPr>
  </w:style>
  <w:style w:type="character" w:styleId="1217" w:customStyle="1">
    <w:name w:val="title_emph1"/>
    <w:uiPriority w:val="0"/>
    <w:qFormat/>
    <w:rPr>
      <w:rFonts w:ascii="Arial" w:hAnsi="Arial" w:cs="Arial"/>
      <w:b/>
      <w:bCs/>
      <w:sz w:val="18"/>
      <w:szCs w:val="18"/>
      <w:lang w:bidi="ar-SA"/>
    </w:rPr>
  </w:style>
  <w:style w:type="character" w:styleId="1218" w:customStyle="1">
    <w:name w:val="纯文本 Char Char"/>
    <w:uiPriority w:val="0"/>
    <w:qFormat/>
    <w:rPr>
      <w:rFonts w:ascii="宋体" w:eastAsia="宋体"/>
      <w:sz w:val="21"/>
      <w:szCs w:val="21"/>
      <w:lang w:val="en-US" w:eastAsia="zh-CN" w:bidi="ar-SA"/>
    </w:rPr>
  </w:style>
  <w:style w:type="character" w:styleId="1219" w:customStyle="1">
    <w:name w:val="标准小四 Char Char"/>
    <w:uiPriority w:val="0"/>
    <w:qFormat/>
    <w:rPr>
      <w:rFonts w:ascii="Arial" w:hAnsi="Arial" w:eastAsia="宋体"/>
      <w:sz w:val="24"/>
      <w:szCs w:val="21"/>
      <w:lang w:val="en-US" w:eastAsia="zh-CN" w:bidi="ar-SA"/>
    </w:rPr>
  </w:style>
  <w:style w:type="character" w:styleId="1220" w:customStyle="1">
    <w:name w:val="标准小四 Char"/>
    <w:uiPriority w:val="0"/>
    <w:qFormat/>
    <w:rPr>
      <w:rFonts w:ascii="Arial" w:hAnsi="Arial" w:eastAsia="宋体"/>
      <w:sz w:val="24"/>
      <w:szCs w:val="21"/>
      <w:lang w:val="en-US" w:eastAsia="zh-CN" w:bidi="ar-SA"/>
    </w:rPr>
  </w:style>
  <w:style w:type="character" w:styleId="1221" w:customStyle="1">
    <w:name w:val="标题 3 Char2"/>
    <w:uiPriority w:val="0"/>
    <w:qFormat/>
    <w:rPr>
      <w:rFonts w:ascii="宋体" w:eastAsia="宋体"/>
      <w:b/>
      <w:sz w:val="21"/>
      <w:szCs w:val="21"/>
      <w:shd w:val="clear" w:color="auto" w:fill="ffffff"/>
    </w:rPr>
  </w:style>
  <w:style w:type="character" w:styleId="1222" w:customStyle="1">
    <w:name w:val="小四 段落 宋体 Char Char Char Char Char Char"/>
    <w:uiPriority w:val="0"/>
    <w:qFormat/>
    <w:rPr>
      <w:rFonts w:eastAsia="宋体"/>
      <w:sz w:val="24"/>
      <w:szCs w:val="24"/>
      <w:lang w:val="en-US" w:eastAsia="zh-CN" w:bidi="ar-SA"/>
    </w:rPr>
  </w:style>
  <w:style w:type="character" w:styleId="1223" w:customStyle="1">
    <w:name w:val="样式 首行缩进:  2 字符 Char"/>
    <w:uiPriority w:val="0"/>
    <w:qFormat/>
    <w:rPr>
      <w:rFonts w:eastAsia="宋体" w:cs="宋体"/>
      <w:sz w:val="24"/>
      <w:lang w:val="en-US" w:eastAsia="zh-CN" w:bidi="ar-SA"/>
    </w:rPr>
  </w:style>
  <w:style w:type="character" w:styleId="1224" w:customStyle="1">
    <w:name w:val="Char Char29"/>
    <w:uiPriority w:val="0"/>
    <w:qFormat/>
    <w:rPr>
      <w:rFonts w:ascii="Times New Roman" w:hAnsi="Times New Roman" w:eastAsia="宋体" w:cs="Times New Roman"/>
      <w:b/>
      <w:bCs/>
      <w:sz w:val="44"/>
      <w:szCs w:val="44"/>
      <w:lang w:bidi="ar-SA"/>
    </w:rPr>
  </w:style>
  <w:style w:type="character" w:styleId="1225" w:customStyle="1">
    <w:name w:val="Char Char2"/>
    <w:uiPriority w:val="0"/>
    <w:qFormat/>
    <w:rPr>
      <w:rFonts w:ascii="宋体" w:eastAsia="宋体"/>
      <w:sz w:val="21"/>
      <w:szCs w:val="21"/>
      <w:lang w:val="en-US" w:eastAsia="zh-CN" w:bidi="ar-SA"/>
    </w:rPr>
  </w:style>
  <w:style w:type="character" w:styleId="1226" w:customStyle="1">
    <w:name w:val="Char Char28"/>
    <w:uiPriority w:val="0"/>
    <w:qFormat/>
    <w:rPr>
      <w:rFonts w:ascii="Arial" w:hAnsi="Arial" w:eastAsia="黑体" w:cs="Arial"/>
      <w:b/>
      <w:bCs/>
      <w:sz w:val="32"/>
      <w:szCs w:val="32"/>
      <w:lang w:bidi="ar-SA"/>
    </w:rPr>
  </w:style>
  <w:style w:type="character" w:styleId="1227" w:customStyle="1">
    <w:name w:val="样式 非加粗"/>
    <w:uiPriority w:val="0"/>
    <w:qFormat/>
    <w:rPr>
      <w:rFonts w:eastAsia="宋体"/>
      <w:sz w:val="28"/>
    </w:rPr>
  </w:style>
  <w:style w:type="character" w:styleId="1228" w:customStyle="1">
    <w:name w:val="小四 段落 宋体 Char Char Char Char1"/>
    <w:uiPriority w:val="0"/>
    <w:qFormat/>
    <w:rPr>
      <w:rFonts w:eastAsia="宋体"/>
      <w:sz w:val="24"/>
      <w:szCs w:val="24"/>
      <w:lang w:val="en-US" w:eastAsia="zh-CN" w:bidi="ar-SA"/>
    </w:rPr>
  </w:style>
  <w:style w:type="character" w:styleId="1229" w:customStyle="1">
    <w:name w:val="华宇段落1 Char Char Char"/>
    <w:uiPriority w:val="0"/>
    <w:qFormat/>
    <w:rPr>
      <w:rFonts w:eastAsia="宋体"/>
      <w:bCs/>
      <w:sz w:val="24"/>
      <w:szCs w:val="24"/>
      <w:lang w:val="en-US" w:eastAsia="zh-CN" w:bidi="ar-SA"/>
    </w:rPr>
  </w:style>
  <w:style w:type="character" w:styleId="1230" w:customStyle="1">
    <w:name w:val="纯文本 Char Char Char1"/>
    <w:uiPriority w:val="0"/>
    <w:qFormat/>
    <w:rPr>
      <w:rFonts w:ascii="宋体" w:eastAsia="宋体"/>
      <w:sz w:val="21"/>
      <w:szCs w:val="21"/>
      <w:lang w:val="en-US" w:eastAsia="zh-CN" w:bidi="ar-SA"/>
    </w:rPr>
  </w:style>
  <w:style w:type="character" w:styleId="1231" w:customStyle="1">
    <w:name w:val="ih151"/>
    <w:uiPriority w:val="0"/>
    <w:qFormat/>
    <w:rPr>
      <w:color w:val="666666"/>
      <w:sz w:val="18"/>
      <w:szCs w:val="18"/>
      <w:u w:val="none"/>
    </w:rPr>
  </w:style>
  <w:style w:type="character" w:styleId="1232" w:customStyle="1">
    <w:name w:val="case31"/>
    <w:uiPriority w:val="0"/>
    <w:qFormat/>
    <w:rPr>
      <w:sz w:val="21"/>
      <w:szCs w:val="21"/>
    </w:rPr>
  </w:style>
  <w:style w:type="character" w:styleId="1233" w:customStyle="1">
    <w:name w:val="Char Char20"/>
    <w:uiPriority w:val="0"/>
    <w:qFormat/>
    <w:rPr>
      <w:rFonts w:ascii="Arial" w:hAnsi="Arial" w:eastAsia="黑体"/>
      <w:sz w:val="21"/>
      <w:szCs w:val="21"/>
    </w:rPr>
  </w:style>
  <w:style w:type="character" w:styleId="1234" w:customStyle="1">
    <w:name w:val="特点 Char1"/>
    <w:uiPriority w:val="0"/>
    <w:qFormat/>
    <w:rPr>
      <w:rFonts w:eastAsia="宋体"/>
      <w:sz w:val="21"/>
      <w:lang w:val="en-US" w:eastAsia="zh-CN" w:bidi="ar-SA"/>
    </w:rPr>
  </w:style>
  <w:style w:type="character" w:styleId="1235" w:customStyle="1">
    <w:name w:val="Char Char26"/>
    <w:uiPriority w:val="0"/>
    <w:qFormat/>
    <w:rPr>
      <w:b/>
      <w:bCs/>
      <w:sz w:val="32"/>
      <w:szCs w:val="32"/>
    </w:rPr>
  </w:style>
  <w:style w:type="character" w:styleId="1236" w:customStyle="1">
    <w:name w:val="小四 段落 宋体 Char Char Char Char Char"/>
    <w:uiPriority w:val="0"/>
    <w:qFormat/>
    <w:rPr>
      <w:rFonts w:eastAsia="宋体"/>
      <w:sz w:val="24"/>
      <w:szCs w:val="24"/>
      <w:lang w:val="en-US" w:eastAsia="zh-CN" w:bidi="ar-SA"/>
    </w:rPr>
  </w:style>
  <w:style w:type="character" w:styleId="1237" w:customStyle="1">
    <w:name w:val="A2"/>
    <w:uiPriority w:val="0"/>
    <w:qFormat/>
    <w:rPr>
      <w:rFonts w:cs="Helvetica"/>
      <w:color w:val="000000"/>
      <w:sz w:val="18"/>
      <w:szCs w:val="18"/>
      <w:lang w:bidi="ar-SA"/>
    </w:rPr>
  </w:style>
  <w:style w:type="character" w:styleId="1238" w:customStyle="1">
    <w:name w:val="Char Char27"/>
    <w:uiPriority w:val="0"/>
    <w:qFormat/>
    <w:rPr>
      <w:b/>
      <w:bCs/>
      <w:sz w:val="44"/>
      <w:szCs w:val="44"/>
    </w:rPr>
  </w:style>
  <w:style w:type="character" w:styleId="1239" w:customStyle="1">
    <w:name w:val="小四 段落 宋体 Char Char Char Char Char Char Char Char"/>
    <w:uiPriority w:val="0"/>
    <w:qFormat/>
    <w:rPr>
      <w:rFonts w:eastAsia="宋体"/>
      <w:sz w:val="24"/>
      <w:szCs w:val="24"/>
      <w:lang w:val="en-US" w:eastAsia="zh-CN" w:bidi="ar-SA"/>
    </w:rPr>
  </w:style>
  <w:style w:type="character" w:styleId="1240" w:customStyle="1">
    <w:name w:val="apple-converted-space"/>
    <w:uiPriority w:val="0"/>
    <w:qFormat/>
  </w:style>
  <w:style w:type="character" w:styleId="1241" w:customStyle="1">
    <w:name w:val="content_lineheight1"/>
    <w:uiPriority w:val="0"/>
    <w:qFormat/>
  </w:style>
  <w:style w:type="character" w:styleId="1242" w:customStyle="1">
    <w:name w:val="concon"/>
    <w:uiPriority w:val="0"/>
    <w:qFormat/>
  </w:style>
  <w:style w:type="character" w:styleId="1243" w:customStyle="1">
    <w:name w:val="Char Char22"/>
    <w:uiPriority w:val="0"/>
    <w:qFormat/>
    <w:rPr>
      <w:b/>
      <w:bCs/>
      <w:sz w:val="24"/>
      <w:szCs w:val="24"/>
    </w:rPr>
  </w:style>
  <w:style w:type="character" w:styleId="1244" w:customStyle="1">
    <w:name w:val="已访问的超链接1"/>
    <w:uiPriority w:val="0"/>
    <w:qFormat/>
    <w:rPr>
      <w:color w:val="auto"/>
      <w:u w:val="none"/>
    </w:rPr>
  </w:style>
  <w:style w:type="character" w:styleId="1245" w:customStyle="1">
    <w:name w:val="标准文本 Char Char"/>
    <w:uiPriority w:val="0"/>
    <w:qFormat/>
    <w:rPr>
      <w:rFonts w:eastAsia="宋体" w:cs="宋体"/>
      <w:sz w:val="24"/>
      <w:szCs w:val="24"/>
      <w:lang w:val="en-US" w:eastAsia="zh-CN" w:bidi="ar-SA"/>
    </w:rPr>
  </w:style>
  <w:style w:type="character" w:styleId="1246" w:customStyle="1">
    <w:name w:val="Char Char17"/>
    <w:uiPriority w:val="0"/>
    <w:qFormat/>
    <w:rPr>
      <w:rFonts w:ascii="宋体"/>
      <w:sz w:val="21"/>
      <w:szCs w:val="21"/>
    </w:rPr>
  </w:style>
  <w:style w:type="character" w:styleId="1247" w:customStyle="1">
    <w:name w:val="3zw"/>
    <w:uiPriority w:val="0"/>
    <w:qFormat/>
  </w:style>
  <w:style w:type="character" w:styleId="1248" w:customStyle="1">
    <w:name w:val="normalfont1"/>
    <w:uiPriority w:val="0"/>
    <w:qFormat/>
    <w:rPr>
      <w:rFonts w:ascii="ˎ̥" w:hAnsi="ˎ̥"/>
      <w:sz w:val="18"/>
      <w:szCs w:val="18"/>
      <w:u w:val="none"/>
    </w:rPr>
  </w:style>
  <w:style w:type="character" w:styleId="1249" w:customStyle="1">
    <w:name w:val="标题 Char1"/>
    <w:uiPriority w:val="0"/>
    <w:qFormat/>
    <w:rPr>
      <w:rFonts w:ascii="Cambria" w:hAnsi="Cambria" w:eastAsia="宋体" w:cs="Times New Roman"/>
      <w:b/>
      <w:bCs/>
      <w:sz w:val="32"/>
      <w:szCs w:val="32"/>
      <w:lang w:bidi="ar-SA"/>
    </w:rPr>
  </w:style>
  <w:style w:type="paragraph" w:styleId="1250" w:customStyle="1">
    <w:name w:val="font13"/>
    <w:basedOn w:val="879"/>
    <w:uiPriority w:val="0"/>
    <w:qFormat/>
    <w:pPr>
      <w:jc w:val="left"/>
      <w:spacing w:before="100" w:beforeAutospacing="1" w:after="100" w:afterAutospacing="1"/>
      <w:widowControl/>
    </w:pPr>
    <w:rPr>
      <w:rFonts w:ascii="Times New Roman" w:hAnsi="Times New Roman" w:eastAsia="Calibri" w:cs="宋体"/>
      <w:i/>
      <w:iCs/>
      <w:sz w:val="36"/>
      <w:szCs w:val="36"/>
      <w:lang w:val="zh-CN"/>
    </w:rPr>
  </w:style>
  <w:style w:type="paragraph" w:styleId="1251" w:customStyle="1">
    <w:name w:val="表格抬头"/>
    <w:basedOn w:val="879"/>
    <w:uiPriority w:val="0"/>
    <w:qFormat/>
    <w:pPr>
      <w:jc w:val="center"/>
    </w:pPr>
    <w:rPr>
      <w:rFonts w:ascii="黑体" w:hAnsi="Times New Roman" w:eastAsia="黑体" w:cs="宋体"/>
      <w:b/>
      <w:sz w:val="20"/>
      <w:szCs w:val="20"/>
      <w:lang w:val="zh-CN"/>
    </w:rPr>
  </w:style>
  <w:style w:type="paragraph" w:styleId="1252" w:customStyle="1">
    <w:name w:val="xl30"/>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character" w:styleId="1253" w:customStyle="1">
    <w:name w:val="正文文本缩进 3 Char1"/>
    <w:uiPriority w:val="0"/>
    <w:qFormat/>
    <w:rPr>
      <w:sz w:val="16"/>
      <w:szCs w:val="16"/>
    </w:rPr>
  </w:style>
  <w:style w:type="character" w:styleId="1254" w:customStyle="1">
    <w:name w:val="HTML 预设格式 Char1"/>
    <w:uiPriority w:val="0"/>
    <w:qFormat/>
    <w:rPr>
      <w:rFonts w:ascii="Courier New" w:hAnsi="Courier New" w:cs="Courier New"/>
      <w:lang w:bidi="ar-SA"/>
    </w:rPr>
  </w:style>
  <w:style w:type="paragraph" w:styleId="1255" w:customStyle="1">
    <w:name w:val="Char Char Char Char Char Char Char Char"/>
    <w:basedOn w:val="879"/>
    <w:uiPriority w:val="0"/>
    <w:qFormat/>
    <w:rPr>
      <w:rFonts w:ascii="Tahoma" w:hAnsi="Tahoma" w:eastAsia="Calibri" w:cs="Tahoma"/>
      <w:sz w:val="24"/>
      <w:szCs w:val="20"/>
      <w:lang w:val="zh-CN"/>
    </w:rPr>
  </w:style>
  <w:style w:type="paragraph" w:styleId="1256" w:customStyle="1">
    <w:name w:val="Char Char"/>
    <w:basedOn w:val="879"/>
    <w:uiPriority w:val="0"/>
    <w:qFormat/>
    <w:rPr>
      <w:rFonts w:ascii="Tahoma" w:hAnsi="Tahoma" w:eastAsia="Calibri" w:cs="Tahoma"/>
      <w:sz w:val="24"/>
      <w:szCs w:val="20"/>
      <w:lang w:val="zh-CN"/>
    </w:rPr>
  </w:style>
  <w:style w:type="paragraph" w:styleId="1257" w:customStyle="1">
    <w:name w:val="Char Char Char Char Char Char Char Char Char Char Char Char Char Char Char Char Char Char Char Char Char"/>
    <w:basedOn w:val="879"/>
    <w:uiPriority w:val="0"/>
    <w:qFormat/>
    <w:rPr>
      <w:rFonts w:ascii="Tahoma" w:hAnsi="Tahoma" w:eastAsia="Calibri" w:cs="Tahoma"/>
      <w:sz w:val="24"/>
      <w:szCs w:val="20"/>
      <w:lang w:val="zh-CN"/>
    </w:rPr>
  </w:style>
  <w:style w:type="paragraph" w:styleId="1258" w:customStyle="1">
    <w:name w:val="马刚标题3"/>
    <w:basedOn w:val="879"/>
    <w:next w:val="879"/>
    <w:uiPriority w:val="0"/>
    <w:qFormat/>
    <w:pPr>
      <w:ind w:left="567" w:hanging="567"/>
      <w:jc w:val="left"/>
      <w:keepLines/>
      <w:keepNext/>
      <w:spacing w:before="120" w:after="60" w:line="412" w:lineRule="auto"/>
      <w:tabs>
        <w:tab w:val="left" w:pos="567" w:leader="none"/>
        <w:tab w:val="left" w:pos="735" w:leader="none"/>
      </w:tabs>
      <w:outlineLvl w:val="2"/>
    </w:pPr>
    <w:rPr>
      <w:rFonts w:ascii="黑体" w:hAnsi="Times New Roman" w:eastAsia="黑体" w:cs="宋体"/>
      <w:b/>
      <w:bCs/>
      <w:sz w:val="24"/>
      <w:szCs w:val="20"/>
      <w:lang w:val="zh-CN"/>
    </w:rPr>
  </w:style>
  <w:style w:type="paragraph" w:styleId="1259" w:customStyle="1">
    <w:name w:val="标准小四"/>
    <w:basedOn w:val="879"/>
    <w:uiPriority w:val="0"/>
    <w:qFormat/>
    <w:pPr>
      <w:ind w:firstLine="200"/>
      <w:spacing w:line="360" w:lineRule="auto"/>
    </w:pPr>
    <w:rPr>
      <w:rFonts w:ascii="Arial" w:hAnsi="Arial" w:eastAsia="Calibri" w:cs="宋体"/>
      <w:sz w:val="24"/>
      <w:szCs w:val="21"/>
      <w:lang w:val="zh-CN"/>
    </w:rPr>
  </w:style>
  <w:style w:type="paragraph" w:styleId="1260" w:customStyle="1">
    <w:name w:val="马刚标题4"/>
    <w:basedOn w:val="1258"/>
    <w:next w:val="879"/>
    <w:uiPriority w:val="0"/>
    <w:qFormat/>
    <w:pPr>
      <w:spacing w:before="100" w:after="40"/>
      <w:tabs>
        <w:tab w:val="clear" w:pos="567" w:leader="none"/>
        <w:tab w:val="clear" w:pos="735" w:leader="none"/>
        <w:tab w:val="left" w:pos="1050" w:leader="none"/>
      </w:tabs>
      <w:outlineLvl w:val="3"/>
    </w:pPr>
    <w:rPr>
      <w:b w:val="0"/>
    </w:rPr>
  </w:style>
  <w:style w:type="paragraph" w:styleId="1261" w:customStyle="1">
    <w:name w:val="Char Char Char Char Char Char"/>
    <w:basedOn w:val="879"/>
    <w:uiPriority w:val="0"/>
    <w:qFormat/>
    <w:rPr>
      <w:rFonts w:ascii="Tahoma" w:hAnsi="Tahoma" w:eastAsia="Calibri" w:cs="Tahoma"/>
      <w:sz w:val="24"/>
      <w:szCs w:val="20"/>
      <w:lang w:val="zh-CN"/>
    </w:rPr>
  </w:style>
  <w:style w:type="paragraph" w:styleId="1262" w:customStyle="1">
    <w:name w:val="content_lineheight"/>
    <w:basedOn w:val="879"/>
    <w:uiPriority w:val="0"/>
    <w:qFormat/>
    <w:pPr>
      <w:jc w:val="left"/>
      <w:spacing w:before="100" w:beforeAutospacing="1" w:after="100" w:afterAutospacing="1"/>
      <w:widowControl/>
    </w:pPr>
    <w:rPr>
      <w:rFonts w:ascii="宋体" w:hAnsi="Times New Roman" w:eastAsia="Calibri" w:cs="宋体"/>
      <w:sz w:val="24"/>
      <w:szCs w:val="20"/>
      <w:lang w:val="zh-CN"/>
    </w:rPr>
  </w:style>
  <w:style w:type="paragraph" w:styleId="1263" w:customStyle="1">
    <w:name w:val="xl32"/>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264" w:customStyle="1">
    <w:name w:val="flNote"/>
    <w:basedOn w:val="879"/>
    <w:uiPriority w:val="0"/>
    <w:qFormat/>
    <w:pPr>
      <w:jc w:val="center"/>
      <w:spacing w:before="567" w:line="360" w:lineRule="atLeast"/>
    </w:pPr>
    <w:rPr>
      <w:rFonts w:ascii="Times New Roman" w:hAnsi="Times New Roman" w:eastAsia="黑体" w:cs="宋体"/>
      <w:b/>
      <w:sz w:val="24"/>
      <w:szCs w:val="20"/>
      <w:lang w:val="zh-CN"/>
    </w:rPr>
  </w:style>
  <w:style w:type="paragraph" w:styleId="1265" w:customStyle="1">
    <w:name w:val="样式 段后: 0.25 行"/>
    <w:basedOn w:val="879"/>
    <w:uiPriority w:val="0"/>
    <w:qFormat/>
    <w:pPr>
      <w:ind w:firstLine="200"/>
      <w:jc w:val="left"/>
      <w:spacing w:after="25" w:line="300" w:lineRule="auto"/>
      <w:widowControl/>
    </w:pPr>
    <w:rPr>
      <w:rFonts w:ascii="Arial" w:hAnsi="Arial" w:eastAsia="Calibri" w:cs="宋体"/>
      <w:sz w:val="22"/>
      <w:szCs w:val="20"/>
      <w:lang w:val="zh-CN" w:bidi="en-US"/>
    </w:rPr>
  </w:style>
  <w:style w:type="paragraph" w:styleId="1266" w:customStyle="1">
    <w:name w:val="xl31"/>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Times New Roman" w:eastAsia="楷体_GB2312" w:cs="宋体"/>
      <w:b/>
      <w:bCs/>
      <w:sz w:val="24"/>
      <w:szCs w:val="20"/>
      <w:lang w:val="zh-CN"/>
    </w:rPr>
  </w:style>
  <w:style w:type="paragraph" w:styleId="1267" w:customStyle="1">
    <w:name w:val="丁华标题1"/>
    <w:basedOn w:val="880"/>
    <w:next w:val="1268"/>
    <w:uiPriority w:val="0"/>
    <w:qFormat/>
    <w:pPr>
      <w:jc w:val="left"/>
      <w:spacing w:before="600" w:after="120"/>
      <w:tabs>
        <w:tab w:val="left" w:pos="567" w:leader="none"/>
        <w:tab w:val="left" w:pos="1440" w:leader="none"/>
      </w:tabs>
    </w:pPr>
    <w:rPr>
      <w:rFonts w:ascii="Times New Roman" w:hAnsi="Times New Roman" w:eastAsia="黑体" w:cs="宋体"/>
      <w:b w:val="0"/>
      <w:bCs w:val="0"/>
      <w:sz w:val="32"/>
      <w:szCs w:val="20"/>
      <w:lang w:val="zh-CN"/>
    </w:rPr>
  </w:style>
  <w:style w:type="paragraph" w:styleId="1268" w:customStyle="1">
    <w:name w:val="丁华正文"/>
    <w:basedOn w:val="927"/>
    <w:uiPriority w:val="0"/>
    <w:qFormat/>
    <w:pPr>
      <w:ind w:left="0" w:firstLine="510"/>
      <w:spacing w:line="360" w:lineRule="auto"/>
    </w:pPr>
    <w:rPr>
      <w:rFonts w:ascii="Times New Roman" w:hAnsi="Times New Roman" w:eastAsia="宋体"/>
      <w:color w:val="auto"/>
      <w:sz w:val="24"/>
      <w:szCs w:val="16"/>
    </w:rPr>
  </w:style>
  <w:style w:type="paragraph" w:styleId="1269" w:customStyle="1">
    <w:name w:val="Char Char1 Char Char Char Char"/>
    <w:basedOn w:val="900"/>
    <w:uiPriority w:val="0"/>
    <w:qFormat/>
    <w:pPr>
      <w:ind w:left="357"/>
      <w:jc w:val="left"/>
      <w:spacing w:line="436" w:lineRule="exact"/>
      <w:outlineLvl w:val="3"/>
    </w:pPr>
    <w:rPr>
      <w:rFonts w:ascii="Tahoma" w:hAnsi="Tahoma" w:cs="Tahoma"/>
      <w:b/>
      <w:sz w:val="24"/>
      <w:lang w:val="en-US"/>
    </w:rPr>
  </w:style>
  <w:style w:type="paragraph" w:styleId="1270" w:customStyle="1">
    <w:name w:val="部分1"/>
    <w:basedOn w:val="879"/>
    <w:uiPriority w:val="0"/>
    <w:qFormat/>
    <w:pPr>
      <w:jc w:val="center"/>
      <w:keepNext/>
      <w:pageBreakBefore/>
      <w:spacing w:line="360" w:lineRule="auto"/>
      <w:tabs>
        <w:tab w:val="left" w:pos="360" w:leader="none"/>
      </w:tabs>
      <w:outlineLvl w:val="0"/>
    </w:pPr>
    <w:rPr>
      <w:rFonts w:ascii="Times New Roman" w:hAnsi="Times New Roman" w:eastAsia="黑体" w:cs="宋体"/>
      <w:b/>
      <w:sz w:val="36"/>
      <w:szCs w:val="20"/>
      <w:lang w:val="zh-CN"/>
    </w:rPr>
  </w:style>
  <w:style w:type="paragraph" w:styleId="1271" w:customStyle="1">
    <w:name w:val="丁华标题2"/>
    <w:basedOn w:val="881"/>
    <w:next w:val="1268"/>
    <w:uiPriority w:val="0"/>
    <w:qFormat/>
    <w:pPr>
      <w:numPr>
        <w:ilvl w:val="1"/>
        <w:numId w:val="2"/>
      </w:numPr>
      <w:spacing w:line="415" w:lineRule="auto"/>
      <w:tabs>
        <w:tab w:val="left" w:pos="576" w:leader="none"/>
        <w:tab w:val="left" w:pos="1004" w:leader="none"/>
      </w:tabs>
    </w:pPr>
    <w:rPr>
      <w:rFonts w:ascii="Arial" w:hAnsi="Arial" w:eastAsia="黑体" w:cs="宋体"/>
      <w:sz w:val="28"/>
      <w:szCs w:val="20"/>
      <w:lang w:val="zh-CN"/>
    </w:rPr>
  </w:style>
  <w:style w:type="paragraph" w:styleId="1272" w:customStyle="1">
    <w:name w:val="Test2"/>
    <w:basedOn w:val="881"/>
    <w:uiPriority w:val="0"/>
    <w:qFormat/>
    <w:pPr>
      <w:jc w:val="center"/>
      <w:spacing w:before="50" w:after="50" w:line="480" w:lineRule="exact"/>
      <w:widowControl/>
    </w:pPr>
    <w:rPr>
      <w:rFonts w:ascii="黑体" w:hAnsi="Times New Roman" w:eastAsia="黑体" w:cs="宋体"/>
      <w:b w:val="0"/>
      <w:bCs/>
      <w:sz w:val="24"/>
      <w:szCs w:val="21"/>
      <w:lang w:val="zh-CN"/>
    </w:rPr>
  </w:style>
  <w:style w:type="paragraph" w:styleId="1273" w:customStyle="1">
    <w:name w:val="样式 样式 首行缩进:  2 字符 + 行距: 1.5 倍行距"/>
    <w:basedOn w:val="879"/>
    <w:uiPriority w:val="0"/>
    <w:qFormat/>
    <w:pPr>
      <w:ind w:firstLine="196"/>
      <w:spacing w:line="360" w:lineRule="auto"/>
    </w:pPr>
    <w:rPr>
      <w:rFonts w:ascii="Times New Roman" w:hAnsi="Times New Roman" w:eastAsia="Calibri" w:cs="宋体"/>
      <w:sz w:val="24"/>
      <w:szCs w:val="20"/>
      <w:lang w:val="zh-CN"/>
    </w:rPr>
  </w:style>
  <w:style w:type="paragraph" w:styleId="1274" w:customStyle="1">
    <w:name w:val="标题 4宋体"/>
    <w:basedOn w:val="883"/>
    <w:uiPriority w:val="0"/>
    <w:qFormat/>
    <w:pPr>
      <w:numPr>
        <w:ilvl w:val="0"/>
        <w:numId w:val="0"/>
      </w:numPr>
      <w:jc w:val="left"/>
      <w:keepLines w:val="0"/>
      <w:spacing w:before="0" w:after="0" w:line="360" w:lineRule="auto"/>
      <w:tabs>
        <w:tab w:val="clear" w:pos="4409" w:leader="none"/>
      </w:tabs>
    </w:pPr>
    <w:rPr>
      <w:rFonts w:ascii="宋体" w:eastAsia="宋体"/>
      <w:color w:val="000000"/>
      <w:sz w:val="24"/>
      <w:szCs w:val="20"/>
    </w:rPr>
  </w:style>
  <w:style w:type="paragraph" w:styleId="1275" w:customStyle="1">
    <w:name w:val="_Style 42"/>
    <w:basedOn w:val="879"/>
    <w:next w:val="891"/>
    <w:uiPriority w:val="0"/>
    <w:qFormat/>
    <w:rPr>
      <w:rFonts w:ascii="楷体_GB2312" w:hAnsi="Times New Roman" w:eastAsia="楷体_GB2312" w:cs="宋体"/>
      <w:sz w:val="28"/>
      <w:szCs w:val="20"/>
      <w:lang w:val="zh-CN"/>
    </w:rPr>
  </w:style>
  <w:style w:type="paragraph" w:styleId="1276" w:customStyle="1">
    <w:name w:val="正文 New New New New New New New New New New New New New New"/>
    <w:uiPriority w:val="0"/>
    <w:qFormat/>
    <w:pPr>
      <w:jc w:val="both"/>
      <w:widowControl w:val="off"/>
    </w:pPr>
    <w:rPr>
      <w:rFonts w:hint="default" w:ascii="Calibri" w:hAnsi="Calibri" w:eastAsia="宋体" w:cs="Times New Roman"/>
      <w:sz w:val="21"/>
    </w:rPr>
  </w:style>
  <w:style w:type="paragraph" w:styleId="1277" w:customStyle="1">
    <w:name w:val="标题1，章节第一层"/>
    <w:basedOn w:val="1278"/>
    <w:next w:val="1278"/>
    <w:uiPriority w:val="0"/>
    <w:qFormat/>
    <w:pPr>
      <w:ind w:left="0"/>
      <w:spacing w:before="0"/>
      <w:tabs>
        <w:tab w:val="left" w:pos="693" w:leader="none"/>
      </w:tabs>
      <w:outlineLvl w:val="0"/>
    </w:pPr>
    <w:rPr>
      <w:color w:val="000000"/>
      <w:sz w:val="24"/>
      <w:szCs w:val="24"/>
    </w:rPr>
  </w:style>
  <w:style w:type="paragraph" w:styleId="1278" w:customStyle="1">
    <w:name w:val="正文格式"/>
    <w:basedOn w:val="879"/>
    <w:uiPriority w:val="0"/>
    <w:qFormat/>
    <w:pPr>
      <w:ind w:left="85" w:right="21" w:hanging="85"/>
      <w:jc w:val="left"/>
      <w:spacing w:before="25" w:line="360" w:lineRule="auto"/>
      <w:widowControl/>
    </w:pPr>
    <w:rPr>
      <w:rFonts w:ascii="宋体" w:hAnsi="Times New Roman" w:eastAsia="Calibri" w:cs="宋体"/>
      <w:bCs/>
      <w:sz w:val="20"/>
      <w:szCs w:val="21"/>
      <w:lang w:val="zh-CN"/>
    </w:rPr>
  </w:style>
  <w:style w:type="paragraph" w:styleId="1279" w:customStyle="1">
    <w:name w:val="二级目录"/>
    <w:next w:val="879"/>
    <w:uiPriority w:val="0"/>
    <w:qFormat/>
    <w:pPr>
      <w:numPr>
        <w:ilvl w:val="0"/>
        <w:numId w:val="1"/>
      </w:numPr>
      <w:ind w:left="0" w:firstLine="0"/>
      <w:tabs>
        <w:tab w:val="left" w:pos="360" w:leader="none"/>
        <w:tab w:val="left" w:pos="720" w:leader="none"/>
        <w:tab w:val="left" w:pos="2275" w:leader="none"/>
      </w:tabs>
      <w:outlineLvl w:val="1"/>
    </w:pPr>
    <w:rPr>
      <w:rFonts w:hint="default" w:ascii="Calibri" w:hAnsi="Calibri" w:eastAsia="宋体" w:cs="Times New Roman"/>
      <w:b/>
      <w:sz w:val="30"/>
      <w:szCs w:val="28"/>
    </w:rPr>
  </w:style>
  <w:style w:type="paragraph" w:styleId="1280" w:customStyle="1">
    <w:name w:val="Char Char Char Char Char Char Char"/>
    <w:basedOn w:val="879"/>
    <w:uiPriority w:val="0"/>
    <w:qFormat/>
    <w:pPr>
      <w:jc w:val="left"/>
    </w:pPr>
    <w:rPr>
      <w:rFonts w:ascii="Tahoma" w:hAnsi="Tahoma" w:eastAsia="Calibri" w:cs="宋体"/>
      <w:sz w:val="24"/>
      <w:szCs w:val="20"/>
      <w:lang w:val="zh-CN"/>
    </w:rPr>
  </w:style>
  <w:style w:type="paragraph" w:styleId="1281" w:customStyle="1">
    <w:name w:val="样式 段后: 0.5 行 左  0.75 字符"/>
    <w:basedOn w:val="879"/>
    <w:uiPriority w:val="0"/>
    <w:qFormat/>
    <w:pPr>
      <w:ind w:firstLine="200"/>
      <w:spacing w:line="360" w:lineRule="auto"/>
      <w:widowControl/>
    </w:pPr>
    <w:rPr>
      <w:rFonts w:ascii="Times New Roman" w:hAnsi="Times New Roman" w:eastAsia="Calibri" w:cs="Arial"/>
      <w:sz w:val="20"/>
      <w:szCs w:val="21"/>
      <w:lang w:val="zh-CN"/>
    </w:rPr>
  </w:style>
  <w:style w:type="paragraph" w:styleId="1282" w:customStyle="1">
    <w:name w:val="Char Char1 Char"/>
    <w:basedOn w:val="879"/>
    <w:uiPriority w:val="0"/>
    <w:qFormat/>
    <w:pPr>
      <w:jc w:val="left"/>
      <w:spacing w:after="160" w:line="240" w:lineRule="exact"/>
      <w:widowControl/>
    </w:pPr>
    <w:rPr>
      <w:rFonts w:ascii="Verdana" w:hAnsi="Verdana" w:eastAsia="Calibri" w:cs="宋体"/>
      <w:sz w:val="20"/>
      <w:szCs w:val="20"/>
      <w:lang w:val="zh-CN"/>
    </w:rPr>
  </w:style>
  <w:style w:type="paragraph" w:styleId="1283" w:customStyle="1">
    <w:name w:val="正文文本 21"/>
    <w:basedOn w:val="879"/>
    <w:uiPriority w:val="0"/>
    <w:qFormat/>
    <w:pPr>
      <w:ind w:left="720" w:hanging="720"/>
      <w:widowControl/>
    </w:pPr>
    <w:rPr>
      <w:rFonts w:ascii="Times New Roman" w:hAnsi="Times New Roman" w:eastAsia="Calibri" w:cs="宋体"/>
      <w:sz w:val="24"/>
      <w:szCs w:val="20"/>
      <w:lang w:val="en-GB" w:eastAsia="en-GB"/>
    </w:rPr>
  </w:style>
  <w:style w:type="paragraph" w:styleId="1284" w:customStyle="1">
    <w:name w:val="无间隔1"/>
    <w:uiPriority w:val="0"/>
    <w:qFormat/>
    <w:pPr>
      <w:jc w:val="both"/>
      <w:widowControl w:val="off"/>
    </w:pPr>
    <w:rPr>
      <w:rFonts w:hint="default" w:ascii="Calibri" w:hAnsi="Calibri" w:eastAsia="微软雅黑" w:cs="Times New Roman"/>
      <w:sz w:val="24"/>
      <w:szCs w:val="22"/>
    </w:rPr>
  </w:style>
  <w:style w:type="paragraph" w:styleId="1285" w:customStyle="1">
    <w:name w:val="默认段落字体 Para Char"/>
    <w:basedOn w:val="879"/>
    <w:uiPriority w:val="0"/>
    <w:qFormat/>
    <w:rPr>
      <w:rFonts w:ascii="Times New Roman" w:hAnsi="Times New Roman" w:eastAsia="Calibri" w:cs="宋体"/>
      <w:sz w:val="24"/>
      <w:szCs w:val="20"/>
      <w:lang w:val="zh-CN"/>
    </w:rPr>
  </w:style>
  <w:style w:type="paragraph" w:styleId="1286" w:customStyle="1">
    <w:name w:val="正文1"/>
    <w:basedOn w:val="879"/>
    <w:uiPriority w:val="0"/>
    <w:qFormat/>
    <w:rPr>
      <w:rFonts w:ascii="Times New Roman" w:hAnsi="Times New Roman" w:eastAsia="Calibri" w:cs="宋体"/>
      <w:sz w:val="20"/>
      <w:szCs w:val="20"/>
      <w:lang w:val="zh-CN"/>
    </w:rPr>
  </w:style>
  <w:style w:type="paragraph" w:styleId="1287" w:customStyle="1">
    <w:name w:val="xl48"/>
    <w:basedOn w:val="87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Calibri" w:cs="宋体"/>
      <w:b/>
      <w:bCs/>
      <w:sz w:val="20"/>
      <w:szCs w:val="20"/>
      <w:lang w:val="zh-CN"/>
    </w:rPr>
  </w:style>
  <w:style w:type="paragraph" w:styleId="1288" w:customStyle="1">
    <w:name w:val="标题6"/>
    <w:basedOn w:val="884"/>
    <w:uiPriority w:val="0"/>
    <w:qFormat/>
    <w:pPr>
      <w:numPr>
        <w:ilvl w:val="0"/>
        <w:numId w:val="3"/>
      </w:numPr>
      <w:spacing w:before="50" w:after="50" w:line="240" w:lineRule="auto"/>
      <w:tabs>
        <w:tab w:val="left" w:pos="0" w:leader="none"/>
        <w:tab w:val="left" w:pos="420" w:leader="none"/>
      </w:tabs>
    </w:pPr>
    <w:rPr>
      <w:rFonts w:eastAsia="黑体"/>
      <w:b w:val="0"/>
      <w:sz w:val="24"/>
      <w:lang w:val="en-US"/>
    </w:rPr>
  </w:style>
  <w:style w:type="paragraph" w:styleId="1289" w:customStyle="1">
    <w:name w:val="font8"/>
    <w:basedOn w:val="879"/>
    <w:uiPriority w:val="0"/>
    <w:qFormat/>
    <w:pPr>
      <w:jc w:val="left"/>
      <w:spacing w:before="100" w:beforeAutospacing="1" w:after="100" w:afterAutospacing="1"/>
      <w:widowControl/>
    </w:pPr>
    <w:rPr>
      <w:rFonts w:ascii="宋体" w:hAnsi="Times New Roman" w:eastAsia="Calibri" w:cs="宋体"/>
      <w:b/>
      <w:bCs/>
      <w:i/>
      <w:iCs/>
      <w:sz w:val="20"/>
      <w:szCs w:val="20"/>
      <w:lang w:val="zh-CN"/>
    </w:rPr>
  </w:style>
  <w:style w:type="paragraph" w:styleId="1290" w:customStyle="1">
    <w:name w:val="font6"/>
    <w:basedOn w:val="879"/>
    <w:uiPriority w:val="0"/>
    <w:qFormat/>
    <w:pPr>
      <w:jc w:val="left"/>
      <w:spacing w:before="100" w:beforeAutospacing="1" w:after="100" w:afterAutospacing="1"/>
      <w:widowControl/>
    </w:pPr>
    <w:rPr>
      <w:rFonts w:ascii="宋体" w:hAnsi="Times New Roman" w:eastAsia="Calibri" w:cs="宋体"/>
      <w:b/>
      <w:bCs/>
      <w:sz w:val="20"/>
      <w:szCs w:val="20"/>
      <w:lang w:val="zh-CN"/>
    </w:rPr>
  </w:style>
  <w:style w:type="paragraph" w:styleId="1291" w:customStyle="1">
    <w:name w:val="表头_5"/>
    <w:basedOn w:val="879"/>
    <w:uiPriority w:val="0"/>
    <w:qFormat/>
    <w:pPr>
      <w:spacing w:line="360" w:lineRule="auto"/>
    </w:pPr>
    <w:rPr>
      <w:rFonts w:ascii="Times New Roman" w:hAnsi="Times New Roman" w:eastAsia="Calibri" w:cs="宋体"/>
      <w:b/>
      <w:bCs/>
      <w:sz w:val="28"/>
      <w:szCs w:val="21"/>
      <w:lang w:val="zh-CN"/>
    </w:rPr>
  </w:style>
  <w:style w:type="paragraph" w:styleId="1292" w:customStyle="1">
    <w:name w:val="xl42"/>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293" w:customStyle="1">
    <w:name w:val="符号与编号"/>
    <w:basedOn w:val="879"/>
    <w:uiPriority w:val="0"/>
    <w:qFormat/>
    <w:pPr>
      <w:ind w:left="900" w:hanging="420"/>
      <w:spacing w:after="50" w:line="400" w:lineRule="atLeast"/>
      <w:tabs>
        <w:tab w:val="left" w:pos="900" w:leader="none"/>
      </w:tabs>
    </w:pPr>
    <w:rPr>
      <w:rFonts w:ascii="Times New Roman" w:hAnsi="Times New Roman" w:eastAsia="Calibri" w:cs="宋体"/>
      <w:sz w:val="24"/>
      <w:szCs w:val="20"/>
      <w:lang w:val="zh-CN"/>
    </w:rPr>
  </w:style>
  <w:style w:type="paragraph" w:styleId="1294" w:customStyle="1">
    <w:name w:val="Char Char Char Char Char Char Char Char Char Char Char Char Char Char"/>
    <w:basedOn w:val="879"/>
    <w:uiPriority w:val="0"/>
    <w:qFormat/>
    <w:rPr>
      <w:rFonts w:ascii="Tahoma" w:hAnsi="Tahoma" w:eastAsia="Calibri" w:cs="Tahoma"/>
      <w:sz w:val="24"/>
      <w:szCs w:val="20"/>
      <w:lang w:val="zh-CN"/>
    </w:rPr>
  </w:style>
  <w:style w:type="paragraph" w:styleId="1295" w:customStyle="1">
    <w:name w:val="样式2"/>
    <w:basedOn w:val="879"/>
    <w:uiPriority w:val="0"/>
    <w:qFormat/>
    <w:pPr>
      <w:ind w:left="200"/>
      <w:spacing w:line="360" w:lineRule="auto"/>
    </w:pPr>
    <w:rPr>
      <w:rFonts w:ascii="宋体" w:hAnsi="Times New Roman" w:eastAsia="Calibri" w:cs="宋体"/>
      <w:b/>
      <w:sz w:val="24"/>
      <w:szCs w:val="20"/>
      <w:lang w:val="zh-CN"/>
    </w:rPr>
  </w:style>
  <w:style w:type="paragraph" w:styleId="1296" w:customStyle="1">
    <w:name w:val="Char Char Char Char Char"/>
    <w:basedOn w:val="879"/>
    <w:uiPriority w:val="0"/>
    <w:qFormat/>
    <w:rPr>
      <w:rFonts w:ascii="Tahoma" w:hAnsi="Tahoma" w:eastAsia="Calibri" w:cs="宋体"/>
      <w:sz w:val="24"/>
      <w:szCs w:val="20"/>
      <w:lang w:val="zh-CN"/>
    </w:rPr>
  </w:style>
  <w:style w:type="paragraph" w:styleId="1297" w:customStyle="1">
    <w:name w:val="段 Char"/>
    <w:uiPriority w:val="0"/>
    <w:qFormat/>
    <w:pPr>
      <w:ind w:firstLine="200"/>
      <w:jc w:val="both"/>
    </w:pPr>
    <w:rPr>
      <w:rFonts w:hint="default" w:ascii="宋体" w:hAnsi="Times New Roman" w:eastAsia="宋体" w:cs="Times New Roman"/>
      <w:sz w:val="21"/>
    </w:rPr>
  </w:style>
  <w:style w:type="paragraph" w:styleId="1298" w:customStyle="1">
    <w:name w:val="正文lzq"/>
    <w:basedOn w:val="879"/>
    <w:uiPriority w:val="0"/>
    <w:qFormat/>
    <w:pPr>
      <w:ind w:firstLine="480"/>
      <w:spacing w:line="360" w:lineRule="auto"/>
    </w:pPr>
    <w:rPr>
      <w:rFonts w:ascii="Times New Roman" w:hAnsi="Times New Roman" w:eastAsia="Calibri" w:cs="宋体"/>
      <w:sz w:val="24"/>
      <w:szCs w:val="20"/>
      <w:lang w:val="zh-CN"/>
    </w:rPr>
  </w:style>
  <w:style w:type="paragraph" w:styleId="1299" w:customStyle="1">
    <w:name w:val="Char Char Char Char Char Char Char Char Char Char Char Char Char Char Char Char Char Char Char Char Char Char Char"/>
    <w:basedOn w:val="879"/>
    <w:uiPriority w:val="0"/>
    <w:qFormat/>
    <w:rPr>
      <w:rFonts w:ascii="Tahoma" w:hAnsi="Tahoma" w:eastAsia="Calibri" w:cs="Tahoma"/>
      <w:sz w:val="24"/>
      <w:szCs w:val="20"/>
      <w:lang w:val="zh-CN"/>
    </w:rPr>
  </w:style>
  <w:style w:type="paragraph" w:styleId="1300" w:customStyle="1">
    <w:name w:val="表格内容"/>
    <w:basedOn w:val="879"/>
    <w:uiPriority w:val="0"/>
    <w:qFormat/>
    <w:pPr>
      <w:jc w:val="center"/>
      <w:spacing w:before="60" w:line="300" w:lineRule="auto"/>
      <w:widowControl/>
    </w:pPr>
    <w:rPr>
      <w:rFonts w:ascii="Times New Roman" w:hAnsi="Times New Roman" w:eastAsia="Calibri" w:cs="宋体"/>
      <w:sz w:val="20"/>
      <w:szCs w:val="20"/>
      <w:lang w:val="zh-CN"/>
    </w:rPr>
  </w:style>
  <w:style w:type="paragraph" w:styleId="1301" w:customStyle="1">
    <w:name w:val="Char Char Char Char Char Char Char Char Char Char Char Char Char"/>
    <w:basedOn w:val="879"/>
    <w:uiPriority w:val="0"/>
    <w:qFormat/>
    <w:pPr>
      <w:jc w:val="left"/>
      <w:spacing w:after="160" w:line="240" w:lineRule="exact"/>
      <w:widowControl/>
    </w:pPr>
    <w:rPr>
      <w:rFonts w:ascii="Times New Roman" w:hAnsi="Times New Roman" w:eastAsia="Calibri" w:cs="宋体"/>
      <w:sz w:val="20"/>
      <w:szCs w:val="20"/>
      <w:lang w:val="zh-CN"/>
    </w:rPr>
  </w:style>
  <w:style w:type="paragraph" w:styleId="1302" w:customStyle="1">
    <w:name w:val="Char1 Char Char Char"/>
    <w:basedOn w:val="879"/>
    <w:uiPriority w:val="0"/>
    <w:qFormat/>
    <w:rPr>
      <w:rFonts w:ascii="Tahoma" w:hAnsi="Tahoma" w:eastAsia="Calibri" w:cs="宋体"/>
      <w:sz w:val="24"/>
      <w:szCs w:val="20"/>
      <w:lang w:val="zh-CN"/>
    </w:rPr>
  </w:style>
  <w:style w:type="paragraph" w:styleId="1303" w:customStyle="1">
    <w:name w:val="列表内容"/>
    <w:basedOn w:val="879"/>
    <w:next w:val="879"/>
    <w:uiPriority w:val="0"/>
    <w:qFormat/>
    <w:pPr>
      <w:ind w:left="840" w:hanging="420"/>
      <w:jc w:val="left"/>
      <w:widowControl/>
      <w:tabs>
        <w:tab w:val="left" w:pos="840" w:leader="none"/>
      </w:tabs>
    </w:pPr>
    <w:rPr>
      <w:rFonts w:ascii="Times New Roman" w:hAnsi="Times New Roman" w:eastAsia="Calibri" w:cs="宋体"/>
      <w:sz w:val="18"/>
      <w:szCs w:val="20"/>
      <w:lang w:val="zh-CN"/>
    </w:rPr>
  </w:style>
  <w:style w:type="paragraph" w:styleId="1304" w:customStyle="1">
    <w:name w:val="Pa6"/>
    <w:basedOn w:val="879"/>
    <w:next w:val="879"/>
    <w:uiPriority w:val="0"/>
    <w:qFormat/>
    <w:pPr>
      <w:jc w:val="left"/>
      <w:spacing w:line="241" w:lineRule="atLeast"/>
    </w:pPr>
    <w:rPr>
      <w:rFonts w:ascii="汉仪大黑简" w:hAnsi="汉仪大黑简" w:eastAsia="汉仪大黑简" w:cs="宋体"/>
      <w:sz w:val="24"/>
      <w:szCs w:val="20"/>
      <w:lang w:val="zh-CN"/>
    </w:rPr>
  </w:style>
  <w:style w:type="paragraph" w:styleId="1305" w:customStyle="1">
    <w:name w:val="xl62"/>
    <w:basedOn w:val="87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306" w:customStyle="1">
    <w:name w:val="xl26"/>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307" w:customStyle="1">
    <w:name w:val="马刚标题1"/>
    <w:basedOn w:val="880"/>
    <w:next w:val="879"/>
    <w:uiPriority w:val="0"/>
    <w:qFormat/>
    <w:pPr>
      <w:ind w:left="567" w:hanging="567"/>
      <w:jc w:val="left"/>
      <w:spacing w:before="400" w:after="120" w:line="576" w:lineRule="auto"/>
      <w:tabs>
        <w:tab w:val="left" w:pos="315" w:leader="none"/>
        <w:tab w:val="left" w:pos="567" w:leader="none"/>
      </w:tabs>
    </w:pPr>
    <w:rPr>
      <w:rFonts w:ascii="Times New Roman" w:hAnsi="Times New Roman" w:eastAsia="黑体" w:cs="宋体"/>
      <w:b w:val="0"/>
      <w:bCs w:val="0"/>
      <w:sz w:val="32"/>
      <w:szCs w:val="20"/>
      <w:lang w:val="zh-CN"/>
    </w:rPr>
  </w:style>
  <w:style w:type="paragraph" w:styleId="1308" w:customStyle="1">
    <w:name w:val="Char Char Char Char"/>
    <w:basedOn w:val="900"/>
    <w:uiPriority w:val="0"/>
    <w:qFormat/>
    <w:pPr>
      <w:spacing w:line="360" w:lineRule="auto"/>
    </w:pPr>
    <w:rPr>
      <w:rFonts w:ascii="Tahoma" w:hAnsi="Tahoma"/>
      <w:sz w:val="24"/>
      <w:lang w:val="en-US"/>
    </w:rPr>
  </w:style>
  <w:style w:type="paragraph" w:styleId="1309" w:customStyle="1">
    <w:name w:val="xl52"/>
    <w:basedOn w:val="879"/>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Calibri" w:cs="宋体"/>
      <w:b/>
      <w:bCs/>
      <w:i/>
      <w:iCs/>
      <w:sz w:val="20"/>
      <w:szCs w:val="20"/>
      <w:lang w:val="zh-CN"/>
    </w:rPr>
  </w:style>
  <w:style w:type="paragraph" w:styleId="1310" w:customStyle="1">
    <w:name w:val="样式 样式 首行缩进:  0.74 厘米 行距: 1.5 倍行距 + 段后: 0.5 行"/>
    <w:basedOn w:val="879"/>
    <w:uiPriority w:val="0"/>
    <w:qFormat/>
    <w:pPr>
      <w:ind w:firstLine="420"/>
      <w:spacing w:line="360" w:lineRule="auto"/>
    </w:pPr>
    <w:rPr>
      <w:rFonts w:ascii="楷体_GB2312" w:hAnsi="Times New Roman" w:eastAsia="楷体_GB2312" w:cs="宋体"/>
      <w:bCs/>
      <w:sz w:val="24"/>
      <w:szCs w:val="20"/>
      <w:lang w:val="zh-CN"/>
    </w:rPr>
  </w:style>
  <w:style w:type="paragraph" w:styleId="1311" w:customStyle="1">
    <w:name w:val="Char Char Char Char Char Char Char Char Char Char Char Char Char Char1"/>
    <w:basedOn w:val="879"/>
    <w:uiPriority w:val="0"/>
    <w:qFormat/>
    <w:rPr>
      <w:rFonts w:ascii="Tahoma" w:hAnsi="Tahoma" w:eastAsia="Calibri" w:cs="宋体"/>
      <w:sz w:val="24"/>
      <w:szCs w:val="20"/>
      <w:lang w:val="zh-CN"/>
    </w:rPr>
  </w:style>
  <w:style w:type="paragraph" w:styleId="1312" w:customStyle="1">
    <w:name w:val="表蕊"/>
    <w:basedOn w:val="879"/>
    <w:uiPriority w:val="0"/>
    <w:qFormat/>
    <w:pPr>
      <w:jc w:val="left"/>
      <w:spacing w:line="320" w:lineRule="atLeast"/>
    </w:pPr>
    <w:rPr>
      <w:rFonts w:ascii="Times New Roman" w:hAnsi="Times New Roman" w:eastAsia="楷体_GB2312" w:cs="宋体"/>
      <w:spacing w:val="-10"/>
      <w:sz w:val="20"/>
      <w:szCs w:val="20"/>
      <w:lang w:val="zh-CN"/>
    </w:rPr>
  </w:style>
  <w:style w:type="paragraph" w:styleId="1313" w:customStyle="1">
    <w:name w:val="默认段落字体 Para Char Char Char Char Char Char Char Char Char1 Char Char Char Char Char Char Char"/>
    <w:basedOn w:val="900"/>
    <w:uiPriority w:val="0"/>
    <w:qFormat/>
    <w:rPr>
      <w:lang w:val="en-US"/>
    </w:rPr>
  </w:style>
  <w:style w:type="paragraph" w:styleId="1314" w:customStyle="1">
    <w:name w:val="样式1"/>
    <w:basedOn w:val="879"/>
    <w:uiPriority w:val="0"/>
    <w:qFormat/>
    <w:pPr>
      <w:ind w:firstLine="200"/>
      <w:spacing w:line="300" w:lineRule="auto"/>
    </w:pPr>
    <w:rPr>
      <w:rFonts w:ascii="Times New Roman" w:hAnsi="Times New Roman" w:eastAsia="Calibri" w:cs="宋体"/>
      <w:sz w:val="24"/>
      <w:szCs w:val="20"/>
      <w:lang w:val="zh-CN"/>
    </w:rPr>
  </w:style>
  <w:style w:type="paragraph" w:styleId="1315" w:customStyle="1">
    <w:name w:val="Normal1"/>
    <w:basedOn w:val="879"/>
    <w:uiPriority w:val="0"/>
    <w:qFormat/>
    <w:rPr>
      <w:rFonts w:ascii="Times New Roman" w:hAnsi="Times New Roman" w:eastAsia="Calibri" w:cs="宋体"/>
      <w:sz w:val="20"/>
      <w:szCs w:val="20"/>
      <w:lang w:val="zh-CN"/>
    </w:rPr>
  </w:style>
  <w:style w:type="paragraph" w:styleId="1316" w:customStyle="1">
    <w:name w:val="普通文字"/>
    <w:basedOn w:val="879"/>
    <w:next w:val="879"/>
    <w:uiPriority w:val="0"/>
    <w:qFormat/>
    <w:rPr>
      <w:rFonts w:ascii="宋体" w:hAnsi="Times New Roman" w:eastAsia="Calibri" w:cs="宋体"/>
      <w:sz w:val="24"/>
      <w:szCs w:val="20"/>
      <w:lang w:val="zh-CN"/>
    </w:rPr>
  </w:style>
  <w:style w:type="paragraph" w:styleId="1317" w:customStyle="1">
    <w:name w:val="xl28"/>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318" w:customStyle="1">
    <w:name w:val="retrait3"/>
    <w:basedOn w:val="879"/>
    <w:uiPriority w:val="0"/>
    <w:qFormat/>
    <w:pPr>
      <w:ind w:left="851"/>
      <w:jc w:val="left"/>
      <w:spacing w:before="20" w:after="20"/>
      <w:widowControl/>
    </w:pPr>
    <w:rPr>
      <w:rFonts w:ascii="Arial" w:hAnsi="Arial" w:eastAsia="Calibri" w:cs="宋体"/>
      <w:sz w:val="24"/>
      <w:szCs w:val="20"/>
      <w:lang w:val="en-GB" w:eastAsia="en-GB"/>
    </w:rPr>
  </w:style>
  <w:style w:type="paragraph" w:styleId="1319" w:customStyle="1">
    <w:name w:val="Pa5"/>
    <w:basedOn w:val="879"/>
    <w:next w:val="879"/>
    <w:uiPriority w:val="0"/>
    <w:qFormat/>
    <w:pPr>
      <w:jc w:val="left"/>
      <w:spacing w:line="241" w:lineRule="atLeast"/>
    </w:pPr>
    <w:rPr>
      <w:rFonts w:ascii="汉仪大黑简" w:hAnsi="汉仪大黑简" w:eastAsia="汉仪大黑简" w:cs="宋体"/>
      <w:sz w:val="24"/>
      <w:szCs w:val="20"/>
      <w:lang w:val="zh-CN"/>
    </w:rPr>
  </w:style>
  <w:style w:type="paragraph" w:styleId="1320" w:customStyle="1">
    <w:name w:val="Char Char Char Char Char Char Char Char Char"/>
    <w:basedOn w:val="879"/>
    <w:uiPriority w:val="0"/>
    <w:qFormat/>
    <w:pPr>
      <w:ind w:left="200" w:hanging="200"/>
      <w:tabs>
        <w:tab w:val="left" w:pos="360" w:leader="none"/>
      </w:tabs>
    </w:pPr>
    <w:rPr>
      <w:rFonts w:ascii="Times New Roman" w:hAnsi="Times New Roman" w:eastAsia="Calibri" w:cs="宋体"/>
      <w:sz w:val="24"/>
      <w:szCs w:val="20"/>
      <w:lang w:val="zh-CN"/>
    </w:rPr>
  </w:style>
  <w:style w:type="paragraph" w:styleId="1321" w:customStyle="1">
    <w:name w:val="Char Char Char Char Char Char Char Char Char Char Char Char Char1"/>
    <w:basedOn w:val="900"/>
    <w:uiPriority w:val="0"/>
    <w:qFormat/>
    <w:rPr>
      <w:rFonts w:ascii="Tahoma" w:hAnsi="Tahoma"/>
      <w:sz w:val="24"/>
      <w:lang w:val="en-US"/>
    </w:rPr>
  </w:style>
  <w:style w:type="paragraph" w:styleId="1322" w:customStyle="1">
    <w:name w:val="Item List Char Char"/>
    <w:uiPriority w:val="0"/>
    <w:qFormat/>
    <w:pPr>
      <w:jc w:val="both"/>
      <w:spacing w:line="288" w:lineRule="auto"/>
    </w:pPr>
    <w:rPr>
      <w:rFonts w:hint="default" w:ascii="Arial" w:hAnsi="Arial" w:eastAsia="宋体" w:cs="Arial"/>
      <w:b/>
      <w:bCs/>
      <w:sz w:val="21"/>
      <w:szCs w:val="28"/>
    </w:rPr>
  </w:style>
  <w:style w:type="paragraph" w:styleId="1323" w:customStyle="1">
    <w:name w:val="xl36"/>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324" w:customStyle="1">
    <w:name w:val="a"/>
    <w:basedOn w:val="879"/>
    <w:uiPriority w:val="0"/>
    <w:qFormat/>
    <w:pPr>
      <w:spacing w:before="100" w:beforeAutospacing="1" w:after="100" w:afterAutospacing="1"/>
      <w:widowControl/>
    </w:pPr>
    <w:rPr>
      <w:rFonts w:ascii="宋体" w:hAnsi="Times New Roman" w:eastAsia="Calibri" w:cs="宋体"/>
      <w:sz w:val="24"/>
      <w:szCs w:val="20"/>
      <w:lang w:val="zh-CN"/>
    </w:rPr>
  </w:style>
  <w:style w:type="paragraph" w:styleId="1325" w:customStyle="1">
    <w:name w:val="xl50"/>
    <w:basedOn w:val="8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326" w:customStyle="1">
    <w:name w:val="样式 加点正文 + 段前: 0.5 行 段后: 0.5 行1"/>
    <w:basedOn w:val="879"/>
    <w:uiPriority w:val="0"/>
    <w:qFormat/>
    <w:pPr>
      <w:ind w:left="1268"/>
      <w:spacing w:before="50" w:after="50" w:line="300" w:lineRule="auto"/>
      <w:tabs>
        <w:tab w:val="left" w:pos="0" w:leader="none"/>
        <w:tab w:val="left" w:pos="420" w:leader="none"/>
        <w:tab w:val="left" w:pos="1268" w:leader="none"/>
      </w:tabs>
    </w:pPr>
    <w:rPr>
      <w:rFonts w:ascii="Times New Roman" w:hAnsi="Times New Roman" w:eastAsia="Calibri" w:cs="宋体"/>
      <w:sz w:val="24"/>
      <w:szCs w:val="20"/>
      <w:lang w:val="zh-CN"/>
    </w:rPr>
  </w:style>
  <w:style w:type="paragraph" w:styleId="1327" w:customStyle="1">
    <w:name w:val="正文 + Arial Char"/>
    <w:basedOn w:val="879"/>
    <w:uiPriority w:val="0"/>
    <w:qFormat/>
    <w:pPr>
      <w:ind w:left="315" w:hanging="315"/>
      <w:spacing w:line="300" w:lineRule="auto"/>
      <w:widowControl/>
      <w:tabs>
        <w:tab w:val="left" w:pos="315" w:leader="none"/>
      </w:tabs>
    </w:pPr>
    <w:rPr>
      <w:rFonts w:ascii="Arial" w:hAnsi="Arial" w:eastAsia="Calibri" w:cs="Arial"/>
      <w:b/>
      <w:color w:val="000000"/>
      <w:sz w:val="20"/>
      <w:szCs w:val="20"/>
      <w:lang w:val="zh-CN"/>
    </w:rPr>
  </w:style>
  <w:style w:type="paragraph" w:styleId="1328" w:customStyle="1">
    <w:name w:val="xl29"/>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329" w:customStyle="1">
    <w:name w:val="文档正文"/>
    <w:basedOn w:val="879"/>
    <w:uiPriority w:val="0"/>
    <w:qFormat/>
    <w:pPr>
      <w:spacing w:line="360" w:lineRule="auto"/>
    </w:pPr>
    <w:rPr>
      <w:rFonts w:ascii="宋体" w:hAnsi="Times New Roman" w:eastAsia="Calibri" w:cs="宋体"/>
      <w:b/>
      <w:bCs/>
      <w:sz w:val="20"/>
      <w:szCs w:val="20"/>
      <w:lang w:val="zh-CN"/>
    </w:rPr>
  </w:style>
  <w:style w:type="paragraph" w:styleId="1330" w:customStyle="1">
    <w:name w:val="丁华标题3"/>
    <w:basedOn w:val="1271"/>
    <w:next w:val="1268"/>
    <w:uiPriority w:val="0"/>
    <w:qFormat/>
    <w:pPr>
      <w:numPr>
        <w:ilvl w:val="2"/>
      </w:numPr>
      <w:ind w:left="1980" w:hanging="420"/>
      <w:spacing w:after="0"/>
      <w:tabs>
        <w:tab w:val="left" w:pos="720" w:leader="none"/>
        <w:tab w:val="left" w:pos="1470" w:leader="none"/>
        <w:tab w:val="left" w:pos="1980" w:leader="none"/>
      </w:tabs>
      <w:outlineLvl w:val="2"/>
    </w:pPr>
    <w:rPr>
      <w:sz w:val="24"/>
    </w:rPr>
  </w:style>
  <w:style w:type="paragraph" w:styleId="1331" w:customStyle="1">
    <w:name w:val="Char Char1 Char Char Char Char Char Char Char"/>
    <w:basedOn w:val="879"/>
    <w:uiPriority w:val="0"/>
    <w:qFormat/>
    <w:rPr>
      <w:rFonts w:ascii="Tahoma" w:hAnsi="Tahoma" w:eastAsia="Calibri" w:cs="Tahoma"/>
      <w:sz w:val="24"/>
      <w:szCs w:val="20"/>
      <w:lang w:val="zh-CN"/>
    </w:rPr>
  </w:style>
  <w:style w:type="paragraph" w:styleId="1332" w:customStyle="1">
    <w:name w:val="华宇段落1 Char"/>
    <w:basedOn w:val="879"/>
    <w:uiPriority w:val="0"/>
    <w:qFormat/>
    <w:pPr>
      <w:ind w:firstLine="200"/>
      <w:spacing w:line="360" w:lineRule="auto"/>
    </w:pPr>
    <w:rPr>
      <w:rFonts w:ascii="Times New Roman" w:hAnsi="Times New Roman" w:eastAsia="Calibri" w:cs="宋体"/>
      <w:bCs/>
      <w:sz w:val="24"/>
      <w:szCs w:val="20"/>
      <w:lang w:val="zh-CN"/>
    </w:rPr>
  </w:style>
  <w:style w:type="paragraph" w:styleId="1333" w:customStyle="1">
    <w:name w:val="xl41"/>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334" w:customStyle="1">
    <w:name w:val="1"/>
    <w:basedOn w:val="879"/>
    <w:next w:val="933"/>
    <w:uiPriority w:val="0"/>
    <w:qFormat/>
    <w:pPr>
      <w:spacing w:line="360" w:lineRule="auto"/>
    </w:pPr>
    <w:rPr>
      <w:rFonts w:ascii="Times New Roman" w:hAnsi="Times New Roman" w:eastAsia="仿宋_GB2312" w:cs="宋体"/>
      <w:sz w:val="24"/>
      <w:szCs w:val="20"/>
      <w:lang w:val="zh-CN"/>
    </w:rPr>
  </w:style>
  <w:style w:type="paragraph" w:styleId="1335" w:customStyle="1">
    <w:name w:val="p0"/>
    <w:basedOn w:val="879"/>
    <w:uiPriority w:val="0"/>
    <w:qFormat/>
    <w:pPr>
      <w:jc w:val="left"/>
      <w:spacing w:before="100" w:beforeAutospacing="1" w:after="100" w:afterAutospacing="1"/>
      <w:widowControl/>
    </w:pPr>
    <w:rPr>
      <w:rFonts w:ascii="宋体" w:hAnsi="Times New Roman" w:eastAsia="Calibri" w:cs="宋体"/>
      <w:sz w:val="24"/>
      <w:szCs w:val="20"/>
      <w:lang w:val="zh-CN"/>
    </w:rPr>
  </w:style>
  <w:style w:type="paragraph" w:styleId="1336" w:customStyle="1">
    <w:name w:val="正文 居中"/>
    <w:basedOn w:val="879"/>
    <w:uiPriority w:val="0"/>
    <w:qFormat/>
    <w:pPr>
      <w:jc w:val="center"/>
      <w:spacing w:line="360" w:lineRule="auto"/>
    </w:pPr>
    <w:rPr>
      <w:rFonts w:ascii="Times New Roman" w:hAnsi="Times New Roman" w:eastAsia="Calibri" w:cs="宋体"/>
      <w:sz w:val="24"/>
      <w:szCs w:val="20"/>
      <w:lang w:val="zh-CN"/>
    </w:rPr>
  </w:style>
  <w:style w:type="paragraph" w:styleId="1337" w:customStyle="1">
    <w:name w:val="Table Text Char"/>
    <w:uiPriority w:val="0"/>
    <w:qFormat/>
    <w:pPr>
      <w:spacing w:before="80" w:after="80"/>
    </w:pPr>
    <w:rPr>
      <w:rFonts w:hint="default" w:ascii="Arial" w:hAnsi="Arial" w:eastAsia="宋体" w:cs="Arial"/>
      <w:sz w:val="18"/>
      <w:szCs w:val="28"/>
    </w:rPr>
  </w:style>
  <w:style w:type="paragraph" w:styleId="1338" w:customStyle="1">
    <w:name w:val="xl27"/>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339" w:customStyle="1">
    <w:name w:val="标题3"/>
    <w:basedOn w:val="882"/>
    <w:uiPriority w:val="0"/>
    <w:qFormat/>
    <w:pPr>
      <w:numPr>
        <w:ilvl w:val="0"/>
        <w:numId w:val="0"/>
      </w:numPr>
      <w:keepLines w:val="0"/>
      <w:keepNext w:val="0"/>
      <w:spacing w:before="0" w:after="0" w:line="360" w:lineRule="auto"/>
      <w:shd w:val="clear" w:color="auto" w:fill="ffffff"/>
      <w:tabs>
        <w:tab w:val="clear" w:pos="720" w:leader="none"/>
        <w:tab w:val="clear" w:pos="2563" w:leader="none"/>
      </w:tabs>
    </w:pPr>
    <w:rPr>
      <w:rFonts w:eastAsia="仿宋_GB2312"/>
      <w:b w:val="0"/>
      <w:bCs/>
      <w:color w:val="auto"/>
      <w:sz w:val="30"/>
      <w:szCs w:val="32"/>
    </w:rPr>
  </w:style>
  <w:style w:type="paragraph" w:styleId="1340" w:customStyle="1">
    <w:name w:val="段落"/>
    <w:basedOn w:val="879"/>
    <w:uiPriority w:val="0"/>
    <w:qFormat/>
    <w:pPr>
      <w:ind w:firstLine="480"/>
      <w:spacing w:line="460" w:lineRule="exact"/>
    </w:pPr>
    <w:rPr>
      <w:rFonts w:ascii="Times New Roman" w:hAnsi="Times New Roman" w:eastAsia="Calibri" w:cs="宋体"/>
      <w:sz w:val="24"/>
      <w:szCs w:val="20"/>
      <w:lang w:val="zh-CN"/>
    </w:rPr>
  </w:style>
  <w:style w:type="paragraph" w:styleId="1341" w:customStyle="1">
    <w:name w:val="xl53"/>
    <w:basedOn w:val="87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342" w:customStyle="1">
    <w:name w:val="符号与编号 Char"/>
    <w:basedOn w:val="879"/>
    <w:uiPriority w:val="0"/>
    <w:qFormat/>
    <w:pPr>
      <w:ind w:left="720"/>
      <w:spacing w:after="50" w:line="400" w:lineRule="atLeast"/>
      <w:tabs>
        <w:tab w:val="left" w:pos="720" w:leader="none"/>
      </w:tabs>
    </w:pPr>
    <w:rPr>
      <w:rFonts w:ascii="Times New Roman" w:hAnsi="Times New Roman" w:eastAsia="Calibri" w:cs="宋体"/>
      <w:sz w:val="24"/>
      <w:szCs w:val="20"/>
      <w:lang w:val="zh-CN"/>
    </w:rPr>
  </w:style>
  <w:style w:type="paragraph" w:styleId="1343" w:customStyle="1">
    <w:name w:val="正文表标题"/>
    <w:next w:val="1344"/>
    <w:uiPriority w:val="0"/>
    <w:qFormat/>
    <w:pPr>
      <w:ind w:left="900" w:hanging="420"/>
      <w:jc w:val="center"/>
      <w:tabs>
        <w:tab w:val="left" w:pos="900" w:leader="none"/>
      </w:tabs>
    </w:pPr>
    <w:rPr>
      <w:rFonts w:hint="default" w:ascii="黑体" w:hAnsi="Times New Roman" w:eastAsia="黑体" w:cs="Times New Roman"/>
      <w:sz w:val="21"/>
    </w:rPr>
  </w:style>
  <w:style w:type="paragraph" w:styleId="1344" w:customStyle="1">
    <w:name w:val="段"/>
    <w:uiPriority w:val="0"/>
    <w:qFormat/>
    <w:pPr>
      <w:ind w:firstLine="200"/>
      <w:jc w:val="both"/>
    </w:pPr>
    <w:rPr>
      <w:rFonts w:hint="default" w:ascii="宋体" w:hAnsi="Times New Roman" w:eastAsia="宋体" w:cs="Times New Roman"/>
      <w:sz w:val="21"/>
    </w:rPr>
  </w:style>
  <w:style w:type="paragraph" w:styleId="1345" w:customStyle="1">
    <w:name w:val="a0"/>
    <w:basedOn w:val="879"/>
    <w:uiPriority w:val="0"/>
    <w:qFormat/>
    <w:pPr>
      <w:spacing w:before="100" w:beforeAutospacing="1" w:after="100" w:afterAutospacing="1"/>
      <w:widowControl/>
    </w:pPr>
    <w:rPr>
      <w:rFonts w:ascii="宋体" w:hAnsi="Times New Roman" w:eastAsia="Calibri" w:cs="宋体"/>
      <w:sz w:val="24"/>
      <w:szCs w:val="20"/>
      <w:lang w:val="zh-CN"/>
    </w:rPr>
  </w:style>
  <w:style w:type="paragraph" w:styleId="1346" w:customStyle="1">
    <w:name w:val="新图表正文"/>
    <w:uiPriority w:val="0"/>
    <w:qFormat/>
    <w:pPr>
      <w:jc w:val="both"/>
    </w:pPr>
    <w:rPr>
      <w:rFonts w:hint="default" w:ascii="宋体" w:hAnsi="Times New Roman" w:eastAsia="宋体" w:cs="Times New Roman"/>
      <w:sz w:val="18"/>
      <w:szCs w:val="21"/>
    </w:rPr>
  </w:style>
  <w:style w:type="paragraph" w:styleId="1347" w:customStyle="1">
    <w:name w:val="font11"/>
    <w:basedOn w:val="879"/>
    <w:uiPriority w:val="0"/>
    <w:qFormat/>
    <w:pPr>
      <w:jc w:val="left"/>
      <w:spacing w:before="100" w:beforeAutospacing="1" w:after="100" w:afterAutospacing="1"/>
      <w:widowControl/>
    </w:pPr>
    <w:rPr>
      <w:rFonts w:ascii="Times New Roman" w:hAnsi="Times New Roman" w:eastAsia="Calibri" w:cs="宋体"/>
      <w:b/>
      <w:bCs/>
      <w:sz w:val="18"/>
      <w:szCs w:val="18"/>
      <w:lang w:val="zh-CN"/>
    </w:rPr>
  </w:style>
  <w:style w:type="paragraph" w:styleId="1348" w:customStyle="1">
    <w:name w:val="符号与编号 Char Char"/>
    <w:basedOn w:val="879"/>
    <w:uiPriority w:val="0"/>
    <w:qFormat/>
    <w:pPr>
      <w:ind w:left="839" w:hanging="419"/>
      <w:spacing w:after="50" w:line="400" w:lineRule="atLeast"/>
      <w:tabs>
        <w:tab w:val="left" w:pos="840" w:leader="none"/>
      </w:tabs>
    </w:pPr>
    <w:rPr>
      <w:rFonts w:ascii="Times New Roman" w:hAnsi="Times New Roman" w:eastAsia="Calibri" w:cs="宋体"/>
      <w:sz w:val="24"/>
      <w:szCs w:val="20"/>
      <w:lang w:val="zh-CN"/>
    </w:rPr>
  </w:style>
  <w:style w:type="paragraph" w:styleId="1349" w:customStyle="1">
    <w:name w:val="Bullets L1"/>
    <w:basedOn w:val="879"/>
    <w:uiPriority w:val="0"/>
    <w:qFormat/>
    <w:pPr>
      <w:numPr>
        <w:ilvl w:val="0"/>
        <w:numId w:val="4"/>
      </w:numPr>
      <w:jc w:val="left"/>
      <w:spacing w:before="60" w:after="60"/>
      <w:widowControl/>
      <w:tabs>
        <w:tab w:val="left" w:pos="0" w:leader="none"/>
        <w:tab w:val="left" w:pos="360" w:leader="none"/>
      </w:tabs>
    </w:pPr>
    <w:rPr>
      <w:rFonts w:ascii="Arial" w:hAnsi="Arial" w:eastAsia="Calibri" w:cs="宋体"/>
      <w:sz w:val="20"/>
      <w:szCs w:val="20"/>
      <w:lang w:val="zh-CN"/>
    </w:rPr>
  </w:style>
  <w:style w:type="paragraph" w:styleId="1350" w:customStyle="1">
    <w:name w:val="font12"/>
    <w:basedOn w:val="879"/>
    <w:uiPriority w:val="0"/>
    <w:qFormat/>
    <w:pPr>
      <w:jc w:val="left"/>
      <w:spacing w:before="100" w:beforeAutospacing="1" w:after="100" w:afterAutospacing="1"/>
      <w:widowControl/>
    </w:pPr>
    <w:rPr>
      <w:rFonts w:ascii="宋体" w:hAnsi="Times New Roman" w:eastAsia="Calibri" w:cs="宋体"/>
      <w:sz w:val="36"/>
      <w:szCs w:val="36"/>
      <w:lang w:val="zh-CN"/>
    </w:rPr>
  </w:style>
  <w:style w:type="paragraph" w:styleId="1351" w:customStyle="1">
    <w:name w:val="Item Step in Table"/>
    <w:uiPriority w:val="0"/>
    <w:qFormat/>
    <w:pPr>
      <w:numPr>
        <w:ilvl w:val="0"/>
        <w:numId w:val="5"/>
      </w:numPr>
      <w:jc w:val="both"/>
      <w:spacing w:before="40" w:after="40"/>
      <w:tabs>
        <w:tab w:val="left" w:pos="0" w:leader="none"/>
        <w:tab w:val="left" w:pos="397" w:leader="none"/>
      </w:tabs>
    </w:pPr>
    <w:rPr>
      <w:rFonts w:hint="default" w:ascii="Arial" w:hAnsi="Arial" w:eastAsia="宋体" w:cs="Arial"/>
      <w:sz w:val="18"/>
      <w:szCs w:val="18"/>
    </w:rPr>
  </w:style>
  <w:style w:type="paragraph" w:styleId="1352" w:customStyle="1">
    <w:name w:val="Char1 Char Char Char1"/>
    <w:basedOn w:val="879"/>
    <w:uiPriority w:val="0"/>
    <w:qFormat/>
    <w:rPr>
      <w:rFonts w:ascii="Tahoma" w:hAnsi="Tahoma" w:eastAsia="Calibri" w:cs="Tahoma"/>
      <w:sz w:val="24"/>
      <w:szCs w:val="20"/>
      <w:lang w:val="zh-CN"/>
    </w:rPr>
  </w:style>
  <w:style w:type="paragraph" w:styleId="1353" w:customStyle="1">
    <w:name w:val="Char1"/>
    <w:basedOn w:val="879"/>
    <w:uiPriority w:val="0"/>
    <w:qFormat/>
    <w:rPr>
      <w:rFonts w:ascii="仿宋_GB2312" w:hAnsi="Times New Roman" w:eastAsia="仿宋_GB2312" w:cs="宋体"/>
      <w:b/>
      <w:sz w:val="32"/>
      <w:szCs w:val="32"/>
      <w:lang w:val="zh-CN"/>
    </w:rPr>
  </w:style>
  <w:style w:type="paragraph" w:styleId="1354" w:customStyle="1">
    <w:name w:val="xl49"/>
    <w:basedOn w:val="879"/>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Calibri" w:cs="宋体"/>
      <w:b/>
      <w:bCs/>
      <w:sz w:val="20"/>
      <w:szCs w:val="20"/>
      <w:lang w:val="zh-CN"/>
    </w:rPr>
  </w:style>
  <w:style w:type="paragraph" w:styleId="1355" w:customStyle="1">
    <w:name w:val="Char Char1 Char Char Char Char1 Char Char Char Char Char Char"/>
    <w:basedOn w:val="879"/>
    <w:uiPriority w:val="0"/>
    <w:qFormat/>
    <w:rPr>
      <w:rFonts w:ascii="Tahoma" w:hAnsi="Tahoma" w:eastAsia="Calibri" w:cs="宋体"/>
      <w:sz w:val="24"/>
      <w:szCs w:val="20"/>
      <w:lang w:val="zh-CN"/>
    </w:rPr>
  </w:style>
  <w:style w:type="paragraph" w:styleId="1356" w:customStyle="1">
    <w:name w:val="Char Char1"/>
    <w:basedOn w:val="879"/>
    <w:uiPriority w:val="0"/>
    <w:qFormat/>
    <w:rPr>
      <w:rFonts w:ascii="Tahoma" w:hAnsi="Tahoma" w:eastAsia="Calibri" w:cs="Tahoma"/>
      <w:sz w:val="24"/>
      <w:szCs w:val="20"/>
      <w:lang w:val="zh-CN"/>
    </w:rPr>
  </w:style>
  <w:style w:type="paragraph" w:styleId="1357" w:customStyle="1">
    <w:name w:val="二级条标题"/>
    <w:basedOn w:val="879"/>
    <w:next w:val="1344"/>
    <w:uiPriority w:val="0"/>
    <w:qFormat/>
    <w:pPr>
      <w:ind w:hanging="420"/>
      <w:widowControl/>
      <w:tabs>
        <w:tab w:val="left" w:pos="2240" w:leader="none"/>
      </w:tabs>
      <w:outlineLvl w:val="3"/>
    </w:pPr>
    <w:rPr>
      <w:rFonts w:ascii="Times New Roman" w:hAnsi="Times New Roman" w:eastAsia="黑体" w:cs="宋体"/>
      <w:sz w:val="20"/>
      <w:szCs w:val="20"/>
      <w:lang w:val="zh-CN"/>
    </w:rPr>
  </w:style>
  <w:style w:type="paragraph" w:styleId="1358" w:customStyle="1">
    <w:name w:val="标题3，章节第三层"/>
    <w:basedOn w:val="879"/>
    <w:next w:val="1278"/>
    <w:uiPriority w:val="0"/>
    <w:qFormat/>
    <w:pPr>
      <w:spacing w:before="78" w:line="300" w:lineRule="auto"/>
      <w:outlineLvl w:val="2"/>
    </w:pPr>
    <w:rPr>
      <w:rFonts w:ascii="Arial" w:hAnsi="Arial" w:eastAsia="华文细黑" w:cs="宋体"/>
      <w:sz w:val="30"/>
      <w:szCs w:val="20"/>
      <w:lang w:val="zh-CN"/>
    </w:rPr>
  </w:style>
  <w:style w:type="paragraph" w:styleId="1359" w:customStyle="1">
    <w:name w:val="公文正文"/>
    <w:basedOn w:val="905"/>
    <w:uiPriority w:val="0"/>
    <w:qFormat/>
    <w:pPr>
      <w:ind w:left="0" w:firstLine="200"/>
      <w:spacing w:after="0"/>
    </w:pPr>
    <w:rPr>
      <w:rFonts w:ascii="仿宋_GB2312" w:eastAsia="仿宋_GB2312"/>
      <w:sz w:val="28"/>
    </w:rPr>
  </w:style>
  <w:style w:type="paragraph" w:styleId="1360" w:customStyle="1">
    <w:name w:val="Char Char11"/>
    <w:basedOn w:val="879"/>
    <w:uiPriority w:val="0"/>
    <w:qFormat/>
    <w:rPr>
      <w:rFonts w:ascii="Tahoma" w:hAnsi="Tahoma" w:eastAsia="Calibri" w:cs="宋体"/>
      <w:sz w:val="24"/>
      <w:szCs w:val="20"/>
      <w:lang w:val="zh-CN"/>
    </w:rPr>
  </w:style>
  <w:style w:type="paragraph" w:styleId="1361" w:customStyle="1">
    <w:name w:val="小四 段落 宋体 Char Char Char"/>
    <w:basedOn w:val="897"/>
    <w:uiPriority w:val="0"/>
    <w:qFormat/>
    <w:pPr>
      <w:ind w:left="0" w:right="-33" w:firstLine="227"/>
      <w:jc w:val="left"/>
      <w:spacing w:line="360" w:lineRule="auto"/>
      <w:tabs>
        <w:tab w:val="clear" w:pos="2952" w:leader="none"/>
      </w:tabs>
    </w:pPr>
    <w:rPr>
      <w:sz w:val="24"/>
    </w:rPr>
  </w:style>
  <w:style w:type="paragraph" w:styleId="1362" w:customStyle="1">
    <w:name w:val="Char12"/>
    <w:basedOn w:val="879"/>
    <w:uiPriority w:val="0"/>
    <w:qFormat/>
    <w:pPr>
      <w:jc w:val="left"/>
      <w:spacing w:after="160" w:line="240" w:lineRule="exact"/>
      <w:widowControl/>
    </w:pPr>
    <w:rPr>
      <w:rFonts w:ascii="Verdana" w:hAnsi="Verdana" w:eastAsia="仿宋_GB2312" w:cs="宋体"/>
      <w:sz w:val="24"/>
      <w:szCs w:val="20"/>
      <w:lang w:val="zh-CN"/>
    </w:rPr>
  </w:style>
  <w:style w:type="paragraph" w:styleId="1363" w:customStyle="1">
    <w:name w:val="标准文本"/>
    <w:basedOn w:val="879"/>
    <w:uiPriority w:val="0"/>
    <w:qFormat/>
    <w:pPr>
      <w:ind w:firstLine="200"/>
      <w:spacing w:line="360" w:lineRule="auto"/>
    </w:pPr>
    <w:rPr>
      <w:rFonts w:ascii="Times New Roman" w:hAnsi="Times New Roman" w:eastAsia="Calibri" w:cs="宋体"/>
      <w:sz w:val="24"/>
      <w:szCs w:val="20"/>
      <w:lang w:val="zh-CN"/>
    </w:rPr>
  </w:style>
  <w:style w:type="paragraph" w:styleId="1364" w:customStyle="1">
    <w:name w:val="xl24"/>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365" w:customStyle="1">
    <w:name w:val="我的正文"/>
    <w:basedOn w:val="879"/>
    <w:uiPriority w:val="0"/>
    <w:qFormat/>
    <w:pPr>
      <w:ind w:firstLine="420"/>
      <w:jc w:val="left"/>
      <w:spacing w:line="360" w:lineRule="auto"/>
      <w:widowControl/>
    </w:pPr>
    <w:rPr>
      <w:rFonts w:ascii="宋体" w:hAnsi="Times New Roman" w:eastAsia="Calibri" w:cs="宋体"/>
      <w:sz w:val="20"/>
      <w:szCs w:val="21"/>
      <w:lang w:val="zh-CN"/>
    </w:rPr>
  </w:style>
  <w:style w:type="paragraph" w:styleId="1366" w:customStyle="1">
    <w:name w:val="xl54"/>
    <w:basedOn w:val="87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Times New Roman" w:eastAsia="Calibri" w:cs="宋体"/>
      <w:b/>
      <w:bCs/>
      <w:sz w:val="20"/>
      <w:szCs w:val="20"/>
      <w:lang w:val="zh-CN"/>
    </w:rPr>
  </w:style>
  <w:style w:type="paragraph" w:styleId="1367" w:customStyle="1">
    <w:name w:val="xl57"/>
    <w:basedOn w:val="87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Calibri" w:cs="宋体"/>
      <w:b/>
      <w:bCs/>
      <w:i/>
      <w:iCs/>
      <w:sz w:val="20"/>
      <w:szCs w:val="20"/>
      <w:lang w:val="zh-CN"/>
    </w:rPr>
  </w:style>
  <w:style w:type="paragraph" w:styleId="1368" w:customStyle="1">
    <w:name w:val="表格"/>
    <w:basedOn w:val="879"/>
    <w:uiPriority w:val="0"/>
    <w:qFormat/>
    <w:pPr>
      <w:ind w:firstLine="21"/>
    </w:pPr>
    <w:rPr>
      <w:rFonts w:ascii="宋体" w:hAnsi="Times New Roman" w:eastAsia="Calibri" w:cs="宋体"/>
      <w:sz w:val="20"/>
      <w:szCs w:val="20"/>
      <w:lang w:val="zh-CN"/>
    </w:rPr>
  </w:style>
  <w:style w:type="paragraph" w:styleId="1369" w:customStyle="1">
    <w:name w:val="样式 样式 标题 3H3sect1.2.3BOD 0Heading 3 - oldh3l3CTLevel 3 Head... +..."/>
    <w:basedOn w:val="879"/>
    <w:uiPriority w:val="0"/>
    <w:qFormat/>
    <w:pPr>
      <w:jc w:val="left"/>
      <w:keepLines/>
      <w:keepNext/>
      <w:spacing w:before="50" w:after="50"/>
      <w:outlineLvl w:val="2"/>
    </w:pPr>
    <w:rPr>
      <w:rFonts w:ascii="Times New Roman" w:hAnsi="Times New Roman" w:eastAsia="Calibri" w:cs="宋体"/>
      <w:b/>
      <w:bCs/>
      <w:sz w:val="24"/>
      <w:szCs w:val="20"/>
      <w:lang w:val="zh-CN"/>
    </w:rPr>
  </w:style>
  <w:style w:type="paragraph" w:styleId="1370" w:customStyle="1">
    <w:name w:val="Char Char Char Char Char Char Char Char Char Char Char Char Char Char Char Char Char Char Char Char Char1"/>
    <w:basedOn w:val="879"/>
    <w:uiPriority w:val="0"/>
    <w:qFormat/>
    <w:rPr>
      <w:rFonts w:ascii="Tahoma" w:hAnsi="Tahoma" w:eastAsia="Calibri" w:cs="宋体"/>
      <w:sz w:val="24"/>
      <w:szCs w:val="20"/>
      <w:lang w:val="zh-CN"/>
    </w:rPr>
  </w:style>
  <w:style w:type="paragraph" w:styleId="1371" w:customStyle="1">
    <w:name w:val="Char Char Char Char Char Char Char Char Char Char Char Char Char Char Char Char Char Char Char Char Char Char Char1"/>
    <w:basedOn w:val="879"/>
    <w:uiPriority w:val="0"/>
    <w:qFormat/>
    <w:rPr>
      <w:rFonts w:ascii="Tahoma" w:hAnsi="Tahoma" w:eastAsia="Calibri" w:cs="宋体"/>
      <w:sz w:val="24"/>
      <w:szCs w:val="20"/>
      <w:lang w:val="zh-CN"/>
    </w:rPr>
  </w:style>
  <w:style w:type="paragraph" w:styleId="1372" w:customStyle="1">
    <w:name w:val="样式 标题 3H3sect1.2.3BOD 0Heading 3 - oldh3l3CTLevel 3 Head..."/>
    <w:basedOn w:val="882"/>
    <w:uiPriority w:val="0"/>
    <w:qFormat/>
    <w:pPr>
      <w:numPr>
        <w:ilvl w:val="0"/>
        <w:numId w:val="0"/>
      </w:numPr>
      <w:jc w:val="left"/>
      <w:spacing w:before="50" w:after="50" w:line="390" w:lineRule="atLeast"/>
      <w:shd w:val="clear" w:color="auto" w:fill="ffffff"/>
      <w:tabs>
        <w:tab w:val="clear" w:pos="720" w:leader="none"/>
        <w:tab w:val="clear" w:pos="2563" w:leader="none"/>
      </w:tabs>
    </w:pPr>
    <w:rPr>
      <w:bCs/>
      <w:color w:val="auto"/>
      <w:sz w:val="30"/>
      <w:szCs w:val="21"/>
    </w:rPr>
  </w:style>
  <w:style w:type="paragraph" w:styleId="1373" w:customStyle="1">
    <w:name w:val="font10"/>
    <w:basedOn w:val="879"/>
    <w:uiPriority w:val="0"/>
    <w:qFormat/>
    <w:pPr>
      <w:jc w:val="left"/>
      <w:spacing w:before="100" w:beforeAutospacing="1" w:after="100" w:afterAutospacing="1"/>
      <w:widowControl/>
    </w:pPr>
    <w:rPr>
      <w:rFonts w:ascii="楷体_GB2312" w:hAnsi="Times New Roman" w:eastAsia="楷体_GB2312" w:cs="宋体"/>
      <w:b/>
      <w:bCs/>
      <w:sz w:val="18"/>
      <w:szCs w:val="18"/>
      <w:lang w:val="zh-CN"/>
    </w:rPr>
  </w:style>
  <w:style w:type="paragraph" w:styleId="1374" w:customStyle="1">
    <w:name w:val="flType"/>
    <w:basedOn w:val="1375"/>
    <w:uiPriority w:val="0"/>
    <w:qFormat/>
    <w:pPr>
      <w:spacing w:after="284"/>
    </w:pPr>
    <w:rPr>
      <w:rFonts w:eastAsia="宋体"/>
      <w:b w:val="0"/>
    </w:rPr>
  </w:style>
  <w:style w:type="paragraph" w:styleId="1375" w:customStyle="1">
    <w:name w:val="flName"/>
    <w:basedOn w:val="1264"/>
    <w:uiPriority w:val="0"/>
    <w:qFormat/>
    <w:pPr>
      <w:spacing w:before="0" w:line="113" w:lineRule="atLeast"/>
    </w:pPr>
  </w:style>
  <w:style w:type="paragraph" w:styleId="1376" w:customStyle="1">
    <w:name w:val="标题2，章节第二层"/>
    <w:basedOn w:val="879"/>
    <w:next w:val="1278"/>
    <w:uiPriority w:val="0"/>
    <w:qFormat/>
    <w:pPr>
      <w:numPr>
        <w:ilvl w:val="4"/>
        <w:numId w:val="5"/>
      </w:numPr>
      <w:ind w:left="991" w:hanging="567"/>
      <w:spacing w:before="100" w:after="100" w:line="300" w:lineRule="auto"/>
      <w:tabs>
        <w:tab w:val="left" w:pos="0" w:leader="none"/>
        <w:tab w:val="left" w:pos="630" w:leader="none"/>
        <w:tab w:val="left" w:pos="992" w:leader="none"/>
        <w:tab w:val="left" w:pos="2100" w:leader="none"/>
      </w:tabs>
      <w:outlineLvl w:val="1"/>
    </w:pPr>
    <w:rPr>
      <w:rFonts w:ascii="Arial" w:hAnsi="Arial" w:eastAsia="黑体" w:cs="宋体"/>
      <w:sz w:val="32"/>
      <w:szCs w:val="20"/>
      <w:lang w:val="zh-CN"/>
    </w:rPr>
  </w:style>
  <w:style w:type="paragraph" w:styleId="1377" w:customStyle="1">
    <w:name w:val="xl55"/>
    <w:basedOn w:val="879"/>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Calibri" w:cs="宋体"/>
      <w:b/>
      <w:bCs/>
      <w:sz w:val="20"/>
      <w:szCs w:val="20"/>
      <w:lang w:val="zh-CN"/>
    </w:rPr>
  </w:style>
  <w:style w:type="paragraph" w:styleId="1378" w:customStyle="1">
    <w:name w:val="zw"/>
    <w:basedOn w:val="879"/>
    <w:uiPriority w:val="0"/>
    <w:qFormat/>
    <w:pPr>
      <w:ind w:firstLine="200"/>
      <w:jc w:val="left"/>
      <w:spacing w:line="360" w:lineRule="auto"/>
      <w:widowControl/>
    </w:pPr>
    <w:rPr>
      <w:rFonts w:ascii="宋体" w:hAnsi="Times New Roman" w:eastAsia="Calibri" w:cs="宋体"/>
      <w:bCs/>
      <w:sz w:val="24"/>
      <w:szCs w:val="20"/>
      <w:lang w:val="zh-CN"/>
    </w:rPr>
  </w:style>
  <w:style w:type="paragraph" w:styleId="1379" w:customStyle="1">
    <w:name w:val="公文标题 2"/>
    <w:basedOn w:val="879"/>
    <w:next w:val="1359"/>
    <w:uiPriority w:val="0"/>
    <w:qFormat/>
    <w:pPr>
      <w:outlineLvl w:val="1"/>
    </w:pPr>
    <w:rPr>
      <w:rFonts w:ascii="仿宋_GB2312" w:hAnsi="Times New Roman" w:eastAsia="仿宋_GB2312" w:cs="宋体"/>
      <w:sz w:val="28"/>
      <w:szCs w:val="20"/>
      <w:lang w:val="zh-CN"/>
    </w:rPr>
  </w:style>
  <w:style w:type="paragraph" w:styleId="1380" w:customStyle="1">
    <w:name w:val="Char Char1 Char1"/>
    <w:basedOn w:val="879"/>
    <w:uiPriority w:val="0"/>
    <w:qFormat/>
    <w:pPr>
      <w:jc w:val="left"/>
      <w:spacing w:after="160" w:line="240" w:lineRule="exact"/>
      <w:widowControl/>
    </w:pPr>
    <w:rPr>
      <w:rFonts w:ascii="Verdana" w:hAnsi="Verdana" w:eastAsia="Calibri" w:cs="宋体"/>
      <w:sz w:val="20"/>
      <w:szCs w:val="20"/>
      <w:lang w:val="zh-CN"/>
    </w:rPr>
  </w:style>
  <w:style w:type="paragraph" w:styleId="1381" w:customStyle="1">
    <w:name w:val="Char Char Char Char1"/>
    <w:basedOn w:val="879"/>
    <w:uiPriority w:val="0"/>
    <w:qFormat/>
    <w:pPr>
      <w:jc w:val="center"/>
      <w:spacing w:after="160" w:line="240" w:lineRule="exact"/>
      <w:widowControl/>
    </w:pPr>
    <w:rPr>
      <w:rFonts w:ascii="黑体" w:hAnsi="Times New Roman" w:eastAsia="黑体" w:cs="宋体"/>
      <w:sz w:val="32"/>
      <w:szCs w:val="32"/>
      <w:lang w:val="zh-CN"/>
    </w:rPr>
  </w:style>
  <w:style w:type="paragraph" w:styleId="1382" w:customStyle="1">
    <w:name w:val="Default Text"/>
    <w:basedOn w:val="879"/>
    <w:uiPriority w:val="0"/>
    <w:qFormat/>
    <w:pPr>
      <w:jc w:val="left"/>
      <w:widowControl/>
    </w:pPr>
    <w:rPr>
      <w:rFonts w:ascii="Times New Roman" w:hAnsi="Times New Roman" w:eastAsia="Calibri" w:cs="宋体"/>
      <w:sz w:val="24"/>
      <w:szCs w:val="20"/>
      <w:lang w:val="zh-CN"/>
    </w:rPr>
  </w:style>
  <w:style w:type="paragraph" w:styleId="1383" w:customStyle="1">
    <w:name w:val="表格内文字"/>
    <w:basedOn w:val="879"/>
    <w:uiPriority w:val="0"/>
    <w:qFormat/>
    <w:pPr>
      <w:spacing w:line="300" w:lineRule="atLeast"/>
    </w:pPr>
    <w:rPr>
      <w:rFonts w:ascii="Times New Roman" w:hAnsi="Times New Roman" w:eastAsia="Calibri" w:cs="宋体"/>
      <w:sz w:val="18"/>
      <w:szCs w:val="20"/>
      <w:lang w:val="zh-CN"/>
    </w:rPr>
  </w:style>
  <w:style w:type="paragraph" w:styleId="1384" w:customStyle="1">
    <w:name w:val="表头"/>
    <w:basedOn w:val="879"/>
    <w:uiPriority w:val="0"/>
    <w:qFormat/>
    <w:pPr>
      <w:jc w:val="center"/>
      <w:spacing w:line="320" w:lineRule="atLeast"/>
    </w:pPr>
    <w:rPr>
      <w:rFonts w:ascii="Times New Roman" w:hAnsi="Times New Roman" w:eastAsia="黑体" w:cs="宋体"/>
      <w:spacing w:val="-10"/>
      <w:sz w:val="20"/>
      <w:szCs w:val="20"/>
      <w:lang w:val="zh-CN"/>
    </w:rPr>
  </w:style>
  <w:style w:type="paragraph" w:styleId="1385" w:customStyle="1">
    <w:name w:val="小四 段落 宋体"/>
    <w:basedOn w:val="897"/>
    <w:uiPriority w:val="0"/>
    <w:qFormat/>
    <w:pPr>
      <w:ind w:left="113" w:right="113" w:firstLine="425"/>
      <w:jc w:val="left"/>
      <w:spacing w:line="360" w:lineRule="auto"/>
      <w:tabs>
        <w:tab w:val="clear" w:pos="2952" w:leader="none"/>
      </w:tabs>
    </w:pPr>
    <w:rPr>
      <w:sz w:val="24"/>
    </w:rPr>
  </w:style>
  <w:style w:type="paragraph" w:styleId="1386" w:customStyle="1">
    <w:name w:val="111111"/>
    <w:basedOn w:val="879"/>
    <w:uiPriority w:val="0"/>
    <w:qFormat/>
    <w:pPr>
      <w:jc w:val="center"/>
      <w:spacing w:before="120" w:after="120"/>
    </w:pPr>
    <w:rPr>
      <w:rFonts w:ascii="宋体" w:hAnsi="宋体" w:eastAsia="黑体" w:cs="宋体"/>
      <w:b/>
      <w:bCs/>
      <w:sz w:val="20"/>
      <w:szCs w:val="21"/>
      <w:lang w:val="zh-CN"/>
    </w:rPr>
  </w:style>
  <w:style w:type="paragraph" w:styleId="1387" w:customStyle="1">
    <w:name w:val="xl61"/>
    <w:basedOn w:val="879"/>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Calibri" w:cs="宋体"/>
      <w:b/>
      <w:bCs/>
      <w:i/>
      <w:iCs/>
      <w:sz w:val="20"/>
      <w:szCs w:val="20"/>
      <w:lang w:val="zh-CN"/>
    </w:rPr>
  </w:style>
  <w:style w:type="paragraph" w:styleId="1388" w:customStyle="1">
    <w:name w:val="论文正文"/>
    <w:basedOn w:val="913"/>
    <w:uiPriority w:val="0"/>
    <w:qFormat/>
    <w:pPr>
      <w:ind w:left="0" w:firstLine="200"/>
      <w:jc w:val="left"/>
      <w:spacing w:line="360" w:lineRule="auto"/>
    </w:pPr>
    <w:rPr>
      <w:rFonts w:ascii="Times New Roman" w:hAnsi="Times New Roman"/>
      <w:sz w:val="28"/>
      <w:szCs w:val="24"/>
      <w:lang w:val="en-US"/>
    </w:rPr>
  </w:style>
  <w:style w:type="paragraph" w:styleId="1389" w:customStyle="1">
    <w:name w:val="样式"/>
    <w:basedOn w:val="879"/>
    <w:uiPriority w:val="0"/>
    <w:qFormat/>
    <w:pPr>
      <w:spacing w:before="120" w:after="120" w:line="360" w:lineRule="auto"/>
    </w:pPr>
    <w:rPr>
      <w:rFonts w:ascii="宋体" w:hAnsi="Times New Roman" w:eastAsia="Calibri" w:cs="宋体"/>
      <w:sz w:val="24"/>
      <w:szCs w:val="20"/>
      <w:lang w:val="zh-CN"/>
    </w:rPr>
  </w:style>
  <w:style w:type="paragraph" w:styleId="1390" w:customStyle="1">
    <w:name w:val="样式 首行缩进:  2 字符"/>
    <w:basedOn w:val="879"/>
    <w:uiPriority w:val="0"/>
    <w:qFormat/>
    <w:pPr>
      <w:ind w:firstLine="200"/>
      <w:spacing w:line="360" w:lineRule="auto"/>
    </w:pPr>
    <w:rPr>
      <w:rFonts w:ascii="Times New Roman" w:hAnsi="Times New Roman" w:eastAsia="Calibri" w:cs="宋体"/>
      <w:sz w:val="24"/>
      <w:szCs w:val="20"/>
      <w:lang w:val="zh-CN"/>
    </w:rPr>
  </w:style>
  <w:style w:type="paragraph" w:styleId="1391" w:customStyle="1">
    <w:name w:val="Char Char Char"/>
    <w:basedOn w:val="900"/>
    <w:uiPriority w:val="0"/>
    <w:qFormat/>
    <w:pPr>
      <w:spacing w:line="436" w:lineRule="exact"/>
    </w:pPr>
    <w:rPr>
      <w:lang w:val="en-US"/>
    </w:rPr>
  </w:style>
  <w:style w:type="paragraph" w:styleId="1392" w:customStyle="1">
    <w:name w:val="font5"/>
    <w:basedOn w:val="879"/>
    <w:uiPriority w:val="0"/>
    <w:qFormat/>
    <w:pPr>
      <w:jc w:val="left"/>
      <w:spacing w:before="100" w:beforeAutospacing="1" w:after="100" w:afterAutospacing="1"/>
      <w:widowControl/>
    </w:pPr>
    <w:rPr>
      <w:rFonts w:ascii="宋体" w:hAnsi="Times New Roman" w:eastAsia="Calibri" w:cs="宋体"/>
      <w:sz w:val="18"/>
      <w:szCs w:val="18"/>
      <w:lang w:val="zh-CN"/>
    </w:rPr>
  </w:style>
  <w:style w:type="paragraph" w:styleId="1393" w:customStyle="1">
    <w:name w:val="xl63"/>
    <w:basedOn w:val="87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Calibri" w:cs="宋体"/>
      <w:b/>
      <w:bCs/>
      <w:sz w:val="20"/>
      <w:szCs w:val="20"/>
      <w:lang w:val="zh-CN"/>
    </w:rPr>
  </w:style>
  <w:style w:type="paragraph" w:styleId="1394" w:customStyle="1">
    <w:name w:val="样式3"/>
    <w:basedOn w:val="879"/>
    <w:next w:val="879"/>
    <w:uiPriority w:val="0"/>
    <w:qFormat/>
    <w:pPr>
      <w:spacing w:line="360" w:lineRule="auto"/>
    </w:pPr>
    <w:rPr>
      <w:rFonts w:ascii="Times New Roman" w:hAnsi="Times New Roman" w:eastAsia="Calibri" w:cs="宋体"/>
      <w:sz w:val="20"/>
      <w:szCs w:val="20"/>
      <w:lang w:val="zh-CN"/>
    </w:rPr>
  </w:style>
  <w:style w:type="paragraph" w:styleId="1395" w:customStyle="1">
    <w:name w:val="xl33"/>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396" w:customStyle="1">
    <w:name w:val="Char2 Char Char Char Char Char Char1"/>
    <w:basedOn w:val="879"/>
    <w:uiPriority w:val="0"/>
    <w:qFormat/>
    <w:pPr>
      <w:ind w:hanging="425"/>
      <w:keepNext/>
      <w:spacing w:before="80" w:after="80"/>
      <w:widowControl/>
      <w:tabs>
        <w:tab w:val="left" w:pos="425" w:leader="none"/>
      </w:tabs>
    </w:pPr>
    <w:rPr>
      <w:rFonts w:ascii="Arial" w:hAnsi="Arial" w:eastAsia="Calibri" w:cs="Arial"/>
      <w:sz w:val="20"/>
      <w:szCs w:val="20"/>
      <w:lang w:val="zh-CN"/>
    </w:rPr>
  </w:style>
  <w:style w:type="paragraph" w:styleId="1397" w:customStyle="1">
    <w:name w:val="xl25"/>
    <w:basedOn w:val="879"/>
    <w:uiPriority w:val="0"/>
    <w:qFormat/>
    <w:pPr>
      <w:jc w:val="center"/>
      <w:spacing w:before="100" w:beforeAutospacing="1" w:after="100" w:afterAutospacing="1"/>
      <w:widowControl/>
      <w:pBdr>
        <w:right w:val="single" w:color="auto" w:sz="4" w:space="0"/>
      </w:pBdr>
    </w:pPr>
    <w:rPr>
      <w:rFonts w:ascii="Times New Roman" w:hAnsi="Times New Roman" w:eastAsia="Calibri" w:cs="宋体"/>
      <w:sz w:val="20"/>
      <w:szCs w:val="21"/>
      <w:lang w:val="zh-CN"/>
    </w:rPr>
  </w:style>
  <w:style w:type="paragraph" w:styleId="1398" w:customStyle="1">
    <w:name w:val="Char Char Char Char Char Char Char1"/>
    <w:basedOn w:val="879"/>
    <w:uiPriority w:val="0"/>
    <w:qFormat/>
    <w:rPr>
      <w:rFonts w:ascii="Tahoma" w:hAnsi="Tahoma" w:eastAsia="Calibri" w:cs="宋体"/>
      <w:sz w:val="24"/>
      <w:szCs w:val="20"/>
      <w:lang w:val="zh-CN"/>
    </w:rPr>
  </w:style>
  <w:style w:type="paragraph" w:styleId="1399" w:customStyle="1">
    <w:name w:val="中等深浅网格 1 - 强调文字颜色 21"/>
    <w:basedOn w:val="879"/>
    <w:uiPriority w:val="0"/>
    <w:qFormat/>
    <w:pPr>
      <w:ind w:firstLine="200"/>
    </w:pPr>
    <w:rPr>
      <w:rFonts w:ascii="Times New Roman" w:hAnsi="Times New Roman" w:eastAsia="Calibri" w:cs="宋体"/>
      <w:sz w:val="20"/>
      <w:lang w:val="zh-CN"/>
    </w:rPr>
  </w:style>
  <w:style w:type="paragraph" w:styleId="1400" w:customStyle="1">
    <w:name w:val="大标题"/>
    <w:basedOn w:val="879"/>
    <w:next w:val="879"/>
    <w:uiPriority w:val="0"/>
    <w:qFormat/>
    <w:pPr>
      <w:ind w:firstLine="200"/>
      <w:pageBreakBefore/>
      <w:spacing w:line="360" w:lineRule="auto"/>
      <w:tabs>
        <w:tab w:val="left" w:pos="420" w:leader="none"/>
      </w:tabs>
      <w:outlineLvl w:val="0"/>
    </w:pPr>
    <w:rPr>
      <w:rFonts w:ascii="Times New Roman" w:hAnsi="Times New Roman" w:eastAsia="Calibri" w:cs="宋体"/>
      <w:b/>
      <w:iCs/>
      <w:sz w:val="44"/>
      <w:szCs w:val="20"/>
      <w:lang w:val="zh-CN"/>
    </w:rPr>
  </w:style>
  <w:style w:type="paragraph" w:styleId="1401" w:customStyle="1">
    <w:name w:val="tableau"/>
    <w:basedOn w:val="879"/>
    <w:uiPriority w:val="0"/>
    <w:qFormat/>
    <w:pPr>
      <w:jc w:val="center"/>
      <w:spacing w:before="20" w:after="20"/>
      <w:widowControl/>
    </w:pPr>
    <w:rPr>
      <w:rFonts w:ascii="Arial" w:hAnsi="Arial" w:eastAsia="Calibri" w:cs="宋体"/>
      <w:sz w:val="16"/>
      <w:szCs w:val="20"/>
      <w:lang w:val="en-GB" w:eastAsia="en-GB"/>
    </w:rPr>
  </w:style>
  <w:style w:type="paragraph" w:styleId="1402" w:customStyle="1">
    <w:name w:val="表格标题"/>
    <w:basedOn w:val="879"/>
    <w:uiPriority w:val="0"/>
    <w:qFormat/>
    <w:pPr>
      <w:jc w:val="center"/>
      <w:spacing w:before="120" w:line="400" w:lineRule="exact"/>
    </w:pPr>
    <w:rPr>
      <w:rFonts w:ascii="Times New Roman" w:hAnsi="Times New Roman" w:eastAsia="文鼎CS中宋" w:cs="宋体"/>
      <w:spacing w:val="8"/>
      <w:sz w:val="24"/>
      <w:szCs w:val="20"/>
      <w:lang w:val="zh-CN"/>
    </w:rPr>
  </w:style>
  <w:style w:type="paragraph" w:styleId="1403" w:customStyle="1">
    <w:name w:val="小四 段落 宋体 Char"/>
    <w:basedOn w:val="897"/>
    <w:uiPriority w:val="0"/>
    <w:qFormat/>
    <w:pPr>
      <w:ind w:left="0" w:right="-33" w:firstLine="200"/>
      <w:jc w:val="left"/>
      <w:tabs>
        <w:tab w:val="clear" w:pos="2952" w:leader="none"/>
      </w:tabs>
    </w:pPr>
    <w:rPr>
      <w:rFonts w:ascii="仿宋_GB2312" w:eastAsia="仿宋_GB2312"/>
      <w:sz w:val="30"/>
      <w:szCs w:val="30"/>
    </w:rPr>
  </w:style>
  <w:style w:type="paragraph" w:styleId="1404" w:customStyle="1">
    <w:name w:val="Char Char Char Char Char Char Char Char Char Char Char"/>
    <w:basedOn w:val="879"/>
    <w:uiPriority w:val="0"/>
    <w:qFormat/>
    <w:rPr>
      <w:rFonts w:ascii="Tahoma" w:hAnsi="Tahoma" w:eastAsia="Calibri" w:cs="Tahoma"/>
      <w:sz w:val="24"/>
      <w:szCs w:val="20"/>
      <w:lang w:val="zh-CN"/>
    </w:rPr>
  </w:style>
  <w:style w:type="paragraph" w:styleId="1405" w:customStyle="1">
    <w:name w:val="项目符号：一级"/>
    <w:basedOn w:val="1278"/>
    <w:next w:val="1278"/>
    <w:uiPriority w:val="0"/>
    <w:qFormat/>
    <w:pPr>
      <w:ind w:right="-64"/>
    </w:pPr>
    <w:rPr>
      <w:bCs w:val="0"/>
      <w:lang w:val="en-US"/>
    </w:rPr>
  </w:style>
  <w:style w:type="paragraph" w:styleId="1406" w:customStyle="1">
    <w:name w:val="表格文字"/>
    <w:basedOn w:val="879"/>
    <w:uiPriority w:val="0"/>
    <w:qFormat/>
    <w:pPr>
      <w:ind w:firstLine="200"/>
      <w:jc w:val="left"/>
      <w:spacing w:line="360" w:lineRule="auto"/>
    </w:pPr>
    <w:rPr>
      <w:rFonts w:ascii="Arial" w:hAnsi="Arial" w:eastAsia="Calibri" w:cs="宋体"/>
      <w:sz w:val="24"/>
      <w:szCs w:val="20"/>
      <w:lang w:val="zh-CN"/>
    </w:rPr>
  </w:style>
  <w:style w:type="paragraph" w:styleId="1407" w:customStyle="1">
    <w:name w:val="Body Text 21"/>
    <w:basedOn w:val="879"/>
    <w:uiPriority w:val="0"/>
    <w:qFormat/>
    <w:pPr>
      <w:ind w:left="720" w:hanging="720"/>
      <w:widowControl/>
    </w:pPr>
    <w:rPr>
      <w:rFonts w:ascii="Times New Roman" w:hAnsi="Times New Roman" w:eastAsia="Calibri" w:cs="宋体"/>
      <w:sz w:val="24"/>
      <w:szCs w:val="20"/>
      <w:lang w:val="en-GB" w:eastAsia="en-GB"/>
    </w:rPr>
  </w:style>
  <w:style w:type="paragraph" w:styleId="1408" w:customStyle="1">
    <w:name w:val="xl60"/>
    <w:basedOn w:val="87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Calibri" w:cs="宋体"/>
      <w:b/>
      <w:bCs/>
      <w:i/>
      <w:iCs/>
      <w:sz w:val="20"/>
      <w:szCs w:val="20"/>
      <w:lang w:val="zh-CN"/>
    </w:rPr>
  </w:style>
  <w:style w:type="paragraph" w:styleId="1409" w:customStyle="1">
    <w:name w:val="xl43"/>
    <w:basedOn w:val="8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410" w:customStyle="1">
    <w:name w:val="qw"/>
    <w:uiPriority w:val="0"/>
    <w:qFormat/>
    <w:pPr>
      <w:jc w:val="both"/>
      <w:spacing w:line="312" w:lineRule="atLeast"/>
      <w:widowControl w:val="off"/>
    </w:pPr>
    <w:rPr>
      <w:rFonts w:hint="default" w:ascii="宋体" w:hAnsi="Times New Roman" w:eastAsia="宋体" w:cs="Times New Roman"/>
      <w:sz w:val="24"/>
    </w:rPr>
  </w:style>
  <w:style w:type="paragraph" w:styleId="1411" w:customStyle="1">
    <w:name w:val="样式 标题 2第一章 标题 2Heading 2 HiddenHeading 2 CCBSheading 2H2h2..."/>
    <w:basedOn w:val="881"/>
    <w:uiPriority w:val="0"/>
    <w:qFormat/>
    <w:pPr>
      <w:ind w:left="360" w:hanging="360"/>
      <w:jc w:val="center"/>
      <w:keepLines w:val="0"/>
      <w:spacing w:before="50" w:after="50"/>
      <w:tabs>
        <w:tab w:val="left" w:pos="360" w:leader="none"/>
      </w:tabs>
    </w:pPr>
    <w:rPr>
      <w:rFonts w:ascii="黑体" w:hAnsi="Times New Roman" w:eastAsia="黑体" w:cs="宋体"/>
      <w:sz w:val="32"/>
      <w:szCs w:val="20"/>
      <w:lang w:val="zh-CN"/>
    </w:rPr>
  </w:style>
  <w:style w:type="paragraph" w:styleId="1412" w:customStyle="1">
    <w:name w:val="font14"/>
    <w:basedOn w:val="879"/>
    <w:uiPriority w:val="0"/>
    <w:qFormat/>
    <w:pPr>
      <w:jc w:val="left"/>
      <w:spacing w:before="100" w:beforeAutospacing="1" w:after="100" w:afterAutospacing="1"/>
      <w:widowControl/>
    </w:pPr>
    <w:rPr>
      <w:rFonts w:ascii="Times New Roman" w:hAnsi="Times New Roman" w:eastAsia="Calibri" w:cs="宋体"/>
      <w:sz w:val="36"/>
      <w:szCs w:val="36"/>
      <w:lang w:val="zh-CN"/>
    </w:rPr>
  </w:style>
  <w:style w:type="paragraph" w:styleId="1413" w:customStyle="1">
    <w:name w:val="xl59"/>
    <w:basedOn w:val="8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414" w:customStyle="1">
    <w:name w:val="正文 首行缩进:  2 字符 Char Char"/>
    <w:basedOn w:val="879"/>
    <w:uiPriority w:val="0"/>
    <w:qFormat/>
    <w:pPr>
      <w:ind w:firstLine="480"/>
      <w:spacing w:line="360" w:lineRule="auto"/>
    </w:pPr>
    <w:rPr>
      <w:rFonts w:ascii="楷体_GB2312" w:hAnsi="Times New Roman" w:eastAsia="楷体_GB2312" w:cs="宋体"/>
      <w:bCs/>
      <w:sz w:val="24"/>
      <w:szCs w:val="20"/>
      <w:lang w:val="zh-CN"/>
    </w:rPr>
  </w:style>
  <w:style w:type="paragraph" w:styleId="1415" w:customStyle="1">
    <w:name w:val="章标题"/>
    <w:next w:val="1344"/>
    <w:uiPriority w:val="0"/>
    <w:qFormat/>
    <w:pPr>
      <w:jc w:val="both"/>
      <w:spacing w:before="50" w:after="50"/>
      <w:outlineLvl w:val="1"/>
    </w:pPr>
    <w:rPr>
      <w:rFonts w:hint="default" w:ascii="Calibri" w:hAnsi="Calibri" w:eastAsia="黑体" w:cs="Times New Roman"/>
      <w:sz w:val="21"/>
    </w:rPr>
  </w:style>
  <w:style w:type="paragraph" w:styleId="1416" w:customStyle="1">
    <w:name w:val="项目符号，二级"/>
    <w:basedOn w:val="1278"/>
    <w:next w:val="1278"/>
    <w:uiPriority w:val="0"/>
    <w:qFormat/>
    <w:pPr>
      <w:ind w:left="1337"/>
      <w:tabs>
        <w:tab w:val="left" w:pos="432" w:leader="none"/>
        <w:tab w:val="left" w:pos="567" w:leader="none"/>
        <w:tab w:val="left" w:pos="1211" w:leader="none"/>
        <w:tab w:val="left" w:pos="1337" w:leader="none"/>
      </w:tabs>
    </w:pPr>
    <w:rPr>
      <w:bCs w:val="0"/>
      <w:color w:val="000000"/>
      <w:sz w:val="24"/>
      <w:szCs w:val="24"/>
    </w:rPr>
  </w:style>
  <w:style w:type="paragraph" w:styleId="1417" w:customStyle="1">
    <w:name w:val="greytypebeni"/>
    <w:basedOn w:val="879"/>
    <w:uiPriority w:val="0"/>
    <w:qFormat/>
    <w:pPr>
      <w:jc w:val="left"/>
      <w:widowControl/>
    </w:pPr>
    <w:rPr>
      <w:rFonts w:ascii="宋体" w:hAnsi="Times New Roman" w:eastAsia="Calibri" w:cs="宋体"/>
      <w:sz w:val="24"/>
      <w:szCs w:val="20"/>
      <w:lang w:val="zh-CN"/>
    </w:rPr>
  </w:style>
  <w:style w:type="paragraph" w:styleId="1418" w:customStyle="1">
    <w:name w:val="Char Char Char1"/>
    <w:basedOn w:val="879"/>
    <w:uiPriority w:val="0"/>
    <w:qFormat/>
    <w:rPr>
      <w:rFonts w:ascii="Tahoma" w:hAnsi="Tahoma" w:eastAsia="Calibri" w:cs="宋体"/>
      <w:sz w:val="24"/>
      <w:szCs w:val="20"/>
      <w:lang w:val="zh-CN"/>
    </w:rPr>
  </w:style>
  <w:style w:type="paragraph" w:styleId="1419" w:customStyle="1">
    <w:name w:val="方案正文"/>
    <w:basedOn w:val="879"/>
    <w:uiPriority w:val="0"/>
    <w:qFormat/>
    <w:pPr>
      <w:ind w:firstLine="171"/>
      <w:jc w:val="left"/>
      <w:spacing w:before="156" w:line="360" w:lineRule="auto"/>
    </w:pPr>
    <w:rPr>
      <w:rFonts w:ascii="Arial" w:hAnsi="Arial" w:eastAsia="Calibri" w:cs="宋体"/>
      <w:sz w:val="24"/>
      <w:szCs w:val="21"/>
      <w:lang w:val="zh-CN"/>
    </w:rPr>
  </w:style>
  <w:style w:type="paragraph" w:styleId="1420" w:customStyle="1">
    <w:name w:val="xl40"/>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421" w:customStyle="1">
    <w:name w:val="xl46"/>
    <w:basedOn w:val="879"/>
    <w:uiPriority w:val="0"/>
    <w:qFormat/>
    <w:pPr>
      <w:jc w:val="center"/>
      <w:spacing w:before="100" w:beforeAutospacing="1" w:after="100" w:afterAutospacing="1"/>
      <w:widowControl/>
      <w:pBdr>
        <w:left w:val="single" w:color="auto" w:sz="4" w:space="0"/>
        <w:right w:val="single" w:color="auto" w:sz="4" w:space="0"/>
      </w:pBdr>
    </w:pPr>
    <w:rPr>
      <w:rFonts w:ascii="宋体" w:hAnsi="Times New Roman" w:eastAsia="Calibri" w:cs="宋体"/>
      <w:sz w:val="24"/>
      <w:szCs w:val="20"/>
      <w:lang w:val="zh-CN"/>
    </w:rPr>
  </w:style>
  <w:style w:type="paragraph" w:styleId="1422" w:customStyle="1">
    <w:name w:val="xl44"/>
    <w:basedOn w:val="87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Times New Roman" w:eastAsia="Calibri" w:cs="宋体"/>
      <w:b/>
      <w:bCs/>
      <w:sz w:val="20"/>
      <w:szCs w:val="20"/>
      <w:lang w:val="zh-CN"/>
    </w:rPr>
  </w:style>
  <w:style w:type="paragraph" w:styleId="1423" w:customStyle="1">
    <w:name w:val="xl34"/>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424" w:customStyle="1">
    <w:name w:val="正文--表格内正文"/>
    <w:basedOn w:val="879"/>
    <w:uiPriority w:val="0"/>
    <w:qFormat/>
    <w:pPr>
      <w:jc w:val="center"/>
      <w:spacing w:before="50" w:line="0" w:lineRule="atLeast"/>
    </w:pPr>
    <w:rPr>
      <w:rFonts w:ascii="宋体" w:hAnsi="Times New Roman" w:eastAsia="Calibri" w:cs="宋体"/>
      <w:color w:val="000000"/>
      <w:sz w:val="24"/>
      <w:szCs w:val="20"/>
      <w:lang w:val="zh-CN"/>
    </w:rPr>
  </w:style>
  <w:style w:type="paragraph" w:styleId="1425" w:customStyle="1">
    <w:name w:val="样式4 Char"/>
    <w:basedOn w:val="879"/>
    <w:uiPriority w:val="0"/>
    <w:qFormat/>
    <w:pPr>
      <w:ind w:firstLine="480"/>
      <w:jc w:val="left"/>
      <w:spacing w:line="360" w:lineRule="auto"/>
      <w:widowControl/>
    </w:pPr>
    <w:rPr>
      <w:rFonts w:ascii="Times New Roman" w:hAnsi="Times New Roman" w:eastAsia="Calibri" w:cs="宋体"/>
      <w:color w:val="000000"/>
      <w:sz w:val="24"/>
      <w:szCs w:val="20"/>
      <w:lang w:val="zh-CN"/>
    </w:rPr>
  </w:style>
  <w:style w:type="paragraph" w:styleId="1426" w:customStyle="1">
    <w:name w:val="正文文本 New New"/>
    <w:basedOn w:val="879"/>
    <w:uiPriority w:val="0"/>
    <w:qFormat/>
    <w:pPr>
      <w:ind w:firstLine="200"/>
      <w:spacing w:before="60" w:after="60" w:line="360" w:lineRule="auto"/>
      <w:widowControl/>
    </w:pPr>
    <w:rPr>
      <w:rFonts w:ascii="Times New Roman" w:hAnsi="Times New Roman" w:eastAsia="华文楷体" w:cs="宋体"/>
      <w:sz w:val="24"/>
      <w:szCs w:val="20"/>
      <w:lang w:val="zh-CN"/>
    </w:rPr>
  </w:style>
  <w:style w:type="paragraph" w:styleId="1427" w:customStyle="1">
    <w:name w:val="小四 段落 宋体 Char Char Char Char"/>
    <w:basedOn w:val="879"/>
    <w:uiPriority w:val="0"/>
    <w:qFormat/>
    <w:pPr>
      <w:ind w:right="-33" w:firstLine="200"/>
      <w:jc w:val="left"/>
      <w:spacing w:line="360" w:lineRule="auto"/>
    </w:pPr>
    <w:rPr>
      <w:rFonts w:ascii="Times New Roman" w:hAnsi="Times New Roman" w:eastAsia="Calibri" w:cs="宋体"/>
      <w:sz w:val="24"/>
      <w:szCs w:val="20"/>
      <w:lang w:val="zh-CN"/>
    </w:rPr>
  </w:style>
  <w:style w:type="paragraph" w:styleId="1428" w:customStyle="1">
    <w:name w:val="正文2"/>
    <w:basedOn w:val="879"/>
    <w:uiPriority w:val="0"/>
    <w:qFormat/>
    <w:pPr>
      <w:ind w:firstLine="200"/>
      <w:spacing w:before="156" w:line="360" w:lineRule="auto"/>
    </w:pPr>
    <w:rPr>
      <w:rFonts w:ascii="Times New Roman" w:hAnsi="Times New Roman" w:eastAsia="Calibri" w:cs="宋体"/>
      <w:sz w:val="24"/>
      <w:szCs w:val="20"/>
      <w:lang w:val="zh-CN"/>
    </w:rPr>
  </w:style>
  <w:style w:type="paragraph" w:styleId="1429" w:customStyle="1">
    <w:name w:val="正文文本缩进1"/>
    <w:basedOn w:val="879"/>
    <w:uiPriority w:val="0"/>
    <w:qFormat/>
    <w:pPr>
      <w:ind w:left="200"/>
      <w:spacing w:after="120"/>
    </w:pPr>
    <w:rPr>
      <w:rFonts w:ascii="Times New Roman" w:hAnsi="Times New Roman" w:eastAsia="Calibri" w:cs="宋体"/>
      <w:sz w:val="20"/>
      <w:szCs w:val="20"/>
      <w:lang w:val="zh-CN"/>
    </w:rPr>
  </w:style>
  <w:style w:type="paragraph" w:styleId="1430" w:customStyle="1">
    <w:name w:val="Char Char Char Char Char1"/>
    <w:basedOn w:val="879"/>
    <w:uiPriority w:val="0"/>
    <w:qFormat/>
    <w:rPr>
      <w:rFonts w:ascii="Tahoma" w:hAnsi="Tahoma" w:eastAsia="Calibri" w:cs="Tahoma"/>
      <w:sz w:val="24"/>
      <w:szCs w:val="20"/>
      <w:lang w:val="zh-CN"/>
    </w:rPr>
  </w:style>
  <w:style w:type="paragraph" w:styleId="1431" w:customStyle="1">
    <w:name w:val="小四 段落 宋体 Char Char"/>
    <w:basedOn w:val="879"/>
    <w:uiPriority w:val="0"/>
    <w:qFormat/>
    <w:pPr>
      <w:ind w:firstLine="200"/>
      <w:spacing w:line="360" w:lineRule="auto"/>
    </w:pPr>
    <w:rPr>
      <w:rFonts w:ascii="宋体" w:hAnsi="Times New Roman" w:eastAsia="Calibri" w:cs="宋体"/>
      <w:sz w:val="24"/>
      <w:szCs w:val="20"/>
      <w:lang w:val="zh-CN"/>
    </w:rPr>
  </w:style>
  <w:style w:type="paragraph" w:styleId="1432" w:customStyle="1">
    <w:name w:val="正文 首行缩进:  2 字符 Char"/>
    <w:basedOn w:val="879"/>
    <w:uiPriority w:val="0"/>
    <w:qFormat/>
    <w:pPr>
      <w:ind w:firstLine="480"/>
      <w:spacing w:line="360" w:lineRule="auto"/>
    </w:pPr>
    <w:rPr>
      <w:rFonts w:ascii="Times New Roman" w:hAnsi="Times New Roman" w:eastAsia="Calibri" w:cs="宋体"/>
      <w:sz w:val="24"/>
      <w:szCs w:val="20"/>
      <w:lang w:val="zh-CN"/>
    </w:rPr>
  </w:style>
  <w:style w:type="paragraph" w:styleId="1433" w:customStyle="1">
    <w:name w:val="xl37"/>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i/>
      <w:iCs/>
      <w:sz w:val="20"/>
      <w:szCs w:val="20"/>
      <w:lang w:val="zh-CN"/>
    </w:rPr>
  </w:style>
  <w:style w:type="paragraph" w:styleId="1434" w:customStyle="1">
    <w:name w:val="xl58"/>
    <w:basedOn w:val="879"/>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Calibri" w:cs="宋体"/>
      <w:b/>
      <w:bCs/>
      <w:i/>
      <w:iCs/>
      <w:sz w:val="20"/>
      <w:szCs w:val="20"/>
      <w:lang w:val="zh-CN"/>
    </w:rPr>
  </w:style>
  <w:style w:type="paragraph" w:styleId="1435" w:customStyle="1">
    <w:name w:val="正文 + 宋体"/>
    <w:basedOn w:val="879"/>
    <w:uiPriority w:val="0"/>
    <w:qFormat/>
    <w:pPr>
      <w:ind w:firstLine="200"/>
      <w:spacing w:line="360" w:lineRule="auto"/>
    </w:pPr>
    <w:rPr>
      <w:rFonts w:ascii="Times New Roman" w:hAnsi="Times New Roman" w:eastAsia="Calibri" w:cs="宋体"/>
      <w:sz w:val="20"/>
      <w:szCs w:val="20"/>
      <w:lang w:val="zh-CN"/>
    </w:rPr>
  </w:style>
  <w:style w:type="paragraph" w:styleId="1436" w:customStyle="1">
    <w:name w:val="条1"/>
    <w:basedOn w:val="879"/>
    <w:uiPriority w:val="0"/>
    <w:qFormat/>
    <w:pPr>
      <w:ind w:left="780" w:hanging="360"/>
      <w:spacing w:before="156" w:line="360" w:lineRule="auto"/>
      <w:tabs>
        <w:tab w:val="left" w:pos="780" w:leader="none"/>
      </w:tabs>
    </w:pPr>
    <w:rPr>
      <w:rFonts w:ascii="Times New Roman" w:hAnsi="Times New Roman" w:eastAsia="黑体" w:cs="宋体"/>
      <w:sz w:val="24"/>
      <w:szCs w:val="20"/>
      <w:lang w:val="zh-CN"/>
    </w:rPr>
  </w:style>
  <w:style w:type="paragraph" w:styleId="1437" w:customStyle="1">
    <w:name w:val="标题5，章节第五层"/>
    <w:basedOn w:val="879"/>
    <w:next w:val="879"/>
    <w:uiPriority w:val="0"/>
    <w:qFormat/>
    <w:pPr>
      <w:ind w:left="2100" w:hanging="420"/>
      <w:spacing w:before="78"/>
      <w:tabs>
        <w:tab w:val="left" w:pos="1050" w:leader="none"/>
        <w:tab w:val="left" w:pos="2100" w:leader="none"/>
      </w:tabs>
      <w:outlineLvl w:val="4"/>
    </w:pPr>
    <w:rPr>
      <w:rFonts w:ascii="Arial" w:hAnsi="Arial" w:eastAsia="华文细黑" w:cs="宋体"/>
      <w:sz w:val="30"/>
      <w:szCs w:val="20"/>
      <w:lang w:val="zh-CN"/>
    </w:rPr>
  </w:style>
  <w:style w:type="paragraph" w:styleId="1438" w:customStyle="1">
    <w:name w:val="表格1"/>
    <w:basedOn w:val="879"/>
    <w:uiPriority w:val="0"/>
    <w:qFormat/>
    <w:rPr>
      <w:rFonts w:ascii="宋体" w:hAnsi="Times New Roman" w:eastAsia="Calibri" w:cs="宋体"/>
      <w:sz w:val="20"/>
      <w:szCs w:val="21"/>
      <w:lang w:val="zh-CN"/>
    </w:rPr>
  </w:style>
  <w:style w:type="paragraph" w:styleId="1439" w:customStyle="1">
    <w:name w:val="项目符号，一级"/>
    <w:basedOn w:val="1278"/>
    <w:next w:val="1278"/>
    <w:uiPriority w:val="0"/>
    <w:qFormat/>
    <w:pPr>
      <w:ind w:left="179"/>
      <w:spacing w:line="240" w:lineRule="atLeast"/>
      <w:tabs>
        <w:tab w:val="left" w:pos="1320" w:leader="none"/>
      </w:tabs>
    </w:pPr>
    <w:rPr>
      <w:bCs w:val="0"/>
      <w:color w:val="000000"/>
      <w:szCs w:val="24"/>
    </w:rPr>
  </w:style>
  <w:style w:type="paragraph" w:styleId="1440" w:customStyle="1">
    <w:name w:val="xl38"/>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441" w:customStyle="1">
    <w:name w:val="Char Char Char Char Char Char Char Char Char1"/>
    <w:basedOn w:val="879"/>
    <w:uiPriority w:val="0"/>
    <w:qFormat/>
    <w:pPr>
      <w:ind w:left="200" w:hanging="200"/>
      <w:tabs>
        <w:tab w:val="left" w:pos="360" w:leader="none"/>
      </w:tabs>
    </w:pPr>
    <w:rPr>
      <w:rFonts w:ascii="Times New Roman" w:hAnsi="Times New Roman" w:eastAsia="Calibri" w:cs="宋体"/>
      <w:sz w:val="24"/>
      <w:szCs w:val="20"/>
      <w:lang w:val="zh-CN"/>
    </w:rPr>
  </w:style>
  <w:style w:type="paragraph" w:styleId="1442" w:customStyle="1">
    <w:name w:val="Char Char Char Char Char Char Char Char1"/>
    <w:basedOn w:val="879"/>
    <w:uiPriority w:val="0"/>
    <w:qFormat/>
    <w:rPr>
      <w:rFonts w:ascii="Tahoma" w:hAnsi="Tahoma" w:eastAsia="Calibri" w:cs="宋体"/>
      <w:sz w:val="24"/>
      <w:szCs w:val="20"/>
      <w:lang w:val="zh-CN"/>
    </w:rPr>
  </w:style>
  <w:style w:type="paragraph" w:styleId="1443" w:customStyle="1">
    <w:name w:val="af17cgridlangnp1033langf"/>
    <w:uiPriority w:val="0"/>
    <w:qFormat/>
    <w:pPr>
      <w:ind w:left="567" w:firstLine="510"/>
      <w:jc w:val="both"/>
      <w:spacing w:before="156" w:line="360" w:lineRule="atLeast"/>
      <w:widowControl w:val="off"/>
    </w:pPr>
    <w:rPr>
      <w:rFonts w:hint="default" w:ascii="Calibri" w:hAnsi="Calibri" w:eastAsia="宋体" w:cs="Times New Roman"/>
    </w:rPr>
  </w:style>
  <w:style w:type="paragraph" w:styleId="1444" w:customStyle="1">
    <w:name w:val="正文11"/>
    <w:basedOn w:val="879"/>
    <w:next w:val="879"/>
    <w:uiPriority w:val="0"/>
    <w:qFormat/>
    <w:pPr>
      <w:ind w:firstLine="200"/>
      <w:spacing w:before="156" w:line="360" w:lineRule="auto"/>
    </w:pPr>
    <w:rPr>
      <w:rFonts w:ascii="Times New Roman" w:hAnsi="Times New Roman" w:eastAsia="Calibri" w:cs="宋体"/>
      <w:sz w:val="24"/>
      <w:szCs w:val="20"/>
      <w:lang w:val="zh-CN"/>
    </w:rPr>
  </w:style>
  <w:style w:type="paragraph" w:styleId="1445" w:customStyle="1">
    <w:name w:val="正文文本 22"/>
    <w:basedOn w:val="879"/>
    <w:uiPriority w:val="0"/>
    <w:qFormat/>
    <w:pPr>
      <w:ind w:left="720" w:hanging="720"/>
      <w:widowControl/>
    </w:pPr>
    <w:rPr>
      <w:rFonts w:ascii="Times New Roman" w:hAnsi="Times New Roman" w:eastAsia="Calibri" w:cs="宋体"/>
      <w:sz w:val="24"/>
      <w:szCs w:val="20"/>
      <w:lang w:val="en-GB" w:eastAsia="en-GB"/>
    </w:rPr>
  </w:style>
  <w:style w:type="paragraph" w:styleId="1446" w:customStyle="1">
    <w:name w:val="font9"/>
    <w:basedOn w:val="879"/>
    <w:uiPriority w:val="0"/>
    <w:qFormat/>
    <w:pPr>
      <w:jc w:val="left"/>
      <w:spacing w:before="100" w:beforeAutospacing="1" w:after="100" w:afterAutospacing="1"/>
      <w:widowControl/>
    </w:pPr>
    <w:rPr>
      <w:rFonts w:ascii="Times New Roman" w:hAnsi="Times New Roman" w:eastAsia="Calibri" w:cs="宋体"/>
      <w:b/>
      <w:bCs/>
      <w:sz w:val="20"/>
      <w:szCs w:val="20"/>
      <w:lang w:val="zh-CN"/>
    </w:rPr>
  </w:style>
  <w:style w:type="paragraph" w:styleId="1447" w:customStyle="1">
    <w:name w:val="xl45"/>
    <w:basedOn w:val="879"/>
    <w:uiPriority w:val="0"/>
    <w:qFormat/>
    <w:pPr>
      <w:jc w:val="center"/>
      <w:spacing w:before="100" w:beforeAutospacing="1" w:after="100" w:afterAutospacing="1"/>
      <w:widowControl/>
      <w:pBdr>
        <w:left w:val="single" w:color="auto" w:sz="4" w:space="0"/>
        <w:right w:val="single" w:color="auto" w:sz="4" w:space="0"/>
      </w:pBdr>
    </w:pPr>
    <w:rPr>
      <w:rFonts w:ascii="宋体" w:hAnsi="Times New Roman" w:eastAsia="Calibri" w:cs="宋体"/>
      <w:b/>
      <w:bCs/>
      <w:sz w:val="20"/>
      <w:szCs w:val="20"/>
      <w:lang w:val="zh-CN"/>
    </w:rPr>
  </w:style>
  <w:style w:type="paragraph" w:styleId="1448" w:customStyle="1">
    <w:name w:val="xl56"/>
    <w:basedOn w:val="87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449" w:customStyle="1">
    <w:name w:val="Char Char3"/>
    <w:basedOn w:val="879"/>
    <w:uiPriority w:val="0"/>
    <w:qFormat/>
    <w:rPr>
      <w:rFonts w:ascii="Tahoma" w:hAnsi="Tahoma" w:eastAsia="Calibri" w:cs="宋体"/>
      <w:sz w:val="24"/>
      <w:szCs w:val="20"/>
      <w:lang w:val="zh-CN"/>
    </w:rPr>
  </w:style>
  <w:style w:type="paragraph" w:styleId="1450" w:customStyle="1">
    <w:name w:val="插图"/>
    <w:basedOn w:val="879"/>
    <w:uiPriority w:val="0"/>
    <w:qFormat/>
    <w:pPr>
      <w:jc w:val="center"/>
      <w:tabs>
        <w:tab w:val="left" w:pos="1620" w:leader="none"/>
      </w:tabs>
    </w:pPr>
    <w:rPr>
      <w:rFonts w:ascii="Times New Roman" w:hAnsi="Times New Roman" w:eastAsia="Calibri" w:cs="宋体"/>
      <w:bCs/>
      <w:color w:val="000000"/>
      <w:sz w:val="20"/>
      <w:lang w:val="zh-CN"/>
    </w:rPr>
  </w:style>
  <w:style w:type="paragraph" w:styleId="1451" w:customStyle="1">
    <w:name w:val="正文缩进1"/>
    <w:basedOn w:val="879"/>
    <w:uiPriority w:val="0"/>
    <w:qFormat/>
    <w:pPr>
      <w:ind w:firstLine="420"/>
    </w:pPr>
    <w:rPr>
      <w:rFonts w:ascii="Times New Roman" w:hAnsi="Times New Roman" w:eastAsia="Calibri" w:cs="宋体"/>
      <w:sz w:val="20"/>
      <w:szCs w:val="20"/>
      <w:lang w:val="zh-CN"/>
    </w:rPr>
  </w:style>
  <w:style w:type="paragraph" w:styleId="1452" w:customStyle="1">
    <w:name w:val="7"/>
    <w:basedOn w:val="879"/>
    <w:next w:val="935"/>
    <w:uiPriority w:val="0"/>
    <w:qFormat/>
    <w:pPr>
      <w:jc w:val="left"/>
      <w:spacing w:before="100" w:beforeAutospacing="1" w:after="100" w:afterAutospacing="1"/>
      <w:widowControl/>
    </w:pPr>
    <w:rPr>
      <w:rFonts w:ascii="宋体" w:hAnsi="Times New Roman" w:eastAsia="Calibri" w:cs="宋体"/>
      <w:sz w:val="24"/>
      <w:szCs w:val="20"/>
      <w:lang w:val="zh-CN"/>
    </w:rPr>
  </w:style>
  <w:style w:type="paragraph" w:styleId="1453" w:customStyle="1">
    <w:name w:val="样式 标题 2 + Times New Roman 四号 非加粗 段前: 5 磅 段后: 0 磅 行距: 固定值 20..."/>
    <w:basedOn w:val="881"/>
    <w:uiPriority w:val="0"/>
    <w:qFormat/>
    <w:pPr>
      <w:jc w:val="both"/>
      <w:spacing w:before="100" w:after="0" w:line="400" w:lineRule="exact"/>
    </w:pPr>
    <w:rPr>
      <w:rFonts w:ascii="Times New Roman" w:hAnsi="Times New Roman" w:eastAsia="黑体" w:cs="宋体"/>
      <w:b w:val="0"/>
      <w:sz w:val="28"/>
      <w:szCs w:val="20"/>
      <w:lang w:val="zh-CN"/>
    </w:rPr>
  </w:style>
  <w:style w:type="paragraph" w:styleId="1454" w:customStyle="1">
    <w:name w:val="正文缩进2字符"/>
    <w:basedOn w:val="879"/>
    <w:uiPriority w:val="0"/>
    <w:qFormat/>
    <w:pPr>
      <w:ind w:firstLine="200"/>
      <w:spacing w:line="300" w:lineRule="auto"/>
    </w:pPr>
    <w:rPr>
      <w:rFonts w:ascii="仿宋_GB2312" w:hAnsi="Times New Roman" w:eastAsia="仿宋_GB2312" w:cs="宋体"/>
      <w:sz w:val="32"/>
      <w:szCs w:val="32"/>
      <w:lang w:val="zh-CN"/>
    </w:rPr>
  </w:style>
  <w:style w:type="paragraph" w:styleId="1455" w:customStyle="1">
    <w:name w:val="xl51"/>
    <w:basedOn w:val="87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Calibri" w:cs="宋体"/>
      <w:b/>
      <w:bCs/>
      <w:i/>
      <w:iCs/>
      <w:sz w:val="20"/>
      <w:szCs w:val="20"/>
      <w:lang w:val="zh-CN"/>
    </w:rPr>
  </w:style>
  <w:style w:type="paragraph" w:styleId="1456" w:customStyle="1">
    <w:name w:val="标题4，章节第四层"/>
    <w:basedOn w:val="879"/>
    <w:next w:val="879"/>
    <w:uiPriority w:val="0"/>
    <w:qFormat/>
    <w:pPr>
      <w:spacing w:line="360" w:lineRule="auto"/>
      <w:tabs>
        <w:tab w:val="left" w:pos="0" w:leader="none"/>
      </w:tabs>
      <w:outlineLvl w:val="3"/>
    </w:pPr>
    <w:rPr>
      <w:rFonts w:ascii="宋体" w:hAnsi="Times New Roman" w:eastAsia="Calibri" w:cs="宋体"/>
      <w:b/>
      <w:sz w:val="24"/>
      <w:szCs w:val="20"/>
      <w:lang w:val="zh-CN"/>
    </w:rPr>
  </w:style>
  <w:style w:type="paragraph" w:styleId="1457" w:customStyle="1">
    <w:name w:val="一级标题"/>
    <w:basedOn w:val="879"/>
    <w:uiPriority w:val="0"/>
    <w:qFormat/>
    <w:pPr>
      <w:ind w:left="900" w:hanging="420"/>
      <w:spacing w:line="360" w:lineRule="auto"/>
      <w:tabs>
        <w:tab w:val="left" w:pos="903" w:leader="none"/>
      </w:tabs>
    </w:pPr>
    <w:rPr>
      <w:rFonts w:ascii="Arial" w:hAnsi="Arial" w:eastAsia="Calibri" w:cs="Arial"/>
      <w:sz w:val="24"/>
      <w:szCs w:val="20"/>
      <w:lang w:val="zh-CN"/>
    </w:rPr>
  </w:style>
  <w:style w:type="paragraph" w:styleId="1458" w:customStyle="1">
    <w:name w:val="xl35"/>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i/>
      <w:iCs/>
      <w:sz w:val="20"/>
      <w:szCs w:val="20"/>
      <w:lang w:val="zh-CN"/>
    </w:rPr>
  </w:style>
  <w:style w:type="paragraph" w:styleId="1459" w:customStyle="1">
    <w:name w:val="xl39"/>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sz w:val="24"/>
      <w:szCs w:val="20"/>
      <w:lang w:val="zh-CN"/>
    </w:rPr>
  </w:style>
  <w:style w:type="paragraph" w:styleId="1460" w:customStyle="1">
    <w:name w:val="Char Char Char Char Char Char Char Char Char Char Char1"/>
    <w:basedOn w:val="879"/>
    <w:uiPriority w:val="0"/>
    <w:qFormat/>
    <w:rPr>
      <w:rFonts w:ascii="Tahoma" w:hAnsi="Tahoma" w:eastAsia="Calibri" w:cs="宋体"/>
      <w:sz w:val="24"/>
      <w:szCs w:val="20"/>
      <w:lang w:val="zh-CN"/>
    </w:rPr>
  </w:style>
  <w:style w:type="paragraph" w:styleId="1461" w:customStyle="1">
    <w:name w:val="Char Char Char Char Char Char Char Char Char Char Char1 Char Char Char1"/>
    <w:basedOn w:val="879"/>
    <w:uiPriority w:val="0"/>
    <w:qFormat/>
    <w:pPr>
      <w:ind w:firstLine="200"/>
      <w:jc w:val="left"/>
    </w:pPr>
    <w:rPr>
      <w:rFonts w:ascii="Tahoma" w:hAnsi="Tahoma" w:eastAsia="Calibri" w:cs="宋体"/>
      <w:sz w:val="24"/>
      <w:szCs w:val="20"/>
      <w:lang w:val="zh-CN"/>
    </w:rPr>
  </w:style>
  <w:style w:type="paragraph" w:styleId="1462" w:customStyle="1">
    <w:name w:val="font7"/>
    <w:basedOn w:val="879"/>
    <w:uiPriority w:val="0"/>
    <w:qFormat/>
    <w:pPr>
      <w:jc w:val="left"/>
      <w:spacing w:before="100" w:beforeAutospacing="1" w:after="100" w:afterAutospacing="1"/>
      <w:widowControl/>
    </w:pPr>
    <w:rPr>
      <w:rFonts w:ascii="宋体" w:hAnsi="Times New Roman" w:eastAsia="Calibri" w:cs="宋体"/>
      <w:b/>
      <w:bCs/>
      <w:sz w:val="24"/>
      <w:szCs w:val="20"/>
      <w:lang w:val="zh-CN"/>
    </w:rPr>
  </w:style>
  <w:style w:type="paragraph" w:styleId="1463" w:customStyle="1">
    <w:name w:val="xl47"/>
    <w:basedOn w:val="8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Times New Roman" w:eastAsia="Calibri" w:cs="宋体"/>
      <w:sz w:val="24"/>
      <w:szCs w:val="20"/>
      <w:lang w:val="zh-CN"/>
    </w:rPr>
  </w:style>
  <w:style w:type="character" w:styleId="1464" w:customStyle="1">
    <w:name w:val="font161"/>
    <w:uiPriority w:val="0"/>
    <w:qFormat/>
    <w:rPr>
      <w:b/>
      <w:sz w:val="32"/>
    </w:rPr>
  </w:style>
  <w:style w:type="character" w:styleId="1465" w:customStyle="1">
    <w:name w:val="正文文本 3 Char1"/>
    <w:uiPriority w:val="0"/>
    <w:qFormat/>
    <w:rPr>
      <w:sz w:val="16"/>
      <w:szCs w:val="16"/>
    </w:rPr>
  </w:style>
  <w:style w:type="character" w:styleId="1466" w:customStyle="1">
    <w:name w:val="批注文字 Char1"/>
    <w:uiPriority w:val="0"/>
    <w:qFormat/>
    <w:rPr>
      <w:sz w:val="21"/>
    </w:rPr>
  </w:style>
  <w:style w:type="paragraph" w:styleId="1467" w:customStyle="1">
    <w:name w:val="6'"/>
    <w:basedOn w:val="879"/>
    <w:uiPriority w:val="0"/>
    <w:qFormat/>
    <w:pPr>
      <w:jc w:val="center"/>
      <w:spacing w:line="320" w:lineRule="exact"/>
    </w:pPr>
    <w:rPr>
      <w:rFonts w:ascii="Times New Roman" w:hAnsi="Times New Roman" w:eastAsia="Calibri" w:cs="宋体"/>
      <w:spacing w:val="20"/>
      <w:sz w:val="20"/>
      <w:szCs w:val="20"/>
      <w:lang w:val="zh-CN"/>
    </w:rPr>
  </w:style>
  <w:style w:type="paragraph" w:styleId="1468" w:customStyle="1">
    <w:name w:val="样式 标题 3 + (中文) 黑体 小四 非加粗 段前: 7.8 磅 段后: 0 磅 行距: 固定值 20 磅"/>
    <w:basedOn w:val="882"/>
    <w:uiPriority w:val="0"/>
    <w:qFormat/>
    <w:pPr>
      <w:numPr>
        <w:ilvl w:val="0"/>
        <w:numId w:val="0"/>
      </w:numPr>
      <w:spacing w:before="0" w:after="0" w:line="400" w:lineRule="exact"/>
      <w:tabs>
        <w:tab w:val="clear" w:pos="720" w:leader="none"/>
        <w:tab w:val="clear" w:pos="2563" w:leader="none"/>
      </w:tabs>
    </w:pPr>
    <w:rPr>
      <w:rFonts w:ascii="Times New Roman" w:eastAsia="黑体"/>
      <w:b w:val="0"/>
      <w:color w:val="auto"/>
      <w:sz w:val="24"/>
    </w:rPr>
  </w:style>
  <w:style w:type="paragraph" w:styleId="1469" w:customStyle="1">
    <w:name w:val="样式 标题 1 + 黑体 三号 非加粗 居中 段前: 6 磅 段后: 6 磅 行距: 固定值 20 磅"/>
    <w:basedOn w:val="880"/>
    <w:uiPriority w:val="0"/>
    <w:qFormat/>
    <w:pPr>
      <w:jc w:val="center"/>
      <w:spacing w:before="120" w:after="120" w:line="400" w:lineRule="exact"/>
    </w:pPr>
    <w:rPr>
      <w:rFonts w:ascii="黑体" w:hAnsi="Times New Roman" w:eastAsia="黑体" w:cs="宋体"/>
      <w:b w:val="0"/>
      <w:bCs w:val="0"/>
      <w:sz w:val="32"/>
      <w:szCs w:val="20"/>
      <w:lang w:val="zh-CN"/>
    </w:rPr>
  </w:style>
  <w:style w:type="paragraph" w:styleId="1470" w:customStyle="1">
    <w:name w:val="Blockquote"/>
    <w:basedOn w:val="879"/>
    <w:uiPriority w:val="0"/>
    <w:qFormat/>
    <w:pPr>
      <w:ind w:left="360" w:right="360"/>
      <w:jc w:val="left"/>
      <w:spacing w:before="100" w:after="100"/>
    </w:pPr>
    <w:rPr>
      <w:rFonts w:ascii="Times New Roman" w:hAnsi="Times New Roman" w:eastAsia="Calibri" w:cs="宋体"/>
      <w:sz w:val="24"/>
      <w:szCs w:val="20"/>
      <w:lang w:val="zh-CN"/>
    </w:rPr>
  </w:style>
  <w:style w:type="character" w:styleId="1471" w:customStyle="1">
    <w:name w:val="rvts9"/>
    <w:uiPriority w:val="0"/>
    <w:qFormat/>
    <w:rPr>
      <w:rFonts w:ascii="KNLe" w:hAnsi="KNLe"/>
    </w:rPr>
  </w:style>
  <w:style w:type="paragraph" w:styleId="1472" w:customStyle="1">
    <w:name w:val="rvps1"/>
    <w:basedOn w:val="879"/>
    <w:uiPriority w:val="0"/>
    <w:qFormat/>
    <w:pPr>
      <w:jc w:val="center"/>
      <w:widowControl/>
    </w:pPr>
    <w:rPr>
      <w:rFonts w:ascii="Times New Roman" w:hAnsi="Times New Roman" w:eastAsia="Calibri" w:cs="宋体"/>
      <w:sz w:val="24"/>
      <w:szCs w:val="20"/>
      <w:lang w:val="zh-CN"/>
    </w:rPr>
  </w:style>
  <w:style w:type="character" w:styleId="1473" w:customStyle="1">
    <w:name w:val="rvts11"/>
    <w:uiPriority w:val="0"/>
    <w:qFormat/>
    <w:rPr>
      <w:rFonts w:ascii="KNLe" w:hAnsi="KNLe"/>
      <w:u w:val="single"/>
    </w:rPr>
  </w:style>
  <w:style w:type="character" w:styleId="1474" w:customStyle="1">
    <w:name w:val="rvts13"/>
    <w:uiPriority w:val="0"/>
    <w:qFormat/>
    <w:rPr>
      <w:rFonts w:ascii="KNLe" w:hAnsi="KNLe"/>
      <w:color w:val="000000"/>
    </w:rPr>
  </w:style>
  <w:style w:type="character" w:styleId="1475" w:customStyle="1">
    <w:name w:val="rvts79"/>
    <w:uiPriority w:val="0"/>
    <w:qFormat/>
    <w:rPr>
      <w:rFonts w:ascii="KNLe" w:hAnsi="KNLe"/>
      <w:color w:val="0000ff"/>
      <w:u w:val="single"/>
    </w:rPr>
  </w:style>
  <w:style w:type="character" w:styleId="1476" w:customStyle="1">
    <w:name w:val="rvts129"/>
    <w:uiPriority w:val="0"/>
    <w:qFormat/>
    <w:rPr>
      <w:rFonts w:ascii="Calibri" w:hAnsi="Calibri"/>
      <w:color w:val="0000ff"/>
      <w:u w:val="single"/>
    </w:rPr>
  </w:style>
  <w:style w:type="paragraph" w:styleId="1477" w:customStyle="1">
    <w:name w:val="index heading1"/>
    <w:basedOn w:val="879"/>
    <w:next w:val="1478"/>
    <w:uiPriority w:val="0"/>
    <w:qFormat/>
    <w:rPr>
      <w:rFonts w:ascii="Arial" w:hAnsi="Arial" w:cs="Arial"/>
      <w:b/>
      <w:bCs/>
    </w:rPr>
  </w:style>
  <w:style w:type="paragraph" w:styleId="1478" w:customStyle="1">
    <w:name w:val="index 11"/>
    <w:basedOn w:val="879"/>
    <w:next w:val="879"/>
    <w:uiPriority w:val="0"/>
    <w:qFormat/>
  </w:style>
  <w:style w:type="paragraph" w:styleId="1479" w:customStyle="1">
    <w:name w:val="Table Text"/>
    <w:basedOn w:val="879"/>
    <w:uiPriority w:val="0"/>
    <w:semiHidden/>
    <w:qFormat/>
    <w:pPr>
      <w:jc w:val="left"/>
      <w:widowControl/>
    </w:pPr>
    <w:rPr>
      <w:rFonts w:ascii="宋体" w:hAnsi="宋体" w:cs="宋体"/>
      <w:color w:val="000000"/>
      <w:szCs w:val="21"/>
      <w:lang w:eastAsia="en-US"/>
    </w:rPr>
  </w:style>
  <w:style w:type="table" w:styleId="1480" w:customStyle="1">
    <w:name w:val="Table Normal"/>
    <w:uiPriority w:val="0"/>
    <w:semiHidden/>
    <w:unhideWhenUsed/>
    <w:qFormat/>
    <w:rPr>
      <w:rFonts w:ascii="Arial" w:hAnsi="Arial" w:cs="Arial" w:eastAsiaTheme="minorEastAsia"/>
    </w:rPr>
    <w:tblPr>
      <w:tblCellMar>
        <w:left w:w="0" w:type="dxa"/>
        <w:top w:w="0" w:type="dxa"/>
        <w:right w:w="0" w:type="dxa"/>
        <w:bottom w:w="0" w:type="dxa"/>
      </w:tblCellMar>
    </w:tblPr>
  </w:style>
  <w:style w:type="paragraph" w:styleId="1481" w:customStyle="1">
    <w:name w:val="WPSOffice手动目录 1"/>
    <w:uiPriority w:val="0"/>
    <w:qFormat/>
    <w:rPr>
      <w:rFonts w:hint="default" w:ascii="Times New Roman" w:hAnsi="Times New Roman" w:eastAsia="宋体" w:cs="Times New Roman"/>
    </w:rPr>
  </w:style>
  <w:style w:type="paragraph" w:styleId="1482" w:customStyle="1">
    <w:name w:val="WPSOffice手动目录 2"/>
    <w:uiPriority w:val="0"/>
    <w:qFormat/>
    <w:pPr>
      <w:ind w:left="200"/>
    </w:pPr>
    <w:rPr>
      <w:rFonts w:hint="default" w:ascii="Times New Roman" w:hAnsi="Times New Roman" w:eastAsia="宋体" w:cs="Times New Roman"/>
    </w:rPr>
  </w:style>
  <w:style w:type="character" w:styleId="1483" w:customStyle="1">
    <w:name w:val="正文首行缩进 字符"/>
    <w:basedOn w:val="1107"/>
    <w:link w:val="939"/>
    <w:uiPriority w:val="0"/>
    <w:qFormat/>
    <w:rPr>
      <w:rFonts w:ascii="宋体" w:hAnsi="宋体" w:cs="Times New Roman" w:eastAsiaTheme="minorEastAsia"/>
      <w:sz w:val="21"/>
      <w:szCs w:val="24"/>
      <w:lang w:eastAsia="en-US"/>
    </w:rPr>
  </w:style>
  <w:style w:type="paragraph" w:styleId="1484" w:customStyle="1">
    <w:name w:val="索引 41"/>
    <w:basedOn w:val="879"/>
    <w:next w:val="879"/>
    <w:uiPriority w:val="0"/>
    <w:semiHidden/>
    <w:qFormat/>
    <w:pPr>
      <w:ind w:left="1260"/>
    </w:pPr>
    <w:rPr>
      <w:rFonts w:ascii="Calibri" w:hAnsi="Calibri" w:eastAsia="Calibri" w:cs="宋体"/>
      <w:sz w:val="20"/>
      <w:lang w:val="zh-CN"/>
    </w:rPr>
  </w:style>
  <w:style w:type="character" w:styleId="1485" w:customStyle="1">
    <w:name w:val="font21"/>
    <w:basedOn w:val="889"/>
    <w:uiPriority w:val="0"/>
    <w:qFormat/>
    <w:rPr>
      <w:rFonts w:hint="eastAsia" w:ascii="宋体" w:hAnsi="宋体" w:eastAsia="宋体" w:cs="宋体"/>
      <w:color w:val="000000"/>
      <w:sz w:val="28"/>
      <w:szCs w:val="28"/>
      <w:u w:val="none"/>
    </w:rPr>
  </w:style>
  <w:style w:type="character" w:styleId="1486" w:customStyle="1">
    <w:name w:val="font51"/>
    <w:basedOn w:val="889"/>
    <w:uiPriority w:val="0"/>
    <w:qFormat/>
    <w:rPr>
      <w:rFonts w:ascii="Arial" w:hAnsi="Arial" w:cs="Arial"/>
      <w:color w:val="000000"/>
      <w:sz w:val="28"/>
      <w:szCs w:val="28"/>
      <w:u w:val="none"/>
    </w:rPr>
  </w:style>
  <w:style w:type="paragraph" w:styleId="1487" w:customStyle="1">
    <w:name w:val="标题 11"/>
    <w:basedOn w:val="879"/>
    <w:next w:val="879"/>
    <w:uiPriority w:val="0"/>
    <w:qFormat/>
    <w:pPr>
      <w:jc w:val="center"/>
      <w:keepNext/>
      <w:outlineLvl w:val="0"/>
    </w:pPr>
    <w:rPr>
      <w:rFonts w:ascii="楷体_GB2312" w:eastAsia="楷体_GB2312"/>
      <w:sz w:val="28"/>
      <w:szCs w:val="28"/>
    </w:rPr>
  </w:style>
  <w:style w:type="numbering" w:styleId="14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枫</dc:creator>
  <cp:lastModifiedBy>欧宽</cp:lastModifiedBy>
  <cp:revision>12</cp:revision>
  <dcterms:created xsi:type="dcterms:W3CDTF">2025-03-21T03:27:00Z</dcterms:created>
  <dcterms:modified xsi:type="dcterms:W3CDTF">2026-02-02T08:15:18Z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F5FEAD4C36734505BEEC5A5D1E3ABB0A_13</vt:lpwstr>
  </property>
  <property fmtid="{D5CDD505-2E9C-101B-9397-08002B2CF9AE}" pid="4" name="KSOTemplateDocerSaveRecord">
    <vt:lpwstr>eyJoZGlkIjoiMzVlNjM2MTk0ZWE5OWE5MTI0MjgzNGM2Y2Q2MTNhMzQiLCJ1c2VySWQiOiI1Mzk0NTE0NzIifQ==</vt:lpwstr>
  </property>
</Properties>
</file>