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南京市中医院检验科部分检验项目外送第三方检验机构服务</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项目编号：JSZC-320100-JCEC-G2026-0058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2026年03月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1866" w:history="1">
        <w:r>
          <w:rPr>
            <w:rStyle w:val="814"/>
            <w:rFonts w:ascii="SimSun" w:hAnsi="SimSun" w:eastAsia="SimSun" w:cs="SimSun"/>
            <w:color w:val="000000"/>
            <w:sz w:val="24"/>
            <w:u w:val="single"/>
          </w:rPr>
          <w:t xml:space="preserve">第一章</w:t>
        </w:r>
        <w:r>
          <w:rPr>
            <w:rStyle w:val="814"/>
            <w:rFonts w:ascii="SimSun" w:hAnsi="SimSun" w:eastAsia="SimSun" w:cs="SimSun"/>
            <w:color w:val="000000"/>
            <w:sz w:val="24"/>
            <w:u w:val="none"/>
          </w:rPr>
          <w:t xml:space="preserve"> </w:t>
        </w:r>
        <w:r>
          <w:rPr>
            <w:rStyle w:val="814"/>
            <w:rFonts w:ascii="SimSun" w:hAnsi="SimSun" w:eastAsia="SimSun" w:cs="SimSun"/>
            <w:color w:val="000000"/>
            <w:sz w:val="24"/>
            <w:u w:val="single"/>
          </w:rPr>
          <w:t xml:space="preserve">招标公告</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593" w:history="1">
        <w:r>
          <w:rPr>
            <w:rStyle w:val="814"/>
            <w:rFonts w:ascii="SimSun" w:hAnsi="SimSun" w:eastAsia="SimSun" w:cs="SimSun"/>
            <w:color w:val="000000"/>
            <w:sz w:val="24"/>
            <w:u w:val="single"/>
          </w:rPr>
          <w:t xml:space="preserve">第二章</w:t>
        </w:r>
        <w:r>
          <w:rPr>
            <w:rStyle w:val="814"/>
            <w:rFonts w:ascii="SimSun" w:hAnsi="SimSun" w:eastAsia="SimSun" w:cs="SimSun"/>
            <w:color w:val="000000"/>
            <w:sz w:val="24"/>
            <w:u w:val="none"/>
          </w:rPr>
          <w:t xml:space="preserve"> </w:t>
        </w:r>
        <w:r>
          <w:rPr>
            <w:rStyle w:val="814"/>
            <w:rFonts w:ascii="SimSun" w:hAnsi="SimSun" w:eastAsia="SimSun" w:cs="SimSun"/>
            <w:color w:val="000000"/>
            <w:sz w:val="24"/>
            <w:u w:val="single"/>
          </w:rPr>
          <w:t xml:space="preserve">投标人须知</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112" w:history="1">
        <w:r>
          <w:rPr>
            <w:rStyle w:val="814"/>
            <w:rFonts w:ascii="SimSun" w:hAnsi="SimSun" w:eastAsia="SimSun" w:cs="SimSun"/>
            <w:color w:val="000000"/>
            <w:sz w:val="24"/>
            <w:u w:val="single"/>
          </w:rPr>
          <w:t xml:space="preserve">第三章</w:t>
        </w:r>
        <w:r>
          <w:rPr>
            <w:rStyle w:val="814"/>
            <w:rFonts w:ascii="SimSun" w:hAnsi="SimSun" w:eastAsia="SimSun" w:cs="SimSun"/>
            <w:color w:val="000000"/>
            <w:sz w:val="24"/>
            <w:u w:val="none"/>
          </w:rPr>
          <w:t xml:space="preserve"> </w:t>
        </w:r>
        <w:r>
          <w:rPr>
            <w:rStyle w:val="814"/>
            <w:rFonts w:ascii="SimSun" w:hAnsi="SimSun" w:eastAsia="SimSun" w:cs="SimSun"/>
            <w:color w:val="000000"/>
            <w:sz w:val="24"/>
            <w:u w:val="single"/>
          </w:rPr>
          <w:t xml:space="preserve">评标标准</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3380" w:history="1">
        <w:r>
          <w:rPr>
            <w:rStyle w:val="814"/>
            <w:rFonts w:ascii="SimSun" w:hAnsi="SimSun" w:eastAsia="SimSun" w:cs="SimSun"/>
            <w:color w:val="000000"/>
            <w:sz w:val="24"/>
            <w:u w:val="single"/>
          </w:rPr>
          <w:t xml:space="preserve">第四章</w:t>
        </w:r>
        <w:r>
          <w:rPr>
            <w:rStyle w:val="814"/>
            <w:rFonts w:ascii="SimSun" w:hAnsi="SimSun" w:eastAsia="SimSun" w:cs="SimSun"/>
            <w:color w:val="000000"/>
            <w:sz w:val="24"/>
            <w:u w:val="none"/>
          </w:rPr>
          <w:t xml:space="preserve"> </w:t>
        </w:r>
        <w:r>
          <w:rPr>
            <w:rStyle w:val="814"/>
            <w:rFonts w:ascii="SimSun" w:hAnsi="SimSun" w:eastAsia="SimSun" w:cs="SimSun"/>
            <w:color w:val="000000"/>
            <w:sz w:val="24"/>
            <w:u w:val="single"/>
          </w:rPr>
          <w:t xml:space="preserve">采购需求</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239" w:history="1">
        <w:r>
          <w:rPr>
            <w:rStyle w:val="814"/>
            <w:rFonts w:ascii="SimSun" w:hAnsi="SimSun" w:eastAsia="SimSun" w:cs="SimSun"/>
            <w:color w:val="000000"/>
            <w:sz w:val="24"/>
            <w:u w:val="single"/>
          </w:rPr>
          <w:t xml:space="preserve">第五章</w:t>
        </w:r>
        <w:r>
          <w:rPr>
            <w:rStyle w:val="814"/>
            <w:rFonts w:ascii="SimSun" w:hAnsi="SimSun" w:eastAsia="SimSun" w:cs="SimSun"/>
            <w:color w:val="000000"/>
            <w:sz w:val="24"/>
            <w:u w:val="none"/>
          </w:rPr>
          <w:t xml:space="preserve"> </w:t>
        </w:r>
        <w:r>
          <w:rPr>
            <w:rStyle w:val="814"/>
            <w:rFonts w:ascii="SimSun" w:hAnsi="SimSun" w:eastAsia="SimSun" w:cs="SimSun"/>
            <w:color w:val="000000"/>
            <w:sz w:val="24"/>
            <w:u w:val="single"/>
          </w:rPr>
          <w:t xml:space="preserve">合同主要条款及格式</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6328" w:history="1">
        <w:r>
          <w:rPr>
            <w:rStyle w:val="814"/>
            <w:rFonts w:ascii="SimSun" w:hAnsi="SimSun" w:eastAsia="SimSun" w:cs="SimSun"/>
            <w:color w:val="000000"/>
            <w:sz w:val="24"/>
            <w:u w:val="single"/>
          </w:rPr>
          <w:t xml:space="preserve">第六章</w:t>
        </w:r>
        <w:r>
          <w:rPr>
            <w:rStyle w:val="814"/>
            <w:rFonts w:ascii="SimSun" w:hAnsi="SimSun" w:eastAsia="SimSun" w:cs="SimSun"/>
            <w:color w:val="000000"/>
            <w:sz w:val="24"/>
            <w:u w:val="none"/>
          </w:rPr>
          <w:t xml:space="preserve"> </w:t>
        </w:r>
        <w:r>
          <w:rPr>
            <w:rStyle w:val="814"/>
            <w:rFonts w:ascii="SimSun" w:hAnsi="SimSun" w:eastAsia="SimSun" w:cs="SimSun"/>
            <w:color w:val="000000"/>
            <w:sz w:val="24"/>
            <w:u w:val="single"/>
          </w:rPr>
          <w:t xml:space="preserve">投标文件格式及附件</w:t>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南京市中医院检验科部分检验项目外送第三方检验机构服务</w:t>
      </w:r>
      <w:r>
        <w:rPr>
          <w:rFonts w:ascii="SimSun" w:hAnsi="SimSun" w:eastAsia="SimSun" w:cs="SimSun"/>
          <w:color w:val="000000"/>
          <w:spacing w:val="8"/>
          <w:sz w:val="21"/>
        </w:rPr>
        <w:t xml:space="preserve">的潜在投标人应在</w:t>
      </w:r>
      <w:r>
        <w:rPr>
          <w:rFonts w:ascii="SimSun" w:hAnsi="SimSun" w:eastAsia="SimSun" w:cs="SimSun"/>
          <w:color w:val="000000"/>
          <w:sz w:val="21"/>
          <w:u w:val="single"/>
        </w:rPr>
        <w:t xml:space="preserve">江苏政府采购网</w:t>
      </w:r>
      <w:r>
        <w:rPr>
          <w:rFonts w:ascii="SimSun" w:hAnsi="SimSun" w:eastAsia="SimSun" w:cs="SimSun"/>
          <w:color w:val="000000"/>
          <w:spacing w:val="8"/>
          <w:sz w:val="21"/>
        </w:rPr>
        <w:t xml:space="preserve">获取招标文件，并于2026年04月20日09点30分（北京时间）前递交投标文件。</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1.1项目编号：JSZC-320100-JCEC-G2026-0058</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1.2项目名称：南京市中医院检验科部分检验项目外送第三方检验机构服务</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1.3预算金额：780万元</w:t>
      </w:r>
      <w:r/>
    </w:p>
    <w:p>
      <w:pPr>
        <w:ind w:left="0" w:right="0" w:firstLine="370"/>
        <w:jc w:val="both"/>
        <w:spacing w:before="0" w:after="0" w:line="460" w:lineRule="atLeast"/>
        <w:shd w:val="clear" w:color="ffffff" w:fill="ffffff"/>
        <w:tabs>
          <w:tab w:val="left" w:pos="39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w:t>
      </w:r>
      <w:r>
        <w:rPr>
          <w:rFonts w:ascii="SimSun" w:hAnsi="SimSun" w:eastAsia="SimSun" w:cs="SimSun"/>
          <w:color w:val="000000"/>
          <w:sz w:val="21"/>
        </w:rPr>
        <w:t xml:space="preserve">不高于《江苏省医疗服务项目价格手册》标准收费的</w:t>
      </w:r>
      <w:r>
        <w:rPr>
          <w:rFonts w:ascii="Calibri" w:hAnsi="Calibri" w:eastAsia="Calibri" w:cs="Calibri"/>
          <w:color w:val="000000"/>
          <w:sz w:val="21"/>
        </w:rPr>
        <w:t xml:space="preserve">35%</w:t>
      </w:r>
      <w:r>
        <w:rPr>
          <w:rFonts w:ascii="SimSun" w:hAnsi="SimSun" w:eastAsia="SimSun" w:cs="SimSun"/>
          <w:color w:val="000000"/>
          <w:spacing w:val="8"/>
          <w:sz w:val="21"/>
        </w:rPr>
        <w:t xml:space="preserve">，超过最高限价的报价按无效应答处理。</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1.5采购需求：南京市中医院检验科部分检验项目外送第三方检验机构服务，具体要求见招标文件。</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1.6合同履行期限：本项目服务期为三年，自合同签订之日起计算。</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1.7行业划分：其他未列明行业。</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w:t>
      </w:r>
      <w:r>
        <w:rPr>
          <w:rFonts w:ascii="SimSun" w:hAnsi="SimSun" w:eastAsia="SimSun" w:cs="SimSun"/>
          <w:color w:val="000000"/>
          <w:sz w:val="21"/>
        </w:rPr>
        <w:t xml:space="preserve">本项目（不专门）面向中小企业（或监狱企业或残疾人福利性单位）采购。（按照《政府采购促进中小企业发展管理办法》规定预留采购份额无法确保充分供应、充分竞争，或者存在可能影响政府采购目标实现的情形。）</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w:t>
      </w:r>
      <w:r>
        <w:rPr>
          <w:rFonts w:ascii="SimSun" w:hAnsi="SimSun" w:eastAsia="SimSun" w:cs="SimSun"/>
          <w:i/>
          <w:color w:val="000000"/>
          <w:spacing w:val="8"/>
          <w:sz w:val="21"/>
        </w:rPr>
        <w:t xml:space="preserve">否</w:t>
      </w:r>
      <w:r>
        <w:rPr>
          <w:rFonts w:ascii="SimSun" w:hAnsi="SimSun" w:eastAsia="SimSun" w:cs="SimSun"/>
          <w:color w:val="000000"/>
          <w:spacing w:val="8"/>
          <w:sz w:val="21"/>
        </w:rPr>
        <w:t xml:space="preserve">）接受联合体投标。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w:t>
      </w:r>
      <w:r>
        <w:rPr>
          <w:rFonts w:ascii="SimSun" w:hAnsi="SimSun" w:eastAsia="SimSun" w:cs="SimSun"/>
          <w:b/>
          <w:color w:val="000000"/>
          <w:sz w:val="21"/>
        </w:rPr>
        <w:t xml:space="preserve">采购人根据采购项目的特殊要求规定的特定条件，并提供符合特殊要求的证明材料或者情况说明：</w:t>
      </w:r>
      <w:r/>
    </w:p>
    <w:p>
      <w:pPr>
        <w:numPr>
          <w:ilvl w:val="0"/>
          <w:numId w:val="6"/>
        </w:numPr>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供应商具有有效期内的《医疗机构执业许可证》（提供证书复印件加盖公章）。</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（2）PCR实验室需具有有效期的《临床基因扩增检验实验室技术验收合格证书》（含感染、代谢、肿瘤方向），并提供相应的二级及以上生物安全实验室备案证书。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3.1时间：自本项目招标公告发布之日至2026年04月03日17时30分（北京时间）。</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3.2地点：江苏政府采购网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3.3方式：本项目采用网上注册登记方式免费获取</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 2026年04月20日09点30分（北京时间）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4.2 提交投标文件地点：江苏省政府采购管理交易系统（苏采云）（以下简称“苏采云”）（网址：</w:t>
      </w:r>
      <w:hyperlink r:id="rId15" w:tooltip="http://jszfcg.jsczt.cn/%EF%BC%89" w:history="1">
        <w:r>
          <w:rPr>
            <w:rStyle w:val="814"/>
            <w:rFonts w:ascii="SimSun" w:hAnsi="SimSun" w:eastAsia="SimSun" w:cs="SimSun"/>
            <w:color w:val="000000"/>
            <w:spacing w:val="8"/>
            <w:sz w:val="21"/>
            <w:u w:val="single"/>
          </w:rPr>
          <w:t xml:space="preserve">http://jszfcg.jsczt.cn/）</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4.3开标地点：“苏采云”开标大厅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自本公告发布之日起5个工作日。</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6.1本项目在南京公共采购信息网、江苏政府采购网、中国政府采购网网站发布公告。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 w:history="1">
        <w:r>
          <w:rPr>
            <w:rStyle w:val="814"/>
            <w:rFonts w:ascii="SimSun" w:hAnsi="SimSun" w:eastAsia="SimSun" w:cs="SimSun"/>
            <w:color w:val="000000"/>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363"/>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814"/>
            <w:rFonts w:ascii="SimSun" w:hAnsi="SimSun" w:eastAsia="SimSun" w:cs="SimSun"/>
            <w:color w:val="000000"/>
            <w:sz w:val="21"/>
            <w:u w:val="single"/>
          </w:rPr>
          <w:t xml:space="preserve">http://www.ccgp-jiangsu.gov.cn/jiangsu/zlxz/ee/ee3a4bc5a3454aa2b0d9312230633ce9.html</w:t>
        </w:r>
      </w:hyperlink>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有关本次招标的事项若存在变动或修改，请及时关注“江苏政府采购网”（www.ccgp-jiangsu.gov.cn）更正公告。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勘察现场：无</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rPr>
          <w:rFonts w:ascii="SimSun" w:hAnsi="SimSun" w:eastAsia="SimSun" w:cs="SimSun"/>
          <w:b/>
          <w:color w:val="000000"/>
          <w:sz w:val="21"/>
        </w:rPr>
        <w:t xml:space="preserve">投标文件的解密</w:t>
      </w:r>
      <w:r>
        <w:rPr>
          <w:rFonts w:ascii="SimSun" w:hAnsi="SimSun" w:eastAsia="SimSun" w:cs="SimSun"/>
          <w:color w:val="000000"/>
          <w:sz w:val="21"/>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ascii="SimSun" w:hAnsi="SimSun" w:eastAsia="SimSun" w:cs="SimSun"/>
          <w:b/>
          <w:color w:val="000000"/>
          <w:sz w:val="21"/>
        </w:rPr>
        <w:t xml:space="preserve">投标人解密限定在开标后30分钟之内完成</w:t>
      </w:r>
      <w:r>
        <w:rPr>
          <w:rFonts w:ascii="SimSun" w:hAnsi="SimSun" w:eastAsia="SimSun" w:cs="SimSun"/>
          <w:color w:val="000000"/>
          <w:sz w:val="21"/>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6.5供应商诚信档案管理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2"/>
          <w:highlight w:val="white"/>
        </w:rPr>
        <w:t xml:space="preserve">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SimSun" w:hAnsi="SimSun" w:eastAsia="SimSun" w:cs="SimSun"/>
          <w:b/>
          <w:color w:val="000000"/>
          <w:sz w:val="22"/>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符合国家相关规定的财务状况报告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依法缴纳税收的证明材料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依法缴纳社会保障资金的证明材料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具备履行政府采购合同所必需的设备和专业技术能力的证明材料；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参加政府采购活动前三年内在经营活动中没有重大违法记录的证明材料；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未被列入失信被执行人、重大税收违法失信主体、政府采购严重违法失信行为记录名单的证明材料。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供应商涉及一下情形的，不适用信用承诺：</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供应商被列入严重失信主体名单；</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被相关监管部门做出行政处罚且尚在出发有效期内；</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被其他法律、行政法规规定的不适用信用承诺的情形。</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供应商对信用承诺内容的真实性、合法性、有效性负责。如作出虚假信用承诺，视同为“提供虚假材料谋取中标、成交”的违法行为。</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7.1采购人信息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称：南京市中医院</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地址：南京市大明路157号</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联系人：张老师</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联系方式：025-86369663 </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7.2采购代理机构信息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 江苏省设备成套股份有限公司</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联系方式：钮驰，刘晗13770552830，13814074300</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电子邮箱：114778553@qq.com</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7.3项目联系方式</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项目联系人：钮驰，刘晗</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话：13770552830，13814074300 </w:t>
      </w:r>
      <w:r/>
    </w:p>
    <w:p>
      <w:pPr>
        <w:ind w:left="0" w:right="0" w:firstLine="452"/>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采购代理机构：江苏省设备成套股份有限公司</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2026年03月30日</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36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如标书制作工具中格式和内容与“南京公共采购信息网/江苏政府采购网/中国政府采购网”发布的招标文件不一致的，以上述网站发布的招标文件为准。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7、联合体投标（如有）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（1）-（6）所述材料不得有缺失或提供不全或不满足招标文件的实质性要求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（3）投标人资格资信证明文件：</w:t>
      </w:r>
      <w:r/>
    </w:p>
    <w:p>
      <w:pPr>
        <w:numPr>
          <w:ilvl w:val="1"/>
          <w:numId w:val="7"/>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7"/>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7"/>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（5）投标人缴纳投标保证金凭证（不需要）；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（6）《南京市政府采购供应商信用记录表暨信用承诺书》</w:t>
      </w:r>
      <w:r>
        <w:rPr>
          <w:rFonts w:ascii="SimSun" w:hAnsi="SimSun" w:eastAsia="SimSun" w:cs="SimSun"/>
          <w:b/>
          <w:color w:val="000000"/>
          <w:sz w:val="21"/>
        </w:rPr>
        <w:t xml:space="preserve">（如招标公告中要求提供）；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11.7本项目预算为：详见第一章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特殊情况下，在原投标有效期截止之前，招标代理机构可要求投标人同意延长投标有效期，这种要求与答复均应以书面形式提交。接受延长投标有效期的投标人将不会要求和允许修正其投标。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招标代理服务费：本次招标，中标人按《招标代理服务收费管理暂行办法》（国家发展计划委员会计价格[2002]1980号）代理货物招标收费基准费率的</w:t>
      </w:r>
      <w:r>
        <w:rPr>
          <w:rFonts w:ascii="SimSun" w:hAnsi="SimSun" w:eastAsia="SimSun" w:cs="SimSun"/>
          <w:color w:val="000000"/>
          <w:sz w:val="21"/>
          <w:u w:val="single"/>
        </w:rPr>
        <w:t xml:space="preserve"> 40% </w:t>
      </w:r>
      <w:r>
        <w:rPr>
          <w:rFonts w:ascii="SimSun" w:hAnsi="SimSun" w:eastAsia="SimSun" w:cs="SimSun"/>
          <w:color w:val="000000"/>
          <w:sz w:val="21"/>
        </w:rPr>
        <w:t xml:space="preserve">向招标代理机构支付招标服务费。本项费用无需在《报价一览表》中单列。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16.3本项目的评委费由中标供应商承担，费用请供应商综合考虑计入报价，不另列项目，摊销在报价中。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投标人应当按照《操作手册》规定，在“苏采云”系统规定的时间内对响应文件进行解密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中标人在中标后递交2份投标文件，必须保持和苏采云上传的投标文件一致，按照A4幅面打印或复印并进行装订，如有资料超过A4幅面折叠成A4幅面；投标文件装订采用胶装的形式。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投标人应当按照《操作手册》规定，在“苏采云”系统规定的时间内对投标文件进行解密。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（8）投标文件内容不全或不符合招标文件中规定的其他实质性要求的；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（9）现行法律、法规、规章和招标文件规定的其他无效情形。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22.2.2.3有下列情形之一的予以废标：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22.2.3.5投标人在开、评标全过程中应保持通讯畅通，及时登录苏采云系统查阅、答复相关信息，并安排专人与代理机构及评委会联系。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22.4.1评标过程中出现下列情形之一的，评标委员会应当启动异常低价投标审查程序：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22.4.2 评审委员会启动异常低价投标（响应）审查后，属于前述第（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分钟。其中，属于第（</w:t>
      </w:r>
      <w:r>
        <w:rPr>
          <w:rFonts w:ascii="Arial" w:hAnsi="Arial" w:eastAsia="Arial" w:cs="Arial"/>
          <w:color w:val="000000"/>
          <w:sz w:val="21"/>
        </w:rPr>
        <w:t xml:space="preserve">3</w:t>
      </w:r>
      <w:r>
        <w:rPr>
          <w:rFonts w:ascii="SimSun" w:hAnsi="SimSun" w:eastAsia="SimSun" w:cs="SimSun"/>
          <w:color w:val="000000"/>
          <w:sz w:val="21"/>
        </w:rPr>
        <w:t xml:space="preserve">）项情形，供应商已随投标（响应）文件一并提交相关书面说明及必要的证明材料的，在评审现场可不再重复提交。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22.4.4</w:t>
      </w: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 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26.2 </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任何单位和个人对代理机构在招标采购活动中的违法行为，有权控告和检举，联系电话：025-86636139（采购代理机构质量管理部门）、025-86636853（采购代理机构纪检监察部门）。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8"/>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29.1本项目根据江苏省财政厅关于加强政府绿色采购有关事项的通知（苏财购〔2023〕65号）规定，执行绿色采购需求标准。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6"/>
        <w:gridCol w:w="1030"/>
        <w:gridCol w:w="644"/>
        <w:gridCol w:w="6087"/>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标准分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087" w:type="dxa"/>
            <w:vAlign w:val="center"/>
            <w:textDirection w:val="lrTb"/>
            <w:noWrap w:val="false"/>
          </w:tcPr>
          <w:p>
            <w:pPr>
              <w:ind w:left="0" w:right="0" w:firstLine="0"/>
              <w:jc w:val="center"/>
              <w:spacing w:before="200" w:after="200"/>
              <w:tabs>
                <w:tab w:val="left" w:pos="433" w:leader="none"/>
                <w:tab w:val="left" w:pos="853" w:leader="none"/>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w:t>
              <w:tab/>
              <w:t xml:space="preserve">标准</w:t>
            </w:r>
            <w:r/>
          </w:p>
        </w:tc>
      </w:tr>
      <w:tr>
        <w:trPr>
          <w:trHeight w:val="454"/>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（一）价格部分（10分）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08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采用低价优先法计算，即满足招标文件要求且投标价格最低的投标报价为评标基准价，其价格分为满分。其他投标人的价格分统一按照下列公式计算：</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投标报价得分=（评标基准价/投标报价）×10%×100。</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特别说明：投标折扣以《江苏省医疗服务项目价格手册》标准收费为基准。 </w:t>
            </w:r>
            <w:r/>
          </w:p>
        </w:tc>
      </w:tr>
      <w:tr>
        <w:trPr>
          <w:trHeight w:val="454"/>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（二）商务部分（20分）</w:t>
            </w:r>
            <w:r/>
          </w:p>
        </w:tc>
      </w:tr>
      <w:tr>
        <w:trPr>
          <w:trHeight w:val="1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技术力量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08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供应商服务本项目的实验室通过ISO15189实验室认可得2分。（官网https://www.cnas.org.cn/查询为有效状态，提供中国合格评定国家认可委员会认可的证书复印件、官网查询截图加盖投标人公章）</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注：提供证书复印件和官网查询截图并加盖公章，提供不全不得分。</w:t>
            </w:r>
            <w:r/>
          </w:p>
        </w:tc>
      </w:tr>
      <w:tr>
        <w:trPr>
          <w:trHeight w:val="6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8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供应商提供2023年1月1日以后与医疗机构的类似项目合同（需备注类别），每提供一份合同复印件得1分，满分5分。（科研合作合同不计在内）</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注：同时需提供相关证明材料以证明项目已实际开展（材料不限于检测报告或采购单位确认函等形式）。</w:t>
            </w:r>
            <w:r/>
          </w:p>
        </w:tc>
      </w:tr>
      <w:tr>
        <w:trPr>
          <w:trHeight w:val="13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8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样本运输过程中使用专用冷链运输车辆或带有冷链箱的物流车辆的，有一辆得1分，最高2分。（提供车辆的权属证明、对应行驶证及车辆照片；如车辆为租赁的，提供租赁合同、对应行驶证及车辆照片。材料未提供或提供不全或提供材料无法认定的，对应项不得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8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提供2023年以来省级或以上检验中心颁发的《室间质评证书》的1份得0.5分，最高得2分。（提供参加的项目明细须在本次采购项目清单内并在响应文件清单中做好备注标记，提供合格证书复印件，证书取得人与投标人名称一致）</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人员团队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8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1、投标人拟为本项目提供的服务人员中：</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（1）具备检验类副高级及以上职称，每有1人得1分，最高得4分；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（2）具备PCR上岗证的操作人员，每有1人得0.5分，最高得1分；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（3）具备资格证的检验师，每有1人得1分，最高得2分；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提供投标人为服务团队人员近半年内任意一个月社保缴纳证明（如果委托第三方公司缴纳的，需提供委托社保公积金缴纳证明材料），未提供的本项目不得分。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提供人员配备表及相关证明材料，否则不得分。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人员不重复得分。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响应承诺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8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投标人承诺在响应项目启动后7天内完成与采购人现有信息系统数据对接，能够正常使用，提供承诺函并加盖公章，得1分，未提供不得分。</w:t>
            </w:r>
            <w:r/>
          </w:p>
        </w:tc>
      </w:tr>
      <w:tr>
        <w:trPr>
          <w:trHeight w:val="454"/>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（三）技术部分（70分）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08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满足第四章采购需求的得20分，正偏离不加分。★指标不允许负偏离，有一项负偏离做废标处理；</w:t>
            </w:r>
            <w:r>
              <w:rPr>
                <w:rFonts w:ascii="Microsoft YaHei" w:hAnsi="Microsoft YaHei" w:eastAsia="Microsoft YaHei" w:cs="Microsoft YaHei"/>
                <w:color w:val="000000"/>
                <w:sz w:val="21"/>
              </w:rPr>
              <w:t xml:space="preserve">▲</w:t>
            </w:r>
            <w:r>
              <w:rPr>
                <w:rFonts w:ascii="SimSun" w:hAnsi="SimSun" w:eastAsia="SimSun" w:cs="SimSun"/>
                <w:color w:val="000000"/>
                <w:sz w:val="21"/>
              </w:rPr>
              <w:t xml:space="preserve">指标每负偏离一项扣1.5分；非★和▲指标每负偏离一项扣0.5分，扣完为止。</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项目整体运营方案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8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评委根据投标人所提供的项目整体运营方案（包括但不限于：组织实施方案、检验工作流程方案、项目运营能力等），进行综合评审：</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（1）方案能完全满足或优于招标要求的，科学详实，针对性和可操作性强，清晰思路，合理、完整的得6分；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（2）方案能满足招标要求的，针对性和可操作性一般，思路较为清晰合理、完整的得3分；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（3）方案不能满足招标要求，针对性较差得1分；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（4）未提供方案或方案不可行，得0分；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检验服务方案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8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评委根据投标人所提供的检验服务方案（包括但不限于：检验规范、检验服务管理办法、增值服务等）进行综合评审：</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（1）方案全面完善，科学合理，可操作性强，得6分；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（2）方案基本完善，合理性、可行性一般，得3分；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（3）方案不全面，可行性较差，得1分；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（4）未提供方案或方案不可行，得0分。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质量控制方案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8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评委根据投标人所提供的质量保证管理方案（包括但不限于：各个检验环节的质量保障措施、异常报告处理流程等）进行综合评审：</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（1）方案全面完善，覆盖区域内实验室，可行性强，得6分；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（2）方案基本完善，可行性一般，得3分；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（3）方案不全面，可行性较差，得1分；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（4）未提供方案或方案不可行，得0分。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售后服务方案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8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评委根据投标人按项目要求提供的售后服务（包括但不限于：咨询服务、售后服务是否及时等进行综合评分）。对能提供及时响应服务的承诺进行评审打分。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（1）响应能力及售后服务措施方案全面完善，科学合理，针对性和可行性强，且投标人1小时内到达现场，一般问题2小时内解决，重大问题4个小时内解决，最长不超过48小时解决问题，得6分；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（2）响应能力及售后服务措施方案一般，针对性、可行性一般，且投标人2小时内到达现场，一般问题3小时内解决，重大问题5个小时内解决，最长不超过48小时解决问题，得3分；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（3）响应能力及售后服务措施方案欠缺，可行性较差，且投标人3小时内到达现场，一般问题4小时内解决，重大问题6个小时内解决，最长不1超过48小时解决问题，得1分；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（4）未提供方案或方案不可行，得0分。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应急响应方案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8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评委根据投标人提供的突发事件（包括但不限于：结果异议、标本丢失、公共卫生事件应急响应、提供危重病人样本应急处理服务等）处理机制、预案、协调措施等。 </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（1）机制、预案、协调措施清晰、准确、完整，编制合理、可行，关键节点的控制措施有力、合理、可行，得6分；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（2）机制、预案、协调措施基本准确，方案编制基本合理，但可行性较差，得3分；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（3）方案编制不明确，缺乏关键节点的控制措施、缺乏可行性和合理性，得1分；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（4）未提供方案或方案不可行，得0分。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冷链物流服务方案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87"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冷链物流服务方案：</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评委根据响应供应商所提供的冷链物流服务方案（包括但不限于：物流频次、车辆安排、标本接收、保证标本质量和安全的相关措施等）进行综合评审：</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）方案能内容完整，完全满足或优于招标要求的，科学详实，针对性和可操作性强，清晰思路，合理、完整的得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）方案能满足招标要求的，针对性和可操作性一般，思路较为清晰合理，但内容不完整有欠缺的得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）方案内容不完整、方案科学合理及可行性欠缺的的得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）未提供方案或方案不可行，得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信息化演示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87"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）供应商提供的数智化产品需集合的功能：报告解读、项目查询、疾病诊疗咨询、学术搜索、多场景智能体，每具备一项得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分，全部具备得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再（</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）基础上实用性强得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分；实用性一般得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分；无实用性得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不提供视频的不得分。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备注：提交视频资料上传苏采云系统，录制演示视频（视频以真实系统录制），演示总时长不超过</w:t>
            </w:r>
            <w:r>
              <w:rPr>
                <w:rFonts w:ascii="Times New Roman" w:hAnsi="Times New Roman" w:eastAsia="Times New Roman" w:cs="Times New Roman"/>
                <w:color w:val="000000"/>
                <w:sz w:val="21"/>
              </w:rPr>
              <w:t xml:space="preserve">10 </w:t>
            </w:r>
            <w:r>
              <w:rPr>
                <w:rFonts w:ascii="SimSun" w:hAnsi="SimSun" w:eastAsia="SimSun" w:cs="SimSun"/>
                <w:color w:val="000000"/>
                <w:sz w:val="21"/>
              </w:rPr>
              <w:t xml:space="preserve">分钟</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如出现超时情况，扣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1.所有认证、证明和业绩均以有效清晰的证明文件的复印件为依据。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br w:type="page" w:clear="all"/>
      </w:r>
      <w:r/>
    </w:p>
    <w:p>
      <w:pPr>
        <w:pStyle w:val="654"/>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rPr>
          <w:rFonts w:ascii="SimSun" w:hAnsi="SimSun" w:eastAsia="SimSun" w:cs="SimSun"/>
          <w:b/>
          <w:color w:val="000000"/>
          <w:sz w:val="32"/>
          <w:u w:val="none"/>
        </w:rPr>
        <w:t xml:space="preserve">（逐条响应）</w:t>
      </w:r>
      <w:r/>
    </w:p>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南京市中医院检验科部分检验项目外送第三方检验机构服务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一、项目外送清单</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6"/>
        <w:gridCol w:w="7009"/>
      </w:tblGrid>
      <w:tr>
        <w:trPr>
          <w:trHeight w:val="3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肾穿刺组织病理</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肝癌早筛三项</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铁二项</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肿瘤坏死因子</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外周血、骨髓染色体核型分析</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血清、尿液蛋白电泳、免疫固定电泳</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血液病相关基因定性检测（</w:t>
            </w:r>
            <w:r>
              <w:rPr>
                <w:rFonts w:ascii="Times New Roman" w:hAnsi="Times New Roman" w:eastAsia="Times New Roman" w:cs="Times New Roman"/>
                <w:color w:val="000000"/>
                <w:sz w:val="21"/>
              </w:rPr>
              <w:t xml:space="preserve">AML</w:t>
            </w:r>
            <w:r>
              <w:rPr>
                <w:rFonts w:ascii="SimSun" w:hAnsi="SimSun" w:eastAsia="SimSun" w:cs="SimSun"/>
                <w:color w:val="000000"/>
                <w:sz w:val="21"/>
              </w:rPr>
              <w:t xml:space="preserve">基因，</w:t>
            </w:r>
            <w:r>
              <w:rPr>
                <w:rFonts w:ascii="Times New Roman" w:hAnsi="Times New Roman" w:eastAsia="Times New Roman" w:cs="Times New Roman"/>
                <w:color w:val="000000"/>
                <w:sz w:val="21"/>
              </w:rPr>
              <w:t xml:space="preserve">JAK2</w:t>
            </w:r>
            <w:r>
              <w:rPr>
                <w:rFonts w:ascii="SimSun" w:hAnsi="SimSun" w:eastAsia="SimSun" w:cs="SimSun"/>
                <w:color w:val="000000"/>
                <w:sz w:val="21"/>
              </w:rPr>
              <w:t xml:space="preserve">基因等常见融合基因筛查）</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CMV</w:t>
            </w:r>
            <w:r>
              <w:rPr>
                <w:rFonts w:ascii="SimSun" w:hAnsi="SimSun" w:eastAsia="SimSun" w:cs="SimSun"/>
                <w:color w:val="000000"/>
                <w:sz w:val="21"/>
              </w:rPr>
              <w:t xml:space="preserve">病毒、</w:t>
            </w:r>
            <w:r>
              <w:rPr>
                <w:rFonts w:ascii="Times New Roman" w:hAnsi="Times New Roman" w:eastAsia="Times New Roman" w:cs="Times New Roman"/>
                <w:color w:val="000000"/>
                <w:sz w:val="21"/>
              </w:rPr>
              <w:t xml:space="preserve">EB</w:t>
            </w:r>
            <w:r>
              <w:rPr>
                <w:rFonts w:ascii="SimSun" w:hAnsi="SimSun" w:eastAsia="SimSun" w:cs="SimSun"/>
                <w:color w:val="000000"/>
                <w:sz w:val="21"/>
              </w:rPr>
              <w:t xml:space="preserve">病毒核酸检测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丙型肝炎病毒核酸</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戊型肝炎病毒核酸</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HCVRNA</w:t>
            </w:r>
            <w:r>
              <w:rPr>
                <w:rFonts w:ascii="SimSun" w:hAnsi="SimSun" w:eastAsia="SimSun" w:cs="SimSun"/>
                <w:color w:val="000000"/>
                <w:sz w:val="21"/>
              </w:rPr>
              <w:t xml:space="preserve">（超敏）</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HBVDNA</w:t>
            </w:r>
            <w:r>
              <w:rPr>
                <w:rFonts w:ascii="SimSun" w:hAnsi="SimSun" w:eastAsia="SimSun" w:cs="SimSun"/>
                <w:color w:val="000000"/>
                <w:sz w:val="21"/>
              </w:rPr>
              <w:t xml:space="preserve">（超敏）</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HCV</w:t>
            </w:r>
            <w:r>
              <w:rPr>
                <w:rFonts w:ascii="SimSun" w:hAnsi="SimSun" w:eastAsia="SimSun" w:cs="SimSun"/>
                <w:color w:val="000000"/>
                <w:sz w:val="21"/>
              </w:rPr>
              <w:t xml:space="preserve">基因分型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EB</w:t>
            </w:r>
            <w:r>
              <w:rPr>
                <w:rFonts w:ascii="SimSun" w:hAnsi="SimSun" w:eastAsia="SimSun" w:cs="SimSun"/>
                <w:color w:val="000000"/>
                <w:sz w:val="21"/>
              </w:rPr>
              <w:t xml:space="preserve">病毒抗体测定</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免疫球蛋白</w:t>
            </w:r>
            <w:r>
              <w:rPr>
                <w:rFonts w:ascii="Times New Roman" w:hAnsi="Times New Roman" w:eastAsia="Times New Roman" w:cs="Times New Roman"/>
                <w:color w:val="000000"/>
                <w:sz w:val="21"/>
              </w:rPr>
              <w:t xml:space="preserve">IgG4</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γ-</w:t>
            </w:r>
            <w:r>
              <w:rPr>
                <w:rFonts w:ascii="SimSun" w:hAnsi="SimSun" w:eastAsia="SimSun" w:cs="SimSun"/>
                <w:color w:val="000000"/>
                <w:sz w:val="21"/>
              </w:rPr>
              <w:t xml:space="preserve">干扰素</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肝纤四项</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促红细胞生成素</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降钙素</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自身免疫性肌炎抗体谱</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抗精子抗体</w:t>
            </w:r>
            <w:r>
              <w:rPr>
                <w:rFonts w:ascii="Times New Roman" w:hAnsi="Times New Roman" w:eastAsia="Times New Roman" w:cs="Times New Roman"/>
                <w:color w:val="000000"/>
                <w:sz w:val="21"/>
              </w:rPr>
              <w:t xml:space="preserve">IgA</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IgG</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IgM</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胰岛素样生长因子</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IGF-1</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胰岛素样结合蛋白</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IGFBP-3</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抗磷脂酶</w:t>
            </w:r>
            <w:r>
              <w:rPr>
                <w:rFonts w:ascii="Times New Roman" w:hAnsi="Times New Roman" w:eastAsia="Times New Roman" w:cs="Times New Roman"/>
                <w:color w:val="000000"/>
                <w:sz w:val="21"/>
              </w:rPr>
              <w:t xml:space="preserve">A2 </w:t>
            </w:r>
            <w:r>
              <w:rPr>
                <w:rFonts w:ascii="SimSun" w:hAnsi="SimSun" w:eastAsia="SimSun" w:cs="SimSun"/>
                <w:color w:val="000000"/>
                <w:sz w:val="21"/>
              </w:rPr>
              <w:t xml:space="preserve">受体抗体</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抗肾小球基底膜抗体</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全血微量元素</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血、尿儿茶酚胺</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血清双氢睾酮测定</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人类白细胞抗原</w:t>
            </w:r>
            <w:r>
              <w:rPr>
                <w:rFonts w:ascii="Times New Roman" w:hAnsi="Times New Roman" w:eastAsia="Times New Roman" w:cs="Times New Roman"/>
                <w:color w:val="000000"/>
                <w:sz w:val="21"/>
              </w:rPr>
              <w:t xml:space="preserve">b27</w:t>
            </w:r>
            <w:r>
              <w:rPr>
                <w:rFonts w:ascii="SimSun" w:hAnsi="SimSun" w:eastAsia="SimSun" w:cs="SimSun"/>
                <w:color w:val="000000"/>
                <w:sz w:val="21"/>
              </w:rPr>
              <w:t xml:space="preserve">测定</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生长激素</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铜蓝蛋白</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17a</w:t>
            </w:r>
            <w:r>
              <w:rPr>
                <w:rFonts w:ascii="SimSun" w:hAnsi="SimSun" w:eastAsia="SimSun" w:cs="SimSun"/>
                <w:color w:val="000000"/>
                <w:sz w:val="21"/>
              </w:rPr>
              <w:t xml:space="preserve">羟孕酮</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醛固酮</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血管紧张素</w:t>
            </w:r>
            <w:r>
              <w:rPr>
                <w:rFonts w:ascii="Times New Roman" w:hAnsi="Times New Roman" w:eastAsia="Times New Roman" w:cs="Times New Roman"/>
                <w:color w:val="000000"/>
                <w:sz w:val="21"/>
              </w:rPr>
              <w:t xml:space="preserve">I</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血管紧张素</w:t>
            </w:r>
            <w:r>
              <w:rPr>
                <w:rFonts w:ascii="Times New Roman" w:hAnsi="Times New Roman" w:eastAsia="Times New Roman" w:cs="Times New Roman"/>
                <w:color w:val="000000"/>
                <w:sz w:val="21"/>
              </w:rPr>
              <w:t xml:space="preserve">II</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血清血管紧张转化酶测定</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血浆肾素活性</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血浆肾素</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血清脱氢表雄酮及硫酸酯</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胰高血糖素</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糖类抗原</w:t>
            </w:r>
            <w:r>
              <w:rPr>
                <w:rFonts w:ascii="Times New Roman" w:hAnsi="Times New Roman" w:eastAsia="Times New Roman" w:cs="Times New Roman"/>
                <w:color w:val="000000"/>
                <w:sz w:val="21"/>
              </w:rPr>
              <w:t xml:space="preserve">CA50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CA242</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流行性出血热病毒、抗体两项</w:t>
            </w:r>
            <w:r>
              <w:rPr>
                <w:rFonts w:ascii="Times New Roman" w:hAnsi="Times New Roman" w:eastAsia="Times New Roman" w:cs="Times New Roman"/>
                <w:color w:val="000000"/>
                <w:sz w:val="21"/>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人附睾蛋白</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测定</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甲型肝炎病毒</w:t>
            </w:r>
            <w:r>
              <w:rPr>
                <w:rFonts w:ascii="Times New Roman" w:hAnsi="Times New Roman" w:eastAsia="Times New Roman" w:cs="Times New Roman"/>
                <w:color w:val="000000"/>
                <w:sz w:val="21"/>
              </w:rPr>
              <w:t xml:space="preserve">-IgM</w:t>
            </w:r>
            <w:r>
              <w:rPr>
                <w:rFonts w:ascii="SimSun" w:hAnsi="SimSun" w:eastAsia="SimSun" w:cs="SimSun"/>
                <w:color w:val="000000"/>
                <w:sz w:val="21"/>
              </w:rPr>
              <w:t xml:space="preserve">抗体</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戊型肝炎病毒</w:t>
            </w:r>
            <w:r>
              <w:rPr>
                <w:rFonts w:ascii="Times New Roman" w:hAnsi="Times New Roman" w:eastAsia="Times New Roman" w:cs="Times New Roman"/>
                <w:color w:val="000000"/>
                <w:sz w:val="21"/>
              </w:rPr>
              <w:t xml:space="preserve">-IgM</w:t>
            </w:r>
            <w:r>
              <w:rPr>
                <w:rFonts w:ascii="SimSun" w:hAnsi="SimSun" w:eastAsia="SimSun" w:cs="SimSun"/>
                <w:color w:val="000000"/>
                <w:sz w:val="21"/>
              </w:rPr>
              <w:t xml:space="preserve">抗体</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丁肝肝炎抗体（</w:t>
            </w:r>
            <w:r>
              <w:rPr>
                <w:rFonts w:ascii="Times New Roman" w:hAnsi="Times New Roman" w:eastAsia="Times New Roman" w:cs="Times New Roman"/>
                <w:color w:val="000000"/>
                <w:sz w:val="21"/>
              </w:rPr>
              <w:t xml:space="preserve">HDVAb</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庚肝肝炎抗体（</w:t>
            </w:r>
            <w:r>
              <w:rPr>
                <w:rFonts w:ascii="Times New Roman" w:hAnsi="Times New Roman" w:eastAsia="Times New Roman" w:cs="Times New Roman"/>
                <w:color w:val="000000"/>
                <w:sz w:val="21"/>
              </w:rPr>
              <w:t xml:space="preserve">HGV-Ab</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柯萨奇病毒</w:t>
            </w:r>
            <w:r>
              <w:rPr>
                <w:rFonts w:ascii="Times New Roman" w:hAnsi="Times New Roman" w:eastAsia="Times New Roman" w:cs="Times New Roman"/>
                <w:color w:val="000000"/>
                <w:sz w:val="21"/>
              </w:rPr>
              <w:t xml:space="preserve">IgG</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IgM</w:t>
            </w:r>
            <w:r>
              <w:rPr>
                <w:rFonts w:ascii="SimSun" w:hAnsi="SimSun" w:eastAsia="SimSun" w:cs="SimSun"/>
                <w:color w:val="000000"/>
                <w:sz w:val="21"/>
              </w:rPr>
              <w:t xml:space="preserve">抗体</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单纯疱疹病毒</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型、</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型</w:t>
            </w:r>
            <w:r>
              <w:rPr>
                <w:rFonts w:ascii="Times New Roman" w:hAnsi="Times New Roman" w:eastAsia="Times New Roman" w:cs="Times New Roman"/>
                <w:color w:val="000000"/>
                <w:sz w:val="21"/>
              </w:rPr>
              <w:t xml:space="preserve">IgG</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IgM</w:t>
            </w:r>
            <w:r>
              <w:rPr>
                <w:rFonts w:ascii="SimSun" w:hAnsi="SimSun" w:eastAsia="SimSun" w:cs="SimSun"/>
                <w:color w:val="000000"/>
                <w:sz w:val="21"/>
              </w:rPr>
              <w:t xml:space="preserve">抗体</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风疹病毒</w:t>
            </w:r>
            <w:r>
              <w:rPr>
                <w:rFonts w:ascii="Times New Roman" w:hAnsi="Times New Roman" w:eastAsia="Times New Roman" w:cs="Times New Roman"/>
                <w:color w:val="000000"/>
                <w:sz w:val="21"/>
              </w:rPr>
              <w:t xml:space="preserve">IgG</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IgM</w:t>
            </w:r>
            <w:r>
              <w:rPr>
                <w:rFonts w:ascii="SimSun" w:hAnsi="SimSun" w:eastAsia="SimSun" w:cs="SimSun"/>
                <w:color w:val="000000"/>
                <w:sz w:val="21"/>
              </w:rPr>
              <w:t xml:space="preserve">抗体</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弓型体</w:t>
            </w:r>
            <w:r>
              <w:rPr>
                <w:rFonts w:ascii="Times New Roman" w:hAnsi="Times New Roman" w:eastAsia="Times New Roman" w:cs="Times New Roman"/>
                <w:color w:val="000000"/>
                <w:sz w:val="21"/>
              </w:rPr>
              <w:t xml:space="preserve">IgG</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IgM</w:t>
            </w:r>
            <w:r>
              <w:rPr>
                <w:rFonts w:ascii="SimSun" w:hAnsi="SimSun" w:eastAsia="SimSun" w:cs="SimSun"/>
                <w:color w:val="000000"/>
                <w:sz w:val="21"/>
              </w:rPr>
              <w:t xml:space="preserve">抗体</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布鲁氏菌</w:t>
            </w:r>
            <w:r>
              <w:rPr>
                <w:rFonts w:ascii="Times New Roman" w:hAnsi="Times New Roman" w:eastAsia="Times New Roman" w:cs="Times New Roman"/>
                <w:color w:val="000000"/>
                <w:sz w:val="21"/>
              </w:rPr>
              <w:t xml:space="preserve">IgG/IgM</w:t>
            </w:r>
            <w:r>
              <w:rPr>
                <w:rFonts w:ascii="SimSun" w:hAnsi="SimSun" w:eastAsia="SimSun" w:cs="SimSun"/>
                <w:color w:val="000000"/>
                <w:sz w:val="21"/>
              </w:rPr>
              <w:t xml:space="preserve">抗体两项</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巨细胞病毒</w:t>
            </w:r>
            <w:r>
              <w:rPr>
                <w:rFonts w:ascii="Times New Roman" w:hAnsi="Times New Roman" w:eastAsia="Times New Roman" w:cs="Times New Roman"/>
                <w:color w:val="000000"/>
                <w:sz w:val="21"/>
              </w:rPr>
              <w:t xml:space="preserve">IgG</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IgM</w:t>
            </w:r>
            <w:r>
              <w:rPr>
                <w:rFonts w:ascii="SimSun" w:hAnsi="SimSun" w:eastAsia="SimSun" w:cs="SimSun"/>
                <w:color w:val="000000"/>
                <w:sz w:val="21"/>
              </w:rPr>
              <w:t xml:space="preserve">抗体</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水痘</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带状疱疹病毒抗体</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百日咳杆菌核酸检测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抗平滑肌抗体</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抗线粒体抗体</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骨代谢两项</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骨钙素</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骨源性碱性磷酸酶</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药物浓度测定（包括地高辛、丙戊酸钠、苯巴比妥、苯妥因钠等）</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万古霉素、伏立康唑、卡马西平、碳酸锂等药物浓度测定</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环孢霉素</w:t>
            </w: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、他克莫司等药物浓度测定</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血液流变学</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寄生虫常用抗体八项</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曲霉菌</w:t>
            </w:r>
            <w:r>
              <w:rPr>
                <w:rFonts w:ascii="Times New Roman" w:hAnsi="Times New Roman" w:eastAsia="Times New Roman" w:cs="Times New Roman"/>
                <w:color w:val="000000"/>
                <w:sz w:val="21"/>
              </w:rPr>
              <w:t xml:space="preserve">IgG</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IgE</w:t>
            </w:r>
            <w:r>
              <w:rPr>
                <w:rFonts w:ascii="SimSun" w:hAnsi="SimSun" w:eastAsia="SimSun" w:cs="SimSun"/>
                <w:color w:val="000000"/>
                <w:sz w:val="21"/>
              </w:rPr>
              <w:t xml:space="preserve">抗体检测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烟曲霉</w:t>
            </w:r>
            <w:r>
              <w:rPr>
                <w:rFonts w:ascii="Times New Roman" w:hAnsi="Times New Roman" w:eastAsia="Times New Roman" w:cs="Times New Roman"/>
                <w:color w:val="000000"/>
                <w:sz w:val="21"/>
              </w:rPr>
              <w:t xml:space="preserve">sIgE</w:t>
            </w:r>
            <w:r>
              <w:rPr>
                <w:rFonts w:ascii="SimSun" w:hAnsi="SimSun" w:eastAsia="SimSun" w:cs="SimSun"/>
                <w:color w:val="000000"/>
                <w:sz w:val="21"/>
              </w:rPr>
              <w:t xml:space="preserve">抗体定量检测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戊型肝炎病毒（</w:t>
            </w:r>
            <w:r>
              <w:rPr>
                <w:rFonts w:ascii="Times New Roman" w:hAnsi="Times New Roman" w:eastAsia="Times New Roman" w:cs="Times New Roman"/>
                <w:color w:val="000000"/>
                <w:sz w:val="21"/>
              </w:rPr>
              <w:t xml:space="preserve">HEV</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RNA</w:t>
            </w:r>
            <w:r>
              <w:rPr>
                <w:rFonts w:ascii="SimSun" w:hAnsi="SimSun" w:eastAsia="SimSun" w:cs="SimSun"/>
                <w:color w:val="000000"/>
                <w:sz w:val="21"/>
              </w:rPr>
              <w:t xml:space="preserve">检测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HBV </w:t>
            </w:r>
            <w:r>
              <w:rPr>
                <w:rFonts w:ascii="SimSun" w:hAnsi="SimSun" w:eastAsia="SimSun" w:cs="SimSun"/>
                <w:color w:val="000000"/>
                <w:sz w:val="21"/>
              </w:rPr>
              <w:t xml:space="preserve">前基因组</w:t>
            </w:r>
            <w:r>
              <w:rPr>
                <w:rFonts w:ascii="Times New Roman" w:hAnsi="Times New Roman" w:eastAsia="Times New Roman" w:cs="Times New Roman"/>
                <w:color w:val="000000"/>
                <w:sz w:val="21"/>
              </w:rPr>
              <w:t xml:space="preserve">RNA</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新型布尼亚病毒</w:t>
            </w:r>
            <w:r>
              <w:rPr>
                <w:rFonts w:ascii="Times New Roman" w:hAnsi="Times New Roman" w:eastAsia="Times New Roman" w:cs="Times New Roman"/>
                <w:color w:val="000000"/>
                <w:sz w:val="21"/>
              </w:rPr>
              <w:t xml:space="preserve">RNA</w:t>
            </w:r>
            <w:r>
              <w:rPr>
                <w:rFonts w:ascii="SimSun" w:hAnsi="SimSun" w:eastAsia="SimSun" w:cs="SimSun"/>
                <w:color w:val="000000"/>
                <w:sz w:val="21"/>
              </w:rPr>
              <w:t xml:space="preserve">检测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维生素</w:t>
            </w: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K</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B1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B2</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维生素</w:t>
            </w: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族</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项（</w:t>
            </w:r>
            <w:r>
              <w:rPr>
                <w:rFonts w:ascii="Times New Roman" w:hAnsi="Times New Roman" w:eastAsia="Times New Roman" w:cs="Times New Roman"/>
                <w:color w:val="000000"/>
                <w:sz w:val="21"/>
              </w:rPr>
              <w:t xml:space="preserve">B5/B6/B7/B9/B12</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病原微生物宏基因组测序（</w:t>
            </w:r>
            <w:r>
              <w:rPr>
                <w:rFonts w:ascii="Times New Roman" w:hAnsi="Times New Roman" w:eastAsia="Times New Roman" w:cs="Times New Roman"/>
                <w:color w:val="000000"/>
                <w:sz w:val="21"/>
              </w:rPr>
              <w:t xml:space="preserve">NGS</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DNA</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RNA</w:t>
            </w:r>
            <w:r>
              <w:rPr>
                <w:rFonts w:ascii="SimSun" w:hAnsi="SimSun" w:eastAsia="SimSun" w:cs="SimSun"/>
                <w:color w:val="000000"/>
                <w:sz w:val="21"/>
              </w:rPr>
              <w:t xml:space="preserve">等</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呼吸道多种病原体靶向测序（</w:t>
            </w:r>
            <w:r>
              <w:rPr>
                <w:rFonts w:ascii="Times New Roman" w:hAnsi="Times New Roman" w:eastAsia="Times New Roman" w:cs="Times New Roman"/>
                <w:color w:val="000000"/>
                <w:sz w:val="21"/>
              </w:rPr>
              <w:t xml:space="preserve">tNGS</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氯吡格雷抵抗基因（</w:t>
            </w:r>
            <w:r>
              <w:rPr>
                <w:rFonts w:ascii="Times New Roman" w:hAnsi="Times New Roman" w:eastAsia="Times New Roman" w:cs="Times New Roman"/>
                <w:color w:val="000000"/>
                <w:sz w:val="21"/>
              </w:rPr>
              <w:t xml:space="preserve">CYP2C19</w:t>
            </w:r>
            <w:r>
              <w:rPr>
                <w:rFonts w:ascii="SimSun" w:hAnsi="SimSun" w:eastAsia="SimSun" w:cs="SimSun"/>
                <w:color w:val="000000"/>
                <w:sz w:val="21"/>
              </w:rPr>
              <w:t xml:space="preserve">）检测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中枢神经系统脱髓鞘五项</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脑脊液蛋白综合分析（脑脊液生化、免疫、寡克隆区带、</w:t>
            </w:r>
            <w:r>
              <w:rPr>
                <w:rFonts w:ascii="Times New Roman" w:hAnsi="Times New Roman" w:eastAsia="Times New Roman" w:cs="Times New Roman"/>
                <w:color w:val="000000"/>
                <w:sz w:val="21"/>
              </w:rPr>
              <w:t xml:space="preserve">IgG</w:t>
            </w:r>
            <w:r>
              <w:rPr>
                <w:rFonts w:ascii="SimSun" w:hAnsi="SimSun" w:eastAsia="SimSun" w:cs="SimSun"/>
                <w:color w:val="000000"/>
                <w:sz w:val="21"/>
              </w:rPr>
              <w:t xml:space="preserve">指数组合）</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副肿瘤综合征抗体谱</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易栓症相关凝血因子（蛋白</w:t>
            </w:r>
            <w:r>
              <w:rPr>
                <w:rFonts w:ascii="Times New Roman" w:hAnsi="Times New Roman" w:eastAsia="Times New Roman" w:cs="Times New Roman"/>
                <w:color w:val="000000"/>
                <w:sz w:val="21"/>
              </w:rPr>
              <w:t xml:space="preserve">C</w:t>
            </w:r>
            <w:r>
              <w:rPr>
                <w:rFonts w:ascii="SimSun" w:hAnsi="SimSun" w:eastAsia="SimSun" w:cs="SimSun"/>
                <w:color w:val="000000"/>
                <w:sz w:val="21"/>
              </w:rPr>
              <w:t xml:space="preserve">、蛋白</w:t>
            </w:r>
            <w:r>
              <w:rPr>
                <w:rFonts w:ascii="Times New Roman" w:hAnsi="Times New Roman" w:eastAsia="Times New Roman" w:cs="Times New Roman"/>
                <w:color w:val="000000"/>
                <w:sz w:val="21"/>
              </w:rPr>
              <w:t xml:space="preserve">S</w:t>
            </w:r>
            <w:r>
              <w:rPr>
                <w:rFonts w:ascii="SimSun" w:hAnsi="SimSun" w:eastAsia="SimSun" w:cs="SimSun"/>
                <w:color w:val="000000"/>
                <w:sz w:val="21"/>
              </w:rPr>
              <w:t xml:space="preserve">等）</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新型隐球菌荚膜多糖抗原定量</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遗传性神经肌肉病相关基因测序检测（运动神经元病基因检测）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神经遗传全外显子组测序检测（运动神经元病基因检测）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特殊染色及酶组织化学染色：如银染、刚果红染色</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自身免疫性血细胞减少相关抗原检测（</w:t>
            </w:r>
            <w:r>
              <w:rPr>
                <w:rFonts w:ascii="Times New Roman" w:hAnsi="Times New Roman" w:eastAsia="Times New Roman" w:cs="Times New Roman"/>
                <w:color w:val="000000"/>
                <w:sz w:val="21"/>
              </w:rPr>
              <w:t xml:space="preserve">15CD</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普通</w:t>
            </w:r>
            <w:r>
              <w:rPr>
                <w:rFonts w:ascii="Times New Roman" w:hAnsi="Times New Roman" w:eastAsia="Times New Roman" w:cs="Times New Roman"/>
                <w:color w:val="000000"/>
                <w:sz w:val="21"/>
              </w:rPr>
              <w:t xml:space="preserve">PNH</w:t>
            </w:r>
            <w:r>
              <w:rPr>
                <w:rFonts w:ascii="SimSun" w:hAnsi="SimSun" w:eastAsia="SimSun" w:cs="SimSun"/>
                <w:color w:val="000000"/>
                <w:sz w:val="21"/>
              </w:rPr>
              <w:t xml:space="preserve">（红细胞</w:t>
            </w:r>
            <w:r>
              <w:rPr>
                <w:rFonts w:ascii="Times New Roman" w:hAnsi="Times New Roman" w:eastAsia="Times New Roman" w:cs="Times New Roman"/>
                <w:color w:val="000000"/>
                <w:sz w:val="21"/>
              </w:rPr>
              <w:t xml:space="preserve">CD55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CD59</w:t>
            </w:r>
            <w:r>
              <w:rPr>
                <w:rFonts w:ascii="SimSun" w:hAnsi="SimSun" w:eastAsia="SimSun" w:cs="SimSun"/>
                <w:color w:val="000000"/>
                <w:sz w:val="21"/>
              </w:rPr>
              <w:t xml:space="preserve">评估）</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CD34+</w:t>
            </w:r>
            <w:r>
              <w:rPr>
                <w:rFonts w:ascii="SimSun" w:hAnsi="SimSun" w:eastAsia="SimSun" w:cs="SimSun"/>
                <w:color w:val="000000"/>
                <w:sz w:val="21"/>
              </w:rPr>
              <w:t xml:space="preserve">细胞绝对计数</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血清、尿游离轻链组合</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血液病基因突变检测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AML</w:t>
            </w:r>
            <w:r>
              <w:rPr>
                <w:rFonts w:ascii="SimSun" w:hAnsi="SimSun" w:eastAsia="SimSun" w:cs="SimSun"/>
                <w:color w:val="000000"/>
                <w:sz w:val="21"/>
              </w:rPr>
              <w:t xml:space="preserve">髓系血液疾病高频基因突变</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MDS</w:t>
            </w:r>
            <w:r>
              <w:rPr>
                <w:rFonts w:ascii="SimSun" w:hAnsi="SimSun" w:eastAsia="SimSun" w:cs="SimSun"/>
                <w:color w:val="000000"/>
                <w:sz w:val="21"/>
              </w:rPr>
              <w:t xml:space="preserve">克隆性分析基因突变</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MPN</w:t>
            </w:r>
            <w:r>
              <w:rPr>
                <w:rFonts w:ascii="SimSun" w:hAnsi="SimSun" w:eastAsia="SimSun" w:cs="SimSun"/>
                <w:color w:val="000000"/>
                <w:sz w:val="21"/>
              </w:rPr>
              <w:t xml:space="preserve">联合分子检测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JAK2Exon12</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AML1/ETO</w:t>
            </w:r>
            <w:r>
              <w:rPr>
                <w:rFonts w:ascii="SimSun" w:hAnsi="SimSun" w:eastAsia="SimSun" w:cs="SimSun"/>
                <w:color w:val="000000"/>
                <w:sz w:val="21"/>
              </w:rPr>
              <w:t xml:space="preserve">定量</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IG</w:t>
            </w:r>
            <w:r>
              <w:rPr>
                <w:rFonts w:ascii="SimSun" w:hAnsi="SimSun" w:eastAsia="SimSun" w:cs="SimSun"/>
                <w:color w:val="000000"/>
                <w:sz w:val="21"/>
              </w:rPr>
              <w:t xml:space="preserve">重排</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TCR</w:t>
            </w:r>
            <w:r>
              <w:rPr>
                <w:rFonts w:ascii="SimSun" w:hAnsi="SimSun" w:eastAsia="SimSun" w:cs="SimSun"/>
                <w:color w:val="000000"/>
                <w:sz w:val="21"/>
              </w:rPr>
              <w:t xml:space="preserve">重排</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MYD88 L265P</w:t>
            </w:r>
            <w:r>
              <w:rPr>
                <w:rFonts w:ascii="SimSun" w:hAnsi="SimSun" w:eastAsia="SimSun" w:cs="SimSun"/>
                <w:color w:val="000000"/>
                <w:sz w:val="21"/>
              </w:rPr>
              <w:t xml:space="preserve">突变</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骨髓活检</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白血病免疫分型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骨髓细胞免疫组化</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PNH-FLAER</w:t>
            </w:r>
            <w:r>
              <w:rPr>
                <w:rFonts w:ascii="SimSun" w:hAnsi="SimSun" w:eastAsia="SimSun" w:cs="SimSun"/>
                <w:color w:val="000000"/>
                <w:sz w:val="21"/>
              </w:rPr>
              <w:t xml:space="preserve">检测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血小板膜表面相关抗原抗体</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异常免疫球蛋白血症检测组套</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溶贫筛查九项</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地中海贫血基因检测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血浆凝血因子活性测定</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血管性血友病因子酶活性检测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血管性假性血友病因子（</w:t>
            </w:r>
            <w:r>
              <w:rPr>
                <w:rFonts w:ascii="Times New Roman" w:hAnsi="Times New Roman" w:eastAsia="Times New Roman" w:cs="Times New Roman"/>
                <w:color w:val="000000"/>
                <w:sz w:val="21"/>
              </w:rPr>
              <w:t xml:space="preserve">VWF</w:t>
            </w:r>
            <w:r>
              <w:rPr>
                <w:rFonts w:ascii="SimSun" w:hAnsi="SimSun" w:eastAsia="SimSun" w:cs="SimSun"/>
                <w:color w:val="000000"/>
                <w:sz w:val="21"/>
              </w:rPr>
              <w:t xml:space="preserve">）抗原测定</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 </w:t>
            </w:r>
            <w:r>
              <w:rPr>
                <w:rFonts w:ascii="SimSun" w:hAnsi="SimSun" w:eastAsia="SimSun" w:cs="SimSun"/>
                <w:color w:val="000000"/>
                <w:sz w:val="21"/>
              </w:rPr>
              <w:t xml:space="preserve">细胞淋巴瘤</w:t>
            </w:r>
            <w:r>
              <w:rPr>
                <w:rFonts w:ascii="Times New Roman" w:hAnsi="Times New Roman" w:eastAsia="Times New Roman" w:cs="Times New Roman"/>
                <w:color w:val="000000"/>
                <w:sz w:val="21"/>
              </w:rPr>
              <w:t xml:space="preserve">129</w:t>
            </w:r>
            <w:r>
              <w:rPr>
                <w:rFonts w:ascii="SimSun" w:hAnsi="SimSun" w:eastAsia="SimSun" w:cs="SimSun"/>
                <w:color w:val="000000"/>
                <w:sz w:val="21"/>
              </w:rPr>
              <w:t xml:space="preserve">基因检测，</w:t>
            </w:r>
            <w:r>
              <w:rPr>
                <w:rFonts w:ascii="Times New Roman" w:hAnsi="Times New Roman" w:eastAsia="Times New Roman" w:cs="Times New Roman"/>
                <w:color w:val="000000"/>
                <w:sz w:val="21"/>
              </w:rPr>
              <w:t xml:space="preserve">ctDNA</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CF04 B</w:t>
            </w:r>
            <w:r>
              <w:rPr>
                <w:rFonts w:ascii="SimSun" w:hAnsi="SimSun" w:eastAsia="SimSun" w:cs="SimSun"/>
                <w:color w:val="000000"/>
                <w:sz w:val="21"/>
              </w:rPr>
              <w:t xml:space="preserve">细胞淋巴瘤</w:t>
            </w:r>
            <w:r>
              <w:rPr>
                <w:rFonts w:ascii="Times New Roman" w:hAnsi="Times New Roman" w:eastAsia="Times New Roman" w:cs="Times New Roman"/>
                <w:color w:val="000000"/>
                <w:sz w:val="21"/>
              </w:rPr>
              <w:t xml:space="preserve">129</w:t>
            </w:r>
            <w:r>
              <w:rPr>
                <w:rFonts w:ascii="SimSun" w:hAnsi="SimSun" w:eastAsia="SimSun" w:cs="SimSun"/>
                <w:color w:val="000000"/>
                <w:sz w:val="21"/>
              </w:rPr>
              <w:t xml:space="preserve">基因检测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白血病中</w:t>
            </w:r>
            <w:r>
              <w:rPr>
                <w:rFonts w:ascii="Times New Roman" w:hAnsi="Times New Roman" w:eastAsia="Times New Roman" w:cs="Times New Roman"/>
                <w:color w:val="000000"/>
                <w:sz w:val="21"/>
              </w:rPr>
              <w:t xml:space="preserve">43</w:t>
            </w:r>
            <w:r>
              <w:rPr>
                <w:rFonts w:ascii="SimSun" w:hAnsi="SimSun" w:eastAsia="SimSun" w:cs="SimSun"/>
                <w:color w:val="000000"/>
                <w:sz w:val="21"/>
              </w:rPr>
              <w:t xml:space="preserve">融合基因筛查</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髓系白血病中常见融合基因筛查</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血液肿瘤</w:t>
            </w:r>
            <w:r>
              <w:rPr>
                <w:rFonts w:ascii="Times New Roman" w:hAnsi="Times New Roman" w:eastAsia="Times New Roman" w:cs="Times New Roman"/>
                <w:color w:val="000000"/>
                <w:sz w:val="21"/>
              </w:rPr>
              <w:t xml:space="preserve">RNA-seq</w:t>
            </w:r>
            <w:r>
              <w:rPr>
                <w:rFonts w:ascii="SimSun" w:hAnsi="SimSun" w:eastAsia="SimSun" w:cs="SimSun"/>
                <w:color w:val="000000"/>
                <w:sz w:val="21"/>
              </w:rPr>
              <w:t xml:space="preserve">检测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MDS</w:t>
            </w:r>
            <w:r>
              <w:rPr>
                <w:rFonts w:ascii="SimSun" w:hAnsi="SimSun" w:eastAsia="SimSun" w:cs="SimSun"/>
                <w:color w:val="000000"/>
                <w:sz w:val="21"/>
              </w:rPr>
              <w:t xml:space="preserve">相关基因</w:t>
            </w:r>
            <w:r>
              <w:rPr>
                <w:rFonts w:ascii="Times New Roman" w:hAnsi="Times New Roman" w:eastAsia="Times New Roman" w:cs="Times New Roman"/>
                <w:color w:val="000000"/>
                <w:sz w:val="21"/>
              </w:rPr>
              <w:t xml:space="preserve">NGS</w:t>
            </w:r>
            <w:r>
              <w:rPr>
                <w:rFonts w:ascii="SimSun" w:hAnsi="SimSun" w:eastAsia="SimSun" w:cs="SimSun"/>
                <w:color w:val="000000"/>
                <w:sz w:val="21"/>
              </w:rPr>
              <w:t xml:space="preserve">检测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BCR/ABL1 t(9;22)(q34;q11)</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PML-RARA</w:t>
            </w:r>
            <w:r>
              <w:rPr>
                <w:rFonts w:ascii="SimSun" w:hAnsi="SimSun" w:eastAsia="SimSun" w:cs="SimSun"/>
                <w:color w:val="000000"/>
                <w:sz w:val="21"/>
              </w:rPr>
              <w:t xml:space="preserve">融合基因检测（</w:t>
            </w:r>
            <w:r>
              <w:rPr>
                <w:rFonts w:ascii="Times New Roman" w:hAnsi="Times New Roman" w:eastAsia="Times New Roman" w:cs="Times New Roman"/>
                <w:color w:val="000000"/>
                <w:sz w:val="21"/>
              </w:rPr>
              <w:t xml:space="preserve">FISH</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PML/RARA</w:t>
            </w:r>
            <w:r>
              <w:rPr>
                <w:rFonts w:ascii="SimSun" w:hAnsi="SimSun" w:eastAsia="SimSun" w:cs="SimSun"/>
                <w:color w:val="000000"/>
                <w:sz w:val="21"/>
              </w:rPr>
              <w:t xml:space="preserve">分型定量 （初诊）</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PML-RARα</w:t>
            </w:r>
            <w:r>
              <w:rPr>
                <w:rFonts w:ascii="SimSun" w:hAnsi="SimSun" w:eastAsia="SimSun" w:cs="SimSun"/>
                <w:color w:val="000000"/>
                <w:sz w:val="21"/>
              </w:rPr>
              <w:t xml:space="preserve">融合基因</w:t>
            </w:r>
            <w:r>
              <w:rPr>
                <w:rFonts w:ascii="Times New Roman" w:hAnsi="Times New Roman" w:eastAsia="Times New Roman" w:cs="Times New Roman"/>
                <w:color w:val="000000"/>
                <w:sz w:val="21"/>
              </w:rPr>
              <w:t xml:space="preserve">bcr-1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L</w:t>
            </w:r>
            <w:r>
              <w:rPr>
                <w:rFonts w:ascii="SimSun" w:hAnsi="SimSun" w:eastAsia="SimSun" w:cs="SimSun"/>
                <w:color w:val="000000"/>
                <w:sz w:val="21"/>
              </w:rPr>
              <w:t xml:space="preserve">型）定量</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PML-RARα</w:t>
            </w:r>
            <w:r>
              <w:rPr>
                <w:rFonts w:ascii="SimSun" w:hAnsi="SimSun" w:eastAsia="SimSun" w:cs="SimSun"/>
                <w:color w:val="000000"/>
                <w:sz w:val="21"/>
              </w:rPr>
              <w:t xml:space="preserve">融合基因</w:t>
            </w:r>
            <w:r>
              <w:rPr>
                <w:rFonts w:ascii="Times New Roman" w:hAnsi="Times New Roman" w:eastAsia="Times New Roman" w:cs="Times New Roman"/>
                <w:color w:val="000000"/>
                <w:sz w:val="21"/>
              </w:rPr>
              <w:t xml:space="preserve">bcr-2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V</w:t>
            </w:r>
            <w:r>
              <w:rPr>
                <w:rFonts w:ascii="SimSun" w:hAnsi="SimSun" w:eastAsia="SimSun" w:cs="SimSun"/>
                <w:color w:val="000000"/>
                <w:sz w:val="21"/>
              </w:rPr>
              <w:t xml:space="preserve">型）定量检测（</w:t>
            </w:r>
            <w:r>
              <w:rPr>
                <w:rFonts w:ascii="Times New Roman" w:hAnsi="Times New Roman" w:eastAsia="Times New Roman" w:cs="Times New Roman"/>
                <w:color w:val="000000"/>
                <w:sz w:val="21"/>
              </w:rPr>
              <w:t xml:space="preserve">RQ-PCR</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PML-RARα</w:t>
            </w:r>
            <w:r>
              <w:rPr>
                <w:rFonts w:ascii="SimSun" w:hAnsi="SimSun" w:eastAsia="SimSun" w:cs="SimSun"/>
                <w:color w:val="000000"/>
                <w:sz w:val="21"/>
              </w:rPr>
              <w:t xml:space="preserve">融合基因</w:t>
            </w:r>
            <w:r>
              <w:rPr>
                <w:rFonts w:ascii="Times New Roman" w:hAnsi="Times New Roman" w:eastAsia="Times New Roman" w:cs="Times New Roman"/>
                <w:color w:val="000000"/>
                <w:sz w:val="21"/>
              </w:rPr>
              <w:t xml:space="preserve">bcr-3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S</w:t>
            </w:r>
            <w:r>
              <w:rPr>
                <w:rFonts w:ascii="SimSun" w:hAnsi="SimSun" w:eastAsia="SimSun" w:cs="SimSun"/>
                <w:color w:val="000000"/>
                <w:sz w:val="21"/>
              </w:rPr>
              <w:t xml:space="preserve">型）定量</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AML1-ETO</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RUNX1-RUNX1T1</w:t>
            </w:r>
            <w:r>
              <w:rPr>
                <w:rFonts w:ascii="SimSun" w:hAnsi="SimSun" w:eastAsia="SimSun" w:cs="SimSun"/>
                <w:color w:val="000000"/>
                <w:sz w:val="21"/>
              </w:rPr>
              <w:t xml:space="preserve">）定量检测（</w:t>
            </w:r>
            <w:r>
              <w:rPr>
                <w:rFonts w:ascii="Times New Roman" w:hAnsi="Times New Roman" w:eastAsia="Times New Roman" w:cs="Times New Roman"/>
                <w:color w:val="000000"/>
                <w:sz w:val="21"/>
              </w:rPr>
              <w:t xml:space="preserve">RQ-PCR</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WT1</w:t>
            </w:r>
            <w:r>
              <w:rPr>
                <w:rFonts w:ascii="SimSun" w:hAnsi="SimSun" w:eastAsia="SimSun" w:cs="SimSun"/>
                <w:color w:val="000000"/>
                <w:sz w:val="21"/>
              </w:rPr>
              <w:t xml:space="preserve">基因定量</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KIT</w:t>
            </w:r>
            <w:r>
              <w:rPr>
                <w:rFonts w:ascii="SimSun" w:hAnsi="SimSun" w:eastAsia="SimSun" w:cs="SimSun"/>
                <w:color w:val="000000"/>
                <w:sz w:val="21"/>
              </w:rPr>
              <w:t xml:space="preserve">基因</w:t>
            </w:r>
            <w:r>
              <w:rPr>
                <w:rFonts w:ascii="Times New Roman" w:hAnsi="Times New Roman" w:eastAsia="Times New Roman" w:cs="Times New Roman"/>
                <w:color w:val="000000"/>
                <w:sz w:val="21"/>
              </w:rPr>
              <w:t xml:space="preserve">D816V</w:t>
            </w:r>
            <w:r>
              <w:rPr>
                <w:rFonts w:ascii="SimSun" w:hAnsi="SimSun" w:eastAsia="SimSun" w:cs="SimSun"/>
                <w:color w:val="000000"/>
                <w:sz w:val="21"/>
              </w:rPr>
              <w:t xml:space="preserve">突变检测（</w:t>
            </w:r>
            <w:r>
              <w:rPr>
                <w:rFonts w:ascii="Times New Roman" w:hAnsi="Times New Roman" w:eastAsia="Times New Roman" w:cs="Times New Roman"/>
                <w:color w:val="000000"/>
                <w:sz w:val="21"/>
              </w:rPr>
              <w:t xml:space="preserve">ddPCR</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KIT</w:t>
            </w:r>
            <w:r>
              <w:rPr>
                <w:rFonts w:ascii="SimSun" w:hAnsi="SimSun" w:eastAsia="SimSun" w:cs="SimSun"/>
                <w:color w:val="000000"/>
                <w:sz w:val="21"/>
              </w:rPr>
              <w:t xml:space="preserve">基因</w:t>
            </w:r>
            <w:r>
              <w:rPr>
                <w:rFonts w:ascii="Times New Roman" w:hAnsi="Times New Roman" w:eastAsia="Times New Roman" w:cs="Times New Roman"/>
                <w:color w:val="000000"/>
                <w:sz w:val="21"/>
              </w:rPr>
              <w:t xml:space="preserve">D816H</w:t>
            </w:r>
            <w:r>
              <w:rPr>
                <w:rFonts w:ascii="SimSun" w:hAnsi="SimSun" w:eastAsia="SimSun" w:cs="SimSun"/>
                <w:color w:val="000000"/>
                <w:sz w:val="21"/>
              </w:rPr>
              <w:t xml:space="preserve">突变检测（</w:t>
            </w:r>
            <w:r>
              <w:rPr>
                <w:rFonts w:ascii="Times New Roman" w:hAnsi="Times New Roman" w:eastAsia="Times New Roman" w:cs="Times New Roman"/>
                <w:color w:val="000000"/>
                <w:sz w:val="21"/>
              </w:rPr>
              <w:t xml:space="preserve">ddPCR</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KIT</w:t>
            </w:r>
            <w:r>
              <w:rPr>
                <w:rFonts w:ascii="SimSun" w:hAnsi="SimSun" w:eastAsia="SimSun" w:cs="SimSun"/>
                <w:color w:val="000000"/>
                <w:sz w:val="21"/>
              </w:rPr>
              <w:t xml:space="preserve">基因</w:t>
            </w:r>
            <w:r>
              <w:rPr>
                <w:rFonts w:ascii="Times New Roman" w:hAnsi="Times New Roman" w:eastAsia="Times New Roman" w:cs="Times New Roman"/>
                <w:color w:val="000000"/>
                <w:sz w:val="21"/>
              </w:rPr>
              <w:t xml:space="preserve">N822K</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2466T&gt;A</w:t>
            </w:r>
            <w:r>
              <w:rPr>
                <w:rFonts w:ascii="SimSun" w:hAnsi="SimSun" w:eastAsia="SimSun" w:cs="SimSun"/>
                <w:color w:val="000000"/>
                <w:sz w:val="21"/>
              </w:rPr>
              <w:t xml:space="preserve">）突变检测（</w:t>
            </w:r>
            <w:r>
              <w:rPr>
                <w:rFonts w:ascii="Times New Roman" w:hAnsi="Times New Roman" w:eastAsia="Times New Roman" w:cs="Times New Roman"/>
                <w:color w:val="000000"/>
                <w:sz w:val="21"/>
              </w:rPr>
              <w:t xml:space="preserve">ddPCR</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KIT</w:t>
            </w:r>
            <w:r>
              <w:rPr>
                <w:rFonts w:ascii="SimSun" w:hAnsi="SimSun" w:eastAsia="SimSun" w:cs="SimSun"/>
                <w:color w:val="000000"/>
                <w:sz w:val="21"/>
              </w:rPr>
              <w:t xml:space="preserve">基因</w:t>
            </w:r>
            <w:r>
              <w:rPr>
                <w:rFonts w:ascii="Times New Roman" w:hAnsi="Times New Roman" w:eastAsia="Times New Roman" w:cs="Times New Roman"/>
                <w:color w:val="000000"/>
                <w:sz w:val="21"/>
              </w:rPr>
              <w:t xml:space="preserve">N822K</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2466T&gt;G</w:t>
            </w:r>
            <w:r>
              <w:rPr>
                <w:rFonts w:ascii="SimSun" w:hAnsi="SimSun" w:eastAsia="SimSun" w:cs="SimSun"/>
                <w:color w:val="000000"/>
                <w:sz w:val="21"/>
              </w:rPr>
              <w:t xml:space="preserve">）突变检测（</w:t>
            </w:r>
            <w:r>
              <w:rPr>
                <w:rFonts w:ascii="Times New Roman" w:hAnsi="Times New Roman" w:eastAsia="Times New Roman" w:cs="Times New Roman"/>
                <w:color w:val="000000"/>
                <w:sz w:val="21"/>
              </w:rPr>
              <w:t xml:space="preserve">ddPCR</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C-KIT</w:t>
            </w:r>
            <w:r>
              <w:rPr>
                <w:rFonts w:ascii="SimSun" w:hAnsi="SimSun" w:eastAsia="SimSun" w:cs="SimSun"/>
                <w:color w:val="000000"/>
                <w:sz w:val="21"/>
              </w:rPr>
              <w:t xml:space="preserve">基因突变</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IDH2</w:t>
            </w:r>
            <w:r>
              <w:rPr>
                <w:rFonts w:ascii="SimSun" w:hAnsi="SimSun" w:eastAsia="SimSun" w:cs="SimSun"/>
                <w:color w:val="000000"/>
                <w:sz w:val="21"/>
              </w:rPr>
              <w:t xml:space="preserve">基因</w:t>
            </w:r>
            <w:r>
              <w:rPr>
                <w:rFonts w:ascii="Times New Roman" w:hAnsi="Times New Roman" w:eastAsia="Times New Roman" w:cs="Times New Roman"/>
                <w:color w:val="000000"/>
                <w:sz w:val="21"/>
              </w:rPr>
              <w:t xml:space="preserve">R140Q</w:t>
            </w:r>
            <w:r>
              <w:rPr>
                <w:rFonts w:ascii="SimSun" w:hAnsi="SimSun" w:eastAsia="SimSun" w:cs="SimSun"/>
                <w:color w:val="000000"/>
                <w:sz w:val="21"/>
              </w:rPr>
              <w:t xml:space="preserve">突变检测（</w:t>
            </w:r>
            <w:r>
              <w:rPr>
                <w:rFonts w:ascii="Times New Roman" w:hAnsi="Times New Roman" w:eastAsia="Times New Roman" w:cs="Times New Roman"/>
                <w:color w:val="000000"/>
                <w:sz w:val="21"/>
              </w:rPr>
              <w:t xml:space="preserve">ddPCR</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IDH2</w:t>
            </w:r>
            <w:r>
              <w:rPr>
                <w:rFonts w:ascii="SimSun" w:hAnsi="SimSun" w:eastAsia="SimSun" w:cs="SimSun"/>
                <w:color w:val="000000"/>
                <w:sz w:val="21"/>
              </w:rPr>
              <w:t xml:space="preserve">基因</w:t>
            </w:r>
            <w:r>
              <w:rPr>
                <w:rFonts w:ascii="Times New Roman" w:hAnsi="Times New Roman" w:eastAsia="Times New Roman" w:cs="Times New Roman"/>
                <w:color w:val="000000"/>
                <w:sz w:val="21"/>
              </w:rPr>
              <w:t xml:space="preserve">R172K</w:t>
            </w:r>
            <w:r>
              <w:rPr>
                <w:rFonts w:ascii="SimSun" w:hAnsi="SimSun" w:eastAsia="SimSun" w:cs="SimSun"/>
                <w:color w:val="000000"/>
                <w:sz w:val="21"/>
              </w:rPr>
              <w:t xml:space="preserve">突变检测（</w:t>
            </w:r>
            <w:r>
              <w:rPr>
                <w:rFonts w:ascii="Times New Roman" w:hAnsi="Times New Roman" w:eastAsia="Times New Roman" w:cs="Times New Roman"/>
                <w:color w:val="000000"/>
                <w:sz w:val="21"/>
              </w:rPr>
              <w:t xml:space="preserve">ddPCR</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IDH1</w:t>
            </w:r>
            <w:r>
              <w:rPr>
                <w:rFonts w:ascii="SimSun" w:hAnsi="SimSun" w:eastAsia="SimSun" w:cs="SimSun"/>
                <w:color w:val="000000"/>
                <w:sz w:val="21"/>
              </w:rPr>
              <w:t xml:space="preserve">基因</w:t>
            </w:r>
            <w:r>
              <w:rPr>
                <w:rFonts w:ascii="Times New Roman" w:hAnsi="Times New Roman" w:eastAsia="Times New Roman" w:cs="Times New Roman"/>
                <w:color w:val="000000"/>
                <w:sz w:val="21"/>
              </w:rPr>
              <w:t xml:space="preserve">R132C</w:t>
            </w:r>
            <w:r>
              <w:rPr>
                <w:rFonts w:ascii="SimSun" w:hAnsi="SimSun" w:eastAsia="SimSun" w:cs="SimSun"/>
                <w:color w:val="000000"/>
                <w:sz w:val="21"/>
              </w:rPr>
              <w:t xml:space="preserve">突变检测（</w:t>
            </w:r>
            <w:r>
              <w:rPr>
                <w:rFonts w:ascii="Times New Roman" w:hAnsi="Times New Roman" w:eastAsia="Times New Roman" w:cs="Times New Roman"/>
                <w:color w:val="000000"/>
                <w:sz w:val="21"/>
              </w:rPr>
              <w:t xml:space="preserve">ddPCR</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IDH1</w:t>
            </w:r>
            <w:r>
              <w:rPr>
                <w:rFonts w:ascii="SimSun" w:hAnsi="SimSun" w:eastAsia="SimSun" w:cs="SimSun"/>
                <w:color w:val="000000"/>
                <w:sz w:val="21"/>
              </w:rPr>
              <w:t xml:space="preserve">基因</w:t>
            </w:r>
            <w:r>
              <w:rPr>
                <w:rFonts w:ascii="Times New Roman" w:hAnsi="Times New Roman" w:eastAsia="Times New Roman" w:cs="Times New Roman"/>
                <w:color w:val="000000"/>
                <w:sz w:val="21"/>
              </w:rPr>
              <w:t xml:space="preserve">R132H</w:t>
            </w:r>
            <w:r>
              <w:rPr>
                <w:rFonts w:ascii="SimSun" w:hAnsi="SimSun" w:eastAsia="SimSun" w:cs="SimSun"/>
                <w:color w:val="000000"/>
                <w:sz w:val="21"/>
              </w:rPr>
              <w:t xml:space="preserve">突变检测（</w:t>
            </w:r>
            <w:r>
              <w:rPr>
                <w:rFonts w:ascii="Times New Roman" w:hAnsi="Times New Roman" w:eastAsia="Times New Roman" w:cs="Times New Roman"/>
                <w:color w:val="000000"/>
                <w:sz w:val="21"/>
              </w:rPr>
              <w:t xml:space="preserve">ddPCR</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AML</w:t>
            </w:r>
            <w:r>
              <w:rPr>
                <w:rFonts w:ascii="SimSun" w:hAnsi="SimSun" w:eastAsia="SimSun" w:cs="SimSun"/>
                <w:color w:val="000000"/>
                <w:sz w:val="21"/>
              </w:rPr>
              <w:t xml:space="preserve">中</w:t>
            </w:r>
            <w:r>
              <w:rPr>
                <w:rFonts w:ascii="Times New Roman" w:hAnsi="Times New Roman" w:eastAsia="Times New Roman" w:cs="Times New Roman"/>
                <w:color w:val="000000"/>
                <w:sz w:val="21"/>
              </w:rPr>
              <w:t xml:space="preserve">IDH1/2</w:t>
            </w:r>
            <w:r>
              <w:rPr>
                <w:rFonts w:ascii="SimSun" w:hAnsi="SimSun" w:eastAsia="SimSun" w:cs="SimSun"/>
                <w:color w:val="000000"/>
                <w:sz w:val="21"/>
              </w:rPr>
              <w:t xml:space="preserve">基因突变检测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FLT3</w:t>
            </w:r>
            <w:r>
              <w:rPr>
                <w:rFonts w:ascii="SimSun" w:hAnsi="SimSun" w:eastAsia="SimSun" w:cs="SimSun"/>
                <w:color w:val="000000"/>
                <w:sz w:val="21"/>
              </w:rPr>
              <w:t xml:space="preserve">基因</w:t>
            </w:r>
            <w:r>
              <w:rPr>
                <w:rFonts w:ascii="Times New Roman" w:hAnsi="Times New Roman" w:eastAsia="Times New Roman" w:cs="Times New Roman"/>
                <w:color w:val="000000"/>
                <w:sz w:val="21"/>
              </w:rPr>
              <w:t xml:space="preserve">ITD</w:t>
            </w:r>
            <w:r>
              <w:rPr>
                <w:rFonts w:ascii="SimSun" w:hAnsi="SimSun" w:eastAsia="SimSun" w:cs="SimSun"/>
                <w:color w:val="000000"/>
                <w:sz w:val="21"/>
              </w:rPr>
              <w:t xml:space="preserve">突变检测（片段分析）</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TP53</w:t>
            </w:r>
            <w:r>
              <w:rPr>
                <w:rFonts w:ascii="SimSun" w:hAnsi="SimSun" w:eastAsia="SimSun" w:cs="SimSun"/>
                <w:color w:val="000000"/>
                <w:sz w:val="21"/>
              </w:rPr>
              <w:t xml:space="preserve">基因突变检测（二代测序，</w:t>
            </w:r>
            <w:r>
              <w:rPr>
                <w:rFonts w:ascii="Times New Roman" w:hAnsi="Times New Roman" w:eastAsia="Times New Roman" w:cs="Times New Roman"/>
                <w:color w:val="000000"/>
                <w:sz w:val="21"/>
              </w:rPr>
              <w:t xml:space="preserve">Leukemia</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AML </w:t>
            </w:r>
            <w:r>
              <w:rPr>
                <w:rFonts w:ascii="SimSun" w:hAnsi="SimSun" w:eastAsia="SimSun" w:cs="SimSun"/>
                <w:color w:val="000000"/>
                <w:sz w:val="21"/>
              </w:rPr>
              <w:t xml:space="preserve">相关基因综合检测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AML NGS</w:t>
            </w:r>
            <w:r>
              <w:rPr>
                <w:rFonts w:ascii="SimSun" w:hAnsi="SimSun" w:eastAsia="SimSun" w:cs="SimSun"/>
                <w:color w:val="000000"/>
                <w:sz w:val="21"/>
              </w:rPr>
              <w:t xml:space="preserve">检测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BCR-ABL1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ASS1</w:t>
            </w:r>
            <w:r>
              <w:rPr>
                <w:rFonts w:ascii="SimSun" w:hAnsi="SimSun" w:eastAsia="SimSun" w:cs="SimSun"/>
                <w:color w:val="000000"/>
                <w:sz w:val="21"/>
              </w:rPr>
              <w:t xml:space="preserve">检测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ABL1</w:t>
            </w:r>
            <w:r>
              <w:rPr>
                <w:rFonts w:ascii="SimSun" w:hAnsi="SimSun" w:eastAsia="SimSun" w:cs="SimSun"/>
                <w:color w:val="000000"/>
                <w:sz w:val="21"/>
              </w:rPr>
              <w:t xml:space="preserve">基因重排检测（</w:t>
            </w:r>
            <w:r>
              <w:rPr>
                <w:rFonts w:ascii="Times New Roman" w:hAnsi="Times New Roman" w:eastAsia="Times New Roman" w:cs="Times New Roman"/>
                <w:color w:val="000000"/>
                <w:sz w:val="21"/>
              </w:rPr>
              <w:t xml:space="preserve">FISH</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BCR/ABL1</w:t>
            </w:r>
            <w:r>
              <w:rPr>
                <w:rFonts w:ascii="SimSun" w:hAnsi="SimSun" w:eastAsia="SimSun" w:cs="SimSun"/>
                <w:color w:val="000000"/>
                <w:sz w:val="21"/>
              </w:rPr>
              <w:t xml:space="preserve">分型定量（初诊）</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BCR-ABL1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p190</w:t>
            </w:r>
            <w:r>
              <w:rPr>
                <w:rFonts w:ascii="SimSun" w:hAnsi="SimSun" w:eastAsia="SimSun" w:cs="SimSun"/>
                <w:color w:val="000000"/>
                <w:sz w:val="21"/>
              </w:rPr>
              <w:t xml:space="preserve">）融合基因定量检测（</w:t>
            </w:r>
            <w:r>
              <w:rPr>
                <w:rFonts w:ascii="Times New Roman" w:hAnsi="Times New Roman" w:eastAsia="Times New Roman" w:cs="Times New Roman"/>
                <w:color w:val="000000"/>
                <w:sz w:val="21"/>
              </w:rPr>
              <w:t xml:space="preserve">RQ-PCR</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BCR-ABL1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p210</w:t>
            </w:r>
            <w:r>
              <w:rPr>
                <w:rFonts w:ascii="SimSun" w:hAnsi="SimSun" w:eastAsia="SimSun" w:cs="SimSun"/>
                <w:color w:val="000000"/>
                <w:sz w:val="21"/>
              </w:rPr>
              <w:t xml:space="preserve">）融合基因定量检测（</w:t>
            </w:r>
            <w:r>
              <w:rPr>
                <w:rFonts w:ascii="Times New Roman" w:hAnsi="Times New Roman" w:eastAsia="Times New Roman" w:cs="Times New Roman"/>
                <w:color w:val="000000"/>
                <w:sz w:val="21"/>
              </w:rPr>
              <w:t xml:space="preserve">RQ-PCR</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BCR-ABL1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p230</w:t>
            </w:r>
            <w:r>
              <w:rPr>
                <w:rFonts w:ascii="SimSun" w:hAnsi="SimSun" w:eastAsia="SimSun" w:cs="SimSun"/>
                <w:color w:val="000000"/>
                <w:sz w:val="21"/>
              </w:rPr>
              <w:t xml:space="preserve">）融合基因定量检测（</w:t>
            </w:r>
            <w:r>
              <w:rPr>
                <w:rFonts w:ascii="Times New Roman" w:hAnsi="Times New Roman" w:eastAsia="Times New Roman" w:cs="Times New Roman"/>
                <w:color w:val="000000"/>
                <w:sz w:val="21"/>
              </w:rPr>
              <w:t xml:space="preserve">RQ-PCR</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PDGFRa</w:t>
            </w:r>
            <w:r>
              <w:rPr>
                <w:rFonts w:ascii="SimSun" w:hAnsi="SimSun" w:eastAsia="SimSun" w:cs="SimSun"/>
                <w:color w:val="000000"/>
                <w:sz w:val="21"/>
              </w:rPr>
              <w:t xml:space="preserve">基因重排（</w:t>
            </w:r>
            <w:r>
              <w:rPr>
                <w:rFonts w:ascii="Times New Roman" w:hAnsi="Times New Roman" w:eastAsia="Times New Roman" w:cs="Times New Roman"/>
                <w:color w:val="000000"/>
                <w:sz w:val="21"/>
              </w:rPr>
              <w:t xml:space="preserve">FISH</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PDGFRβ</w:t>
            </w:r>
            <w:r>
              <w:rPr>
                <w:rFonts w:ascii="SimSun" w:hAnsi="SimSun" w:eastAsia="SimSun" w:cs="SimSun"/>
                <w:color w:val="000000"/>
                <w:sz w:val="21"/>
              </w:rPr>
              <w:t xml:space="preserve">基因重排（</w:t>
            </w:r>
            <w:r>
              <w:rPr>
                <w:rFonts w:ascii="Times New Roman" w:hAnsi="Times New Roman" w:eastAsia="Times New Roman" w:cs="Times New Roman"/>
                <w:color w:val="000000"/>
                <w:sz w:val="21"/>
              </w:rPr>
              <w:t xml:space="preserve">FISH</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FGFR1</w:t>
            </w:r>
            <w:r>
              <w:rPr>
                <w:rFonts w:ascii="SimSun" w:hAnsi="SimSun" w:eastAsia="SimSun" w:cs="SimSun"/>
                <w:color w:val="000000"/>
                <w:sz w:val="21"/>
              </w:rPr>
              <w:t xml:space="preserve">基因（</w:t>
            </w:r>
            <w:r>
              <w:rPr>
                <w:rFonts w:ascii="Times New Roman" w:hAnsi="Times New Roman" w:eastAsia="Times New Roman" w:cs="Times New Roman"/>
                <w:color w:val="000000"/>
                <w:sz w:val="21"/>
              </w:rPr>
              <w:t xml:space="preserve">8p11</w:t>
            </w:r>
            <w:r>
              <w:rPr>
                <w:rFonts w:ascii="SimSun" w:hAnsi="SimSun" w:eastAsia="SimSun" w:cs="SimSun"/>
                <w:color w:val="000000"/>
                <w:sz w:val="21"/>
              </w:rPr>
              <w:t xml:space="preserve">）重排（</w:t>
            </w:r>
            <w:r>
              <w:rPr>
                <w:rFonts w:ascii="Times New Roman" w:hAnsi="Times New Roman" w:eastAsia="Times New Roman" w:cs="Times New Roman"/>
                <w:color w:val="000000"/>
                <w:sz w:val="21"/>
              </w:rPr>
              <w:t xml:space="preserve">FISH</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JAK2</w:t>
            </w:r>
            <w:r>
              <w:rPr>
                <w:rFonts w:ascii="SimSun" w:hAnsi="SimSun" w:eastAsia="SimSun" w:cs="SimSun"/>
                <w:color w:val="000000"/>
                <w:sz w:val="21"/>
              </w:rPr>
              <w:t xml:space="preserve">基因重排检测（</w:t>
            </w:r>
            <w:r>
              <w:rPr>
                <w:rFonts w:ascii="Times New Roman" w:hAnsi="Times New Roman" w:eastAsia="Times New Roman" w:cs="Times New Roman"/>
                <w:color w:val="000000"/>
                <w:sz w:val="21"/>
              </w:rPr>
              <w:t xml:space="preserve">FISH</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JAK2</w:t>
            </w:r>
            <w:r>
              <w:rPr>
                <w:rFonts w:ascii="SimSun" w:hAnsi="SimSun" w:eastAsia="SimSun" w:cs="SimSun"/>
                <w:color w:val="000000"/>
                <w:sz w:val="21"/>
              </w:rPr>
              <w:t xml:space="preserve">基因</w:t>
            </w:r>
            <w:r>
              <w:rPr>
                <w:rFonts w:ascii="Times New Roman" w:hAnsi="Times New Roman" w:eastAsia="Times New Roman" w:cs="Times New Roman"/>
                <w:color w:val="000000"/>
                <w:sz w:val="21"/>
              </w:rPr>
              <w:t xml:space="preserve">V617F</w:t>
            </w:r>
            <w:r>
              <w:rPr>
                <w:rFonts w:ascii="SimSun" w:hAnsi="SimSun" w:eastAsia="SimSun" w:cs="SimSun"/>
                <w:color w:val="000000"/>
                <w:sz w:val="21"/>
              </w:rPr>
              <w:t xml:space="preserve">突变定量</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JAK2</w:t>
            </w:r>
            <w:r>
              <w:rPr>
                <w:rFonts w:ascii="SimSun" w:hAnsi="SimSun" w:eastAsia="SimSun" w:cs="SimSun"/>
                <w:color w:val="000000"/>
                <w:sz w:val="21"/>
              </w:rPr>
              <w:t xml:space="preserve">基因外显子</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热点突变检测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MPN</w:t>
            </w:r>
            <w:r>
              <w:rPr>
                <w:rFonts w:ascii="SimSun" w:hAnsi="SimSun" w:eastAsia="SimSun" w:cs="SimSun"/>
                <w:color w:val="000000"/>
                <w:sz w:val="21"/>
              </w:rPr>
              <w:t xml:space="preserve">相关基因测序检测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CSF3R</w:t>
            </w:r>
            <w:r>
              <w:rPr>
                <w:rFonts w:ascii="SimSun" w:hAnsi="SimSun" w:eastAsia="SimSun" w:cs="SimSun"/>
                <w:color w:val="000000"/>
                <w:sz w:val="21"/>
              </w:rPr>
              <w:t xml:space="preserve">基因突变</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BCR-ABL1</w:t>
            </w:r>
            <w:r>
              <w:rPr>
                <w:rFonts w:ascii="SimSun" w:hAnsi="SimSun" w:eastAsia="SimSun" w:cs="SimSun"/>
                <w:color w:val="000000"/>
                <w:sz w:val="21"/>
              </w:rPr>
              <w:t xml:space="preserve">激酶区突变检测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p53</w:t>
            </w:r>
            <w:r>
              <w:rPr>
                <w:rFonts w:ascii="SimSun" w:hAnsi="SimSun" w:eastAsia="SimSun" w:cs="SimSun"/>
                <w:color w:val="000000"/>
                <w:sz w:val="21"/>
              </w:rPr>
              <w:t xml:space="preserve">基因（</w:t>
            </w:r>
            <w:r>
              <w:rPr>
                <w:rFonts w:ascii="Times New Roman" w:hAnsi="Times New Roman" w:eastAsia="Times New Roman" w:cs="Times New Roman"/>
                <w:color w:val="000000"/>
                <w:sz w:val="21"/>
              </w:rPr>
              <w:t xml:space="preserve">17p13.1/5q-/7q-/8-/20q-/-Y</w:t>
            </w:r>
            <w:r>
              <w:rPr>
                <w:rFonts w:ascii="SimSun" w:hAnsi="SimSun" w:eastAsia="SimSun" w:cs="SimSun"/>
                <w:color w:val="000000"/>
                <w:sz w:val="21"/>
              </w:rPr>
              <w:t xml:space="preserve">）缺失检测（骨髓）</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MDS</w:t>
            </w:r>
            <w:r>
              <w:rPr>
                <w:rFonts w:ascii="SimSun" w:hAnsi="SimSun" w:eastAsia="SimSun" w:cs="SimSun"/>
                <w:color w:val="000000"/>
                <w:sz w:val="21"/>
              </w:rPr>
              <w:t xml:space="preserve">相关基因突变及融合检测（中级套餐 </w:t>
            </w:r>
            <w:r>
              <w:rPr>
                <w:rFonts w:ascii="Times New Roman" w:hAnsi="Times New Roman" w:eastAsia="Times New Roman" w:cs="Times New Roman"/>
                <w:color w:val="000000"/>
                <w:sz w:val="21"/>
              </w:rPr>
              <w:t xml:space="preserve">83</w:t>
            </w:r>
            <w:r>
              <w:rPr>
                <w:rFonts w:ascii="SimSun" w:hAnsi="SimSun" w:eastAsia="SimSun" w:cs="SimSun"/>
                <w:color w:val="000000"/>
                <w:sz w:val="21"/>
              </w:rPr>
              <w:t xml:space="preserve">突变</w:t>
            </w:r>
            <w:r>
              <w:rPr>
                <w:rFonts w:ascii="Times New Roman" w:hAnsi="Times New Roman" w:eastAsia="Times New Roman" w:cs="Times New Roman"/>
                <w:color w:val="000000"/>
                <w:sz w:val="21"/>
              </w:rPr>
              <w:t xml:space="preserve">+43</w:t>
            </w:r>
            <w:r>
              <w:rPr>
                <w:rFonts w:ascii="SimSun" w:hAnsi="SimSun" w:eastAsia="SimSun" w:cs="SimSun"/>
                <w:color w:val="000000"/>
                <w:sz w:val="21"/>
              </w:rPr>
              <w:t xml:space="preserve">融合）</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MDS NGS</w:t>
            </w:r>
            <w:r>
              <w:rPr>
                <w:rFonts w:ascii="SimSun" w:hAnsi="SimSun" w:eastAsia="SimSun" w:cs="SimSun"/>
                <w:color w:val="000000"/>
                <w:sz w:val="21"/>
              </w:rPr>
              <w:t xml:space="preserve">检测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MYC</w:t>
            </w:r>
            <w:r>
              <w:rPr>
                <w:rFonts w:ascii="SimSun" w:hAnsi="SimSun" w:eastAsia="SimSun" w:cs="SimSun"/>
                <w:color w:val="000000"/>
                <w:sz w:val="21"/>
              </w:rPr>
              <w:t xml:space="preserve">基因重排检测，</w:t>
            </w:r>
            <w:r>
              <w:rPr>
                <w:rFonts w:ascii="Times New Roman" w:hAnsi="Times New Roman" w:eastAsia="Times New Roman" w:cs="Times New Roman"/>
                <w:color w:val="000000"/>
                <w:sz w:val="21"/>
              </w:rPr>
              <w:t xml:space="preserve">8q24</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BCL2</w:t>
            </w:r>
            <w:r>
              <w:rPr>
                <w:rFonts w:ascii="SimSun" w:hAnsi="SimSun" w:eastAsia="SimSun" w:cs="SimSun"/>
                <w:color w:val="000000"/>
                <w:sz w:val="21"/>
              </w:rPr>
              <w:t xml:space="preserve">基因重排检测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BCL6</w:t>
            </w:r>
            <w:r>
              <w:rPr>
                <w:rFonts w:ascii="SimSun" w:hAnsi="SimSun" w:eastAsia="SimSun" w:cs="SimSun"/>
                <w:color w:val="000000"/>
                <w:sz w:val="21"/>
              </w:rPr>
              <w:t xml:space="preserve">基因重排检测，</w:t>
            </w:r>
            <w:r>
              <w:rPr>
                <w:rFonts w:ascii="Times New Roman" w:hAnsi="Times New Roman" w:eastAsia="Times New Roman" w:cs="Times New Roman"/>
                <w:color w:val="000000"/>
                <w:sz w:val="21"/>
              </w:rPr>
              <w:t xml:space="preserve">3q27</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IgH/CCND1(BCL1)</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t(11;14)(q13;q32)</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CCND1</w:t>
            </w:r>
            <w:r>
              <w:rPr>
                <w:rFonts w:ascii="SimSun" w:hAnsi="SimSun" w:eastAsia="SimSun" w:cs="SimSun"/>
                <w:color w:val="000000"/>
                <w:sz w:val="21"/>
              </w:rPr>
              <w:t xml:space="preserve">基因重排（组织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骨髓）</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IGHV</w:t>
            </w:r>
            <w:r>
              <w:rPr>
                <w:rFonts w:ascii="SimSun" w:hAnsi="SimSun" w:eastAsia="SimSun" w:cs="SimSun"/>
                <w:color w:val="000000"/>
                <w:sz w:val="21"/>
              </w:rPr>
              <w:t xml:space="preserve">基因突变</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IGHV </w:t>
            </w:r>
            <w:r>
              <w:rPr>
                <w:rFonts w:ascii="SimSun" w:hAnsi="SimSun" w:eastAsia="SimSun" w:cs="SimSun"/>
                <w:color w:val="000000"/>
                <w:sz w:val="21"/>
              </w:rPr>
              <w:t xml:space="preserve">基因突变检测（</w:t>
            </w:r>
            <w:r>
              <w:rPr>
                <w:rFonts w:ascii="Times New Roman" w:hAnsi="Times New Roman" w:eastAsia="Times New Roman" w:cs="Times New Roman"/>
                <w:color w:val="000000"/>
                <w:sz w:val="21"/>
              </w:rPr>
              <w:t xml:space="preserve">NGS</w:t>
            </w:r>
            <w:r>
              <w:rPr>
                <w:rFonts w:ascii="SimSun" w:hAnsi="SimSun" w:eastAsia="SimSun" w:cs="SimSun"/>
                <w:color w:val="000000"/>
                <w:sz w:val="21"/>
              </w:rPr>
              <w:t xml:space="preserve">，血液肿瘤）</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LPL/WM </w:t>
            </w:r>
            <w:r>
              <w:rPr>
                <w:rFonts w:ascii="SimSun" w:hAnsi="SimSun" w:eastAsia="SimSun" w:cs="SimSun"/>
                <w:color w:val="000000"/>
                <w:sz w:val="21"/>
              </w:rPr>
              <w:t xml:space="preserve">相关基因（</w:t>
            </w:r>
            <w:r>
              <w:rPr>
                <w:rFonts w:ascii="Times New Roman" w:hAnsi="Times New Roman" w:eastAsia="Times New Roman" w:cs="Times New Roman"/>
                <w:color w:val="000000"/>
                <w:sz w:val="21"/>
              </w:rPr>
              <w:t xml:space="preserve">Mini</w:t>
            </w:r>
            <w:r>
              <w:rPr>
                <w:rFonts w:ascii="SimSun" w:hAnsi="SimSun" w:eastAsia="SimSun" w:cs="SimSun"/>
                <w:color w:val="000000"/>
                <w:sz w:val="21"/>
              </w:rPr>
              <w:t xml:space="preserve">版）检测，高通量测序法</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CKS1B</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1q21</w:t>
            </w:r>
            <w:r>
              <w:rPr>
                <w:rFonts w:ascii="SimSun" w:hAnsi="SimSun" w:eastAsia="SimSun" w:cs="SimSun"/>
                <w:color w:val="000000"/>
                <w:sz w:val="21"/>
              </w:rPr>
              <w:t xml:space="preserve">）基因扩增检测（</w:t>
            </w:r>
            <w:r>
              <w:rPr>
                <w:rFonts w:ascii="Times New Roman" w:hAnsi="Times New Roman" w:eastAsia="Times New Roman" w:cs="Times New Roman"/>
                <w:color w:val="000000"/>
                <w:sz w:val="21"/>
              </w:rPr>
              <w:t xml:space="preserve">1q21/1p32</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IGH/MAFB</w:t>
            </w:r>
            <w:r>
              <w:rPr>
                <w:rFonts w:ascii="SimSun" w:hAnsi="SimSun" w:eastAsia="SimSun" w:cs="SimSun"/>
                <w:color w:val="000000"/>
                <w:sz w:val="21"/>
              </w:rPr>
              <w:t xml:space="preserve">融合基因检测，</w:t>
            </w:r>
            <w:r>
              <w:rPr>
                <w:rFonts w:ascii="Times New Roman" w:hAnsi="Times New Roman" w:eastAsia="Times New Roman" w:cs="Times New Roman"/>
                <w:color w:val="000000"/>
                <w:sz w:val="21"/>
              </w:rPr>
              <w:t xml:space="preserve">t</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q32;q11</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IgH/MAF, t(14;16)(q32;q23)</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IgH/CCND1 (BCL1)t(11;14)(q13;q32)</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MYD88</w:t>
            </w:r>
            <w:r>
              <w:rPr>
                <w:rFonts w:ascii="SimSun" w:hAnsi="SimSun" w:eastAsia="SimSun" w:cs="SimSun"/>
                <w:color w:val="000000"/>
                <w:sz w:val="21"/>
              </w:rPr>
              <w:t xml:space="preserve">基因</w:t>
            </w:r>
            <w:r>
              <w:rPr>
                <w:rFonts w:ascii="Times New Roman" w:hAnsi="Times New Roman" w:eastAsia="Times New Roman" w:cs="Times New Roman"/>
                <w:color w:val="000000"/>
                <w:sz w:val="21"/>
              </w:rPr>
              <w:t xml:space="preserve">L265P</w:t>
            </w:r>
            <w:r>
              <w:rPr>
                <w:rFonts w:ascii="SimSun" w:hAnsi="SimSun" w:eastAsia="SimSun" w:cs="SimSun"/>
                <w:color w:val="000000"/>
                <w:sz w:val="21"/>
              </w:rPr>
              <w:t xml:space="preserve">突变检测（</w:t>
            </w:r>
            <w:r>
              <w:rPr>
                <w:rFonts w:ascii="Times New Roman" w:hAnsi="Times New Roman" w:eastAsia="Times New Roman" w:cs="Times New Roman"/>
                <w:color w:val="000000"/>
                <w:sz w:val="21"/>
              </w:rPr>
              <w:t xml:space="preserve">PCR</w:t>
            </w:r>
            <w:r>
              <w:rPr>
                <w:rFonts w:ascii="SimSun" w:hAnsi="SimSun" w:eastAsia="SimSun" w:cs="SimSun"/>
                <w:color w:val="000000"/>
                <w:sz w:val="21"/>
              </w:rPr>
              <w:t xml:space="preserve">）</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多发性骨髓瘤</w:t>
            </w:r>
            <w:r>
              <w:rPr>
                <w:rFonts w:ascii="Times New Roman" w:hAnsi="Times New Roman" w:eastAsia="Times New Roman" w:cs="Times New Roman"/>
                <w:color w:val="000000"/>
                <w:sz w:val="21"/>
              </w:rPr>
              <w:t xml:space="preserve">NGS</w:t>
            </w:r>
            <w:r>
              <w:rPr>
                <w:rFonts w:ascii="SimSun" w:hAnsi="SimSun" w:eastAsia="SimSun" w:cs="SimSun"/>
                <w:color w:val="000000"/>
                <w:sz w:val="21"/>
              </w:rPr>
              <w:t xml:space="preserve">检测</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ADAMTS13</w:t>
            </w:r>
            <w:r>
              <w:rPr>
                <w:rFonts w:ascii="SimSun" w:hAnsi="SimSun" w:eastAsia="SimSun" w:cs="SimSun"/>
                <w:color w:val="000000"/>
                <w:sz w:val="21"/>
              </w:rPr>
              <w:t xml:space="preserve">酶活性及抑制性抗体检测</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二、技术要求</w:t>
      </w:r>
      <w:r/>
    </w:p>
    <w:p>
      <w:pPr>
        <w:numPr>
          <w:ilvl w:val="0"/>
          <w:numId w:val="9"/>
        </w:numPr>
        <w:spacing w:before="120" w:after="12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w:t>
      </w:r>
      <w:r>
        <w:rPr>
          <w:rFonts w:ascii="SimSun" w:hAnsi="SimSun" w:eastAsia="SimSun" w:cs="SimSun"/>
          <w:color w:val="000000"/>
          <w:sz w:val="21"/>
        </w:rPr>
        <w:t xml:space="preserve">具有有效的《医疗机构执业许可证》，诊疗科目涵盖但不限于临床血液和体液、临床化学检验、临床免疫学、临床微生物学、临床细胞分子遗传学检验、病理等专业。（提供相关证明材料）</w:t>
      </w:r>
      <w:r/>
    </w:p>
    <w:p>
      <w:pPr>
        <w:numPr>
          <w:ilvl w:val="0"/>
          <w:numId w:val="9"/>
        </w:numP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具有有效期内的ISO15189认可证书、GB/T36733-2018服务质量评价体系认证证书、信息安全管理体系认证证书(ISO27001)、GB/T27922售后服务管理证书。（提相关证明材料）</w:t>
      </w:r>
      <w:r/>
    </w:p>
    <w:p>
      <w:pPr>
        <w:numPr>
          <w:ilvl w:val="0"/>
          <w:numId w:val="9"/>
        </w:numP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要求：配备全自动血液分析仪、生化分析仪、化学发光分析仪、免疫分析仪、质谱和测序等开展项目所需的设备；配备专用冷链运输设备，温度可满足各类标本的储存需求，配置专用接收标本汽车（具有可调度备用车辆），车辆需配备专用车载冰箱/保温箱及温度记录表，每周至少进行1次清洁消毒。（提供相关证明材料）</w:t>
      </w:r>
      <w:r/>
    </w:p>
    <w:p>
      <w:pPr>
        <w:numPr>
          <w:ilvl w:val="0"/>
          <w:numId w:val="9"/>
        </w:numP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本管理：每周（周一-周六）上门接收标本服务（时间8:30-17:30，特殊情况可机动调整，节假日根据医院需求），严格执行规范的标本接收、登记、包装流程，对标本质量进行初检核对；标本运输符合《医学检验生物样本冷链物流运作规范》（GB/T 42186-2022）要求，直立、冷藏、封闭运输；妥善保存检验后标本，保存时间不低于相关标准要求，相关费用由投标人承担。（提供承诺书并加盖公章或相关证明材料）</w:t>
      </w:r>
      <w:r/>
    </w:p>
    <w:p>
      <w:pPr>
        <w:numPr>
          <w:ilvl w:val="0"/>
          <w:numId w:val="9"/>
        </w:numP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测与报告：具备完成本次招标所有检验项目的能力，检验技术方法、仪器及试剂需经市场监管部门审批注册和卫生计生行政部门技术准入；所有项目应在承诺时间内出具报告，特殊情况需提前通知医院；危急值需立即报告，检验报告单由具备相应资质的检验人员签发并经上级医师复核。（提供承诺书并加盖公章或相关证明材料）</w:t>
      </w:r>
      <w:r/>
    </w:p>
    <w:p>
      <w:pPr>
        <w:numPr>
          <w:ilvl w:val="0"/>
          <w:numId w:val="9"/>
        </w:numP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与保密：提供网上查询检测结果功能，实现与医院LIS和HIS系统对接（承担接口费用），配备7*24小时热线咨询服务；对受检者信息、标本、检验结果等资料严格保密，不得泄露或挪作他用；信息系统需具备良好的网络安全保护能力。（提供承诺书并加盖公章或相关证明材料）</w:t>
      </w:r>
      <w:r/>
    </w:p>
    <w:p>
      <w:pPr>
        <w:numPr>
          <w:ilvl w:val="0"/>
          <w:numId w:val="9"/>
        </w:numP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★生物安全：标本运送、接收和处理的人员应采用标准的生物安全防护措施。（提供承诺书并加盖公章）</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能力：针对各类突发事件（包括但不限于检验结果异议、标本丢失、公共卫生事件应急响应、危重病人样本应急处理等），需制定清晰准确、完整可行的应急处置机制、专项预案及协调措施，关键节点控制措施有力、科学合理、可落地执行。同时，需具备实验室仪器应急处置能力，若我方实验室仪器出现宕机无法正常运行时，可及时转移相关检测项目至投标人指定合规第三方实验室完成，确保检测工作不中断。（提供承诺书并加盖公章或相关证明材料）</w:t>
      </w:r>
      <w:r/>
    </w:p>
    <w:p>
      <w:pPr>
        <w:numPr>
          <w:ilvl w:val="0"/>
          <w:numId w:val="9"/>
        </w:numPr>
        <w:spacing w:before="120" w:after="12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w:t>
      </w:r>
      <w:r>
        <w:rPr>
          <w:rFonts w:ascii="SimSun" w:hAnsi="SimSun" w:eastAsia="SimSun" w:cs="SimSun"/>
          <w:color w:val="000000"/>
          <w:sz w:val="21"/>
        </w:rPr>
        <w:t xml:space="preserve">投标实验室或同一集团内子公司获得</w:t>
      </w:r>
      <w:r>
        <w:rPr>
          <w:rFonts w:ascii="Times New Roman" w:hAnsi="Times New Roman" w:eastAsia="Times New Roman" w:cs="Times New Roman"/>
          <w:color w:val="000000"/>
          <w:sz w:val="21"/>
        </w:rPr>
        <w:t xml:space="preserve">BCR::ABL1</w:t>
      </w:r>
      <w:r>
        <w:rPr>
          <w:rFonts w:ascii="SimSun" w:hAnsi="SimSun" w:eastAsia="SimSun" w:cs="SimSun"/>
          <w:color w:val="000000"/>
          <w:sz w:val="21"/>
        </w:rPr>
        <w:t xml:space="preserve">融合基因</w:t>
      </w:r>
      <w:r>
        <w:rPr>
          <w:rFonts w:ascii="Times New Roman" w:hAnsi="Times New Roman" w:eastAsia="Times New Roman" w:cs="Times New Roman"/>
          <w:color w:val="000000"/>
          <w:sz w:val="21"/>
        </w:rPr>
        <w:t xml:space="preserve">(p21</w:t>
      </w:r>
      <w:r>
        <w:rPr>
          <w:rFonts w:ascii="Times New Roman" w:hAnsi="Times New Roman" w:eastAsia="Times New Roman" w:cs="Times New Roman"/>
          <w:color w:val="000000"/>
          <w:spacing w:val="-1"/>
          <w:sz w:val="21"/>
        </w:rPr>
        <w:t xml:space="preserve">0)</w:t>
      </w:r>
      <w:r>
        <w:rPr>
          <w:rFonts w:ascii="SimSun" w:hAnsi="SimSun" w:eastAsia="SimSun" w:cs="SimSun"/>
          <w:color w:val="000000"/>
          <w:spacing w:val="-1"/>
          <w:sz w:val="21"/>
        </w:rPr>
        <w:t xml:space="preserve">定量</w:t>
      </w:r>
      <w:r>
        <w:rPr>
          <w:rFonts w:ascii="Times New Roman" w:hAnsi="Times New Roman" w:eastAsia="Times New Roman" w:cs="Times New Roman"/>
          <w:color w:val="000000"/>
          <w:spacing w:val="-1"/>
          <w:sz w:val="21"/>
        </w:rPr>
        <w:t xml:space="preserve">(IS)</w:t>
      </w:r>
      <w:r>
        <w:rPr>
          <w:rFonts w:ascii="SimSun" w:hAnsi="SimSun" w:eastAsia="SimSun" w:cs="SimSun"/>
          <w:color w:val="000000"/>
          <w:spacing w:val="-1"/>
          <w:sz w:val="21"/>
        </w:rPr>
        <w:t xml:space="preserve">有效转</w:t>
      </w:r>
      <w:r>
        <w:rPr>
          <w:rFonts w:ascii="SimSun" w:hAnsi="SimSun" w:eastAsia="SimSun" w:cs="SimSun"/>
          <w:color w:val="000000"/>
          <w:sz w:val="21"/>
        </w:rPr>
        <w:t xml:space="preserve">换系数。（提供相关证明材料）</w:t>
      </w:r>
      <w:r/>
    </w:p>
    <w:p>
      <w:pPr>
        <w:numPr>
          <w:ilvl w:val="0"/>
          <w:numId w:val="9"/>
        </w:numP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供应商可免费为医院提供数智化产品应用服务。</w:t>
      </w:r>
      <w:r/>
    </w:p>
    <w:p>
      <w:pPr>
        <w:numPr>
          <w:ilvl w:val="0"/>
          <w:numId w:val="9"/>
        </w:numP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人员要求：为本项目配备专业的人员团队（包括但不限于项目负责人、检验技术人员、特殊岗位人员、物流配送人员等）提供相关证明材料。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二、商务要求</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1.履约期限与地点：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履约期限：本项目服务期为三年，自合同签订之日起计算。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履约地点：南京市中医院。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2.履约形式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合同后，成交供应商不得将任何履约服务内容进行转包。未经采购人同意，成交供应商也不得采用分包的形式履行合同，否则采购人有权终止合同。转包或分包造成采购人损失的，成交供应商应承担相应赔偿与法律责任。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3.项目验收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验收前供应商需按相关国家（行业）标准、采购文件、响应文件、合同等提供验收标准。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经验收检验程序不合规或质量不合格、不符合要求，供应商需重新返工重新检测，因此而产生的费用均由供应商自行承担。供应商应承担重新检验而导致不能按期履约交付给采购人造成的一切损失。因供应商原因导致医疗差错或事故的，由供应商承担全部后果；协助医院处理相关医疗投诉纠纷，并承担相应处理费用；医院所有送检标本（特殊情况除外）由中标人依法处置，剩余标本按规定期限保存。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在验收过程中，如发生异议，则由双方共同认可的第三方检测机构予以检测，所需费用根据结果由过错方承担。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考核要求</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采购人每年不定期组织相关人员对中标人的服务进行考核，对受委托实验室进行检查与监控，确保受委托实验室的质量持续符合要求。监控内容可包括：检测过程、各种原始记录、室内质控及室间质评情况、仪器设备状态、人员素质状况等，并随机抽查检验报告单，确保检验报告单的准确性及可溯源性。</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考核不通过或服务期内累计3次出现质量问题，医院有权终止协议并追责。</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5.报价要求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门诊常规外送项目投标报价不高于《江苏省医疗服务项目价格手册》标准收费的35%（具体项目见清单），超过最高限价的投标标书作为无效标处理（如有物价收费调整，按新的物价规定执行）。 投标总报价应包括但不限于提供运输服务，配套车辆设备，配备服务人员，售后服务，质量监控信息，微生物消毒，外送标本检测等及其涉及的运费、油费、保险费、工资、水电费、设备折旧费、管理费、税费和招标代理服务费等招标文件已提到和招标文件虽未提到的但应该包括的完成本项目所产生的一切费用，医院除外送检测服务费外，不再另外支付任何其他费用。投标投标人</w:t>
      </w:r>
      <w:r>
        <w:rPr>
          <w:rFonts w:ascii="SimSun" w:hAnsi="SimSun" w:eastAsia="SimSun" w:cs="SimSun"/>
          <w:color w:val="000000"/>
          <w:sz w:val="21"/>
        </w:rPr>
        <w:t xml:space="preserve">应根据上述因素自行考虑含入投标总价。</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6.付款方式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检测服务费按实际送检量计算，按季度结算。采购人收到中标人结算文件之日起60日内以银行转账方式向中标人支付上个月的检测服务费用（中标人凭以下文件与采购人结算服务费a.合同复印件；b.中标通知书复印件； c.经双方确认的检测项目清单； d.中标人开具的有效发票）。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6.2检测服务费用结算公式：</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a.单项检测项目费用=江苏省公立医院基本医疗服务收费标准（最新）×</w:t>
      </w:r>
      <w:r>
        <w:rPr>
          <w:rFonts w:ascii="SimSun" w:hAnsi="SimSun" w:eastAsia="SimSun" w:cs="SimSun"/>
          <w:color w:val="000000"/>
          <w:sz w:val="21"/>
          <w:u w:val="none"/>
        </w:rPr>
        <w:t xml:space="preserve">成交费率</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b.每月检测服务费用=单项检测项目费用×检测项目数量-扣减费用（如有）。</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注：★条款为实质性条款，未响应视为无效文件。本项目商务条款全部为实质性条款。</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（参考格式</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甲方：</w:t>
      </w:r>
      <w:r>
        <w:rPr>
          <w:rFonts w:ascii="SimSun" w:hAnsi="SimSun" w:eastAsia="SimSun" w:cs="SimSun"/>
          <w:color w:val="000000"/>
          <w:sz w:val="22"/>
          <w:u w:val="single"/>
        </w:rPr>
        <w:t xml:space="preserve">        </w:t>
      </w:r>
      <w:r>
        <w:rPr>
          <w:rFonts w:ascii="Times New Roman" w:hAnsi="Times New Roman" w:eastAsia="Times New Roman" w:cs="Times New Roman"/>
          <w:color w:val="000000"/>
          <w:sz w:val="22"/>
        </w:rPr>
        <w:t xml:space="preserve">（采购人）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乙方：</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甲方于</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年</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月</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日组织了</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2"/>
        </w:rPr>
        <w:t xml:space="preserve">招标，经评委会认真严格地评审，确定由乙方在</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中中标。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为了给甲方的患者提供更优质、便捷、完善的医疗保健服务，甲乙双方秉着平等、协作、多赢的原则，就委托医学检验事宜达成如下协议：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一、合同标的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乙方根据甲方需求提供下列服务：</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详见乙方投标文件。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项目座落位置：</w:t>
      </w:r>
      <w:r>
        <w:rPr>
          <w:rFonts w:ascii="SimSun" w:hAnsi="SimSun" w:eastAsia="SimSun" w:cs="SimSun"/>
          <w:color w:val="000000"/>
          <w:sz w:val="22"/>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二、组成本合作协议书的有关文件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下列关于</w:t>
      </w:r>
      <w:r>
        <w:rPr>
          <w:rFonts w:ascii="Times New Roman" w:hAnsi="Times New Roman" w:eastAsia="Times New Roman" w:cs="Times New Roman"/>
          <w:b/>
          <w:color w:val="000000"/>
          <w:sz w:val="21"/>
          <w:u w:val="single"/>
        </w:rPr>
        <w:t xml:space="preserve">   </w:t>
      </w:r>
      <w:r>
        <w:rPr>
          <w:rFonts w:ascii="Times New Roman" w:hAnsi="Times New Roman" w:eastAsia="Times New Roman" w:cs="Times New Roman"/>
          <w:color w:val="000000"/>
          <w:sz w:val="22"/>
        </w:rPr>
        <w:t xml:space="preserve">号标的招投标文件或与本次采购活动方式相适应的文件及有关附件是本合同协议书不可分割的组成部分，与本合同协议书具有同等法律效力，这些文件包括但不限于：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Times New Roman" w:hAnsi="Times New Roman" w:eastAsia="Times New Roman" w:cs="Times New Roman"/>
          <w:color w:val="000000"/>
          <w:sz w:val="22"/>
        </w:rPr>
        <w:t xml:space="preserve">、乙方提供的投标文件和投标报价表；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Times New Roman" w:hAnsi="Times New Roman" w:eastAsia="Times New Roman" w:cs="Times New Roman"/>
          <w:color w:val="000000"/>
          <w:sz w:val="22"/>
        </w:rPr>
        <w:t xml:space="preserve">、技术规格响应表；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Times New Roman" w:hAnsi="Times New Roman" w:eastAsia="Times New Roman" w:cs="Times New Roman"/>
          <w:color w:val="000000"/>
          <w:sz w:val="22"/>
        </w:rPr>
        <w:t xml:space="preserve">、投标承诺</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服务承诺；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Times New Roman" w:hAnsi="Times New Roman" w:eastAsia="Times New Roman" w:cs="Times New Roman"/>
          <w:color w:val="000000"/>
          <w:sz w:val="22"/>
        </w:rPr>
        <w:t xml:space="preserve">、入围通知书；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Times New Roman" w:hAnsi="Times New Roman" w:eastAsia="Times New Roman" w:cs="Times New Roman"/>
          <w:color w:val="000000"/>
          <w:sz w:val="22"/>
        </w:rPr>
        <w:t xml:space="preserve">、甲乙双方商定的其他文件等。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三、合作内容</w:t>
      </w:r>
      <w:r>
        <w:rPr>
          <w:rFonts w:ascii="Times New Roman" w:hAnsi="Times New Roman" w:eastAsia="Times New Roman" w:cs="Times New Roman"/>
          <w:color w:val="000000"/>
          <w:sz w:val="21"/>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Times New Roman" w:hAnsi="Times New Roman" w:eastAsia="Times New Roman" w:cs="Times New Roman"/>
          <w:color w:val="000000"/>
          <w:sz w:val="22"/>
        </w:rPr>
        <w:t xml:space="preserve">、乙方向甲方患者提供临床检验服务，尽力满足甲方临床医生及技术人员的检验需求，协助甲方不断增强医疗服务水平和能力、扩大医疗服务范围、提高专业水平。</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Times New Roman" w:hAnsi="Times New Roman" w:eastAsia="Times New Roman" w:cs="Times New Roman"/>
          <w:color w:val="000000"/>
          <w:sz w:val="22"/>
        </w:rPr>
        <w:t xml:space="preserve">、双方根据需要，不定期地进行专业信息交流。交流的方式可以是：专题学术讲座和研讨会、资源共享等。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Times New Roman" w:hAnsi="Times New Roman" w:eastAsia="Times New Roman" w:cs="Times New Roman"/>
          <w:color w:val="000000"/>
          <w:sz w:val="22"/>
        </w:rPr>
        <w:t xml:space="preserve">、检验项目：详见附件。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Times New Roman" w:hAnsi="Times New Roman" w:eastAsia="Times New Roman" w:cs="Times New Roman"/>
          <w:color w:val="000000"/>
          <w:sz w:val="22"/>
        </w:rPr>
        <w:t xml:space="preserve">、服务价格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检测费用的价格为此次中标价，详见附件。若物价部门出台收费标准，则检测费用的价格为物价部门认定的价格乘以中标折扣，经双方协商一致，可以另行签订补充协议，补充协议与本协议具同等法律效力。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四、服务流程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Times New Roman" w:hAnsi="Times New Roman" w:eastAsia="Times New Roman" w:cs="Times New Roman"/>
          <w:color w:val="000000"/>
          <w:sz w:val="22"/>
        </w:rPr>
        <w:t xml:space="preserve">、乙方向甲方提供服务的流程具体包括：样本收取、报告和其他凭证的交接；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Times New Roman" w:hAnsi="Times New Roman" w:eastAsia="Times New Roman" w:cs="Times New Roman"/>
          <w:color w:val="000000"/>
          <w:sz w:val="22"/>
        </w:rPr>
        <w:t xml:space="preserve">、乙方向甲方提供服务的流程在乙方的《标本采集手册》中详细规定。乙方的《标本采集手册》作为本协议的附件。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五、权利义务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Times New Roman" w:hAnsi="Times New Roman" w:eastAsia="Times New Roman" w:cs="Times New Roman"/>
          <w:color w:val="000000"/>
          <w:sz w:val="22"/>
        </w:rPr>
        <w:t xml:space="preserve">、甲方的权利和义务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w:t>
      </w:r>
      <w:r>
        <w:rPr>
          <w:rFonts w:ascii="Times New Roman" w:hAnsi="Times New Roman" w:eastAsia="Times New Roman" w:cs="Times New Roman"/>
          <w:color w:val="000000"/>
          <w:sz w:val="22"/>
        </w:rPr>
        <w:t xml:space="preserve">）甲方有义务为乙方检测取样提供便利条件。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①</w:t>
      </w:r>
      <w:r>
        <w:rPr>
          <w:rFonts w:ascii="Times New Roman" w:hAnsi="Times New Roman" w:eastAsia="Times New Roman" w:cs="Times New Roman"/>
          <w:color w:val="000000"/>
          <w:sz w:val="22"/>
        </w:rPr>
        <w:t xml:space="preserve">甲方应当在约定的检测项目要求的规定时间内，按照规定的方式对其所采集的标本进行前处理和存储。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②</w:t>
      </w:r>
      <w:r>
        <w:rPr>
          <w:rFonts w:ascii="Times New Roman" w:hAnsi="Times New Roman" w:eastAsia="Times New Roman" w:cs="Times New Roman"/>
          <w:color w:val="000000"/>
          <w:sz w:val="22"/>
        </w:rPr>
        <w:t xml:space="preserve">甲方应确保向乙方提供完整的标本检测申请信息，包括患者基本信息、标本类型、</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2"/>
        </w:rPr>
        <w:t xml:space="preserve">项目名称、采样时间等。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③</w:t>
      </w:r>
      <w:r>
        <w:rPr>
          <w:rFonts w:ascii="Times New Roman" w:hAnsi="Times New Roman" w:eastAsia="Times New Roman" w:cs="Times New Roman"/>
          <w:color w:val="000000"/>
          <w:sz w:val="22"/>
        </w:rPr>
        <w:t xml:space="preserve">甲方应当将标本统一存放在双方约定的地点，并安排人员与乙方配送专员进行标本交接签收工作。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2</w:t>
      </w:r>
      <w:r>
        <w:rPr>
          <w:rFonts w:ascii="Times New Roman" w:hAnsi="Times New Roman" w:eastAsia="Times New Roman" w:cs="Times New Roman"/>
          <w:color w:val="000000"/>
          <w:sz w:val="22"/>
        </w:rPr>
        <w:t xml:space="preserve">）甲方对乙方有监管权利，定期质控乙方实验室以及提供的检测服务内容、质量，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如果第三方实验室在检测过程中出现以下错误，甲方将考虑终止合作：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w:t>
      </w:r>
      <w:r>
        <w:rPr>
          <w:rFonts w:ascii="Times New Roman" w:hAnsi="Times New Roman" w:eastAsia="Times New Roman" w:cs="Times New Roman"/>
          <w:color w:val="000000"/>
          <w:sz w:val="22"/>
        </w:rPr>
        <w:t xml:space="preserve">操作不规范或不符合技术规范，导致检测结果不准确；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w:t>
      </w:r>
      <w:r>
        <w:rPr>
          <w:rFonts w:ascii="Times New Roman" w:hAnsi="Times New Roman" w:eastAsia="Times New Roman" w:cs="Times New Roman"/>
          <w:color w:val="000000"/>
          <w:sz w:val="22"/>
        </w:rPr>
        <w:t xml:space="preserve">未能按照合同约定的时间和质量要求完成检测，不能及时提供检测结果。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w:t>
      </w:r>
      <w:r>
        <w:rPr>
          <w:rFonts w:ascii="Times New Roman" w:hAnsi="Times New Roman" w:eastAsia="Times New Roman" w:cs="Times New Roman"/>
          <w:color w:val="000000"/>
          <w:sz w:val="22"/>
        </w:rPr>
        <w:t xml:space="preserve">实验室不诚信，出现欺诈行为，如篡改室内质控数据、患者检验数据等。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w:t>
      </w:r>
      <w:r>
        <w:rPr>
          <w:rFonts w:ascii="Times New Roman" w:hAnsi="Times New Roman" w:eastAsia="Times New Roman" w:cs="Times New Roman"/>
          <w:color w:val="000000"/>
          <w:sz w:val="22"/>
        </w:rPr>
        <w:t xml:space="preserve">实验室管理不善，出现生物安全隐患。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w:t>
      </w:r>
      <w:r>
        <w:rPr>
          <w:rFonts w:ascii="Times New Roman" w:hAnsi="Times New Roman" w:eastAsia="Times New Roman" w:cs="Times New Roman"/>
          <w:color w:val="000000"/>
          <w:sz w:val="22"/>
        </w:rPr>
        <w:t xml:space="preserve">泄漏患者信息，造成严重后果。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w:t>
      </w:r>
      <w:r>
        <w:rPr>
          <w:rFonts w:ascii="Times New Roman" w:hAnsi="Times New Roman" w:eastAsia="Times New Roman" w:cs="Times New Roman"/>
          <w:color w:val="000000"/>
          <w:sz w:val="22"/>
        </w:rPr>
        <w:t xml:space="preserve">发生其他违反有关法律法规规定的情形</w:t>
      </w:r>
      <w:r>
        <w:rPr>
          <w:rFonts w:ascii="SimSun" w:hAnsi="SimSun" w:eastAsia="SimSun" w:cs="SimSun"/>
          <w:color w:val="000000"/>
          <w:sz w:val="22"/>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⑦发生</w:t>
      </w:r>
      <w:r>
        <w:rPr>
          <w:rFonts w:ascii="Times New Roman" w:hAnsi="Times New Roman" w:eastAsia="Times New Roman" w:cs="Times New Roman"/>
          <w:color w:val="000000"/>
          <w:sz w:val="22"/>
        </w:rPr>
        <w:t xml:space="preserve">损害患者</w:t>
      </w:r>
      <w:r>
        <w:rPr>
          <w:rFonts w:ascii="SimSun" w:hAnsi="SimSun" w:eastAsia="SimSun" w:cs="SimSun"/>
          <w:color w:val="000000"/>
          <w:sz w:val="22"/>
        </w:rPr>
        <w:t xml:space="preserve">或医院</w:t>
      </w:r>
      <w:r>
        <w:rPr>
          <w:rFonts w:ascii="Times New Roman" w:hAnsi="Times New Roman" w:eastAsia="Times New Roman" w:cs="Times New Roman"/>
          <w:color w:val="000000"/>
          <w:sz w:val="22"/>
        </w:rPr>
        <w:t xml:space="preserve">权益的行为。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1"/>
        </w:rPr>
        <w:t xml:space="preserve">3</w:t>
      </w:r>
      <w:r>
        <w:rPr>
          <w:rFonts w:ascii="Times New Roman" w:hAnsi="Times New Roman" w:eastAsia="Times New Roman" w:cs="Times New Roman"/>
          <w:color w:val="000000"/>
          <w:sz w:val="22"/>
        </w:rPr>
        <w:t xml:space="preserve">）甲方委托乙方检测的项目若能自行开展，甲方有权收回该检测项目。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4</w:t>
      </w:r>
      <w:r>
        <w:rPr>
          <w:rFonts w:ascii="Times New Roman" w:hAnsi="Times New Roman" w:eastAsia="Times New Roman" w:cs="Times New Roman"/>
          <w:color w:val="000000"/>
          <w:sz w:val="22"/>
        </w:rPr>
        <w:t xml:space="preserve">）甲方负责对患者的各个检测结果进行综合判读，将结果应用于临床。甲方负责向被检测者解释报告。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Times New Roman" w:hAnsi="Times New Roman" w:eastAsia="Times New Roman" w:cs="Times New Roman"/>
          <w:color w:val="000000"/>
          <w:sz w:val="22"/>
        </w:rPr>
        <w:t xml:space="preserve">、乙方的权利和义务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w:t>
      </w:r>
      <w:r>
        <w:rPr>
          <w:rFonts w:ascii="Times New Roman" w:hAnsi="Times New Roman" w:eastAsia="Times New Roman" w:cs="Times New Roman"/>
          <w:color w:val="000000"/>
          <w:sz w:val="22"/>
        </w:rPr>
        <w:t xml:space="preserve">）乙方向甲方提供服务的流程具体包括：样本收取、报告和其他凭证的交接、检验项目临时变化等。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2</w:t>
      </w:r>
      <w:r>
        <w:rPr>
          <w:rFonts w:ascii="Times New Roman" w:hAnsi="Times New Roman" w:eastAsia="Times New Roman" w:cs="Times New Roman"/>
          <w:color w:val="000000"/>
          <w:sz w:val="22"/>
        </w:rPr>
        <w:t xml:space="preserve">）乙方严格按照相关标准开展本合同委托检测工作，不得转包，保证工作全过程的公正性、科学性、准确性、可追溯性，并严格保障患者个人隐私及数据安全，所涉及检测内容及结果不外泄。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3</w:t>
      </w:r>
      <w:r>
        <w:rPr>
          <w:rFonts w:ascii="Times New Roman" w:hAnsi="Times New Roman" w:eastAsia="Times New Roman" w:cs="Times New Roman"/>
          <w:color w:val="000000"/>
          <w:sz w:val="22"/>
        </w:rPr>
        <w:t xml:space="preserve">）乙方检测时使用的设备必须在检定合格有效期内，环境符合标准检测要求。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4</w:t>
      </w:r>
      <w:r>
        <w:rPr>
          <w:rFonts w:ascii="Times New Roman" w:hAnsi="Times New Roman" w:eastAsia="Times New Roman" w:cs="Times New Roman"/>
          <w:color w:val="000000"/>
          <w:sz w:val="22"/>
        </w:rPr>
        <w:t xml:space="preserve">）乙方负责提供标本运送所需的包装材料，并按照标本运输保存要求运输标本。</w:t>
      </w:r>
      <w:r/>
    </w:p>
    <w:p>
      <w:pPr>
        <w:ind w:left="0" w:right="0" w:firstLine="4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w:t>
      </w:r>
      <w:r>
        <w:rPr>
          <w:rFonts w:ascii="SimSun" w:hAnsi="SimSun" w:eastAsia="SimSun" w:cs="SimSun"/>
          <w:color w:val="000000"/>
          <w:sz w:val="22"/>
        </w:rPr>
        <w:t xml:space="preserve">5）乙方对基因标本的全程管理符合检测需求和生物安全的要求。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（6）乙方保证检验过程中的质量控制。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（7）乙方签发的检验报告只对被检测的标本负责，乙方保证检验报告的及时性、准确性和私密性，乙方需向甲方提供所有的检测结果及原始数据。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（8）乙方根据行业标准保留检验后的标本以备复检。由于标本量不够导致无法复检的，乙方不负责复检。标本保存期7</w:t>
      </w:r>
      <w:r>
        <w:rPr>
          <w:rFonts w:ascii="Times New Roman" w:hAnsi="Times New Roman" w:eastAsia="Times New Roman" w:cs="Times New Roman"/>
          <w:color w:val="000000"/>
          <w:sz w:val="22"/>
        </w:rPr>
        <w:t xml:space="preserve">天，检测报告保存期为</w:t>
      </w:r>
      <w:r>
        <w:rPr>
          <w:rFonts w:ascii="SimSun" w:hAnsi="SimSun" w:eastAsia="SimSun" w:cs="SimSun"/>
          <w:color w:val="000000"/>
          <w:sz w:val="22"/>
        </w:rPr>
        <w:t xml:space="preserve">15</w:t>
      </w:r>
      <w:r>
        <w:rPr>
          <w:rFonts w:ascii="Times New Roman" w:hAnsi="Times New Roman" w:eastAsia="Times New Roman" w:cs="Times New Roman"/>
          <w:color w:val="000000"/>
          <w:sz w:val="22"/>
        </w:rPr>
        <w:t xml:space="preserve">年。对于涉及医疗纠纷、司法鉴定等潜在风险的标本，乙方应延长保存期限至甲方书面通知之日，或至少保存至检测报告出具后一年，以甲方要求为准</w:t>
      </w:r>
      <w:r>
        <w:rPr>
          <w:rFonts w:ascii="SimSun" w:hAnsi="SimSun" w:eastAsia="SimSun" w:cs="SimSun"/>
          <w:color w:val="000000"/>
          <w:sz w:val="22"/>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9</w:t>
      </w:r>
      <w:r>
        <w:rPr>
          <w:rFonts w:ascii="Times New Roman" w:hAnsi="Times New Roman" w:eastAsia="Times New Roman" w:cs="Times New Roman"/>
          <w:color w:val="000000"/>
          <w:sz w:val="22"/>
        </w:rPr>
        <w:t xml:space="preserve">）乙方仅对来样负责。乙方必须按照甲方委托书要求内容进行测试，出具检测报告。报告内容必须真实、准确，保证与所测试的原始数据一致。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10</w:t>
      </w:r>
      <w:r>
        <w:rPr>
          <w:rFonts w:ascii="Times New Roman" w:hAnsi="Times New Roman" w:eastAsia="Times New Roman" w:cs="Times New Roman"/>
          <w:color w:val="000000"/>
          <w:sz w:val="22"/>
        </w:rPr>
        <w:t xml:space="preserve">）乙方对甲方提供的相关检测信息确认无误后，应在承诺的检测周期内出具准确可靠的检测报告，乙方对出具的检测报告负全部责任。如有特殊情况不能在周期内出具报告，应及时告知甲方。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11</w:t>
      </w:r>
      <w:r>
        <w:rPr>
          <w:rFonts w:ascii="Times New Roman" w:hAnsi="Times New Roman" w:eastAsia="Times New Roman" w:cs="Times New Roman"/>
          <w:color w:val="000000"/>
          <w:sz w:val="22"/>
        </w:rPr>
        <w:t xml:space="preserve">）检验结果的信息化，乙方应根据甲方的需求具体落实并承担因此而发生的费用。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12</w:t>
      </w:r>
      <w:r>
        <w:rPr>
          <w:rFonts w:ascii="Times New Roman" w:hAnsi="Times New Roman" w:eastAsia="Times New Roman" w:cs="Times New Roman"/>
          <w:color w:val="000000"/>
          <w:sz w:val="22"/>
        </w:rPr>
        <w:t xml:space="preserve">）乙方专业的技术人员负责向甲方解释各个报告结果；乙方不负责向被检测者解释报告。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13</w:t>
      </w:r>
      <w:r>
        <w:rPr>
          <w:rFonts w:ascii="Times New Roman" w:hAnsi="Times New Roman" w:eastAsia="Times New Roman" w:cs="Times New Roman"/>
          <w:color w:val="000000"/>
          <w:sz w:val="22"/>
        </w:rPr>
        <w:t xml:space="preserve">）乙方检测报告供临床参考，并非诊断意见，最终诊断需临床医师结合被检测者的临床症状及其他检查结果作出判定。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14</w:t>
      </w:r>
      <w:r>
        <w:rPr>
          <w:rFonts w:ascii="Times New Roman" w:hAnsi="Times New Roman" w:eastAsia="Times New Roman" w:cs="Times New Roman"/>
          <w:color w:val="000000"/>
          <w:sz w:val="22"/>
        </w:rPr>
        <w:t xml:space="preserve">）乙方对所有检测标本、检测结果等数据信息的应用或使用必须经过甲方</w:t>
      </w:r>
      <w:r>
        <w:rPr>
          <w:rFonts w:ascii="SimSun" w:hAnsi="SimSun" w:eastAsia="SimSun" w:cs="SimSun"/>
          <w:color w:val="000000"/>
          <w:sz w:val="22"/>
        </w:rPr>
        <w:t xml:space="preserve">书面授权，并明确应用范围、期限、收益分配等，未经甲方书面授权，乙方不得对检测标本、检测结果等数据进行任何形式的应用、使用或向第三方披露</w:t>
      </w:r>
      <w:r>
        <w:rPr>
          <w:rFonts w:ascii="Times New Roman" w:hAnsi="Times New Roman" w:eastAsia="Times New Roman" w:cs="Times New Roman"/>
          <w:color w:val="000000"/>
          <w:sz w:val="22"/>
        </w:rPr>
        <w:t xml:space="preserve">。乙方对来自甲方的所有标本、检测信息、患者隐私具有完善的保护措施，必须符合国家和行业内的相关规定，标本的保存和销毁要符合国家相关规定及本合同的约定。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15</w:t>
      </w:r>
      <w:r>
        <w:rPr>
          <w:rFonts w:ascii="Times New Roman" w:hAnsi="Times New Roman" w:eastAsia="Times New Roman" w:cs="Times New Roman"/>
          <w:color w:val="000000"/>
          <w:sz w:val="22"/>
        </w:rPr>
        <w:t xml:space="preserve">）乙方配合甲方不定期对样本运输、检测流程、检验结果及检验质量的监督检查。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16</w:t>
      </w:r>
      <w:r>
        <w:rPr>
          <w:rFonts w:ascii="Times New Roman" w:hAnsi="Times New Roman" w:eastAsia="Times New Roman" w:cs="Times New Roman"/>
          <w:color w:val="000000"/>
          <w:sz w:val="22"/>
        </w:rPr>
        <w:t xml:space="preserve">）乙方向甲方提供服务的流程在乙方的《标本采集手册》中详细规定。乙方的《标本采集手册》作为本</w:t>
      </w:r>
      <w:r>
        <w:rPr>
          <w:rFonts w:ascii="SimSun" w:hAnsi="SimSun" w:eastAsia="SimSun" w:cs="SimSun"/>
          <w:color w:val="000000"/>
          <w:sz w:val="22"/>
        </w:rPr>
        <w:t xml:space="preserve">合同</w:t>
      </w:r>
      <w:r>
        <w:rPr>
          <w:rFonts w:ascii="Times New Roman" w:hAnsi="Times New Roman" w:eastAsia="Times New Roman" w:cs="Times New Roman"/>
          <w:color w:val="000000"/>
          <w:sz w:val="22"/>
        </w:rPr>
        <w:t xml:space="preserve">的附件。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六、违约责任</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21"/>
        </w:rPr>
        <w:t xml:space="preserve"> </w:t>
      </w: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Times New Roman" w:hAnsi="Times New Roman" w:eastAsia="Times New Roman" w:cs="Times New Roman"/>
          <w:color w:val="000000"/>
          <w:sz w:val="22"/>
        </w:rPr>
        <w:t xml:space="preserve">、乙方如违反本合同第五条第2款</w:t>
      </w:r>
      <w:r>
        <w:rPr>
          <w:rFonts w:ascii="SimSun" w:hAnsi="SimSun" w:eastAsia="SimSun" w:cs="SimSun"/>
          <w:color w:val="000000"/>
          <w:sz w:val="22"/>
        </w:rPr>
        <w:t xml:space="preserve">“乙方的权利和义务”任一一款</w:t>
      </w:r>
      <w:r>
        <w:rPr>
          <w:rFonts w:ascii="Times New Roman" w:hAnsi="Times New Roman" w:eastAsia="Times New Roman" w:cs="Times New Roman"/>
          <w:color w:val="000000"/>
          <w:sz w:val="22"/>
        </w:rPr>
        <w:t xml:space="preserve">约定的，甲方有权单方解除合同，并要求乙方退还已支付的全部检测费用，并向甲方支付上一年度检测费用总额的20%作为违约金。违约金不足以弥补甲方损失的，甲方有权继续追偿。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Times New Roman" w:hAnsi="Times New Roman" w:eastAsia="Times New Roman" w:cs="Times New Roman"/>
          <w:color w:val="000000"/>
          <w:sz w:val="22"/>
        </w:rPr>
        <w:t xml:space="preserve">、因乙方原因（如运送保存不当、检测操作失误、仪器故障等）导致标本丢失、破损或检验报告错误、延误的，乙方应承担全部责任，并按照甲方要求免费重新检测或赔偿甲方因此遭受的全部损失（包括但不限于向患者支付的赔偿、行政罚款、诉讼费用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Times New Roman" w:hAnsi="Times New Roman" w:eastAsia="Times New Roman" w:cs="Times New Roman"/>
          <w:color w:val="000000"/>
          <w:sz w:val="22"/>
        </w:rPr>
        <w:t xml:space="preserve">、由于乙方原因导致检验失败、报告无法出具或报告有误等，由乙方承担全部责任。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、乙方出现下列情形之一的，构成严重违约，甲方有权单方解除合同，并要求乙方承担上一年度检测费用总额的</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的违约金：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）季度考核结果为“不合格”的；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）服务期内累计发生三次质量事故或患者有效投诉的；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）违反本协议约定，未经甲方书面同意，将检测工作分包、转包给第三方的；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）被卫生行政部门责令停业整顿或被吊销相关资质的。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、甲方依据本协议约定或法律规定解除协议的，自甲方的书面通知到达乙方时协议解除。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、乙方违反本协议约定或法律规定，应支付违约金、赔偿金的，甲方有权从未支付的检测服务费中直接扣除，不足以抵扣的，甲方有权继续向乙方追偿。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七、服务收费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门诊常规外送项目投标报价不高于《江苏省医疗服务项目价格手册》标准收费的35%（具体项目见清单），超过最高限价的投标标书作为无效标处理（如有物价收费调整，按新的物价规定执行）。 投标总报价应包括但不限于提供运输服务，配套车辆设备，配备服务人员，售后服务，质量监控信息，微生物消毒，外送标本检测等及其涉及的运费、油费、保险费、工资、水电费、设备折旧费、管理费、税费和招标代理服务费等招标文件已提到和招标文件虽未提到的但应该包括的完成本项目所产生的一切费用，医院除外送检测服务费外，不再另外支付任何其他费用。投标投标人</w:t>
      </w:r>
      <w:r>
        <w:rPr>
          <w:rFonts w:ascii="Times New Roman" w:hAnsi="Times New Roman" w:eastAsia="Times New Roman" w:cs="Times New Roman"/>
          <w:color w:val="000000"/>
          <w:sz w:val="22"/>
        </w:rPr>
        <w:t xml:space="preserve">应根据上述因素自行考虑含入投标总价。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八、结款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 </w:t>
      </w:r>
      <w:r>
        <w:rPr>
          <w:rFonts w:ascii="SimSun" w:hAnsi="SimSun" w:eastAsia="SimSun" w:cs="SimSun"/>
          <w:color w:val="000000"/>
          <w:sz w:val="21"/>
        </w:rPr>
        <w:t xml:space="preserve">检测服务费按实际送检量计算，按季度结算</w:t>
      </w:r>
      <w:r>
        <w:rPr>
          <w:rFonts w:ascii="Times New Roman" w:hAnsi="Times New Roman" w:eastAsia="Times New Roman" w:cs="Times New Roman"/>
          <w:color w:val="000000"/>
          <w:sz w:val="22"/>
        </w:rPr>
        <w:t xml:space="preserve">。采购人收到中标人结算文件之日起60日内以银行转账方式向中标人支付上个月的检测服务费用</w:t>
      </w:r>
      <w:r>
        <w:rPr>
          <w:rFonts w:ascii="SimSun" w:hAnsi="SimSun" w:eastAsia="SimSun" w:cs="SimSun"/>
          <w:color w:val="000000"/>
          <w:sz w:val="22"/>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8.2费用结算依据：中标人凭以下文件与采购人结算服务费</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a.合同复印件；b.中标通知书复印件； c.经双方确认的检测项目清单； d.中标人开具的有效发票。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8.3检测服务费用结算公式：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a.单项检测项目费用=江苏省公立医院基本医疗服务收费标准（最新）×成交费率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b.每月检测服务费用=单项检测项目费用×检测项目数量-扣减费用（如有）。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8.4 </w:t>
      </w:r>
      <w:r>
        <w:rPr>
          <w:rFonts w:ascii="SimSun" w:hAnsi="SimSun" w:eastAsia="SimSun" w:cs="SimSun"/>
          <w:color w:val="000000"/>
          <w:sz w:val="22"/>
        </w:rPr>
        <w:t xml:space="preserve">费用排他性约定：本合同约定的费用标准及结算方式，为双方就本项目下所有服务费用的唯一、排他性的结算依据。除本合同明确约定外，中标人不得以任何理由（包括但不限于口头承诺、先行服务、情势变更等）向采购人主张任何额外费用。任何未经采购人书面确认并签订补充协议的服务，均视为中标人免费提供，采购人无需就此支付任何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九、其他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Times New Roman" w:hAnsi="Times New Roman" w:eastAsia="Times New Roman" w:cs="Times New Roman"/>
          <w:color w:val="000000"/>
          <w:sz w:val="22"/>
        </w:rPr>
        <w:t xml:space="preserve">、本协议经双方签字盖章后生效，合作期限自</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年</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月</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日始至</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年</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月</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日止，合作期限为</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年。合作期满，本协议自动失效。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过渡期安排：本协议终止或解除前六十日内，中标人应根据采购人要求，启动项目平稳过渡工作。中标人须无偿配合采购人进行数据迁移、档案移交、剩余标本处置、新中标供应商进场对接等工作。在本协议终止或解除后，中标人仍需继续完成已接收但尚未出具报告的标本检测，并保证检测结果的准确性及及时性，相关费用按本协议约定的标准据实结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Times New Roman" w:hAnsi="Times New Roman" w:eastAsia="Times New Roman" w:cs="Times New Roman"/>
          <w:color w:val="000000"/>
          <w:sz w:val="22"/>
        </w:rPr>
        <w:t xml:space="preserve">、本协议自双方签字盖章后生效，未经对方同意，不得单方擅自修改。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Times New Roman" w:hAnsi="Times New Roman" w:eastAsia="Times New Roman" w:cs="Times New Roman"/>
          <w:color w:val="000000"/>
          <w:sz w:val="22"/>
        </w:rPr>
        <w:t xml:space="preserve">、本协议一式</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u w:val="single"/>
        </w:rPr>
        <w:t xml:space="preserve">陆</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份，甲乙双方各持</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u w:val="single"/>
        </w:rPr>
        <w:t xml:space="preserve">叁</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份，具体同等法律效力。有关未尽事宜，另行签订补充协议，补充协议与本协议具同等法律效力。因履行本协议而产生的纠纷，双方协商解决，协商不成的，双方同意向甲方所在地法院起诉。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5145" w:right="0" w:hanging="51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甲方（盖章）：</w:t>
      </w:r>
      <w:r>
        <w:rPr>
          <w:rFonts w:ascii="SimSun" w:hAnsi="SimSun" w:eastAsia="SimSun" w:cs="SimSun"/>
          <w:color w:val="000000"/>
          <w:sz w:val="22"/>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乙方（盖章）：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法人代表（委托人）：</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法人代表（委托人）：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部门负责人：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经办人：</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经办人：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签订日期：年月日</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签订日期：年月日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  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本授权书自______年____月____日起生效，特此声明。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被授权人的身份证的复印件: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52"/>
        <w:gridCol w:w="6008"/>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3052"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标题</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008"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3052"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008"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不高于《江苏省医疗服务项目价格手册》标准收费的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3052"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是否全部为小微型企业或监狱企业或残疾人福利性单位提供的货物或服务</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008"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numPr>
          <w:ilvl w:val="0"/>
          <w:numId w:val="10"/>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629"/>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（格式自拟）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注：报价应包含项目实施过程中一切相关费用。当实际检测数量与合同不一致时，按照固定单价乘以实际检测数量进行结算。</w:t>
      </w:r>
      <w:r>
        <w:rPr>
          <w:rFonts w:ascii="SimSun" w:hAnsi="SimSun" w:eastAsia="SimSun" w:cs="SimSun"/>
          <w:b/>
          <w:color w:val="000000"/>
          <w:sz w:val="24"/>
        </w:rPr>
        <w:t xml:space="preserve">表中响应报价总计应与对应报价一览表中投标总价一致。</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中小企业声明函（工程、服务）</w:t>
      </w:r>
      <w:r/>
    </w:p>
    <w:p>
      <w:pPr>
        <w:ind w:left="0" w:right="0" w:firstLine="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 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 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191000" cy="4962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889630" name=""/>
                        <pic:cNvPicPr>
                          <a:picLocks noChangeAspect="1"/>
                        </pic:cNvPicPr>
                        <pic:nvPr/>
                      </pic:nvPicPr>
                      <pic:blipFill>
                        <a:blip/>
                        <a:stretch/>
                      </pic:blipFill>
                      <pic:spPr bwMode="auto">
                        <a:xfrm>
                          <a:off x="0" y="0"/>
                          <a:ext cx="4190999" cy="4962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0pt;height:390.8pt;mso-wrap-distance-left:0.0pt;mso-wrap-distance-top:0.0pt;mso-wrap-distance-right:0.0pt;mso-wrap-distance-bottom:0.0pt;" stroked="false">
                <v:path textboxrect="0,0,0,0"/>
              </v:shape>
            </w:pict>
          </mc:Fallback>
        </mc:AlternateContent>
      </w: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Microsoft YaHei">
    <w:panose1 w:val="020B0503020204020204"/>
  </w:font>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2">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7">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name w:val="Heading 1"/>
    <w:link w:val="655"/>
    <w:uiPriority w:val="9"/>
    <w:qFormat/>
    <w:pPr>
      <w:keepLines/>
      <w:keepNext/>
      <w:spacing w:before="480" w:after="200"/>
      <w:outlineLvl w:val="0"/>
    </w:pPr>
    <w:rPr>
      <w:rFonts w:ascii="Arial" w:hAnsi="Arial" w:eastAsia="Arial" w:cs="Arial"/>
      <w:sz w:val="40"/>
      <w:szCs w:val="40"/>
    </w:rPr>
  </w:style>
  <w:style w:type="character" w:styleId="655">
    <w:name w:val="Heading 1 Char"/>
    <w:link w:val="654"/>
    <w:uiPriority w:val="9"/>
    <w:rPr>
      <w:rFonts w:ascii="Arial" w:hAnsi="Arial" w:eastAsia="Arial" w:cs="Arial"/>
      <w:sz w:val="40"/>
      <w:szCs w:val="40"/>
    </w:rPr>
  </w:style>
  <w:style w:type="paragraph" w:styleId="656">
    <w:name w:val="Heading 2"/>
    <w:link w:val="657"/>
    <w:uiPriority w:val="9"/>
    <w:unhideWhenUsed/>
    <w:qFormat/>
    <w:pPr>
      <w:keepLines/>
      <w:keepNext/>
      <w:spacing w:before="360" w:after="200"/>
      <w:outlineLvl w:val="1"/>
    </w:pPr>
    <w:rPr>
      <w:rFonts w:ascii="Arial" w:hAnsi="Arial" w:eastAsia="Arial" w:cs="Arial"/>
      <w:sz w:val="34"/>
    </w:rPr>
  </w:style>
  <w:style w:type="character" w:styleId="657">
    <w:name w:val="Heading 2 Char"/>
    <w:link w:val="656"/>
    <w:uiPriority w:val="9"/>
    <w:rPr>
      <w:rFonts w:ascii="Arial" w:hAnsi="Arial" w:eastAsia="Arial" w:cs="Arial"/>
      <w:sz w:val="34"/>
    </w:rPr>
  </w:style>
  <w:style w:type="paragraph" w:styleId="658">
    <w:name w:val="Heading 3"/>
    <w:link w:val="659"/>
    <w:uiPriority w:val="9"/>
    <w:unhideWhenUsed/>
    <w:qFormat/>
    <w:pPr>
      <w:keepLines/>
      <w:keepNext/>
      <w:spacing w:before="320" w:after="200"/>
      <w:outlineLvl w:val="2"/>
    </w:pPr>
    <w:rPr>
      <w:rFonts w:ascii="Arial" w:hAnsi="Arial" w:eastAsia="Arial" w:cs="Arial"/>
      <w:sz w:val="30"/>
      <w:szCs w:val="30"/>
    </w:rPr>
  </w:style>
  <w:style w:type="character" w:styleId="659">
    <w:name w:val="Heading 3 Char"/>
    <w:link w:val="658"/>
    <w:uiPriority w:val="9"/>
    <w:rPr>
      <w:rFonts w:ascii="Arial" w:hAnsi="Arial" w:eastAsia="Arial" w:cs="Arial"/>
      <w:sz w:val="30"/>
      <w:szCs w:val="30"/>
    </w:rPr>
  </w:style>
  <w:style w:type="paragraph" w:styleId="660">
    <w:name w:val="Heading 4"/>
    <w:link w:val="661"/>
    <w:uiPriority w:val="9"/>
    <w:unhideWhenUsed/>
    <w:qFormat/>
    <w:pPr>
      <w:keepLines/>
      <w:keepNext/>
      <w:spacing w:before="320" w:after="200"/>
      <w:outlineLvl w:val="3"/>
    </w:pPr>
    <w:rPr>
      <w:rFonts w:ascii="Arial" w:hAnsi="Arial" w:eastAsia="Arial" w:cs="Arial"/>
      <w:b/>
      <w:bCs/>
      <w:sz w:val="26"/>
      <w:szCs w:val="26"/>
    </w:rPr>
  </w:style>
  <w:style w:type="character" w:styleId="661">
    <w:name w:val="Heading 4 Char"/>
    <w:link w:val="660"/>
    <w:uiPriority w:val="9"/>
    <w:rPr>
      <w:rFonts w:ascii="Arial" w:hAnsi="Arial" w:eastAsia="Arial" w:cs="Arial"/>
      <w:b/>
      <w:bCs/>
      <w:sz w:val="26"/>
      <w:szCs w:val="26"/>
    </w:rPr>
  </w:style>
  <w:style w:type="paragraph" w:styleId="662">
    <w:name w:val="Heading 5"/>
    <w:link w:val="663"/>
    <w:uiPriority w:val="9"/>
    <w:unhideWhenUsed/>
    <w:qFormat/>
    <w:pPr>
      <w:keepLines/>
      <w:keepNext/>
      <w:spacing w:before="320" w:after="200"/>
      <w:outlineLvl w:val="4"/>
    </w:pPr>
    <w:rPr>
      <w:rFonts w:ascii="Arial" w:hAnsi="Arial" w:eastAsia="Arial" w:cs="Arial"/>
      <w:b/>
      <w:bCs/>
      <w:sz w:val="24"/>
      <w:szCs w:val="24"/>
    </w:rPr>
  </w:style>
  <w:style w:type="character" w:styleId="663">
    <w:name w:val="Heading 5 Char"/>
    <w:link w:val="662"/>
    <w:uiPriority w:val="9"/>
    <w:rPr>
      <w:rFonts w:ascii="Arial" w:hAnsi="Arial" w:eastAsia="Arial" w:cs="Arial"/>
      <w:b/>
      <w:bCs/>
      <w:sz w:val="24"/>
      <w:szCs w:val="24"/>
    </w:rPr>
  </w:style>
  <w:style w:type="paragraph" w:styleId="664">
    <w:name w:val="Heading 6"/>
    <w:link w:val="665"/>
    <w:uiPriority w:val="9"/>
    <w:unhideWhenUsed/>
    <w:qFormat/>
    <w:pPr>
      <w:keepLines/>
      <w:keepNext/>
      <w:spacing w:before="320" w:after="200"/>
      <w:outlineLvl w:val="5"/>
    </w:pPr>
    <w:rPr>
      <w:rFonts w:ascii="Arial" w:hAnsi="Arial" w:eastAsia="Arial" w:cs="Arial"/>
      <w:b/>
      <w:bCs/>
      <w:sz w:val="22"/>
      <w:szCs w:val="22"/>
    </w:rPr>
  </w:style>
  <w:style w:type="character" w:styleId="665">
    <w:name w:val="Heading 6 Char"/>
    <w:link w:val="664"/>
    <w:uiPriority w:val="9"/>
    <w:rPr>
      <w:rFonts w:ascii="Arial" w:hAnsi="Arial" w:eastAsia="Arial" w:cs="Arial"/>
      <w:b/>
      <w:bCs/>
      <w:sz w:val="22"/>
      <w:szCs w:val="22"/>
    </w:rPr>
  </w:style>
  <w:style w:type="paragraph" w:styleId="666">
    <w:name w:val="Heading 7"/>
    <w:link w:val="667"/>
    <w:uiPriority w:val="9"/>
    <w:unhideWhenUsed/>
    <w:qFormat/>
    <w:pPr>
      <w:keepLines/>
      <w:keepNext/>
      <w:spacing w:before="320" w:after="200"/>
      <w:outlineLvl w:val="6"/>
    </w:pPr>
    <w:rPr>
      <w:rFonts w:ascii="Arial" w:hAnsi="Arial" w:eastAsia="Arial" w:cs="Arial"/>
      <w:b/>
      <w:bCs/>
      <w:i/>
      <w:iCs/>
      <w:sz w:val="22"/>
      <w:szCs w:val="22"/>
    </w:rPr>
  </w:style>
  <w:style w:type="character" w:styleId="667">
    <w:name w:val="Heading 7 Char"/>
    <w:link w:val="666"/>
    <w:uiPriority w:val="9"/>
    <w:rPr>
      <w:rFonts w:ascii="Arial" w:hAnsi="Arial" w:eastAsia="Arial" w:cs="Arial"/>
      <w:b/>
      <w:bCs/>
      <w:i/>
      <w:iCs/>
      <w:sz w:val="22"/>
      <w:szCs w:val="22"/>
    </w:rPr>
  </w:style>
  <w:style w:type="paragraph" w:styleId="668">
    <w:name w:val="Heading 8"/>
    <w:link w:val="669"/>
    <w:uiPriority w:val="9"/>
    <w:unhideWhenUsed/>
    <w:qFormat/>
    <w:pPr>
      <w:keepLines/>
      <w:keepNext/>
      <w:spacing w:before="320" w:after="200"/>
      <w:outlineLvl w:val="7"/>
    </w:pPr>
    <w:rPr>
      <w:rFonts w:ascii="Arial" w:hAnsi="Arial" w:eastAsia="Arial" w:cs="Arial"/>
      <w:i/>
      <w:iCs/>
      <w:sz w:val="22"/>
      <w:szCs w:val="22"/>
    </w:rPr>
  </w:style>
  <w:style w:type="character" w:styleId="669">
    <w:name w:val="Heading 8 Char"/>
    <w:link w:val="668"/>
    <w:uiPriority w:val="9"/>
    <w:rPr>
      <w:rFonts w:ascii="Arial" w:hAnsi="Arial" w:eastAsia="Arial" w:cs="Arial"/>
      <w:i/>
      <w:iCs/>
      <w:sz w:val="22"/>
      <w:szCs w:val="22"/>
    </w:rPr>
  </w:style>
  <w:style w:type="paragraph" w:styleId="670">
    <w:name w:val="Heading 9"/>
    <w:link w:val="671"/>
    <w:uiPriority w:val="9"/>
    <w:unhideWhenUsed/>
    <w:qFormat/>
    <w:pPr>
      <w:keepLines/>
      <w:keepNext/>
      <w:spacing w:before="320" w:after="200"/>
      <w:outlineLvl w:val="8"/>
    </w:pPr>
    <w:rPr>
      <w:rFonts w:ascii="Arial" w:hAnsi="Arial" w:eastAsia="Arial" w:cs="Arial"/>
      <w:i/>
      <w:iCs/>
      <w:sz w:val="21"/>
      <w:szCs w:val="21"/>
    </w:rPr>
  </w:style>
  <w:style w:type="character" w:styleId="671">
    <w:name w:val="Heading 9 Char"/>
    <w:link w:val="670"/>
    <w:uiPriority w:val="9"/>
    <w:rPr>
      <w:rFonts w:ascii="Arial" w:hAnsi="Arial" w:eastAsia="Arial" w:cs="Arial"/>
      <w:i/>
      <w:iCs/>
      <w:sz w:val="21"/>
      <w:szCs w:val="21"/>
    </w:rPr>
  </w:style>
  <w:style w:type="paragraph" w:styleId="672">
    <w:name w:val="List Paragraph"/>
    <w:uiPriority w:val="34"/>
    <w:qFormat/>
    <w:pPr>
      <w:contextualSpacing/>
      <w:ind w:left="720"/>
    </w:pPr>
  </w:style>
  <w:style w:type="paragraph" w:styleId="673">
    <w:name w:val="No Spacing"/>
    <w:uiPriority w:val="1"/>
    <w:qFormat/>
    <w:pPr>
      <w:spacing w:before="0" w:after="0" w:line="240" w:lineRule="auto"/>
    </w:pPr>
  </w:style>
  <w:style w:type="paragraph" w:styleId="674">
    <w:name w:val="Title"/>
    <w:link w:val="675"/>
    <w:uiPriority w:val="10"/>
    <w:qFormat/>
    <w:pPr>
      <w:contextualSpacing/>
      <w:spacing w:before="300" w:after="200"/>
    </w:pPr>
    <w:rPr>
      <w:sz w:val="48"/>
      <w:szCs w:val="48"/>
    </w:rPr>
  </w:style>
  <w:style w:type="character" w:styleId="675">
    <w:name w:val="Title Char"/>
    <w:link w:val="674"/>
    <w:uiPriority w:val="10"/>
    <w:rPr>
      <w:sz w:val="48"/>
      <w:szCs w:val="48"/>
    </w:rPr>
  </w:style>
  <w:style w:type="paragraph" w:styleId="676">
    <w:name w:val="Subtitle"/>
    <w:link w:val="677"/>
    <w:uiPriority w:val="11"/>
    <w:qFormat/>
    <w:pPr>
      <w:spacing w:before="200" w:after="200"/>
    </w:pPr>
    <w:rPr>
      <w:sz w:val="24"/>
      <w:szCs w:val="24"/>
    </w:rPr>
  </w:style>
  <w:style w:type="character" w:styleId="677">
    <w:name w:val="Subtitle Char"/>
    <w:link w:val="676"/>
    <w:uiPriority w:val="11"/>
    <w:rPr>
      <w:sz w:val="24"/>
      <w:szCs w:val="24"/>
    </w:rPr>
  </w:style>
  <w:style w:type="paragraph" w:styleId="678">
    <w:name w:val="Quote"/>
    <w:link w:val="679"/>
    <w:uiPriority w:val="29"/>
    <w:qFormat/>
    <w:pPr>
      <w:ind w:left="720" w:right="720"/>
    </w:pPr>
    <w:rPr>
      <w:i/>
    </w:rPr>
  </w:style>
  <w:style w:type="character" w:styleId="679">
    <w:name w:val="Quote Char"/>
    <w:link w:val="678"/>
    <w:uiPriority w:val="29"/>
    <w:rPr>
      <w:i/>
    </w:rPr>
  </w:style>
  <w:style w:type="paragraph" w:styleId="680">
    <w:name w:val="Intense Quote"/>
    <w:link w:val="6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1">
    <w:name w:val="Intense Quote Char"/>
    <w:link w:val="680"/>
    <w:uiPriority w:val="30"/>
    <w:rPr>
      <w:i/>
    </w:rPr>
  </w:style>
  <w:style w:type="paragraph" w:styleId="682">
    <w:name w:val="Header"/>
    <w:link w:val="683"/>
    <w:uiPriority w:val="99"/>
    <w:unhideWhenUsed/>
    <w:pPr>
      <w:spacing w:after="0" w:line="240" w:lineRule="auto"/>
      <w:tabs>
        <w:tab w:val="center" w:pos="7143" w:leader="none"/>
        <w:tab w:val="right" w:pos="14287" w:leader="none"/>
      </w:tabs>
    </w:pPr>
  </w:style>
  <w:style w:type="character" w:styleId="683">
    <w:name w:val="Header Char"/>
    <w:link w:val="682"/>
    <w:uiPriority w:val="99"/>
  </w:style>
  <w:style w:type="paragraph" w:styleId="684">
    <w:name w:val="Footer"/>
    <w:link w:val="687"/>
    <w:uiPriority w:val="99"/>
    <w:unhideWhenUsed/>
    <w:pPr>
      <w:spacing w:after="0" w:line="240" w:lineRule="auto"/>
      <w:tabs>
        <w:tab w:val="center" w:pos="7143" w:leader="none"/>
        <w:tab w:val="right" w:pos="14287" w:leader="none"/>
      </w:tabs>
    </w:pPr>
  </w:style>
  <w:style w:type="character" w:styleId="685">
    <w:name w:val="Footer Char"/>
    <w:link w:val="684"/>
    <w:uiPriority w:val="99"/>
  </w:style>
  <w:style w:type="paragraph" w:styleId="686">
    <w:name w:val="Caption"/>
    <w:uiPriority w:val="35"/>
    <w:semiHidden/>
    <w:unhideWhenUsed/>
    <w:qFormat/>
    <w:pPr>
      <w:spacing w:line="276" w:lineRule="auto"/>
    </w:pPr>
    <w:rPr>
      <w:b/>
      <w:bCs/>
      <w:color w:val="4f81bd" w:themeColor="accent1"/>
      <w:sz w:val="18"/>
      <w:szCs w:val="18"/>
    </w:rPr>
  </w:style>
  <w:style w:type="character" w:styleId="687">
    <w:name w:val="Caption Char"/>
    <w:basedOn w:val="686"/>
    <w:link w:val="684"/>
    <w:uiPriority w:val="99"/>
  </w:style>
  <w:style w:type="table" w:styleId="6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4">
    <w:name w:val="Hyperlink"/>
    <w:uiPriority w:val="99"/>
    <w:unhideWhenUsed/>
    <w:rPr>
      <w:color w:val="0000ff" w:themeColor="hyperlink"/>
      <w:u w:val="single"/>
    </w:rPr>
  </w:style>
  <w:style w:type="paragraph" w:styleId="815">
    <w:name w:val="footnote text"/>
    <w:link w:val="816"/>
    <w:uiPriority w:val="99"/>
    <w:semiHidden/>
    <w:unhideWhenUsed/>
    <w:pPr>
      <w:spacing w:after="40" w:line="240" w:lineRule="auto"/>
    </w:pPr>
    <w:rPr>
      <w:sz w:val="18"/>
    </w:rPr>
  </w:style>
  <w:style w:type="character" w:styleId="816">
    <w:name w:val="Footnote Text Char"/>
    <w:link w:val="815"/>
    <w:uiPriority w:val="99"/>
    <w:rPr>
      <w:sz w:val="18"/>
    </w:rPr>
  </w:style>
  <w:style w:type="character" w:styleId="817">
    <w:name w:val="footnote reference"/>
    <w:uiPriority w:val="99"/>
    <w:unhideWhenUsed/>
    <w:rPr>
      <w:vertAlign w:val="superscript"/>
    </w:rPr>
  </w:style>
  <w:style w:type="paragraph" w:styleId="818">
    <w:name w:val="endnote text"/>
    <w:link w:val="819"/>
    <w:uiPriority w:val="99"/>
    <w:semiHidden/>
    <w:unhideWhenUsed/>
    <w:pPr>
      <w:spacing w:after="0" w:line="240" w:lineRule="auto"/>
    </w:pPr>
    <w:rPr>
      <w:sz w:val="20"/>
    </w:rPr>
  </w:style>
  <w:style w:type="character" w:styleId="819">
    <w:name w:val="Endnote Text Char"/>
    <w:link w:val="818"/>
    <w:uiPriority w:val="99"/>
    <w:rPr>
      <w:sz w:val="20"/>
    </w:rPr>
  </w:style>
  <w:style w:type="character" w:styleId="820">
    <w:name w:val="endnote reference"/>
    <w:uiPriority w:val="99"/>
    <w:semiHidden/>
    <w:unhideWhenUsed/>
    <w:rPr>
      <w:vertAlign w:val="superscript"/>
    </w:rPr>
  </w:style>
  <w:style w:type="paragraph" w:styleId="821">
    <w:name w:val="toc 1"/>
    <w:uiPriority w:val="39"/>
    <w:unhideWhenUsed/>
    <w:pPr>
      <w:ind w:left="0" w:right="0" w:firstLine="0"/>
      <w:spacing w:after="57"/>
    </w:pPr>
  </w:style>
  <w:style w:type="paragraph" w:styleId="822">
    <w:name w:val="toc 2"/>
    <w:uiPriority w:val="39"/>
    <w:unhideWhenUsed/>
    <w:pPr>
      <w:ind w:left="283" w:right="0" w:firstLine="0"/>
      <w:spacing w:after="57"/>
    </w:pPr>
  </w:style>
  <w:style w:type="paragraph" w:styleId="823">
    <w:name w:val="toc 3"/>
    <w:uiPriority w:val="39"/>
    <w:unhideWhenUsed/>
    <w:pPr>
      <w:ind w:left="567" w:right="0" w:firstLine="0"/>
      <w:spacing w:after="57"/>
    </w:pPr>
  </w:style>
  <w:style w:type="paragraph" w:styleId="824">
    <w:name w:val="toc 4"/>
    <w:uiPriority w:val="39"/>
    <w:unhideWhenUsed/>
    <w:pPr>
      <w:ind w:left="850" w:right="0" w:firstLine="0"/>
      <w:spacing w:after="57"/>
    </w:pPr>
  </w:style>
  <w:style w:type="paragraph" w:styleId="825">
    <w:name w:val="toc 5"/>
    <w:uiPriority w:val="39"/>
    <w:unhideWhenUsed/>
    <w:pPr>
      <w:ind w:left="1134" w:right="0" w:firstLine="0"/>
      <w:spacing w:after="57"/>
    </w:pPr>
  </w:style>
  <w:style w:type="paragraph" w:styleId="826">
    <w:name w:val="toc 6"/>
    <w:uiPriority w:val="39"/>
    <w:unhideWhenUsed/>
    <w:pPr>
      <w:ind w:left="1417" w:right="0" w:firstLine="0"/>
      <w:spacing w:after="57"/>
    </w:pPr>
  </w:style>
  <w:style w:type="paragraph" w:styleId="827">
    <w:name w:val="toc 7"/>
    <w:uiPriority w:val="39"/>
    <w:unhideWhenUsed/>
    <w:pPr>
      <w:ind w:left="1701" w:right="0" w:firstLine="0"/>
      <w:spacing w:after="57"/>
    </w:pPr>
  </w:style>
  <w:style w:type="paragraph" w:styleId="828">
    <w:name w:val="toc 8"/>
    <w:uiPriority w:val="39"/>
    <w:unhideWhenUsed/>
    <w:pPr>
      <w:ind w:left="1984" w:right="0" w:firstLine="0"/>
      <w:spacing w:after="57"/>
    </w:pPr>
  </w:style>
  <w:style w:type="paragraph" w:styleId="829">
    <w:name w:val="toc 9"/>
    <w:uiPriority w:val="39"/>
    <w:unhideWhenUsed/>
    <w:pPr>
      <w:ind w:left="2268" w:right="0" w:firstLine="0"/>
      <w:spacing w:after="57"/>
    </w:pPr>
  </w:style>
  <w:style w:type="paragraph" w:styleId="830">
    <w:name w:val="TOC Heading"/>
    <w:uiPriority w:val="39"/>
    <w:unhideWhenUsed/>
  </w:style>
  <w:style w:type="paragraph" w:styleId="831">
    <w:name w:val="table of figures"/>
    <w:uiPriority w:val="99"/>
    <w:unhideWhenUsed/>
    <w:pPr>
      <w:spacing w:after="0" w:afterAutospacing="0"/>
    </w:pPr>
  </w:style>
  <w:style w:type="character" w:styleId="832" w:default="1">
    <w:name w:val="Default Paragraph Font"/>
    <w:uiPriority w:val="1"/>
    <w:semiHidden/>
    <w:unhideWhenUsed/>
  </w:style>
  <w:style w:type="numbering" w:styleId="833" w:default="1">
    <w:name w:val="No List"/>
    <w:uiPriority w:val="99"/>
    <w:semiHidden/>
    <w:unhideWhenUsed/>
  </w:style>
  <w:style w:type="paragraph" w:styleId="834" w:default="1">
    <w:name w:val="Normal"/>
    <w:qFormat/>
  </w:style>
  <w:style w:type="table" w:styleId="8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86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593"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11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38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3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328"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4</cp:revision>
  <dcterms:created xsi:type="dcterms:W3CDTF">2026-03-25T02:04:40Z</dcterms:created>
  <dcterms:modified xsi:type="dcterms:W3CDTF">2026-03-25T09:33:29Z</dcterms:modified>
</cp:coreProperties>
</file>