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sz w:val="44"/>
          <w:szCs w:val="44"/>
        </w:rPr>
      </w:pPr>
      <w:r>
        <w:rPr>
          <w:rFonts w:hint="eastAsia" w:ascii="微软雅黑" w:hAnsi="微软雅黑" w:eastAsia="微软雅黑" w:cs="微软雅黑"/>
          <w:sz w:val="44"/>
          <w:szCs w:val="44"/>
        </w:rPr>
        <w:t xml:space="preserve"> </w:t>
      </w:r>
    </w:p>
    <w:p>
      <w:pPr>
        <w:jc w:val="center"/>
        <w:rPr>
          <w:rFonts w:ascii="微软雅黑" w:hAnsi="微软雅黑" w:eastAsia="微软雅黑" w:cs="微软雅黑"/>
          <w:sz w:val="76"/>
          <w:szCs w:val="76"/>
        </w:rPr>
      </w:pPr>
      <w:r>
        <w:rPr>
          <w:rFonts w:hint="eastAsia" w:ascii="微软雅黑" w:hAnsi="微软雅黑" w:eastAsia="微软雅黑" w:cs="微软雅黑"/>
          <w:sz w:val="76"/>
          <w:szCs w:val="76"/>
        </w:rPr>
        <w:t>竞争性磋商文件</w:t>
      </w:r>
    </w:p>
    <w:p>
      <w:pPr>
        <w:rPr>
          <w:rFonts w:ascii="微软雅黑" w:hAnsi="微软雅黑" w:eastAsia="微软雅黑" w:cs="微软雅黑"/>
          <w:sz w:val="44"/>
          <w:szCs w:val="44"/>
        </w:rPr>
      </w:pPr>
    </w:p>
    <w:p>
      <w:pPr>
        <w:pStyle w:val="7"/>
        <w:rPr>
          <w:rFonts w:ascii="微软雅黑" w:hAnsi="微软雅黑" w:eastAsia="微软雅黑" w:cs="微软雅黑"/>
        </w:rPr>
      </w:pPr>
    </w:p>
    <w:p/>
    <w:tbl>
      <w:tblPr>
        <w:tblStyle w:val="41"/>
        <w:tblW w:w="9798" w:type="dxa"/>
        <w:jc w:val="center"/>
        <w:tblLayout w:type="fixed"/>
        <w:tblCellMar>
          <w:top w:w="0" w:type="dxa"/>
          <w:left w:w="108" w:type="dxa"/>
          <w:bottom w:w="0" w:type="dxa"/>
          <w:right w:w="108" w:type="dxa"/>
        </w:tblCellMar>
      </w:tblPr>
      <w:tblGrid>
        <w:gridCol w:w="9798"/>
      </w:tblGrid>
      <w:tr>
        <w:tblPrEx>
          <w:tblCellMar>
            <w:top w:w="0" w:type="dxa"/>
            <w:left w:w="108" w:type="dxa"/>
            <w:bottom w:w="0" w:type="dxa"/>
            <w:right w:w="108" w:type="dxa"/>
          </w:tblCellMar>
        </w:tblPrEx>
        <w:trPr>
          <w:trHeight w:val="1428" w:hRule="atLeast"/>
          <w:jc w:val="center"/>
        </w:trPr>
        <w:tc>
          <w:tcPr>
            <w:tcW w:w="9798" w:type="dxa"/>
            <w:tcBorders>
              <w:top w:val="nil"/>
              <w:left w:val="nil"/>
              <w:bottom w:val="nil"/>
              <w:right w:val="nil"/>
            </w:tcBorders>
          </w:tcPr>
          <w:p>
            <w:pPr>
              <w:autoSpaceDE w:val="0"/>
              <w:adjustRightInd w:val="0"/>
              <w:snapToGrid w:val="0"/>
              <w:spacing w:line="360" w:lineRule="auto"/>
              <w:ind w:left="2200" w:hanging="2200" w:hangingChars="500"/>
              <w:rPr>
                <w:rFonts w:hint="eastAsia" w:ascii="微软雅黑" w:hAnsi="微软雅黑" w:eastAsia="微软雅黑" w:cs="微软雅黑"/>
                <w:sz w:val="44"/>
                <w:szCs w:val="20"/>
                <w:lang w:eastAsia="zh-CN"/>
              </w:rPr>
            </w:pPr>
            <w:r>
              <w:rPr>
                <w:rFonts w:hint="eastAsia" w:ascii="微软雅黑" w:hAnsi="微软雅黑" w:eastAsia="微软雅黑" w:cs="微软雅黑"/>
                <w:sz w:val="44"/>
                <w:szCs w:val="44"/>
              </w:rPr>
              <w:t>项目名称：</w:t>
            </w:r>
            <w:r>
              <w:rPr>
                <w:rFonts w:hint="eastAsia" w:ascii="微软雅黑" w:hAnsi="微软雅黑" w:eastAsia="微软雅黑" w:cs="微软雅黑"/>
                <w:sz w:val="44"/>
                <w:szCs w:val="20"/>
                <w:lang w:eastAsia="zh-CN"/>
              </w:rPr>
              <w:t>2024年南京市栖霞区实验小学尧化街校区厕所提升工程</w:t>
            </w:r>
          </w:p>
          <w:p>
            <w:pPr>
              <w:pStyle w:val="7"/>
              <w:rPr>
                <w:rFonts w:ascii="微软雅黑" w:hAnsi="微软雅黑" w:eastAsia="微软雅黑" w:cs="微软雅黑"/>
              </w:rPr>
            </w:pPr>
            <w:r>
              <w:rPr>
                <w:rFonts w:hint="eastAsia" w:ascii="微软雅黑" w:hAnsi="微软雅黑" w:eastAsia="微软雅黑" w:cs="微软雅黑"/>
                <w:b w:val="0"/>
                <w:sz w:val="44"/>
              </w:rPr>
              <w:t>项目编号：JSZC-320113-NJHG-C2024-0027</w:t>
            </w:r>
          </w:p>
        </w:tc>
      </w:tr>
    </w:tbl>
    <w:p>
      <w:pPr>
        <w:rPr>
          <w:rFonts w:ascii="微软雅黑" w:hAnsi="微软雅黑" w:eastAsia="微软雅黑" w:cs="微软雅黑"/>
          <w:sz w:val="32"/>
          <w:szCs w:val="32"/>
        </w:rPr>
      </w:pPr>
    </w:p>
    <w:p>
      <w:pPr>
        <w:pStyle w:val="57"/>
      </w:pPr>
    </w:p>
    <w:p>
      <w:pPr>
        <w:rPr>
          <w:rFonts w:ascii="微软雅黑" w:hAnsi="微软雅黑" w:eastAsia="微软雅黑" w:cs="微软雅黑"/>
          <w:sz w:val="44"/>
          <w:szCs w:val="44"/>
        </w:rPr>
      </w:pPr>
    </w:p>
    <w:p>
      <w:pPr>
        <w:pStyle w:val="7"/>
        <w:jc w:val="center"/>
        <w:rPr>
          <w:rFonts w:hint="eastAsia" w:ascii="微软雅黑" w:hAnsi="微软雅黑" w:eastAsia="微软雅黑" w:cs="微软雅黑"/>
          <w:b w:val="0"/>
          <w:kern w:val="2"/>
          <w:sz w:val="44"/>
          <w:szCs w:val="44"/>
          <w:lang w:val="en-US" w:eastAsia="zh-CN" w:bidi="ar-SA"/>
        </w:rPr>
      </w:pPr>
      <w:r>
        <w:rPr>
          <w:rFonts w:hint="eastAsia" w:ascii="微软雅黑" w:hAnsi="微软雅黑" w:eastAsia="微软雅黑" w:cs="微软雅黑"/>
          <w:b w:val="0"/>
          <w:kern w:val="2"/>
          <w:sz w:val="44"/>
          <w:szCs w:val="44"/>
          <w:lang w:val="en-US" w:eastAsia="zh-CN" w:bidi="ar-SA"/>
        </w:rPr>
        <w:t>采购人：南京市栖霞区人民政府尧化办事处</w:t>
      </w:r>
    </w:p>
    <w:p>
      <w:pPr>
        <w:pStyle w:val="7"/>
        <w:jc w:val="center"/>
        <w:rPr>
          <w:rFonts w:hint="eastAsia" w:ascii="微软雅黑" w:hAnsi="微软雅黑" w:eastAsia="微软雅黑" w:cs="微软雅黑"/>
          <w:b w:val="0"/>
          <w:kern w:val="2"/>
          <w:sz w:val="44"/>
          <w:szCs w:val="44"/>
          <w:lang w:val="en-US" w:eastAsia="zh-CN" w:bidi="ar-SA"/>
        </w:rPr>
      </w:pPr>
      <w:r>
        <w:rPr>
          <w:rFonts w:hint="eastAsia" w:ascii="微软雅黑" w:hAnsi="微软雅黑" w:eastAsia="微软雅黑" w:cs="微软雅黑"/>
          <w:b w:val="0"/>
          <w:kern w:val="2"/>
          <w:sz w:val="44"/>
          <w:szCs w:val="44"/>
          <w:lang w:val="en-US" w:eastAsia="zh-CN" w:bidi="ar-SA"/>
        </w:rPr>
        <w:t>招标代理：南京恒广工程管理有限公司</w:t>
      </w:r>
    </w:p>
    <w:p>
      <w:pPr>
        <w:pStyle w:val="7"/>
        <w:jc w:val="center"/>
        <w:rPr>
          <w:rFonts w:ascii="微软雅黑" w:hAnsi="微软雅黑" w:eastAsia="微软雅黑" w:cs="微软雅黑"/>
        </w:rPr>
      </w:pPr>
      <w:r>
        <w:rPr>
          <w:rFonts w:hint="eastAsia" w:ascii="微软雅黑" w:hAnsi="微软雅黑" w:eastAsia="微软雅黑" w:cs="微软雅黑"/>
          <w:b w:val="0"/>
          <w:kern w:val="2"/>
          <w:sz w:val="44"/>
          <w:szCs w:val="44"/>
          <w:lang w:val="en-US" w:eastAsia="zh-CN" w:bidi="ar-SA"/>
        </w:rPr>
        <w:t>2024年06月</w:t>
      </w:r>
      <w:r>
        <w:rPr>
          <w:rFonts w:hint="eastAsia" w:ascii="微软雅黑" w:hAnsi="微软雅黑" w:eastAsia="微软雅黑" w:cs="微软雅黑"/>
        </w:rPr>
        <w:br w:type="page"/>
      </w:r>
    </w:p>
    <w:p>
      <w:pPr>
        <w:spacing w:line="460" w:lineRule="exact"/>
        <w:jc w:val="center"/>
        <w:rPr>
          <w:rFonts w:ascii="微软雅黑" w:hAnsi="微软雅黑" w:eastAsia="微软雅黑" w:cs="微软雅黑"/>
        </w:rPr>
      </w:pPr>
      <w:r>
        <w:rPr>
          <w:rFonts w:hint="eastAsia" w:ascii="微软雅黑" w:hAnsi="微软雅黑" w:eastAsia="微软雅黑" w:cs="微软雅黑"/>
          <w:spacing w:val="-10"/>
          <w:sz w:val="36"/>
          <w:szCs w:val="36"/>
        </w:rPr>
        <w:t>第一章 竞争性磋商公告</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zh-CN"/>
              </w:rPr>
              <w:t>2024年南京市栖霞区实验小学尧化街校区厕所提升工程</w:t>
            </w:r>
            <w:r>
              <w:rPr>
                <w:rFonts w:hint="eastAsia" w:ascii="宋体" w:hAnsi="宋体" w:eastAsia="宋体" w:cs="宋体"/>
                <w:sz w:val="21"/>
                <w:szCs w:val="21"/>
                <w:highlight w:val="none"/>
              </w:rPr>
              <w:t>的潜在供应商应在南京市栖霞区马群街道紫东路2号紫东国际创意园C14栋6楼获取采购文件，并于</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日14点</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0分（北京时间）前提交响应文件。</w:t>
            </w:r>
          </w:p>
        </w:tc>
      </w:tr>
    </w:tbl>
    <w:p>
      <w:pPr>
        <w:spacing w:line="400" w:lineRule="exact"/>
        <w:rPr>
          <w:rFonts w:hint="eastAsia" w:ascii="宋体" w:hAnsi="宋体" w:eastAsia="宋体" w:cs="宋体"/>
          <w:sz w:val="21"/>
          <w:szCs w:val="21"/>
          <w:highlight w:val="none"/>
        </w:rPr>
      </w:pPr>
      <w:bookmarkStart w:id="0" w:name="_Toc35393798"/>
      <w:bookmarkStart w:id="1" w:name="_Toc35393629"/>
      <w:bookmarkStart w:id="2" w:name="_Toc28359012"/>
      <w:bookmarkStart w:id="3" w:name="_Toc28359089"/>
      <w:r>
        <w:rPr>
          <w:rFonts w:hint="eastAsia" w:ascii="宋体" w:hAnsi="宋体" w:eastAsia="宋体" w:cs="宋体"/>
          <w:sz w:val="21"/>
          <w:szCs w:val="21"/>
          <w:highlight w:val="none"/>
        </w:rPr>
        <w:t>一、项目基本情况</w:t>
      </w:r>
      <w:bookmarkEnd w:id="0"/>
      <w:bookmarkEnd w:id="1"/>
      <w:bookmarkEnd w:id="2"/>
      <w:bookmarkEnd w:id="3"/>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项目编号：JSZC-320113-NJHG-C2024-0027</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lang w:val="zh-CN"/>
        </w:rPr>
        <w:t>2024年南京市栖霞区实验小学尧化街校区厕所提升工程</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采购方式：竞争性磋商</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预算</w:t>
      </w:r>
      <w:r>
        <w:rPr>
          <w:rFonts w:hint="eastAsia" w:ascii="宋体" w:hAnsi="宋体" w:eastAsia="宋体" w:cs="宋体"/>
          <w:sz w:val="21"/>
          <w:szCs w:val="21"/>
          <w:highlight w:val="none"/>
          <w:lang w:val="zh-CN"/>
        </w:rPr>
        <w:t>金额：</w:t>
      </w:r>
      <w:r>
        <w:rPr>
          <w:rFonts w:hint="eastAsia" w:ascii="宋体" w:hAnsi="宋体" w:cs="宋体"/>
          <w:sz w:val="21"/>
          <w:szCs w:val="21"/>
          <w:highlight w:val="none"/>
          <w:lang w:val="en-US" w:eastAsia="zh-CN"/>
        </w:rPr>
        <w:t>1560000</w:t>
      </w:r>
      <w:r>
        <w:rPr>
          <w:rFonts w:hint="eastAsia" w:ascii="宋体" w:hAnsi="宋体" w:eastAsia="宋体" w:cs="宋体"/>
          <w:sz w:val="21"/>
          <w:szCs w:val="21"/>
          <w:highlight w:val="none"/>
        </w:rPr>
        <w:t>元</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最高限价：1312006.02</w:t>
      </w:r>
      <w:r>
        <w:rPr>
          <w:rFonts w:hint="eastAsia" w:ascii="宋体" w:hAnsi="宋体" w:eastAsia="宋体" w:cs="宋体"/>
          <w:sz w:val="21"/>
          <w:szCs w:val="21"/>
          <w:highlight w:val="none"/>
        </w:rPr>
        <w:t>元</w:t>
      </w:r>
    </w:p>
    <w:p>
      <w:p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采购需求：</w:t>
      </w:r>
      <w:r>
        <w:rPr>
          <w:rFonts w:hint="eastAsia" w:ascii="宋体" w:hAnsi="宋体" w:eastAsia="宋体" w:cs="宋体"/>
          <w:sz w:val="21"/>
          <w:szCs w:val="21"/>
          <w:highlight w:val="none"/>
          <w:lang w:val="zh-CN"/>
        </w:rPr>
        <w:t>对栖霞区实验小学尧化街校区1#楼一至四层、1#-2#楼连廊一至四层、3#楼二至四层共19间卫生间进行提升改造，改造总建筑面积约472.31平方米。建设内容主要包括拆除工程、室内装修改造工程、成品卫生器具安装及水电改造。详见第四章工程量编制说明及工程量清单。</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合同履行期限：</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日历天</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本项目 </w:t>
      </w:r>
      <w:r>
        <w:rPr>
          <w:rFonts w:hint="eastAsia" w:ascii="宋体" w:hAnsi="宋体" w:eastAsia="宋体" w:cs="宋体"/>
          <w:sz w:val="21"/>
          <w:szCs w:val="21"/>
          <w:u w:val="single"/>
        </w:rPr>
        <w:t xml:space="preserve"> 否 </w:t>
      </w:r>
      <w:r>
        <w:rPr>
          <w:rFonts w:hint="eastAsia" w:ascii="宋体" w:hAnsi="宋体" w:eastAsia="宋体" w:cs="宋体"/>
          <w:sz w:val="21"/>
          <w:szCs w:val="21"/>
        </w:rPr>
        <w:t>（是/否）接受联合体。</w:t>
      </w:r>
    </w:p>
    <w:p>
      <w:pPr>
        <w:spacing w:line="400" w:lineRule="exact"/>
        <w:rPr>
          <w:rFonts w:hint="eastAsia" w:ascii="宋体" w:hAnsi="宋体" w:eastAsia="宋体" w:cs="宋体"/>
          <w:sz w:val="21"/>
          <w:szCs w:val="21"/>
        </w:rPr>
      </w:pPr>
      <w:bookmarkStart w:id="4" w:name="_Toc35393630"/>
      <w:bookmarkStart w:id="5" w:name="_Toc35393799"/>
      <w:bookmarkStart w:id="6" w:name="_Toc28359013"/>
      <w:bookmarkStart w:id="7" w:name="_Toc28359090"/>
      <w:r>
        <w:rPr>
          <w:rFonts w:hint="eastAsia" w:ascii="宋体" w:hAnsi="宋体" w:eastAsia="宋体" w:cs="宋体"/>
          <w:sz w:val="21"/>
          <w:szCs w:val="21"/>
        </w:rPr>
        <w:t>二、申请人的资格要求：</w:t>
      </w:r>
      <w:bookmarkEnd w:id="4"/>
      <w:bookmarkEnd w:id="5"/>
      <w:bookmarkEnd w:id="6"/>
      <w:bookmarkEnd w:id="7"/>
    </w:p>
    <w:p>
      <w:pPr>
        <w:spacing w:line="400" w:lineRule="exact"/>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pPr>
        <w:spacing w:line="400" w:lineRule="exact"/>
        <w:rPr>
          <w:rFonts w:hint="eastAsia" w:ascii="宋体" w:hAnsi="宋体" w:eastAsia="宋体" w:cs="宋体"/>
          <w:sz w:val="21"/>
          <w:szCs w:val="21"/>
          <w:lang w:val="en-US"/>
        </w:rPr>
      </w:pPr>
      <w:bookmarkStart w:id="8" w:name="_Toc28359091"/>
      <w:bookmarkStart w:id="9" w:name="_Toc28359014"/>
      <w:r>
        <w:rPr>
          <w:rFonts w:hint="eastAsia" w:ascii="宋体" w:hAnsi="宋体" w:eastAsia="宋体" w:cs="宋体"/>
          <w:sz w:val="21"/>
          <w:szCs w:val="21"/>
          <w:lang w:val="en-US"/>
        </w:rPr>
        <w:t>（1）具有独立承担民事责任的能力（提供法人或者其他组织的营业执照，自然人的身份证明复印件）；</w:t>
      </w:r>
    </w:p>
    <w:p>
      <w:pPr>
        <w:spacing w:line="400" w:lineRule="exact"/>
        <w:rPr>
          <w:rFonts w:hint="eastAsia" w:ascii="宋体" w:hAnsi="宋体" w:eastAsia="宋体" w:cs="宋体"/>
          <w:sz w:val="21"/>
          <w:szCs w:val="21"/>
          <w:lang w:val="en-US"/>
        </w:rPr>
      </w:pPr>
      <w:r>
        <w:rPr>
          <w:rFonts w:hint="eastAsia" w:ascii="宋体" w:hAnsi="宋体" w:eastAsia="宋体" w:cs="宋体"/>
          <w:sz w:val="21"/>
          <w:szCs w:val="21"/>
          <w:lang w:val="en-US"/>
        </w:rPr>
        <w:t>（2）具有良好的商业信誉和健全的财务会计制度（提供南京市政府采购供应商信用记录表暨信用承诺书）；</w:t>
      </w:r>
    </w:p>
    <w:p>
      <w:pPr>
        <w:spacing w:line="400" w:lineRule="exact"/>
        <w:rPr>
          <w:rFonts w:hint="eastAsia" w:ascii="宋体" w:hAnsi="宋体" w:eastAsia="宋体" w:cs="宋体"/>
          <w:sz w:val="21"/>
          <w:szCs w:val="21"/>
          <w:lang w:val="en-US"/>
        </w:rPr>
      </w:pPr>
      <w:r>
        <w:rPr>
          <w:rFonts w:hint="eastAsia" w:ascii="宋体" w:hAnsi="宋体" w:eastAsia="宋体" w:cs="宋体"/>
          <w:sz w:val="21"/>
          <w:szCs w:val="21"/>
          <w:lang w:val="en-US"/>
        </w:rPr>
        <w:t>（3）具有履行合同所必需的设备或专业技术能力（提供南京市政府采购供应商信用记录表暨信用承诺书）；</w:t>
      </w:r>
    </w:p>
    <w:p>
      <w:pPr>
        <w:spacing w:line="400" w:lineRule="exact"/>
        <w:rPr>
          <w:rFonts w:hint="eastAsia" w:ascii="宋体" w:hAnsi="宋体" w:eastAsia="宋体" w:cs="宋体"/>
          <w:sz w:val="21"/>
          <w:szCs w:val="21"/>
          <w:lang w:val="en-US"/>
        </w:rPr>
      </w:pPr>
      <w:r>
        <w:rPr>
          <w:rFonts w:hint="eastAsia" w:ascii="宋体" w:hAnsi="宋体" w:eastAsia="宋体" w:cs="宋体"/>
          <w:sz w:val="21"/>
          <w:szCs w:val="21"/>
          <w:lang w:val="en-US"/>
        </w:rPr>
        <w:t>（4）有依法缴纳税收和社会保障资金的良好记录（提供南京市政府采购供应商信用记录表暨信用承诺书）；</w:t>
      </w:r>
    </w:p>
    <w:p>
      <w:pPr>
        <w:spacing w:line="400" w:lineRule="exact"/>
        <w:rPr>
          <w:rFonts w:hint="eastAsia" w:ascii="宋体" w:hAnsi="宋体" w:eastAsia="宋体" w:cs="宋体"/>
          <w:sz w:val="21"/>
          <w:szCs w:val="21"/>
          <w:lang w:val="en-US"/>
        </w:rPr>
      </w:pPr>
      <w:r>
        <w:rPr>
          <w:rFonts w:hint="eastAsia" w:ascii="宋体" w:hAnsi="宋体" w:eastAsia="宋体" w:cs="宋体"/>
          <w:sz w:val="21"/>
          <w:szCs w:val="21"/>
          <w:lang w:val="en-US"/>
        </w:rPr>
        <w:t>（5）参加采购活动前三年内，在经营活动中没有重大违法记录（提供南京市政府采购供应商信用记录表暨信用承诺书）；</w:t>
      </w:r>
    </w:p>
    <w:p>
      <w:pPr>
        <w:spacing w:line="400" w:lineRule="exact"/>
        <w:rPr>
          <w:rFonts w:hint="eastAsia" w:ascii="宋体" w:hAnsi="宋体" w:eastAsia="宋体" w:cs="宋体"/>
          <w:sz w:val="21"/>
          <w:szCs w:val="21"/>
          <w:lang w:val="en-US"/>
        </w:rPr>
      </w:pPr>
      <w:r>
        <w:rPr>
          <w:rFonts w:hint="eastAsia" w:ascii="宋体" w:hAnsi="宋体" w:eastAsia="宋体" w:cs="宋体"/>
          <w:sz w:val="21"/>
          <w:szCs w:val="21"/>
          <w:lang w:val="en-US"/>
        </w:rPr>
        <w:t>（6）法律、行政法规规定的其他条件（提供南京市政府采购供应商信用记录表暨信用承诺书）</w:t>
      </w:r>
    </w:p>
    <w:p>
      <w:pPr>
        <w:spacing w:line="400" w:lineRule="exact"/>
        <w:rPr>
          <w:rFonts w:hint="eastAsia" w:ascii="宋体" w:hAnsi="宋体" w:eastAsia="宋体" w:cs="宋体"/>
          <w:sz w:val="21"/>
          <w:szCs w:val="21"/>
          <w:lang w:val="en-US"/>
        </w:rPr>
      </w:pPr>
      <w:r>
        <w:rPr>
          <w:rFonts w:hint="eastAsia" w:ascii="宋体" w:hAnsi="宋体" w:eastAsia="宋体" w:cs="宋体"/>
          <w:sz w:val="21"/>
          <w:szCs w:val="21"/>
          <w:lang w:val="en-US"/>
        </w:rPr>
        <w:t>备注：根据《关于在政府采购活动中推行信用承诺制的通知》宁财购通〔2021〕5号规定，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pPr>
        <w:spacing w:line="40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 xml:space="preserve">供应商在中标（成交）后，应按采购文件要求，将上述由信用承诺书替代的证明材料提交采购人或采购代理机构核验。经核验无误后，由采购人或采购代理机构发出中标（成交）通知书。 </w:t>
      </w:r>
    </w:p>
    <w:p>
      <w:pPr>
        <w:spacing w:line="400" w:lineRule="exact"/>
        <w:rPr>
          <w:rFonts w:hint="eastAsia" w:ascii="宋体" w:hAnsi="宋体" w:eastAsia="宋体" w:cs="宋体"/>
          <w:sz w:val="21"/>
          <w:szCs w:val="21"/>
          <w:lang w:val="en-US"/>
        </w:rPr>
      </w:pPr>
      <w:r>
        <w:rPr>
          <w:rFonts w:hint="eastAsia" w:ascii="宋体" w:hAnsi="宋体" w:eastAsia="宋体" w:cs="宋体"/>
          <w:sz w:val="21"/>
          <w:szCs w:val="21"/>
          <w:lang w:val="en-US"/>
        </w:rPr>
        <w:t xml:space="preserve">供应商涉及以下情形的，不适用信用承诺： </w:t>
      </w:r>
    </w:p>
    <w:p>
      <w:pPr>
        <w:spacing w:line="400" w:lineRule="exact"/>
        <w:rPr>
          <w:rFonts w:hint="eastAsia" w:ascii="宋体" w:hAnsi="宋体" w:eastAsia="宋体" w:cs="宋体"/>
          <w:sz w:val="21"/>
          <w:szCs w:val="21"/>
          <w:lang w:val="en-US"/>
        </w:rPr>
      </w:pPr>
      <w:r>
        <w:rPr>
          <w:rFonts w:hint="eastAsia" w:ascii="宋体" w:hAnsi="宋体" w:eastAsia="宋体" w:cs="宋体"/>
          <w:sz w:val="21"/>
          <w:szCs w:val="21"/>
          <w:lang w:val="en-US"/>
        </w:rPr>
        <w:t xml:space="preserve">（1）供应商被列入严重失信主体名单； </w:t>
      </w:r>
    </w:p>
    <w:p>
      <w:pPr>
        <w:spacing w:line="400" w:lineRule="exact"/>
        <w:rPr>
          <w:rFonts w:hint="eastAsia" w:ascii="宋体" w:hAnsi="宋体" w:eastAsia="宋体" w:cs="宋体"/>
          <w:sz w:val="21"/>
          <w:szCs w:val="21"/>
          <w:lang w:val="en-US"/>
        </w:rPr>
      </w:pPr>
      <w:r>
        <w:rPr>
          <w:rFonts w:hint="eastAsia" w:ascii="宋体" w:hAnsi="宋体" w:eastAsia="宋体" w:cs="宋体"/>
          <w:sz w:val="21"/>
          <w:szCs w:val="21"/>
          <w:lang w:val="en-US"/>
        </w:rPr>
        <w:t xml:space="preserve">（2）被相关监管部门作出行政处罚且尚在处罚有效期内； </w:t>
      </w:r>
    </w:p>
    <w:p>
      <w:pPr>
        <w:spacing w:line="400" w:lineRule="exact"/>
        <w:rPr>
          <w:rFonts w:hint="eastAsia" w:ascii="宋体" w:hAnsi="宋体" w:eastAsia="宋体" w:cs="宋体"/>
          <w:sz w:val="21"/>
          <w:szCs w:val="21"/>
          <w:lang w:val="en-US"/>
        </w:rPr>
      </w:pPr>
      <w:r>
        <w:rPr>
          <w:rFonts w:hint="eastAsia" w:ascii="宋体" w:hAnsi="宋体" w:eastAsia="宋体" w:cs="宋体"/>
          <w:sz w:val="21"/>
          <w:szCs w:val="21"/>
          <w:lang w:val="en-US"/>
        </w:rPr>
        <w:t xml:space="preserve">（3）其他法律、行政法规规定的不适用信用承诺的情形。 </w:t>
      </w:r>
    </w:p>
    <w:p>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rPr>
        <w:t>供应商对信用承诺内容的真实性、合法性、有效性负责。如作出虚假信用承诺，视同为“提供虚假材料谋取中标、成交”的违法行为。</w:t>
      </w:r>
    </w:p>
    <w:p>
      <w:pPr>
        <w:keepNext w:val="0"/>
        <w:keepLines w:val="0"/>
        <w:pageBreakBefore w:val="0"/>
        <w:widowControl w:val="0"/>
        <w:kinsoku/>
        <w:wordWrap/>
        <w:overflowPunct/>
        <w:topLinePunct w:val="0"/>
        <w:bidi w:val="0"/>
        <w:spacing w:line="400" w:lineRule="exact"/>
        <w:ind w:firstLine="420"/>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2.落实政府采购政策需满足的资格要求：</w:t>
      </w:r>
    </w:p>
    <w:p>
      <w:pPr>
        <w:keepNext w:val="0"/>
        <w:keepLines w:val="0"/>
        <w:pageBreakBefore w:val="0"/>
        <w:widowControl w:val="0"/>
        <w:kinsoku/>
        <w:wordWrap/>
        <w:overflowPunct/>
        <w:topLinePunct w:val="0"/>
        <w:bidi w:val="0"/>
        <w:spacing w:line="400" w:lineRule="exact"/>
        <w:ind w:firstLine="420"/>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2.1如属于专门面向中小企业采购的项目，投标人应为中小微企业、监狱企业、残疾人福利性单位。</w:t>
      </w:r>
    </w:p>
    <w:p>
      <w:pPr>
        <w:keepNext w:val="0"/>
        <w:keepLines w:val="0"/>
        <w:pageBreakBefore w:val="0"/>
        <w:widowControl w:val="0"/>
        <w:kinsoku/>
        <w:wordWrap/>
        <w:overflowPunct/>
        <w:topLinePunct w:val="0"/>
        <w:bidi w:val="0"/>
        <w:spacing w:line="400" w:lineRule="exact"/>
        <w:ind w:firstLine="420"/>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2.2本项目按照以下第</w:t>
      </w:r>
      <w:r>
        <w:rPr>
          <w:rFonts w:hint="eastAsia" w:ascii="宋体" w:hAnsi="宋体" w:eastAsia="宋体" w:cs="宋体"/>
          <w:sz w:val="21"/>
          <w:szCs w:val="21"/>
          <w:u w:val="single"/>
          <w:lang w:val="en-US"/>
        </w:rPr>
        <w:t>（4）</w:t>
      </w:r>
      <w:r>
        <w:rPr>
          <w:rFonts w:hint="eastAsia" w:ascii="宋体" w:hAnsi="宋体" w:eastAsia="宋体" w:cs="宋体"/>
          <w:sz w:val="21"/>
          <w:szCs w:val="21"/>
          <w:lang w:val="en-US"/>
        </w:rPr>
        <w:t>种方式落实政府采购促进中小企业发展的要求：</w:t>
      </w:r>
    </w:p>
    <w:p>
      <w:pPr>
        <w:keepNext w:val="0"/>
        <w:keepLines w:val="0"/>
        <w:pageBreakBefore w:val="0"/>
        <w:widowControl w:val="0"/>
        <w:kinsoku/>
        <w:wordWrap/>
        <w:overflowPunct/>
        <w:topLinePunct w:val="0"/>
        <w:bidi w:val="0"/>
        <w:spacing w:line="400" w:lineRule="exact"/>
        <w:ind w:firstLine="420"/>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（1）本项目整体专门面向中小企业采购货物；</w:t>
      </w:r>
    </w:p>
    <w:p>
      <w:pPr>
        <w:keepNext w:val="0"/>
        <w:keepLines w:val="0"/>
        <w:pageBreakBefore w:val="0"/>
        <w:widowControl w:val="0"/>
        <w:kinsoku/>
        <w:wordWrap/>
        <w:overflowPunct/>
        <w:topLinePunct w:val="0"/>
        <w:bidi w:val="0"/>
        <w:spacing w:line="400" w:lineRule="exact"/>
        <w:ind w:firstLine="420"/>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（2）本项目为</w:t>
      </w:r>
      <w:r>
        <w:rPr>
          <w:rFonts w:hint="eastAsia" w:ascii="宋体" w:hAnsi="宋体" w:eastAsia="宋体" w:cs="宋体"/>
          <w:sz w:val="21"/>
          <w:szCs w:val="21"/>
          <w:u w:val="single"/>
          <w:lang w:val="en-US"/>
        </w:rPr>
        <w:t xml:space="preserve">     </w:t>
      </w:r>
      <w:r>
        <w:rPr>
          <w:rFonts w:hint="eastAsia" w:ascii="宋体" w:hAnsi="宋体" w:eastAsia="宋体" w:cs="宋体"/>
          <w:sz w:val="21"/>
          <w:szCs w:val="21"/>
          <w:lang w:val="en-US"/>
        </w:rPr>
        <w:t>（项目名称）</w:t>
      </w:r>
      <w:r>
        <w:rPr>
          <w:rFonts w:hint="eastAsia" w:ascii="宋体" w:hAnsi="宋体" w:eastAsia="宋体" w:cs="宋体"/>
          <w:sz w:val="21"/>
          <w:szCs w:val="21"/>
          <w:u w:val="single"/>
          <w:lang w:val="en-US"/>
        </w:rPr>
        <w:t xml:space="preserve">    </w:t>
      </w:r>
      <w:r>
        <w:rPr>
          <w:rFonts w:hint="eastAsia" w:ascii="宋体" w:hAnsi="宋体" w:eastAsia="宋体" w:cs="宋体"/>
          <w:sz w:val="21"/>
          <w:szCs w:val="21"/>
          <w:lang w:val="en-US"/>
        </w:rPr>
        <w:t>（项目编号）的采购包，专门面向中小企业采购货物；</w:t>
      </w:r>
    </w:p>
    <w:p>
      <w:pPr>
        <w:keepNext w:val="0"/>
        <w:keepLines w:val="0"/>
        <w:pageBreakBefore w:val="0"/>
        <w:widowControl w:val="0"/>
        <w:kinsoku/>
        <w:wordWrap/>
        <w:overflowPunct/>
        <w:topLinePunct w:val="0"/>
        <w:bidi w:val="0"/>
        <w:spacing w:line="400" w:lineRule="exact"/>
        <w:ind w:firstLine="420"/>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（3）本项目通过以下第</w:t>
      </w:r>
      <w:r>
        <w:rPr>
          <w:rFonts w:hint="eastAsia" w:ascii="宋体" w:hAnsi="宋体" w:eastAsia="宋体" w:cs="宋体"/>
          <w:sz w:val="21"/>
          <w:szCs w:val="21"/>
          <w:u w:val="none"/>
          <w:lang w:val="en-US"/>
        </w:rPr>
        <w:t>（）</w:t>
      </w:r>
      <w:r>
        <w:rPr>
          <w:rFonts w:hint="eastAsia" w:ascii="宋体" w:hAnsi="宋体" w:eastAsia="宋体" w:cs="宋体"/>
          <w:sz w:val="21"/>
          <w:szCs w:val="21"/>
          <w:lang w:val="en-US"/>
        </w:rPr>
        <w:t>种方式预留部分采购份额采购中小企业货物：</w:t>
      </w:r>
    </w:p>
    <w:p>
      <w:pPr>
        <w:keepNext w:val="0"/>
        <w:keepLines w:val="0"/>
        <w:pageBreakBefore w:val="0"/>
        <w:widowControl w:val="0"/>
        <w:kinsoku/>
        <w:wordWrap/>
        <w:overflowPunct/>
        <w:topLinePunct w:val="0"/>
        <w:bidi w:val="0"/>
        <w:spacing w:line="400" w:lineRule="exact"/>
        <w:ind w:firstLine="420"/>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①本项目要求投标人以联合体形式参加，中小企业合同金额应当达到的比例为</w:t>
      </w:r>
      <w:r>
        <w:rPr>
          <w:rFonts w:hint="eastAsia" w:ascii="宋体" w:hAnsi="宋体" w:eastAsia="宋体" w:cs="宋体"/>
          <w:sz w:val="21"/>
          <w:szCs w:val="21"/>
          <w:u w:val="single"/>
          <w:lang w:val="en-US"/>
        </w:rPr>
        <w:t xml:space="preserve">    %</w:t>
      </w:r>
      <w:r>
        <w:rPr>
          <w:rFonts w:hint="eastAsia" w:ascii="宋体" w:hAnsi="宋体" w:eastAsia="宋体" w:cs="宋体"/>
          <w:sz w:val="21"/>
          <w:szCs w:val="21"/>
          <w:lang w:val="en-US"/>
        </w:rPr>
        <w:t>，其中小微企业所占比例应为</w:t>
      </w:r>
      <w:r>
        <w:rPr>
          <w:rFonts w:hint="eastAsia" w:ascii="宋体" w:hAnsi="宋体" w:eastAsia="宋体" w:cs="宋体"/>
          <w:sz w:val="21"/>
          <w:szCs w:val="21"/>
          <w:u w:val="single"/>
          <w:lang w:val="en-US"/>
        </w:rPr>
        <w:t xml:space="preserve">    %</w:t>
      </w:r>
      <w:r>
        <w:rPr>
          <w:rFonts w:hint="eastAsia" w:ascii="宋体" w:hAnsi="宋体" w:eastAsia="宋体" w:cs="宋体"/>
          <w:sz w:val="21"/>
          <w:szCs w:val="21"/>
          <w:lang w:val="en-US"/>
        </w:rPr>
        <w:t>（两项比例均应符合《政府采购促进中小企业发展管理办法》第八条规定）；</w:t>
      </w:r>
    </w:p>
    <w:p>
      <w:pPr>
        <w:keepNext w:val="0"/>
        <w:keepLines w:val="0"/>
        <w:pageBreakBefore w:val="0"/>
        <w:widowControl w:val="0"/>
        <w:kinsoku/>
        <w:wordWrap/>
        <w:overflowPunct/>
        <w:topLinePunct w:val="0"/>
        <w:bidi w:val="0"/>
        <w:spacing w:line="400" w:lineRule="exact"/>
        <w:ind w:firstLine="420"/>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②本项目要求投标人进行合同分包，中小企业合同金额应当达到的比例为</w:t>
      </w:r>
      <w:r>
        <w:rPr>
          <w:rFonts w:hint="eastAsia" w:ascii="宋体" w:hAnsi="宋体" w:eastAsia="宋体" w:cs="宋体"/>
          <w:sz w:val="21"/>
          <w:szCs w:val="21"/>
          <w:u w:val="single"/>
          <w:lang w:val="en-US"/>
        </w:rPr>
        <w:t xml:space="preserve">    %</w:t>
      </w:r>
      <w:r>
        <w:rPr>
          <w:rFonts w:hint="eastAsia" w:ascii="宋体" w:hAnsi="宋体" w:eastAsia="宋体" w:cs="宋体"/>
          <w:sz w:val="21"/>
          <w:szCs w:val="21"/>
          <w:lang w:val="en-US"/>
        </w:rPr>
        <w:t>，其中小微企业所占比例应为</w:t>
      </w:r>
      <w:r>
        <w:rPr>
          <w:rFonts w:hint="eastAsia" w:ascii="宋体" w:hAnsi="宋体" w:eastAsia="宋体" w:cs="宋体"/>
          <w:sz w:val="21"/>
          <w:szCs w:val="21"/>
          <w:u w:val="single"/>
          <w:lang w:val="en-US"/>
        </w:rPr>
        <w:t xml:space="preserve">    %</w:t>
      </w:r>
      <w:r>
        <w:rPr>
          <w:rFonts w:hint="eastAsia" w:ascii="宋体" w:hAnsi="宋体" w:eastAsia="宋体" w:cs="宋体"/>
          <w:sz w:val="21"/>
          <w:szCs w:val="21"/>
          <w:lang w:val="en-US"/>
        </w:rPr>
        <w:t>（两项比例均应符合《政府采购促进中小企业发展管理办法》第八条规定）。</w:t>
      </w:r>
    </w:p>
    <w:p>
      <w:pPr>
        <w:keepNext w:val="0"/>
        <w:keepLines w:val="0"/>
        <w:pageBreakBefore w:val="0"/>
        <w:widowControl w:val="0"/>
        <w:kinsoku/>
        <w:wordWrap/>
        <w:overflowPunct/>
        <w:topLinePunct w:val="0"/>
        <w:bidi w:val="0"/>
        <w:spacing w:line="40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lang w:val="en-US"/>
        </w:rPr>
        <w:t>（4）本项目为非预留份额的采购项目或采购包，执行价格扣除优惠政策，具体详见第三章评标标准。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3.本项目的特定要求：</w:t>
      </w:r>
    </w:p>
    <w:p>
      <w:pPr>
        <w:spacing w:line="400" w:lineRule="exact"/>
        <w:rPr>
          <w:rFonts w:hint="eastAsia" w:ascii="宋体" w:hAnsi="宋体" w:eastAsia="宋体" w:cs="宋体"/>
          <w:sz w:val="21"/>
          <w:szCs w:val="21"/>
        </w:rPr>
      </w:pPr>
      <w:bookmarkStart w:id="10" w:name="_Toc35393800"/>
      <w:bookmarkStart w:id="11" w:name="_Toc35393631"/>
      <w:r>
        <w:rPr>
          <w:rFonts w:hint="eastAsia" w:ascii="宋体" w:hAnsi="宋体" w:eastAsia="宋体" w:cs="宋体"/>
          <w:sz w:val="21"/>
          <w:szCs w:val="21"/>
        </w:rPr>
        <w:t>（1）具有施工总承包建筑工程三级(含)以上资质（提供加盖供应商公章的证书复印件）；</w:t>
      </w:r>
    </w:p>
    <w:p>
      <w:pPr>
        <w:spacing w:line="400" w:lineRule="exact"/>
        <w:rPr>
          <w:rFonts w:hint="eastAsia" w:ascii="宋体" w:hAnsi="宋体" w:eastAsia="宋体" w:cs="宋体"/>
          <w:sz w:val="21"/>
          <w:szCs w:val="21"/>
        </w:rPr>
      </w:pPr>
      <w:r>
        <w:rPr>
          <w:rFonts w:hint="eastAsia" w:ascii="宋体" w:hAnsi="宋体" w:eastAsia="宋体" w:cs="宋体"/>
          <w:sz w:val="21"/>
          <w:szCs w:val="21"/>
        </w:rPr>
        <w:t>（2）具备安全生产条件，并取得安全生产许可证（提供加盖供应商公章的证书复印件）；</w:t>
      </w:r>
    </w:p>
    <w:p>
      <w:pPr>
        <w:spacing w:line="400" w:lineRule="exact"/>
        <w:rPr>
          <w:rFonts w:hint="eastAsia" w:ascii="宋体" w:hAnsi="宋体" w:eastAsia="宋体" w:cs="宋体"/>
          <w:color w:val="FF0000"/>
          <w:sz w:val="21"/>
          <w:szCs w:val="21"/>
          <w:lang w:bidi="ar"/>
        </w:rPr>
      </w:pPr>
      <w:r>
        <w:rPr>
          <w:rFonts w:hint="eastAsia" w:ascii="宋体" w:hAnsi="宋体" w:eastAsia="宋体" w:cs="宋体"/>
          <w:sz w:val="21"/>
          <w:szCs w:val="21"/>
        </w:rPr>
        <w:t>（3）项目负责人的要求：具备建筑工程专业注册建造师二级及以上资格证书并具备有效的安全生产B类证（提供加盖供应商公章的证书复印件）</w:t>
      </w:r>
      <w:r>
        <w:rPr>
          <w:rFonts w:hint="eastAsia" w:ascii="宋体" w:hAnsi="宋体" w:eastAsia="宋体" w:cs="宋体"/>
          <w:sz w:val="21"/>
          <w:szCs w:val="21"/>
          <w:lang w:eastAsia="zh-CN"/>
        </w:rPr>
        <w:t>；</w:t>
      </w:r>
      <w:r>
        <w:rPr>
          <w:rFonts w:hint="eastAsia" w:ascii="宋体" w:hAnsi="宋体" w:eastAsia="宋体" w:cs="宋体"/>
          <w:color w:val="FF0000"/>
          <w:sz w:val="21"/>
          <w:szCs w:val="21"/>
          <w:lang w:bidi="ar"/>
        </w:rPr>
        <w:t xml:space="preserve"> </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（4）本项目要求项目负责人无在建工程（提供书面承诺书原件，格式自拟）</w:t>
      </w:r>
      <w:r>
        <w:rPr>
          <w:rFonts w:hint="eastAsia" w:ascii="宋体" w:hAnsi="宋体" w:eastAsia="宋体" w:cs="宋体"/>
          <w:sz w:val="21"/>
          <w:szCs w:val="21"/>
          <w:lang w:eastAsia="zh-CN"/>
        </w:rPr>
        <w:t>；</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5）供应商必须提供拟投入本项目经理与供应商申请人签订的有效劳动合同、社保机构出具供应商为其缴纳的养老保险缴费证明材料并加盖社保中心章或社保中心参保缴费证明电子专用章(提供参加本次政府采购活动前近半年内任意一个月，提供复印件并加盖单位公章)</w:t>
      </w:r>
      <w:r>
        <w:rPr>
          <w:rFonts w:hint="eastAsia" w:ascii="宋体" w:hAnsi="宋体" w:eastAsia="宋体" w:cs="宋体"/>
          <w:sz w:val="21"/>
          <w:szCs w:val="21"/>
          <w:lang w:eastAsia="zh-CN"/>
        </w:rPr>
        <w:t>。</w:t>
      </w:r>
    </w:p>
    <w:p>
      <w:pPr>
        <w:spacing w:line="400" w:lineRule="exact"/>
        <w:rPr>
          <w:rFonts w:hint="eastAsia" w:ascii="宋体" w:hAnsi="宋体" w:eastAsia="宋体" w:cs="宋体"/>
          <w:sz w:val="21"/>
          <w:szCs w:val="21"/>
        </w:rPr>
      </w:pPr>
      <w:r>
        <w:rPr>
          <w:rFonts w:hint="eastAsia" w:ascii="宋体" w:hAnsi="宋体" w:eastAsia="宋体" w:cs="宋体"/>
          <w:sz w:val="21"/>
          <w:szCs w:val="21"/>
        </w:rPr>
        <w:t>三、获取采购文件</w:t>
      </w:r>
      <w:bookmarkEnd w:id="8"/>
      <w:bookmarkEnd w:id="9"/>
      <w:bookmarkEnd w:id="10"/>
      <w:bookmarkEnd w:id="11"/>
    </w:p>
    <w:p>
      <w:pPr>
        <w:spacing w:line="400" w:lineRule="exact"/>
        <w:rPr>
          <w:rFonts w:hint="eastAsia" w:ascii="宋体" w:hAnsi="宋体" w:eastAsia="宋体" w:cs="宋体"/>
          <w:color w:val="auto"/>
          <w:sz w:val="21"/>
          <w:szCs w:val="21"/>
        </w:rPr>
      </w:pPr>
      <w:r>
        <w:rPr>
          <w:rFonts w:hint="eastAsia" w:ascii="宋体" w:hAnsi="宋体" w:eastAsia="宋体" w:cs="宋体"/>
          <w:sz w:val="21"/>
          <w:szCs w:val="21"/>
        </w:rPr>
        <w:t>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年0</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25</w:t>
      </w:r>
      <w:r>
        <w:rPr>
          <w:rFonts w:hint="eastAsia" w:ascii="宋体" w:hAnsi="宋体" w:eastAsia="宋体" w:cs="宋体"/>
          <w:color w:val="auto"/>
          <w:sz w:val="21"/>
          <w:szCs w:val="21"/>
        </w:rPr>
        <w:t>日至202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年0</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01</w:t>
      </w:r>
      <w:r>
        <w:rPr>
          <w:rFonts w:hint="eastAsia" w:ascii="宋体" w:hAnsi="宋体" w:eastAsia="宋体" w:cs="宋体"/>
          <w:color w:val="auto"/>
          <w:sz w:val="21"/>
          <w:szCs w:val="21"/>
        </w:rPr>
        <w:t>日，每天上午09时00分至11时00分，下午14时00分至17时00分（北京时间，法定节假日除外）</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地点：南京市栖霞区马群街道紫东路2号紫东国际创意园C14栋6楼</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方式：</w:t>
      </w:r>
      <w:r>
        <w:rPr>
          <w:rFonts w:hint="eastAsia" w:ascii="宋体" w:hAnsi="宋体" w:eastAsia="宋体" w:cs="宋体"/>
          <w:color w:val="auto"/>
          <w:sz w:val="21"/>
          <w:szCs w:val="21"/>
          <w:lang w:val="zh-CN"/>
        </w:rPr>
        <w:t>供应商</w:t>
      </w:r>
      <w:r>
        <w:rPr>
          <w:rFonts w:hint="eastAsia" w:ascii="宋体" w:hAnsi="宋体" w:eastAsia="宋体" w:cs="宋体"/>
          <w:color w:val="auto"/>
          <w:sz w:val="21"/>
          <w:szCs w:val="21"/>
        </w:rPr>
        <w:t>须携带单位</w:t>
      </w:r>
      <w:r>
        <w:rPr>
          <w:rFonts w:hint="eastAsia" w:ascii="宋体" w:hAnsi="宋体" w:eastAsia="宋体" w:cs="宋体"/>
          <w:color w:val="auto"/>
          <w:sz w:val="21"/>
          <w:szCs w:val="21"/>
          <w:lang w:val="zh-CN"/>
        </w:rPr>
        <w:t>介绍信或授权委托书原件、授权代表身份证原件及复印件</w:t>
      </w:r>
      <w:r>
        <w:rPr>
          <w:rFonts w:hint="eastAsia" w:ascii="宋体" w:hAnsi="宋体" w:eastAsia="宋体" w:cs="宋体"/>
          <w:color w:val="auto"/>
          <w:sz w:val="21"/>
          <w:szCs w:val="21"/>
        </w:rPr>
        <w:t>加盖公章现场获取</w:t>
      </w:r>
      <w:r>
        <w:rPr>
          <w:rFonts w:hint="eastAsia" w:ascii="宋体" w:hAnsi="宋体" w:eastAsia="宋体" w:cs="宋体"/>
          <w:color w:val="auto"/>
          <w:sz w:val="21"/>
          <w:szCs w:val="21"/>
          <w:lang w:val="zh-CN"/>
        </w:rPr>
        <w:t>。</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售价：100元/份，售后不退。</w:t>
      </w:r>
    </w:p>
    <w:p>
      <w:pPr>
        <w:spacing w:line="400" w:lineRule="exact"/>
        <w:rPr>
          <w:rFonts w:hint="eastAsia" w:ascii="宋体" w:hAnsi="宋体" w:eastAsia="宋体" w:cs="宋体"/>
          <w:color w:val="auto"/>
          <w:sz w:val="21"/>
          <w:szCs w:val="21"/>
        </w:rPr>
      </w:pPr>
      <w:bookmarkStart w:id="12" w:name="_Toc35393801"/>
      <w:bookmarkStart w:id="13" w:name="_Toc35393632"/>
      <w:bookmarkStart w:id="14" w:name="_Toc28359092"/>
      <w:bookmarkStart w:id="15" w:name="_Toc28359015"/>
      <w:r>
        <w:rPr>
          <w:rFonts w:hint="eastAsia" w:ascii="宋体" w:hAnsi="宋体" w:eastAsia="宋体" w:cs="宋体"/>
          <w:color w:val="auto"/>
          <w:sz w:val="21"/>
          <w:szCs w:val="21"/>
        </w:rPr>
        <w:t>四、响应文件提交</w:t>
      </w:r>
      <w:bookmarkEnd w:id="12"/>
      <w:bookmarkEnd w:id="13"/>
      <w:bookmarkEnd w:id="14"/>
      <w:bookmarkEnd w:id="15"/>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截止时间：202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年0</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05</w:t>
      </w:r>
      <w:r>
        <w:rPr>
          <w:rFonts w:hint="eastAsia" w:ascii="宋体" w:hAnsi="宋体" w:eastAsia="宋体" w:cs="宋体"/>
          <w:color w:val="auto"/>
          <w:sz w:val="21"/>
          <w:szCs w:val="21"/>
        </w:rPr>
        <w:t>日14点</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0分（北京时间）</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地点：南京市栖霞区马群街道紫东路2号紫东国际创意园C14栋6楼</w:t>
      </w:r>
    </w:p>
    <w:p>
      <w:pPr>
        <w:spacing w:line="400" w:lineRule="exact"/>
        <w:rPr>
          <w:rFonts w:hint="eastAsia" w:ascii="宋体" w:hAnsi="宋体" w:eastAsia="宋体" w:cs="宋体"/>
          <w:color w:val="auto"/>
          <w:sz w:val="21"/>
          <w:szCs w:val="21"/>
        </w:rPr>
      </w:pPr>
      <w:bookmarkStart w:id="16" w:name="_Toc35393633"/>
      <w:bookmarkStart w:id="17" w:name="_Toc28359016"/>
      <w:bookmarkStart w:id="18" w:name="_Toc35393802"/>
      <w:bookmarkStart w:id="19" w:name="_Toc28359093"/>
      <w:r>
        <w:rPr>
          <w:rFonts w:hint="eastAsia" w:ascii="宋体" w:hAnsi="宋体" w:eastAsia="宋体" w:cs="宋体"/>
          <w:color w:val="auto"/>
          <w:sz w:val="21"/>
          <w:szCs w:val="21"/>
        </w:rPr>
        <w:t>五、开启</w:t>
      </w:r>
      <w:bookmarkEnd w:id="16"/>
      <w:bookmarkEnd w:id="17"/>
      <w:bookmarkEnd w:id="18"/>
      <w:bookmarkEnd w:id="19"/>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时间：202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年07</w:t>
      </w:r>
      <w:bookmarkStart w:id="606" w:name="_GoBack"/>
      <w:bookmarkEnd w:id="606"/>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05</w:t>
      </w:r>
      <w:r>
        <w:rPr>
          <w:rFonts w:hint="eastAsia" w:ascii="宋体" w:hAnsi="宋体" w:eastAsia="宋体" w:cs="宋体"/>
          <w:color w:val="auto"/>
          <w:sz w:val="21"/>
          <w:szCs w:val="21"/>
        </w:rPr>
        <w:t>日14点</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0分（北京时间）</w:t>
      </w:r>
    </w:p>
    <w:p>
      <w:pPr>
        <w:spacing w:line="400" w:lineRule="exact"/>
        <w:rPr>
          <w:rFonts w:hint="eastAsia" w:ascii="宋体" w:hAnsi="宋体" w:eastAsia="宋体" w:cs="宋体"/>
          <w:sz w:val="21"/>
          <w:szCs w:val="21"/>
        </w:rPr>
      </w:pPr>
      <w:r>
        <w:rPr>
          <w:rFonts w:hint="eastAsia" w:ascii="宋体" w:hAnsi="宋体" w:eastAsia="宋体" w:cs="宋体"/>
          <w:sz w:val="21"/>
          <w:szCs w:val="21"/>
        </w:rPr>
        <w:t>地点：南京市栖霞区马群街道紫东路2号紫东国际创意园C14栋6楼</w:t>
      </w:r>
    </w:p>
    <w:p>
      <w:pPr>
        <w:spacing w:line="400" w:lineRule="exact"/>
        <w:rPr>
          <w:rFonts w:hint="eastAsia" w:ascii="宋体" w:hAnsi="宋体" w:eastAsia="宋体" w:cs="宋体"/>
          <w:sz w:val="21"/>
          <w:szCs w:val="21"/>
        </w:rPr>
      </w:pPr>
      <w:bookmarkStart w:id="20" w:name="_Toc35393634"/>
      <w:bookmarkStart w:id="21" w:name="_Toc35393803"/>
      <w:bookmarkStart w:id="22" w:name="_Toc28359017"/>
      <w:bookmarkStart w:id="23" w:name="_Toc28359094"/>
      <w:r>
        <w:rPr>
          <w:rFonts w:hint="eastAsia" w:ascii="宋体" w:hAnsi="宋体" w:eastAsia="宋体" w:cs="宋体"/>
          <w:sz w:val="21"/>
          <w:szCs w:val="21"/>
        </w:rPr>
        <w:t>六、公告期限</w:t>
      </w:r>
      <w:bookmarkEnd w:id="20"/>
      <w:bookmarkEnd w:id="21"/>
      <w:bookmarkEnd w:id="22"/>
      <w:bookmarkEnd w:id="23"/>
    </w:p>
    <w:p>
      <w:pPr>
        <w:spacing w:line="400" w:lineRule="exact"/>
        <w:rPr>
          <w:rFonts w:hint="eastAsia" w:ascii="宋体" w:hAnsi="宋体" w:eastAsia="宋体" w:cs="宋体"/>
          <w:sz w:val="21"/>
          <w:szCs w:val="21"/>
        </w:rPr>
      </w:pPr>
      <w:r>
        <w:rPr>
          <w:rFonts w:hint="eastAsia" w:ascii="宋体" w:hAnsi="宋体" w:eastAsia="宋体" w:cs="宋体"/>
          <w:sz w:val="21"/>
          <w:szCs w:val="21"/>
        </w:rPr>
        <w:t>自本公告发布之日起</w:t>
      </w:r>
      <w:r>
        <w:rPr>
          <w:rFonts w:hint="eastAsia" w:ascii="宋体" w:hAnsi="宋体" w:eastAsia="宋体" w:cs="宋体"/>
          <w:sz w:val="21"/>
          <w:szCs w:val="21"/>
          <w:lang w:val="en-US" w:eastAsia="zh-CN"/>
        </w:rPr>
        <w:t>3</w:t>
      </w:r>
      <w:r>
        <w:rPr>
          <w:rFonts w:hint="eastAsia" w:ascii="宋体" w:hAnsi="宋体" w:eastAsia="宋体" w:cs="宋体"/>
          <w:sz w:val="21"/>
          <w:szCs w:val="21"/>
        </w:rPr>
        <w:t>个工作日。</w:t>
      </w:r>
    </w:p>
    <w:p>
      <w:pPr>
        <w:spacing w:line="400" w:lineRule="exact"/>
        <w:rPr>
          <w:rFonts w:hint="eastAsia" w:ascii="宋体" w:hAnsi="宋体" w:eastAsia="宋体" w:cs="宋体"/>
          <w:sz w:val="21"/>
          <w:szCs w:val="21"/>
        </w:rPr>
      </w:pPr>
      <w:bookmarkStart w:id="24" w:name="_Toc35393804"/>
      <w:bookmarkStart w:id="25" w:name="_Toc35393635"/>
      <w:r>
        <w:rPr>
          <w:rFonts w:hint="eastAsia" w:ascii="宋体" w:hAnsi="宋体" w:eastAsia="宋体" w:cs="宋体"/>
          <w:sz w:val="21"/>
          <w:szCs w:val="21"/>
        </w:rPr>
        <w:t>七、其他补充事宜</w:t>
      </w:r>
      <w:bookmarkEnd w:id="24"/>
      <w:bookmarkEnd w:id="25"/>
    </w:p>
    <w:p>
      <w:pPr>
        <w:spacing w:line="400" w:lineRule="exact"/>
        <w:rPr>
          <w:rFonts w:hint="eastAsia" w:ascii="宋体" w:hAnsi="宋体" w:eastAsia="宋体" w:cs="宋体"/>
          <w:sz w:val="21"/>
          <w:szCs w:val="21"/>
        </w:rPr>
      </w:pPr>
      <w:r>
        <w:rPr>
          <w:rFonts w:hint="eastAsia" w:ascii="宋体" w:hAnsi="宋体" w:eastAsia="宋体" w:cs="宋体"/>
          <w:sz w:val="21"/>
          <w:szCs w:val="21"/>
        </w:rPr>
        <w:t>1.拒绝下述供应商参加本次采购活动：</w:t>
      </w:r>
    </w:p>
    <w:p>
      <w:pPr>
        <w:spacing w:line="400" w:lineRule="exact"/>
        <w:rPr>
          <w:rFonts w:hint="eastAsia" w:ascii="宋体" w:hAnsi="宋体" w:eastAsia="宋体" w:cs="宋体"/>
          <w:sz w:val="21"/>
          <w:szCs w:val="21"/>
        </w:rPr>
      </w:pPr>
      <w:r>
        <w:rPr>
          <w:rFonts w:hint="eastAsia" w:ascii="宋体" w:hAnsi="宋体" w:eastAsia="宋体" w:cs="宋体"/>
          <w:sz w:val="21"/>
          <w:szCs w:val="21"/>
        </w:rPr>
        <w:t>（1）供应商单位负责人为同一人或者存在直接控股、管理关系的不同供应商，不得参加同一合同项下的政府采购活动。</w:t>
      </w:r>
    </w:p>
    <w:p>
      <w:pPr>
        <w:spacing w:line="400" w:lineRule="exact"/>
        <w:rPr>
          <w:rFonts w:hint="eastAsia" w:ascii="宋体" w:hAnsi="宋体" w:eastAsia="宋体" w:cs="宋体"/>
          <w:sz w:val="21"/>
          <w:szCs w:val="21"/>
        </w:rPr>
      </w:pPr>
      <w:r>
        <w:rPr>
          <w:rFonts w:hint="eastAsia" w:ascii="宋体" w:hAnsi="宋体" w:eastAsia="宋体" w:cs="宋体"/>
          <w:sz w:val="21"/>
          <w:szCs w:val="21"/>
        </w:rPr>
        <w:t>（2）凡为采购项目提供整体设计、规范编制或者项目管理、监理、检测等服务的供应商，不得再参加本项目的采购活动。</w:t>
      </w:r>
    </w:p>
    <w:p>
      <w:pPr>
        <w:spacing w:line="400" w:lineRule="exact"/>
        <w:rPr>
          <w:rFonts w:hint="eastAsia" w:ascii="宋体" w:hAnsi="宋体" w:eastAsia="宋体" w:cs="宋体"/>
          <w:sz w:val="21"/>
          <w:szCs w:val="21"/>
        </w:rPr>
      </w:pPr>
      <w:r>
        <w:rPr>
          <w:rFonts w:hint="eastAsia" w:ascii="宋体" w:hAnsi="宋体" w:eastAsia="宋体" w:cs="宋体"/>
          <w:sz w:val="21"/>
          <w:szCs w:val="21"/>
        </w:rPr>
        <w:t>（3）供应商被“信用中国”网站（www.creditchina.gov.cn）、“中国政府采购网"(www.ccgp.gov.cn)列入失信被执行人、重大税收违法案件当事人名单、政府采购严重违</w:t>
      </w:r>
      <w:r>
        <w:rPr>
          <w:rFonts w:hint="eastAsia" w:ascii="宋体" w:hAnsi="宋体" w:eastAsia="宋体" w:cs="宋体"/>
          <w:sz w:val="21"/>
          <w:szCs w:val="21"/>
          <w:lang w:val="zh-CN"/>
        </w:rPr>
        <w:t>法失信行为记录名单。</w:t>
      </w:r>
    </w:p>
    <w:p>
      <w:pPr>
        <w:spacing w:line="400" w:lineRule="exact"/>
        <w:rPr>
          <w:rFonts w:hint="eastAsia" w:ascii="宋体" w:hAnsi="宋体" w:eastAsia="宋体" w:cs="宋体"/>
          <w:sz w:val="21"/>
          <w:szCs w:val="21"/>
          <w:lang w:val="zh-CN"/>
        </w:rPr>
      </w:pPr>
      <w:r>
        <w:rPr>
          <w:rFonts w:hint="eastAsia" w:ascii="宋体" w:hAnsi="宋体" w:eastAsia="宋体" w:cs="宋体"/>
          <w:sz w:val="21"/>
          <w:szCs w:val="21"/>
        </w:rPr>
        <w:t>2.</w:t>
      </w:r>
      <w:r>
        <w:rPr>
          <w:rFonts w:hint="eastAsia" w:ascii="宋体" w:hAnsi="宋体" w:eastAsia="宋体" w:cs="宋体"/>
          <w:sz w:val="21"/>
          <w:szCs w:val="21"/>
          <w:lang w:val="zh-CN"/>
        </w:rPr>
        <w:t>集中勘察现场和答疑：为防止学生正常学习生活受到影响</w:t>
      </w:r>
      <w:r>
        <w:rPr>
          <w:rFonts w:hint="eastAsia" w:ascii="宋体" w:hAnsi="宋体" w:eastAsia="宋体" w:cs="宋体"/>
          <w:sz w:val="21"/>
          <w:szCs w:val="21"/>
          <w:lang w:val="zh-CN" w:eastAsia="zh-CN"/>
        </w:rPr>
        <w:t>，</w:t>
      </w:r>
      <w:r>
        <w:rPr>
          <w:rFonts w:hint="eastAsia" w:ascii="宋体" w:hAnsi="宋体" w:eastAsia="宋体" w:cs="宋体"/>
          <w:sz w:val="21"/>
          <w:szCs w:val="21"/>
          <w:lang w:val="zh-CN"/>
        </w:rPr>
        <w:t>本次采购不组织集中勘察现场。供应商如对采购需求有疑问请与采购联系人沟通。在递交响应文件截止时间5日前，代理机构将磋商文件澄清或者修改的内容（如有）发放供应商，供应商如对本项目有疑问也应在此时间内向代理机构递交提疑文件。</w:t>
      </w:r>
    </w:p>
    <w:p>
      <w:pPr>
        <w:spacing w:line="400" w:lineRule="exact"/>
        <w:rPr>
          <w:rFonts w:hint="eastAsia" w:ascii="宋体" w:hAnsi="宋体" w:eastAsia="宋体" w:cs="宋体"/>
          <w:b/>
          <w:bCs/>
          <w:sz w:val="21"/>
          <w:szCs w:val="21"/>
          <w:lang w:val="zh-CN"/>
        </w:rPr>
      </w:pPr>
      <w:r>
        <w:rPr>
          <w:rFonts w:hint="eastAsia" w:ascii="宋体" w:hAnsi="宋体" w:eastAsia="宋体" w:cs="宋体"/>
          <w:b/>
          <w:bCs/>
          <w:sz w:val="21"/>
          <w:szCs w:val="21"/>
        </w:rPr>
        <w:t>3.</w:t>
      </w:r>
      <w:r>
        <w:rPr>
          <w:rFonts w:hint="eastAsia" w:ascii="宋体" w:hAnsi="宋体" w:eastAsia="宋体" w:cs="宋体"/>
          <w:b/>
          <w:bCs/>
          <w:sz w:val="21"/>
          <w:szCs w:val="21"/>
          <w:lang w:val="zh-CN"/>
        </w:rPr>
        <w:t>响应文件份数：纸质文件一式叁份（壹份正本、贰份副本），每份响应文件须清楚标明“正本”或“副本”，电子响应文件一份（</w:t>
      </w:r>
      <w:r>
        <w:rPr>
          <w:rFonts w:hint="eastAsia" w:ascii="宋体" w:hAnsi="宋体" w:eastAsia="宋体" w:cs="宋体"/>
          <w:b/>
          <w:bCs/>
          <w:sz w:val="21"/>
          <w:szCs w:val="21"/>
        </w:rPr>
        <w:t>需包含正本签字盖章的扫描件，</w:t>
      </w:r>
      <w:r>
        <w:rPr>
          <w:rFonts w:hint="eastAsia" w:ascii="宋体" w:hAnsi="宋体" w:eastAsia="宋体" w:cs="宋体"/>
          <w:b/>
          <w:bCs/>
          <w:sz w:val="21"/>
          <w:szCs w:val="21"/>
          <w:lang w:val="zh-CN"/>
        </w:rPr>
        <w:t>单独密封）。</w:t>
      </w:r>
    </w:p>
    <w:p>
      <w:pPr>
        <w:spacing w:line="400" w:lineRule="exact"/>
        <w:rPr>
          <w:rFonts w:hint="eastAsia" w:ascii="宋体" w:hAnsi="宋体" w:eastAsia="宋体" w:cs="宋体"/>
          <w:sz w:val="21"/>
          <w:szCs w:val="21"/>
          <w:lang w:val="zh-CN"/>
        </w:rPr>
      </w:pPr>
      <w:bookmarkStart w:id="26" w:name="_Toc35393636"/>
      <w:bookmarkStart w:id="27" w:name="_Toc28359095"/>
      <w:bookmarkStart w:id="28" w:name="_Toc35393805"/>
      <w:bookmarkStart w:id="29" w:name="_Toc28359018"/>
      <w:r>
        <w:rPr>
          <w:rFonts w:hint="eastAsia" w:ascii="宋体" w:hAnsi="宋体" w:eastAsia="宋体" w:cs="宋体"/>
          <w:sz w:val="21"/>
          <w:szCs w:val="21"/>
          <w:lang w:val="zh-CN"/>
        </w:rPr>
        <w:t>4.根据《南京市政府采购供应商信用管理工作暂行办法》（宁财规[2018]10号）有关规定，凡在南京地区参加政府采购活动的供应商，应当事先登陆“信用南京”（www.njcredit.gov.cn）或“南京公共采购信息网”（https://njgc.jfh.com/）主页“</w:t>
      </w:r>
      <w:r>
        <w:rPr>
          <w:rFonts w:hint="eastAsia" w:ascii="宋体" w:hAnsi="宋体" w:eastAsia="宋体" w:cs="宋体"/>
          <w:sz w:val="21"/>
          <w:szCs w:val="21"/>
        </w:rPr>
        <w:t>南京市</w:t>
      </w:r>
      <w:r>
        <w:rPr>
          <w:rFonts w:hint="eastAsia" w:ascii="宋体" w:hAnsi="宋体" w:eastAsia="宋体" w:cs="宋体"/>
          <w:sz w:val="21"/>
          <w:szCs w:val="21"/>
          <w:lang w:val="zh-CN"/>
        </w:rPr>
        <w:t>政府采购供应商诚信档案”栏目进行注册登记。由于特殊原因未及时注册的供应商可先行获取采购文件，但必须在提交投标（响应）文件截止日2天前办理登记注册手续。</w:t>
      </w:r>
    </w:p>
    <w:p>
      <w:pPr>
        <w:spacing w:line="400" w:lineRule="exact"/>
        <w:rPr>
          <w:rFonts w:hint="eastAsia" w:ascii="宋体" w:hAnsi="宋体" w:eastAsia="宋体" w:cs="宋体"/>
          <w:sz w:val="21"/>
          <w:szCs w:val="21"/>
          <w:lang w:val="zh-CN"/>
        </w:rPr>
      </w:pPr>
      <w:r>
        <w:rPr>
          <w:rFonts w:hint="eastAsia" w:ascii="宋体" w:hAnsi="宋体" w:eastAsia="宋体" w:cs="宋体"/>
          <w:sz w:val="21"/>
          <w:szCs w:val="21"/>
          <w:lang w:val="zh-CN"/>
        </w:rPr>
        <w:t>供应商申请网上注册的，应当按以下程序进行： </w:t>
      </w:r>
    </w:p>
    <w:p>
      <w:pPr>
        <w:spacing w:line="400" w:lineRule="exact"/>
        <w:rPr>
          <w:rFonts w:hint="eastAsia" w:ascii="宋体" w:hAnsi="宋体" w:eastAsia="宋体" w:cs="宋体"/>
          <w:sz w:val="21"/>
          <w:szCs w:val="21"/>
          <w:lang w:val="zh-CN"/>
        </w:rPr>
      </w:pPr>
      <w:r>
        <w:rPr>
          <w:rFonts w:hint="eastAsia" w:ascii="宋体" w:hAnsi="宋体" w:eastAsia="宋体" w:cs="宋体"/>
          <w:sz w:val="21"/>
          <w:szCs w:val="21"/>
          <w:lang w:val="zh-CN"/>
        </w:rPr>
        <w:t>⑴登陆“信用南京”或“南京公共采购信息网”（https://njgc.jfh.com/）网站，点击“政府采购供应商诚信档案”图标，在弹出的用户登录界面，点击“新用户注册”；</w:t>
      </w:r>
    </w:p>
    <w:p>
      <w:pPr>
        <w:spacing w:line="400" w:lineRule="exact"/>
        <w:rPr>
          <w:rFonts w:hint="eastAsia" w:ascii="宋体" w:hAnsi="宋体" w:eastAsia="宋体" w:cs="宋体"/>
          <w:sz w:val="21"/>
          <w:szCs w:val="21"/>
          <w:lang w:val="zh-CN"/>
        </w:rPr>
      </w:pPr>
      <w:r>
        <w:rPr>
          <w:rFonts w:hint="eastAsia" w:ascii="宋体" w:hAnsi="宋体" w:eastAsia="宋体" w:cs="宋体"/>
          <w:sz w:val="21"/>
          <w:szCs w:val="21"/>
          <w:lang w:val="zh-CN"/>
        </w:rPr>
        <w:t>⑵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pPr>
        <w:spacing w:line="400" w:lineRule="exact"/>
        <w:rPr>
          <w:rFonts w:hint="eastAsia" w:ascii="宋体" w:hAnsi="宋体" w:eastAsia="宋体" w:cs="宋体"/>
          <w:sz w:val="21"/>
          <w:szCs w:val="21"/>
          <w:lang w:val="zh-CN"/>
        </w:rPr>
      </w:pPr>
      <w:r>
        <w:rPr>
          <w:rFonts w:hint="eastAsia" w:ascii="宋体" w:hAnsi="宋体" w:eastAsia="宋体" w:cs="宋体"/>
          <w:sz w:val="21"/>
          <w:szCs w:val="21"/>
          <w:lang w:val="zh-CN"/>
        </w:rPr>
        <w:t>注册成功后，供应商参加本次政府采购活动时，在采购文件发布之日起至递交响应文件截止日前，应先登录“信用南京”或“南京公共采购信息网”（https://njgc.jfh.com/）在线打印其“南京市政府采购供应商信用记录表”，经法定代表人签名盖章后作为响应文件的组成部分“南京市政府采购供应商信用记录表”是其参加本次政府采购活动的必备材料。</w:t>
      </w:r>
    </w:p>
    <w:p>
      <w:pPr>
        <w:spacing w:line="400" w:lineRule="exact"/>
        <w:rPr>
          <w:rFonts w:hint="eastAsia" w:ascii="宋体" w:hAnsi="宋体" w:eastAsia="宋体" w:cs="宋体"/>
          <w:sz w:val="21"/>
          <w:szCs w:val="21"/>
          <w:lang w:val="zh-CN"/>
        </w:rPr>
      </w:pPr>
      <w:r>
        <w:rPr>
          <w:rFonts w:hint="eastAsia" w:ascii="宋体" w:hAnsi="宋体" w:eastAsia="宋体" w:cs="宋体"/>
          <w:sz w:val="21"/>
          <w:szCs w:val="21"/>
          <w:lang w:val="zh-CN"/>
        </w:rPr>
        <w:t>南京市政府采购供应商诚信档案管理系统客服电话：025-52718366；供应商可就用户注册与打印“南京市政府采购供应商信用记录表”等事宜进行咨询。</w:t>
      </w:r>
    </w:p>
    <w:p>
      <w:pPr>
        <w:spacing w:line="400" w:lineRule="exact"/>
        <w:rPr>
          <w:rFonts w:hint="eastAsia" w:ascii="宋体" w:hAnsi="宋体" w:eastAsia="宋体" w:cs="宋体"/>
          <w:sz w:val="21"/>
          <w:szCs w:val="21"/>
          <w:lang w:val="zh-CN"/>
        </w:rPr>
      </w:pPr>
      <w:r>
        <w:rPr>
          <w:rFonts w:hint="eastAsia" w:ascii="宋体" w:hAnsi="宋体" w:eastAsia="宋体" w:cs="宋体"/>
          <w:sz w:val="21"/>
          <w:szCs w:val="21"/>
        </w:rPr>
        <w:t>5</w:t>
      </w:r>
      <w:r>
        <w:rPr>
          <w:rFonts w:hint="eastAsia" w:ascii="宋体" w:hAnsi="宋体" w:eastAsia="宋体" w:cs="宋体"/>
          <w:sz w:val="21"/>
          <w:szCs w:val="21"/>
          <w:lang w:val="zh-CN"/>
        </w:rPr>
        <w:t>.是否接受进口产品：否。</w:t>
      </w:r>
    </w:p>
    <w:p>
      <w:pPr>
        <w:spacing w:line="400" w:lineRule="exact"/>
        <w:rPr>
          <w:rFonts w:hint="eastAsia" w:ascii="宋体" w:hAnsi="宋体" w:eastAsia="宋体" w:cs="宋体"/>
          <w:sz w:val="21"/>
          <w:szCs w:val="21"/>
          <w:lang w:val="zh-CN"/>
        </w:rPr>
      </w:pPr>
      <w:r>
        <w:rPr>
          <w:rFonts w:hint="eastAsia" w:ascii="宋体" w:hAnsi="宋体" w:eastAsia="宋体" w:cs="宋体"/>
          <w:sz w:val="21"/>
          <w:szCs w:val="21"/>
        </w:rPr>
        <w:t>6</w:t>
      </w:r>
      <w:r>
        <w:rPr>
          <w:rFonts w:hint="eastAsia" w:ascii="宋体" w:hAnsi="宋体" w:eastAsia="宋体" w:cs="宋体"/>
          <w:sz w:val="21"/>
          <w:szCs w:val="21"/>
          <w:lang w:val="zh-CN"/>
        </w:rPr>
        <w:t>.本项目不收取投标保证金。</w:t>
      </w:r>
    </w:p>
    <w:p>
      <w:pPr>
        <w:spacing w:line="40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7.南京市栖霞区人民政府尧化办事处为本项目的招标单位，南京市栖霞区实验小学为本项目的使用单位及项目实施单位。</w:t>
      </w:r>
    </w:p>
    <w:p>
      <w:pPr>
        <w:spacing w:line="400" w:lineRule="exact"/>
        <w:rPr>
          <w:rFonts w:hint="eastAsia" w:ascii="宋体" w:hAnsi="宋体" w:eastAsia="宋体" w:cs="宋体"/>
          <w:sz w:val="21"/>
          <w:szCs w:val="21"/>
        </w:rPr>
      </w:pPr>
      <w:r>
        <w:rPr>
          <w:rFonts w:hint="eastAsia" w:ascii="宋体" w:hAnsi="宋体" w:eastAsia="宋体" w:cs="宋体"/>
          <w:sz w:val="21"/>
          <w:szCs w:val="21"/>
        </w:rPr>
        <w:t>八、凡对本次采购提出询问，请按以下方式联系</w:t>
      </w:r>
      <w:bookmarkEnd w:id="26"/>
      <w:bookmarkEnd w:id="27"/>
      <w:bookmarkEnd w:id="28"/>
      <w:bookmarkEnd w:id="29"/>
    </w:p>
    <w:p>
      <w:pPr>
        <w:spacing w:line="400" w:lineRule="exact"/>
        <w:rPr>
          <w:rFonts w:hint="eastAsia" w:ascii="宋体" w:hAnsi="宋体" w:eastAsia="宋体" w:cs="宋体"/>
          <w:sz w:val="21"/>
          <w:szCs w:val="21"/>
        </w:rPr>
      </w:pPr>
      <w:bookmarkStart w:id="30" w:name="_Toc28359019"/>
      <w:bookmarkStart w:id="31" w:name="_Toc35393637"/>
      <w:bookmarkStart w:id="32" w:name="_Toc35393806"/>
      <w:bookmarkStart w:id="33" w:name="_Toc28359096"/>
      <w:r>
        <w:rPr>
          <w:rFonts w:hint="eastAsia" w:ascii="宋体" w:hAnsi="宋体" w:eastAsia="宋体" w:cs="宋体"/>
          <w:sz w:val="21"/>
          <w:szCs w:val="21"/>
        </w:rPr>
        <w:t>1.采购人信息</w:t>
      </w:r>
      <w:bookmarkEnd w:id="30"/>
      <w:bookmarkEnd w:id="31"/>
      <w:bookmarkEnd w:id="32"/>
      <w:bookmarkEnd w:id="33"/>
    </w:p>
    <w:p>
      <w:pPr>
        <w:spacing w:line="400" w:lineRule="exact"/>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lang w:eastAsia="zh-CN"/>
        </w:rPr>
        <w:t>南京市栖霞区人民政府尧化办事处</w:t>
      </w:r>
      <w:r>
        <w:rPr>
          <w:rFonts w:hint="eastAsia" w:ascii="宋体" w:hAnsi="宋体" w:eastAsia="宋体" w:cs="宋体"/>
          <w:sz w:val="21"/>
          <w:szCs w:val="21"/>
        </w:rPr>
        <w:t>　</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地    址：南京市栖霞区新城路21号A02号楼 　　</w:t>
      </w:r>
    </w:p>
    <w:p>
      <w:pPr>
        <w:spacing w:line="40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联系方式：/              </w:t>
      </w:r>
    </w:p>
    <w:p>
      <w:pPr>
        <w:spacing w:line="400" w:lineRule="exact"/>
        <w:rPr>
          <w:rFonts w:hint="eastAsia" w:ascii="宋体" w:hAnsi="宋体" w:eastAsia="宋体" w:cs="宋体"/>
          <w:sz w:val="21"/>
          <w:szCs w:val="21"/>
        </w:rPr>
      </w:pPr>
      <w:bookmarkStart w:id="34" w:name="_Toc28359020"/>
      <w:bookmarkStart w:id="35" w:name="_Toc35393638"/>
      <w:bookmarkStart w:id="36" w:name="_Toc35393807"/>
      <w:bookmarkStart w:id="37" w:name="_Toc28359097"/>
      <w:r>
        <w:rPr>
          <w:rFonts w:hint="eastAsia" w:ascii="宋体" w:hAnsi="宋体" w:eastAsia="宋体" w:cs="宋体"/>
          <w:sz w:val="21"/>
          <w:szCs w:val="21"/>
        </w:rPr>
        <w:t>2.采购代理机构信息</w:t>
      </w:r>
      <w:bookmarkEnd w:id="34"/>
      <w:bookmarkEnd w:id="35"/>
      <w:bookmarkEnd w:id="36"/>
      <w:bookmarkEnd w:id="37"/>
    </w:p>
    <w:p>
      <w:pPr>
        <w:spacing w:line="400" w:lineRule="exact"/>
        <w:rPr>
          <w:rFonts w:hint="eastAsia" w:ascii="宋体" w:hAnsi="宋体" w:eastAsia="宋体" w:cs="宋体"/>
          <w:sz w:val="21"/>
          <w:szCs w:val="21"/>
        </w:rPr>
      </w:pPr>
      <w:r>
        <w:rPr>
          <w:rFonts w:hint="eastAsia" w:ascii="宋体" w:hAnsi="宋体" w:eastAsia="宋体" w:cs="宋体"/>
          <w:sz w:val="21"/>
          <w:szCs w:val="21"/>
        </w:rPr>
        <w:t>名    称：南京恒广工程管理有限公司     　　</w:t>
      </w:r>
    </w:p>
    <w:p>
      <w:pPr>
        <w:spacing w:line="400" w:lineRule="exact"/>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lang w:val="zh-CN"/>
        </w:rPr>
        <w:t>南京市栖霞区马群街道紫东路2号紫东国际创意园C14栋6楼</w:t>
      </w:r>
      <w:r>
        <w:rPr>
          <w:rFonts w:hint="eastAsia" w:ascii="宋体" w:hAnsi="宋体" w:eastAsia="宋体" w:cs="宋体"/>
          <w:sz w:val="21"/>
          <w:szCs w:val="21"/>
        </w:rPr>
        <w:t xml:space="preserve">  </w:t>
      </w:r>
      <w:r>
        <w:rPr>
          <w:rFonts w:hint="eastAsia" w:ascii="宋体" w:hAnsi="宋体" w:eastAsia="宋体" w:cs="宋体"/>
          <w:sz w:val="21"/>
          <w:szCs w:val="21"/>
          <w:lang w:val="zh-CN"/>
        </w:rPr>
        <w:t>　</w:t>
      </w:r>
      <w:r>
        <w:rPr>
          <w:rFonts w:hint="eastAsia" w:ascii="宋体" w:hAnsi="宋体" w:eastAsia="宋体" w:cs="宋体"/>
          <w:sz w:val="21"/>
          <w:szCs w:val="21"/>
        </w:rPr>
        <w:t xml:space="preserve">　             </w:t>
      </w:r>
      <w:r>
        <w:rPr>
          <w:rFonts w:hint="eastAsia" w:ascii="宋体" w:hAnsi="宋体" w:eastAsia="宋体" w:cs="宋体"/>
          <w:sz w:val="21"/>
          <w:szCs w:val="21"/>
          <w:lang w:val="zh-CN"/>
        </w:rPr>
        <w:t>　</w:t>
      </w:r>
      <w:r>
        <w:rPr>
          <w:rFonts w:hint="eastAsia" w:ascii="宋体" w:hAnsi="宋体" w:eastAsia="宋体" w:cs="宋体"/>
          <w:sz w:val="21"/>
          <w:szCs w:val="21"/>
        </w:rPr>
        <w:t xml:space="preserve"> 　</w:t>
      </w:r>
    </w:p>
    <w:p>
      <w:pPr>
        <w:spacing w:line="400" w:lineRule="exact"/>
        <w:rPr>
          <w:rFonts w:hint="eastAsia" w:ascii="宋体" w:hAnsi="宋体" w:eastAsia="宋体" w:cs="宋体"/>
          <w:sz w:val="21"/>
          <w:szCs w:val="21"/>
        </w:rPr>
      </w:pPr>
      <w:bookmarkStart w:id="38" w:name="_Toc28359021"/>
      <w:bookmarkStart w:id="39" w:name="_Toc35393808"/>
      <w:bookmarkStart w:id="40" w:name="_Toc28359098"/>
      <w:bookmarkStart w:id="41" w:name="_Toc35393639"/>
      <w:r>
        <w:rPr>
          <w:rFonts w:hint="eastAsia" w:ascii="宋体" w:hAnsi="宋体" w:eastAsia="宋体" w:cs="宋体"/>
          <w:sz w:val="21"/>
          <w:szCs w:val="21"/>
        </w:rPr>
        <w:t>3.项目联系方式</w:t>
      </w:r>
      <w:bookmarkEnd w:id="38"/>
      <w:bookmarkEnd w:id="39"/>
      <w:bookmarkEnd w:id="40"/>
      <w:bookmarkEnd w:id="41"/>
    </w:p>
    <w:p>
      <w:pPr>
        <w:spacing w:line="400" w:lineRule="exact"/>
        <w:rPr>
          <w:rFonts w:hint="eastAsia" w:ascii="宋体" w:hAnsi="宋体" w:eastAsia="宋体" w:cs="宋体"/>
          <w:sz w:val="21"/>
          <w:szCs w:val="21"/>
        </w:rPr>
      </w:pPr>
      <w:r>
        <w:rPr>
          <w:rFonts w:hint="eastAsia" w:ascii="宋体" w:hAnsi="宋体" w:eastAsia="宋体" w:cs="宋体"/>
          <w:sz w:val="21"/>
          <w:szCs w:val="21"/>
        </w:rPr>
        <w:t>项目联系人：</w:t>
      </w:r>
      <w:r>
        <w:rPr>
          <w:rFonts w:hint="eastAsia" w:ascii="宋体" w:hAnsi="宋体" w:eastAsia="宋体" w:cs="宋体"/>
          <w:sz w:val="21"/>
          <w:szCs w:val="21"/>
          <w:lang w:val="en-US" w:eastAsia="zh-CN"/>
        </w:rPr>
        <w:t>陈晨</w:t>
      </w:r>
      <w:r>
        <w:rPr>
          <w:rFonts w:hint="eastAsia" w:ascii="宋体" w:hAnsi="宋体" w:eastAsia="宋体" w:cs="宋体"/>
          <w:sz w:val="21"/>
          <w:szCs w:val="21"/>
        </w:rPr>
        <w:t xml:space="preserve">                       </w:t>
      </w:r>
    </w:p>
    <w:p>
      <w:pPr>
        <w:spacing w:line="400" w:lineRule="exact"/>
        <w:rPr>
          <w:rFonts w:hint="default" w:ascii="微软雅黑" w:hAnsi="微软雅黑" w:eastAsia="微软雅黑" w:cs="微软雅黑"/>
          <w:lang w:val="en-US" w:eastAsia="zh-CN"/>
        </w:rPr>
      </w:pPr>
      <w:r>
        <w:rPr>
          <w:rFonts w:hint="eastAsia" w:ascii="宋体" w:hAnsi="宋体" w:eastAsia="宋体" w:cs="宋体"/>
          <w:sz w:val="21"/>
          <w:szCs w:val="21"/>
        </w:rPr>
        <w:t>电　　 话：</w:t>
      </w:r>
      <w:r>
        <w:rPr>
          <w:rFonts w:hint="eastAsia" w:ascii="宋体" w:hAnsi="宋体" w:eastAsia="宋体" w:cs="宋体"/>
          <w:sz w:val="21"/>
          <w:szCs w:val="21"/>
          <w:lang w:val="en-US" w:eastAsia="zh-CN"/>
        </w:rPr>
        <w:t>13770576682</w:t>
      </w:r>
    </w:p>
    <w:p>
      <w:pPr>
        <w:spacing w:line="400" w:lineRule="exact"/>
        <w:jc w:val="center"/>
        <w:rPr>
          <w:rFonts w:ascii="微软雅黑" w:hAnsi="微软雅黑" w:eastAsia="微软雅黑" w:cs="微软雅黑"/>
          <w:spacing w:val="-10"/>
          <w:sz w:val="32"/>
          <w:szCs w:val="32"/>
        </w:rPr>
      </w:pPr>
      <w:r>
        <w:rPr>
          <w:rFonts w:hint="eastAsia" w:ascii="微软雅黑" w:hAnsi="微软雅黑" w:eastAsia="微软雅黑" w:cs="微软雅黑"/>
        </w:rPr>
        <w:br w:type="page"/>
      </w:r>
      <w:r>
        <w:rPr>
          <w:rFonts w:hint="eastAsia" w:ascii="微软雅黑" w:hAnsi="微软雅黑" w:eastAsia="微软雅黑" w:cs="微软雅黑"/>
          <w:spacing w:val="-10"/>
          <w:sz w:val="32"/>
          <w:szCs w:val="32"/>
        </w:rPr>
        <w:t>第二章 竞争性磋商须知</w:t>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b/>
          <w:bCs/>
        </w:rPr>
        <w:t>一、总则</w:t>
      </w:r>
    </w:p>
    <w:p>
      <w:pPr>
        <w:autoSpaceDE w:val="0"/>
        <w:autoSpaceDN w:val="0"/>
        <w:adjustRightInd w:val="0"/>
        <w:snapToGrid w:val="0"/>
        <w:spacing w:line="460" w:lineRule="exact"/>
        <w:ind w:firstLine="420"/>
        <w:outlineLvl w:val="0"/>
        <w:rPr>
          <w:rFonts w:hint="eastAsia" w:ascii="宋体" w:hAnsi="宋体" w:eastAsia="宋体" w:cs="宋体"/>
        </w:rPr>
      </w:pPr>
      <w:r>
        <w:rPr>
          <w:rFonts w:hint="eastAsia" w:ascii="宋体" w:hAnsi="宋体" w:eastAsia="宋体" w:cs="宋体"/>
        </w:rPr>
        <w:t>1、适用法律</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1.1 《中华人民共和国政府采购法》、《中华人民共和国政府采购法实施条例》、《政府采购竞争性磋商采购方式管理暂行办法》等有关法律、规章和规定等。</w:t>
      </w:r>
    </w:p>
    <w:p>
      <w:pPr>
        <w:autoSpaceDE w:val="0"/>
        <w:autoSpaceDN w:val="0"/>
        <w:adjustRightInd w:val="0"/>
        <w:snapToGrid w:val="0"/>
        <w:spacing w:line="460" w:lineRule="exact"/>
        <w:ind w:firstLine="420"/>
        <w:outlineLvl w:val="0"/>
        <w:rPr>
          <w:rFonts w:hint="eastAsia" w:ascii="宋体" w:hAnsi="宋体" w:eastAsia="宋体" w:cs="宋体"/>
          <w:b/>
          <w:bCs/>
        </w:rPr>
      </w:pPr>
      <w:r>
        <w:rPr>
          <w:rFonts w:hint="eastAsia" w:ascii="宋体" w:hAnsi="宋体" w:eastAsia="宋体" w:cs="宋体"/>
          <w:b/>
          <w:bCs/>
        </w:rPr>
        <w:t>2、定义</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2.1 “</w:t>
      </w:r>
      <w:r>
        <w:rPr>
          <w:rFonts w:hint="eastAsia" w:ascii="宋体" w:hAnsi="宋体" w:eastAsia="宋体" w:cs="宋体"/>
          <w:b/>
          <w:bCs/>
        </w:rPr>
        <w:t>供应商</w:t>
      </w:r>
      <w:r>
        <w:rPr>
          <w:rFonts w:hint="eastAsia" w:ascii="宋体" w:hAnsi="宋体" w:eastAsia="宋体" w:cs="宋体"/>
        </w:rPr>
        <w:t>”是指参加磋商竞争，并符合采购文件规定资格条件的法人、其他组织或者自然人。</w:t>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rPr>
        <w:t xml:space="preserve">2.2 </w:t>
      </w:r>
      <w:r>
        <w:rPr>
          <w:rFonts w:hint="eastAsia" w:ascii="宋体" w:hAnsi="宋体" w:eastAsia="宋体" w:cs="宋体"/>
          <w:b/>
          <w:bCs/>
        </w:rPr>
        <w:t>“工程”</w:t>
      </w:r>
      <w:r>
        <w:rPr>
          <w:rFonts w:hint="eastAsia" w:ascii="宋体" w:hAnsi="宋体" w:eastAsia="宋体" w:cs="宋体"/>
        </w:rPr>
        <w:t>指本磋商文件中所述工程。</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2.3 “用户或使用单位”是指建设单位。</w:t>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b/>
          <w:bCs/>
        </w:rPr>
        <w:t>3、政策功能</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3.1 政府采购促进中小企业发展，小企业（含小型、微型企业）提供的产品和服务在评标时将获得优势，参加谈判的小企业，应当提供《中小企业声明函》（“中小企业划型标准”详见《关于印发中小企业划型标准规定的通知》工信部联企业〔2011〕300号</w:t>
      </w:r>
      <w:r>
        <w:rPr>
          <w:rFonts w:hint="eastAsia" w:ascii="宋体" w:hAnsi="宋体" w:eastAsia="宋体" w:cs="宋体"/>
        </w:rPr>
        <w:t>及</w:t>
      </w:r>
      <w:r>
        <w:rPr>
          <w:rFonts w:hint="eastAsia" w:ascii="宋体" w:hAnsi="宋体" w:eastAsia="宋体" w:cs="宋体"/>
          <w:lang w:val="zh-CN"/>
        </w:rPr>
        <w:t>《国家统计局印发的《统计上大中小微型企业划分办法（2017）》国统字〔2017〕213号。</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3.3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3.</w:t>
      </w:r>
      <w:r>
        <w:rPr>
          <w:rFonts w:hint="eastAsia" w:ascii="宋体" w:hAnsi="宋体" w:eastAsia="宋体" w:cs="宋体"/>
        </w:rPr>
        <w:t>5</w:t>
      </w:r>
      <w:r>
        <w:rPr>
          <w:rFonts w:hint="eastAsia" w:ascii="宋体" w:hAnsi="宋体" w:eastAsia="宋体" w:cs="宋体"/>
          <w:lang w:val="zh-CN"/>
        </w:rPr>
        <w:t xml:space="preserve"> 提供的产品属于政府强制采购节能产品的，供应商应当选择《节能产品政府采购清单》</w:t>
      </w:r>
      <w:r>
        <w:rPr>
          <w:rFonts w:hint="eastAsia" w:ascii="宋体" w:hAnsi="宋体" w:eastAsia="宋体" w:cs="宋体"/>
        </w:rPr>
        <w:t>最新版本及相关标准</w:t>
      </w:r>
      <w:r>
        <w:rPr>
          <w:rFonts w:hint="eastAsia" w:ascii="宋体" w:hAnsi="宋体" w:eastAsia="宋体" w:cs="宋体"/>
          <w:lang w:val="zh-CN"/>
        </w:rPr>
        <w:t>中</w:t>
      </w:r>
      <w:r>
        <w:rPr>
          <w:rFonts w:hint="eastAsia" w:ascii="宋体" w:hAnsi="宋体" w:eastAsia="宋体" w:cs="宋体"/>
        </w:rPr>
        <w:t>经国家</w:t>
      </w:r>
      <w:r>
        <w:rPr>
          <w:rFonts w:hint="eastAsia" w:ascii="宋体" w:hAnsi="宋体" w:eastAsia="宋体" w:cs="宋体"/>
          <w:lang w:val="zh-CN"/>
        </w:rPr>
        <w:t>认证的节能产品投标，并提供有效的节能产品认证证书复印件。</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3.</w:t>
      </w:r>
      <w:r>
        <w:rPr>
          <w:rFonts w:hint="eastAsia" w:ascii="宋体" w:hAnsi="宋体" w:eastAsia="宋体" w:cs="宋体"/>
        </w:rPr>
        <w:t>6</w:t>
      </w:r>
      <w:r>
        <w:rPr>
          <w:rFonts w:hint="eastAsia" w:ascii="宋体" w:hAnsi="宋体" w:eastAsia="宋体" w:cs="宋体"/>
          <w:lang w:val="zh-CN"/>
        </w:rPr>
        <w:t xml:space="preserve"> 提供的产品属于信息安全产品的，供应商应当选择《信息安全产品强制性认证目录》</w:t>
      </w:r>
      <w:r>
        <w:rPr>
          <w:rFonts w:hint="eastAsia" w:ascii="宋体" w:hAnsi="宋体" w:eastAsia="宋体" w:cs="宋体"/>
        </w:rPr>
        <w:t>最新版本及相关标准中</w:t>
      </w:r>
      <w:r>
        <w:rPr>
          <w:rFonts w:hint="eastAsia" w:ascii="宋体" w:hAnsi="宋体" w:eastAsia="宋体" w:cs="宋体"/>
          <w:lang w:val="zh-CN"/>
        </w:rPr>
        <w:t>经</w:t>
      </w:r>
      <w:r>
        <w:rPr>
          <w:rFonts w:hint="eastAsia" w:ascii="宋体" w:hAnsi="宋体" w:eastAsia="宋体" w:cs="宋体"/>
        </w:rPr>
        <w:t>国家</w:t>
      </w:r>
      <w:r>
        <w:rPr>
          <w:rFonts w:hint="eastAsia" w:ascii="宋体" w:hAnsi="宋体" w:eastAsia="宋体" w:cs="宋体"/>
          <w:lang w:val="zh-CN"/>
        </w:rPr>
        <w:t>认证的信息安全产品投标，并提供由中国信息安全认证中心按国家标准认证颁发的有效认证证书复印件。</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rPr>
        <w:t>3.7 提供的产品属于环境标志产品的，供应商应当选择《环境标志产品政府采购清单》</w:t>
      </w:r>
      <w:r>
        <w:rPr>
          <w:rFonts w:hint="eastAsia" w:ascii="宋体" w:hAnsi="宋体" w:eastAsia="宋体" w:cs="宋体"/>
          <w:lang w:val="zh-CN"/>
        </w:rPr>
        <w:t>最新版本及相关标准中</w:t>
      </w:r>
      <w:r>
        <w:rPr>
          <w:rFonts w:hint="eastAsia" w:ascii="宋体" w:hAnsi="宋体" w:eastAsia="宋体" w:cs="宋体"/>
        </w:rPr>
        <w:t>经国家</w:t>
      </w:r>
      <w:r>
        <w:rPr>
          <w:rFonts w:hint="eastAsia" w:ascii="宋体" w:hAnsi="宋体" w:eastAsia="宋体" w:cs="宋体"/>
          <w:lang w:val="zh-CN"/>
        </w:rPr>
        <w:t>认证的环境标志产品</w:t>
      </w:r>
      <w:r>
        <w:rPr>
          <w:rFonts w:hint="eastAsia" w:ascii="宋体" w:hAnsi="宋体" w:eastAsia="宋体" w:cs="宋体"/>
        </w:rPr>
        <w:t>投标，并提供有效的环境标志产品认证证书复印件</w:t>
      </w:r>
      <w:r>
        <w:rPr>
          <w:rFonts w:hint="eastAsia" w:ascii="宋体" w:hAnsi="宋体" w:eastAsia="宋体" w:cs="宋体"/>
          <w:lang w:val="zh-CN"/>
        </w:rPr>
        <w:t>。</w:t>
      </w:r>
    </w:p>
    <w:p>
      <w:pPr>
        <w:autoSpaceDE w:val="0"/>
        <w:autoSpaceDN w:val="0"/>
        <w:adjustRightInd w:val="0"/>
        <w:snapToGrid w:val="0"/>
        <w:spacing w:line="460" w:lineRule="exact"/>
        <w:ind w:firstLine="420"/>
        <w:outlineLvl w:val="0"/>
        <w:rPr>
          <w:rFonts w:hint="eastAsia" w:ascii="宋体" w:hAnsi="宋体" w:eastAsia="宋体" w:cs="宋体"/>
          <w:b/>
          <w:bCs/>
        </w:rPr>
      </w:pPr>
      <w:r>
        <w:rPr>
          <w:rFonts w:hint="eastAsia" w:ascii="宋体" w:hAnsi="宋体" w:eastAsia="宋体" w:cs="宋体"/>
          <w:b/>
          <w:bCs/>
        </w:rPr>
        <w:t>4、磋商费用</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4.1 供应商应承担所有与准备和参加磋商有关的费用，无论采购结果如何，代理机构和采购人在任何情况下均无义务和责任承担这些费用。</w:t>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b/>
          <w:bCs/>
        </w:rPr>
        <w:t>4.2 本次磋商的专家评审费由成交人支付，供应商自行考虑进投标报价中。</w:t>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b/>
          <w:bCs/>
        </w:rPr>
        <w:t>二、响应文件编制</w:t>
      </w:r>
    </w:p>
    <w:p>
      <w:pPr>
        <w:spacing w:line="400" w:lineRule="exact"/>
        <w:ind w:firstLine="420" w:firstLineChars="200"/>
        <w:rPr>
          <w:rFonts w:hint="eastAsia" w:ascii="宋体" w:hAnsi="宋体" w:eastAsia="宋体" w:cs="宋体"/>
        </w:rPr>
      </w:pPr>
      <w:r>
        <w:rPr>
          <w:rFonts w:hint="eastAsia" w:ascii="宋体" w:hAnsi="宋体" w:eastAsia="宋体" w:cs="宋体"/>
        </w:rPr>
        <w:t>5、供应商应当按照磋商文件的要求编制响应文件，并对其提交的响应文件真实性、合法性承担法律责任。</w:t>
      </w:r>
    </w:p>
    <w:p>
      <w:pPr>
        <w:spacing w:line="400" w:lineRule="exact"/>
        <w:ind w:firstLine="420" w:firstLineChars="200"/>
        <w:rPr>
          <w:rFonts w:hint="eastAsia" w:ascii="宋体" w:hAnsi="宋体" w:eastAsia="宋体" w:cs="宋体"/>
          <w:b w:val="0"/>
          <w:bCs w:val="0"/>
        </w:rPr>
      </w:pPr>
      <w:r>
        <w:rPr>
          <w:rFonts w:hint="eastAsia" w:ascii="宋体" w:hAnsi="宋体" w:eastAsia="宋体" w:cs="宋体"/>
          <w:b w:val="0"/>
          <w:bCs w:val="0"/>
        </w:rPr>
        <w:t>5.1、纸质响应文件须密封，正本和副本须密封于一个密封袋内。</w:t>
      </w:r>
    </w:p>
    <w:p>
      <w:pPr>
        <w:spacing w:line="400" w:lineRule="exact"/>
        <w:ind w:firstLine="420" w:firstLineChars="200"/>
        <w:rPr>
          <w:rFonts w:hint="eastAsia" w:ascii="宋体" w:hAnsi="宋体" w:eastAsia="宋体" w:cs="宋体"/>
          <w:b w:val="0"/>
          <w:bCs w:val="0"/>
        </w:rPr>
      </w:pPr>
      <w:r>
        <w:rPr>
          <w:rFonts w:hint="eastAsia" w:ascii="宋体" w:hAnsi="宋体" w:eastAsia="宋体" w:cs="宋体"/>
          <w:b w:val="0"/>
          <w:bCs w:val="0"/>
        </w:rPr>
        <w:t>5.2、未按本章要求密封和加写标记的响应文件，采购人或代理机构将不予受理。</w:t>
      </w:r>
    </w:p>
    <w:p>
      <w:pPr>
        <w:spacing w:line="400" w:lineRule="exact"/>
        <w:ind w:firstLine="420" w:firstLineChars="200"/>
        <w:rPr>
          <w:rFonts w:hint="eastAsia" w:ascii="宋体" w:hAnsi="宋体" w:eastAsia="宋体" w:cs="宋体"/>
        </w:rPr>
      </w:pPr>
      <w:r>
        <w:rPr>
          <w:rFonts w:hint="eastAsia" w:ascii="宋体" w:hAnsi="宋体" w:eastAsia="宋体" w:cs="宋体"/>
        </w:rPr>
        <w:t>5.3、因响应文件迟到或其他原因宣布不能接受该响应文件时，响应文件当面原封退回供应商。</w:t>
      </w:r>
    </w:p>
    <w:p>
      <w:pPr>
        <w:spacing w:line="400" w:lineRule="exact"/>
        <w:ind w:firstLine="420" w:firstLineChars="200"/>
        <w:rPr>
          <w:rFonts w:hint="eastAsia" w:ascii="宋体" w:hAnsi="宋体" w:eastAsia="宋体" w:cs="宋体"/>
        </w:rPr>
      </w:pPr>
      <w:r>
        <w:rPr>
          <w:rFonts w:hint="eastAsia" w:ascii="宋体" w:hAnsi="宋体" w:eastAsia="宋体" w:cs="宋体"/>
        </w:rPr>
        <w:t>5.4、如果因响应文件迟到或提交前遗失、或因密封不严、标记不明而造成过早启封、失密等情况，采购人概不负责。</w:t>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b/>
          <w:bCs/>
        </w:rPr>
        <w:t>6、响应文件的语言、计量单位、货币和编制</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6.1 提交的响应文件、技术文件和资料，包括清单中的说明，以及供应商与代理机构就有关磋商的所有来往函电均应使用中文。响应文件中若有英文或其他语言文字的资料，应提供相应的中文翻译资料。对不同文本响应文件的解释发生异议的，以中文文本为准。</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6.2 供应商所使用的计量单位应为国家法定计量单位。</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6.3 供应商应用人民币报价。</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6.4 响应文件应字迹清楚、内容齐全、不得涂改。如有修改，修改处须有供应商公章或法定代表人或其授权磋商代表签字。</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6.5 响应文件应按照磋商文件规定的顺序，统一用A4规格幅面打印、装订成册并编制目录，由于编排混乱导致磋商文件被误读或查找不到，责任由供应商承担。</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6.6 响应文件不得跳页（包括但不限于授权、证明材料等）。</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6.7 供应商应在响应文件中写清相应的项目编号、项目名称、供应商名称、地址、电话、传真等。</w:t>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b/>
          <w:bCs/>
        </w:rPr>
        <w:t>7、响应文件的组成</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7.1 供应商应当根据磋商文件要求编制响应文件，并根据自己的商务能力、技术水平对磋商文件提出的要求和条件逐条标明是否响应。响应文件由商务部分、技术部分、价格部分，以及其他部分组成。</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 xml:space="preserve">7.2 </w:t>
      </w:r>
      <w:r>
        <w:rPr>
          <w:rFonts w:hint="eastAsia" w:ascii="宋体" w:hAnsi="宋体" w:eastAsia="宋体" w:cs="宋体"/>
          <w:b/>
          <w:bCs/>
        </w:rPr>
        <w:t>响应文件的商务部分。</w:t>
      </w:r>
      <w:r>
        <w:rPr>
          <w:rFonts w:hint="eastAsia" w:ascii="宋体" w:hAnsi="宋体" w:eastAsia="宋体" w:cs="宋体"/>
        </w:rPr>
        <w:t>商务部分是证明供应商有资格参加磋商和成交后有能力履行合同的文件，这些文件应能满足竞争性磋商采购文件的要求，包括但不限于下列文件，其中加“★”项目不得有缺失或无效：</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（1）★ 竞争性磋商申请及声明；</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kern w:val="0"/>
        </w:rPr>
        <w:t>法定代表人证明书及法人身份证复印件或</w:t>
      </w:r>
      <w:r>
        <w:rPr>
          <w:rFonts w:hint="eastAsia" w:ascii="宋体" w:hAnsi="宋体" w:eastAsia="宋体" w:cs="宋体"/>
          <w:kern w:val="0"/>
          <w:lang w:val="zh-CN"/>
        </w:rPr>
        <w:t>法定代表人授权委托书及</w:t>
      </w:r>
      <w:r>
        <w:rPr>
          <w:rFonts w:hint="eastAsia" w:ascii="宋体" w:hAnsi="宋体" w:eastAsia="宋体" w:cs="宋体"/>
          <w:kern w:val="0"/>
        </w:rPr>
        <w:t>被</w:t>
      </w:r>
      <w:r>
        <w:rPr>
          <w:rFonts w:hint="eastAsia" w:ascii="宋体" w:hAnsi="宋体" w:eastAsia="宋体" w:cs="宋体"/>
          <w:kern w:val="0"/>
          <w:lang w:val="zh-CN"/>
        </w:rPr>
        <w:t>委托人的身份证复印件（</w:t>
      </w:r>
      <w:r>
        <w:rPr>
          <w:rFonts w:hint="eastAsia" w:ascii="宋体" w:hAnsi="宋体" w:eastAsia="宋体" w:cs="宋体"/>
          <w:kern w:val="0"/>
        </w:rPr>
        <w:t>法人出席磋商提供法定代表人证明书及法人身份证复印件，代理人出席磋商提供</w:t>
      </w:r>
      <w:r>
        <w:rPr>
          <w:rFonts w:hint="eastAsia" w:ascii="宋体" w:hAnsi="宋体" w:eastAsia="宋体" w:cs="宋体"/>
          <w:kern w:val="0"/>
          <w:lang w:val="zh-CN"/>
        </w:rPr>
        <w:t>法定代表人授权委托书及</w:t>
      </w:r>
      <w:r>
        <w:rPr>
          <w:rFonts w:hint="eastAsia" w:ascii="宋体" w:hAnsi="宋体" w:eastAsia="宋体" w:cs="宋体"/>
          <w:kern w:val="0"/>
        </w:rPr>
        <w:t>被</w:t>
      </w:r>
      <w:r>
        <w:rPr>
          <w:rFonts w:hint="eastAsia" w:ascii="宋体" w:hAnsi="宋体" w:eastAsia="宋体" w:cs="宋体"/>
          <w:kern w:val="0"/>
          <w:lang w:val="zh-CN"/>
        </w:rPr>
        <w:t>委托人的身份证复印件，</w:t>
      </w:r>
      <w:r>
        <w:rPr>
          <w:rFonts w:hint="eastAsia" w:ascii="宋体" w:hAnsi="宋体" w:eastAsia="宋体" w:cs="宋体"/>
          <w:kern w:val="0"/>
        </w:rPr>
        <w:t>身份证原件现场核查</w:t>
      </w:r>
      <w:r>
        <w:rPr>
          <w:rFonts w:hint="eastAsia" w:ascii="宋体" w:hAnsi="宋体" w:eastAsia="宋体" w:cs="宋体"/>
          <w:kern w:val="0"/>
          <w:lang w:val="zh-CN"/>
        </w:rPr>
        <w:t>）</w:t>
      </w:r>
      <w:r>
        <w:rPr>
          <w:rFonts w:hint="eastAsia" w:ascii="宋体" w:hAnsi="宋体" w:eastAsia="宋体" w:cs="宋体"/>
        </w:rPr>
        <w:t xml:space="preserve">； </w:t>
      </w:r>
    </w:p>
    <w:p>
      <w:pPr>
        <w:autoSpaceDE w:val="0"/>
        <w:autoSpaceDN w:val="0"/>
        <w:adjustRightInd w:val="0"/>
        <w:snapToGrid w:val="0"/>
        <w:spacing w:line="460" w:lineRule="exact"/>
        <w:ind w:firstLine="420"/>
        <w:rPr>
          <w:rFonts w:hint="eastAsia" w:ascii="宋体" w:hAnsi="宋体" w:eastAsia="宋体" w:cs="宋体"/>
          <w:lang w:eastAsia="zh-CN"/>
        </w:rPr>
      </w:pPr>
      <w:r>
        <w:rPr>
          <w:rFonts w:hint="eastAsia" w:ascii="宋体" w:hAnsi="宋体" w:cs="微软雅黑"/>
          <w:color w:val="000000"/>
        </w:rPr>
        <w:t>（3）★报价一览表</w:t>
      </w:r>
      <w:r>
        <w:rPr>
          <w:rFonts w:hint="eastAsia" w:ascii="宋体" w:hAnsi="宋体" w:cs="微软雅黑"/>
          <w:color w:val="000000"/>
          <w:lang w:eastAsia="zh-CN"/>
        </w:rPr>
        <w:t>；</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 满足</w:t>
      </w:r>
      <w:r>
        <w:rPr>
          <w:rFonts w:hint="eastAsia" w:ascii="宋体" w:hAnsi="宋体" w:eastAsia="宋体" w:cs="宋体"/>
          <w:lang w:val="zh-CN"/>
        </w:rPr>
        <w:t>申请人的资格要求证明文件</w:t>
      </w:r>
      <w:r>
        <w:rPr>
          <w:rFonts w:hint="eastAsia" w:ascii="宋体" w:hAnsi="宋体" w:eastAsia="宋体" w:cs="宋体"/>
        </w:rPr>
        <w:t>；</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cs="宋体"/>
          <w:b/>
          <w:kern w:val="0"/>
        </w:rPr>
        <w:t xml:space="preserve">★ </w:t>
      </w:r>
      <w:r>
        <w:rPr>
          <w:rFonts w:hint="eastAsia" w:ascii="宋体" w:hAnsi="宋体" w:eastAsia="宋体" w:cs="宋体"/>
        </w:rPr>
        <w:t>南京市政府采购供应商信用记录表；</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）《商务条款偏离表》；</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7</w:t>
      </w:r>
      <w:r>
        <w:rPr>
          <w:rFonts w:hint="eastAsia" w:ascii="宋体" w:hAnsi="宋体" w:eastAsia="宋体" w:cs="宋体"/>
        </w:rPr>
        <w:t>） 供应商认为需要提供的其他资格证明文件和商务资料。</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 xml:space="preserve">7.3 </w:t>
      </w:r>
      <w:r>
        <w:rPr>
          <w:rFonts w:hint="eastAsia" w:ascii="宋体" w:hAnsi="宋体" w:eastAsia="宋体" w:cs="宋体"/>
          <w:b/>
          <w:bCs/>
        </w:rPr>
        <w:t>响应文件的技术部分。</w:t>
      </w:r>
      <w:r>
        <w:rPr>
          <w:rFonts w:hint="eastAsia" w:ascii="宋体" w:hAnsi="宋体" w:eastAsia="宋体" w:cs="宋体"/>
        </w:rPr>
        <w:t>技术部分是证明供应商提供的工程量清单符合磋商文件要求，以及对施工方案的详细说明，这些文件可以是文字资料、图纸和数据等。包括但不限于下列文件，其中加“★”项目不得有缺失或无效：</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（1）</w:t>
      </w:r>
      <w:r>
        <w:rPr>
          <w:rFonts w:hint="eastAsia" w:ascii="宋体" w:hAnsi="宋体" w:eastAsia="宋体" w:cs="宋体"/>
          <w:b/>
          <w:kern w:val="0"/>
        </w:rPr>
        <w:t>★</w:t>
      </w:r>
      <w:r>
        <w:rPr>
          <w:rFonts w:hint="eastAsia" w:ascii="宋体" w:hAnsi="宋体" w:eastAsia="宋体" w:cs="宋体"/>
        </w:rPr>
        <w:t>工程量清单；</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（2）</w:t>
      </w:r>
      <w:r>
        <w:rPr>
          <w:rFonts w:hint="eastAsia" w:ascii="宋体" w:hAnsi="宋体" w:cs="微软雅黑"/>
          <w:color w:val="000000"/>
        </w:rPr>
        <w:t>项目实施方案</w:t>
      </w:r>
      <w:r>
        <w:rPr>
          <w:rFonts w:hint="eastAsia" w:ascii="宋体" w:hAnsi="宋体" w:eastAsia="宋体" w:cs="宋体"/>
        </w:rPr>
        <w:t>；</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（3）</w:t>
      </w:r>
      <w:r>
        <w:rPr>
          <w:rFonts w:hint="eastAsia" w:ascii="宋体" w:hAnsi="宋体" w:cs="微软雅黑"/>
          <w:color w:val="000000"/>
        </w:rPr>
        <w:t>服务承诺</w:t>
      </w:r>
      <w:r>
        <w:rPr>
          <w:rFonts w:hint="eastAsia" w:ascii="宋体" w:hAnsi="宋体" w:eastAsia="宋体" w:cs="宋体"/>
        </w:rPr>
        <w:t>；</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（4）供应商认为需要提供的其他技术资料。</w:t>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rPr>
        <w:t xml:space="preserve">7.4 </w:t>
      </w:r>
      <w:r>
        <w:rPr>
          <w:rFonts w:hint="eastAsia" w:ascii="宋体" w:hAnsi="宋体" w:eastAsia="宋体" w:cs="宋体"/>
          <w:b/>
          <w:bCs/>
        </w:rPr>
        <w:t>响应文件的价格部分</w:t>
      </w:r>
    </w:p>
    <w:p>
      <w:pPr>
        <w:autoSpaceDE w:val="0"/>
        <w:autoSpaceDN w:val="0"/>
        <w:adjustRightInd w:val="0"/>
        <w:snapToGrid w:val="0"/>
        <w:spacing w:line="360" w:lineRule="auto"/>
        <w:ind w:firstLine="420" w:firstLineChars="200"/>
        <w:rPr>
          <w:rFonts w:hint="eastAsia" w:ascii="宋体" w:hAnsi="宋体" w:cs="微软雅黑"/>
          <w:color w:val="000000"/>
        </w:rPr>
      </w:pPr>
      <w:r>
        <w:rPr>
          <w:rFonts w:hint="eastAsia" w:ascii="宋体" w:hAnsi="宋体" w:cs="微软雅黑"/>
          <w:color w:val="000000"/>
        </w:rPr>
        <w:t>7.4.1 价格部分是对投标服务价格构成的说明，招标文件没有特别说明的，每一项服务仅接受一个投标报价。</w:t>
      </w:r>
    </w:p>
    <w:p>
      <w:pPr>
        <w:autoSpaceDE w:val="0"/>
        <w:autoSpaceDN w:val="0"/>
        <w:adjustRightInd w:val="0"/>
        <w:snapToGrid w:val="0"/>
        <w:spacing w:line="360" w:lineRule="auto"/>
        <w:ind w:firstLine="420" w:firstLineChars="200"/>
        <w:rPr>
          <w:rFonts w:hint="eastAsia" w:ascii="宋体" w:hAnsi="宋体" w:cs="微软雅黑"/>
          <w:color w:val="000000"/>
        </w:rPr>
      </w:pPr>
      <w:r>
        <w:rPr>
          <w:rFonts w:hint="eastAsia" w:ascii="宋体" w:hAnsi="宋体" w:cs="微软雅黑"/>
          <w:color w:val="000000"/>
        </w:rPr>
        <w:t>7.4.2 供应商的投标报价是磋商文件所确定的采购范围内的全部服务发生的价格体现。供应商的报价应该包含所有含税费用、支付给员工的工资和国家强制缴纳的各种社会保障资金，以及供应商认为需要的其他费用等。</w:t>
      </w:r>
    </w:p>
    <w:p>
      <w:pPr>
        <w:autoSpaceDE w:val="0"/>
        <w:autoSpaceDN w:val="0"/>
        <w:adjustRightInd w:val="0"/>
        <w:snapToGrid w:val="0"/>
        <w:spacing w:line="360" w:lineRule="auto"/>
        <w:ind w:firstLine="420" w:firstLineChars="200"/>
        <w:rPr>
          <w:rFonts w:hint="eastAsia" w:ascii="宋体" w:hAnsi="宋体" w:cs="微软雅黑"/>
          <w:color w:val="000000"/>
        </w:rPr>
      </w:pPr>
      <w:r>
        <w:rPr>
          <w:rFonts w:hint="eastAsia" w:ascii="宋体" w:hAnsi="宋体" w:cs="微软雅黑"/>
          <w:color w:val="000000"/>
        </w:rPr>
        <w:t>7.4.3 供应商的任何错漏、优惠、竞争性报价不得作为减轻责任、减少服务、增加收费、降低质量的理由。</w:t>
      </w:r>
    </w:p>
    <w:p>
      <w:pPr>
        <w:autoSpaceDE w:val="0"/>
        <w:autoSpaceDN w:val="0"/>
        <w:adjustRightInd w:val="0"/>
        <w:snapToGrid w:val="0"/>
        <w:spacing w:line="360" w:lineRule="auto"/>
        <w:ind w:firstLine="420" w:firstLineChars="200"/>
        <w:rPr>
          <w:rFonts w:hint="eastAsia" w:ascii="宋体" w:hAnsi="宋体" w:cs="微软雅黑"/>
          <w:color w:val="000000"/>
        </w:rPr>
      </w:pPr>
      <w:r>
        <w:rPr>
          <w:rFonts w:hint="eastAsia" w:ascii="宋体" w:hAnsi="宋体" w:cs="微软雅黑"/>
          <w:color w:val="000000"/>
        </w:rPr>
        <w:t>7.4.4 本项目采用固定单价合同，结算时投标单价不变，工作量按实调整。供应商应充分考虑到市场价格变动，以及项目实施过程中的不可预见因素，如果有漏项，在投标答疑中提出，否则视同让利。</w:t>
      </w:r>
    </w:p>
    <w:p>
      <w:pPr>
        <w:autoSpaceDE w:val="0"/>
        <w:autoSpaceDN w:val="0"/>
        <w:adjustRightInd w:val="0"/>
        <w:snapToGrid w:val="0"/>
        <w:spacing w:line="360" w:lineRule="auto"/>
        <w:ind w:firstLine="420" w:firstLineChars="200"/>
        <w:rPr>
          <w:rFonts w:ascii="宋体" w:hAnsi="宋体" w:cs="微软雅黑"/>
          <w:color w:val="000000"/>
        </w:rPr>
      </w:pPr>
      <w:r>
        <w:rPr>
          <w:rFonts w:hint="eastAsia" w:ascii="宋体" w:hAnsi="宋体" w:cs="微软雅黑"/>
          <w:color w:val="000000"/>
        </w:rPr>
        <w:t>7</w:t>
      </w:r>
      <w:r>
        <w:rPr>
          <w:rFonts w:ascii="宋体" w:hAnsi="宋体" w:cs="微软雅黑"/>
          <w:color w:val="000000"/>
        </w:rPr>
        <w:t xml:space="preserve">.4.5 </w:t>
      </w:r>
      <w:r>
        <w:rPr>
          <w:rFonts w:hint="eastAsia" w:ascii="宋体" w:hAnsi="宋体" w:cs="微软雅黑"/>
          <w:color w:val="000000"/>
        </w:rPr>
        <w:t>经磋商后，如果成交价低于供应商在响应文件报价的话，除特别注明外，分项报价同比例调整。</w:t>
      </w:r>
    </w:p>
    <w:p>
      <w:pPr>
        <w:autoSpaceDE w:val="0"/>
        <w:autoSpaceDN w:val="0"/>
        <w:adjustRightInd w:val="0"/>
        <w:snapToGrid w:val="0"/>
        <w:spacing w:line="360" w:lineRule="auto"/>
        <w:ind w:firstLine="420" w:firstLineChars="200"/>
        <w:rPr>
          <w:rFonts w:hint="eastAsia" w:ascii="宋体" w:hAnsi="宋体" w:cs="微软雅黑"/>
          <w:color w:val="000000"/>
        </w:rPr>
      </w:pPr>
      <w:r>
        <w:rPr>
          <w:rFonts w:hint="eastAsia" w:ascii="宋体" w:hAnsi="宋体" w:cs="微软雅黑"/>
          <w:color w:val="000000"/>
        </w:rPr>
        <w:t>7</w:t>
      </w:r>
      <w:r>
        <w:rPr>
          <w:rFonts w:ascii="宋体" w:hAnsi="宋体" w:cs="微软雅黑"/>
          <w:color w:val="000000"/>
        </w:rPr>
        <w:t xml:space="preserve">.4.6 </w:t>
      </w:r>
      <w:r>
        <w:rPr>
          <w:rFonts w:hint="eastAsia" w:ascii="宋体" w:hAnsi="宋体" w:cs="微软雅黑"/>
          <w:color w:val="000000"/>
        </w:rPr>
        <w:t>磋商小组认为供应商的报价明显低于其他通过符合性审查的供应商的报价，有可能影响产品质量或者不能诚信履约的，应当要求其在评标现场合理的时间内提供书面说明，必要时提交相关证明材料；供应商不能证明其报价合理性的，磋商小组应当将其作为无效投标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微软雅黑"/>
          <w:color w:val="000000"/>
        </w:rPr>
      </w:pPr>
      <w:r>
        <w:rPr>
          <w:rFonts w:hint="eastAsia" w:ascii="宋体" w:hAnsi="宋体" w:cs="微软雅黑"/>
          <w:color w:val="000000"/>
        </w:rPr>
        <w:t>7.4.</w:t>
      </w:r>
      <w:r>
        <w:rPr>
          <w:rFonts w:ascii="宋体" w:hAnsi="宋体" w:cs="微软雅黑"/>
          <w:color w:val="000000"/>
        </w:rPr>
        <w:t>7</w:t>
      </w:r>
      <w:r>
        <w:rPr>
          <w:rFonts w:hint="eastAsia" w:ascii="宋体" w:hAnsi="宋体" w:cs="微软雅黑"/>
          <w:color w:val="000000"/>
        </w:rPr>
        <w:t xml:space="preserve"> 供应商应在《报价一览表》、《分项报价表》标明提供服务的单价、总价以及分项报价。供应商提供小企业（含小型、微型企业）、残疾人福利性单位、监狱企业承担的服务的，须在《报价一览表》中注明，供应商应当如实申报，否则磋商小组有权取消其小微企业、残疾人福利性单位、监狱企业优惠政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cs="微软雅黑"/>
          <w:color w:val="000000"/>
        </w:rPr>
        <w:t>7.4.</w:t>
      </w:r>
      <w:r>
        <w:rPr>
          <w:rFonts w:ascii="宋体" w:hAnsi="宋体" w:cs="微软雅黑"/>
          <w:color w:val="000000"/>
        </w:rPr>
        <w:t>8</w:t>
      </w:r>
      <w:r>
        <w:rPr>
          <w:rFonts w:hint="eastAsia" w:ascii="宋体" w:hAnsi="宋体" w:cs="微软雅黑"/>
          <w:color w:val="000000"/>
        </w:rPr>
        <w:t xml:space="preserve"> 《报价一览表》需加盖公章后置于响应文件首页。</w:t>
      </w:r>
    </w:p>
    <w:p>
      <w:pPr>
        <w:keepNext w:val="0"/>
        <w:keepLines w:val="0"/>
        <w:pageBreakBefore w:val="0"/>
        <w:widowControl w:val="0"/>
        <w:kinsoku/>
        <w:wordWrap/>
        <w:overflowPunct/>
        <w:topLinePunct w:val="0"/>
        <w:autoSpaceDE w:val="0"/>
        <w:autoSpaceDN w:val="0"/>
        <w:bidi w:val="0"/>
        <w:adjustRightInd w:val="0"/>
        <w:snapToGrid w:val="0"/>
        <w:spacing w:line="360" w:lineRule="auto"/>
        <w:ind w:left="315" w:leftChars="150" w:firstLine="105" w:firstLineChars="50"/>
        <w:textAlignment w:val="auto"/>
        <w:rPr>
          <w:rFonts w:hint="eastAsia" w:ascii="宋体" w:hAnsi="宋体" w:eastAsia="宋体" w:cs="宋体"/>
        </w:rPr>
      </w:pPr>
      <w:r>
        <w:rPr>
          <w:rFonts w:hint="eastAsia" w:ascii="宋体" w:hAnsi="宋体" w:eastAsia="宋体" w:cs="宋体"/>
        </w:rPr>
        <w:t xml:space="preserve">7.5 </w:t>
      </w:r>
      <w:r>
        <w:rPr>
          <w:rFonts w:hint="eastAsia" w:ascii="宋体" w:hAnsi="宋体" w:eastAsia="宋体" w:cs="宋体"/>
          <w:b/>
          <w:bCs/>
        </w:rPr>
        <w:t>响应文件的其他部分。</w:t>
      </w:r>
      <w:r>
        <w:rPr>
          <w:rFonts w:hint="eastAsia" w:ascii="宋体" w:hAnsi="宋体" w:eastAsia="宋体" w:cs="宋体"/>
        </w:rPr>
        <w:t>其他部分由供应商根据编制响应文件需要提供的其他相关文件。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rPr>
      </w:pPr>
      <w:r>
        <w:rPr>
          <w:rFonts w:hint="eastAsia" w:ascii="宋体" w:hAnsi="宋体" w:eastAsia="宋体" w:cs="宋体"/>
          <w:b/>
          <w:bCs/>
        </w:rPr>
        <w:t>8、磋商保证金 （本项目不收取）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outlineLvl w:val="0"/>
        <w:rPr>
          <w:rFonts w:hint="eastAsia" w:ascii="宋体" w:hAnsi="宋体" w:eastAsia="宋体" w:cs="宋体"/>
          <w:b/>
          <w:bCs/>
        </w:rPr>
      </w:pPr>
      <w:r>
        <w:rPr>
          <w:rFonts w:hint="eastAsia" w:ascii="宋体" w:hAnsi="宋体" w:eastAsia="宋体" w:cs="宋体"/>
          <w:b/>
          <w:bCs/>
        </w:rPr>
        <w:t>三、响应文件签署与提交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b/>
          <w:bCs/>
        </w:rPr>
      </w:pPr>
      <w:r>
        <w:rPr>
          <w:rFonts w:hint="eastAsia" w:ascii="宋体" w:hAnsi="宋体" w:eastAsia="宋体" w:cs="宋体"/>
          <w:b/>
          <w:bCs/>
        </w:rPr>
        <w:t>9、响应文件签署</w:t>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rPr>
        <w:t>9.1 响应文件应由供应商法定代表人或授权代表签字，并加盖公章。</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9.2 供应商应当在磋商文件要求提交响应文件的截止时间前，将响应文件密封送达指定地点。</w:t>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rPr>
        <w:t xml:space="preserve">9.3 </w:t>
      </w:r>
      <w:r>
        <w:rPr>
          <w:rFonts w:hint="eastAsia" w:ascii="宋体" w:hAnsi="宋体" w:eastAsia="宋体" w:cs="宋体"/>
          <w:b/>
          <w:bCs/>
        </w:rPr>
        <w:t>有下列情形之一的响应文件将拒收：</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（1）在磋商文件要求提交响应文件的截止时间之后送达的；</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（2）未按竞争性磋商邀请规定的份数递交磋商响应文件的。</w:t>
      </w:r>
    </w:p>
    <w:p>
      <w:pPr>
        <w:autoSpaceDE w:val="0"/>
        <w:autoSpaceDN w:val="0"/>
        <w:adjustRightInd w:val="0"/>
        <w:snapToGrid w:val="0"/>
        <w:spacing w:line="460" w:lineRule="exact"/>
        <w:ind w:firstLine="420"/>
        <w:outlineLvl w:val="0"/>
        <w:rPr>
          <w:rFonts w:hint="eastAsia" w:ascii="宋体" w:hAnsi="宋体" w:eastAsia="宋体" w:cs="宋体"/>
          <w:b/>
          <w:bCs/>
        </w:rPr>
      </w:pPr>
      <w:r>
        <w:rPr>
          <w:rFonts w:hint="eastAsia" w:ascii="宋体" w:hAnsi="宋体" w:eastAsia="宋体" w:cs="宋体"/>
          <w:b/>
          <w:bCs/>
        </w:rPr>
        <w:t>四、磋商</w:t>
      </w:r>
    </w:p>
    <w:p>
      <w:pPr>
        <w:autoSpaceDE w:val="0"/>
        <w:autoSpaceDN w:val="0"/>
        <w:adjustRightInd w:val="0"/>
        <w:snapToGrid w:val="0"/>
        <w:spacing w:line="460" w:lineRule="exact"/>
        <w:ind w:firstLine="420"/>
        <w:outlineLvl w:val="0"/>
        <w:rPr>
          <w:rFonts w:hint="eastAsia" w:ascii="宋体" w:hAnsi="宋体" w:eastAsia="宋体" w:cs="宋体"/>
          <w:b/>
          <w:bCs/>
          <w:lang w:val="zh-CN"/>
        </w:rPr>
      </w:pPr>
      <w:r>
        <w:rPr>
          <w:rFonts w:hint="eastAsia" w:ascii="宋体" w:hAnsi="宋体" w:eastAsia="宋体" w:cs="宋体"/>
          <w:b/>
          <w:bCs/>
          <w:lang w:val="zh-CN"/>
        </w:rPr>
        <w:t>10、联合体（本项目不接受）</w:t>
      </w:r>
    </w:p>
    <w:p>
      <w:pPr>
        <w:autoSpaceDE w:val="0"/>
        <w:autoSpaceDN w:val="0"/>
        <w:adjustRightInd w:val="0"/>
        <w:snapToGrid w:val="0"/>
        <w:spacing w:line="460" w:lineRule="exact"/>
        <w:ind w:firstLine="420"/>
        <w:rPr>
          <w:rFonts w:hint="eastAsia" w:ascii="宋体" w:hAnsi="宋体" w:eastAsia="宋体" w:cs="宋体"/>
          <w:b/>
          <w:lang w:val="zh-CN"/>
        </w:rPr>
      </w:pPr>
      <w:r>
        <w:rPr>
          <w:rFonts w:hint="eastAsia" w:ascii="宋体" w:hAnsi="宋体" w:eastAsia="宋体" w:cs="宋体"/>
          <w:b/>
          <w:lang w:val="zh-CN"/>
        </w:rPr>
        <w:t>11、磋商组织</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11.1 在提交响应文件时间截止后，</w:t>
      </w:r>
      <w:r>
        <w:rPr>
          <w:rFonts w:hint="eastAsia" w:ascii="宋体" w:hAnsi="宋体" w:eastAsia="宋体" w:cs="宋体"/>
        </w:rPr>
        <w:t>代理机构</w:t>
      </w:r>
      <w:r>
        <w:rPr>
          <w:rFonts w:hint="eastAsia" w:ascii="宋体" w:hAnsi="宋体" w:eastAsia="宋体" w:cs="宋体"/>
          <w:lang w:val="zh-CN"/>
        </w:rPr>
        <w:t>在规定的时间和地点组织磋商小组分别与供应商进行磋商。</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11.2 磋商工作由</w:t>
      </w:r>
      <w:r>
        <w:rPr>
          <w:rFonts w:hint="eastAsia" w:ascii="宋体" w:hAnsi="宋体" w:eastAsia="宋体" w:cs="宋体"/>
        </w:rPr>
        <w:t>代理机构</w:t>
      </w:r>
      <w:r>
        <w:rPr>
          <w:rFonts w:hint="eastAsia" w:ascii="宋体" w:hAnsi="宋体" w:eastAsia="宋体" w:cs="宋体"/>
          <w:lang w:val="zh-CN"/>
        </w:rPr>
        <w:t>负责组织，具体磋商事务由依法组建的磋商小组负责。</w:t>
      </w:r>
    </w:p>
    <w:p>
      <w:pPr>
        <w:autoSpaceDE w:val="0"/>
        <w:autoSpaceDN w:val="0"/>
        <w:adjustRightInd w:val="0"/>
        <w:snapToGrid w:val="0"/>
        <w:spacing w:line="460" w:lineRule="exact"/>
        <w:ind w:firstLine="420"/>
        <w:rPr>
          <w:rFonts w:hint="eastAsia" w:ascii="宋体" w:hAnsi="宋体" w:eastAsia="宋体" w:cs="宋体"/>
          <w:b/>
          <w:lang w:val="zh-CN"/>
        </w:rPr>
      </w:pPr>
      <w:r>
        <w:rPr>
          <w:rFonts w:hint="eastAsia" w:ascii="宋体" w:hAnsi="宋体" w:eastAsia="宋体" w:cs="宋体"/>
          <w:b/>
          <w:lang w:val="zh-CN"/>
        </w:rPr>
        <w:t>12、磋商程序</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12.1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12.2 磋商小组所有成员集中与单一供应商分别进行磋商，所有参加磋商的供应商均有同等的磋商机会。</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12.3 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12.4 供应商应当按照磋商文件的变动情况和磋商小组的要求重新提交响应文件，并由其法定代表人或授权代表签字或者加盖公章。</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12.5 磋商结束后，磋商小组将要求所有继续参加磋商的供应商在规定时间内提交最后报价。最后报价由其法定代表人或授权代表签字或者加盖公章，最后报价是供应商响应文件的有效组成部分。</w:t>
      </w:r>
    </w:p>
    <w:p>
      <w:pPr>
        <w:adjustRightInd w:val="0"/>
        <w:snapToGrid w:val="0"/>
        <w:spacing w:line="460" w:lineRule="exact"/>
        <w:ind w:firstLine="420" w:firstLineChars="200"/>
        <w:rPr>
          <w:rFonts w:hint="eastAsia" w:ascii="宋体" w:hAnsi="宋体" w:eastAsia="宋体" w:cs="宋体"/>
          <w:lang w:val="zh-CN"/>
        </w:rPr>
      </w:pPr>
      <w:r>
        <w:rPr>
          <w:rFonts w:hint="eastAsia" w:ascii="宋体" w:hAnsi="宋体" w:eastAsia="宋体" w:cs="宋体"/>
          <w:lang w:val="zh-CN"/>
        </w:rPr>
        <w:t>12.6</w:t>
      </w:r>
      <w:r>
        <w:rPr>
          <w:rFonts w:hint="eastAsia" w:ascii="宋体" w:hAnsi="宋体" w:eastAsia="宋体" w:cs="宋体"/>
          <w:szCs w:val="22"/>
        </w:rPr>
        <w:t>已提交响应文件的供应商，在提交最后报价之前，可以根据磋商情况退出磋商。</w:t>
      </w:r>
    </w:p>
    <w:p>
      <w:pPr>
        <w:adjustRightInd w:val="0"/>
        <w:snapToGrid w:val="0"/>
        <w:spacing w:line="460" w:lineRule="exact"/>
        <w:ind w:firstLine="420" w:firstLineChars="200"/>
        <w:rPr>
          <w:rFonts w:hint="eastAsia" w:ascii="宋体" w:hAnsi="宋体" w:eastAsia="宋体" w:cs="宋体"/>
          <w:b/>
          <w:kern w:val="0"/>
        </w:rPr>
      </w:pPr>
      <w:r>
        <w:rPr>
          <w:rFonts w:hint="eastAsia" w:ascii="宋体" w:hAnsi="宋体" w:eastAsia="宋体" w:cs="宋体"/>
          <w:lang w:val="zh-CN"/>
        </w:rPr>
        <w:t>12.7 出现下列情形之一的响应文件按照</w:t>
      </w:r>
      <w:r>
        <w:rPr>
          <w:rFonts w:hint="eastAsia" w:ascii="宋体" w:hAnsi="宋体" w:eastAsia="宋体" w:cs="宋体"/>
          <w:b/>
          <w:lang w:val="zh-CN"/>
        </w:rPr>
        <w:t>无效处理：</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zh-CN"/>
        </w:rPr>
        <w:t>）不具备磋商文件中规定资格条件的；</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pPr>
        <w:adjustRightInd w:val="0"/>
        <w:snapToGrid w:val="0"/>
        <w:spacing w:line="460" w:lineRule="exact"/>
        <w:ind w:firstLine="420" w:firstLineChars="200"/>
        <w:rPr>
          <w:rFonts w:hint="eastAsia" w:ascii="宋体" w:hAnsi="宋体" w:eastAsia="宋体" w:cs="宋体"/>
        </w:rPr>
      </w:pPr>
      <w:r>
        <w:rPr>
          <w:rFonts w:hint="eastAsia" w:ascii="宋体" w:hAnsi="宋体" w:eastAsia="宋体" w:cs="宋体"/>
        </w:rPr>
        <w:t>（3）未实质性响应磋商文件要求的，超过最高限价的；</w:t>
      </w:r>
    </w:p>
    <w:p>
      <w:pPr>
        <w:adjustRightInd w:val="0"/>
        <w:snapToGrid w:val="0"/>
        <w:spacing w:line="460" w:lineRule="exact"/>
        <w:ind w:firstLine="420" w:firstLineChars="200"/>
        <w:rPr>
          <w:rFonts w:hint="eastAsia" w:ascii="宋体" w:hAnsi="宋体" w:eastAsia="宋体" w:cs="宋体"/>
        </w:rPr>
      </w:pPr>
      <w:r>
        <w:rPr>
          <w:rFonts w:hint="eastAsia" w:ascii="宋体" w:hAnsi="宋体" w:eastAsia="宋体" w:cs="宋体"/>
          <w:lang w:val="zh-CN"/>
        </w:rPr>
        <w:t>（</w:t>
      </w:r>
      <w:r>
        <w:rPr>
          <w:rFonts w:hint="eastAsia" w:ascii="宋体" w:hAnsi="宋体" w:eastAsia="宋体" w:cs="宋体"/>
        </w:rPr>
        <w:t>4</w:t>
      </w:r>
      <w:r>
        <w:rPr>
          <w:rFonts w:hint="eastAsia" w:ascii="宋体" w:hAnsi="宋体" w:eastAsia="宋体" w:cs="宋体"/>
          <w:lang w:val="zh-CN"/>
        </w:rPr>
        <w:t>）没有详细说明完成本项目所提供的服务或工程方案、</w:t>
      </w:r>
      <w:r>
        <w:rPr>
          <w:rFonts w:hint="eastAsia" w:ascii="宋体" w:hAnsi="宋体" w:eastAsia="宋体" w:cs="宋体"/>
        </w:rPr>
        <w:t>服务响应的，</w:t>
      </w:r>
      <w:r>
        <w:rPr>
          <w:rFonts w:hint="eastAsia" w:ascii="宋体" w:hAnsi="宋体" w:eastAsia="宋体" w:cs="宋体"/>
          <w:lang w:val="zh-CN"/>
        </w:rPr>
        <w:t>而是直接拷贝采购文件服务要求的；</w:t>
      </w:r>
    </w:p>
    <w:p>
      <w:pPr>
        <w:adjustRightInd w:val="0"/>
        <w:snapToGrid w:val="0"/>
        <w:spacing w:line="460" w:lineRule="exact"/>
        <w:ind w:firstLine="420" w:firstLineChars="200"/>
        <w:rPr>
          <w:rFonts w:hint="eastAsia" w:ascii="宋体" w:hAnsi="宋体" w:eastAsia="宋体" w:cs="宋体"/>
        </w:rPr>
      </w:pPr>
      <w:r>
        <w:rPr>
          <w:rFonts w:hint="eastAsia" w:ascii="宋体" w:hAnsi="宋体" w:eastAsia="宋体" w:cs="宋体"/>
          <w:lang w:val="zh-CN"/>
        </w:rPr>
        <w:t>（5）报价低于完成本项目发生的所有含税费用、支付给员工的工资（不得低于供应商所在地最低工资标准）和国家强制缴纳的各种社会保障资金</w:t>
      </w:r>
      <w:r>
        <w:rPr>
          <w:rFonts w:hint="eastAsia" w:ascii="宋体" w:hAnsi="宋体" w:eastAsia="宋体" w:cs="宋体"/>
        </w:rPr>
        <w:t>、公积金，以及供应商认为需要的其他费用等。</w:t>
      </w:r>
    </w:p>
    <w:p>
      <w:pPr>
        <w:adjustRightInd w:val="0"/>
        <w:snapToGrid w:val="0"/>
        <w:spacing w:line="460" w:lineRule="exact"/>
        <w:ind w:firstLine="420" w:firstLine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zh-CN"/>
        </w:rPr>
        <w:t>不符合法律、法规和采购文件规定的其他实质性要求的。</w:t>
      </w:r>
    </w:p>
    <w:p>
      <w:pPr>
        <w:autoSpaceDE w:val="0"/>
        <w:autoSpaceDN w:val="0"/>
        <w:adjustRightInd w:val="0"/>
        <w:snapToGrid w:val="0"/>
        <w:spacing w:line="460" w:lineRule="exact"/>
        <w:ind w:firstLine="420"/>
        <w:outlineLvl w:val="0"/>
        <w:rPr>
          <w:rFonts w:hint="eastAsia" w:ascii="宋体" w:hAnsi="宋体" w:eastAsia="宋体" w:cs="宋体"/>
          <w:b/>
          <w:bCs/>
        </w:rPr>
      </w:pPr>
      <w:r>
        <w:rPr>
          <w:rFonts w:hint="eastAsia" w:ascii="宋体" w:hAnsi="宋体" w:eastAsia="宋体" w:cs="宋体"/>
          <w:lang w:val="zh-CN"/>
        </w:rPr>
        <w:t>12.8</w:t>
      </w:r>
      <w:r>
        <w:rPr>
          <w:rFonts w:hint="eastAsia" w:ascii="宋体" w:hAnsi="宋体" w:eastAsia="宋体" w:cs="宋体"/>
          <w:b/>
          <w:bCs/>
        </w:rPr>
        <w:t>出现下列情形之一的，磋商终止：</w:t>
      </w:r>
    </w:p>
    <w:p>
      <w:pPr>
        <w:autoSpaceDE w:val="0"/>
        <w:autoSpaceDN w:val="0"/>
        <w:adjustRightInd w:val="0"/>
        <w:snapToGrid w:val="0"/>
        <w:spacing w:line="460" w:lineRule="exact"/>
        <w:ind w:firstLine="420"/>
        <w:outlineLvl w:val="0"/>
        <w:rPr>
          <w:rFonts w:hint="eastAsia" w:ascii="宋体" w:hAnsi="宋体" w:eastAsia="宋体" w:cs="宋体"/>
          <w:bCs/>
          <w:lang w:val="zh-CN"/>
        </w:rPr>
      </w:pPr>
      <w:r>
        <w:rPr>
          <w:rFonts w:hint="eastAsia" w:ascii="宋体" w:hAnsi="宋体" w:eastAsia="宋体" w:cs="宋体"/>
          <w:bCs/>
          <w:lang w:val="zh-CN"/>
        </w:rPr>
        <w:t>（1）因情况变化，不再符合规定的竞争性磋商采购方式适用情形的；</w:t>
      </w:r>
    </w:p>
    <w:p>
      <w:pPr>
        <w:autoSpaceDE w:val="0"/>
        <w:autoSpaceDN w:val="0"/>
        <w:adjustRightInd w:val="0"/>
        <w:snapToGrid w:val="0"/>
        <w:spacing w:line="460" w:lineRule="exact"/>
        <w:ind w:firstLine="420"/>
        <w:outlineLvl w:val="0"/>
        <w:rPr>
          <w:rFonts w:hint="eastAsia" w:ascii="宋体" w:hAnsi="宋体" w:eastAsia="宋体" w:cs="宋体"/>
          <w:bCs/>
          <w:lang w:val="zh-CN"/>
        </w:rPr>
      </w:pPr>
      <w:r>
        <w:rPr>
          <w:rFonts w:hint="eastAsia" w:ascii="宋体" w:hAnsi="宋体" w:eastAsia="宋体" w:cs="宋体"/>
          <w:bCs/>
          <w:lang w:val="zh-CN"/>
        </w:rPr>
        <w:t>（2）所有供应商的响应文件被磋商小组认定为无效的；</w:t>
      </w:r>
    </w:p>
    <w:p>
      <w:pPr>
        <w:autoSpaceDE w:val="0"/>
        <w:autoSpaceDN w:val="0"/>
        <w:adjustRightInd w:val="0"/>
        <w:snapToGrid w:val="0"/>
        <w:spacing w:line="460" w:lineRule="exact"/>
        <w:ind w:firstLine="420"/>
        <w:outlineLvl w:val="0"/>
        <w:rPr>
          <w:rFonts w:hint="eastAsia" w:ascii="宋体" w:hAnsi="宋体" w:eastAsia="宋体" w:cs="宋体"/>
          <w:bCs/>
          <w:lang w:val="zh-CN"/>
        </w:rPr>
      </w:pPr>
      <w:r>
        <w:rPr>
          <w:rFonts w:hint="eastAsia" w:ascii="宋体" w:hAnsi="宋体" w:eastAsia="宋体" w:cs="宋体"/>
          <w:bCs/>
          <w:lang w:val="zh-CN"/>
        </w:rPr>
        <w:t>（3）出现影响采购公正的违法、违规行为的；</w:t>
      </w:r>
    </w:p>
    <w:p>
      <w:pPr>
        <w:autoSpaceDE w:val="0"/>
        <w:autoSpaceDN w:val="0"/>
        <w:adjustRightInd w:val="0"/>
        <w:snapToGrid w:val="0"/>
        <w:spacing w:line="460" w:lineRule="exact"/>
        <w:ind w:firstLine="420"/>
        <w:outlineLvl w:val="0"/>
        <w:rPr>
          <w:rFonts w:hint="eastAsia" w:ascii="宋体" w:hAnsi="宋体" w:eastAsia="宋体" w:cs="宋体"/>
          <w:bCs/>
          <w:lang w:val="zh-CN"/>
        </w:rPr>
      </w:pPr>
      <w:r>
        <w:rPr>
          <w:rFonts w:hint="eastAsia" w:ascii="宋体" w:hAnsi="宋体" w:eastAsia="宋体" w:cs="宋体"/>
          <w:bCs/>
          <w:lang w:val="zh-CN"/>
        </w:rPr>
        <w:t>（4）供应商的最终报价超过采购预算</w:t>
      </w:r>
      <w:r>
        <w:rPr>
          <w:rFonts w:hint="eastAsia" w:ascii="宋体" w:hAnsi="宋体" w:eastAsia="宋体" w:cs="宋体"/>
          <w:bCs/>
        </w:rPr>
        <w:t>或最高限价</w:t>
      </w:r>
      <w:r>
        <w:rPr>
          <w:rFonts w:hint="eastAsia" w:ascii="宋体" w:hAnsi="宋体" w:eastAsia="宋体" w:cs="宋体"/>
          <w:bCs/>
          <w:lang w:val="zh-CN"/>
        </w:rPr>
        <w:t>的；</w:t>
      </w:r>
    </w:p>
    <w:p>
      <w:pPr>
        <w:autoSpaceDE w:val="0"/>
        <w:autoSpaceDN w:val="0"/>
        <w:adjustRightInd w:val="0"/>
        <w:snapToGrid w:val="0"/>
        <w:spacing w:line="460" w:lineRule="exact"/>
        <w:ind w:firstLine="420"/>
        <w:rPr>
          <w:rFonts w:hint="eastAsia" w:ascii="宋体" w:hAnsi="宋体" w:eastAsia="宋体" w:cs="宋体"/>
          <w:bCs/>
          <w:lang w:val="zh-CN"/>
        </w:rPr>
      </w:pPr>
      <w:r>
        <w:rPr>
          <w:rFonts w:hint="eastAsia" w:ascii="宋体" w:hAnsi="宋体" w:eastAsia="宋体" w:cs="宋体"/>
          <w:bCs/>
          <w:lang w:val="zh-CN"/>
        </w:rPr>
        <w:t>（5）因重大变故，采购任务取消的；</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（6）采购人需求发生重大变化暂时不能确定或供应商提供的货物和服务不能满足需求等。</w:t>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b/>
          <w:bCs/>
        </w:rPr>
        <w:t>13、评定成交方法和标准</w:t>
      </w:r>
    </w:p>
    <w:p>
      <w:pPr>
        <w:autoSpaceDE w:val="0"/>
        <w:autoSpaceDN w:val="0"/>
        <w:adjustRightInd w:val="0"/>
        <w:snapToGrid w:val="0"/>
        <w:spacing w:line="460" w:lineRule="exact"/>
        <w:ind w:firstLine="420"/>
        <w:rPr>
          <w:rFonts w:hint="eastAsia" w:ascii="宋体" w:hAnsi="宋体" w:eastAsia="宋体" w:cs="宋体"/>
          <w:kern w:val="0"/>
        </w:rPr>
      </w:pPr>
      <w:r>
        <w:rPr>
          <w:rFonts w:hint="eastAsia" w:ascii="宋体" w:hAnsi="宋体" w:eastAsia="宋体" w:cs="宋体"/>
        </w:rPr>
        <w:t>13.1</w:t>
      </w:r>
      <w:r>
        <w:rPr>
          <w:rFonts w:hint="eastAsia" w:ascii="宋体" w:hAnsi="宋体" w:eastAsia="宋体" w:cs="宋体"/>
          <w:kern w:val="0"/>
        </w:rPr>
        <w:t>采用综合评分法。即在最大限度地满足竞争性磋商文件实质性要求前提下，按照磋商文件中规定的各项因素进行综合评审后，以评审总得分最高的供应商作为成交候选供应商或者成交供应商的评审方法。</w:t>
      </w:r>
    </w:p>
    <w:p>
      <w:pPr>
        <w:autoSpaceDE w:val="0"/>
        <w:autoSpaceDN w:val="0"/>
        <w:adjustRightInd w:val="0"/>
        <w:snapToGrid w:val="0"/>
        <w:spacing w:line="460" w:lineRule="exact"/>
        <w:ind w:firstLine="420"/>
        <w:rPr>
          <w:rFonts w:hint="eastAsia" w:ascii="宋体" w:hAnsi="宋体" w:eastAsia="宋体" w:cs="宋体"/>
          <w:kern w:val="0"/>
        </w:rPr>
      </w:pPr>
      <w:r>
        <w:rPr>
          <w:rFonts w:hint="eastAsia" w:ascii="宋体" w:hAnsi="宋体" w:eastAsia="宋体" w:cs="宋体"/>
          <w:kern w:val="0"/>
        </w:rPr>
        <w:t>13.2 综合评审的主要因素是：价格、团队人员、业绩等。</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lang w:val="zh-CN"/>
        </w:rPr>
        <w:t>13.3 评定方法，详见磋商文件第三章。</w:t>
      </w:r>
      <w:r>
        <w:rPr>
          <w:rFonts w:hint="eastAsia" w:ascii="宋体" w:hAnsi="宋体" w:eastAsia="宋体" w:cs="宋体"/>
          <w:b/>
          <w:bCs/>
        </w:rPr>
        <w:tab/>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b/>
          <w:bCs/>
        </w:rPr>
        <w:t>14、确定成交供应商</w:t>
      </w:r>
    </w:p>
    <w:p>
      <w:pPr>
        <w:adjustRightInd w:val="0"/>
        <w:snapToGrid w:val="0"/>
        <w:spacing w:line="460" w:lineRule="exact"/>
        <w:ind w:firstLine="420" w:firstLineChars="200"/>
        <w:rPr>
          <w:rFonts w:hint="eastAsia" w:ascii="宋体" w:hAnsi="宋体" w:eastAsia="宋体" w:cs="宋体"/>
        </w:rPr>
      </w:pPr>
      <w:r>
        <w:rPr>
          <w:rFonts w:hint="eastAsia" w:ascii="宋体" w:hAnsi="宋体" w:eastAsia="宋体" w:cs="宋体"/>
        </w:rPr>
        <w:t>14.1</w:t>
      </w:r>
      <w:r>
        <w:rPr>
          <w:rFonts w:hint="eastAsia" w:ascii="宋体" w:hAnsi="宋体" w:eastAsia="宋体" w:cs="宋体"/>
          <w:lang w:val="zh-CN"/>
        </w:rPr>
        <w:t>在综合比较与评价后按照得分高低顺序对供应商进行排列。</w:t>
      </w:r>
      <w:r>
        <w:rPr>
          <w:rFonts w:hint="eastAsia" w:ascii="宋体" w:hAnsi="宋体" w:eastAsia="宋体" w:cs="宋体"/>
        </w:rPr>
        <w:t>得分相同的，按报价由低到高顺序排列。得分且报价相同的，按技术指标优劣顺序排列。</w:t>
      </w:r>
      <w:r>
        <w:rPr>
          <w:rFonts w:hint="eastAsia" w:ascii="宋体" w:hAnsi="宋体" w:eastAsia="宋体" w:cs="宋体"/>
          <w:lang w:val="zh-CN"/>
        </w:rPr>
        <w:t>磋商小组将严格按照采购文件的要求和条件进行比较，根据评审办法直接确定成交供应商或推荐出成交候选供应商。</w:t>
      </w:r>
    </w:p>
    <w:p>
      <w:pPr>
        <w:adjustRightInd w:val="0"/>
        <w:snapToGrid w:val="0"/>
        <w:spacing w:line="460" w:lineRule="exact"/>
        <w:ind w:firstLine="420" w:firstLineChars="200"/>
        <w:rPr>
          <w:rFonts w:hint="eastAsia" w:ascii="宋体" w:hAnsi="宋体" w:eastAsia="宋体" w:cs="宋体"/>
          <w:lang w:val="zh-CN"/>
        </w:rPr>
      </w:pPr>
      <w:r>
        <w:rPr>
          <w:rFonts w:hint="eastAsia" w:ascii="宋体" w:hAnsi="宋体" w:eastAsia="宋体" w:cs="宋体"/>
          <w:lang w:val="zh-CN"/>
        </w:rPr>
        <w:t>14.2 成交供应商确定后，将在财政部门指定的政府采购信息发布媒体上公告，成交供应商及时到采购人处领取《中标通知书》。</w:t>
      </w:r>
    </w:p>
    <w:p>
      <w:pPr>
        <w:adjustRightInd w:val="0"/>
        <w:snapToGrid w:val="0"/>
        <w:spacing w:line="460" w:lineRule="exact"/>
        <w:ind w:firstLine="420" w:firstLineChars="200"/>
        <w:rPr>
          <w:rFonts w:hint="eastAsia" w:ascii="宋体" w:hAnsi="宋体" w:eastAsia="宋体" w:cs="宋体"/>
          <w:lang w:val="zh-CN"/>
        </w:rPr>
      </w:pPr>
      <w:r>
        <w:rPr>
          <w:rFonts w:hint="eastAsia" w:ascii="宋体" w:hAnsi="宋体" w:eastAsia="宋体" w:cs="宋体"/>
          <w:lang w:val="zh-CN"/>
        </w:rPr>
        <w:t>14.3 成交通知书对采购人和成交供应商具有同等法律效力。</w:t>
      </w:r>
    </w:p>
    <w:p>
      <w:pPr>
        <w:tabs>
          <w:tab w:val="left" w:pos="1260"/>
        </w:tabs>
        <w:adjustRightInd w:val="0"/>
        <w:snapToGrid w:val="0"/>
        <w:spacing w:line="460" w:lineRule="exact"/>
        <w:ind w:firstLine="420" w:firstLineChars="200"/>
        <w:rPr>
          <w:rFonts w:hint="eastAsia" w:ascii="宋体" w:hAnsi="宋体" w:eastAsia="宋体" w:cs="宋体"/>
        </w:rPr>
      </w:pPr>
      <w:r>
        <w:rPr>
          <w:rFonts w:hint="eastAsia" w:ascii="宋体" w:hAnsi="宋体" w:eastAsia="宋体" w:cs="宋体"/>
        </w:rPr>
        <w:t>14.4 代理机构对未成交的供应商不作未成交原因的解释。</w:t>
      </w:r>
    </w:p>
    <w:p>
      <w:pPr>
        <w:autoSpaceDE w:val="0"/>
        <w:autoSpaceDN w:val="0"/>
        <w:adjustRightInd w:val="0"/>
        <w:snapToGrid w:val="0"/>
        <w:spacing w:line="460" w:lineRule="exact"/>
        <w:ind w:firstLine="413" w:firstLineChars="196"/>
        <w:rPr>
          <w:rFonts w:hint="eastAsia" w:ascii="宋体" w:hAnsi="宋体" w:eastAsia="宋体" w:cs="宋体"/>
          <w:b/>
          <w:bCs/>
        </w:rPr>
      </w:pPr>
      <w:r>
        <w:rPr>
          <w:rFonts w:hint="eastAsia" w:ascii="宋体" w:hAnsi="宋体" w:eastAsia="宋体" w:cs="宋体"/>
          <w:b/>
          <w:bCs/>
        </w:rPr>
        <w:t>15、编写评审报告</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磋商小组根据磋商过程和结果编写评审报告。</w:t>
      </w:r>
    </w:p>
    <w:p>
      <w:pPr>
        <w:autoSpaceDE w:val="0"/>
        <w:autoSpaceDN w:val="0"/>
        <w:adjustRightInd w:val="0"/>
        <w:snapToGrid w:val="0"/>
        <w:spacing w:line="460" w:lineRule="exact"/>
        <w:ind w:firstLine="420"/>
        <w:rPr>
          <w:rFonts w:hint="eastAsia" w:ascii="宋体" w:hAnsi="宋体" w:eastAsia="宋体" w:cs="宋体"/>
          <w:b/>
          <w:bCs/>
        </w:rPr>
      </w:pPr>
      <w:r>
        <w:rPr>
          <w:rFonts w:hint="eastAsia" w:ascii="宋体" w:hAnsi="宋体" w:eastAsia="宋体" w:cs="宋体"/>
          <w:b/>
          <w:bCs/>
        </w:rPr>
        <w:t>16、签订合同</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rPr>
        <w:t>16</w:t>
      </w:r>
      <w:r>
        <w:rPr>
          <w:rFonts w:hint="eastAsia" w:ascii="宋体" w:hAnsi="宋体" w:eastAsia="宋体" w:cs="宋体"/>
          <w:lang w:val="zh-CN"/>
        </w:rPr>
        <w:t>.</w:t>
      </w:r>
      <w:r>
        <w:rPr>
          <w:rFonts w:hint="eastAsia" w:ascii="宋体" w:hAnsi="宋体" w:eastAsia="宋体" w:cs="宋体"/>
        </w:rPr>
        <w:t>1 成交供应商应当</w:t>
      </w:r>
      <w:r>
        <w:rPr>
          <w:rFonts w:hint="eastAsia" w:ascii="宋体" w:hAnsi="宋体" w:eastAsia="宋体" w:cs="宋体"/>
          <w:lang w:val="zh-CN"/>
        </w:rPr>
        <w:t>自成交通知书发出之日起三十日内，</w:t>
      </w:r>
      <w:r>
        <w:rPr>
          <w:rFonts w:hint="eastAsia" w:ascii="宋体" w:hAnsi="宋体" w:eastAsia="宋体" w:cs="宋体"/>
        </w:rPr>
        <w:t>与采购人签订政府采购合同，所签订的合同不得对磋商文件和响应文件作实质性修改。</w:t>
      </w:r>
    </w:p>
    <w:p>
      <w:pPr>
        <w:autoSpaceDE w:val="0"/>
        <w:autoSpaceDN w:val="0"/>
        <w:adjustRightInd w:val="0"/>
        <w:snapToGrid w:val="0"/>
        <w:spacing w:line="460" w:lineRule="exact"/>
        <w:ind w:firstLine="420"/>
        <w:rPr>
          <w:rFonts w:hint="eastAsia" w:ascii="宋体" w:hAnsi="宋体" w:eastAsia="宋体" w:cs="宋体"/>
        </w:rPr>
      </w:pPr>
      <w:r>
        <w:rPr>
          <w:rFonts w:hint="eastAsia" w:ascii="宋体" w:hAnsi="宋体" w:eastAsia="宋体" w:cs="宋体"/>
        </w:rPr>
        <w:t>16</w:t>
      </w:r>
      <w:r>
        <w:rPr>
          <w:rFonts w:hint="eastAsia" w:ascii="宋体" w:hAnsi="宋体" w:eastAsia="宋体" w:cs="宋体"/>
          <w:lang w:val="zh-CN"/>
        </w:rPr>
        <w:t xml:space="preserve">.2 </w:t>
      </w:r>
      <w:r>
        <w:rPr>
          <w:rFonts w:hint="eastAsia" w:ascii="宋体" w:hAnsi="宋体" w:eastAsia="宋体" w:cs="宋体"/>
        </w:rPr>
        <w:t>采购人不得向成交供应商提出任何不合理的要求作为签订合同的条件，不得与成交供应商私下订立背离合同实质性内容的协议。</w:t>
      </w:r>
    </w:p>
    <w:p>
      <w:pPr>
        <w:adjustRightInd w:val="0"/>
        <w:snapToGrid w:val="0"/>
        <w:spacing w:line="460" w:lineRule="exact"/>
        <w:ind w:firstLine="420" w:firstLineChars="200"/>
        <w:rPr>
          <w:rFonts w:hint="eastAsia" w:ascii="宋体" w:hAnsi="宋体" w:eastAsia="宋体" w:cs="宋体"/>
          <w:lang w:val="zh-CN"/>
        </w:rPr>
      </w:pPr>
      <w:r>
        <w:rPr>
          <w:rFonts w:hint="eastAsia" w:ascii="宋体" w:hAnsi="宋体" w:eastAsia="宋体" w:cs="宋体"/>
          <w:lang w:val="zh-CN"/>
        </w:rPr>
        <w:t>16.3</w:t>
      </w:r>
      <w:r>
        <w:rPr>
          <w:rFonts w:hint="eastAsia" w:ascii="宋体" w:hAnsi="宋体" w:eastAsia="宋体" w:cs="宋体"/>
        </w:rPr>
        <w:t xml:space="preserve"> 除不可抗力等因素外，</w:t>
      </w:r>
      <w:r>
        <w:rPr>
          <w:rFonts w:hint="eastAsia" w:ascii="宋体" w:hAnsi="宋体" w:eastAsia="宋体" w:cs="宋体"/>
          <w:lang w:val="zh-CN"/>
        </w:rPr>
        <w:t>成交通知书发出后，采购人改变成交结果，或者成交供应商拒绝签订政府采购合同的，应当承担相应的法律责任。</w:t>
      </w:r>
    </w:p>
    <w:p>
      <w:pPr>
        <w:autoSpaceDE w:val="0"/>
        <w:autoSpaceDN w:val="0"/>
        <w:adjustRightInd w:val="0"/>
        <w:snapToGrid w:val="0"/>
        <w:spacing w:line="460" w:lineRule="exact"/>
        <w:ind w:firstLine="420"/>
        <w:rPr>
          <w:rFonts w:hint="eastAsia" w:ascii="宋体" w:hAnsi="宋体" w:eastAsia="宋体" w:cs="宋体"/>
          <w:b/>
        </w:rPr>
      </w:pPr>
      <w:r>
        <w:rPr>
          <w:rFonts w:hint="eastAsia" w:ascii="宋体" w:hAnsi="宋体" w:eastAsia="宋体" w:cs="宋体"/>
          <w:lang w:val="zh-CN"/>
        </w:rPr>
        <w:t>16.4</w:t>
      </w:r>
      <w:r>
        <w:rPr>
          <w:rFonts w:hint="eastAsia" w:ascii="宋体" w:hAnsi="宋体" w:eastAsia="宋体" w:cs="宋体"/>
        </w:rPr>
        <w:t xml:space="preserve"> </w:t>
      </w:r>
      <w:r>
        <w:rPr>
          <w:rFonts w:hint="eastAsia" w:ascii="宋体" w:hAnsi="宋体" w:eastAsia="宋体" w:cs="宋体"/>
          <w:b/>
        </w:rPr>
        <w:t>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pPr>
        <w:adjustRightInd w:val="0"/>
        <w:snapToGrid w:val="0"/>
        <w:spacing w:line="460" w:lineRule="exact"/>
        <w:ind w:firstLine="420" w:firstLineChars="200"/>
        <w:rPr>
          <w:rFonts w:hint="eastAsia" w:ascii="宋体" w:hAnsi="宋体" w:eastAsia="宋体" w:cs="宋体"/>
          <w:lang w:val="zh-CN"/>
        </w:rPr>
      </w:pPr>
      <w:r>
        <w:rPr>
          <w:rFonts w:hint="eastAsia" w:ascii="宋体" w:hAnsi="宋体" w:eastAsia="宋体" w:cs="宋体"/>
          <w:lang w:val="zh-CN"/>
        </w:rPr>
        <w:t>16.5成交供应商拒绝签订政府采购合同的，</w:t>
      </w:r>
      <w:r>
        <w:rPr>
          <w:rFonts w:hint="eastAsia" w:ascii="宋体" w:hAnsi="宋体" w:eastAsia="宋体" w:cs="宋体"/>
        </w:rPr>
        <w:t>或因不可抗力或者自身原因不能履行政府采购合同的，</w:t>
      </w:r>
      <w:r>
        <w:rPr>
          <w:rFonts w:hint="eastAsia" w:ascii="宋体" w:hAnsi="宋体" w:eastAsia="宋体" w:cs="宋体"/>
          <w:lang w:val="zh-CN"/>
        </w:rPr>
        <w:t>采购人可以视情与排位在成交供应商之后第一位的成交候选供应商签订政府采购合同，也可以重新开展采购活动。</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16.6 政府采购合同履行中，采购人需追加与合同标的相同的服务的，在不改变合同其他条款的前提下，可以与供应商协商签订补充合同，但所有补充合同的采购金额不得超过原合同采购金额的百分之十。</w:t>
      </w:r>
    </w:p>
    <w:p>
      <w:pPr>
        <w:autoSpaceDE w:val="0"/>
        <w:autoSpaceDN w:val="0"/>
        <w:adjustRightInd w:val="0"/>
        <w:snapToGrid w:val="0"/>
        <w:spacing w:line="460" w:lineRule="exact"/>
        <w:ind w:firstLine="420"/>
        <w:rPr>
          <w:rFonts w:hint="eastAsia" w:ascii="宋体" w:hAnsi="宋体" w:eastAsia="宋体" w:cs="宋体"/>
          <w:b/>
          <w:lang w:val="zh-CN"/>
        </w:rPr>
      </w:pPr>
      <w:r>
        <w:rPr>
          <w:rFonts w:hint="eastAsia" w:ascii="宋体" w:hAnsi="宋体" w:eastAsia="宋体" w:cs="宋体"/>
          <w:b/>
        </w:rPr>
        <w:t>五</w:t>
      </w:r>
      <w:r>
        <w:rPr>
          <w:rFonts w:hint="eastAsia" w:ascii="宋体" w:hAnsi="宋体" w:eastAsia="宋体" w:cs="宋体"/>
          <w:b/>
          <w:lang w:val="zh-CN"/>
        </w:rPr>
        <w:t>、询问、质疑、投诉和诚实信用</w:t>
      </w:r>
    </w:p>
    <w:p>
      <w:pPr>
        <w:autoSpaceDE w:val="0"/>
        <w:autoSpaceDN w:val="0"/>
        <w:adjustRightInd w:val="0"/>
        <w:snapToGrid w:val="0"/>
        <w:spacing w:line="460" w:lineRule="exact"/>
        <w:ind w:firstLine="420"/>
        <w:rPr>
          <w:rFonts w:hint="eastAsia" w:ascii="宋体" w:hAnsi="宋体" w:eastAsia="宋体" w:cs="宋体"/>
          <w:b/>
          <w:lang w:val="zh-CN"/>
        </w:rPr>
      </w:pPr>
      <w:r>
        <w:rPr>
          <w:rFonts w:hint="eastAsia" w:ascii="宋体" w:hAnsi="宋体" w:eastAsia="宋体" w:cs="宋体"/>
          <w:b/>
          <w:lang w:val="zh-CN"/>
        </w:rPr>
        <w:t>17、询问</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17.1 供应商对采购活动事项有疑问的，可以向代理机构提出询问，代理机构将在两个工作日内作出答复，但答复的内容不涉及商业秘密。</w:t>
      </w:r>
    </w:p>
    <w:p>
      <w:pPr>
        <w:autoSpaceDE w:val="0"/>
        <w:autoSpaceDN w:val="0"/>
        <w:adjustRightInd w:val="0"/>
        <w:snapToGrid w:val="0"/>
        <w:spacing w:line="460" w:lineRule="exact"/>
        <w:ind w:firstLine="420"/>
        <w:rPr>
          <w:rFonts w:hint="eastAsia" w:ascii="宋体" w:hAnsi="宋体" w:eastAsia="宋体" w:cs="宋体"/>
          <w:b/>
          <w:lang w:val="zh-CN"/>
        </w:rPr>
      </w:pPr>
      <w:r>
        <w:rPr>
          <w:rFonts w:hint="eastAsia" w:ascii="宋体" w:hAnsi="宋体" w:eastAsia="宋体" w:cs="宋体"/>
          <w:b/>
          <w:lang w:val="zh-CN"/>
        </w:rPr>
        <w:t>18、质疑</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18.1 供应商认为采购文件、采购过程和成交结果使自己的合法权益受到损害的，可以在知道或者应当知道其权益受到损害之日起七个工作日内，将质疑文件原件送达代理机构。</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18.2 质疑文件应包括以下主要内容，并按照“谁主张、谁举证”的原则，附上相关证明材料。否则，代理机构不予受理：　　　　　　　</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（1）质疑项目名称、项目编号、包号、采购公告发布时间、磋商时间；</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（2）提起质疑的日期、具体的质疑事项及事实根据（具体条款）；</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（3）认为自己合法权益受到损害或可能受到损害的相关证据材料。</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（4）质疑供应商名称、地址、邮编、联系人、联系电话（包括座机、手机、传真号码等）；</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（5）质疑函应当署名，质疑人为自然人的，应当由本人签字并附有效身份证明；质疑人为法人或其他组织的，应当由法定代表人签字并加盖单位公章。</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（6）供应商委托代理质疑的，应当提交授权委托书，并载明委托代理的具体权限和事项。</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18.3</w:t>
      </w:r>
      <w:r>
        <w:rPr>
          <w:rFonts w:hint="eastAsia" w:ascii="宋体" w:hAnsi="宋体" w:eastAsia="宋体" w:cs="宋体"/>
        </w:rPr>
        <w:t xml:space="preserve"> </w:t>
      </w:r>
      <w:r>
        <w:rPr>
          <w:rFonts w:hint="eastAsia" w:ascii="宋体" w:hAnsi="宋体" w:eastAsia="宋体" w:cs="宋体"/>
          <w:lang w:val="zh-CN"/>
        </w:rPr>
        <w:t>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18.4</w:t>
      </w:r>
      <w:r>
        <w:rPr>
          <w:rFonts w:hint="eastAsia" w:ascii="宋体" w:hAnsi="宋体" w:eastAsia="宋体" w:cs="宋体"/>
        </w:rPr>
        <w:t xml:space="preserve"> </w:t>
      </w:r>
      <w:r>
        <w:rPr>
          <w:rFonts w:hint="eastAsia" w:ascii="宋体" w:hAnsi="宋体" w:eastAsia="宋体" w:cs="宋体"/>
          <w:lang w:val="zh-CN"/>
        </w:rPr>
        <w:t>代理机构在收到供应商的书面质疑后将及时组织调查核实，在七个工作日内作出答复，并以书面通知质疑供应商和其他有关供应商，答复的内容不涉及商业秘密。代理机构遵循“谁过错谁负担”的原则，有过错的一方承担调查论证费用。</w:t>
      </w:r>
    </w:p>
    <w:p>
      <w:pPr>
        <w:autoSpaceDE w:val="0"/>
        <w:autoSpaceDN w:val="0"/>
        <w:adjustRightInd w:val="0"/>
        <w:snapToGrid w:val="0"/>
        <w:spacing w:line="460" w:lineRule="exact"/>
        <w:ind w:firstLine="420"/>
        <w:rPr>
          <w:rFonts w:hint="eastAsia" w:ascii="宋体" w:hAnsi="宋体" w:eastAsia="宋体" w:cs="宋体"/>
          <w:b/>
          <w:lang w:val="zh-CN"/>
        </w:rPr>
      </w:pPr>
      <w:r>
        <w:rPr>
          <w:rFonts w:hint="eastAsia" w:ascii="宋体" w:hAnsi="宋体" w:eastAsia="宋体" w:cs="宋体"/>
          <w:b/>
          <w:lang w:val="zh-CN"/>
        </w:rPr>
        <w:t>19、投诉</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19.1 质疑供应商对代理机构的答复不满意，或代理机构未在规定的时间内作出答复的，可以在答复期满后十五个工作日内向采购项目同级财政部门投诉。</w:t>
      </w:r>
    </w:p>
    <w:p>
      <w:pPr>
        <w:autoSpaceDE w:val="0"/>
        <w:autoSpaceDN w:val="0"/>
        <w:adjustRightInd w:val="0"/>
        <w:snapToGrid w:val="0"/>
        <w:spacing w:line="460" w:lineRule="exact"/>
        <w:ind w:firstLine="420"/>
        <w:rPr>
          <w:rFonts w:hint="eastAsia" w:ascii="宋体" w:hAnsi="宋体" w:eastAsia="宋体" w:cs="宋体"/>
          <w:b/>
          <w:lang w:val="zh-CN"/>
        </w:rPr>
      </w:pPr>
      <w:r>
        <w:rPr>
          <w:rFonts w:hint="eastAsia" w:ascii="宋体" w:hAnsi="宋体" w:eastAsia="宋体" w:cs="宋体"/>
          <w:b/>
          <w:lang w:val="zh-CN"/>
        </w:rPr>
        <w:t>20、诚实信用</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20.1 供应商之间不得相互串通报价，不得妨碍其他供应商的公平竞争，不得损害采购人和其他供应商的合法权益。</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20.2 供应商不得以向代理机构工作人员、磋商小组成员行贿或者采取其他不正当手段谋取成交。经查实供应商有此行为的，政府采购管理部门将供应商列入不良行为记录名单，按照《政府采购法》有关规定处理。</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20.3 供应商不得虚假质疑和恶意质疑，并对质疑内容的真实性承担责任。供应商或者其他利害关系人通过捏造事实、伪造证明材料等方式提出异议或投诉，阻碍政府采购活动正常进行的，属于严重不良行为，代理机构将提请财政部门将其列入不良行为记录名单，并依法予以处罚。</w:t>
      </w:r>
    </w:p>
    <w:p>
      <w:pPr>
        <w:autoSpaceDE w:val="0"/>
        <w:autoSpaceDN w:val="0"/>
        <w:adjustRightInd w:val="0"/>
        <w:snapToGrid w:val="0"/>
        <w:spacing w:line="460" w:lineRule="exact"/>
        <w:ind w:firstLine="420"/>
        <w:rPr>
          <w:rFonts w:hint="eastAsia" w:ascii="宋体" w:hAnsi="宋体" w:eastAsia="宋体" w:cs="宋体"/>
          <w:lang w:val="zh-CN"/>
        </w:rPr>
      </w:pPr>
      <w:r>
        <w:rPr>
          <w:rFonts w:hint="eastAsia" w:ascii="宋体" w:hAnsi="宋体" w:eastAsia="宋体" w:cs="宋体"/>
          <w:lang w:val="zh-CN"/>
        </w:rPr>
        <w:t>20.4 供应商不得虚假承诺，否则，按照提供虚假材料谋取成交处理。</w:t>
      </w:r>
    </w:p>
    <w:p>
      <w:pPr>
        <w:autoSpaceDE w:val="0"/>
        <w:autoSpaceDN w:val="0"/>
        <w:adjustRightInd w:val="0"/>
        <w:snapToGrid w:val="0"/>
        <w:spacing w:line="460" w:lineRule="exact"/>
        <w:ind w:firstLine="420"/>
        <w:rPr>
          <w:rFonts w:ascii="微软雅黑" w:hAnsi="微软雅黑" w:eastAsia="微软雅黑" w:cs="微软雅黑"/>
          <w:lang w:val="zh-CN"/>
        </w:rPr>
      </w:pPr>
      <w:r>
        <w:rPr>
          <w:rFonts w:hint="eastAsia" w:ascii="宋体" w:hAnsi="宋体" w:eastAsia="宋体" w:cs="宋体"/>
          <w:lang w:val="zh-CN"/>
        </w:rPr>
        <w:t>20.5 供应商应自觉遵守磋商、评审纪律，扰乱磋商、评审现场秩序的，属于失信行为，根据《江苏省政府采购供应商监督管理暂行办法》，失信行为将被记入供应商诚信档案。</w:t>
      </w:r>
      <w:r>
        <w:rPr>
          <w:rFonts w:hint="eastAsia" w:ascii="微软雅黑" w:hAnsi="微软雅黑" w:eastAsia="微软雅黑" w:cs="微软雅黑"/>
        </w:rPr>
        <w:br w:type="page"/>
      </w:r>
    </w:p>
    <w:p>
      <w:pPr>
        <w:autoSpaceDE w:val="0"/>
        <w:autoSpaceDN w:val="0"/>
        <w:adjustRightInd w:val="0"/>
        <w:spacing w:line="460" w:lineRule="exact"/>
        <w:jc w:val="center"/>
      </w:pPr>
      <w:r>
        <w:rPr>
          <w:rFonts w:hint="eastAsia" w:ascii="微软雅黑" w:hAnsi="微软雅黑" w:eastAsia="微软雅黑" w:cs="微软雅黑"/>
          <w:b/>
          <w:bCs/>
          <w:sz w:val="32"/>
          <w:szCs w:val="32"/>
        </w:rPr>
        <w:t>第三章  评分标准</w:t>
      </w:r>
    </w:p>
    <w:tbl>
      <w:tblPr>
        <w:tblStyle w:val="4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25"/>
        <w:gridCol w:w="7023"/>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序号</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评分因素</w:t>
            </w:r>
          </w:p>
        </w:tc>
        <w:tc>
          <w:tcPr>
            <w:tcW w:w="70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评审标准</w:t>
            </w: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w:t>
            </w:r>
          </w:p>
        </w:tc>
        <w:tc>
          <w:tcPr>
            <w:tcW w:w="1125" w:type="dxa"/>
            <w:tcBorders>
              <w:top w:val="single" w:color="auto" w:sz="4" w:space="0"/>
              <w:left w:val="single" w:color="auto" w:sz="4" w:space="0"/>
              <w:right w:val="single" w:color="auto" w:sz="4" w:space="0"/>
            </w:tcBorders>
            <w:vAlign w:val="center"/>
          </w:tcPr>
          <w:p>
            <w:pPr>
              <w:jc w:val="center"/>
            </w:pPr>
            <w:r>
              <w:rPr>
                <w:rFonts w:hint="eastAsia"/>
              </w:rPr>
              <w:t>价格</w:t>
            </w:r>
          </w:p>
          <w:p>
            <w:pPr>
              <w:pStyle w:val="17"/>
            </w:pPr>
            <w:r>
              <w:rPr>
                <w:rFonts w:hint="eastAsia" w:ascii="Calibri" w:hAnsi="Calibri"/>
                <w:sz w:val="21"/>
                <w:szCs w:val="21"/>
              </w:rPr>
              <w:t>（70分）</w:t>
            </w:r>
          </w:p>
        </w:tc>
        <w:tc>
          <w:tcPr>
            <w:tcW w:w="70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采用低价优先法计算，即满足竞争性磋商文件要求且价格最低的报价为评审基准价，其价格分为满分。</w:t>
            </w:r>
          </w:p>
          <w:p>
            <w:pPr>
              <w:rPr>
                <w:rFonts w:ascii="宋体" w:hAnsi="宋体" w:cs="宋体"/>
              </w:rPr>
            </w:pPr>
            <w:r>
              <w:rPr>
                <w:rFonts w:hint="eastAsia" w:ascii="宋体" w:hAnsi="宋体" w:cs="宋体"/>
              </w:rPr>
              <w:t>其他供应商的价格分统一按照下列公式计算:</w:t>
            </w:r>
          </w:p>
          <w:p>
            <w:pPr>
              <w:widowControl/>
              <w:jc w:val="left"/>
            </w:pPr>
            <w:r>
              <w:rPr>
                <w:rFonts w:hint="eastAsia" w:ascii="宋体" w:hAnsi="宋体" w:cs="宋体"/>
              </w:rPr>
              <w:t>报价得分=(评审基准价/报价)×70(小数点后四舍五入保留两位)</w:t>
            </w:r>
          </w:p>
          <w:p>
            <w:pPr>
              <w:rPr>
                <w:rFonts w:ascii="宋体" w:hAnsi="宋体" w:cs="宋体"/>
              </w:rPr>
            </w:pPr>
            <w:r>
              <w:rPr>
                <w:rFonts w:hint="eastAsia" w:ascii="宋体" w:hAnsi="宋体" w:cs="宋体"/>
                <w:b/>
                <w:bCs/>
              </w:rPr>
              <w:t>备注：磋商小组认为供应商的报价明显低于其他通过符合性审查投标人的 报价，有可能影响项目质量或者不能诚信履约的，磋商小组有权要求其在 开标现场合理的时间内提供书面说明，必要时提交相关证明材料；投标人 不能证明其报价合理性的，评标小组将其作为无效投标处理。</w:t>
            </w: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2</w:t>
            </w:r>
          </w:p>
        </w:tc>
        <w:tc>
          <w:tcPr>
            <w:tcW w:w="1125" w:type="dxa"/>
            <w:tcBorders>
              <w:left w:val="single" w:color="auto" w:sz="4" w:space="0"/>
              <w:right w:val="single" w:color="auto" w:sz="4" w:space="0"/>
            </w:tcBorders>
            <w:vAlign w:val="center"/>
          </w:tcPr>
          <w:p>
            <w:pPr>
              <w:jc w:val="center"/>
            </w:pPr>
          </w:p>
          <w:p>
            <w:pPr>
              <w:jc w:val="center"/>
            </w:pPr>
            <w:r>
              <w:rPr>
                <w:rFonts w:hint="eastAsia"/>
              </w:rPr>
              <w:t>团队人员</w:t>
            </w:r>
          </w:p>
          <w:p>
            <w:pPr>
              <w:pStyle w:val="17"/>
              <w:rPr>
                <w:rFonts w:ascii="宋体" w:hAnsi="宋体" w:cs="宋体"/>
              </w:rPr>
            </w:pPr>
            <w:r>
              <w:rPr>
                <w:rFonts w:hint="eastAsia" w:ascii="Calibri" w:hAnsi="Calibri"/>
                <w:sz w:val="21"/>
                <w:szCs w:val="21"/>
              </w:rPr>
              <w:t>（10分）</w:t>
            </w:r>
          </w:p>
        </w:tc>
        <w:tc>
          <w:tcPr>
            <w:tcW w:w="7023" w:type="dxa"/>
            <w:tcBorders>
              <w:top w:val="single" w:color="auto" w:sz="4" w:space="0"/>
              <w:left w:val="single" w:color="auto" w:sz="4" w:space="0"/>
              <w:bottom w:val="single" w:color="auto" w:sz="4" w:space="0"/>
              <w:right w:val="single" w:color="auto" w:sz="4" w:space="0"/>
            </w:tcBorders>
            <w:vAlign w:val="center"/>
          </w:tcPr>
          <w:p>
            <w:r>
              <w:rPr>
                <w:rFonts w:hint="eastAsia"/>
              </w:rPr>
              <w:t>（1）</w:t>
            </w:r>
            <w:r>
              <w:rPr>
                <w:rFonts w:hint="eastAsia"/>
                <w:highlight w:val="none"/>
              </w:rPr>
              <w:t>拟派技术负责人负责人具备工</w:t>
            </w:r>
            <w:r>
              <w:rPr>
                <w:rFonts w:hint="eastAsia"/>
              </w:rPr>
              <w:t>程类中级（含以上）技术职称的得5分</w:t>
            </w:r>
            <w:r>
              <w:rPr>
                <w:rFonts w:hint="eastAsia"/>
                <w:b/>
                <w:bCs/>
              </w:rPr>
              <w:t>（提供职称证书复印件并加盖公章）</w:t>
            </w:r>
          </w:p>
          <w:p>
            <w:pPr>
              <w:pStyle w:val="17"/>
              <w:rPr>
                <w:rFonts w:ascii="Calibri" w:hAnsi="Calibri"/>
                <w:sz w:val="21"/>
                <w:szCs w:val="21"/>
              </w:rPr>
            </w:pPr>
            <w:r>
              <w:rPr>
                <w:rFonts w:hint="eastAsia" w:ascii="Calibri" w:hAnsi="Calibri"/>
                <w:sz w:val="21"/>
                <w:szCs w:val="21"/>
              </w:rPr>
              <w:t>（2）造价人员1名：具有</w:t>
            </w:r>
            <w:r>
              <w:rPr>
                <w:rFonts w:hint="eastAsia" w:ascii="Calibri" w:hAnsi="Calibri"/>
                <w:sz w:val="21"/>
                <w:szCs w:val="21"/>
                <w:lang w:val="en-US" w:eastAsia="zh-CN"/>
              </w:rPr>
              <w:t>一级</w:t>
            </w:r>
            <w:r>
              <w:rPr>
                <w:rFonts w:hint="eastAsia" w:ascii="Calibri" w:hAnsi="Calibri"/>
                <w:sz w:val="21"/>
                <w:szCs w:val="21"/>
              </w:rPr>
              <w:t>注册造价工程师证书（旧版为注册造价师）的得5分。</w:t>
            </w:r>
            <w:r>
              <w:rPr>
                <w:rFonts w:hint="eastAsia" w:ascii="Calibri" w:hAnsi="Calibri"/>
                <w:b/>
                <w:bCs/>
                <w:sz w:val="21"/>
                <w:szCs w:val="21"/>
              </w:rPr>
              <w:t>（提供</w:t>
            </w:r>
            <w:r>
              <w:rPr>
                <w:rFonts w:hint="eastAsia" w:ascii="Calibri" w:hAnsi="Calibri"/>
                <w:b/>
                <w:bCs/>
                <w:sz w:val="21"/>
                <w:szCs w:val="21"/>
                <w:lang w:val="en-US" w:eastAsia="zh-CN"/>
              </w:rPr>
              <w:t>有效的</w:t>
            </w:r>
            <w:r>
              <w:rPr>
                <w:rFonts w:hint="eastAsia" w:ascii="Calibri" w:hAnsi="Calibri"/>
                <w:b/>
                <w:bCs/>
                <w:sz w:val="21"/>
                <w:szCs w:val="21"/>
              </w:rPr>
              <w:t>证书复印件并加盖公章）</w:t>
            </w:r>
          </w:p>
          <w:p>
            <w:pPr>
              <w:pStyle w:val="17"/>
              <w:rPr>
                <w:rFonts w:ascii="Calibri" w:hAnsi="Calibri"/>
                <w:b/>
                <w:bCs/>
                <w:sz w:val="21"/>
                <w:szCs w:val="21"/>
              </w:rPr>
            </w:pPr>
            <w:r>
              <w:rPr>
                <w:rFonts w:hint="eastAsia" w:ascii="Calibri" w:hAnsi="Calibri"/>
                <w:b/>
                <w:bCs/>
                <w:sz w:val="21"/>
                <w:szCs w:val="21"/>
              </w:rPr>
              <w:t>注：1、以上人员必须为本单位人员（须提供劳动合同复印件并加盖公章）；</w:t>
            </w:r>
          </w:p>
          <w:p>
            <w:pPr>
              <w:pStyle w:val="17"/>
              <w:ind w:firstLine="422" w:firstLineChars="200"/>
            </w:pPr>
            <w:r>
              <w:rPr>
                <w:rFonts w:hint="eastAsia" w:ascii="Calibri" w:hAnsi="Calibri"/>
                <w:b/>
                <w:bCs/>
                <w:sz w:val="21"/>
                <w:szCs w:val="21"/>
              </w:rPr>
              <w:t>2、以上人员均须提供投标供应商参加本次政府采购活动前近半年内任意一个月为其缴纳的由劳动和社会保障部门出具的养老保险缴纳凭证（须明确缴费月份、个人姓名、缴费单位，且加盖社保中心或社保中心参保缴费明电子专用章）若提供的证明材料不全或未提供社保证明材料的，则该项不得分。</w:t>
            </w: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3</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p>
            <w:pPr>
              <w:jc w:val="center"/>
              <w:rPr>
                <w:rFonts w:ascii="宋体" w:hAnsi="宋体" w:cs="宋体"/>
              </w:rPr>
            </w:pPr>
            <w:r>
              <w:rPr>
                <w:rFonts w:hint="eastAsia" w:ascii="宋体" w:hAnsi="宋体" w:cs="宋体"/>
              </w:rPr>
              <w:t>业绩</w:t>
            </w:r>
          </w:p>
          <w:p>
            <w:pPr>
              <w:pStyle w:val="17"/>
              <w:jc w:val="center"/>
              <w:rPr>
                <w:rFonts w:ascii="Calibri" w:hAnsi="Calibri"/>
                <w:sz w:val="21"/>
                <w:szCs w:val="21"/>
              </w:rPr>
            </w:pPr>
            <w:r>
              <w:rPr>
                <w:rFonts w:hint="eastAsia" w:ascii="Calibri" w:hAnsi="Calibri"/>
                <w:sz w:val="21"/>
                <w:szCs w:val="21"/>
              </w:rPr>
              <w:t>（20分）</w:t>
            </w:r>
          </w:p>
          <w:p>
            <w:pPr>
              <w:jc w:val="center"/>
            </w:pPr>
          </w:p>
        </w:tc>
        <w:tc>
          <w:tcPr>
            <w:tcW w:w="702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left"/>
            </w:pPr>
            <w:r>
              <w:rPr>
                <w:rFonts w:hint="eastAsia"/>
              </w:rPr>
              <w:t>投标供应商近3年以来（202</w:t>
            </w:r>
            <w:r>
              <w:rPr>
                <w:rFonts w:hint="eastAsia"/>
                <w:lang w:val="en-US" w:eastAsia="zh-CN"/>
              </w:rPr>
              <w:t>1</w:t>
            </w:r>
            <w:r>
              <w:rPr>
                <w:rFonts w:hint="eastAsia"/>
              </w:rPr>
              <w:t>年1月1日之后）承担过类似工程施工业绩的有一项得</w:t>
            </w:r>
            <w:r>
              <w:rPr>
                <w:rFonts w:hint="eastAsia"/>
                <w:lang w:val="en-US" w:eastAsia="zh-CN"/>
              </w:rPr>
              <w:t>4</w:t>
            </w:r>
            <w:r>
              <w:rPr>
                <w:rFonts w:hint="eastAsia"/>
              </w:rPr>
              <w:t>分，满分</w:t>
            </w:r>
            <w:r>
              <w:rPr>
                <w:rFonts w:hint="eastAsia"/>
                <w:lang w:val="en-US" w:eastAsia="zh-CN"/>
              </w:rPr>
              <w:t>12</w:t>
            </w:r>
            <w:r>
              <w:rPr>
                <w:rFonts w:hint="eastAsia"/>
              </w:rPr>
              <w:t>分。</w:t>
            </w:r>
            <w:r>
              <w:rPr>
                <w:rFonts w:hint="eastAsia"/>
                <w:b/>
                <w:bCs/>
              </w:rPr>
              <w:t>（业绩证明材料：必须提供合同、中标通知书、竣工验收合格证明资料三项证明材料,提供不全不得分。时间以合同签订时间为准。提供相关证明复印件并加盖公章）</w:t>
            </w:r>
          </w:p>
          <w:p>
            <w:pPr>
              <w:widowControl/>
              <w:jc w:val="left"/>
            </w:pPr>
          </w:p>
          <w:p>
            <w:pPr>
              <w:widowControl/>
              <w:jc w:val="left"/>
            </w:pPr>
            <w:r>
              <w:rPr>
                <w:rFonts w:hint="eastAsia"/>
              </w:rPr>
              <w:t>（2）项目经理近3年以来（202</w:t>
            </w:r>
            <w:r>
              <w:rPr>
                <w:rFonts w:hint="eastAsia"/>
                <w:lang w:val="en-US" w:eastAsia="zh-CN"/>
              </w:rPr>
              <w:t>1</w:t>
            </w:r>
            <w:r>
              <w:rPr>
                <w:rFonts w:hint="eastAsia"/>
              </w:rPr>
              <w:t>年1月1日之后）承担过类似工程施工业绩的有一项得</w:t>
            </w:r>
            <w:r>
              <w:rPr>
                <w:rFonts w:hint="eastAsia"/>
                <w:lang w:val="en-US" w:eastAsia="zh-CN"/>
              </w:rPr>
              <w:t>4</w:t>
            </w:r>
            <w:r>
              <w:rPr>
                <w:rFonts w:hint="eastAsia"/>
              </w:rPr>
              <w:t>分，满分</w:t>
            </w:r>
            <w:r>
              <w:rPr>
                <w:rFonts w:hint="eastAsia"/>
                <w:lang w:val="en-US" w:eastAsia="zh-CN"/>
              </w:rPr>
              <w:t>8</w:t>
            </w:r>
            <w:r>
              <w:rPr>
                <w:rFonts w:hint="eastAsia"/>
              </w:rPr>
              <w:t>分。</w:t>
            </w:r>
            <w:r>
              <w:rPr>
                <w:rFonts w:hint="eastAsia"/>
                <w:b/>
                <w:bCs/>
              </w:rPr>
              <w:t>（项目经理业绩必须为投标供应商承接，业绩证明材料：必须提供合同、中标通知书、竣工验收合格证明资料三项证明材料,提供不全不得分。时间以合同签订时间为准。提供相关证明复印件并加盖公章）</w:t>
            </w:r>
          </w:p>
          <w:p>
            <w:pPr>
              <w:pStyle w:val="19"/>
              <w:ind w:left="0"/>
            </w:pPr>
            <w:r>
              <w:rPr>
                <w:rFonts w:hint="eastAsia" w:ascii="宋体" w:hAnsi="宋体" w:cs="宋体"/>
                <w:b/>
                <w:bCs/>
              </w:rPr>
              <w:t>注：企业业绩与项目经理业绩不可兼得</w:t>
            </w: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823" w:type="dxa"/>
            <w:gridSpan w:val="3"/>
            <w:tcBorders>
              <w:top w:val="single" w:color="auto" w:sz="4" w:space="0"/>
              <w:left w:val="single" w:color="auto" w:sz="4" w:space="0"/>
              <w:bottom w:val="single" w:color="auto" w:sz="4" w:space="0"/>
              <w:right w:val="single" w:color="auto" w:sz="4" w:space="0"/>
            </w:tcBorders>
            <w:vAlign w:val="center"/>
          </w:tcPr>
          <w:p>
            <w:pPr>
              <w:pStyle w:val="19"/>
              <w:ind w:left="0"/>
              <w:jc w:val="center"/>
              <w:rPr>
                <w:rFonts w:ascii="宋体" w:hAnsi="宋体" w:cs="宋体"/>
                <w:b/>
                <w:bCs/>
              </w:rPr>
            </w:pPr>
            <w:r>
              <w:rPr>
                <w:rFonts w:hint="eastAsia" w:ascii="宋体" w:hAnsi="宋体" w:cs="宋体"/>
                <w:b/>
                <w:bCs/>
              </w:rPr>
              <w:t>合计</w:t>
            </w:r>
          </w:p>
        </w:tc>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100</w:t>
            </w:r>
          </w:p>
        </w:tc>
      </w:tr>
    </w:tbl>
    <w:p/>
    <w:p>
      <w:r>
        <w:rPr>
          <w:rFonts w:hint="eastAsia"/>
        </w:rPr>
        <w:t>说明：</w:t>
      </w:r>
    </w:p>
    <w:p>
      <w:pPr>
        <w:spacing w:line="360" w:lineRule="exact"/>
        <w:rPr>
          <w:rFonts w:hint="eastAsia"/>
        </w:rPr>
      </w:pPr>
      <w:r>
        <w:rPr>
          <w:rFonts w:hint="eastAsia"/>
        </w:rPr>
        <w:t>1、综合比较与评价后按评审后得分由高到低顺序排列。得分相同的，按磋商报价由低到高顺序排列。得分且磋商报价相同的并列。磋商响应文件满足磋商文件全部实质性要求，且按照评审因素的量化指标评审得分最高的供应商为排名第一的成交候选人。</w:t>
      </w:r>
    </w:p>
    <w:p>
      <w:pPr>
        <w:spacing w:line="360" w:lineRule="exact"/>
        <w:rPr>
          <w:rFonts w:hint="eastAsia"/>
        </w:rPr>
      </w:pPr>
      <w:r>
        <w:rPr>
          <w:rFonts w:hint="eastAsia"/>
        </w:rPr>
        <w:t>2、对国家认定的节能产品和环保产品分别给予投标价的 5%价格扣除，用扣除后的价格参与评审（特别说明：节能、环保产品 必须纳入“中国政府采购网 http://www.ccgp.gov.cn”等官方网站“节能、环保产品查询系统”，且以提供的证书复印件为准）。</w:t>
      </w:r>
    </w:p>
    <w:p>
      <w:pPr>
        <w:spacing w:line="360" w:lineRule="exact"/>
        <w:rPr>
          <w:rFonts w:hint="eastAsia"/>
        </w:rPr>
      </w:pPr>
      <w:r>
        <w:rPr>
          <w:rFonts w:hint="eastAsia"/>
        </w:rPr>
        <w:t>3、对小微企业生产的产品给予投标价的10%（服务类为10%）价格扣除，用扣除后的价格参与评审。</w:t>
      </w:r>
    </w:p>
    <w:p>
      <w:pPr>
        <w:spacing w:line="360" w:lineRule="exact"/>
        <w:rPr>
          <w:rFonts w:hint="eastAsia"/>
        </w:rPr>
      </w:pPr>
      <w:r>
        <w:rPr>
          <w:rFonts w:hint="eastAsia"/>
        </w:rPr>
        <w:t>4、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工程类为5%）价格扣除，用扣除后的价格参与评审。</w:t>
      </w:r>
    </w:p>
    <w:p>
      <w:pPr>
        <w:spacing w:line="360" w:lineRule="exact"/>
        <w:rPr>
          <w:rFonts w:hint="eastAsia"/>
        </w:rPr>
      </w:pPr>
      <w:r>
        <w:rPr>
          <w:rFonts w:hint="eastAsia"/>
        </w:rPr>
        <w:t>4.1.小企业（含小型、微型企业）应当同时符合以下条件：</w:t>
      </w:r>
    </w:p>
    <w:p>
      <w:pPr>
        <w:spacing w:line="360" w:lineRule="exact"/>
        <w:rPr>
          <w:rFonts w:hint="eastAsia"/>
        </w:rPr>
      </w:pPr>
      <w:r>
        <w:rPr>
          <w:rFonts w:hint="eastAsia"/>
        </w:rPr>
        <w:t>（1）供应商为小企业，且符合中小企业划分标准；企业标准请参照《关于印发中小企业划型标准规定的通知》（工信部联企业[2011]300号）文件。</w:t>
      </w:r>
    </w:p>
    <w:p>
      <w:pPr>
        <w:spacing w:line="360" w:lineRule="exact"/>
        <w:rPr>
          <w:rFonts w:hint="eastAsia"/>
        </w:rPr>
      </w:pPr>
      <w:r>
        <w:rPr>
          <w:rFonts w:hint="eastAsia"/>
        </w:rPr>
        <w:t>（2）提供本企业制造的货物、承担的工程或者服务，或者提供其他小企业制造的货物。如果提供的货物为大中型企业注册商标的货物，视同大中型企业。</w:t>
      </w:r>
    </w:p>
    <w:p>
      <w:pPr>
        <w:spacing w:line="360" w:lineRule="exact"/>
        <w:rPr>
          <w:rFonts w:hint="eastAsia"/>
        </w:rPr>
      </w:pPr>
      <w:r>
        <w:rPr>
          <w:rFonts w:hint="eastAsia"/>
        </w:rPr>
        <w:t>（3）小微企业，认定材料须应当提供《中小企业声明函》（制造商和投标人须同为小微企业）。</w:t>
      </w:r>
    </w:p>
    <w:p>
      <w:pPr>
        <w:spacing w:line="360" w:lineRule="exact"/>
        <w:rPr>
          <w:rFonts w:hint="eastAsia"/>
        </w:rPr>
      </w:pPr>
      <w:r>
        <w:rPr>
          <w:rFonts w:hint="eastAsia"/>
        </w:rPr>
        <w:t xml:space="preserve">5、监狱和戒毒企业的价格扣除 </w:t>
      </w:r>
    </w:p>
    <w:p>
      <w:pPr>
        <w:spacing w:line="360" w:lineRule="exact"/>
        <w:rPr>
          <w:rFonts w:hint="eastAsia"/>
        </w:rPr>
      </w:pPr>
      <w:r>
        <w:rPr>
          <w:rFonts w:hint="eastAsia"/>
        </w:rPr>
        <w:t xml:space="preserve">5.1.本项目对监狱和戒毒企业（简称监狱企业），给予10%的价格扣除，用扣除后的价格参与评审。 </w:t>
      </w:r>
    </w:p>
    <w:p>
      <w:pPr>
        <w:spacing w:line="360" w:lineRule="exact"/>
        <w:rPr>
          <w:rFonts w:hint="eastAsia"/>
        </w:rPr>
      </w:pPr>
      <w:r>
        <w:rPr>
          <w:rFonts w:hint="eastAsia"/>
        </w:rPr>
        <w:t>5.2.监狱企业需提供由省级以上监狱管理局、戒毒管理局（含新疆生产建设兵团）出具的属于监狱企业的证明文件。</w:t>
      </w:r>
    </w:p>
    <w:p>
      <w:pPr>
        <w:spacing w:line="360" w:lineRule="exact"/>
        <w:rPr>
          <w:rFonts w:hint="eastAsia"/>
        </w:rPr>
      </w:pPr>
      <w:r>
        <w:rPr>
          <w:rFonts w:hint="eastAsia"/>
        </w:rPr>
        <w:t xml:space="preserve">5.3.监狱企业标准请参照《关于政府采购支持监狱企业发展有关问题的通知》（财库[2014]68号）。 </w:t>
      </w:r>
    </w:p>
    <w:p>
      <w:pPr>
        <w:spacing w:line="360" w:lineRule="exact"/>
        <w:rPr>
          <w:rFonts w:hint="eastAsia"/>
        </w:rPr>
      </w:pPr>
      <w:r>
        <w:rPr>
          <w:rFonts w:hint="eastAsia"/>
        </w:rPr>
        <w:t>6、残疾人福利性单位的价格扣除</w:t>
      </w:r>
    </w:p>
    <w:p>
      <w:pPr>
        <w:spacing w:line="360" w:lineRule="exact"/>
        <w:rPr>
          <w:rFonts w:hint="eastAsia"/>
        </w:rPr>
      </w:pPr>
      <w:r>
        <w:rPr>
          <w:rFonts w:hint="eastAsia"/>
        </w:rPr>
        <w:t>6.1.本项目对残疾人福利性单位，给予10%的价格扣除，用扣除后的价格参与评审。</w:t>
      </w:r>
    </w:p>
    <w:p>
      <w:pPr>
        <w:spacing w:line="360" w:lineRule="exact"/>
        <w:rPr>
          <w:rFonts w:hint="eastAsia"/>
        </w:rPr>
      </w:pPr>
      <w:r>
        <w:rPr>
          <w:rFonts w:hint="eastAsia"/>
        </w:rPr>
        <w:t>6.2.残疾人福利单位需按照采购文件的要求提供《残疾人福利性单位声明函》。</w:t>
      </w:r>
    </w:p>
    <w:p>
      <w:pPr>
        <w:spacing w:line="360" w:lineRule="exact"/>
        <w:rPr>
          <w:rFonts w:hint="eastAsia"/>
        </w:rPr>
      </w:pPr>
      <w:r>
        <w:rPr>
          <w:rFonts w:hint="eastAsia"/>
        </w:rPr>
        <w:t>6.3.残疾人福利单位标准请参照《关于促进残疾人就业政府采购政策的通知》（财库〔2017〕141号）。</w:t>
      </w:r>
    </w:p>
    <w:p>
      <w:pPr>
        <w:spacing w:line="360" w:lineRule="exact"/>
        <w:rPr>
          <w:rFonts w:ascii="微软雅黑" w:hAnsi="微软雅黑" w:eastAsia="微软雅黑" w:cs="微软雅黑"/>
        </w:rPr>
      </w:pPr>
      <w:r>
        <w:rPr>
          <w:rFonts w:hint="eastAsia"/>
        </w:rPr>
        <w:t>7、监狱企业、残疾人福利单位属于小型、微型企业的，不重复享受政策。</w:t>
      </w:r>
      <w:r>
        <w:rPr>
          <w:rFonts w:hint="eastAsia" w:ascii="微软雅黑" w:hAnsi="微软雅黑" w:eastAsia="微软雅黑" w:cs="微软雅黑"/>
        </w:rPr>
        <w:br w:type="page"/>
      </w:r>
    </w:p>
    <w:p>
      <w:pPr>
        <w:autoSpaceDE w:val="0"/>
        <w:autoSpaceDN w:val="0"/>
        <w:adjustRightInd w:val="0"/>
        <w:spacing w:line="460" w:lineRule="exact"/>
        <w:jc w:val="center"/>
        <w:rPr>
          <w:rFonts w:hint="eastAsia" w:ascii="微软雅黑" w:hAnsi="微软雅黑" w:eastAsia="微软雅黑" w:cs="微软雅黑"/>
          <w:b/>
          <w:bCs/>
          <w:sz w:val="32"/>
          <w:szCs w:val="32"/>
          <w:lang w:val="zh-CN"/>
        </w:rPr>
      </w:pPr>
      <w:bookmarkStart w:id="42" w:name="_Toc150538845"/>
      <w:bookmarkEnd w:id="42"/>
      <w:bookmarkStart w:id="43" w:name="_Toc19019"/>
      <w:bookmarkEnd w:id="43"/>
      <w:bookmarkStart w:id="44" w:name="_Toc479586161"/>
      <w:bookmarkEnd w:id="44"/>
      <w:bookmarkStart w:id="45" w:name="_Toc479586164"/>
      <w:bookmarkStart w:id="46" w:name="_Toc29064"/>
      <w:r>
        <w:rPr>
          <w:rFonts w:hint="eastAsia" w:ascii="微软雅黑" w:hAnsi="微软雅黑" w:eastAsia="微软雅黑" w:cs="微软雅黑"/>
          <w:b/>
          <w:bCs/>
          <w:sz w:val="32"/>
          <w:szCs w:val="32"/>
        </w:rPr>
        <w:t>第四章</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rPr>
        <w:t xml:space="preserve"> 采购需求</w:t>
      </w:r>
    </w:p>
    <w:p>
      <w:pPr>
        <w:pStyle w:val="6"/>
        <w:adjustRightInd w:val="0"/>
        <w:snapToGrid w:val="0"/>
        <w:spacing w:before="0" w:after="0" w:line="360" w:lineRule="auto"/>
        <w:ind w:firstLine="422" w:firstLineChars="200"/>
        <w:rPr>
          <w:rFonts w:hint="eastAsia" w:ascii="宋体" w:hAnsi="宋体" w:cs="宋体"/>
          <w:color w:val="000000"/>
          <w:sz w:val="21"/>
          <w:szCs w:val="21"/>
          <w:lang w:val="zh-CN"/>
        </w:rPr>
      </w:pPr>
      <w:r>
        <w:rPr>
          <w:rFonts w:hint="eastAsia" w:ascii="宋体" w:hAnsi="宋体" w:cs="宋体"/>
          <w:color w:val="000000"/>
          <w:sz w:val="21"/>
          <w:szCs w:val="21"/>
        </w:rPr>
        <w:t>一、工程概况</w:t>
      </w:r>
    </w:p>
    <w:p>
      <w:pPr>
        <w:adjustRightInd w:val="0"/>
        <w:snapToGrid w:val="0"/>
        <w:spacing w:line="360" w:lineRule="auto"/>
        <w:ind w:firstLine="420" w:firstLineChars="200"/>
        <w:rPr>
          <w:rFonts w:hint="eastAsia" w:ascii="宋体" w:hAnsi="宋体" w:eastAsia="宋体"/>
          <w:color w:val="000000"/>
          <w:lang w:eastAsia="zh-CN"/>
        </w:rPr>
      </w:pPr>
      <w:r>
        <w:rPr>
          <w:rFonts w:hint="eastAsia" w:ascii="宋体" w:hAnsi="宋体"/>
          <w:color w:val="000000"/>
        </w:rPr>
        <w:t>1、工程名称：</w:t>
      </w:r>
      <w:r>
        <w:rPr>
          <w:rFonts w:hint="eastAsia" w:ascii="宋体" w:hAnsi="宋体"/>
          <w:color w:val="000000"/>
          <w:lang w:eastAsia="zh-CN"/>
        </w:rPr>
        <w:t>2024年南京市栖霞区实验小学尧化街校区厕所提升工程</w:t>
      </w:r>
    </w:p>
    <w:p>
      <w:pPr>
        <w:adjustRightInd w:val="0"/>
        <w:snapToGrid w:val="0"/>
        <w:spacing w:line="360" w:lineRule="auto"/>
        <w:ind w:firstLine="420" w:firstLineChars="200"/>
        <w:rPr>
          <w:rFonts w:hint="eastAsia" w:ascii="宋体" w:hAnsi="宋体"/>
          <w:color w:val="000000"/>
        </w:rPr>
      </w:pPr>
      <w:r>
        <w:rPr>
          <w:rFonts w:hint="eastAsia" w:ascii="宋体" w:hAnsi="宋体"/>
          <w:color w:val="000000"/>
        </w:rPr>
        <w:t>2、工程地点：栖霞区尧化门街221号</w:t>
      </w:r>
    </w:p>
    <w:p>
      <w:pPr>
        <w:adjustRightInd w:val="0"/>
        <w:snapToGrid w:val="0"/>
        <w:spacing w:line="360" w:lineRule="auto"/>
        <w:ind w:firstLine="420" w:firstLineChars="200"/>
        <w:rPr>
          <w:rFonts w:ascii="宋体" w:hAnsi="宋体"/>
          <w:color w:val="000000"/>
        </w:rPr>
      </w:pPr>
      <w:r>
        <w:rPr>
          <w:rFonts w:hint="eastAsia" w:ascii="宋体" w:hAnsi="宋体"/>
          <w:color w:val="000000"/>
        </w:rPr>
        <w:t>3、本次建设规模及内容</w:t>
      </w:r>
      <w:r>
        <w:rPr>
          <w:rFonts w:hint="eastAsia" w:ascii="宋体" w:hAnsi="宋体" w:cs="Times New Roman"/>
          <w:color w:val="000000"/>
        </w:rPr>
        <w:t>：</w:t>
      </w:r>
      <w:r>
        <w:rPr>
          <w:rFonts w:hint="eastAsia" w:ascii="宋体" w:hAnsi="宋体" w:cs="Times New Roman"/>
          <w:color w:val="000000"/>
          <w:lang w:val="zh-CN"/>
        </w:rPr>
        <w:t>对栖霞区实验小学尧化街校区1#楼一至四层、1#-2#楼连廊一至四层、3#楼二至四层共19间卫生间进行提升改造，改造总建筑面积约472.31平方米。建设内容主要包括拆除工程、室内装修改造工程、成品卫生器具安装及水电改造。详见第四章工程量编制说明及工程量清单。</w:t>
      </w:r>
      <w:r>
        <w:rPr>
          <w:rFonts w:hint="eastAsia" w:ascii="宋体" w:hAnsi="宋体"/>
          <w:color w:val="000000"/>
        </w:rPr>
        <w:t>具体详见图纸及工程量清单。</w:t>
      </w:r>
    </w:p>
    <w:p>
      <w:pPr>
        <w:adjustRightInd w:val="0"/>
        <w:snapToGrid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二、编制依据</w:t>
      </w:r>
    </w:p>
    <w:p>
      <w:pPr>
        <w:pStyle w:val="73"/>
        <w:adjustRightInd/>
        <w:spacing w:line="460" w:lineRule="exact"/>
        <w:ind w:left="0"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1、清单执行《建设工程工程量清单计价规范》GB50500-2013；《房屋建筑与装饰工程工程量计算规范》GB50854-2013；《通用安装工程工程量计算规范》GB50856-2013；</w:t>
      </w:r>
    </w:p>
    <w:p>
      <w:pPr>
        <w:pStyle w:val="73"/>
        <w:adjustRightInd/>
        <w:spacing w:line="460" w:lineRule="exact"/>
        <w:ind w:left="0"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2、与建设项目相关的标准、规范、技术资料；</w:t>
      </w:r>
    </w:p>
    <w:p>
      <w:pPr>
        <w:pStyle w:val="73"/>
        <w:adjustRightInd/>
        <w:spacing w:line="460" w:lineRule="exact"/>
        <w:ind w:left="0"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3、工程量根据图纸计算计入；</w:t>
      </w:r>
    </w:p>
    <w:p>
      <w:pPr>
        <w:pStyle w:val="73"/>
        <w:adjustRightInd/>
        <w:spacing w:line="460" w:lineRule="exact"/>
        <w:ind w:left="0"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4、施工现场情况、工程特点及常规施工；</w:t>
      </w:r>
    </w:p>
    <w:p>
      <w:pPr>
        <w:pStyle w:val="73"/>
        <w:adjustRightInd/>
        <w:spacing w:line="460" w:lineRule="exact"/>
        <w:ind w:left="0" w:firstLine="422" w:firstLineChars="200"/>
        <w:jc w:val="both"/>
        <w:textAlignment w:val="auto"/>
        <w:rPr>
          <w:rFonts w:hint="eastAsia" w:ascii="宋体" w:hAnsi="宋体" w:eastAsia="宋体" w:cs="Times New Roman"/>
          <w:color w:val="000000"/>
          <w:kern w:val="2"/>
          <w:sz w:val="21"/>
          <w:szCs w:val="21"/>
          <w:lang w:val="zh-CN" w:eastAsia="zh-CN" w:bidi="ar-SA"/>
        </w:rPr>
      </w:pPr>
      <w:r>
        <w:rPr>
          <w:rFonts w:hint="eastAsia" w:cs="微软雅黑" w:asciiTheme="minorEastAsia" w:hAnsiTheme="minorEastAsia" w:eastAsiaTheme="minorEastAsia"/>
          <w:b/>
          <w:bCs/>
          <w:sz w:val="21"/>
          <w:szCs w:val="21"/>
          <w:lang w:val="en-US" w:eastAsia="zh-CN"/>
        </w:rPr>
        <w:t>三</w:t>
      </w:r>
      <w:r>
        <w:rPr>
          <w:rFonts w:hint="eastAsia" w:cs="微软雅黑" w:asciiTheme="minorEastAsia" w:hAnsiTheme="minorEastAsia" w:eastAsiaTheme="minorEastAsia"/>
          <w:b/>
          <w:bCs/>
          <w:sz w:val="21"/>
          <w:szCs w:val="21"/>
        </w:rPr>
        <w:t>、工程质量、材料、施工等的特殊要求：</w:t>
      </w:r>
    </w:p>
    <w:p>
      <w:pPr>
        <w:pStyle w:val="73"/>
        <w:adjustRightInd/>
        <w:spacing w:line="460" w:lineRule="exact"/>
        <w:ind w:left="99" w:leftChars="47" w:firstLine="357" w:firstLineChars="170"/>
        <w:jc w:val="both"/>
        <w:textAlignment w:val="auto"/>
        <w:rPr>
          <w:rFonts w:cs="微软雅黑" w:asciiTheme="minorEastAsia" w:hAnsiTheme="minorEastAsia" w:eastAsiaTheme="minorEastAsia"/>
          <w:szCs w:val="21"/>
        </w:rPr>
      </w:pPr>
      <w:r>
        <w:rPr>
          <w:rFonts w:hint="eastAsia" w:cs="微软雅黑" w:asciiTheme="minorEastAsia" w:hAnsiTheme="minorEastAsia" w:eastAsiaTheme="minorEastAsia"/>
          <w:bCs/>
          <w:sz w:val="21"/>
          <w:szCs w:val="21"/>
        </w:rPr>
        <w:t>1、工程质量：合格。</w:t>
      </w:r>
    </w:p>
    <w:p>
      <w:pPr>
        <w:tabs>
          <w:tab w:val="left" w:pos="1793"/>
        </w:tabs>
        <w:spacing w:line="460" w:lineRule="exact"/>
        <w:ind w:firstLine="432"/>
        <w:rPr>
          <w:rFonts w:cs="微软雅黑" w:asciiTheme="minorEastAsia" w:hAnsiTheme="minorEastAsia" w:eastAsiaTheme="minorEastAsia"/>
          <w:bCs/>
        </w:rPr>
      </w:pPr>
      <w:r>
        <w:rPr>
          <w:rFonts w:hint="eastAsia" w:cs="微软雅黑" w:asciiTheme="minorEastAsia" w:hAnsiTheme="minorEastAsia" w:eastAsiaTheme="minorEastAsia"/>
        </w:rPr>
        <w:t>其它具体详设计图纸材料表，工程用材必须符合现行环保要求和节能规定，</w:t>
      </w:r>
      <w:r>
        <w:rPr>
          <w:rFonts w:hint="eastAsia" w:cs="微软雅黑" w:asciiTheme="minorEastAsia" w:hAnsiTheme="minorEastAsia" w:eastAsiaTheme="minorEastAsia"/>
          <w:bCs/>
        </w:rPr>
        <w:t>所选材料施工前均需准备小样，施工时得到甲方和设计师认可方可进场施工。</w:t>
      </w:r>
    </w:p>
    <w:p>
      <w:pPr>
        <w:tabs>
          <w:tab w:val="left" w:pos="1332"/>
        </w:tabs>
        <w:spacing w:line="460" w:lineRule="exact"/>
        <w:ind w:firstLine="430" w:firstLineChars="205"/>
        <w:rPr>
          <w:rFonts w:cs="微软雅黑" w:asciiTheme="minorEastAsia" w:hAnsiTheme="minorEastAsia" w:eastAsiaTheme="minorEastAsia"/>
        </w:rPr>
      </w:pPr>
      <w:r>
        <w:rPr>
          <w:rFonts w:hint="eastAsia" w:cs="微软雅黑" w:asciiTheme="minorEastAsia" w:hAnsiTheme="minorEastAsia" w:eastAsiaTheme="minorEastAsia"/>
        </w:rPr>
        <w:t>2、施工的其它要求。</w:t>
      </w:r>
    </w:p>
    <w:p>
      <w:pPr>
        <w:tabs>
          <w:tab w:val="left" w:pos="1332"/>
        </w:tabs>
        <w:spacing w:line="460" w:lineRule="exact"/>
        <w:ind w:firstLine="430" w:firstLineChars="205"/>
        <w:rPr>
          <w:rFonts w:cs="微软雅黑" w:asciiTheme="minorEastAsia" w:hAnsiTheme="minorEastAsia" w:eastAsiaTheme="minorEastAsia"/>
        </w:rPr>
      </w:pPr>
      <w:r>
        <w:rPr>
          <w:rFonts w:hint="eastAsia" w:cs="微软雅黑" w:asciiTheme="minorEastAsia" w:hAnsiTheme="minorEastAsia" w:eastAsiaTheme="minorEastAsia"/>
        </w:rPr>
        <w:t>（1）施工图纸无详细设计说明，清单以常规做法考虑。</w:t>
      </w:r>
    </w:p>
    <w:p>
      <w:pPr>
        <w:spacing w:line="460" w:lineRule="exact"/>
        <w:ind w:firstLine="420" w:firstLineChars="200"/>
        <w:rPr>
          <w:rFonts w:cs="微软雅黑" w:asciiTheme="minorEastAsia" w:hAnsiTheme="minorEastAsia" w:eastAsiaTheme="minorEastAsia"/>
        </w:rPr>
      </w:pPr>
      <w:r>
        <w:rPr>
          <w:rFonts w:hint="eastAsia" w:cs="微软雅黑" w:asciiTheme="minorEastAsia" w:hAnsiTheme="minorEastAsia" w:eastAsiaTheme="minorEastAsia"/>
        </w:rPr>
        <w:t>（2）供应商考虑对现有工程的保护、并结合项目日常需要考虑采取必要的安全防护等。</w:t>
      </w:r>
    </w:p>
    <w:p>
      <w:pPr>
        <w:tabs>
          <w:tab w:val="left" w:pos="1332"/>
        </w:tabs>
        <w:spacing w:line="460" w:lineRule="exact"/>
        <w:rPr>
          <w:rFonts w:cs="微软雅黑" w:asciiTheme="minorEastAsia" w:hAnsiTheme="minorEastAsia" w:eastAsiaTheme="minorEastAsia"/>
        </w:rPr>
      </w:pPr>
      <w:r>
        <w:rPr>
          <w:rFonts w:hint="eastAsia" w:cs="微软雅黑" w:asciiTheme="minorEastAsia" w:hAnsiTheme="minorEastAsia" w:eastAsiaTheme="minorEastAsia"/>
        </w:rPr>
        <w:t xml:space="preserve">    3、</w:t>
      </w:r>
      <w:r>
        <w:rPr>
          <w:rFonts w:hint="eastAsia" w:cs="微软雅黑" w:asciiTheme="minorEastAsia" w:hAnsiTheme="minorEastAsia" w:eastAsiaTheme="minorEastAsia"/>
          <w:lang w:eastAsia="zh-CN"/>
        </w:rPr>
        <w:t>材料设备品牌表</w:t>
      </w:r>
    </w:p>
    <w:tbl>
      <w:tblPr>
        <w:tblStyle w:val="41"/>
        <w:tblW w:w="9013"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2973"/>
        <w:gridCol w:w="4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4"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序号</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材料名称</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14"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1</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墙地砖</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益力达陶瓷、依诺陶瓷、冠军臻石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14"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2</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乳胶漆</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立邦、多乐士、双菱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14"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3</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轻钢龙骨</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拉法基、可耐福、龙牌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14"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4</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板材</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兔宝宝、福庆、大王椰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14"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5</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饰面砂浆</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富思特、西西韦、堡密特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14"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6</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防水卷材</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大禹、禹王、东方雨虹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14"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7</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普通灯具</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雷士、飞利浦、欧普照明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14"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8</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开关面板</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TCL、西门子、公牛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14" w:type="dxa"/>
            <w:noWrap w:val="0"/>
            <w:vAlign w:val="center"/>
          </w:tcPr>
          <w:p>
            <w:pPr>
              <w:spacing w:line="460" w:lineRule="exact"/>
              <w:jc w:val="center"/>
              <w:rPr>
                <w:rFonts w:hint="default" w:cs="微软雅黑" w:asciiTheme="minorEastAsia" w:hAnsiTheme="minorEastAsia" w:eastAsiaTheme="minorEastAsia"/>
                <w:lang w:val="en-US" w:eastAsia="zh-CN"/>
              </w:rPr>
            </w:pPr>
            <w:r>
              <w:rPr>
                <w:rFonts w:hint="eastAsia" w:cs="微软雅黑" w:asciiTheme="minorEastAsia" w:hAnsiTheme="minorEastAsia" w:eastAsiaTheme="minorEastAsia"/>
                <w:lang w:val="en-US" w:eastAsia="zh-CN"/>
              </w:rPr>
              <w:t>9</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电线/电缆</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远东、江南、上上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14" w:type="dxa"/>
            <w:noWrap w:val="0"/>
            <w:vAlign w:val="center"/>
          </w:tcPr>
          <w:p>
            <w:pPr>
              <w:spacing w:line="460" w:lineRule="exact"/>
              <w:jc w:val="center"/>
              <w:rPr>
                <w:rFonts w:hint="default" w:cs="微软雅黑" w:asciiTheme="minorEastAsia" w:hAnsiTheme="minorEastAsia" w:eastAsiaTheme="minorEastAsia"/>
                <w:lang w:val="en-US" w:eastAsia="zh-CN"/>
              </w:rPr>
            </w:pPr>
            <w:r>
              <w:rPr>
                <w:rFonts w:hint="eastAsia" w:cs="微软雅黑" w:asciiTheme="minorEastAsia" w:hAnsiTheme="minorEastAsia" w:eastAsiaTheme="minorEastAsia"/>
                <w:lang w:val="en-US" w:eastAsia="zh-CN"/>
              </w:rPr>
              <w:t>10</w:t>
            </w:r>
          </w:p>
        </w:tc>
        <w:tc>
          <w:tcPr>
            <w:tcW w:w="2973" w:type="dxa"/>
            <w:noWrap w:val="0"/>
            <w:vAlign w:val="center"/>
          </w:tcPr>
          <w:p>
            <w:pPr>
              <w:spacing w:line="460" w:lineRule="exact"/>
              <w:jc w:val="center"/>
              <w:rPr>
                <w:rFonts w:hint="default" w:cs="微软雅黑" w:asciiTheme="minorEastAsia" w:hAnsiTheme="minorEastAsia" w:eastAsiaTheme="minorEastAsia"/>
                <w:lang w:val="en-US" w:eastAsia="zh-CN"/>
              </w:rPr>
            </w:pPr>
            <w:r>
              <w:rPr>
                <w:rFonts w:hint="eastAsia" w:cs="微软雅黑" w:asciiTheme="minorEastAsia" w:hAnsiTheme="minorEastAsia" w:eastAsiaTheme="minorEastAsia"/>
              </w:rPr>
              <w:t>电箱</w:t>
            </w:r>
            <w:r>
              <w:rPr>
                <w:rFonts w:hint="eastAsia" w:cs="微软雅黑" w:asciiTheme="minorEastAsia" w:hAnsiTheme="minorEastAsia" w:eastAsiaTheme="minorEastAsia"/>
                <w:lang w:eastAsia="zh-CN"/>
              </w:rPr>
              <w:t>、</w:t>
            </w:r>
            <w:r>
              <w:rPr>
                <w:rFonts w:hint="eastAsia" w:cs="微软雅黑" w:asciiTheme="minorEastAsia" w:hAnsiTheme="minorEastAsia" w:eastAsiaTheme="minorEastAsia"/>
                <w:lang w:val="en-US" w:eastAsia="zh-CN"/>
              </w:rPr>
              <w:t>断路器</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公牛、西门子、ABB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14" w:type="dxa"/>
            <w:noWrap w:val="0"/>
            <w:vAlign w:val="center"/>
          </w:tcPr>
          <w:p>
            <w:pPr>
              <w:spacing w:line="460" w:lineRule="exact"/>
              <w:jc w:val="center"/>
              <w:rPr>
                <w:rFonts w:hint="default" w:cs="微软雅黑" w:asciiTheme="minorEastAsia" w:hAnsiTheme="minorEastAsia" w:eastAsiaTheme="minorEastAsia"/>
                <w:lang w:val="en-US" w:eastAsia="zh-CN"/>
              </w:rPr>
            </w:pPr>
            <w:r>
              <w:rPr>
                <w:rFonts w:hint="eastAsia" w:cs="微软雅黑" w:asciiTheme="minorEastAsia" w:hAnsiTheme="minorEastAsia" w:eastAsiaTheme="minorEastAsia"/>
                <w:lang w:val="en-US" w:eastAsia="zh-CN"/>
              </w:rPr>
              <w:t>11</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卫生洁具</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惠达、九牧、东鹏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14" w:type="dxa"/>
            <w:noWrap w:val="0"/>
            <w:vAlign w:val="center"/>
          </w:tcPr>
          <w:p>
            <w:pPr>
              <w:spacing w:line="460" w:lineRule="exact"/>
              <w:jc w:val="center"/>
              <w:rPr>
                <w:rFonts w:hint="default" w:cs="微软雅黑" w:asciiTheme="minorEastAsia" w:hAnsiTheme="minorEastAsia" w:eastAsiaTheme="minorEastAsia"/>
                <w:lang w:val="en-US" w:eastAsia="zh-CN"/>
              </w:rPr>
            </w:pPr>
            <w:r>
              <w:rPr>
                <w:rFonts w:hint="eastAsia" w:cs="微软雅黑" w:asciiTheme="minorEastAsia" w:hAnsiTheme="minorEastAsia" w:eastAsiaTheme="minorEastAsia"/>
                <w:lang w:val="en-US" w:eastAsia="zh-CN"/>
              </w:rPr>
              <w:t>12</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管材</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伟星、公元、中财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14" w:type="dxa"/>
            <w:noWrap w:val="0"/>
            <w:vAlign w:val="center"/>
          </w:tcPr>
          <w:p>
            <w:pPr>
              <w:spacing w:line="460" w:lineRule="exact"/>
              <w:jc w:val="center"/>
              <w:rPr>
                <w:rFonts w:hint="default" w:cs="微软雅黑" w:asciiTheme="minorEastAsia" w:hAnsiTheme="minorEastAsia" w:eastAsiaTheme="minorEastAsia"/>
                <w:lang w:val="en-US" w:eastAsia="zh-CN"/>
              </w:rPr>
            </w:pPr>
            <w:r>
              <w:rPr>
                <w:rFonts w:hint="eastAsia" w:cs="微软雅黑" w:asciiTheme="minorEastAsia" w:hAnsiTheme="minorEastAsia" w:eastAsiaTheme="minorEastAsia"/>
                <w:lang w:val="en-US" w:eastAsia="zh-CN"/>
              </w:rPr>
              <w:t>13</w:t>
            </w:r>
          </w:p>
        </w:tc>
        <w:tc>
          <w:tcPr>
            <w:tcW w:w="2973"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lang w:val="en-US" w:eastAsia="zh-CN"/>
              </w:rPr>
              <w:t>阀门</w:t>
            </w:r>
          </w:p>
        </w:tc>
        <w:tc>
          <w:tcPr>
            <w:tcW w:w="472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lang w:val="en-US" w:eastAsia="zh-CN"/>
              </w:rPr>
              <w:t>上海标一、上海沪工、埃美柯</w:t>
            </w:r>
          </w:p>
        </w:tc>
      </w:tr>
    </w:tbl>
    <w:p>
      <w:pPr>
        <w:pStyle w:val="65"/>
        <w:tabs>
          <w:tab w:val="left" w:pos="390"/>
          <w:tab w:val="center" w:pos="4404"/>
        </w:tabs>
        <w:spacing w:line="240" w:lineRule="auto"/>
        <w:jc w:val="left"/>
        <w:rPr>
          <w:rFonts w:hint="eastAsia" w:cs="微软雅黑" w:asciiTheme="minorEastAsia" w:hAnsiTheme="minorEastAsia" w:eastAsiaTheme="minorEastAsia"/>
          <w:b w:val="0"/>
          <w:bCs/>
          <w:lang w:val="en-US" w:eastAsia="zh-CN"/>
        </w:rPr>
      </w:pPr>
      <w:r>
        <w:rPr>
          <w:rFonts w:hint="eastAsia" w:cs="微软雅黑" w:asciiTheme="minorEastAsia" w:hAnsiTheme="minorEastAsia" w:eastAsiaTheme="minorEastAsia"/>
          <w:b w:val="0"/>
          <w:bCs/>
          <w:lang w:val="en-US" w:eastAsia="zh-CN"/>
        </w:rPr>
        <w:t>注：1、供应商必须按照采购人提供的品牌及质量要求报价，如使用其他品牌时，必须提供充分的依据，证明使用的材料质量高于或相当于本品牌产品，并得到采购人同意。</w:t>
      </w:r>
    </w:p>
    <w:p>
      <w:pPr>
        <w:pStyle w:val="65"/>
        <w:tabs>
          <w:tab w:val="left" w:pos="390"/>
          <w:tab w:val="center" w:pos="4404"/>
        </w:tabs>
        <w:spacing w:line="240" w:lineRule="auto"/>
        <w:jc w:val="left"/>
        <w:rPr>
          <w:rFonts w:hint="default" w:cs="微软雅黑" w:asciiTheme="minorEastAsia" w:hAnsiTheme="minorEastAsia" w:eastAsiaTheme="minorEastAsia"/>
          <w:b w:val="0"/>
          <w:bCs/>
          <w:lang w:val="en-US" w:eastAsia="zh-CN"/>
        </w:rPr>
      </w:pPr>
      <w:r>
        <w:rPr>
          <w:rFonts w:hint="eastAsia" w:cs="微软雅黑" w:asciiTheme="minorEastAsia" w:hAnsiTheme="minorEastAsia" w:eastAsiaTheme="minorEastAsia"/>
          <w:b w:val="0"/>
          <w:bCs/>
          <w:lang w:val="en-US" w:eastAsia="zh-CN"/>
        </w:rPr>
        <w:t>2、材料进场前应先申请经采购人同意后才可购买。</w:t>
      </w:r>
    </w:p>
    <w:p>
      <w:pPr>
        <w:pStyle w:val="65"/>
        <w:tabs>
          <w:tab w:val="left" w:pos="390"/>
          <w:tab w:val="center" w:pos="4404"/>
        </w:tabs>
        <w:spacing w:line="336" w:lineRule="auto"/>
        <w:ind w:firstLine="422" w:firstLineChars="200"/>
        <w:jc w:val="left"/>
        <w:rPr>
          <w:rFonts w:hint="default" w:cs="宋体" w:asciiTheme="minorEastAsia" w:hAnsiTheme="minorEastAsia" w:eastAsiaTheme="minorEastAsia"/>
          <w:b/>
          <w:color w:val="auto"/>
          <w:kern w:val="0"/>
        </w:rPr>
      </w:pPr>
      <w:r>
        <w:rPr>
          <w:rFonts w:hint="eastAsia" w:cs="微软雅黑" w:asciiTheme="minorEastAsia" w:hAnsiTheme="minorEastAsia" w:eastAsiaTheme="minorEastAsia"/>
          <w:b/>
          <w:lang w:val="en-US" w:eastAsia="zh-CN"/>
        </w:rPr>
        <w:t>四</w:t>
      </w:r>
      <w:r>
        <w:rPr>
          <w:rFonts w:cs="微软雅黑" w:asciiTheme="minorEastAsia" w:hAnsiTheme="minorEastAsia" w:eastAsiaTheme="minorEastAsia"/>
          <w:b/>
          <w:bCs/>
          <w:color w:val="auto"/>
        </w:rPr>
        <w:t>、项目实施方案</w:t>
      </w:r>
    </w:p>
    <w:p>
      <w:pPr>
        <w:pStyle w:val="65"/>
        <w:tabs>
          <w:tab w:val="left" w:pos="390"/>
          <w:tab w:val="center" w:pos="4404"/>
        </w:tabs>
        <w:spacing w:line="336" w:lineRule="auto"/>
        <w:ind w:firstLine="420" w:firstLineChars="200"/>
        <w:jc w:val="left"/>
        <w:rPr>
          <w:rFonts w:hint="default" w:cs="宋体" w:asciiTheme="minorEastAsia" w:hAnsiTheme="minorEastAsia" w:eastAsiaTheme="minorEastAsia"/>
          <w:bCs/>
          <w:color w:val="auto"/>
          <w:kern w:val="0"/>
        </w:rPr>
      </w:pPr>
      <w:r>
        <w:rPr>
          <w:rFonts w:cs="宋体" w:asciiTheme="minorEastAsia" w:hAnsiTheme="minorEastAsia" w:eastAsiaTheme="minorEastAsia"/>
          <w:bCs/>
          <w:color w:val="auto"/>
          <w:kern w:val="0"/>
        </w:rPr>
        <w:t>供应商应根据项目特点及项目需求编制项目实施方案，编制的项目实施方案至少包括以下内容及符合采购文件要求的实质性要求：</w:t>
      </w:r>
    </w:p>
    <w:p>
      <w:pPr>
        <w:pStyle w:val="65"/>
        <w:tabs>
          <w:tab w:val="left" w:pos="390"/>
          <w:tab w:val="center" w:pos="4404"/>
        </w:tabs>
        <w:spacing w:line="336" w:lineRule="auto"/>
        <w:ind w:firstLine="420" w:firstLineChars="200"/>
        <w:jc w:val="left"/>
        <w:rPr>
          <w:rFonts w:hint="default" w:cs="宋体" w:asciiTheme="minorEastAsia" w:hAnsiTheme="minorEastAsia" w:eastAsiaTheme="minorEastAsia"/>
          <w:bCs/>
          <w:color w:val="auto"/>
          <w:kern w:val="0"/>
        </w:rPr>
      </w:pPr>
      <w:r>
        <w:rPr>
          <w:rFonts w:hint="default" w:cs="宋体" w:asciiTheme="minorEastAsia" w:hAnsiTheme="minorEastAsia" w:eastAsiaTheme="minorEastAsia"/>
          <w:bCs/>
          <w:color w:val="auto"/>
          <w:kern w:val="0"/>
        </w:rPr>
        <w:t>5</w:t>
      </w:r>
      <w:r>
        <w:rPr>
          <w:rFonts w:cs="宋体" w:asciiTheme="minorEastAsia" w:hAnsiTheme="minorEastAsia" w:eastAsiaTheme="minorEastAsia"/>
          <w:bCs/>
          <w:color w:val="auto"/>
          <w:kern w:val="0"/>
        </w:rPr>
        <w:t>.1★施工进度计划和各阶段进度的保证措施，实质性要求：关键思路清晰、准确、完整，计划编制合理可行，关键节点的控制措施有力、合理、可行，采取新技术、新工艺、新材料、新设备。</w:t>
      </w:r>
    </w:p>
    <w:p>
      <w:pPr>
        <w:pStyle w:val="65"/>
        <w:tabs>
          <w:tab w:val="left" w:pos="390"/>
          <w:tab w:val="center" w:pos="4404"/>
        </w:tabs>
        <w:spacing w:line="336" w:lineRule="auto"/>
        <w:ind w:firstLine="420" w:firstLineChars="200"/>
        <w:jc w:val="left"/>
        <w:rPr>
          <w:rFonts w:hint="default" w:cs="宋体" w:asciiTheme="minorEastAsia" w:hAnsiTheme="minorEastAsia" w:eastAsiaTheme="minorEastAsia"/>
          <w:bCs/>
          <w:color w:val="auto"/>
          <w:kern w:val="0"/>
        </w:rPr>
      </w:pPr>
      <w:r>
        <w:rPr>
          <w:rFonts w:hint="default" w:cs="宋体" w:asciiTheme="minorEastAsia" w:hAnsiTheme="minorEastAsia" w:eastAsiaTheme="minorEastAsia"/>
          <w:bCs/>
          <w:color w:val="auto"/>
          <w:kern w:val="0"/>
        </w:rPr>
        <w:t>5</w:t>
      </w:r>
      <w:r>
        <w:rPr>
          <w:rFonts w:cs="宋体" w:asciiTheme="minorEastAsia" w:hAnsiTheme="minorEastAsia" w:eastAsiaTheme="minorEastAsia"/>
          <w:bCs/>
          <w:color w:val="auto"/>
          <w:kern w:val="0"/>
        </w:rPr>
        <w:t>.2★安全文明措施，实质性要求：本项目安全文明、环保措施的规范性、全面性、合理性、针对性、具体性、可靠性、及操作规程科学性。</w:t>
      </w:r>
    </w:p>
    <w:p>
      <w:pPr>
        <w:pStyle w:val="65"/>
        <w:tabs>
          <w:tab w:val="left" w:pos="390"/>
          <w:tab w:val="center" w:pos="4404"/>
        </w:tabs>
        <w:spacing w:line="336" w:lineRule="auto"/>
        <w:ind w:firstLine="420" w:firstLineChars="200"/>
        <w:jc w:val="left"/>
        <w:rPr>
          <w:rFonts w:hint="default" w:cs="宋体" w:asciiTheme="minorEastAsia" w:hAnsiTheme="minorEastAsia" w:eastAsiaTheme="minorEastAsia"/>
          <w:bCs/>
          <w:color w:val="auto"/>
          <w:kern w:val="0"/>
        </w:rPr>
      </w:pPr>
      <w:r>
        <w:rPr>
          <w:rFonts w:hint="default" w:cs="宋体" w:asciiTheme="minorEastAsia" w:hAnsiTheme="minorEastAsia" w:eastAsiaTheme="minorEastAsia"/>
          <w:bCs/>
          <w:color w:val="auto"/>
          <w:kern w:val="0"/>
        </w:rPr>
        <w:t>5</w:t>
      </w:r>
      <w:r>
        <w:rPr>
          <w:rFonts w:cs="宋体" w:asciiTheme="minorEastAsia" w:hAnsiTheme="minorEastAsia" w:eastAsiaTheme="minorEastAsia"/>
          <w:bCs/>
          <w:color w:val="auto"/>
          <w:kern w:val="0"/>
        </w:rPr>
        <w:t xml:space="preserve">.3★劳动力、机械设备和材料投入计划，实质性要求：劳动力计划应分工种、级别、人数按施工阶段配备劳动力，投入计划与进度计划呼应，较好满足施工需要，调配投入计划合理、准确。 </w:t>
      </w:r>
      <w:r>
        <w:rPr>
          <w:rFonts w:hint="default" w:cs="宋体" w:asciiTheme="minorEastAsia" w:hAnsiTheme="minorEastAsia" w:eastAsiaTheme="minorEastAsia"/>
          <w:bCs/>
          <w:color w:val="auto"/>
          <w:kern w:val="0"/>
        </w:rPr>
        <w:t xml:space="preserve">                   </w:t>
      </w:r>
    </w:p>
    <w:p>
      <w:pPr>
        <w:pStyle w:val="65"/>
        <w:tabs>
          <w:tab w:val="left" w:pos="390"/>
          <w:tab w:val="center" w:pos="4404"/>
        </w:tabs>
        <w:spacing w:line="336" w:lineRule="auto"/>
        <w:ind w:firstLine="420" w:firstLineChars="200"/>
        <w:jc w:val="left"/>
        <w:rPr>
          <w:rFonts w:hint="default" w:cs="宋体" w:asciiTheme="minorEastAsia" w:hAnsiTheme="minorEastAsia" w:eastAsiaTheme="minorEastAsia"/>
          <w:bCs/>
          <w:color w:val="auto"/>
          <w:kern w:val="0"/>
        </w:rPr>
      </w:pPr>
      <w:r>
        <w:rPr>
          <w:rFonts w:hint="default" w:cs="宋体" w:asciiTheme="minorEastAsia" w:hAnsiTheme="minorEastAsia" w:eastAsiaTheme="minorEastAsia"/>
          <w:bCs/>
          <w:color w:val="auto"/>
          <w:kern w:val="0"/>
        </w:rPr>
        <w:t>5</w:t>
      </w:r>
      <w:r>
        <w:rPr>
          <w:rFonts w:cs="宋体" w:asciiTheme="minorEastAsia" w:hAnsiTheme="minorEastAsia" w:eastAsiaTheme="minorEastAsia"/>
          <w:bCs/>
          <w:color w:val="auto"/>
          <w:kern w:val="0"/>
        </w:rPr>
        <w:t>.4★各分部分项工程的施工方案及质量保证，实质性要求：质量保证体系及措施符合规范要求，各项措施方法可靠、详尽。</w:t>
      </w:r>
    </w:p>
    <w:p>
      <w:pPr>
        <w:pStyle w:val="65"/>
        <w:tabs>
          <w:tab w:val="left" w:pos="390"/>
          <w:tab w:val="center" w:pos="4404"/>
        </w:tabs>
        <w:spacing w:line="336" w:lineRule="auto"/>
        <w:ind w:firstLine="420" w:firstLineChars="200"/>
        <w:jc w:val="left"/>
        <w:rPr>
          <w:rFonts w:hint="default" w:cs="宋体" w:asciiTheme="minorEastAsia" w:hAnsiTheme="minorEastAsia" w:eastAsiaTheme="minorEastAsia"/>
          <w:bCs/>
          <w:color w:val="auto"/>
          <w:kern w:val="0"/>
        </w:rPr>
      </w:pPr>
      <w:r>
        <w:rPr>
          <w:rFonts w:hint="default" w:cs="宋体" w:asciiTheme="minorEastAsia" w:hAnsiTheme="minorEastAsia" w:eastAsiaTheme="minorEastAsia"/>
          <w:bCs/>
          <w:color w:val="auto"/>
          <w:kern w:val="0"/>
        </w:rPr>
        <w:t>5</w:t>
      </w:r>
      <w:r>
        <w:rPr>
          <w:rFonts w:cs="宋体" w:asciiTheme="minorEastAsia" w:hAnsiTheme="minorEastAsia" w:eastAsiaTheme="minorEastAsia"/>
          <w:bCs/>
          <w:color w:val="auto"/>
          <w:kern w:val="0"/>
        </w:rPr>
        <w:t>.5★技术力量、人员配备，实质性要求：技术力量、人员配备，岗位责任。</w:t>
      </w:r>
    </w:p>
    <w:p>
      <w:pPr>
        <w:pStyle w:val="65"/>
        <w:tabs>
          <w:tab w:val="left" w:pos="390"/>
          <w:tab w:val="center" w:pos="4404"/>
        </w:tabs>
        <w:spacing w:line="336" w:lineRule="auto"/>
        <w:ind w:firstLine="420" w:firstLineChars="200"/>
        <w:jc w:val="left"/>
        <w:rPr>
          <w:rFonts w:hint="default" w:cs="宋体" w:asciiTheme="minorEastAsia" w:hAnsiTheme="minorEastAsia" w:eastAsiaTheme="minorEastAsia"/>
          <w:bCs/>
          <w:color w:val="auto"/>
          <w:kern w:val="0"/>
        </w:rPr>
      </w:pPr>
      <w:r>
        <w:rPr>
          <w:rFonts w:hint="default" w:cs="宋体" w:asciiTheme="minorEastAsia" w:hAnsiTheme="minorEastAsia" w:eastAsiaTheme="minorEastAsia"/>
          <w:bCs/>
          <w:color w:val="auto"/>
          <w:kern w:val="0"/>
        </w:rPr>
        <w:t>5</w:t>
      </w:r>
      <w:r>
        <w:rPr>
          <w:rFonts w:cs="宋体" w:asciiTheme="minorEastAsia" w:hAnsiTheme="minorEastAsia" w:eastAsiaTheme="minorEastAsia"/>
          <w:bCs/>
          <w:color w:val="auto"/>
          <w:kern w:val="0"/>
        </w:rPr>
        <w:t>.6★质量保证体系，实质性要求：质量保证体系及措施符合规范要求，各项措施方法可靠、详尽，有质量保证承诺。</w:t>
      </w:r>
    </w:p>
    <w:p>
      <w:pPr>
        <w:pStyle w:val="65"/>
        <w:tabs>
          <w:tab w:val="left" w:pos="390"/>
          <w:tab w:val="center" w:pos="4404"/>
        </w:tabs>
        <w:spacing w:line="336" w:lineRule="auto"/>
        <w:ind w:firstLine="420" w:firstLineChars="200"/>
        <w:jc w:val="left"/>
        <w:rPr>
          <w:rFonts w:hint="default" w:cs="宋体" w:asciiTheme="minorEastAsia" w:hAnsiTheme="minorEastAsia" w:eastAsiaTheme="minorEastAsia"/>
          <w:bCs/>
          <w:color w:val="auto"/>
          <w:kern w:val="0"/>
        </w:rPr>
      </w:pPr>
      <w:r>
        <w:rPr>
          <w:rFonts w:hint="default" w:cs="宋体" w:asciiTheme="minorEastAsia" w:hAnsiTheme="minorEastAsia" w:eastAsiaTheme="minorEastAsia"/>
          <w:bCs/>
          <w:color w:val="auto"/>
          <w:kern w:val="0"/>
        </w:rPr>
        <w:t>5</w:t>
      </w:r>
      <w:r>
        <w:rPr>
          <w:rFonts w:cs="宋体" w:asciiTheme="minorEastAsia" w:hAnsiTheme="minorEastAsia" w:eastAsiaTheme="minorEastAsia"/>
          <w:bCs/>
          <w:color w:val="auto"/>
          <w:kern w:val="0"/>
        </w:rPr>
        <w:t>.7★关键施工技术、工艺及工程项目实施的重点、难点和解决方案，实质性要求：关键施工技术、工艺及工程项目实施的重点、难点和解决方案。</w:t>
      </w:r>
    </w:p>
    <w:p>
      <w:pPr>
        <w:pStyle w:val="65"/>
        <w:tabs>
          <w:tab w:val="left" w:pos="390"/>
          <w:tab w:val="center" w:pos="4404"/>
        </w:tabs>
        <w:spacing w:line="336" w:lineRule="auto"/>
        <w:ind w:firstLine="422" w:firstLineChars="200"/>
        <w:jc w:val="left"/>
        <w:rPr>
          <w:rFonts w:hint="default" w:cs="宋体" w:asciiTheme="minorEastAsia" w:hAnsiTheme="minorEastAsia" w:eastAsiaTheme="minorEastAsia"/>
          <w:b/>
          <w:color w:val="auto"/>
          <w:kern w:val="0"/>
        </w:rPr>
      </w:pPr>
      <w:r>
        <w:rPr>
          <w:rFonts w:hint="eastAsia" w:cs="宋体" w:asciiTheme="minorEastAsia" w:hAnsiTheme="minorEastAsia" w:eastAsiaTheme="minorEastAsia"/>
          <w:b/>
          <w:color w:val="auto"/>
          <w:kern w:val="0"/>
          <w:lang w:val="en-US" w:eastAsia="zh-CN"/>
        </w:rPr>
        <w:t>五</w:t>
      </w:r>
      <w:r>
        <w:rPr>
          <w:rFonts w:cs="宋体" w:asciiTheme="minorEastAsia" w:hAnsiTheme="minorEastAsia" w:eastAsiaTheme="minorEastAsia"/>
          <w:b/>
          <w:color w:val="auto"/>
          <w:kern w:val="0"/>
        </w:rPr>
        <w:t>、</w:t>
      </w:r>
      <w:r>
        <w:rPr>
          <w:rFonts w:cs="宋体" w:asciiTheme="minorEastAsia" w:hAnsiTheme="minorEastAsia" w:eastAsiaTheme="minorEastAsia"/>
          <w:bCs/>
          <w:color w:val="auto"/>
          <w:kern w:val="0"/>
        </w:rPr>
        <w:t>★</w:t>
      </w:r>
      <w:r>
        <w:rPr>
          <w:rFonts w:cs="宋体" w:asciiTheme="minorEastAsia" w:hAnsiTheme="minorEastAsia" w:eastAsiaTheme="minorEastAsia"/>
          <w:b/>
          <w:color w:val="auto"/>
          <w:kern w:val="0"/>
        </w:rPr>
        <w:t>施工和造价要求（供应商需完全响应，在响应文件中提供承诺函，格式自拟，不接受负偏离）</w:t>
      </w:r>
    </w:p>
    <w:p>
      <w:pPr>
        <w:spacing w:line="336" w:lineRule="auto"/>
        <w:ind w:firstLine="420" w:firstLineChars="200"/>
        <w:rPr>
          <w:rFonts w:cs="宋体" w:asciiTheme="minorEastAsia" w:hAnsiTheme="minorEastAsia" w:eastAsiaTheme="minorEastAsia"/>
          <w:bCs/>
        </w:rPr>
      </w:pPr>
      <w:r>
        <w:rPr>
          <w:rFonts w:cs="宋体" w:asciiTheme="minorEastAsia" w:hAnsiTheme="minorEastAsia" w:eastAsiaTheme="minorEastAsia"/>
          <w:bCs/>
        </w:rPr>
        <w:t>7</w:t>
      </w:r>
      <w:r>
        <w:rPr>
          <w:rFonts w:hint="eastAsia" w:cs="宋体" w:asciiTheme="minorEastAsia" w:hAnsiTheme="minorEastAsia" w:eastAsiaTheme="minorEastAsia"/>
          <w:bCs/>
        </w:rPr>
        <w:t>.1 供应商应严格执行建筑施工规范、安全操作规范、安全防火规定、环境保护规定，施工中所发生的一切安全责任事故均由供应商承担，采购人不承担任何责任。</w:t>
      </w:r>
    </w:p>
    <w:p>
      <w:pPr>
        <w:spacing w:line="336" w:lineRule="auto"/>
        <w:ind w:firstLine="420" w:firstLineChars="200"/>
        <w:rPr>
          <w:rFonts w:cs="宋体" w:asciiTheme="minorEastAsia" w:hAnsiTheme="minorEastAsia" w:eastAsiaTheme="minorEastAsia"/>
          <w:bCs/>
        </w:rPr>
      </w:pPr>
      <w:r>
        <w:rPr>
          <w:rFonts w:cs="宋体" w:asciiTheme="minorEastAsia" w:hAnsiTheme="minorEastAsia" w:eastAsiaTheme="minorEastAsia"/>
          <w:bCs/>
        </w:rPr>
        <w:t>7</w:t>
      </w:r>
      <w:r>
        <w:rPr>
          <w:rFonts w:hint="eastAsia" w:cs="宋体" w:asciiTheme="minorEastAsia" w:hAnsiTheme="minorEastAsia" w:eastAsiaTheme="minorEastAsia"/>
          <w:bCs/>
        </w:rPr>
        <w:t>.2 供应商应做到文明施工，不得扰民，做好施工现场及院内整洁，做好已有设施和装修的保护措施，如有损坏采购人有权要求赔偿，施工垃圾及时清运，清运手续、费用由施工方自行解决。</w:t>
      </w:r>
    </w:p>
    <w:p>
      <w:pPr>
        <w:spacing w:line="336" w:lineRule="auto"/>
        <w:ind w:firstLine="420" w:firstLineChars="200"/>
        <w:rPr>
          <w:rFonts w:cs="宋体" w:asciiTheme="minorEastAsia" w:hAnsiTheme="minorEastAsia" w:eastAsiaTheme="minorEastAsia"/>
          <w:bCs/>
        </w:rPr>
      </w:pPr>
      <w:r>
        <w:rPr>
          <w:rFonts w:cs="宋体" w:asciiTheme="minorEastAsia" w:hAnsiTheme="minorEastAsia" w:eastAsiaTheme="minorEastAsia"/>
          <w:bCs/>
        </w:rPr>
        <w:t>7</w:t>
      </w:r>
      <w:r>
        <w:rPr>
          <w:rFonts w:hint="eastAsia" w:cs="宋体" w:asciiTheme="minorEastAsia" w:hAnsiTheme="minorEastAsia" w:eastAsiaTheme="minorEastAsia"/>
          <w:bCs/>
        </w:rPr>
        <w:t>.3 工程渣土费、环卫保洁费、治安联防费等工程相关费用投标人均应列入报价，不列视为让利，中标后不调整。</w:t>
      </w:r>
    </w:p>
    <w:p>
      <w:pPr>
        <w:spacing w:line="336" w:lineRule="auto"/>
        <w:ind w:firstLine="420" w:firstLineChars="200"/>
        <w:rPr>
          <w:rFonts w:cs="宋体" w:asciiTheme="minorEastAsia" w:hAnsiTheme="minorEastAsia" w:eastAsiaTheme="minorEastAsia"/>
          <w:bCs/>
        </w:rPr>
      </w:pPr>
      <w:r>
        <w:rPr>
          <w:rFonts w:cs="宋体" w:asciiTheme="minorEastAsia" w:hAnsiTheme="minorEastAsia" w:eastAsiaTheme="minorEastAsia"/>
          <w:bCs/>
        </w:rPr>
        <w:t>7</w:t>
      </w:r>
      <w:r>
        <w:rPr>
          <w:rFonts w:hint="eastAsia" w:cs="宋体" w:asciiTheme="minorEastAsia" w:hAnsiTheme="minorEastAsia" w:eastAsiaTheme="minorEastAsia"/>
          <w:bCs/>
        </w:rPr>
        <w:t>.4 供应商所使用的各类材料必须为环保、节能产品。</w:t>
      </w:r>
    </w:p>
    <w:p>
      <w:pPr>
        <w:spacing w:line="336" w:lineRule="auto"/>
        <w:ind w:firstLine="420" w:firstLineChars="200"/>
        <w:rPr>
          <w:rFonts w:cs="宋体" w:asciiTheme="minorEastAsia" w:hAnsiTheme="minorEastAsia" w:eastAsiaTheme="minorEastAsia"/>
          <w:bCs/>
        </w:rPr>
      </w:pPr>
      <w:r>
        <w:rPr>
          <w:rFonts w:cs="宋体" w:asciiTheme="minorEastAsia" w:hAnsiTheme="minorEastAsia" w:eastAsiaTheme="minorEastAsia"/>
          <w:bCs/>
        </w:rPr>
        <w:t>7</w:t>
      </w:r>
      <w:r>
        <w:rPr>
          <w:rFonts w:hint="eastAsia" w:cs="宋体" w:asciiTheme="minorEastAsia" w:hAnsiTheme="minorEastAsia" w:eastAsiaTheme="minorEastAsia"/>
          <w:bCs/>
        </w:rPr>
        <w:t>.5 工程质量：符合国家相关验收规范。</w:t>
      </w:r>
    </w:p>
    <w:p>
      <w:pPr>
        <w:spacing w:line="336" w:lineRule="auto"/>
        <w:ind w:firstLine="420" w:firstLineChars="200"/>
        <w:rPr>
          <w:rFonts w:cs="宋体" w:asciiTheme="minorEastAsia" w:hAnsiTheme="minorEastAsia" w:eastAsiaTheme="minorEastAsia"/>
          <w:bCs/>
        </w:rPr>
      </w:pPr>
      <w:r>
        <w:rPr>
          <w:rFonts w:cs="宋体" w:asciiTheme="minorEastAsia" w:hAnsiTheme="minorEastAsia" w:eastAsiaTheme="minorEastAsia"/>
          <w:bCs/>
        </w:rPr>
        <w:t>7</w:t>
      </w:r>
      <w:r>
        <w:rPr>
          <w:rFonts w:hint="eastAsia" w:cs="宋体" w:asciiTheme="minorEastAsia" w:hAnsiTheme="minorEastAsia" w:eastAsiaTheme="minorEastAsia"/>
          <w:bCs/>
        </w:rPr>
        <w:t>.6 工程质保要求：</w:t>
      </w:r>
    </w:p>
    <w:p>
      <w:pPr>
        <w:spacing w:line="336" w:lineRule="auto"/>
        <w:ind w:firstLine="420" w:firstLineChars="200"/>
        <w:rPr>
          <w:rFonts w:cs="宋体" w:asciiTheme="minorEastAsia" w:hAnsiTheme="minorEastAsia" w:eastAsiaTheme="minorEastAsia"/>
          <w:bCs/>
        </w:rPr>
      </w:pPr>
      <w:r>
        <w:rPr>
          <w:rFonts w:hint="eastAsia" w:cs="宋体" w:asciiTheme="minorEastAsia" w:hAnsiTheme="minorEastAsia" w:eastAsiaTheme="minorEastAsia"/>
          <w:bCs/>
        </w:rPr>
        <w:t>（1）基础设施工程、房屋建筑的地基基础工程和主体结构工程，为设计文件规定的该工程的合理使用年限；</w:t>
      </w:r>
    </w:p>
    <w:p>
      <w:pPr>
        <w:spacing w:line="336" w:lineRule="auto"/>
        <w:ind w:firstLine="420" w:firstLineChars="200"/>
        <w:rPr>
          <w:rFonts w:cs="宋体" w:asciiTheme="minorEastAsia" w:hAnsiTheme="minorEastAsia" w:eastAsiaTheme="minorEastAsia"/>
          <w:bCs/>
        </w:rPr>
      </w:pPr>
      <w:r>
        <w:rPr>
          <w:rFonts w:hint="eastAsia" w:cs="宋体" w:asciiTheme="minorEastAsia" w:hAnsiTheme="minorEastAsia" w:eastAsiaTheme="minorEastAsia"/>
          <w:bCs/>
        </w:rPr>
        <w:t>（2）屋面防水工程、有防水要求的</w:t>
      </w:r>
      <w:r>
        <w:fldChar w:fldCharType="begin"/>
      </w:r>
      <w:r>
        <w:instrText xml:space="preserve"> HYPERLINK "https://baike.sogou.com/lemma/ShowInnerLink.htm?lemmaId=661409&amp;ss_c=ssc.citiao.link" \t "https://baike.sogou.com/_blank" </w:instrText>
      </w:r>
      <w:r>
        <w:fldChar w:fldCharType="separate"/>
      </w:r>
      <w:r>
        <w:rPr>
          <w:rFonts w:cs="宋体" w:asciiTheme="minorEastAsia" w:hAnsiTheme="minorEastAsia" w:eastAsiaTheme="minorEastAsia"/>
          <w:bCs/>
        </w:rPr>
        <w:t>卫生间</w:t>
      </w:r>
      <w:r>
        <w:rPr>
          <w:rFonts w:cs="宋体" w:asciiTheme="minorEastAsia" w:hAnsiTheme="minorEastAsia" w:eastAsiaTheme="minorEastAsia"/>
          <w:bCs/>
        </w:rPr>
        <w:fldChar w:fldCharType="end"/>
      </w:r>
      <w:r>
        <w:rPr>
          <w:rFonts w:cs="宋体" w:asciiTheme="minorEastAsia" w:hAnsiTheme="minorEastAsia" w:eastAsiaTheme="minorEastAsia"/>
          <w:bCs/>
        </w:rPr>
        <w:t>、房间和外墙面的防渗漏，为5年；</w:t>
      </w:r>
    </w:p>
    <w:p>
      <w:pPr>
        <w:spacing w:line="336" w:lineRule="auto"/>
        <w:ind w:firstLine="420" w:firstLineChars="200"/>
        <w:rPr>
          <w:rFonts w:cs="宋体" w:asciiTheme="minorEastAsia" w:hAnsiTheme="minorEastAsia" w:eastAsiaTheme="minorEastAsia"/>
          <w:bCs/>
        </w:rPr>
      </w:pPr>
      <w:r>
        <w:rPr>
          <w:rFonts w:hint="eastAsia" w:cs="宋体" w:asciiTheme="minorEastAsia" w:hAnsiTheme="minorEastAsia" w:eastAsiaTheme="minorEastAsia"/>
          <w:bCs/>
        </w:rPr>
        <w:t>（3）供热与供冷系统，为2个采暖期、供冷期；</w:t>
      </w:r>
    </w:p>
    <w:p>
      <w:pPr>
        <w:spacing w:line="336" w:lineRule="auto"/>
        <w:ind w:firstLine="420" w:firstLineChars="200"/>
        <w:rPr>
          <w:rFonts w:cs="宋体" w:asciiTheme="minorEastAsia" w:hAnsiTheme="minorEastAsia" w:eastAsiaTheme="minorEastAsia"/>
          <w:bCs/>
        </w:rPr>
      </w:pPr>
      <w:r>
        <w:rPr>
          <w:rFonts w:hint="eastAsia" w:cs="宋体" w:asciiTheme="minorEastAsia" w:hAnsiTheme="minorEastAsia" w:eastAsiaTheme="minorEastAsia"/>
          <w:bCs/>
        </w:rPr>
        <w:t>（4）电气管线、给排水管道、设备安装和装修工程，为2年；</w:t>
      </w:r>
    </w:p>
    <w:p>
      <w:pPr>
        <w:spacing w:line="336" w:lineRule="auto"/>
        <w:ind w:firstLine="420" w:firstLineChars="200"/>
        <w:rPr>
          <w:rFonts w:cs="宋体" w:asciiTheme="minorEastAsia" w:hAnsiTheme="minorEastAsia" w:eastAsiaTheme="minorEastAsia"/>
          <w:bCs/>
        </w:rPr>
      </w:pPr>
      <w:r>
        <w:rPr>
          <w:rFonts w:hint="eastAsia" w:cs="宋体" w:asciiTheme="minorEastAsia" w:hAnsiTheme="minorEastAsia" w:eastAsiaTheme="minorEastAsia"/>
          <w:bCs/>
        </w:rPr>
        <w:t>（5）其他项目的保修期限为2年。</w:t>
      </w:r>
    </w:p>
    <w:p>
      <w:pPr>
        <w:spacing w:line="336" w:lineRule="auto"/>
        <w:ind w:firstLine="420" w:firstLineChars="200"/>
        <w:rPr>
          <w:rFonts w:cs="宋体" w:asciiTheme="minorEastAsia" w:hAnsiTheme="minorEastAsia" w:eastAsiaTheme="minorEastAsia"/>
          <w:bCs/>
        </w:rPr>
      </w:pPr>
      <w:r>
        <w:rPr>
          <w:rFonts w:hint="eastAsia" w:cs="宋体" w:asciiTheme="minorEastAsia" w:hAnsiTheme="minorEastAsia" w:eastAsiaTheme="minorEastAsia"/>
          <w:bCs/>
        </w:rPr>
        <w:t>注：建设工程的保修期，自竣工验收合格之日起计算，上述质量服务保修要求为最低要求，不满足的作无效投标处理。质保期间凡工程出现非人为因素（不可抗力除外）导致的损坏，施工方需于采购人告知之日起三日内免费维修完毕。</w:t>
      </w:r>
    </w:p>
    <w:p>
      <w:pPr>
        <w:pStyle w:val="65"/>
        <w:tabs>
          <w:tab w:val="left" w:pos="390"/>
          <w:tab w:val="center" w:pos="4404"/>
        </w:tabs>
        <w:spacing w:line="336" w:lineRule="auto"/>
        <w:ind w:firstLine="422" w:firstLineChars="200"/>
        <w:jc w:val="left"/>
        <w:rPr>
          <w:rFonts w:hint="default" w:cs="宋体" w:asciiTheme="minorEastAsia" w:hAnsiTheme="minorEastAsia" w:eastAsiaTheme="minorEastAsia"/>
          <w:b/>
          <w:color w:val="auto"/>
          <w:kern w:val="0"/>
        </w:rPr>
      </w:pPr>
      <w:r>
        <w:rPr>
          <w:rFonts w:hint="eastAsia" w:cs="宋体" w:asciiTheme="minorEastAsia" w:hAnsiTheme="minorEastAsia" w:eastAsiaTheme="minorEastAsia"/>
          <w:b/>
          <w:color w:val="auto"/>
          <w:kern w:val="0"/>
          <w:lang w:val="en-US" w:eastAsia="zh-CN"/>
        </w:rPr>
        <w:t>六</w:t>
      </w:r>
      <w:r>
        <w:rPr>
          <w:rFonts w:cs="宋体" w:asciiTheme="minorEastAsia" w:hAnsiTheme="minorEastAsia" w:eastAsiaTheme="minorEastAsia"/>
          <w:b/>
          <w:color w:val="auto"/>
          <w:kern w:val="0"/>
        </w:rPr>
        <w:t>、</w:t>
      </w:r>
      <w:r>
        <w:rPr>
          <w:rFonts w:ascii="宋体" w:hAnsi="宋体" w:eastAsia="宋体" w:cs="宋体"/>
          <w:b/>
          <w:bCs/>
          <w:color w:val="auto"/>
          <w:lang w:val="zh-TW" w:eastAsia="zh-TW"/>
        </w:rPr>
        <w:t>★</w:t>
      </w:r>
      <w:r>
        <w:rPr>
          <w:rFonts w:ascii="宋体" w:hAnsi="宋体" w:eastAsia="宋体" w:cs="宋体"/>
          <w:b/>
          <w:bCs/>
          <w:color w:val="auto"/>
        </w:rPr>
        <w:t>项目组成员</w:t>
      </w:r>
    </w:p>
    <w:p>
      <w:pPr>
        <w:spacing w:line="336" w:lineRule="auto"/>
        <w:ind w:firstLine="420" w:firstLineChars="200"/>
        <w:rPr>
          <w:rFonts w:hint="eastAsia" w:cs="宋体" w:asciiTheme="minorEastAsia" w:hAnsiTheme="minorEastAsia" w:eastAsiaTheme="minorEastAsia"/>
          <w:bCs/>
          <w:highlight w:val="none"/>
        </w:rPr>
      </w:pPr>
      <w:r>
        <w:rPr>
          <w:rFonts w:hint="eastAsia" w:cs="宋体" w:asciiTheme="minorEastAsia" w:hAnsiTheme="minorEastAsia" w:eastAsiaTheme="minorEastAsia"/>
          <w:bCs/>
        </w:rPr>
        <w:t>供应商需在响应文件中提供拟投入本次工程的相关人员信息(</w:t>
      </w:r>
      <w:r>
        <w:rPr>
          <w:rFonts w:hint="eastAsia" w:cs="宋体" w:asciiTheme="minorEastAsia" w:hAnsiTheme="minorEastAsia" w:eastAsiaTheme="minorEastAsia"/>
          <w:b/>
          <w:bCs w:val="0"/>
        </w:rPr>
        <w:t>姓名、身份证号、手机号</w:t>
      </w:r>
      <w:r>
        <w:rPr>
          <w:rFonts w:hint="eastAsia" w:cs="宋体" w:asciiTheme="minorEastAsia" w:hAnsiTheme="minorEastAsia" w:eastAsiaTheme="minorEastAsia"/>
          <w:bCs/>
        </w:rPr>
        <w:t>）及证明（</w:t>
      </w:r>
      <w:r>
        <w:rPr>
          <w:rFonts w:hint="eastAsia" w:cs="宋体" w:asciiTheme="minorEastAsia" w:hAnsiTheme="minorEastAsia" w:eastAsiaTheme="minorEastAsia"/>
          <w:b/>
          <w:bCs w:val="0"/>
        </w:rPr>
        <w:t>身份证复印件、劳动合同复印件、社保证明</w:t>
      </w:r>
      <w:r>
        <w:rPr>
          <w:rFonts w:hint="eastAsia" w:cs="宋体" w:asciiTheme="minorEastAsia" w:hAnsiTheme="minorEastAsia" w:eastAsiaTheme="minorEastAsia"/>
          <w:b/>
          <w:bCs w:val="0"/>
          <w:lang w:eastAsia="zh-CN"/>
        </w:rPr>
        <w:t>、</w:t>
      </w:r>
      <w:r>
        <w:rPr>
          <w:rFonts w:hint="eastAsia" w:cs="宋体" w:asciiTheme="minorEastAsia" w:hAnsiTheme="minorEastAsia" w:eastAsiaTheme="minorEastAsia"/>
          <w:b/>
          <w:bCs w:val="0"/>
          <w:lang w:val="en-US" w:eastAsia="zh-CN"/>
        </w:rPr>
        <w:t>资格证书</w:t>
      </w:r>
      <w:r>
        <w:rPr>
          <w:rFonts w:hint="eastAsia" w:cs="宋体" w:asciiTheme="minorEastAsia" w:hAnsiTheme="minorEastAsia" w:eastAsiaTheme="minorEastAsia"/>
          <w:b/>
          <w:bCs w:val="0"/>
        </w:rPr>
        <w:t>等</w:t>
      </w:r>
      <w:r>
        <w:rPr>
          <w:rFonts w:hint="eastAsia" w:cs="宋体" w:asciiTheme="minorEastAsia" w:hAnsiTheme="minorEastAsia" w:eastAsiaTheme="minorEastAsia"/>
          <w:bCs/>
        </w:rPr>
        <w:t>），包含以下人员（每个种类至少1人）：</w:t>
      </w:r>
      <w:r>
        <w:rPr>
          <w:rFonts w:hint="eastAsia" w:cs="宋体" w:asciiTheme="minorEastAsia" w:hAnsiTheme="minorEastAsia" w:eastAsiaTheme="minorEastAsia"/>
          <w:bCs/>
          <w:highlight w:val="none"/>
        </w:rPr>
        <w:t>（1）项目经理</w:t>
      </w:r>
      <w:r>
        <w:rPr>
          <w:rFonts w:hint="eastAsia" w:cs="宋体" w:asciiTheme="minorEastAsia" w:hAnsiTheme="minorEastAsia" w:eastAsiaTheme="minorEastAsia"/>
          <w:bCs/>
          <w:highlight w:val="none"/>
          <w:lang w:eastAsia="zh-CN"/>
        </w:rPr>
        <w:t>（</w:t>
      </w:r>
      <w:r>
        <w:rPr>
          <w:rFonts w:hint="eastAsia" w:cs="宋体" w:asciiTheme="minorEastAsia" w:hAnsiTheme="minorEastAsia" w:eastAsiaTheme="minorEastAsia"/>
          <w:bCs/>
          <w:highlight w:val="none"/>
          <w:lang w:val="en-US" w:eastAsia="zh-CN"/>
        </w:rPr>
        <w:t>2）技术负责人</w:t>
      </w:r>
      <w:r>
        <w:rPr>
          <w:rFonts w:hint="eastAsia" w:cs="宋体" w:asciiTheme="minorEastAsia" w:hAnsiTheme="minorEastAsia" w:eastAsiaTheme="minorEastAsia"/>
          <w:bCs/>
          <w:highlight w:val="none"/>
        </w:rPr>
        <w:t>（</w:t>
      </w:r>
      <w:r>
        <w:rPr>
          <w:rFonts w:hint="eastAsia" w:cs="宋体" w:asciiTheme="minorEastAsia" w:hAnsiTheme="minorEastAsia" w:eastAsiaTheme="minorEastAsia"/>
          <w:bCs/>
          <w:highlight w:val="none"/>
          <w:lang w:val="en-US" w:eastAsia="zh-CN"/>
        </w:rPr>
        <w:t>3</w:t>
      </w:r>
      <w:r>
        <w:rPr>
          <w:rFonts w:hint="eastAsia" w:cs="宋体" w:asciiTheme="minorEastAsia" w:hAnsiTheme="minorEastAsia" w:eastAsiaTheme="minorEastAsia"/>
          <w:bCs/>
          <w:highlight w:val="none"/>
        </w:rPr>
        <w:t>）施工员（</w:t>
      </w:r>
      <w:r>
        <w:rPr>
          <w:rFonts w:hint="eastAsia" w:cs="宋体" w:asciiTheme="minorEastAsia" w:hAnsiTheme="minorEastAsia" w:eastAsiaTheme="minorEastAsia"/>
          <w:bCs/>
          <w:highlight w:val="none"/>
          <w:lang w:val="en-US" w:eastAsia="zh-CN"/>
        </w:rPr>
        <w:t>4</w:t>
      </w:r>
      <w:r>
        <w:rPr>
          <w:rFonts w:hint="eastAsia" w:cs="宋体" w:asciiTheme="minorEastAsia" w:hAnsiTheme="minorEastAsia" w:eastAsiaTheme="minorEastAsia"/>
          <w:bCs/>
          <w:highlight w:val="none"/>
        </w:rPr>
        <w:t>）质量员（</w:t>
      </w:r>
      <w:r>
        <w:rPr>
          <w:rFonts w:hint="eastAsia" w:cs="宋体" w:asciiTheme="minorEastAsia" w:hAnsiTheme="minorEastAsia" w:eastAsiaTheme="minorEastAsia"/>
          <w:bCs/>
          <w:highlight w:val="none"/>
          <w:lang w:val="en-US" w:eastAsia="zh-CN"/>
        </w:rPr>
        <w:t>5</w:t>
      </w:r>
      <w:r>
        <w:rPr>
          <w:rFonts w:hint="eastAsia" w:cs="宋体" w:asciiTheme="minorEastAsia" w:hAnsiTheme="minorEastAsia" w:eastAsiaTheme="minorEastAsia"/>
          <w:bCs/>
          <w:highlight w:val="none"/>
        </w:rPr>
        <w:t>）安全员（</w:t>
      </w:r>
      <w:r>
        <w:rPr>
          <w:rFonts w:hint="eastAsia" w:cs="宋体" w:asciiTheme="minorEastAsia" w:hAnsiTheme="minorEastAsia" w:eastAsiaTheme="minorEastAsia"/>
          <w:bCs/>
          <w:highlight w:val="none"/>
          <w:lang w:val="en-US" w:eastAsia="zh-CN"/>
        </w:rPr>
        <w:t>6</w:t>
      </w:r>
      <w:r>
        <w:rPr>
          <w:rFonts w:hint="eastAsia" w:cs="宋体" w:asciiTheme="minorEastAsia" w:hAnsiTheme="minorEastAsia" w:eastAsiaTheme="minorEastAsia"/>
          <w:bCs/>
          <w:highlight w:val="none"/>
        </w:rPr>
        <w:t>）资料员（</w:t>
      </w:r>
      <w:r>
        <w:rPr>
          <w:rFonts w:hint="eastAsia" w:cs="宋体" w:asciiTheme="minorEastAsia" w:hAnsiTheme="minorEastAsia" w:eastAsiaTheme="minorEastAsia"/>
          <w:bCs/>
          <w:highlight w:val="none"/>
          <w:lang w:val="en-US" w:eastAsia="zh-CN"/>
        </w:rPr>
        <w:t>7</w:t>
      </w:r>
      <w:r>
        <w:rPr>
          <w:rFonts w:hint="eastAsia" w:cs="宋体" w:asciiTheme="minorEastAsia" w:hAnsiTheme="minorEastAsia" w:eastAsiaTheme="minorEastAsia"/>
          <w:bCs/>
          <w:highlight w:val="none"/>
        </w:rPr>
        <w:t>）电工（</w:t>
      </w:r>
      <w:r>
        <w:rPr>
          <w:rFonts w:hint="eastAsia" w:cs="宋体" w:asciiTheme="minorEastAsia" w:hAnsiTheme="minorEastAsia" w:eastAsiaTheme="minorEastAsia"/>
          <w:bCs/>
          <w:highlight w:val="none"/>
          <w:lang w:val="en-US" w:eastAsia="zh-CN"/>
        </w:rPr>
        <w:t>8</w:t>
      </w:r>
      <w:r>
        <w:rPr>
          <w:rFonts w:hint="eastAsia" w:cs="宋体" w:asciiTheme="minorEastAsia" w:hAnsiTheme="minorEastAsia" w:eastAsiaTheme="minorEastAsia"/>
          <w:bCs/>
          <w:highlight w:val="none"/>
        </w:rPr>
        <w:t>）防水工（</w:t>
      </w:r>
      <w:r>
        <w:rPr>
          <w:rFonts w:hint="eastAsia" w:cs="宋体" w:asciiTheme="minorEastAsia" w:hAnsiTheme="minorEastAsia" w:eastAsiaTheme="minorEastAsia"/>
          <w:bCs/>
          <w:highlight w:val="none"/>
          <w:lang w:val="en-US" w:eastAsia="zh-CN"/>
        </w:rPr>
        <w:t>9</w:t>
      </w:r>
      <w:r>
        <w:rPr>
          <w:rFonts w:hint="eastAsia" w:cs="宋体" w:asciiTheme="minorEastAsia" w:hAnsiTheme="minorEastAsia" w:eastAsiaTheme="minorEastAsia"/>
          <w:bCs/>
          <w:highlight w:val="none"/>
        </w:rPr>
        <w:t>）抹灰工（</w:t>
      </w:r>
      <w:r>
        <w:rPr>
          <w:rFonts w:hint="eastAsia" w:cs="宋体" w:asciiTheme="minorEastAsia" w:hAnsiTheme="minorEastAsia" w:eastAsiaTheme="minorEastAsia"/>
          <w:bCs/>
          <w:highlight w:val="none"/>
          <w:lang w:val="en-US" w:eastAsia="zh-CN"/>
        </w:rPr>
        <w:t>10</w:t>
      </w:r>
      <w:r>
        <w:rPr>
          <w:rFonts w:hint="eastAsia" w:cs="宋体" w:asciiTheme="minorEastAsia" w:hAnsiTheme="minorEastAsia" w:eastAsiaTheme="minorEastAsia"/>
          <w:bCs/>
          <w:highlight w:val="none"/>
        </w:rPr>
        <w:t>）油漆工（</w:t>
      </w:r>
      <w:r>
        <w:rPr>
          <w:rFonts w:hint="eastAsia" w:cs="宋体" w:asciiTheme="minorEastAsia" w:hAnsiTheme="minorEastAsia" w:eastAsiaTheme="minorEastAsia"/>
          <w:bCs/>
          <w:highlight w:val="none"/>
          <w:lang w:val="en-US" w:eastAsia="zh-CN"/>
        </w:rPr>
        <w:t>11</w:t>
      </w:r>
      <w:r>
        <w:rPr>
          <w:rFonts w:hint="eastAsia" w:cs="宋体" w:asciiTheme="minorEastAsia" w:hAnsiTheme="minorEastAsia" w:eastAsiaTheme="minorEastAsia"/>
          <w:bCs/>
          <w:highlight w:val="none"/>
        </w:rPr>
        <w:t>）砌筑工。</w:t>
      </w:r>
    </w:p>
    <w:p>
      <w:pPr>
        <w:spacing w:line="336" w:lineRule="auto"/>
        <w:ind w:firstLine="420" w:firstLineChars="200"/>
        <w:rPr>
          <w:rFonts w:hint="eastAsia" w:cs="宋体" w:asciiTheme="minorEastAsia" w:hAnsiTheme="minorEastAsia" w:eastAsiaTheme="minorEastAsia"/>
          <w:bCs/>
        </w:rPr>
      </w:pPr>
      <w:r>
        <w:rPr>
          <w:rFonts w:hint="eastAsia" w:cs="宋体" w:asciiTheme="minorEastAsia" w:hAnsiTheme="minorEastAsia" w:eastAsiaTheme="minorEastAsia"/>
          <w:bCs/>
          <w:highlight w:val="none"/>
        </w:rPr>
        <w:t>注：1、社保证明为社保机构出具的投标截止时间前半年内（2023年12月到2024年05月）</w:t>
      </w:r>
      <w:r>
        <w:rPr>
          <w:rFonts w:hint="eastAsia" w:cs="宋体" w:asciiTheme="minorEastAsia" w:hAnsiTheme="minorEastAsia" w:eastAsiaTheme="minorEastAsia"/>
          <w:bCs/>
        </w:rPr>
        <w:t>任意一个月供应商为其缴纳的养老保险缴费证明材料。（须提供劳动合同复印件加盖供应商公章及养老保险缴费证明材料并加盖社保中心公章或社保中心参保缴费证明电子专用章（具有可验证的二维码或验证码），若供应商提供虚假资料，一经查实作无效投标处理）</w:t>
      </w:r>
    </w:p>
    <w:p>
      <w:pPr>
        <w:pStyle w:val="65"/>
        <w:tabs>
          <w:tab w:val="left" w:pos="390"/>
          <w:tab w:val="center" w:pos="4404"/>
        </w:tabs>
        <w:spacing w:line="336" w:lineRule="auto"/>
        <w:ind w:firstLine="840" w:firstLineChars="400"/>
        <w:jc w:val="left"/>
        <w:rPr>
          <w:rFonts w:hint="default" w:ascii="宋体" w:hAnsi="宋体" w:eastAsia="宋体" w:cs="宋体"/>
          <w:snapToGrid w:val="0"/>
          <w:color w:val="auto"/>
        </w:rPr>
      </w:pPr>
      <w:r>
        <w:rPr>
          <w:rFonts w:ascii="宋体" w:hAnsi="宋体" w:eastAsia="宋体" w:cs="宋体"/>
          <w:snapToGrid w:val="0"/>
          <w:color w:val="auto"/>
        </w:rPr>
        <w:t>2、本项目严禁转包和违法分包，政府采购合同不得转包，未经采购人同意亦不得分包。供应商应在响应文件中承诺投入本次项目的人员均为与本单位存在真实、合法、有效的劳动关系的人员，采购人或监理单位在施工过程中通过随机核查现场人员的劳动合同、社保记录等方式开展抽查，一旦发现采购人或监理单位有权立即制止，清退违规人员，并有权要求供应商立即更换相应人员且不得影响施工进度，追究其违法违约责任乃至解除合同并按合同约定主张违约金及其他损失。</w:t>
      </w:r>
    </w:p>
    <w:p>
      <w:pPr>
        <w:pStyle w:val="65"/>
        <w:tabs>
          <w:tab w:val="left" w:pos="390"/>
          <w:tab w:val="center" w:pos="4404"/>
        </w:tabs>
        <w:spacing w:line="336" w:lineRule="auto"/>
        <w:ind w:firstLine="211" w:firstLineChars="100"/>
        <w:jc w:val="left"/>
        <w:rPr>
          <w:rFonts w:hint="default" w:cs="宋体" w:asciiTheme="minorEastAsia" w:hAnsiTheme="minorEastAsia" w:eastAsiaTheme="minorEastAsia"/>
          <w:b/>
          <w:color w:val="auto"/>
          <w:kern w:val="0"/>
        </w:rPr>
      </w:pPr>
      <w:r>
        <w:rPr>
          <w:rFonts w:cs="微软雅黑" w:asciiTheme="minorEastAsia" w:hAnsiTheme="minorEastAsia" w:eastAsiaTheme="minorEastAsia"/>
          <w:b/>
          <w:szCs w:val="24"/>
        </w:rPr>
        <w:t>九、</w:t>
      </w:r>
      <w:r>
        <w:rPr>
          <w:rFonts w:cs="宋体" w:asciiTheme="minorEastAsia" w:hAnsiTheme="minorEastAsia" w:eastAsiaTheme="minorEastAsia"/>
          <w:bCs/>
          <w:color w:val="auto"/>
          <w:kern w:val="0"/>
        </w:rPr>
        <w:t>★</w:t>
      </w:r>
      <w:r>
        <w:rPr>
          <w:rFonts w:cs="微软雅黑" w:asciiTheme="minorEastAsia" w:hAnsiTheme="minorEastAsia" w:eastAsiaTheme="minorEastAsia"/>
          <w:b/>
          <w:szCs w:val="24"/>
        </w:rPr>
        <w:t>其他要求</w:t>
      </w:r>
      <w:r>
        <w:rPr>
          <w:rFonts w:cs="宋体" w:asciiTheme="minorEastAsia" w:hAnsiTheme="minorEastAsia" w:eastAsiaTheme="minorEastAsia"/>
          <w:b/>
          <w:color w:val="auto"/>
          <w:kern w:val="0"/>
        </w:rPr>
        <w:t>（供应商需完全响应，在响应文件中提供承诺函，格式自拟，不接受负偏离）</w:t>
      </w:r>
    </w:p>
    <w:p>
      <w:pPr>
        <w:spacing w:line="336" w:lineRule="auto"/>
        <w:ind w:firstLine="420" w:firstLineChars="200"/>
        <w:rPr>
          <w:rFonts w:cs="宋体" w:asciiTheme="minorEastAsia" w:hAnsiTheme="minorEastAsia" w:eastAsiaTheme="minorEastAsia"/>
          <w:bCs/>
          <w:kern w:val="0"/>
        </w:rPr>
      </w:pPr>
      <w:r>
        <w:rPr>
          <w:rFonts w:hint="eastAsia" w:cs="宋体" w:asciiTheme="minorEastAsia" w:hAnsiTheme="minorEastAsia" w:eastAsiaTheme="minorEastAsia"/>
          <w:bCs/>
          <w:kern w:val="0"/>
          <w:lang w:val="en-US" w:eastAsia="zh-CN"/>
        </w:rPr>
        <w:t>1.</w:t>
      </w:r>
      <w:r>
        <w:rPr>
          <w:rFonts w:hint="eastAsia" w:cs="宋体" w:asciiTheme="minorEastAsia" w:hAnsiTheme="minorEastAsia" w:eastAsiaTheme="minorEastAsia"/>
          <w:bCs/>
          <w:kern w:val="0"/>
        </w:rPr>
        <w:t>所提供的施工材料必须符合国家质量检测、环境、安全等有关标准，否则即使成交，采购人和采购代理机构有权取消合同，拒绝接受所供货物，拒绝支付款项，并由供应商承担给采购人造成的相应的损失。</w:t>
      </w:r>
    </w:p>
    <w:p>
      <w:pPr>
        <w:spacing w:line="336" w:lineRule="auto"/>
        <w:ind w:firstLine="420" w:firstLineChars="200"/>
        <w:rPr>
          <w:rFonts w:cs="宋体" w:asciiTheme="minorEastAsia" w:hAnsiTheme="minorEastAsia" w:eastAsiaTheme="minorEastAsia"/>
          <w:bCs/>
          <w:kern w:val="0"/>
        </w:rPr>
      </w:pPr>
      <w:r>
        <w:rPr>
          <w:rFonts w:hint="eastAsia" w:cs="宋体" w:asciiTheme="minorEastAsia" w:hAnsiTheme="minorEastAsia" w:eastAsiaTheme="minorEastAsia"/>
          <w:bCs/>
          <w:kern w:val="0"/>
          <w:lang w:val="en-US" w:eastAsia="zh-CN"/>
        </w:rPr>
        <w:t>2.</w:t>
      </w:r>
      <w:r>
        <w:rPr>
          <w:rFonts w:hint="eastAsia" w:cs="宋体" w:asciiTheme="minorEastAsia" w:hAnsiTheme="minorEastAsia" w:eastAsiaTheme="minorEastAsia"/>
          <w:bCs/>
          <w:kern w:val="0"/>
        </w:rPr>
        <w:t xml:space="preserve"> 成交供应商在签订合同后、进场施工前，需再次对施工现场情况进行确认，如有问题，需及时提出，确保无前期遗留问题，经双方确认后，签署《施工现场情况确认书》。后续施工现场出现的问题，均由成交供应商承担。</w:t>
      </w:r>
    </w:p>
    <w:p>
      <w:pPr>
        <w:spacing w:line="336" w:lineRule="auto"/>
        <w:ind w:firstLine="420" w:firstLineChars="200"/>
        <w:rPr>
          <w:rFonts w:cs="宋体" w:asciiTheme="minorEastAsia" w:hAnsiTheme="minorEastAsia" w:eastAsiaTheme="minorEastAsia"/>
          <w:bCs/>
          <w:kern w:val="0"/>
        </w:rPr>
      </w:pPr>
      <w:r>
        <w:rPr>
          <w:rFonts w:hint="eastAsia" w:cs="宋体" w:asciiTheme="minorEastAsia" w:hAnsiTheme="minorEastAsia" w:eastAsiaTheme="minorEastAsia"/>
          <w:bCs/>
          <w:kern w:val="0"/>
          <w:lang w:val="en-US" w:eastAsia="zh-CN"/>
        </w:rPr>
        <w:t>3.</w:t>
      </w:r>
      <w:r>
        <w:rPr>
          <w:rFonts w:hint="eastAsia" w:cs="宋体" w:asciiTheme="minorEastAsia" w:hAnsiTheme="minorEastAsia" w:eastAsiaTheme="minorEastAsia"/>
          <w:bCs/>
          <w:kern w:val="0"/>
        </w:rPr>
        <w:t>工程完成后，须提供详细的竣工图纸及相应标识作为验收的重要依据。</w:t>
      </w:r>
    </w:p>
    <w:p>
      <w:pPr>
        <w:spacing w:line="336" w:lineRule="auto"/>
        <w:ind w:firstLine="420" w:firstLineChars="200"/>
        <w:rPr>
          <w:rFonts w:cs="宋体" w:asciiTheme="minorEastAsia" w:hAnsiTheme="minorEastAsia" w:eastAsiaTheme="minorEastAsia"/>
          <w:bCs/>
          <w:kern w:val="0"/>
        </w:rPr>
      </w:pPr>
      <w:r>
        <w:rPr>
          <w:rFonts w:hint="eastAsia" w:cs="宋体" w:asciiTheme="minorEastAsia" w:hAnsiTheme="minorEastAsia" w:eastAsiaTheme="minorEastAsia"/>
          <w:bCs/>
          <w:kern w:val="0"/>
          <w:lang w:val="en-US" w:eastAsia="zh-CN"/>
        </w:rPr>
        <w:t>4.</w:t>
      </w:r>
      <w:r>
        <w:rPr>
          <w:rFonts w:hint="eastAsia" w:cs="宋体" w:asciiTheme="minorEastAsia" w:hAnsiTheme="minorEastAsia" w:eastAsiaTheme="minorEastAsia"/>
          <w:bCs/>
          <w:kern w:val="0"/>
        </w:rPr>
        <w:t>供应商提供的建筑材料应符合下列相关要求</w:t>
      </w:r>
    </w:p>
    <w:p>
      <w:pPr>
        <w:spacing w:line="336" w:lineRule="auto"/>
        <w:ind w:firstLine="420" w:firstLineChars="200"/>
        <w:rPr>
          <w:rFonts w:cs="宋体" w:asciiTheme="minorEastAsia" w:hAnsiTheme="minorEastAsia" w:eastAsiaTheme="minorEastAsia"/>
          <w:bCs/>
          <w:kern w:val="0"/>
          <w:lang w:val="zh-TW"/>
        </w:rPr>
      </w:pPr>
      <w:r>
        <w:rPr>
          <w:rFonts w:hint="eastAsia" w:cs="宋体" w:asciiTheme="minorEastAsia" w:hAnsiTheme="minorEastAsia" w:eastAsiaTheme="minorEastAsia"/>
          <w:bCs/>
          <w:kern w:val="0"/>
        </w:rPr>
        <w:t>建筑与装修材料应符合《民用建筑工程室内环境污染控制规范》（GB50325-2010）中Ⅰ类民用建筑的相关规定，使用环保材料、产品（注明品牌），须满足国家及行业环保和质量标准（提供检测报告），经监理审核、采购人确认后方可使用。</w:t>
      </w:r>
    </w:p>
    <w:p>
      <w:pPr>
        <w:widowControl/>
        <w:spacing w:line="336" w:lineRule="auto"/>
        <w:ind w:firstLine="420" w:firstLineChars="200"/>
        <w:rPr>
          <w:rFonts w:cs="宋体" w:asciiTheme="minorEastAsia" w:hAnsiTheme="minorEastAsia" w:eastAsiaTheme="minorEastAsia"/>
          <w:bCs/>
          <w:kern w:val="0"/>
          <w:lang w:val="zh-TW"/>
        </w:rPr>
      </w:pPr>
      <w:r>
        <w:rPr>
          <w:rFonts w:hint="eastAsia" w:cs="宋体" w:asciiTheme="minorEastAsia" w:hAnsiTheme="minorEastAsia" w:eastAsiaTheme="minorEastAsia"/>
          <w:bCs/>
          <w:kern w:val="0"/>
          <w:lang w:val="en-US" w:eastAsia="zh-CN"/>
        </w:rPr>
        <w:t>5.</w:t>
      </w:r>
      <w:r>
        <w:rPr>
          <w:rFonts w:hint="eastAsia" w:cs="宋体" w:asciiTheme="minorEastAsia" w:hAnsiTheme="minorEastAsia" w:eastAsiaTheme="minorEastAsia"/>
          <w:bCs/>
          <w:kern w:val="0"/>
          <w:lang w:val="zh-TW"/>
        </w:rPr>
        <w:t>成交供应商应确保工程通过相关部门的环境检测，交付验收的内容和方法应按《室内空气质量标准》（GB/T18883-2002）的相关规定执行。</w:t>
      </w:r>
    </w:p>
    <w:p>
      <w:pPr>
        <w:widowControl/>
        <w:tabs>
          <w:tab w:val="left" w:pos="0"/>
          <w:tab w:val="left" w:pos="1134"/>
        </w:tabs>
        <w:adjustRightInd w:val="0"/>
        <w:snapToGrid w:val="0"/>
        <w:spacing w:line="336" w:lineRule="auto"/>
        <w:ind w:firstLine="420" w:firstLineChars="200"/>
        <w:rPr>
          <w:rFonts w:cs="宋体" w:asciiTheme="minorEastAsia" w:hAnsiTheme="minorEastAsia" w:eastAsiaTheme="minorEastAsia"/>
          <w:bCs/>
          <w:kern w:val="0"/>
        </w:rPr>
      </w:pPr>
      <w:r>
        <w:rPr>
          <w:rFonts w:hint="eastAsia" w:cs="宋体" w:asciiTheme="minorEastAsia" w:hAnsiTheme="minorEastAsia" w:eastAsiaTheme="minorEastAsia"/>
          <w:bCs/>
          <w:kern w:val="0"/>
          <w:lang w:val="en-US" w:eastAsia="zh-CN"/>
        </w:rPr>
        <w:t>6.</w:t>
      </w:r>
      <w:r>
        <w:rPr>
          <w:rFonts w:hint="eastAsia" w:cs="宋体" w:asciiTheme="minorEastAsia" w:hAnsiTheme="minorEastAsia" w:eastAsiaTheme="minorEastAsia"/>
          <w:bCs/>
          <w:kern w:val="0"/>
        </w:rPr>
        <w:t>供应商须承诺，成交后安排专人负责项目预决算、施工资料管理等工作。</w:t>
      </w:r>
    </w:p>
    <w:p>
      <w:pPr>
        <w:widowControl/>
        <w:tabs>
          <w:tab w:val="left" w:pos="0"/>
          <w:tab w:val="left" w:pos="1134"/>
        </w:tabs>
        <w:adjustRightInd w:val="0"/>
        <w:snapToGrid w:val="0"/>
        <w:spacing w:line="336" w:lineRule="auto"/>
        <w:ind w:firstLine="420" w:firstLineChars="200"/>
        <w:rPr>
          <w:rFonts w:hint="eastAsia" w:ascii="宋体" w:hAnsi="宋体"/>
          <w:color w:val="000000"/>
        </w:rPr>
      </w:pPr>
      <w:r>
        <w:rPr>
          <w:rFonts w:hint="eastAsia" w:cs="宋体" w:asciiTheme="minorEastAsia" w:hAnsiTheme="minorEastAsia" w:eastAsiaTheme="minorEastAsia"/>
          <w:bCs/>
          <w:kern w:val="0"/>
          <w:lang w:val="en-US" w:eastAsia="zh-CN"/>
        </w:rPr>
        <w:t>7.</w:t>
      </w:r>
      <w:r>
        <w:rPr>
          <w:rFonts w:hint="eastAsia" w:cs="宋体" w:asciiTheme="minorEastAsia" w:hAnsiTheme="minorEastAsia" w:eastAsiaTheme="minorEastAsia"/>
          <w:bCs/>
          <w:kern w:val="0"/>
        </w:rPr>
        <w:t>供应商在合同履约过程中、完成后验收不合格的，采购人有权拒绝支付任何款项，并有权依据法律追究合同责任方的责任。</w:t>
      </w:r>
    </w:p>
    <w:p>
      <w:pPr>
        <w:adjustRightInd w:val="0"/>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 xml:space="preserve">十、所对应的中小企业划分标准所属行业：建筑业。 </w:t>
      </w:r>
      <w:r>
        <w:rPr>
          <w:rFonts w:ascii="宋体" w:hAnsi="宋体" w:cs="宋体"/>
          <w:b/>
          <w:color w:val="000000"/>
          <w:szCs w:val="21"/>
        </w:rPr>
        <w:t xml:space="preserve">                                                                                                                                                                                                                                                                                                                                                                                                                                                                                                                                                                                                                                                                                                                                                                                                                                                                            </w:t>
      </w:r>
    </w:p>
    <w:p>
      <w:pPr>
        <w:adjustRightInd w:val="0"/>
        <w:snapToGrid w:val="0"/>
        <w:spacing w:line="360" w:lineRule="auto"/>
        <w:ind w:firstLine="422" w:firstLineChars="200"/>
        <w:rPr>
          <w:rFonts w:hint="eastAsia" w:ascii="宋体" w:hAnsi="宋体" w:cs="宋体"/>
          <w:b/>
          <w:color w:val="000000"/>
          <w:szCs w:val="21"/>
        </w:rPr>
      </w:pPr>
      <w:r>
        <w:rPr>
          <w:rFonts w:ascii="宋体" w:hAnsi="宋体" w:cs="宋体"/>
          <w:b/>
          <w:color w:val="000000"/>
          <w:szCs w:val="21"/>
        </w:rPr>
        <w:t>注：★号指标为必须满足项，如有负偏离将作为无效标处理。</w:t>
      </w:r>
    </w:p>
    <w:p>
      <w:pPr>
        <w:spacing w:line="460" w:lineRule="exact"/>
        <w:jc w:val="center"/>
        <w:rPr>
          <w:rFonts w:ascii="微软雅黑" w:hAnsi="微软雅黑" w:eastAsia="微软雅黑" w:cs="微软雅黑"/>
        </w:rPr>
      </w:pPr>
      <w:r>
        <w:rPr>
          <w:rFonts w:hint="eastAsia" w:ascii="宋体" w:hAnsi="宋体" w:cs="宋体"/>
          <w:b/>
          <w:color w:val="000000"/>
          <w:szCs w:val="21"/>
        </w:rPr>
        <w:t>采购清单及清单编制说明附后</w:t>
      </w:r>
      <w:r>
        <w:rPr>
          <w:rFonts w:hint="eastAsia" w:ascii="微软雅黑" w:hAnsi="微软雅黑" w:eastAsia="微软雅黑" w:cs="微软雅黑"/>
        </w:rPr>
        <w:br w:type="page"/>
      </w:r>
    </w:p>
    <w:p>
      <w:pPr>
        <w:spacing w:line="460" w:lineRule="exact"/>
        <w:jc w:val="center"/>
        <w:rPr>
          <w:rFonts w:ascii="微软雅黑" w:hAnsi="微软雅黑" w:eastAsia="微软雅黑" w:cs="微软雅黑"/>
          <w:sz w:val="36"/>
          <w:szCs w:val="36"/>
          <w:lang w:val="zh-CN"/>
        </w:rPr>
      </w:pPr>
      <w:r>
        <w:rPr>
          <w:rFonts w:hint="eastAsia" w:ascii="微软雅黑" w:hAnsi="微软雅黑" w:eastAsia="微软雅黑" w:cs="微软雅黑"/>
          <w:sz w:val="36"/>
          <w:szCs w:val="36"/>
        </w:rPr>
        <w:t xml:space="preserve"> </w:t>
      </w: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val="zh-CN"/>
        </w:rPr>
        <w:t>第五章</w:t>
      </w: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val="zh-CN"/>
        </w:rPr>
        <w:t>合同主要条款及格式</w:t>
      </w:r>
    </w:p>
    <w:p>
      <w:pPr>
        <w:spacing w:line="400" w:lineRule="exact"/>
        <w:rPr>
          <w:rFonts w:eastAsia="仿宋_GB2312"/>
          <w:bCs/>
          <w:sz w:val="32"/>
          <w:szCs w:val="32"/>
        </w:rPr>
      </w:pPr>
    </w:p>
    <w:p>
      <w:pPr>
        <w:spacing w:line="400" w:lineRule="exact"/>
        <w:rPr>
          <w:rFonts w:eastAsia="仿宋_GB2312"/>
          <w:bCs/>
          <w:sz w:val="32"/>
          <w:szCs w:val="32"/>
        </w:rPr>
      </w:pPr>
      <w:r>
        <w:rPr>
          <w:rFonts w:eastAsia="仿宋_GB2312"/>
          <w:bCs/>
          <w:sz w:val="32"/>
          <w:szCs w:val="32"/>
        </w:rPr>
        <w:t>（GF—201</w:t>
      </w:r>
      <w:r>
        <w:rPr>
          <w:rFonts w:hint="eastAsia" w:eastAsia="仿宋_GB2312"/>
          <w:bCs/>
          <w:sz w:val="32"/>
          <w:szCs w:val="32"/>
        </w:rPr>
        <w:t>7</w:t>
      </w:r>
      <w:r>
        <w:rPr>
          <w:rFonts w:eastAsia="仿宋_GB2312"/>
          <w:bCs/>
          <w:sz w:val="32"/>
          <w:szCs w:val="32"/>
        </w:rPr>
        <w:t>—</w:t>
      </w:r>
      <w:r>
        <w:rPr>
          <w:rFonts w:hint="eastAsia" w:eastAsia="仿宋_GB2312"/>
          <w:bCs/>
          <w:sz w:val="32"/>
          <w:szCs w:val="32"/>
        </w:rPr>
        <w:t>0201）</w:t>
      </w:r>
    </w:p>
    <w:p>
      <w:pPr>
        <w:spacing w:line="400" w:lineRule="exact"/>
        <w:jc w:val="center"/>
        <w:rPr>
          <w:rFonts w:eastAsia="华文中宋"/>
          <w:b/>
        </w:rPr>
      </w:pPr>
    </w:p>
    <w:p>
      <w:pPr>
        <w:spacing w:line="400" w:lineRule="exact"/>
        <w:jc w:val="center"/>
        <w:rPr>
          <w:rFonts w:eastAsia="华文中宋"/>
          <w:b/>
        </w:rPr>
      </w:pPr>
    </w:p>
    <w:p>
      <w:pPr>
        <w:spacing w:line="400" w:lineRule="exact"/>
        <w:jc w:val="center"/>
        <w:rPr>
          <w:rFonts w:eastAsia="华文中宋"/>
          <w:b/>
        </w:rPr>
      </w:pPr>
    </w:p>
    <w:p>
      <w:pPr>
        <w:spacing w:line="400" w:lineRule="exact"/>
        <w:jc w:val="center"/>
        <w:rPr>
          <w:rFonts w:eastAsia="华文中宋"/>
          <w:b/>
          <w:sz w:val="72"/>
          <w:szCs w:val="72"/>
        </w:rPr>
      </w:pPr>
    </w:p>
    <w:p>
      <w:pPr>
        <w:spacing w:line="400" w:lineRule="exact"/>
        <w:jc w:val="center"/>
        <w:rPr>
          <w:rFonts w:eastAsia="华文中宋"/>
          <w:b/>
          <w:sz w:val="72"/>
          <w:szCs w:val="72"/>
        </w:rPr>
      </w:pPr>
    </w:p>
    <w:p>
      <w:pPr>
        <w:spacing w:line="400" w:lineRule="exact"/>
        <w:jc w:val="center"/>
        <w:rPr>
          <w:rFonts w:eastAsia="华文中宋"/>
          <w:b/>
          <w:sz w:val="72"/>
          <w:szCs w:val="72"/>
        </w:rPr>
      </w:pPr>
    </w:p>
    <w:p>
      <w:pPr>
        <w:spacing w:line="480" w:lineRule="auto"/>
        <w:jc w:val="center"/>
        <w:rPr>
          <w:rFonts w:hint="eastAsia" w:eastAsia="华文中宋"/>
          <w:b/>
          <w:sz w:val="72"/>
          <w:szCs w:val="72"/>
          <w:lang w:eastAsia="zh-CN"/>
        </w:rPr>
      </w:pPr>
      <w:r>
        <w:rPr>
          <w:rFonts w:eastAsia="华文中宋"/>
          <w:b/>
          <w:sz w:val="72"/>
          <w:szCs w:val="72"/>
        </w:rPr>
        <w:t>建设工程施工合同</w:t>
      </w:r>
    </w:p>
    <w:p>
      <w:pPr>
        <w:spacing w:line="480" w:lineRule="auto"/>
        <w:jc w:val="center"/>
        <w:rPr>
          <w:rFonts w:eastAsia="华文中宋"/>
          <w:b/>
          <w:sz w:val="72"/>
          <w:szCs w:val="72"/>
        </w:rPr>
      </w:pPr>
      <w:r>
        <w:rPr>
          <w:rFonts w:eastAsia="华文中宋"/>
          <w:b/>
          <w:sz w:val="72"/>
          <w:szCs w:val="72"/>
        </w:rPr>
        <w:t>（示范文本）</w:t>
      </w:r>
    </w:p>
    <w:p>
      <w:pPr>
        <w:spacing w:line="400" w:lineRule="exact"/>
        <w:jc w:val="center"/>
        <w:rPr>
          <w:rFonts w:eastAsia="华文中宋"/>
          <w:b/>
        </w:rPr>
      </w:pPr>
    </w:p>
    <w:p>
      <w:pPr>
        <w:spacing w:line="400" w:lineRule="exact"/>
        <w:jc w:val="center"/>
        <w:rPr>
          <w:rFonts w:eastAsia="黑体"/>
          <w:b/>
        </w:rPr>
      </w:pPr>
    </w:p>
    <w:p>
      <w:pPr>
        <w:spacing w:line="400" w:lineRule="exact"/>
        <w:jc w:val="center"/>
        <w:rPr>
          <w:rFonts w:eastAsia="楷体_GB2312"/>
          <w:b/>
        </w:rPr>
      </w:pPr>
    </w:p>
    <w:p>
      <w:pPr>
        <w:spacing w:line="400" w:lineRule="exact"/>
        <w:jc w:val="center"/>
        <w:rPr>
          <w:rFonts w:eastAsia="黑体"/>
          <w:b/>
        </w:rPr>
      </w:pPr>
    </w:p>
    <w:p>
      <w:pPr>
        <w:spacing w:line="400" w:lineRule="exact"/>
        <w:rPr>
          <w:b/>
        </w:rPr>
      </w:pPr>
    </w:p>
    <w:p>
      <w:pPr>
        <w:spacing w:line="400" w:lineRule="exact"/>
        <w:rPr>
          <w:b/>
        </w:rPr>
      </w:pPr>
    </w:p>
    <w:p>
      <w:pPr>
        <w:spacing w:line="400" w:lineRule="exact"/>
        <w:rPr>
          <w:b/>
        </w:rPr>
      </w:pPr>
    </w:p>
    <w:p>
      <w:pPr>
        <w:spacing w:line="400" w:lineRule="exact"/>
        <w:rPr>
          <w:b/>
        </w:rPr>
      </w:pPr>
    </w:p>
    <w:p>
      <w:pPr>
        <w:spacing w:line="400" w:lineRule="exact"/>
        <w:rPr>
          <w:b/>
        </w:rPr>
      </w:pPr>
    </w:p>
    <w:p>
      <w:pPr>
        <w:spacing w:line="400" w:lineRule="exact"/>
        <w:ind w:right="2719" w:rightChars="1295" w:firstLine="2738" w:firstLineChars="1304"/>
        <w:jc w:val="distribute"/>
        <w:rPr>
          <w:b/>
        </w:rPr>
      </w:pPr>
      <w:r>
        <w:pict>
          <v:shape id="_x0000_s1028" o:spid="_x0000_s1028" o:spt="202" type="#_x0000_t202" style="position:absolute;left:0pt;margin-left:312.6pt;margin-top:9.45pt;height:36pt;width:57pt;z-index:251659264;mso-width-relative:page;mso-height-relative:page;" filled="f" stroked="t" coordsize="21600,21600">
            <v:path/>
            <v:fill on="f" focussize="0,0"/>
            <v:stroke color="#FFFFFF" joinstyle="miter"/>
            <v:imagedata o:title=""/>
            <o:lock v:ext="edit"/>
            <v:textbox>
              <w:txbxContent>
                <w:p>
                  <w:pPr>
                    <w:rPr>
                      <w:b/>
                      <w:bCs/>
                      <w:sz w:val="32"/>
                    </w:rPr>
                  </w:pPr>
                  <w:r>
                    <w:rPr>
                      <w:rFonts w:hint="eastAsia"/>
                      <w:b/>
                      <w:bCs/>
                      <w:sz w:val="32"/>
                    </w:rPr>
                    <w:t>制定</w:t>
                  </w:r>
                </w:p>
              </w:txbxContent>
            </v:textbox>
          </v:shape>
        </w:pict>
      </w:r>
      <w:r>
        <w:rPr>
          <w:b/>
        </w:rPr>
        <w:t>住房城乡建设部</w:t>
      </w:r>
    </w:p>
    <w:p>
      <w:pPr>
        <w:spacing w:line="400" w:lineRule="exact"/>
        <w:ind w:right="2719" w:rightChars="1295" w:firstLine="2750" w:firstLineChars="856"/>
        <w:jc w:val="distribute"/>
        <w:rPr>
          <w:b/>
          <w:sz w:val="32"/>
          <w:szCs w:val="32"/>
        </w:rPr>
      </w:pPr>
      <w:r>
        <w:rPr>
          <w:b/>
          <w:sz w:val="32"/>
          <w:szCs w:val="32"/>
        </w:rPr>
        <w:t>国家工商行政管理总局</w:t>
      </w:r>
    </w:p>
    <w:p>
      <w:pPr>
        <w:spacing w:line="400" w:lineRule="exact"/>
        <w:rPr>
          <w:b/>
        </w:rPr>
      </w:pPr>
    </w:p>
    <w:p>
      <w:pPr>
        <w:pStyle w:val="135"/>
        <w:spacing w:before="0" w:line="400" w:lineRule="exact"/>
        <w:jc w:val="center"/>
        <w:outlineLvl w:val="0"/>
        <w:rPr>
          <w:rFonts w:eastAsia="华文中宋"/>
          <w:sz w:val="21"/>
          <w:szCs w:val="21"/>
          <w:lang w:val="zh-CN"/>
        </w:rPr>
      </w:pPr>
      <w:r>
        <w:rPr>
          <w:b w:val="0"/>
          <w:sz w:val="21"/>
          <w:szCs w:val="21"/>
        </w:rPr>
        <w:br w:type="page"/>
      </w:r>
      <w:bookmarkStart w:id="47" w:name="_Toc296890982"/>
      <w:bookmarkStart w:id="48" w:name="_Toc296503025"/>
    </w:p>
    <w:bookmarkEnd w:id="47"/>
    <w:bookmarkEnd w:id="48"/>
    <w:p>
      <w:pPr>
        <w:pStyle w:val="2"/>
        <w:ind w:left="1260"/>
        <w:sectPr>
          <w:footerReference r:id="rId5" w:type="first"/>
          <w:footerReference r:id="rId4" w:type="default"/>
          <w:pgSz w:w="11906" w:h="16838"/>
          <w:pgMar w:top="1417" w:right="1553" w:bottom="1417" w:left="1531" w:header="851" w:footer="992" w:gutter="0"/>
          <w:cols w:space="0" w:num="1"/>
          <w:titlePg/>
          <w:docGrid w:type="lines" w:linePitch="326" w:charSpace="0"/>
        </w:sectPr>
      </w:pPr>
    </w:p>
    <w:p>
      <w:pPr>
        <w:pStyle w:val="6"/>
        <w:spacing w:line="240" w:lineRule="auto"/>
        <w:jc w:val="center"/>
        <w:rPr>
          <w:rFonts w:ascii="宋体" w:hAnsi="宋体" w:cs="宋体"/>
          <w:b w:val="0"/>
          <w:kern w:val="0"/>
          <w:sz w:val="24"/>
          <w:szCs w:val="24"/>
        </w:rPr>
      </w:pPr>
      <w:r>
        <w:rPr>
          <w:rFonts w:eastAsia="黑体"/>
        </w:rPr>
        <w:t xml:space="preserve"> </w:t>
      </w:r>
      <w:r>
        <w:rPr>
          <w:rFonts w:hint="eastAsia" w:ascii="宋体" w:hAnsi="宋体" w:cs="宋体"/>
          <w:b w:val="0"/>
          <w:kern w:val="0"/>
          <w:sz w:val="24"/>
          <w:szCs w:val="24"/>
        </w:rPr>
        <w:t>第一部分  协议书格式</w:t>
      </w:r>
    </w:p>
    <w:p>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招标人（全称）</w:t>
      </w:r>
      <w:r>
        <w:rPr>
          <w:rFonts w:hint="eastAsia" w:ascii="宋体" w:hAnsi="宋体" w:cs="宋体"/>
          <w:bCs/>
          <w:color w:val="auto"/>
          <w:sz w:val="24"/>
          <w:szCs w:val="24"/>
          <w:highlight w:val="none"/>
          <w:u w:val="single"/>
          <w:lang w:eastAsia="zh-CN"/>
        </w:rPr>
        <w:t>南京市栖霞区人民政府尧化办事处</w:t>
      </w:r>
      <w:r>
        <w:rPr>
          <w:rFonts w:hint="eastAsia" w:ascii="宋体" w:hAnsi="宋体" w:cs="宋体"/>
          <w:color w:val="auto"/>
          <w:sz w:val="24"/>
          <w:szCs w:val="24"/>
          <w:highlight w:val="none"/>
        </w:rPr>
        <w:t>（简称招标人）</w:t>
      </w:r>
    </w:p>
    <w:p>
      <w:pPr>
        <w:tabs>
          <w:tab w:val="left" w:pos="630"/>
        </w:tabs>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发包人（全称）</w:t>
      </w:r>
      <w:r>
        <w:rPr>
          <w:rFonts w:hint="eastAsia" w:ascii="宋体" w:hAnsi="宋体" w:cs="宋体"/>
          <w:bCs/>
          <w:color w:val="auto"/>
          <w:sz w:val="24"/>
          <w:szCs w:val="24"/>
          <w:highlight w:val="none"/>
          <w:u w:val="single"/>
          <w:lang w:val="zh-CN"/>
        </w:rPr>
        <w:t>南京市栖霞区实验小学</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(简称发包人）</w:t>
      </w:r>
    </w:p>
    <w:p>
      <w:pPr>
        <w:tabs>
          <w:tab w:val="left" w:pos="630"/>
        </w:tabs>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承包人（全称）</w:t>
      </w:r>
      <w:r>
        <w:rPr>
          <w:rFonts w:hint="eastAsia"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 xml:space="preserve">（简称承包人） </w:t>
      </w:r>
    </w:p>
    <w:p>
      <w:pPr>
        <w:pStyle w:val="34"/>
        <w:spacing w:line="240" w:lineRule="auto"/>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依照《中华人民共和国民法典》、《中华人民共和国建筑法》及其他有关法律、行政法规，遵循平等、自愿、公平和诚实信用的原则，三方就本建设工程施工事项协商一致，订立本合同。</w:t>
      </w:r>
    </w:p>
    <w:p>
      <w:pPr>
        <w:pStyle w:val="34"/>
        <w:spacing w:line="240" w:lineRule="auto"/>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w:t>
      </w:r>
    </w:p>
    <w:p>
      <w:pPr>
        <w:pStyle w:val="34"/>
        <w:spacing w:line="240" w:lineRule="auto"/>
        <w:ind w:left="0"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1、工程名称：</w:t>
      </w:r>
      <w:r>
        <w:rPr>
          <w:rFonts w:hint="eastAsia" w:ascii="宋体" w:hAnsi="宋体" w:eastAsia="宋体" w:cs="宋体"/>
          <w:bCs/>
          <w:color w:val="auto"/>
          <w:sz w:val="24"/>
          <w:szCs w:val="24"/>
          <w:highlight w:val="none"/>
          <w:u w:val="single"/>
          <w:lang w:eastAsia="zh-CN"/>
        </w:rPr>
        <w:t>2024年南京市栖霞区实验小学尧化街校区厕所提升工程</w:t>
      </w:r>
    </w:p>
    <w:p>
      <w:pPr>
        <w:adjustRightInd w:val="0"/>
        <w:snapToGrid w:val="0"/>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2、工程地点：</w:t>
      </w:r>
      <w:r>
        <w:rPr>
          <w:rFonts w:hint="eastAsia" w:ascii="宋体" w:hAnsi="宋体" w:cs="宋体"/>
          <w:bCs/>
          <w:color w:val="auto"/>
          <w:sz w:val="24"/>
          <w:szCs w:val="24"/>
          <w:highlight w:val="none"/>
          <w:u w:val="single"/>
        </w:rPr>
        <w:t>栖霞区尧化门街221号</w:t>
      </w:r>
    </w:p>
    <w:p>
      <w:pPr>
        <w:adjustRightInd w:val="0"/>
        <w:snapToGrid w:val="0"/>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3、工程立项批准文号：</w:t>
      </w:r>
      <w:r>
        <w:rPr>
          <w:rFonts w:hint="eastAsia" w:ascii="宋体" w:hAnsi="宋体" w:cs="宋体"/>
          <w:snapToGrid w:val="0"/>
          <w:color w:val="auto"/>
          <w:sz w:val="24"/>
          <w:szCs w:val="24"/>
          <w:highlight w:val="none"/>
          <w:u w:val="single"/>
        </w:rPr>
        <w:t>宁栖发改字（202</w:t>
      </w:r>
      <w:r>
        <w:rPr>
          <w:rFonts w:hint="eastAsia" w:ascii="宋体" w:hAnsi="宋体" w:cs="宋体"/>
          <w:snapToGrid w:val="0"/>
          <w:color w:val="auto"/>
          <w:sz w:val="24"/>
          <w:szCs w:val="24"/>
          <w:highlight w:val="none"/>
          <w:u w:val="single"/>
          <w:lang w:val="en-US" w:eastAsia="zh-CN"/>
        </w:rPr>
        <w:t>4</w:t>
      </w:r>
      <w:r>
        <w:rPr>
          <w:rFonts w:hint="eastAsia" w:ascii="宋体" w:hAnsi="宋体" w:cs="宋体"/>
          <w:snapToGrid w:val="0"/>
          <w:color w:val="auto"/>
          <w:sz w:val="24"/>
          <w:szCs w:val="24"/>
          <w:highlight w:val="none"/>
          <w:u w:val="single"/>
        </w:rPr>
        <w:t>）</w:t>
      </w:r>
      <w:r>
        <w:rPr>
          <w:rFonts w:hint="eastAsia" w:ascii="宋体" w:hAnsi="宋体" w:cs="宋体"/>
          <w:snapToGrid w:val="0"/>
          <w:color w:val="auto"/>
          <w:sz w:val="24"/>
          <w:szCs w:val="24"/>
          <w:highlight w:val="none"/>
          <w:u w:val="single"/>
          <w:lang w:val="en-US" w:eastAsia="zh-CN"/>
        </w:rPr>
        <w:t>50</w:t>
      </w:r>
      <w:r>
        <w:rPr>
          <w:rFonts w:hint="eastAsia" w:ascii="宋体" w:hAnsi="宋体" w:cs="宋体"/>
          <w:snapToGrid w:val="0"/>
          <w:color w:val="auto"/>
          <w:sz w:val="24"/>
          <w:szCs w:val="24"/>
          <w:highlight w:val="none"/>
          <w:u w:val="single"/>
        </w:rPr>
        <w:t>号</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4、资金来源：</w:t>
      </w:r>
      <w:r>
        <w:rPr>
          <w:rFonts w:hint="eastAsia" w:ascii="宋体" w:hAnsi="宋体" w:cs="宋体"/>
          <w:color w:val="auto"/>
          <w:sz w:val="24"/>
          <w:szCs w:val="24"/>
          <w:highlight w:val="none"/>
          <w:u w:val="single"/>
        </w:rPr>
        <w:t>所需资金由区财政拨付42万元，市教育局奖补73 万元，街道自有资金 41万元解决。</w:t>
      </w:r>
    </w:p>
    <w:p>
      <w:pPr>
        <w:adjustRightInd w:val="0"/>
        <w:snapToGrid w:val="0"/>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5、工程内容：</w:t>
      </w:r>
      <w:r>
        <w:rPr>
          <w:rFonts w:hint="eastAsia" w:ascii="宋体" w:hAnsi="宋体" w:cs="宋体"/>
          <w:bCs/>
          <w:color w:val="auto"/>
          <w:sz w:val="24"/>
          <w:szCs w:val="24"/>
          <w:highlight w:val="none"/>
          <w:u w:val="single"/>
          <w:lang w:val="zh-CN"/>
        </w:rPr>
        <w:t>2024年南京市栖霞区实验小学尧化街校区厕所提升工程</w:t>
      </w:r>
      <w:r>
        <w:rPr>
          <w:rFonts w:hint="eastAsia" w:ascii="宋体" w:hAnsi="宋体" w:cs="宋体"/>
          <w:bCs/>
          <w:color w:val="auto"/>
          <w:sz w:val="24"/>
          <w:szCs w:val="24"/>
          <w:highlight w:val="none"/>
          <w:u w:val="single"/>
        </w:rPr>
        <w:t>施工内容</w:t>
      </w:r>
      <w:r>
        <w:rPr>
          <w:rFonts w:hint="eastAsia" w:ascii="宋体" w:hAnsi="宋体" w:cs="宋体"/>
          <w:bCs/>
          <w:color w:val="auto"/>
          <w:sz w:val="24"/>
          <w:szCs w:val="24"/>
          <w:highlight w:val="none"/>
          <w:u w:val="single"/>
          <w:lang w:val="zh-CN"/>
        </w:rPr>
        <w:t>包</w:t>
      </w:r>
      <w:r>
        <w:rPr>
          <w:rFonts w:hint="eastAsia" w:ascii="宋体" w:hAnsi="宋体" w:eastAsia="宋体" w:cs="宋体"/>
          <w:bCs/>
          <w:color w:val="auto"/>
          <w:sz w:val="24"/>
          <w:szCs w:val="24"/>
          <w:highlight w:val="none"/>
          <w:u w:val="single"/>
          <w:lang w:val="zh-CN"/>
        </w:rPr>
        <w:t>含对栖霞区实验小学尧化街校区1#楼一至四层、1#-2#楼连廊一至四层、3#楼二至四层共19间卫生间进行提升改造，改造总建筑面积约472.31平方米。建设内容主要包括拆除工程、室内装修改造工程、成品卫生器具安装及水电改造，</w:t>
      </w:r>
      <w:r>
        <w:rPr>
          <w:rFonts w:hint="eastAsia" w:ascii="宋体" w:hAnsi="宋体" w:cs="宋体"/>
          <w:bCs/>
          <w:color w:val="auto"/>
          <w:sz w:val="24"/>
          <w:szCs w:val="24"/>
          <w:highlight w:val="none"/>
          <w:u w:val="single"/>
        </w:rPr>
        <w:t>具体详见清单及图纸。</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6、承包范围：</w:t>
      </w:r>
      <w:r>
        <w:rPr>
          <w:rFonts w:hint="eastAsia" w:ascii="宋体" w:hAnsi="宋体" w:cs="宋体"/>
          <w:snapToGrid w:val="0"/>
          <w:color w:val="auto"/>
          <w:sz w:val="24"/>
          <w:szCs w:val="24"/>
          <w:highlight w:val="none"/>
          <w:u w:val="single"/>
          <w:lang w:eastAsia="zh-CN"/>
        </w:rPr>
        <w:t>2024 年南京市栖霞区实验小学尧化街校区厕所提升工程</w:t>
      </w:r>
      <w:r>
        <w:rPr>
          <w:rFonts w:hint="eastAsia" w:ascii="宋体" w:hAnsi="宋体" w:cs="宋体"/>
          <w:snapToGrid w:val="0"/>
          <w:color w:val="auto"/>
          <w:sz w:val="24"/>
          <w:szCs w:val="24"/>
          <w:highlight w:val="none"/>
          <w:u w:val="single"/>
        </w:rPr>
        <w:t>中所有的工程内容（详见清单）</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二、合同工期</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计划开工日期：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日（具体开工日期以监理开工令为准，因发包人原因造成监理人未能在计划开工日期之日起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天内发出开工通知的，承包人有权提出价格调整要求，或者解除合同，若未提出似同放弃）</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计划竣工日期：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合同工期总日历天数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50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天。工期总日历天数与根据前述计划开竣工日期计算的工期天数不一致的，以工期总日历天数为准。 </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三、质量标准</w:t>
      </w:r>
    </w:p>
    <w:p>
      <w:pPr>
        <w:adjustRightInd w:val="0"/>
        <w:snapToGrid w:val="0"/>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工程质量标准：</w:t>
      </w:r>
      <w:r>
        <w:rPr>
          <w:rFonts w:hint="eastAsia" w:ascii="宋体" w:hAnsi="宋体" w:cs="宋体"/>
          <w:color w:val="auto"/>
          <w:sz w:val="24"/>
          <w:szCs w:val="24"/>
          <w:highlight w:val="none"/>
          <w:u w:val="single"/>
        </w:rPr>
        <w:t>符合国家验收标准</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四、签约合同价与合同价格形式</w:t>
      </w:r>
    </w:p>
    <w:p>
      <w:pPr>
        <w:adjustRightInd w:val="0"/>
        <w:snapToGri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签约合同价为：</w:t>
      </w:r>
    </w:p>
    <w:p>
      <w:pPr>
        <w:adjustRightInd w:val="0"/>
        <w:snapToGri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（大写）</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pPr>
        <w:numPr>
          <w:ilvl w:val="0"/>
          <w:numId w:val="0"/>
        </w:numPr>
        <w:adjustRightInd w:val="0"/>
        <w:snapToGrid w:val="0"/>
        <w:ind w:firstLine="480" w:firstLineChars="200"/>
        <w:rPr>
          <w:rFonts w:ascii="宋体" w:hAnsi="宋体" w:cs="宋体"/>
          <w:color w:val="auto"/>
          <w:sz w:val="24"/>
          <w:szCs w:val="24"/>
          <w:highlight w:val="none"/>
          <w:lang w:val="zh-CN"/>
        </w:rPr>
      </w:pPr>
      <w:r>
        <w:rPr>
          <w:rFonts w:ascii="宋体" w:hAnsi="宋体" w:eastAsia="宋体" w:cs="宋体"/>
          <w:color w:val="auto"/>
          <w:kern w:val="2"/>
          <w:sz w:val="24"/>
          <w:szCs w:val="24"/>
          <w:highlight w:val="none"/>
          <w:lang w:val="zh-CN" w:eastAsia="zh-CN" w:bidi="ar-SA"/>
        </w:rPr>
        <w:t>2、</w:t>
      </w:r>
      <w:r>
        <w:rPr>
          <w:rFonts w:hint="eastAsia" w:ascii="宋体" w:hAnsi="宋体" w:cs="宋体"/>
          <w:color w:val="auto"/>
          <w:sz w:val="24"/>
          <w:szCs w:val="24"/>
          <w:highlight w:val="none"/>
          <w:lang w:val="zh-CN"/>
        </w:rPr>
        <w:t>合同价格形式：</w:t>
      </w:r>
      <w:r>
        <w:rPr>
          <w:rFonts w:hint="eastAsia" w:ascii="宋体" w:hAnsi="宋体" w:cs="宋体"/>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单价合同</w:t>
      </w:r>
      <w:r>
        <w:rPr>
          <w:rFonts w:hint="eastAsia" w:asciiTheme="minorEastAsia" w:hAnsiTheme="minorEastAsia" w:eastAsiaTheme="minorEastAsia"/>
          <w:color w:val="auto"/>
          <w:sz w:val="24"/>
          <w:szCs w:val="24"/>
          <w:highlight w:val="none"/>
          <w:u w:val="single"/>
        </w:rPr>
        <w:t>（限定最高总价）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w:t>
      </w:r>
    </w:p>
    <w:p>
      <w:pPr>
        <w:ind w:firstLine="480" w:firstLineChars="200"/>
        <w:jc w:val="left"/>
        <w:rPr>
          <w:rFonts w:hint="eastAsia" w:asciiTheme="minorEastAsia" w:hAnsiTheme="minorEastAsia" w:eastAsiaTheme="minorEastAsia"/>
          <w:color w:val="auto"/>
          <w:sz w:val="24"/>
          <w:szCs w:val="24"/>
          <w:highlight w:val="none"/>
        </w:rPr>
      </w:pPr>
      <w:r>
        <w:rPr>
          <w:rFonts w:hint="eastAsia" w:ascii="宋体" w:hAnsi="宋体" w:cs="宋体"/>
          <w:color w:val="auto"/>
          <w:sz w:val="24"/>
          <w:szCs w:val="24"/>
          <w:highlight w:val="none"/>
        </w:rPr>
        <w:t>3、</w:t>
      </w:r>
      <w:r>
        <w:rPr>
          <w:rFonts w:hint="eastAsia" w:asciiTheme="minorEastAsia" w:hAnsiTheme="minorEastAsia" w:eastAsiaTheme="minorEastAsia"/>
          <w:color w:val="auto"/>
          <w:sz w:val="24"/>
          <w:szCs w:val="24"/>
          <w:highlight w:val="none"/>
        </w:rPr>
        <w:t>本项目中标价为最高结算总价，如未得到甲方同意增加总价款的书面批准，甲方可拒付超出中标价的价款。</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五、项目经理</w:t>
      </w:r>
    </w:p>
    <w:p>
      <w:pPr>
        <w:autoSpaceDE w:val="0"/>
        <w:autoSpaceDN w:val="0"/>
        <w:adjustRightInd w:val="0"/>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lang w:val="zh-CN"/>
        </w:rPr>
        <w:t>承包人项目经理：</w:t>
      </w:r>
      <w:r>
        <w:rPr>
          <w:rFonts w:hint="eastAsia" w:ascii="宋体" w:hAnsi="宋体" w:cs="宋体"/>
          <w:color w:val="auto"/>
          <w:sz w:val="24"/>
          <w:szCs w:val="24"/>
          <w:highlight w:val="none"/>
          <w:u w:val="single"/>
        </w:rPr>
        <w:t xml:space="preserve">     </w:t>
      </w:r>
    </w:p>
    <w:p>
      <w:pPr>
        <w:autoSpaceDE w:val="0"/>
        <w:autoSpaceDN w:val="0"/>
        <w:adjustRightInd w:val="0"/>
        <w:ind w:firstLine="480" w:firstLineChars="200"/>
        <w:rPr>
          <w:rFonts w:ascii="宋体" w:hAnsi="宋体" w:cs="宋体"/>
          <w:color w:val="auto"/>
          <w:sz w:val="24"/>
          <w:szCs w:val="24"/>
          <w:highlight w:val="none"/>
          <w:lang w:val="zh-CN"/>
        </w:rPr>
      </w:pPr>
      <w:bookmarkStart w:id="49" w:name="_Toc351203486"/>
      <w:bookmarkEnd w:id="49"/>
      <w:r>
        <w:rPr>
          <w:rFonts w:hint="eastAsia" w:ascii="宋体" w:hAnsi="宋体" w:cs="宋体"/>
          <w:color w:val="auto"/>
          <w:sz w:val="24"/>
          <w:szCs w:val="24"/>
          <w:highlight w:val="none"/>
          <w:lang w:val="zh-CN"/>
        </w:rPr>
        <w:t>六、合同文件构成</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1、本协议书与下列文件一起构成合同文件：</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）中标通知书（如果有）；</w:t>
      </w:r>
    </w:p>
    <w:p>
      <w:pPr>
        <w:autoSpaceDE w:val="0"/>
        <w:autoSpaceDN w:val="0"/>
        <w:adjustRightIn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）投标函及其附录（如果有）；</w:t>
      </w:r>
      <w:r>
        <w:rPr>
          <w:rFonts w:hint="eastAsia" w:ascii="宋体" w:hAnsi="宋体" w:cs="宋体"/>
          <w:color w:val="auto"/>
          <w:sz w:val="24"/>
          <w:szCs w:val="24"/>
          <w:highlight w:val="none"/>
        </w:rPr>
        <w:t xml:space="preserve"> </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）专用合同条款及其附件；</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）通用合同条款；</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）技术标准和要求；</w:t>
      </w:r>
    </w:p>
    <w:p>
      <w:pPr>
        <w:autoSpaceDE w:val="0"/>
        <w:autoSpaceDN w:val="0"/>
        <w:adjustRightIn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图纸（如有）</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）已标价工程量清单或预算书；</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）其他合同文件。</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在合同订立及履行过程中形成的与合同有关的文件均构成合同文件组成部分。</w:t>
      </w:r>
    </w:p>
    <w:p>
      <w:pPr>
        <w:autoSpaceDE w:val="0"/>
        <w:autoSpaceDN w:val="0"/>
        <w:adjustRightInd w:val="0"/>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上述各项合同文件包括合同当事人就该项合同文件所作出的补充和修改，属于同一类内容的文件，应以最新签署的为准。专用合同条款及其附件须经合同当事人签字或盖章。</w:t>
      </w:r>
    </w:p>
    <w:p>
      <w:pPr>
        <w:autoSpaceDE w:val="0"/>
        <w:autoSpaceDN w:val="0"/>
        <w:adjustRightInd w:val="0"/>
        <w:ind w:firstLine="480" w:firstLineChars="200"/>
        <w:rPr>
          <w:rFonts w:ascii="宋体" w:hAnsi="宋体" w:cs="宋体"/>
          <w:color w:val="auto"/>
          <w:sz w:val="24"/>
          <w:szCs w:val="24"/>
          <w:highlight w:val="none"/>
          <w:lang w:val="zh-CN"/>
        </w:rPr>
      </w:pPr>
      <w:bookmarkStart w:id="50" w:name="_Toc351203487"/>
      <w:bookmarkEnd w:id="50"/>
      <w:r>
        <w:rPr>
          <w:rFonts w:hint="eastAsia" w:ascii="宋体" w:hAnsi="宋体" w:cs="宋体"/>
          <w:color w:val="auto"/>
          <w:sz w:val="24"/>
          <w:szCs w:val="24"/>
          <w:highlight w:val="none"/>
          <w:lang w:val="zh-CN"/>
        </w:rPr>
        <w:t>七、承诺</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发包人承诺按照法律规定履行项目审批手续、筹集工程建设资金并按照合同约定的期限和方式支付合同价款。</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承包人承诺按照法律规定及合同约定组织完成工程施工，确保工程质量和安全，不进行转包及违法分包，并在缺陷责任期及保修期内承担相应的工程维修责任。</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发包人和承包人通过招投标形式签订合同的，双方理解并承诺不再就同一工程另行签订与合同实质性内容相背离的协议。</w:t>
      </w:r>
    </w:p>
    <w:p>
      <w:pPr>
        <w:autoSpaceDE w:val="0"/>
        <w:autoSpaceDN w:val="0"/>
        <w:adjustRightInd w:val="0"/>
        <w:ind w:firstLine="480" w:firstLineChars="200"/>
        <w:rPr>
          <w:rFonts w:ascii="宋体" w:hAnsi="宋体" w:cs="宋体"/>
          <w:color w:val="auto"/>
          <w:sz w:val="24"/>
          <w:szCs w:val="24"/>
          <w:highlight w:val="none"/>
          <w:lang w:val="zh-CN"/>
        </w:rPr>
      </w:pPr>
      <w:bookmarkStart w:id="51" w:name="_Toc351203488"/>
      <w:bookmarkEnd w:id="51"/>
      <w:r>
        <w:rPr>
          <w:rFonts w:hint="eastAsia" w:ascii="宋体" w:hAnsi="宋体" w:cs="宋体"/>
          <w:color w:val="auto"/>
          <w:sz w:val="24"/>
          <w:szCs w:val="24"/>
          <w:highlight w:val="none"/>
          <w:lang w:val="zh-CN"/>
        </w:rPr>
        <w:t>八、词语含义</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本协议书中词语含义与第二部分通用合同条款中赋予的含义相同。</w:t>
      </w:r>
    </w:p>
    <w:p>
      <w:pPr>
        <w:autoSpaceDE w:val="0"/>
        <w:autoSpaceDN w:val="0"/>
        <w:adjustRightInd w:val="0"/>
        <w:ind w:firstLine="480" w:firstLineChars="200"/>
        <w:rPr>
          <w:rFonts w:ascii="宋体" w:hAnsi="宋体" w:cs="宋体"/>
          <w:color w:val="auto"/>
          <w:sz w:val="24"/>
          <w:szCs w:val="24"/>
          <w:highlight w:val="none"/>
          <w:lang w:val="zh-CN"/>
        </w:rPr>
      </w:pPr>
      <w:bookmarkStart w:id="52" w:name="_Toc351203489"/>
      <w:bookmarkEnd w:id="52"/>
      <w:r>
        <w:rPr>
          <w:rFonts w:hint="eastAsia" w:ascii="宋体" w:hAnsi="宋体" w:cs="宋体"/>
          <w:color w:val="auto"/>
          <w:sz w:val="24"/>
          <w:szCs w:val="24"/>
          <w:highlight w:val="none"/>
          <w:lang w:val="zh-CN"/>
        </w:rPr>
        <w:t>九、签订时间</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本合同于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日签订。</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十、签订地点</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本合同在</w:t>
      </w:r>
      <w:r>
        <w:rPr>
          <w:rFonts w:hint="eastAsia" w:ascii="宋体" w:hAnsi="宋体" w:cs="宋体"/>
          <w:bCs/>
          <w:color w:val="auto"/>
          <w:sz w:val="24"/>
          <w:szCs w:val="24"/>
          <w:highlight w:val="none"/>
          <w:u w:val="single"/>
        </w:rPr>
        <w:t xml:space="preserve">                   </w:t>
      </w:r>
      <w:r>
        <w:rPr>
          <w:rFonts w:hint="eastAsia" w:ascii="宋体" w:hAnsi="宋体" w:cs="宋体"/>
          <w:color w:val="auto"/>
          <w:sz w:val="24"/>
          <w:szCs w:val="24"/>
          <w:highlight w:val="none"/>
          <w:lang w:val="zh-CN"/>
        </w:rPr>
        <w:t>签订。</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十一、补充协议</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合同未尽事宜，合同当事人另行签订补充协议，补充协议是合同的组成部分。</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十二、合同生效</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本合同自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双方法定代表人签字、盖章后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生效。</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十三、合同份数</w:t>
      </w:r>
    </w:p>
    <w:p>
      <w:pPr>
        <w:autoSpaceDE w:val="0"/>
        <w:autoSpaceDN w:val="0"/>
        <w:adjustRightInd w:val="0"/>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本合同一式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份，均具有同等法律效力，发包人执</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份，承包人执</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份。</w:t>
      </w:r>
    </w:p>
    <w:p>
      <w:pPr>
        <w:autoSpaceDE w:val="0"/>
        <w:autoSpaceDN w:val="0"/>
        <w:adjustRightIn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招标人</w:t>
      </w:r>
      <w:r>
        <w:rPr>
          <w:rFonts w:hint="eastAsia" w:ascii="宋体" w:hAnsi="宋体" w:cs="宋体"/>
          <w:color w:val="auto"/>
          <w:sz w:val="24"/>
          <w:szCs w:val="24"/>
          <w:highlight w:val="none"/>
          <w:lang w:val="zh-CN"/>
        </w:rPr>
        <w:t>：（公章）</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 xml:space="preserve">     </w:t>
      </w:r>
    </w:p>
    <w:p>
      <w:pPr>
        <w:autoSpaceDE w:val="0"/>
        <w:autoSpaceDN w:val="0"/>
        <w:adjustRightIn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法定代表人或其委托代理人：</w:t>
      </w:r>
    </w:p>
    <w:p>
      <w:pPr>
        <w:autoSpaceDE w:val="0"/>
        <w:autoSpaceDN w:val="0"/>
        <w:adjustRightInd w:val="0"/>
        <w:spacing w:line="360" w:lineRule="auto"/>
        <w:ind w:firstLine="1440" w:firstLineChars="6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（签字） </w:t>
      </w:r>
      <w:r>
        <w:rPr>
          <w:rFonts w:hint="eastAsia" w:ascii="宋体" w:hAnsi="宋体" w:cs="宋体"/>
          <w:color w:val="auto"/>
          <w:sz w:val="24"/>
          <w:szCs w:val="24"/>
          <w:highlight w:val="none"/>
        </w:rPr>
        <w:t xml:space="preserve"> </w:t>
      </w:r>
    </w:p>
    <w:p>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  期：</w:t>
      </w:r>
    </w:p>
    <w:p>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发包人：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公章</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承包人：（公章）</w:t>
      </w:r>
      <w:r>
        <w:rPr>
          <w:rFonts w:hint="eastAsia" w:ascii="宋体" w:hAnsi="宋体" w:cs="宋体"/>
          <w:color w:val="auto"/>
          <w:sz w:val="24"/>
          <w:szCs w:val="24"/>
          <w:highlight w:val="none"/>
        </w:rPr>
        <w:t xml:space="preserve">      </w:t>
      </w:r>
    </w:p>
    <w:p>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法定代表人或其委托代理人</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法定代表人或其委托代理人</w:t>
      </w:r>
      <w:r>
        <w:rPr>
          <w:rFonts w:hint="eastAsia" w:ascii="宋体" w:hAnsi="宋体" w:cs="宋体"/>
          <w:color w:val="auto"/>
          <w:sz w:val="24"/>
          <w:szCs w:val="24"/>
          <w:highlight w:val="none"/>
        </w:rPr>
        <w:t>：</w:t>
      </w:r>
    </w:p>
    <w:p>
      <w:pPr>
        <w:autoSpaceDE w:val="0"/>
        <w:autoSpaceDN w:val="0"/>
        <w:adjustRightInd w:val="0"/>
        <w:spacing w:line="360" w:lineRule="auto"/>
        <w:ind w:firstLine="1440" w:firstLineChars="6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（签字）</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  期：                                日  期：</w:t>
      </w:r>
    </w:p>
    <w:p>
      <w:pPr>
        <w:spacing w:after="120"/>
        <w:ind w:firstLine="480" w:firstLineChars="200"/>
        <w:jc w:val="center"/>
        <w:outlineLvl w:val="0"/>
        <w:rPr>
          <w:rFonts w:hint="eastAsia" w:asciiTheme="minorEastAsia" w:hAnsiTheme="minorEastAsia" w:eastAsiaTheme="minorEastAsia"/>
          <w:color w:val="auto"/>
          <w:sz w:val="24"/>
          <w:szCs w:val="24"/>
          <w:highlight w:val="none"/>
        </w:rPr>
      </w:pPr>
    </w:p>
    <w:p>
      <w:pPr>
        <w:spacing w:after="120"/>
        <w:ind w:firstLine="480" w:firstLineChars="200"/>
        <w:jc w:val="center"/>
        <w:outlineLvl w:val="0"/>
        <w:rPr>
          <w:rFonts w:hint="eastAsia" w:asciiTheme="minorEastAsia" w:hAnsiTheme="minorEastAsia" w:eastAsiaTheme="minorEastAsia"/>
          <w:color w:val="auto"/>
          <w:sz w:val="24"/>
          <w:szCs w:val="24"/>
          <w:highlight w:val="none"/>
        </w:rPr>
      </w:pPr>
    </w:p>
    <w:p>
      <w:pPr>
        <w:spacing w:after="120"/>
        <w:ind w:firstLine="480" w:firstLineChars="200"/>
        <w:jc w:val="center"/>
        <w:outlineLvl w:val="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通用合同条款</w:t>
      </w:r>
    </w:p>
    <w:p>
      <w:pPr>
        <w:spacing w:after="120"/>
        <w:ind w:firstLine="480" w:firstLineChars="200"/>
        <w:outlineLvl w:val="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通用合同条款共计20条，采用《建设工程施工合同（示范文本）》（GF-2017-0201）的“通用合同条款”。</w:t>
      </w:r>
    </w:p>
    <w:p>
      <w:pPr>
        <w:spacing w:after="120"/>
        <w:ind w:firstLine="480" w:firstLineChars="200"/>
        <w:jc w:val="center"/>
        <w:outlineLvl w:val="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专用条款</w:t>
      </w:r>
    </w:p>
    <w:p>
      <w:pPr>
        <w:spacing w:after="120"/>
        <w:ind w:firstLine="480" w:firstLineChars="200"/>
        <w:outlineLvl w:val="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专用合同条款中的各条款是补充和修改通用合同条款中条款号相同的条款或当需要时增加新的条款，两者应对照阅读。一旦出现矛盾或不一致时，则以专用合同条款为准，通用合同条款中未补充和修改的部分仍有效。</w:t>
      </w:r>
    </w:p>
    <w:p>
      <w:pPr>
        <w:pStyle w:val="7"/>
        <w:rPr>
          <w:rFonts w:asciiTheme="minorEastAsia" w:hAnsiTheme="minorEastAsia" w:eastAsiaTheme="minorEastAsia"/>
          <w:b w:val="0"/>
          <w:color w:val="auto"/>
          <w:sz w:val="24"/>
          <w:szCs w:val="24"/>
          <w:highlight w:val="none"/>
        </w:rPr>
      </w:pPr>
      <w:bookmarkStart w:id="53" w:name="_Toc351203633"/>
      <w:r>
        <w:rPr>
          <w:rFonts w:asciiTheme="minorEastAsia" w:hAnsiTheme="minorEastAsia" w:eastAsiaTheme="minorEastAsia"/>
          <w:b w:val="0"/>
          <w:color w:val="auto"/>
          <w:sz w:val="24"/>
          <w:szCs w:val="24"/>
          <w:highlight w:val="none"/>
        </w:rPr>
        <w:t>1</w:t>
      </w:r>
      <w:bookmarkStart w:id="54" w:name="_Toc296346657"/>
      <w:bookmarkStart w:id="55" w:name="_Toc292559866"/>
      <w:bookmarkStart w:id="56" w:name="_Toc296503156"/>
      <w:bookmarkStart w:id="57" w:name="_Toc297120456"/>
      <w:bookmarkStart w:id="58" w:name="_Toc296890984"/>
      <w:bookmarkStart w:id="59" w:name="_Toc292559361"/>
      <w:bookmarkStart w:id="60" w:name="_Toc297048342"/>
      <w:bookmarkStart w:id="61" w:name="_Toc296944495"/>
      <w:bookmarkStart w:id="62" w:name="_Toc296891196"/>
      <w:bookmarkStart w:id="63" w:name="_Toc296347155"/>
      <w:r>
        <w:rPr>
          <w:rFonts w:asciiTheme="minorEastAsia" w:hAnsiTheme="minorEastAsia" w:eastAsiaTheme="minorEastAsia"/>
          <w:b w:val="0"/>
          <w:color w:val="auto"/>
          <w:sz w:val="24"/>
          <w:szCs w:val="24"/>
          <w:highlight w:val="none"/>
        </w:rPr>
        <w:t>. 一般约定</w:t>
      </w:r>
      <w:bookmarkEnd w:id="53"/>
    </w:p>
    <w:bookmarkEnd w:id="54"/>
    <w:bookmarkEnd w:id="55"/>
    <w:bookmarkEnd w:id="56"/>
    <w:bookmarkEnd w:id="57"/>
    <w:bookmarkEnd w:id="58"/>
    <w:bookmarkEnd w:id="59"/>
    <w:bookmarkEnd w:id="60"/>
    <w:bookmarkEnd w:id="61"/>
    <w:bookmarkEnd w:id="62"/>
    <w:bookmarkEnd w:id="63"/>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 词语定义</w:t>
      </w:r>
    </w:p>
    <w:p>
      <w:pPr>
        <w:ind w:firstLine="480" w:firstLineChars="200"/>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1.1.1合同</w:t>
      </w:r>
    </w:p>
    <w:p>
      <w:pPr>
        <w:ind w:firstLine="480" w:firstLineChars="200"/>
        <w:rPr>
          <w:rFonts w:cs="仿宋_GB2312" w:asciiTheme="minorEastAsia" w:hAnsiTheme="minorEastAsia" w:eastAsiaTheme="minorEastAsia"/>
          <w:color w:val="auto"/>
          <w:sz w:val="24"/>
          <w:szCs w:val="24"/>
          <w:highlight w:val="none"/>
          <w:u w:val="single"/>
        </w:rPr>
      </w:pPr>
      <w:r>
        <w:rPr>
          <w:rFonts w:asciiTheme="minorEastAsia" w:hAnsiTheme="minorEastAsia" w:eastAsiaTheme="minorEastAsia"/>
          <w:color w:val="auto"/>
          <w:kern w:val="0"/>
          <w:sz w:val="24"/>
          <w:szCs w:val="24"/>
          <w:highlight w:val="none"/>
        </w:rPr>
        <w:t>1.1.1.10其他合同文件包括：</w:t>
      </w:r>
      <w:r>
        <w:rPr>
          <w:rFonts w:hint="eastAsia" w:cs="仿宋_GB2312" w:asciiTheme="minorEastAsia" w:hAnsiTheme="minorEastAsia" w:eastAsiaTheme="minorEastAsia"/>
          <w:color w:val="auto"/>
          <w:sz w:val="24"/>
          <w:szCs w:val="24"/>
          <w:highlight w:val="none"/>
          <w:u w:val="single"/>
        </w:rPr>
        <w:t>(1)施工合同协议书；(2)中标通知书；(3)招标文件（含答疑）、投标书及其附件；(4)施工合同专用条款；(5)施工合同通过条款；(6)标准、规范及有关技术文件；(7)图纸；(8)工程量清单；(9)工程报价单或预算书；(10)双方有关工程的洽商、变更等书面协议或文件视为施工合同的组成部分。</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1.1.2 合同当事人及其他相关方</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1.1.2.4监理人：</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名    称：</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资质类别和等级：</w:t>
      </w:r>
      <w:r>
        <w:rPr>
          <w:rFonts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联系电话：</w:t>
      </w:r>
      <w:r>
        <w:rPr>
          <w:rFonts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电子信箱：</w:t>
      </w:r>
      <w:r>
        <w:rPr>
          <w:rFonts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通信地址：</w:t>
      </w:r>
      <w:r>
        <w:rPr>
          <w:rFonts w:asciiTheme="minorEastAsia" w:hAnsiTheme="minorEastAsia" w:eastAsiaTheme="minorEastAsia"/>
          <w:color w:val="auto"/>
          <w:sz w:val="24"/>
          <w:szCs w:val="24"/>
          <w:highlight w:val="none"/>
          <w:u w:val="single"/>
        </w:rPr>
        <w:t>    </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1.1.2.5 设计人：</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名    称：</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资质类别和等级：</w:t>
      </w:r>
      <w:r>
        <w:rPr>
          <w:rFonts w:asciiTheme="minorEastAsia" w:hAnsiTheme="minorEastAsia" w:eastAsiaTheme="minorEastAsia"/>
          <w:color w:val="auto"/>
          <w:sz w:val="24"/>
          <w:szCs w:val="24"/>
          <w:highlight w:val="none"/>
          <w:u w:val="single"/>
        </w:rPr>
        <w:t></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联系电话：</w:t>
      </w:r>
      <w:r>
        <w:rPr>
          <w:rFonts w:asciiTheme="minorEastAsia" w:hAnsiTheme="minorEastAsia" w:eastAsiaTheme="minorEastAsia"/>
          <w:color w:val="auto"/>
          <w:sz w:val="24"/>
          <w:szCs w:val="24"/>
          <w:highlight w:val="none"/>
          <w:u w:val="single"/>
        </w:rPr>
        <w:t></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电子信箱：</w:t>
      </w:r>
      <w:r>
        <w:rPr>
          <w:rFonts w:asciiTheme="minorEastAsia" w:hAnsiTheme="minorEastAsia" w:eastAsiaTheme="minorEastAsia"/>
          <w:color w:val="auto"/>
          <w:sz w:val="24"/>
          <w:szCs w:val="24"/>
          <w:highlight w:val="none"/>
          <w:u w:val="single"/>
        </w:rPr>
        <w:t></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通信地址：</w:t>
      </w:r>
      <w:r>
        <w:rPr>
          <w:rFonts w:asciiTheme="minorEastAsia" w:hAnsiTheme="minorEastAsia" w:eastAsiaTheme="minorEastAsia"/>
          <w:color w:val="auto"/>
          <w:sz w:val="24"/>
          <w:szCs w:val="24"/>
          <w:highlight w:val="none"/>
          <w:u w:val="single"/>
        </w:rPr>
        <w:t>   </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1.1.3 工程和设备</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1.1.3.7 作为施工现场组成部分的其他场所包括：</w:t>
      </w:r>
      <w:r>
        <w:rPr>
          <w:rFonts w:cs="Arial" w:asciiTheme="minorEastAsia" w:hAnsiTheme="minorEastAsia" w:eastAsiaTheme="minorEastAsia"/>
          <w:color w:val="auto"/>
          <w:sz w:val="24"/>
          <w:szCs w:val="24"/>
          <w:highlight w:val="none"/>
          <w:u w:val="single"/>
          <w:shd w:val="clear" w:color="auto" w:fill="FFFFFF"/>
        </w:rPr>
        <w:t>包括永久占地、临时占地</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1.1.3.9 永久占地包括：</w:t>
      </w:r>
      <w:r>
        <w:rPr>
          <w:rFonts w:cs="仿宋_GB2312" w:asciiTheme="minorEastAsia" w:hAnsiTheme="minorEastAsia" w:eastAsiaTheme="minorEastAsia"/>
          <w:color w:val="auto"/>
          <w:sz w:val="24"/>
          <w:szCs w:val="24"/>
          <w:highlight w:val="none"/>
          <w:u w:val="single"/>
        </w:rPr>
        <w:t>为实施合同工程需永久占用的土地</w:t>
      </w:r>
      <w:r>
        <w:rPr>
          <w:rFonts w:asciiTheme="minorEastAsia" w:hAnsiTheme="minorEastAsia" w:eastAsiaTheme="minorEastAsia"/>
          <w:color w:val="auto"/>
          <w:kern w:val="0"/>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kern w:val="0"/>
          <w:sz w:val="24"/>
          <w:szCs w:val="24"/>
          <w:highlight w:val="none"/>
        </w:rPr>
        <w:t>1.1.3.10 临时占地包括：</w:t>
      </w:r>
      <w:r>
        <w:rPr>
          <w:rFonts w:hint="eastAsia" w:asciiTheme="minorEastAsia" w:hAnsiTheme="minorEastAsia" w:eastAsiaTheme="minorEastAsia"/>
          <w:color w:val="auto"/>
          <w:sz w:val="24"/>
          <w:szCs w:val="24"/>
          <w:highlight w:val="none"/>
          <w:u w:val="single"/>
        </w:rPr>
        <w:t>为实施合同工程需临时占用的土地</w:t>
      </w:r>
      <w:r>
        <w:rPr>
          <w:rFonts w:asciiTheme="minorEastAsia" w:hAnsiTheme="minorEastAsia" w:eastAsiaTheme="minorEastAsia"/>
          <w:color w:val="auto"/>
          <w:kern w:val="0"/>
          <w:sz w:val="24"/>
          <w:szCs w:val="24"/>
          <w:highlight w:val="none"/>
        </w:rPr>
        <w:t>。</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1.3法律 </w:t>
      </w:r>
    </w:p>
    <w:p>
      <w:pPr>
        <w:autoSpaceDE w:val="0"/>
        <w:autoSpaceDN w:val="0"/>
        <w:adjustRightInd w:val="0"/>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适用于合同的其他规范性文件：</w:t>
      </w:r>
      <w:r>
        <w:rPr>
          <w:rFonts w:hint="eastAsia" w:asciiTheme="minorEastAsia" w:hAnsiTheme="minorEastAsia" w:eastAsiaTheme="minorEastAsia"/>
          <w:color w:val="auto"/>
          <w:sz w:val="24"/>
          <w:szCs w:val="24"/>
          <w:highlight w:val="none"/>
          <w:u w:val="single"/>
        </w:rPr>
        <w:t>《中华人民共和国民法典》、《中华人民共和国建筑法》、《中华人民共和国招标投标法》、《中华人民共和国安全生产法》、《建设工程质量管理条例》以及省、市相关法律、法规</w:t>
      </w:r>
      <w:r>
        <w:rPr>
          <w:rFonts w:asciiTheme="minorEastAsia" w:hAnsiTheme="minorEastAsia" w:eastAsiaTheme="minorEastAsia"/>
          <w:color w:val="auto"/>
          <w:sz w:val="24"/>
          <w:szCs w:val="24"/>
          <w:highlight w:val="none"/>
        </w:rPr>
        <w:t>。</w:t>
      </w:r>
    </w:p>
    <w:p>
      <w:pPr>
        <w:autoSpaceDE w:val="0"/>
        <w:autoSpaceDN w:val="0"/>
        <w:adjustRightInd w:val="0"/>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 标准和规范</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1.4.1适用于工程的标准规范包括：</w:t>
      </w:r>
      <w:r>
        <w:rPr>
          <w:rFonts w:hint="eastAsia" w:asciiTheme="minorEastAsia" w:hAnsiTheme="minorEastAsia" w:eastAsiaTheme="minorEastAsia"/>
          <w:color w:val="auto"/>
          <w:sz w:val="24"/>
          <w:szCs w:val="24"/>
          <w:highlight w:val="none"/>
          <w:u w:val="single"/>
        </w:rPr>
        <w:t>与本工程相关的施工与质量验收规范</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1.4.2 发包人提供国外标准、规范的名称：</w:t>
      </w:r>
      <w:r>
        <w:rPr>
          <w:rFonts w:hint="eastAsia" w:asciiTheme="minorEastAsia" w:hAnsiTheme="minorEastAsia" w:eastAsiaTheme="minorEastAsia"/>
          <w:color w:val="auto"/>
          <w:kern w:val="0"/>
          <w:sz w:val="24"/>
          <w:szCs w:val="24"/>
          <w:highlight w:val="none"/>
          <w:u w:val="single"/>
        </w:rPr>
        <w:t>无</w:t>
      </w:r>
      <w:r>
        <w:rPr>
          <w:rFonts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rPr>
        <w:t>；</w:t>
      </w:r>
    </w:p>
    <w:p>
      <w:pPr>
        <w:ind w:firstLine="480" w:firstLineChars="200"/>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发包人提供国外标准、规范的份数：</w:t>
      </w:r>
      <w:r>
        <w:rPr>
          <w:rFonts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rPr>
        <w:t>无</w:t>
      </w:r>
      <w:r>
        <w:rPr>
          <w:rFonts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kern w:val="0"/>
          <w:sz w:val="24"/>
          <w:szCs w:val="24"/>
          <w:highlight w:val="none"/>
        </w:rPr>
        <w:t>发包人提供国外标准、规范的名称：</w:t>
      </w:r>
      <w:r>
        <w:rPr>
          <w:rFonts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rPr>
        <w:t xml:space="preserve"> 无</w:t>
      </w:r>
      <w:r>
        <w:rPr>
          <w:rFonts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1.4.3发包人对工程的技术标准和功能要求的特殊要求：</w:t>
      </w:r>
      <w:r>
        <w:rPr>
          <w:rFonts w:hint="eastAsia" w:asciiTheme="minorEastAsia" w:hAnsiTheme="minorEastAsia" w:eastAsiaTheme="minorEastAsia"/>
          <w:color w:val="auto"/>
          <w:sz w:val="24"/>
          <w:szCs w:val="24"/>
          <w:highlight w:val="none"/>
          <w:u w:val="single"/>
        </w:rPr>
        <w:t>无</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1.5 合同文件的优先顺序</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合同文件组成及优先顺序为：</w:t>
      </w:r>
      <w:r>
        <w:rPr>
          <w:rFonts w:hint="eastAsia" w:asciiTheme="minorEastAsia" w:hAnsiTheme="minorEastAsia" w:eastAsiaTheme="minorEastAsia"/>
          <w:color w:val="auto"/>
          <w:sz w:val="24"/>
          <w:szCs w:val="24"/>
          <w:highlight w:val="none"/>
          <w:u w:val="single"/>
        </w:rPr>
        <w:t>(1)施工合同协议书；(2)中标通知书；(3)投标书及其附件；(4)施工合同专用条款；(5)施工合同通过条款；(6)标准、规范及有关技术文件；(7)图纸；(8)工程量清单；(9)工程报价单或预算书；(10)双方有关工程的洽商、变更等书面协议或文件视为施工合同的组成部分</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1.6 图纸和承包人文件</w:t>
      </w:r>
      <w:r>
        <w:rPr>
          <w:rFonts w:asciiTheme="minorEastAsia" w:hAnsiTheme="minorEastAsia" w:eastAsiaTheme="minorEastAsia"/>
          <w:color w:val="auto"/>
          <w:sz w:val="24"/>
          <w:szCs w:val="24"/>
          <w:highlight w:val="none"/>
        </w:rPr>
        <w:tab/>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1.6.1 图纸的提供</w:t>
      </w:r>
    </w:p>
    <w:p>
      <w:pPr>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发包人向承包人提供图纸的期限：</w:t>
      </w:r>
      <w:r>
        <w:rPr>
          <w:rFonts w:hint="eastAsia" w:asciiTheme="minorEastAsia" w:hAnsiTheme="minorEastAsia" w:eastAsiaTheme="minorEastAsia"/>
          <w:color w:val="auto"/>
          <w:sz w:val="24"/>
          <w:szCs w:val="24"/>
          <w:highlight w:val="none"/>
          <w:u w:val="single"/>
        </w:rPr>
        <w:t>合同签订后7日内</w:t>
      </w:r>
      <w:r>
        <w:rPr>
          <w:rFonts w:hint="eastAsia" w:cs="仿宋_GB2312" w:asciiTheme="minorEastAsia" w:hAnsiTheme="minorEastAsia" w:eastAsiaTheme="minorEastAsia"/>
          <w:color w:val="auto"/>
          <w:sz w:val="24"/>
          <w:szCs w:val="24"/>
          <w:highlight w:val="none"/>
        </w:rPr>
        <w:t>；</w:t>
      </w:r>
    </w:p>
    <w:p>
      <w:pPr>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发包人向承包人提供图纸的数量：</w:t>
      </w:r>
      <w:r>
        <w:rPr>
          <w:rFonts w:hint="eastAsia" w:cs="仿宋_GB2312" w:asciiTheme="minorEastAsia" w:hAnsiTheme="minorEastAsia" w:eastAsiaTheme="minorEastAsia"/>
          <w:color w:val="auto"/>
          <w:sz w:val="24"/>
          <w:szCs w:val="24"/>
          <w:highlight w:val="none"/>
          <w:u w:val="single"/>
        </w:rPr>
        <w:t>1份</w:t>
      </w:r>
      <w:r>
        <w:rPr>
          <w:rFonts w:hint="eastAsia" w:cs="仿宋_GB2312" w:asciiTheme="minorEastAsia" w:hAnsiTheme="minorEastAsia" w:eastAsiaTheme="minorEastAsia"/>
          <w:color w:val="auto"/>
          <w:sz w:val="24"/>
          <w:szCs w:val="24"/>
          <w:highlight w:val="none"/>
        </w:rPr>
        <w:t>；</w:t>
      </w:r>
    </w:p>
    <w:p>
      <w:pPr>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发包人向承包人提供图纸的内容：</w:t>
      </w:r>
      <w:r>
        <w:rPr>
          <w:rFonts w:hint="eastAsia" w:cs="仿宋_GB2312" w:asciiTheme="minorEastAsia" w:hAnsiTheme="minorEastAsia" w:eastAsiaTheme="minorEastAsia"/>
          <w:color w:val="auto"/>
          <w:sz w:val="24"/>
          <w:szCs w:val="24"/>
          <w:highlight w:val="none"/>
          <w:u w:val="single"/>
        </w:rPr>
        <w:t>经发包人及监理确认的施工图纸</w:t>
      </w:r>
      <w:r>
        <w:rPr>
          <w:rFonts w:hint="eastAsia" w:cs="仿宋_GB2312"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1.6.4 承包人文件</w:t>
      </w:r>
    </w:p>
    <w:p>
      <w:pPr>
        <w:ind w:firstLine="480" w:firstLineChars="200"/>
        <w:jc w:val="left"/>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需要由承包人提供的文件，包括：</w:t>
      </w:r>
      <w:r>
        <w:rPr>
          <w:rFonts w:hint="eastAsia" w:cs="仿宋_GB2312" w:asciiTheme="minorEastAsia" w:hAnsiTheme="minorEastAsia" w:eastAsiaTheme="minorEastAsia"/>
          <w:color w:val="auto"/>
          <w:sz w:val="24"/>
          <w:szCs w:val="24"/>
          <w:highlight w:val="none"/>
          <w:u w:val="single"/>
        </w:rPr>
        <w:t>工程进度计划、材料设备进场总计划。进场施工前提供材料计划，按发包方及监理方要求提供详细的施工进度计划、已完工程量报表（含工程变更及签证预算、承包人购材料清单、材料进场计划等资料）；施工组织设计、专项施工方案、已标价工程量清单（软件电子版）、专项施工方案、施工技术文件、项目部管理人员名单等</w:t>
      </w:r>
      <w:r>
        <w:rPr>
          <w:rFonts w:hint="eastAsia" w:cs="仿宋_GB2312" w:asciiTheme="minorEastAsia" w:hAnsiTheme="minorEastAsia" w:eastAsiaTheme="minorEastAsia"/>
          <w:color w:val="auto"/>
          <w:sz w:val="24"/>
          <w:szCs w:val="24"/>
          <w:highlight w:val="none"/>
        </w:rPr>
        <w:t>；</w:t>
      </w:r>
    </w:p>
    <w:p>
      <w:pPr>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承包人提供的文件的期限为：</w:t>
      </w:r>
      <w:r>
        <w:rPr>
          <w:rFonts w:hint="eastAsia" w:cs="仿宋_GB2312" w:asciiTheme="minorEastAsia" w:hAnsiTheme="minorEastAsia" w:eastAsiaTheme="minorEastAsia"/>
          <w:color w:val="auto"/>
          <w:sz w:val="24"/>
          <w:szCs w:val="24"/>
          <w:highlight w:val="none"/>
          <w:u w:val="single"/>
        </w:rPr>
        <w:t>承包人在开工前7日内，向监理工程师提交4份其格式和内容符合监理工程师规定的主体工程施工组织设计；对于工程关键部位和环节，施工前至少7日内应按监理工程师要求提交专项施工方案，以备审查批准。每月25日前应按监理工程师要求提供本月月报及下月计划各4份，每周例会前一天应按监理工程师要求提供本周周报及下周计划各4份及电子文档，必要时应按监理工程师要求提供日报及日计划各4份</w:t>
      </w:r>
      <w:r>
        <w:rPr>
          <w:rFonts w:hint="eastAsia" w:cs="仿宋_GB2312" w:asciiTheme="minorEastAsia" w:hAnsiTheme="minorEastAsia" w:eastAsiaTheme="minorEastAsia"/>
          <w:color w:val="auto"/>
          <w:sz w:val="24"/>
          <w:szCs w:val="24"/>
          <w:highlight w:val="none"/>
        </w:rPr>
        <w:t>；</w:t>
      </w:r>
    </w:p>
    <w:p>
      <w:pPr>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承包人提供的文件的数量为：</w:t>
      </w:r>
      <w:r>
        <w:rPr>
          <w:rFonts w:hint="eastAsia" w:cs="仿宋_GB2312" w:asciiTheme="minorEastAsia" w:hAnsiTheme="minorEastAsia" w:eastAsiaTheme="minorEastAsia"/>
          <w:color w:val="auto"/>
          <w:sz w:val="24"/>
          <w:szCs w:val="24"/>
          <w:highlight w:val="none"/>
          <w:u w:val="single"/>
        </w:rPr>
        <w:t>上述文件资料不少于一式四份，如提供的份数无法满足需求，承包人需无偿另行提供，承包人需一并提供上述资料的电子版文件</w:t>
      </w:r>
      <w:r>
        <w:rPr>
          <w:rFonts w:hint="eastAsia" w:cs="仿宋_GB2312" w:asciiTheme="minorEastAsia" w:hAnsiTheme="minorEastAsia" w:eastAsiaTheme="minorEastAsia"/>
          <w:color w:val="auto"/>
          <w:sz w:val="24"/>
          <w:szCs w:val="24"/>
          <w:highlight w:val="none"/>
        </w:rPr>
        <w:t>；</w:t>
      </w:r>
    </w:p>
    <w:p>
      <w:pPr>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承包人提供的文件的形式为：</w:t>
      </w:r>
      <w:r>
        <w:rPr>
          <w:rFonts w:hint="eastAsia" w:cs="仿宋_GB2312" w:asciiTheme="minorEastAsia" w:hAnsiTheme="minorEastAsia" w:eastAsiaTheme="minorEastAsia"/>
          <w:color w:val="auto"/>
          <w:sz w:val="24"/>
          <w:szCs w:val="24"/>
          <w:highlight w:val="none"/>
          <w:u w:val="single"/>
        </w:rPr>
        <w:t>纸质文件（按要求签字、盖章）和电子文件</w:t>
      </w:r>
      <w:r>
        <w:rPr>
          <w:rFonts w:hint="eastAsia" w:cs="仿宋_GB2312" w:asciiTheme="minorEastAsia" w:hAnsiTheme="minorEastAsia" w:eastAsiaTheme="minorEastAsia"/>
          <w:color w:val="auto"/>
          <w:sz w:val="24"/>
          <w:szCs w:val="24"/>
          <w:highlight w:val="none"/>
        </w:rPr>
        <w:t>；</w:t>
      </w:r>
    </w:p>
    <w:p>
      <w:pPr>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发包人审批承包人文件的期限：</w:t>
      </w:r>
      <w:r>
        <w:rPr>
          <w:rFonts w:hint="eastAsia" w:cs="仿宋_GB2312" w:asciiTheme="minorEastAsia" w:hAnsiTheme="minorEastAsia" w:eastAsiaTheme="minorEastAsia"/>
          <w:color w:val="auto"/>
          <w:sz w:val="24"/>
          <w:szCs w:val="24"/>
          <w:highlight w:val="none"/>
          <w:u w:val="single"/>
        </w:rPr>
        <w:t>承包人提交文件（文件需齐全、有效），经监理人上报发包人后7日内</w:t>
      </w:r>
      <w:r>
        <w:rPr>
          <w:rFonts w:hint="eastAsia" w:cs="仿宋_GB2312"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1.6.5 现场图纸准备</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关于现场图纸准备的约定：</w:t>
      </w:r>
      <w:r>
        <w:rPr>
          <w:rFonts w:hint="eastAsia" w:asciiTheme="minorEastAsia" w:hAnsiTheme="minorEastAsia" w:eastAsiaTheme="minorEastAsia"/>
          <w:color w:val="auto"/>
          <w:sz w:val="24"/>
          <w:szCs w:val="24"/>
          <w:highlight w:val="none"/>
          <w:u w:val="single"/>
        </w:rPr>
        <w:t>按通用条款执行</w:t>
      </w:r>
      <w:r>
        <w:rPr>
          <w:rFonts w:asciiTheme="minorEastAsia" w:hAnsiTheme="minorEastAsia" w:eastAsiaTheme="minorEastAsia"/>
          <w:color w:val="auto"/>
          <w:sz w:val="24"/>
          <w:szCs w:val="24"/>
          <w:highlight w:val="none"/>
        </w:rPr>
        <w:t>。</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1.7 联络</w:t>
      </w:r>
    </w:p>
    <w:p>
      <w:pPr>
        <w:spacing w:after="120"/>
        <w:ind w:firstLine="480" w:firstLineChars="200"/>
        <w:outlineLvl w:val="0"/>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1.7.1发包人和承包人应当在</w:t>
      </w:r>
      <w:r>
        <w:rPr>
          <w:rFonts w:hint="eastAsia" w:asciiTheme="minorEastAsia" w:hAnsiTheme="minorEastAsia" w:eastAsiaTheme="minorEastAsia"/>
          <w:color w:val="auto"/>
          <w:sz w:val="24"/>
          <w:szCs w:val="24"/>
          <w:highlight w:val="none"/>
          <w:u w:val="single"/>
        </w:rPr>
        <w:t xml:space="preserve"> 7</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kern w:val="0"/>
          <w:sz w:val="24"/>
          <w:szCs w:val="24"/>
          <w:highlight w:val="none"/>
        </w:rPr>
        <w:t>天内将与合同有关的通知、批准、证明、证书、指示、指令、要求、请求、同意、意见、确定和决定等书面函件送达对方当事人</w:t>
      </w:r>
      <w:r>
        <w:rPr>
          <w:rFonts w:hint="eastAsia" w:asciiTheme="minorEastAsia" w:hAnsiTheme="minorEastAsia" w:eastAsiaTheme="minorEastAsia"/>
          <w:color w:val="auto"/>
          <w:kern w:val="0"/>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kern w:val="0"/>
          <w:sz w:val="24"/>
          <w:szCs w:val="24"/>
          <w:highlight w:val="none"/>
        </w:rPr>
        <w:t>1.7.2 发包人接收文件的地点：</w:t>
      </w:r>
      <w:r>
        <w:rPr>
          <w:rFonts w:hint="eastAsia" w:asciiTheme="minorEastAsia" w:hAnsiTheme="minorEastAsia" w:eastAsiaTheme="minorEastAsia"/>
          <w:color w:val="auto"/>
          <w:sz w:val="24"/>
          <w:szCs w:val="24"/>
          <w:highlight w:val="none"/>
          <w:u w:val="single"/>
        </w:rPr>
        <w:t>发包人办公室</w:t>
      </w:r>
      <w:r>
        <w:rPr>
          <w:rFonts w:asciiTheme="minorEastAsia" w:hAnsiTheme="minorEastAsia" w:eastAsiaTheme="minorEastAsia"/>
          <w:color w:val="auto"/>
          <w:sz w:val="24"/>
          <w:szCs w:val="24"/>
          <w:highlight w:val="none"/>
        </w:rPr>
        <w:t>；发包人指定的接收人为：</w:t>
      </w:r>
      <w:r>
        <w:rPr>
          <w:rFonts w:hint="eastAsia" w:asciiTheme="minorEastAsia" w:hAnsiTheme="minorEastAsia" w:eastAsiaTheme="minorEastAsia"/>
          <w:color w:val="auto"/>
          <w:sz w:val="24"/>
          <w:szCs w:val="24"/>
          <w:highlight w:val="none"/>
          <w:u w:val="single"/>
        </w:rPr>
        <w:t>发包人现场代表</w:t>
      </w:r>
      <w:r>
        <w:rPr>
          <w:rFonts w:asciiTheme="minorEastAsia" w:hAnsiTheme="minorEastAsia" w:eastAsiaTheme="minorEastAsia"/>
          <w:color w:val="auto"/>
          <w:sz w:val="24"/>
          <w:szCs w:val="24"/>
          <w:highlight w:val="none"/>
        </w:rPr>
        <w:t>。承包人接收文件的地点：</w:t>
      </w:r>
      <w:r>
        <w:rPr>
          <w:rFonts w:hint="eastAsia" w:asciiTheme="minorEastAsia" w:hAnsiTheme="minorEastAsia" w:eastAsiaTheme="minorEastAsia"/>
          <w:color w:val="auto"/>
          <w:sz w:val="24"/>
          <w:szCs w:val="24"/>
          <w:highlight w:val="none"/>
          <w:u w:val="single"/>
          <w:shd w:val="clear" w:color="auto" w:fill="FFFFFF"/>
        </w:rPr>
        <w:t>承包人项目部办公室</w:t>
      </w:r>
      <w:r>
        <w:rPr>
          <w:rFonts w:asciiTheme="minorEastAsia" w:hAnsiTheme="minorEastAsia" w:eastAsiaTheme="minorEastAsia"/>
          <w:color w:val="auto"/>
          <w:sz w:val="24"/>
          <w:szCs w:val="24"/>
          <w:highlight w:val="none"/>
        </w:rPr>
        <w:t>；承包人指定的接收人为：</w:t>
      </w:r>
      <w:r>
        <w:rPr>
          <w:rFonts w:hint="eastAsia" w:asciiTheme="minorEastAsia" w:hAnsiTheme="minorEastAsia" w:eastAsiaTheme="minorEastAsia"/>
          <w:color w:val="auto"/>
          <w:sz w:val="24"/>
          <w:szCs w:val="24"/>
          <w:highlight w:val="none"/>
          <w:u w:val="single"/>
        </w:rPr>
        <w:t>项目负责人</w:t>
      </w:r>
      <w:r>
        <w:rPr>
          <w:rFonts w:asciiTheme="minorEastAsia" w:hAnsiTheme="minorEastAsia" w:eastAsiaTheme="minorEastAsia"/>
          <w:color w:val="auto"/>
          <w:sz w:val="24"/>
          <w:szCs w:val="24"/>
          <w:highlight w:val="none"/>
        </w:rPr>
        <w:t>。监理人接收文件的地点：</w:t>
      </w:r>
      <w:r>
        <w:rPr>
          <w:rFonts w:hint="eastAsia" w:asciiTheme="minorEastAsia" w:hAnsiTheme="minorEastAsia" w:eastAsiaTheme="minorEastAsia"/>
          <w:color w:val="auto"/>
          <w:sz w:val="24"/>
          <w:szCs w:val="24"/>
          <w:highlight w:val="none"/>
          <w:u w:val="single"/>
          <w:shd w:val="clear" w:color="auto" w:fill="FFFFFF"/>
        </w:rPr>
        <w:t>项目监理部</w:t>
      </w:r>
      <w:r>
        <w:rPr>
          <w:rFonts w:asciiTheme="minorEastAsia" w:hAnsiTheme="minorEastAsia" w:eastAsiaTheme="minorEastAsia"/>
          <w:color w:val="auto"/>
          <w:sz w:val="24"/>
          <w:szCs w:val="24"/>
          <w:highlight w:val="none"/>
        </w:rPr>
        <w:t>；监理人指定的接收人为：</w:t>
      </w:r>
      <w:r>
        <w:rPr>
          <w:rFonts w:hint="eastAsia" w:asciiTheme="minorEastAsia" w:hAnsiTheme="minorEastAsia" w:eastAsiaTheme="minorEastAsia"/>
          <w:color w:val="auto"/>
          <w:sz w:val="24"/>
          <w:szCs w:val="24"/>
          <w:highlight w:val="none"/>
          <w:u w:val="single"/>
        </w:rPr>
        <w:t>总监理工程师</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1.10 交通运输</w:t>
      </w:r>
    </w:p>
    <w:p>
      <w:pPr>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bookmarkStart w:id="64" w:name="_Toc303539100"/>
      <w:bookmarkStart w:id="65" w:name="_Toc300934943"/>
      <w:bookmarkStart w:id="66" w:name="_Toc318581155"/>
      <w:bookmarkStart w:id="67" w:name="_Toc304295521"/>
      <w:bookmarkStart w:id="68" w:name="_Toc312677986"/>
      <w:r>
        <w:rPr>
          <w:rFonts w:asciiTheme="minorEastAsia" w:hAnsiTheme="minorEastAsia" w:eastAsiaTheme="minorEastAsia"/>
          <w:color w:val="auto"/>
          <w:sz w:val="24"/>
          <w:szCs w:val="24"/>
          <w:highlight w:val="none"/>
        </w:rPr>
        <w:t>.10.1 出入现场的权利</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关于出入现场的权利的约定：</w:t>
      </w:r>
      <w:r>
        <w:rPr>
          <w:rFonts w:hint="eastAsia" w:asciiTheme="minorEastAsia" w:hAnsiTheme="minorEastAsia" w:eastAsiaTheme="minorEastAsia"/>
          <w:color w:val="auto"/>
          <w:sz w:val="24"/>
          <w:szCs w:val="24"/>
          <w:highlight w:val="none"/>
          <w:u w:val="single"/>
        </w:rPr>
        <w:t>由承包人按发包人要求负责取得出入施工现场所需的批准手续和全部权利，以及取得因施工所需修建道路、桥梁以及其他基础设施的权利，并承担相关手续费用和建设费用</w:t>
      </w:r>
      <w:r>
        <w:rPr>
          <w:rFonts w:asciiTheme="minorEastAsia" w:hAnsiTheme="minorEastAsia" w:eastAsiaTheme="minorEastAsia"/>
          <w:color w:val="auto"/>
          <w:sz w:val="24"/>
          <w:szCs w:val="24"/>
          <w:highlight w:val="none"/>
        </w:rPr>
        <w:t>。</w:t>
      </w:r>
    </w:p>
    <w:bookmarkEnd w:id="64"/>
    <w:bookmarkEnd w:id="65"/>
    <w:bookmarkEnd w:id="66"/>
    <w:bookmarkEnd w:id="67"/>
    <w:bookmarkEnd w:id="68"/>
    <w:p>
      <w:pPr>
        <w:ind w:firstLine="480" w:firstLineChars="200"/>
        <w:jc w:val="left"/>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bookmarkStart w:id="69" w:name="_Toc300934944"/>
      <w:bookmarkStart w:id="70" w:name="_Toc304295522"/>
      <w:bookmarkStart w:id="71" w:name="_Toc303539101"/>
      <w:bookmarkStart w:id="72" w:name="_Toc312677987"/>
      <w:bookmarkStart w:id="73" w:name="_Toc318581156"/>
      <w:r>
        <w:rPr>
          <w:rFonts w:asciiTheme="minorEastAsia" w:hAnsiTheme="minorEastAsia" w:eastAsiaTheme="minorEastAsia"/>
          <w:color w:val="auto"/>
          <w:sz w:val="24"/>
          <w:szCs w:val="24"/>
          <w:highlight w:val="none"/>
        </w:rPr>
        <w:t>.10.3 场内交通</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kern w:val="0"/>
          <w:sz w:val="24"/>
          <w:szCs w:val="24"/>
          <w:highlight w:val="none"/>
        </w:rPr>
        <w:t>关于场外交通和场内交通的边界的约定：</w:t>
      </w:r>
      <w:r>
        <w:rPr>
          <w:rFonts w:hint="eastAsia" w:asciiTheme="minorEastAsia" w:hAnsiTheme="minorEastAsia" w:eastAsiaTheme="minorEastAsia"/>
          <w:color w:val="auto"/>
          <w:sz w:val="24"/>
          <w:szCs w:val="24"/>
          <w:highlight w:val="none"/>
          <w:u w:val="single"/>
        </w:rPr>
        <w:t>以施工围挡和红线为界</w:t>
      </w:r>
      <w:r>
        <w:rPr>
          <w:rFonts w:asciiTheme="minorEastAsia" w:hAnsiTheme="minorEastAsia" w:eastAsiaTheme="minorEastAsia"/>
          <w:color w:val="auto"/>
          <w:sz w:val="24"/>
          <w:szCs w:val="24"/>
          <w:highlight w:val="none"/>
        </w:rPr>
        <w:t>。关于发包人向承包人免费提供满足工程施工需要的场内道路和交通设施的约定：</w:t>
      </w:r>
      <w:r>
        <w:rPr>
          <w:rFonts w:asciiTheme="minorEastAsia" w:hAnsiTheme="minorEastAsia" w:eastAsiaTheme="minorEastAsia"/>
          <w:color w:val="auto"/>
          <w:sz w:val="24"/>
          <w:szCs w:val="24"/>
          <w:highlight w:val="none"/>
          <w:u w:val="single"/>
        </w:rPr>
        <w:t>承包人</w:t>
      </w:r>
      <w:r>
        <w:rPr>
          <w:rFonts w:hint="eastAsia" w:asciiTheme="minorEastAsia" w:hAnsiTheme="minorEastAsia" w:eastAsiaTheme="minorEastAsia"/>
          <w:color w:val="auto"/>
          <w:sz w:val="24"/>
          <w:szCs w:val="24"/>
          <w:highlight w:val="none"/>
          <w:u w:val="single"/>
        </w:rPr>
        <w:t>使用场内道路和交通设施需征得发包人事先同意</w:t>
      </w:r>
      <w:r>
        <w:rPr>
          <w:rFonts w:asciiTheme="minorEastAsia" w:hAnsiTheme="minorEastAsia" w:eastAsiaTheme="minorEastAsia"/>
          <w:color w:val="auto"/>
          <w:sz w:val="24"/>
          <w:szCs w:val="24"/>
          <w:highlight w:val="none"/>
        </w:rPr>
        <w:t>。</w:t>
      </w:r>
      <w:bookmarkEnd w:id="69"/>
      <w:bookmarkEnd w:id="70"/>
      <w:bookmarkEnd w:id="71"/>
      <w:bookmarkEnd w:id="72"/>
      <w:bookmarkEnd w:id="73"/>
      <w:r>
        <w:rPr>
          <w:rFonts w:asciiTheme="minorEastAsia" w:hAnsiTheme="minorEastAsia" w:eastAsiaTheme="minorEastAsia"/>
          <w:color w:val="auto"/>
          <w:sz w:val="24"/>
          <w:szCs w:val="24"/>
          <w:highlight w:val="none"/>
        </w:rPr>
        <w:t xml:space="preserve">  </w:t>
      </w:r>
      <w:bookmarkStart w:id="74" w:name="_Toc318581157"/>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1.10.4超大件和超重件的运输</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运输超大件或超重件所需的道路和桥梁临时加固改造费用和其他有关费用由</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承包人</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承担。</w:t>
      </w:r>
    </w:p>
    <w:bookmarkEnd w:id="74"/>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1.11 知识产权</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cs="仿宋_GB2312" w:asciiTheme="minorEastAsia" w:hAnsiTheme="minorEastAsia" w:eastAsiaTheme="minorEastAsia"/>
          <w:color w:val="auto"/>
          <w:sz w:val="24"/>
          <w:szCs w:val="24"/>
          <w:highlight w:val="none"/>
          <w:u w:val="single"/>
        </w:rPr>
        <w:t>发包人或编制人及单位</w:t>
      </w:r>
      <w:r>
        <w:rPr>
          <w:rFonts w:asciiTheme="minorEastAsia" w:hAnsiTheme="minorEastAsia" w:eastAsiaTheme="minorEastAsia"/>
          <w:color w:val="auto"/>
          <w:sz w:val="24"/>
          <w:szCs w:val="24"/>
          <w:highlight w:val="none"/>
        </w:rPr>
        <w:t>。</w:t>
      </w:r>
    </w:p>
    <w:p>
      <w:pPr>
        <w:ind w:left="596" w:leftChars="284"/>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关于发包人提供的上述文件的使用限制的要求：</w:t>
      </w:r>
      <w:r>
        <w:rPr>
          <w:rFonts w:hint="eastAsia" w:asciiTheme="minorEastAsia" w:hAnsiTheme="minorEastAsia" w:eastAsiaTheme="minorEastAsia"/>
          <w:color w:val="auto"/>
          <w:sz w:val="24"/>
          <w:szCs w:val="24"/>
          <w:highlight w:val="none"/>
          <w:u w:val="single"/>
        </w:rPr>
        <w:t>需征得著作权人的同意</w:t>
      </w:r>
      <w:r>
        <w:rPr>
          <w:rFonts w:asciiTheme="minorEastAsia" w:hAnsiTheme="minorEastAsia" w:eastAsiaTheme="minorEastAsia"/>
          <w:color w:val="auto"/>
          <w:sz w:val="24"/>
          <w:szCs w:val="24"/>
          <w:highlight w:val="none"/>
        </w:rPr>
        <w:t>。</w:t>
      </w:r>
    </w:p>
    <w:p>
      <w:pPr>
        <w:ind w:left="596" w:leftChars="284"/>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1.11.2 关于承包人为实施工程所编制文件的著作权的归属：</w:t>
      </w:r>
      <w:r>
        <w:rPr>
          <w:rFonts w:hint="eastAsia" w:cs="仿宋_GB2312" w:asciiTheme="minorEastAsia" w:hAnsiTheme="minorEastAsia" w:eastAsiaTheme="minorEastAsia"/>
          <w:color w:val="auto"/>
          <w:sz w:val="24"/>
          <w:szCs w:val="24"/>
          <w:highlight w:val="none"/>
          <w:u w:val="single"/>
        </w:rPr>
        <w:t>承包人</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关于承包人提供的上述文件的使用限制的要求：</w:t>
      </w:r>
      <w:r>
        <w:rPr>
          <w:rFonts w:hint="eastAsia" w:asciiTheme="minorEastAsia" w:hAnsiTheme="minorEastAsia" w:eastAsiaTheme="minorEastAsia"/>
          <w:color w:val="auto"/>
          <w:sz w:val="24"/>
          <w:szCs w:val="24"/>
          <w:highlight w:val="none"/>
          <w:u w:val="single"/>
        </w:rPr>
        <w:t>需征得著作权人的同意</w:t>
      </w:r>
      <w:r>
        <w:rPr>
          <w:rFonts w:asciiTheme="minorEastAsia" w:hAnsiTheme="minorEastAsia" w:eastAsiaTheme="minorEastAsia"/>
          <w:color w:val="auto"/>
          <w:sz w:val="24"/>
          <w:szCs w:val="24"/>
          <w:highlight w:val="none"/>
        </w:rPr>
        <w:t>。</w:t>
      </w:r>
    </w:p>
    <w:p>
      <w:pPr>
        <w:ind w:firstLine="480" w:firstLineChars="200"/>
        <w:outlineLvl w:val="0"/>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sz w:val="24"/>
          <w:szCs w:val="24"/>
          <w:highlight w:val="none"/>
        </w:rPr>
        <w:t>1.11.4 承包人在施工过程中所采用的专利、专有技术、技术秘密的使用费的承担方式：</w:t>
      </w:r>
      <w:r>
        <w:rPr>
          <w:rFonts w:hint="eastAsia" w:asciiTheme="minorEastAsia" w:hAnsiTheme="minorEastAsia" w:eastAsiaTheme="minorEastAsia"/>
          <w:color w:val="auto"/>
          <w:sz w:val="24"/>
          <w:szCs w:val="24"/>
          <w:highlight w:val="none"/>
          <w:u w:val="single"/>
        </w:rPr>
        <w:t>承包人</w:t>
      </w:r>
      <w:r>
        <w:rPr>
          <w:rFonts w:asciiTheme="minorEastAsia" w:hAnsiTheme="minorEastAsia" w:eastAsiaTheme="minorEastAsia"/>
          <w:color w:val="auto"/>
          <w:kern w:val="0"/>
          <w:sz w:val="24"/>
          <w:szCs w:val="24"/>
          <w:highlight w:val="none"/>
        </w:rPr>
        <w:t>。</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1.13工程量清单错误的修正</w:t>
      </w:r>
      <w:bookmarkStart w:id="75" w:name="_Toc351203634"/>
    </w:p>
    <w:p>
      <w:pPr>
        <w:spacing w:after="120"/>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承包人应在合同签订后对发包人提供的与本合同工程内容相关的工程量清单、</w:t>
      </w:r>
      <w:r>
        <w:rPr>
          <w:rFonts w:cs="仿宋" w:asciiTheme="minorEastAsia" w:hAnsiTheme="minorEastAsia" w:eastAsiaTheme="minorEastAsia"/>
          <w:color w:val="auto"/>
          <w:sz w:val="24"/>
          <w:szCs w:val="24"/>
          <w:highlight w:val="none"/>
        </w:rPr>
        <w:t>图纸</w:t>
      </w:r>
      <w:r>
        <w:rPr>
          <w:rFonts w:hint="eastAsia" w:cs="仿宋" w:asciiTheme="minorEastAsia" w:hAnsiTheme="minorEastAsia" w:eastAsiaTheme="minorEastAsia"/>
          <w:color w:val="auto"/>
          <w:sz w:val="24"/>
          <w:szCs w:val="24"/>
          <w:highlight w:val="none"/>
        </w:rPr>
        <w:t>，承包人收到图纸后应认真核对，现场进行核查和踏察，如发现有明显错误或遗漏，应在</w:t>
      </w:r>
      <w:r>
        <w:rPr>
          <w:rFonts w:hint="eastAsia" w:cs="仿宋" w:asciiTheme="minorEastAsia" w:hAnsiTheme="minorEastAsia" w:eastAsiaTheme="minorEastAsia"/>
          <w:color w:val="auto"/>
          <w:sz w:val="24"/>
          <w:szCs w:val="24"/>
          <w:highlight w:val="none"/>
          <w:u w:val="single"/>
        </w:rPr>
        <w:t xml:space="preserve">  7 </w:t>
      </w:r>
      <w:r>
        <w:rPr>
          <w:rFonts w:hint="eastAsia" w:cs="仿宋" w:asciiTheme="minorEastAsia" w:hAnsiTheme="minorEastAsia" w:eastAsiaTheme="minorEastAsia"/>
          <w:color w:val="auto"/>
          <w:sz w:val="24"/>
          <w:szCs w:val="24"/>
          <w:highlight w:val="none"/>
        </w:rPr>
        <w:t>天内以书面形式报告发包人，否则应承担全部责任。</w:t>
      </w:r>
    </w:p>
    <w:p>
      <w:pPr>
        <w:spacing w:after="120"/>
        <w:ind w:firstLine="480" w:firstLineChars="200"/>
        <w:rPr>
          <w:rFonts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有下列情形之一时，发包人应予以修正，并相应调整合同价格：</w:t>
      </w:r>
      <w:r>
        <w:rPr>
          <w:rFonts w:hint="eastAsia" w:asciiTheme="minorEastAsia" w:hAnsiTheme="minorEastAsia" w:eastAsiaTheme="minorEastAsia"/>
          <w:color w:val="auto"/>
          <w:sz w:val="24"/>
          <w:szCs w:val="24"/>
          <w:highlight w:val="none"/>
        </w:rPr>
        <w:t>出现工程量清单错误时，是否调整合同价格：</w:t>
      </w:r>
      <w:r>
        <w:rPr>
          <w:rFonts w:hint="eastAsia" w:asciiTheme="minorEastAsia" w:hAnsiTheme="minorEastAsia" w:eastAsiaTheme="minorEastAsia"/>
          <w:color w:val="auto"/>
          <w:sz w:val="24"/>
          <w:szCs w:val="24"/>
          <w:highlight w:val="none"/>
          <w:u w:val="single"/>
        </w:rPr>
        <w:t xml:space="preserve"> 是 </w:t>
      </w:r>
      <w:r>
        <w:rPr>
          <w:rFonts w:asciiTheme="minorEastAsia" w:hAnsiTheme="minorEastAsia" w:eastAsiaTheme="minorEastAsia"/>
          <w:color w:val="auto"/>
          <w:kern w:val="0"/>
          <w:sz w:val="24"/>
          <w:szCs w:val="24"/>
          <w:highlight w:val="none"/>
        </w:rPr>
        <w:t>。</w:t>
      </w:r>
      <w:r>
        <w:rPr>
          <w:rFonts w:asciiTheme="minorEastAsia" w:hAnsiTheme="minorEastAsia" w:eastAsiaTheme="minorEastAsia"/>
          <w:color w:val="auto"/>
          <w:sz w:val="24"/>
          <w:szCs w:val="24"/>
          <w:highlight w:val="none"/>
        </w:rPr>
        <w:t>允许调整合同价格的工程量偏差范围：</w:t>
      </w:r>
      <w:r>
        <w:rPr>
          <w:rFonts w:hint="eastAsia" w:asciiTheme="minorEastAsia" w:hAnsiTheme="minorEastAsia" w:eastAsiaTheme="minorEastAsia"/>
          <w:color w:val="auto"/>
          <w:sz w:val="24"/>
          <w:szCs w:val="24"/>
          <w:highlight w:val="none"/>
          <w:u w:val="single"/>
        </w:rPr>
        <w:t xml:space="preserve">  发包人和承包双方书面认可的设计变更</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kern w:val="0"/>
          <w:sz w:val="24"/>
          <w:szCs w:val="24"/>
          <w:highlight w:val="none"/>
        </w:rPr>
        <w:t>。</w:t>
      </w:r>
    </w:p>
    <w:p>
      <w:pPr>
        <w:pStyle w:val="7"/>
        <w:numPr>
          <w:ilvl w:val="0"/>
          <w:numId w:val="2"/>
        </w:numPr>
        <w:rPr>
          <w:rFonts w:asciiTheme="minorEastAsia" w:hAnsiTheme="minorEastAsia" w:eastAsiaTheme="minorEastAsia"/>
          <w:b w:val="0"/>
          <w:color w:val="auto"/>
          <w:sz w:val="24"/>
          <w:szCs w:val="24"/>
          <w:highlight w:val="none"/>
        </w:rPr>
      </w:pPr>
      <w:bookmarkStart w:id="76" w:name="_Toc297120457"/>
      <w:bookmarkStart w:id="77" w:name="_Toc296944496"/>
      <w:bookmarkStart w:id="78" w:name="_Toc296347156"/>
      <w:bookmarkStart w:id="79" w:name="_Toc297048343"/>
      <w:bookmarkStart w:id="80" w:name="_Toc292559362"/>
      <w:bookmarkStart w:id="81" w:name="_Toc296346658"/>
      <w:bookmarkStart w:id="82" w:name="_Toc292559867"/>
      <w:bookmarkStart w:id="83" w:name="_Toc296890985"/>
      <w:bookmarkStart w:id="84" w:name="_Toc296891197"/>
      <w:bookmarkStart w:id="85" w:name="_Toc296503157"/>
      <w:r>
        <w:rPr>
          <w:rFonts w:asciiTheme="minorEastAsia" w:hAnsiTheme="minorEastAsia" w:eastAsiaTheme="minorEastAsia"/>
          <w:b w:val="0"/>
          <w:color w:val="auto"/>
          <w:sz w:val="24"/>
          <w:szCs w:val="24"/>
          <w:highlight w:val="none"/>
        </w:rPr>
        <w:t>发包人</w:t>
      </w:r>
      <w:bookmarkEnd w:id="75"/>
      <w:bookmarkEnd w:id="76"/>
      <w:bookmarkEnd w:id="77"/>
      <w:bookmarkEnd w:id="78"/>
      <w:bookmarkEnd w:id="79"/>
      <w:bookmarkEnd w:id="80"/>
      <w:bookmarkEnd w:id="81"/>
      <w:bookmarkEnd w:id="82"/>
      <w:bookmarkEnd w:id="83"/>
      <w:bookmarkEnd w:id="84"/>
      <w:bookmarkEnd w:id="85"/>
    </w:p>
    <w:p>
      <w:pPr>
        <w:pStyle w:val="7"/>
        <w:ind w:firstLine="480" w:firstLineChars="200"/>
        <w:rPr>
          <w:rFonts w:asciiTheme="minorEastAsia" w:hAnsiTheme="minorEastAsia" w:eastAsiaTheme="minorEastAsia"/>
          <w:b w:val="0"/>
          <w:color w:val="auto"/>
          <w:sz w:val="24"/>
          <w:szCs w:val="24"/>
          <w:highlight w:val="none"/>
        </w:rPr>
      </w:pPr>
      <w:r>
        <w:rPr>
          <w:rFonts w:asciiTheme="minorEastAsia" w:hAnsiTheme="minorEastAsia" w:eastAsiaTheme="minorEastAsia"/>
          <w:b w:val="0"/>
          <w:color w:val="auto"/>
          <w:sz w:val="24"/>
          <w:szCs w:val="24"/>
          <w:highlight w:val="none"/>
        </w:rPr>
        <w:t>2.2 发包人代表</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发包人代表：</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姓    名：</w:t>
      </w:r>
      <w:r>
        <w:rPr>
          <w:rFonts w:asciiTheme="minorEastAsia" w:hAnsiTheme="minorEastAsia" w:eastAsiaTheme="minorEastAsia"/>
          <w:color w:val="auto"/>
          <w:sz w:val="24"/>
          <w:szCs w:val="24"/>
          <w:highlight w:val="none"/>
          <w:u w:val="single"/>
        </w:rPr>
        <w:t></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w:t>
      </w:r>
      <w:r>
        <w:rPr>
          <w:rFonts w:asciiTheme="minorEastAsia" w:hAnsiTheme="minorEastAsia" w:eastAsiaTheme="minorEastAsia"/>
          <w:color w:val="auto"/>
          <w:sz w:val="24"/>
          <w:szCs w:val="24"/>
          <w:highlight w:val="none"/>
        </w:rPr>
        <w:t>；身份证号：</w:t>
      </w:r>
      <w:r>
        <w:rPr>
          <w:rFonts w:asciiTheme="minorEastAsia" w:hAnsiTheme="minorEastAsia" w:eastAsiaTheme="minorEastAsia"/>
          <w:color w:val="auto"/>
          <w:sz w:val="24"/>
          <w:szCs w:val="24"/>
          <w:highlight w:val="none"/>
          <w:u w:val="single"/>
        </w:rPr>
        <w:t></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发包人对发包人代表的授权范围如下：</w:t>
      </w:r>
      <w:r>
        <w:rPr>
          <w:rFonts w:hint="eastAsia" w:asciiTheme="minorEastAsia" w:hAnsiTheme="minorEastAsia" w:eastAsiaTheme="minorEastAsia"/>
          <w:color w:val="auto"/>
          <w:sz w:val="24"/>
          <w:szCs w:val="24"/>
          <w:highlight w:val="none"/>
          <w:u w:val="single"/>
        </w:rPr>
        <w:t xml:space="preserve">督促指导监理工程师行使职权，协调施工现场各方面的关系，监督工程质量、进度和安全文明施工等，解决有关设计和技术签证，办理、签认现场经济技术签证，审核工程进度报表 </w:t>
      </w:r>
      <w:r>
        <w:rPr>
          <w:rFonts w:asciiTheme="minorEastAsia" w:hAnsiTheme="minorEastAsia" w:eastAsiaTheme="minorEastAsia"/>
          <w:color w:val="auto"/>
          <w:sz w:val="24"/>
          <w:szCs w:val="24"/>
          <w:highlight w:val="none"/>
        </w:rPr>
        <w:t>。</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2.4 施工现场、施工条件和基础资料的提供</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2.4.1 提供施工现场</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关于发包人移交施工现场的期限要求：</w:t>
      </w:r>
      <w:r>
        <w:rPr>
          <w:rFonts w:hint="eastAsia" w:asciiTheme="minorEastAsia" w:hAnsiTheme="minorEastAsia" w:eastAsiaTheme="minorEastAsia"/>
          <w:color w:val="auto"/>
          <w:sz w:val="24"/>
          <w:szCs w:val="24"/>
          <w:highlight w:val="none"/>
          <w:u w:val="single"/>
        </w:rPr>
        <w:t>签署开工令后</w:t>
      </w:r>
      <w:r>
        <w:rPr>
          <w:rFonts w:asciiTheme="minorEastAsia" w:hAnsiTheme="minorEastAsia" w:eastAsiaTheme="minorEastAsia"/>
          <w:color w:val="auto"/>
          <w:sz w:val="24"/>
          <w:szCs w:val="24"/>
          <w:highlight w:val="none"/>
          <w:u w:val="single"/>
        </w:rPr>
        <w:t>3日内</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2.4.2 提供施工条件</w:t>
      </w:r>
    </w:p>
    <w:p>
      <w:pPr>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关于发包人应负责提供施工</w:t>
      </w:r>
      <w:r>
        <w:rPr>
          <w:rFonts w:hint="eastAsia" w:asciiTheme="minorEastAsia" w:hAnsiTheme="minorEastAsia" w:eastAsiaTheme="minorEastAsia"/>
          <w:color w:val="auto"/>
          <w:sz w:val="24"/>
          <w:szCs w:val="24"/>
          <w:highlight w:val="none"/>
        </w:rPr>
        <w:t>所需要的条件，</w:t>
      </w:r>
      <w:r>
        <w:rPr>
          <w:rFonts w:asciiTheme="minorEastAsia" w:hAnsiTheme="minorEastAsia" w:eastAsiaTheme="minorEastAsia"/>
          <w:color w:val="auto"/>
          <w:sz w:val="24"/>
          <w:szCs w:val="24"/>
          <w:highlight w:val="none"/>
        </w:rPr>
        <w:t>包括：</w:t>
      </w:r>
      <w:r>
        <w:rPr>
          <w:rFonts w:hint="eastAsia" w:cs="仿宋_GB2312" w:asciiTheme="minorEastAsia" w:hAnsiTheme="minorEastAsia" w:eastAsiaTheme="minorEastAsia"/>
          <w:color w:val="auto"/>
          <w:sz w:val="24"/>
          <w:szCs w:val="24"/>
          <w:highlight w:val="none"/>
          <w:u w:val="single"/>
        </w:rPr>
        <w:t>（1）施工用水、电力、通讯线路等施工所必需的条件由发包方指定并协助承包方确定给水、雨污水、电力接口，由承包人自行装表接线解决，装表接线费用承包人在投标时已考虑进行报价，因此不据此增加合同价格。水、电费按实际使用数量及市场价格由承包人支付；（2）保证向承包人提供正常施工所需要的进入施工现场的交通条件；（3）协调处理施工现场周围地下管线和邻近建筑物、构筑物、古树名木的保护工作；（4）按照专用合同条款约定应提供的其他设施和条件</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2.5 资金来源证明及支付担保</w:t>
      </w:r>
    </w:p>
    <w:p>
      <w:pPr>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发包人提供资金来源证明的期限要求：</w:t>
      </w:r>
      <w:r>
        <w:rPr>
          <w:rFonts w:asciiTheme="minorEastAsia" w:hAnsiTheme="minorEastAsia" w:eastAsiaTheme="minorEastAsia"/>
          <w:color w:val="auto"/>
          <w:sz w:val="24"/>
          <w:szCs w:val="24"/>
          <w:highlight w:val="none"/>
          <w:u w:val="single"/>
        </w:rPr>
        <w:t></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。发包人是否提供支付担保：</w:t>
      </w:r>
      <w:r>
        <w:rPr>
          <w:rFonts w:asciiTheme="minorEastAsia" w:hAnsiTheme="minorEastAsia" w:eastAsiaTheme="minorEastAsia"/>
          <w:color w:val="auto"/>
          <w:sz w:val="24"/>
          <w:szCs w:val="24"/>
          <w:highlight w:val="none"/>
          <w:u w:val="single"/>
        </w:rPr>
        <w:t></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。发包人提供支付担保的形式：</w:t>
      </w:r>
      <w:r>
        <w:rPr>
          <w:rFonts w:asciiTheme="minorEastAsia" w:hAnsiTheme="minorEastAsia" w:eastAsiaTheme="minorEastAsia"/>
          <w:color w:val="auto"/>
          <w:sz w:val="24"/>
          <w:szCs w:val="24"/>
          <w:highlight w:val="none"/>
          <w:u w:val="single"/>
        </w:rPr>
        <w:t></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pStyle w:val="7"/>
        <w:rPr>
          <w:rFonts w:asciiTheme="minorEastAsia" w:hAnsiTheme="minorEastAsia" w:eastAsiaTheme="minorEastAsia"/>
          <w:b w:val="0"/>
          <w:color w:val="auto"/>
          <w:sz w:val="24"/>
          <w:szCs w:val="24"/>
          <w:highlight w:val="none"/>
        </w:rPr>
      </w:pPr>
      <w:bookmarkStart w:id="86" w:name="_Toc351203635"/>
      <w:r>
        <w:rPr>
          <w:rFonts w:asciiTheme="minorEastAsia" w:hAnsiTheme="minorEastAsia" w:eastAsiaTheme="minorEastAsia"/>
          <w:b w:val="0"/>
          <w:color w:val="auto"/>
          <w:sz w:val="24"/>
          <w:szCs w:val="24"/>
          <w:highlight w:val="none"/>
        </w:rPr>
        <w:t>3</w:t>
      </w:r>
      <w:bookmarkStart w:id="87" w:name="_Toc292559868"/>
      <w:bookmarkStart w:id="88" w:name="_Toc292559363"/>
      <w:bookmarkStart w:id="89" w:name="_Toc296944497"/>
      <w:bookmarkStart w:id="90" w:name="_Toc296890986"/>
      <w:bookmarkStart w:id="91" w:name="_Toc296503158"/>
      <w:bookmarkStart w:id="92" w:name="_Toc297048344"/>
      <w:bookmarkStart w:id="93" w:name="_Toc296347157"/>
      <w:bookmarkStart w:id="94" w:name="_Toc297120458"/>
      <w:bookmarkStart w:id="95" w:name="_Toc296346659"/>
      <w:bookmarkStart w:id="96" w:name="_Toc296891198"/>
      <w:r>
        <w:rPr>
          <w:rFonts w:asciiTheme="minorEastAsia" w:hAnsiTheme="minorEastAsia" w:eastAsiaTheme="minorEastAsia"/>
          <w:b w:val="0"/>
          <w:color w:val="auto"/>
          <w:sz w:val="24"/>
          <w:szCs w:val="24"/>
          <w:highlight w:val="none"/>
        </w:rPr>
        <w:t>. 承包人</w:t>
      </w:r>
      <w:bookmarkEnd w:id="86"/>
    </w:p>
    <w:bookmarkEnd w:id="87"/>
    <w:bookmarkEnd w:id="88"/>
    <w:bookmarkEnd w:id="89"/>
    <w:bookmarkEnd w:id="90"/>
    <w:bookmarkEnd w:id="91"/>
    <w:bookmarkEnd w:id="92"/>
    <w:bookmarkEnd w:id="93"/>
    <w:bookmarkEnd w:id="94"/>
    <w:bookmarkEnd w:id="95"/>
    <w:bookmarkEnd w:id="96"/>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3.1 承包人的一般义务</w:t>
      </w:r>
    </w:p>
    <w:p>
      <w:pPr>
        <w:ind w:firstLine="480" w:firstLineChars="200"/>
        <w:jc w:val="left"/>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rPr>
        <w:t>提供全套施工前后同位置同角度有固定参照物的施工照片、竣工图、竣工验收资料、竣工结算资料、设计变更、签证等应当由承包人提供的相关资料</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1</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竣工图纸</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2</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设计变更、洽商记录、现场签证；（3</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施工资料：控制资料(例：材料检试验报告、施工记录、检验批质量、隐蔽工程记录、分项工程验收记录、分部工程验收记录)；管理资料（例：开工报审表、施工日志、施工组织设计）</w:t>
      </w:r>
      <w:r>
        <w:rPr>
          <w:rFonts w:hint="eastAsia" w:cs="仿宋_GB2312" w:asciiTheme="minorEastAsia" w:hAnsiTheme="minorEastAsia" w:eastAsiaTheme="minorEastAsia"/>
          <w:color w:val="auto"/>
          <w:sz w:val="24"/>
          <w:szCs w:val="24"/>
          <w:highlight w:val="none"/>
        </w:rPr>
        <w:t>。</w:t>
      </w:r>
    </w:p>
    <w:p>
      <w:pPr>
        <w:ind w:firstLine="480" w:firstLineChars="200"/>
        <w:jc w:val="left"/>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承包人需要提交的竣工资料套数：</w:t>
      </w:r>
      <w:r>
        <w:rPr>
          <w:rFonts w:hint="eastAsia" w:cs="仿宋_GB2312" w:asciiTheme="minorEastAsia" w:hAnsiTheme="minorEastAsia" w:eastAsiaTheme="minorEastAsia"/>
          <w:color w:val="auto"/>
          <w:sz w:val="24"/>
          <w:szCs w:val="24"/>
          <w:highlight w:val="none"/>
          <w:u w:val="single"/>
        </w:rPr>
        <w:t xml:space="preserve"> 肆</w:t>
      </w:r>
      <w:r>
        <w:rPr>
          <w:rFonts w:hint="eastAsia" w:asciiTheme="minorEastAsia" w:hAnsiTheme="minorEastAsia" w:eastAsiaTheme="minorEastAsia"/>
          <w:color w:val="auto"/>
          <w:sz w:val="24"/>
          <w:szCs w:val="24"/>
          <w:highlight w:val="none"/>
          <w:u w:val="single"/>
        </w:rPr>
        <w:t>套</w:t>
      </w:r>
      <w:r>
        <w:rPr>
          <w:rFonts w:hint="eastAsia" w:cs="仿宋_GB2312" w:asciiTheme="minorEastAsia" w:hAnsiTheme="minorEastAsia" w:eastAsiaTheme="minorEastAsia"/>
          <w:color w:val="auto"/>
          <w:sz w:val="24"/>
          <w:szCs w:val="24"/>
          <w:highlight w:val="none"/>
          <w:u w:val="single"/>
        </w:rPr>
        <w:t xml:space="preserve">  </w:t>
      </w:r>
      <w:r>
        <w:rPr>
          <w:rFonts w:hint="eastAsia" w:cs="仿宋_GB2312" w:asciiTheme="minorEastAsia" w:hAnsiTheme="minorEastAsia" w:eastAsiaTheme="minorEastAsia"/>
          <w:color w:val="auto"/>
          <w:sz w:val="24"/>
          <w:szCs w:val="24"/>
          <w:highlight w:val="none"/>
        </w:rPr>
        <w:t>。</w:t>
      </w:r>
    </w:p>
    <w:p>
      <w:pPr>
        <w:ind w:firstLine="480" w:firstLineChars="200"/>
        <w:jc w:val="left"/>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承包人提交的竣工资料的费用承担：</w:t>
      </w:r>
      <w:r>
        <w:rPr>
          <w:rFonts w:hint="eastAsia" w:cs="仿宋_GB2312" w:asciiTheme="minorEastAsia" w:hAnsiTheme="minorEastAsia" w:eastAsiaTheme="minorEastAsia"/>
          <w:color w:val="auto"/>
          <w:sz w:val="24"/>
          <w:szCs w:val="24"/>
          <w:highlight w:val="none"/>
          <w:u w:val="single"/>
        </w:rPr>
        <w:t xml:space="preserve">承包人 </w:t>
      </w:r>
      <w:r>
        <w:rPr>
          <w:rFonts w:hint="eastAsia" w:cs="仿宋_GB2312" w:asciiTheme="minorEastAsia" w:hAnsiTheme="minorEastAsia" w:eastAsiaTheme="minorEastAsia"/>
          <w:color w:val="auto"/>
          <w:sz w:val="24"/>
          <w:szCs w:val="24"/>
          <w:highlight w:val="none"/>
        </w:rPr>
        <w:t>。</w:t>
      </w:r>
    </w:p>
    <w:p>
      <w:pPr>
        <w:ind w:firstLine="480" w:firstLineChars="200"/>
        <w:jc w:val="left"/>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承包人提交的竣工资料移交时间：</w:t>
      </w:r>
      <w:r>
        <w:rPr>
          <w:rFonts w:hint="eastAsia" w:cs="仿宋_GB2312" w:asciiTheme="minorEastAsia" w:hAnsiTheme="minorEastAsia" w:eastAsiaTheme="minorEastAsia"/>
          <w:color w:val="auto"/>
          <w:sz w:val="24"/>
          <w:szCs w:val="24"/>
          <w:highlight w:val="none"/>
          <w:u w:val="single"/>
        </w:rPr>
        <w:t xml:space="preserve">工程竣工验收通过后28天内 </w:t>
      </w:r>
      <w:r>
        <w:rPr>
          <w:rFonts w:hint="eastAsia" w:cs="仿宋_GB2312" w:asciiTheme="minorEastAsia" w:hAnsiTheme="minorEastAsia" w:eastAsiaTheme="minorEastAsia"/>
          <w:color w:val="auto"/>
          <w:sz w:val="24"/>
          <w:szCs w:val="24"/>
          <w:highlight w:val="none"/>
        </w:rPr>
        <w:t>。</w:t>
      </w:r>
    </w:p>
    <w:p>
      <w:pPr>
        <w:ind w:firstLine="480" w:firstLineChars="200"/>
        <w:jc w:val="left"/>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承包人提交的竣工资料形式要求：</w:t>
      </w:r>
      <w:r>
        <w:rPr>
          <w:rFonts w:hint="eastAsia" w:cs="仿宋_GB2312" w:asciiTheme="minorEastAsia" w:hAnsiTheme="minorEastAsia" w:eastAsiaTheme="minorEastAsia"/>
          <w:color w:val="auto"/>
          <w:sz w:val="24"/>
          <w:szCs w:val="24"/>
          <w:highlight w:val="none"/>
          <w:u w:val="single"/>
        </w:rPr>
        <w:t xml:space="preserve">书面形式（包括电子文件），并按要求装订、标记。书面形式另附电子光盘（含全部竣工资料内容扫描件）。内容必须真实、准确，与工程实际符合，并符合GB/T50328-2001《建设工程文件归档整理规范》。本工程的移交城建档案馆全部竣工资料(含竣工图)由承包人负责,并按城建档案馆要求装订成册；承包人总包范围内的资料由承包人自行完成，发包人另行发包的工程资料由各分包单位按城建档案馆要求完成后移交承包人,由承包人负责整理汇总 </w:t>
      </w:r>
      <w:r>
        <w:rPr>
          <w:rFonts w:hint="eastAsia" w:cs="仿宋_GB2312"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kern w:val="0"/>
          <w:sz w:val="24"/>
          <w:szCs w:val="24"/>
          <w:highlight w:val="none"/>
        </w:rPr>
        <w:t>承包人应履行的其他义务：</w:t>
      </w:r>
      <w:r>
        <w:rPr>
          <w:rFonts w:hint="eastAsia" w:cs="仿宋_GB2312"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①为确保工程施工进度、质量和安全，履行承包人投标时的承诺，承包人保证按照经发包人监理工程师批准的工程施工进度计划，及时派出投标时承诺拟派出的现场施工主要管理人员，做好工程各项施工工作。②若承包人不履行承诺，发包人有权取消承包人中标资格，其全部责任和损失由承包人承担。③承包人应负责已完工部分工程的保护工作；应做好防雷电、防火等的安全防护工作；承担施工现场和施工人员的治安、环境卫生、计生、外来人员暂住手续等管理工作和相关费用；若发生任何事故，均由承包人全部负责。④承包人若发现合同图纸及/或工料规范之内或互相之间有任何差异，须立刻以书面方式通知发包人，说明差异之处。⑤</w:t>
      </w:r>
      <w:r>
        <w:rPr>
          <w:rFonts w:hint="eastAsia" w:cs="仿宋_GB2312" w:asciiTheme="minorEastAsia" w:hAnsiTheme="minorEastAsia" w:eastAsiaTheme="minorEastAsia"/>
          <w:color w:val="auto"/>
          <w:sz w:val="24"/>
          <w:szCs w:val="24"/>
          <w:highlight w:val="none"/>
          <w:u w:val="single"/>
        </w:rPr>
        <w:t>每月25日前分别向发包人及监理方提供详细的施工进度计划、已完工程量报表（含工程变更及签证预算）等资料</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3.2 </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kern w:val="0"/>
          <w:sz w:val="24"/>
          <w:szCs w:val="24"/>
          <w:highlight w:val="none"/>
        </w:rPr>
        <w:t xml:space="preserve">3.2.1 </w:t>
      </w:r>
      <w:r>
        <w:rPr>
          <w:rFonts w:asciiTheme="minorEastAsia" w:hAnsiTheme="minorEastAsia" w:eastAsiaTheme="minorEastAsia"/>
          <w:color w:val="auto"/>
          <w:sz w:val="24"/>
          <w:szCs w:val="24"/>
          <w:highlight w:val="none"/>
        </w:rPr>
        <w:t>项目</w:t>
      </w:r>
      <w:r>
        <w:rPr>
          <w:rFonts w:hint="eastAsia" w:asciiTheme="minorEastAsia" w:hAnsiTheme="minorEastAsia" w:eastAsiaTheme="minorEastAsia"/>
          <w:color w:val="auto"/>
          <w:sz w:val="24"/>
          <w:szCs w:val="24"/>
          <w:highlight w:val="none"/>
        </w:rPr>
        <w:t>负责人</w:t>
      </w:r>
      <w:r>
        <w:rPr>
          <w:rFonts w:asciiTheme="minorEastAsia" w:hAnsiTheme="minorEastAsia" w:eastAsiaTheme="minorEastAsia"/>
          <w:color w:val="auto"/>
          <w:sz w:val="24"/>
          <w:szCs w:val="24"/>
          <w:highlight w:val="none"/>
        </w:rPr>
        <w:t>：</w:t>
      </w:r>
    </w:p>
    <w:p>
      <w:pPr>
        <w:ind w:firstLine="480" w:firstLineChars="200"/>
        <w:jc w:val="left"/>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姓名：</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；身份证号：</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；建造师执业资格等级：</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；建造师注册证书号：</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；安全生产考核证书号：</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联系电话：</w:t>
      </w:r>
      <w:r>
        <w:rPr>
          <w:rFonts w:hint="eastAsia" w:cs="宋体" w:asciiTheme="minorEastAsia" w:hAnsiTheme="minorEastAsia" w:eastAsiaTheme="minorEastAsia"/>
          <w:color w:val="auto"/>
          <w:sz w:val="24"/>
          <w:szCs w:val="24"/>
          <w:highlight w:val="none"/>
          <w:u w:val="single"/>
        </w:rPr>
        <w:t xml:space="preserve">          。</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承包人对负责人的授权范围如下：</w:t>
      </w:r>
      <w:r>
        <w:rPr>
          <w:rFonts w:hint="eastAsia" w:asciiTheme="minorEastAsia" w:hAnsiTheme="minorEastAsia" w:eastAsiaTheme="minorEastAsia"/>
          <w:color w:val="auto"/>
          <w:sz w:val="24"/>
          <w:szCs w:val="24"/>
          <w:highlight w:val="none"/>
          <w:u w:val="single"/>
        </w:rPr>
        <w:t>行使合同约定的承包人权利和义务，履行合同约定的承包人职责</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关于项目负责人每月在施工现场的时间要求：</w:t>
      </w:r>
      <w:r>
        <w:rPr>
          <w:rFonts w:hint="eastAsia" w:asciiTheme="minorEastAsia" w:hAnsiTheme="minorEastAsia" w:eastAsiaTheme="minorEastAsia"/>
          <w:color w:val="auto"/>
          <w:sz w:val="24"/>
          <w:szCs w:val="24"/>
          <w:highlight w:val="none"/>
          <w:u w:val="single"/>
        </w:rPr>
        <w:t>项目负责人每月带班生产时间不得少于本月施工时间的80%</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承包人未提交劳动合同，以及没有为项目负责人缴纳社会保险证明的违约责任：</w:t>
      </w:r>
      <w:r>
        <w:rPr>
          <w:rFonts w:hint="eastAsia" w:asciiTheme="minorEastAsia" w:hAnsiTheme="minorEastAsia" w:eastAsiaTheme="minorEastAsia"/>
          <w:color w:val="auto"/>
          <w:sz w:val="24"/>
          <w:szCs w:val="24"/>
          <w:highlight w:val="none"/>
          <w:u w:val="single"/>
        </w:rPr>
        <w:t>按通用条款执行</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kern w:val="0"/>
          <w:sz w:val="24"/>
          <w:szCs w:val="24"/>
          <w:highlight w:val="none"/>
        </w:rPr>
        <w:t>项目负责人未经批准，擅自离开施工现场的违约责任：</w:t>
      </w:r>
      <w:r>
        <w:rPr>
          <w:rFonts w:hint="eastAsia" w:asciiTheme="minorEastAsia" w:hAnsiTheme="minorEastAsia" w:eastAsiaTheme="minorEastAsia"/>
          <w:color w:val="auto"/>
          <w:sz w:val="24"/>
          <w:szCs w:val="24"/>
          <w:highlight w:val="none"/>
          <w:u w:val="single"/>
        </w:rPr>
        <w:t>离开工地需经发包人及总监理工程师同意，若无正当理由且未经发包人及总监理工程师的同意不在工地现场的，发现一次违约金20000元，且发包人有权单方面解除合同并责令承包人退场,由此产生的一切损失及后果由承包人承担，并报主管部门备案并追究违约责任人</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3.2.3 承包人擅自更换项目负责人的违约责任：</w:t>
      </w:r>
      <w:r>
        <w:rPr>
          <w:rFonts w:hint="eastAsia" w:cs="仿宋_GB2312" w:asciiTheme="minorEastAsia" w:hAnsiTheme="minorEastAsia" w:eastAsiaTheme="minorEastAsia"/>
          <w:color w:val="auto"/>
          <w:sz w:val="24"/>
          <w:szCs w:val="24"/>
          <w:highlight w:val="none"/>
          <w:u w:val="single"/>
        </w:rPr>
        <w:t>投标文件所报的项目部的项目负责人必须长驻现场，若发生更换，则视为违约，擅自更换项目负责人每人每次向发包人交纳</w:t>
      </w:r>
      <w:r>
        <w:rPr>
          <w:rFonts w:hint="eastAsia" w:cs="仿宋_GB2312" w:asciiTheme="minorEastAsia" w:hAnsiTheme="minorEastAsia" w:eastAsiaTheme="minorEastAsia"/>
          <w:b w:val="0"/>
          <w:bCs w:val="0"/>
          <w:color w:val="auto"/>
          <w:sz w:val="24"/>
          <w:szCs w:val="24"/>
          <w:highlight w:val="none"/>
          <w:u w:val="single"/>
        </w:rPr>
        <w:t>50000</w:t>
      </w:r>
      <w:r>
        <w:rPr>
          <w:rFonts w:hint="eastAsia" w:cs="仿宋_GB2312" w:asciiTheme="minorEastAsia" w:hAnsiTheme="minorEastAsia" w:eastAsiaTheme="minorEastAsia"/>
          <w:color w:val="auto"/>
          <w:sz w:val="24"/>
          <w:szCs w:val="24"/>
          <w:highlight w:val="none"/>
          <w:u w:val="single"/>
        </w:rPr>
        <w:t>元违约金</w:t>
      </w:r>
      <w:r>
        <w:rPr>
          <w:rFonts w:asciiTheme="minorEastAsia" w:hAnsiTheme="minorEastAsia" w:eastAsiaTheme="minorEastAsia"/>
          <w:color w:val="auto"/>
          <w:sz w:val="24"/>
          <w:szCs w:val="24"/>
          <w:highlight w:val="none"/>
          <w:u w:val="single"/>
        </w:rPr>
        <w:t>,</w:t>
      </w:r>
      <w:r>
        <w:rPr>
          <w:rFonts w:hint="eastAsia" w:asciiTheme="minorEastAsia" w:hAnsiTheme="minorEastAsia" w:eastAsiaTheme="minorEastAsia"/>
          <w:color w:val="auto"/>
          <w:sz w:val="24"/>
          <w:szCs w:val="24"/>
          <w:highlight w:val="none"/>
          <w:u w:val="single"/>
        </w:rPr>
        <w:t>且发包人有权单方面解除合同并责令承包人退场,由此产生的一切损失及后果由承包人承担</w:t>
      </w:r>
      <w:r>
        <w:rPr>
          <w:rFonts w:asciiTheme="minorEastAsia" w:hAnsiTheme="minorEastAsia" w:eastAsiaTheme="minorEastAsia"/>
          <w:color w:val="auto"/>
          <w:sz w:val="24"/>
          <w:szCs w:val="24"/>
          <w:highlight w:val="none"/>
        </w:rPr>
        <w:t>。</w:t>
      </w:r>
    </w:p>
    <w:p>
      <w:pPr>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3.2.4 承包人无正当理由拒绝更换项目负责人的违约责任：</w:t>
      </w:r>
      <w:r>
        <w:rPr>
          <w:rFonts w:hint="eastAsia" w:cs="仿宋_GB2312" w:asciiTheme="minorEastAsia" w:hAnsiTheme="minorEastAsia" w:eastAsiaTheme="minorEastAsia"/>
          <w:color w:val="auto"/>
          <w:sz w:val="24"/>
          <w:szCs w:val="24"/>
          <w:highlight w:val="none"/>
          <w:u w:val="single"/>
        </w:rPr>
        <w:t>发包人有权要求承包人撤换调整发包人认为不称职的项目负责人及项目部成员，新项目负责人及其他项目部主要成员人选须经发包人审核同意；承包人无正当理由拒绝更换项目负责人的，视为承包人拒绝继续履行合同义务，发包人有权单方面解除合同，并由承包人承担由此带来的一切损失</w:t>
      </w:r>
      <w:r>
        <w:rPr>
          <w:rFonts w:asciiTheme="minorEastAsia" w:hAnsiTheme="minorEastAsia" w:eastAsiaTheme="minorEastAsia"/>
          <w:color w:val="auto"/>
          <w:sz w:val="24"/>
          <w:szCs w:val="24"/>
          <w:highlight w:val="none"/>
        </w:rPr>
        <w:t>。</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3.3 承包人人员</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3.3.1 承包人提交项目管理机构及施工现场管理人员安排报告的期限：</w:t>
      </w:r>
      <w:r>
        <w:rPr>
          <w:rFonts w:hint="eastAsia" w:cs="仿宋_GB2312" w:asciiTheme="minorEastAsia" w:hAnsiTheme="minorEastAsia" w:eastAsiaTheme="minorEastAsia"/>
          <w:color w:val="auto"/>
          <w:sz w:val="24"/>
          <w:szCs w:val="24"/>
          <w:highlight w:val="none"/>
          <w:u w:val="single"/>
        </w:rPr>
        <w:t>与施工组织设计同步提交</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3.3.3 承包人无正当理由拒绝撤换主要施工管理人员的违约责任：</w:t>
      </w:r>
      <w:r>
        <w:rPr>
          <w:rFonts w:hint="eastAsia" w:asciiTheme="minorEastAsia" w:hAnsiTheme="minorEastAsia" w:eastAsiaTheme="minorEastAsia"/>
          <w:color w:val="auto"/>
          <w:sz w:val="24"/>
          <w:szCs w:val="24"/>
          <w:highlight w:val="none"/>
          <w:u w:val="single"/>
        </w:rPr>
        <w:t>每出现一次，违约金</w:t>
      </w:r>
      <w:r>
        <w:rPr>
          <w:rFonts w:asciiTheme="minorEastAsia" w:hAnsiTheme="minorEastAsia" w:eastAsiaTheme="minorEastAsia"/>
          <w:color w:val="auto"/>
          <w:sz w:val="24"/>
          <w:szCs w:val="24"/>
          <w:highlight w:val="none"/>
          <w:u w:val="single"/>
        </w:rPr>
        <w:t>10000元,</w:t>
      </w:r>
      <w:r>
        <w:rPr>
          <w:rFonts w:hint="eastAsia" w:asciiTheme="minorEastAsia" w:hAnsiTheme="minorEastAsia" w:eastAsiaTheme="minorEastAsia"/>
          <w:color w:val="auto"/>
          <w:sz w:val="24"/>
          <w:szCs w:val="24"/>
          <w:highlight w:val="none"/>
          <w:u w:val="single"/>
        </w:rPr>
        <w:t>且发包人有权单方面解除合同并责令承包人退场,由此产生的一切损失及后果由承包人承担</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3.3.4 承包人主要施工管理人员离开施工现场的批准要求：</w:t>
      </w:r>
      <w:r>
        <w:rPr>
          <w:rFonts w:hint="eastAsia" w:asciiTheme="minorEastAsia" w:hAnsiTheme="minorEastAsia" w:eastAsiaTheme="minorEastAsia"/>
          <w:color w:val="auto"/>
          <w:sz w:val="24"/>
          <w:szCs w:val="24"/>
          <w:highlight w:val="none"/>
          <w:u w:val="single"/>
        </w:rPr>
        <w:t>承包人主要施工管理人员离开工地需经发包人及总监理工程师同意</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3.3.5承包人擅自更换主要施工管理人员的违约责任：</w:t>
      </w:r>
      <w:r>
        <w:rPr>
          <w:rFonts w:hint="eastAsia" w:asciiTheme="minorEastAsia" w:hAnsiTheme="minorEastAsia" w:eastAsiaTheme="minorEastAsia"/>
          <w:color w:val="auto"/>
          <w:sz w:val="24"/>
          <w:szCs w:val="24"/>
          <w:highlight w:val="none"/>
          <w:u w:val="single"/>
        </w:rPr>
        <w:t>每出现一次，违约金10</w:t>
      </w:r>
      <w:r>
        <w:rPr>
          <w:rFonts w:asciiTheme="minorEastAsia" w:hAnsiTheme="minorEastAsia" w:eastAsiaTheme="minorEastAsia"/>
          <w:color w:val="auto"/>
          <w:sz w:val="24"/>
          <w:szCs w:val="24"/>
          <w:highlight w:val="none"/>
          <w:u w:val="single"/>
        </w:rPr>
        <w:t>000元,</w:t>
      </w:r>
      <w:r>
        <w:rPr>
          <w:rFonts w:hint="eastAsia" w:asciiTheme="minorEastAsia" w:hAnsiTheme="minorEastAsia" w:eastAsiaTheme="minorEastAsia"/>
          <w:color w:val="auto"/>
          <w:sz w:val="24"/>
          <w:szCs w:val="24"/>
          <w:highlight w:val="none"/>
          <w:u w:val="single"/>
        </w:rPr>
        <w:t>且发包人有权单方面解除合同并责令承包人退场,由此产生的一切损失及后果由承包人承担</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承包人主要施工管理人员擅自离开施工现场的违约责任：</w:t>
      </w:r>
      <w:r>
        <w:rPr>
          <w:rFonts w:hint="eastAsia" w:asciiTheme="minorEastAsia" w:hAnsiTheme="minorEastAsia" w:eastAsiaTheme="minorEastAsia"/>
          <w:color w:val="auto"/>
          <w:sz w:val="24"/>
          <w:szCs w:val="24"/>
          <w:highlight w:val="none"/>
          <w:u w:val="single"/>
        </w:rPr>
        <w:t>中标后投标文件所报的项目部的质量员、施工员、造价员、安全员等主要人员必须长驻现场，承包人主要施工管理人员离开工地需经发包人及总监理工程师同意，若发生主要人员的擅自离开施工现场，则视为违约，每出现一次处以5000元/次的违约金。发包人有权要求承包人撤换调整发包人认为不称职的项目部成员，新项目部主要成员人选须经发包人审核同意</w:t>
      </w:r>
      <w:r>
        <w:rPr>
          <w:rFonts w:hint="eastAsia" w:cs="仿宋_GB2312" w:asciiTheme="minorEastAsia" w:hAnsiTheme="minorEastAsia" w:eastAsiaTheme="minorEastAsia"/>
          <w:color w:val="auto"/>
          <w:sz w:val="24"/>
          <w:szCs w:val="24"/>
          <w:highlight w:val="none"/>
        </w:rPr>
        <w:t>。</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bookmarkStart w:id="97" w:name="_Toc292559364"/>
      <w:bookmarkStart w:id="98" w:name="_Toc304295523"/>
      <w:bookmarkStart w:id="99" w:name="_Toc292559869"/>
      <w:bookmarkStart w:id="100" w:name="_Toc296347158"/>
      <w:bookmarkStart w:id="101" w:name="_Toc297123492"/>
      <w:bookmarkStart w:id="102" w:name="_Toc296944498"/>
      <w:bookmarkStart w:id="103" w:name="_Toc296503159"/>
      <w:bookmarkStart w:id="104" w:name="_Toc297216151"/>
      <w:bookmarkStart w:id="105" w:name="_Toc297048345"/>
      <w:bookmarkStart w:id="106" w:name="_Toc312677988"/>
      <w:bookmarkStart w:id="107" w:name="_Toc296890987"/>
      <w:bookmarkStart w:id="108" w:name="_Toc296346660"/>
      <w:bookmarkStart w:id="109" w:name="_Toc296891199"/>
      <w:bookmarkStart w:id="110" w:name="_Toc297120459"/>
      <w:bookmarkStart w:id="111" w:name="_Toc300934945"/>
      <w:bookmarkStart w:id="112" w:name="_Toc303539102"/>
      <w:r>
        <w:rPr>
          <w:rFonts w:asciiTheme="minorEastAsia" w:hAnsiTheme="minorEastAsia" w:eastAsiaTheme="minorEastAsia"/>
          <w:color w:val="auto"/>
          <w:sz w:val="24"/>
          <w:szCs w:val="24"/>
          <w:highlight w:val="none"/>
        </w:rPr>
        <w:t>.5 分包</w:t>
      </w: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bookmarkStart w:id="113" w:name="_Toc297123493"/>
      <w:bookmarkStart w:id="114" w:name="_Toc296347159"/>
      <w:bookmarkStart w:id="115" w:name="_Toc296944499"/>
      <w:bookmarkStart w:id="116" w:name="_Toc296346661"/>
      <w:bookmarkStart w:id="117" w:name="_Toc292559365"/>
      <w:bookmarkStart w:id="118" w:name="_Toc297216152"/>
      <w:bookmarkStart w:id="119" w:name="_Toc304295524"/>
      <w:bookmarkStart w:id="120" w:name="_Toc292559870"/>
      <w:bookmarkStart w:id="121" w:name="_Toc297048346"/>
      <w:bookmarkStart w:id="122" w:name="_Toc303539103"/>
      <w:bookmarkStart w:id="123" w:name="_Toc296503160"/>
      <w:bookmarkStart w:id="124" w:name="_Toc296890988"/>
      <w:bookmarkStart w:id="125" w:name="_Toc296891200"/>
      <w:bookmarkStart w:id="126" w:name="_Toc297120460"/>
      <w:bookmarkStart w:id="127" w:name="_Toc300934946"/>
      <w:bookmarkStart w:id="128" w:name="_Toc312677989"/>
      <w:bookmarkStart w:id="129" w:name="_Toc318581158"/>
      <w:r>
        <w:rPr>
          <w:rFonts w:asciiTheme="minorEastAsia" w:hAnsiTheme="minorEastAsia" w:eastAsiaTheme="minorEastAsia"/>
          <w:color w:val="auto"/>
          <w:sz w:val="24"/>
          <w:szCs w:val="24"/>
          <w:highlight w:val="none"/>
        </w:rPr>
        <w:t>.5.1 分包的一般约定</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禁止分包的工程包括：</w:t>
      </w:r>
      <w:r>
        <w:rPr>
          <w:rFonts w:asciiTheme="minorEastAsia" w:hAnsiTheme="minorEastAsia" w:eastAsiaTheme="minorEastAsia"/>
          <w:color w:val="auto"/>
          <w:sz w:val="24"/>
          <w:szCs w:val="24"/>
          <w:highlight w:val="none"/>
          <w:u w:val="single"/>
        </w:rPr>
        <w:t xml:space="preserve">主体结构、关键性工作 </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主体结构、关键性工作的范围：</w:t>
      </w:r>
      <w:r>
        <w:rPr>
          <w:rFonts w:hint="eastAsia" w:asciiTheme="minorEastAsia" w:hAnsiTheme="minorEastAsia" w:eastAsiaTheme="minorEastAsia"/>
          <w:color w:val="auto"/>
          <w:sz w:val="24"/>
          <w:szCs w:val="24"/>
          <w:highlight w:val="none"/>
          <w:u w:val="single"/>
        </w:rPr>
        <w:t>本协议约定的所有施工内容</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Start w:id="130" w:name="_Toc300934947"/>
      <w:bookmarkStart w:id="131" w:name="_Toc296890989"/>
      <w:bookmarkStart w:id="132" w:name="_Toc303539104"/>
      <w:bookmarkStart w:id="133" w:name="_Toc296503161"/>
      <w:bookmarkStart w:id="134" w:name="_Toc296944500"/>
      <w:bookmarkStart w:id="135" w:name="_Toc304295525"/>
      <w:bookmarkStart w:id="136" w:name="_Toc297216153"/>
      <w:bookmarkStart w:id="137" w:name="_Toc297048347"/>
      <w:bookmarkStart w:id="138" w:name="_Toc296346662"/>
      <w:bookmarkStart w:id="139" w:name="_Toc296891201"/>
      <w:bookmarkStart w:id="140" w:name="_Toc297120461"/>
      <w:bookmarkStart w:id="141" w:name="_Toc297123494"/>
      <w:bookmarkStart w:id="142" w:name="_Toc296347160"/>
    </w:p>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P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3</w:t>
      </w:r>
      <w:bookmarkStart w:id="143" w:name="_Toc312677990"/>
      <w:bookmarkStart w:id="144" w:name="_Toc318581159"/>
      <w:r>
        <w:rPr>
          <w:rFonts w:asciiTheme="minorEastAsia" w:hAnsiTheme="minorEastAsia" w:eastAsiaTheme="minorEastAsia"/>
          <w:color w:val="auto"/>
          <w:sz w:val="24"/>
          <w:szCs w:val="24"/>
          <w:highlight w:val="none"/>
        </w:rPr>
        <w:t>.5.2分包的确定</w:t>
      </w:r>
    </w:p>
    <w:p>
      <w:pPr>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允许分包的专业工程包括：</w:t>
      </w:r>
      <w:r>
        <w:rPr>
          <w:rFonts w:asciiTheme="minorEastAsia" w:hAnsiTheme="minorEastAsia" w:eastAsiaTheme="minorEastAsia"/>
          <w:color w:val="auto"/>
          <w:sz w:val="24"/>
          <w:szCs w:val="24"/>
          <w:highlight w:val="none"/>
          <w:u w:val="single"/>
        </w:rPr>
        <w:t xml:space="preserve">无  </w:t>
      </w:r>
      <w:r>
        <w:rPr>
          <w:rFonts w:asciiTheme="minorEastAsia" w:hAnsiTheme="minorEastAsia" w:eastAsiaTheme="minorEastAsia"/>
          <w:color w:val="auto"/>
          <w:sz w:val="24"/>
          <w:szCs w:val="24"/>
          <w:highlight w:val="none"/>
        </w:rPr>
        <w:t>。</w:t>
      </w:r>
    </w:p>
    <w:bookmarkEnd w:id="143"/>
    <w:bookmarkEnd w:id="144"/>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3.6 工程照管与成品、半成品保护</w:t>
      </w:r>
    </w:p>
    <w:p>
      <w:pPr>
        <w:spacing w:before="120" w:after="120"/>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rPr>
        <w:t>承包人负责照管工程及工程相关的材料、工程设备的起始时间：</w:t>
      </w:r>
      <w:r>
        <w:rPr>
          <w:rFonts w:hint="eastAsia" w:asciiTheme="minorEastAsia" w:hAnsiTheme="minorEastAsia" w:eastAsiaTheme="minorEastAsia"/>
          <w:color w:val="auto"/>
          <w:kern w:val="0"/>
          <w:sz w:val="24"/>
          <w:szCs w:val="24"/>
          <w:highlight w:val="none"/>
          <w:u w:val="single"/>
        </w:rPr>
        <w:t>开工之日起至竣工验收合格之日止；设备/人员进场至验收交付使用前由承包人负责保修,无其它特殊要求的,费用由承包人承担</w:t>
      </w:r>
      <w:r>
        <w:rPr>
          <w:rFonts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rPr>
        <w:t>。</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 履约担保</w:t>
      </w:r>
    </w:p>
    <w:p>
      <w:pPr>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承包人是否提供履约担保：</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承包人提供履约担保的形式</w:t>
      </w:r>
      <w:r>
        <w:rPr>
          <w:rFonts w:hint="eastAsia" w:asciiTheme="minorEastAsia" w:hAnsiTheme="minorEastAsia" w:eastAsiaTheme="minorEastAsia"/>
          <w:color w:val="auto"/>
          <w:sz w:val="24"/>
          <w:szCs w:val="24"/>
          <w:highlight w:val="none"/>
        </w:rPr>
        <w:t>、金额及期限的</w:t>
      </w:r>
      <w:r>
        <w:rPr>
          <w:rFonts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pStyle w:val="7"/>
        <w:rPr>
          <w:rFonts w:asciiTheme="minorEastAsia" w:hAnsiTheme="minorEastAsia" w:eastAsiaTheme="minorEastAsia"/>
          <w:b w:val="0"/>
          <w:color w:val="auto"/>
          <w:sz w:val="24"/>
          <w:szCs w:val="24"/>
          <w:highlight w:val="none"/>
        </w:rPr>
      </w:pPr>
      <w:bookmarkStart w:id="145" w:name="_Toc351203636"/>
      <w:r>
        <w:rPr>
          <w:rFonts w:asciiTheme="minorEastAsia" w:hAnsiTheme="minorEastAsia" w:eastAsiaTheme="minorEastAsia"/>
          <w:b w:val="0"/>
          <w:color w:val="auto"/>
          <w:sz w:val="24"/>
          <w:szCs w:val="24"/>
          <w:highlight w:val="none"/>
        </w:rPr>
        <w:t>4</w:t>
      </w:r>
      <w:bookmarkStart w:id="146" w:name="_Toc267251413"/>
      <w:bookmarkStart w:id="147" w:name="_Toc296347161"/>
      <w:bookmarkStart w:id="148" w:name="_Toc296944501"/>
      <w:bookmarkStart w:id="149" w:name="_Toc292559366"/>
      <w:bookmarkStart w:id="150" w:name="_Toc296346663"/>
      <w:bookmarkStart w:id="151" w:name="_Toc296503162"/>
      <w:bookmarkStart w:id="152" w:name="_Toc297120462"/>
      <w:bookmarkStart w:id="153" w:name="_Toc296890990"/>
      <w:bookmarkStart w:id="154" w:name="_Toc292559871"/>
      <w:bookmarkStart w:id="155" w:name="_Toc297048348"/>
      <w:bookmarkStart w:id="156" w:name="_Toc296891202"/>
      <w:r>
        <w:rPr>
          <w:rFonts w:asciiTheme="minorEastAsia" w:hAnsiTheme="minorEastAsia" w:eastAsiaTheme="minorEastAsia"/>
          <w:b w:val="0"/>
          <w:color w:val="auto"/>
          <w:sz w:val="24"/>
          <w:szCs w:val="24"/>
          <w:highlight w:val="none"/>
        </w:rPr>
        <w:t>. 监</w:t>
      </w:r>
      <w:bookmarkEnd w:id="146"/>
      <w:bookmarkEnd w:id="147"/>
      <w:bookmarkEnd w:id="148"/>
      <w:bookmarkEnd w:id="149"/>
      <w:bookmarkEnd w:id="150"/>
      <w:bookmarkEnd w:id="151"/>
      <w:bookmarkEnd w:id="152"/>
      <w:bookmarkEnd w:id="153"/>
      <w:bookmarkEnd w:id="154"/>
      <w:bookmarkEnd w:id="155"/>
      <w:bookmarkEnd w:id="156"/>
      <w:r>
        <w:rPr>
          <w:rFonts w:asciiTheme="minorEastAsia" w:hAnsiTheme="minorEastAsia" w:eastAsiaTheme="minorEastAsia"/>
          <w:b w:val="0"/>
          <w:color w:val="auto"/>
          <w:sz w:val="24"/>
          <w:szCs w:val="24"/>
          <w:highlight w:val="none"/>
        </w:rPr>
        <w:t>理人</w:t>
      </w:r>
      <w:bookmarkEnd w:id="145"/>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4.1监理人的一般规定</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关于监理人的监理内容：</w:t>
      </w:r>
      <w:r>
        <w:rPr>
          <w:rFonts w:hint="eastAsia" w:asciiTheme="minorEastAsia" w:hAnsiTheme="minorEastAsia" w:eastAsiaTheme="minorEastAsia"/>
          <w:color w:val="auto"/>
          <w:sz w:val="24"/>
          <w:szCs w:val="24"/>
          <w:highlight w:val="none"/>
          <w:u w:val="single"/>
        </w:rPr>
        <w:t>详见监理合同</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关于监理人的监理权限：</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 xml:space="preserve">。 </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关于监理人在施工现场的办公场所、生活场所的提供和费用承担的约定：</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施工阶段的质量、造价、进度、安全进行控制，以及合同、信息管理和现场组织管理，协调各单位之间的关系等</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关于监理人在施工现场的办公场所、生活场所的提供和费用承担的约定：</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监理人现场办公场所由承包人负责提供及承担费用，食宿等生活费用由监理人自行承担。</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 监理人员</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总监理工程师：</w:t>
      </w:r>
      <w:r>
        <w:rPr>
          <w:rFonts w:asciiTheme="minorEastAsia" w:hAnsiTheme="minorEastAsia" w:eastAsiaTheme="minorEastAsia"/>
          <w:color w:val="auto"/>
          <w:sz w:val="24"/>
          <w:szCs w:val="24"/>
          <w:highlight w:val="none"/>
          <w:u w:val="single"/>
        </w:rPr>
        <w:t>   </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监理工程师执业资格证书号：</w:t>
      </w:r>
      <w:r>
        <w:rPr>
          <w:rFonts w:asciiTheme="minorEastAsia" w:hAnsiTheme="minorEastAsia" w:eastAsiaTheme="minorEastAsia"/>
          <w:color w:val="auto"/>
          <w:sz w:val="24"/>
          <w:szCs w:val="24"/>
          <w:highlight w:val="none"/>
          <w:u w:val="single"/>
        </w:rPr>
        <w:t> </w:t>
      </w:r>
      <w:r>
        <w:rPr>
          <w:rFonts w:asciiTheme="minorEastAsia" w:hAnsiTheme="minorEastAsia" w:eastAsiaTheme="minorEastAsia"/>
          <w:color w:val="auto"/>
          <w:sz w:val="24"/>
          <w:szCs w:val="24"/>
          <w:highlight w:val="none"/>
        </w:rPr>
        <w:t>；联系电话：</w:t>
      </w:r>
      <w:r>
        <w:rPr>
          <w:rFonts w:asciiTheme="minorEastAsia" w:hAnsiTheme="minorEastAsia" w:eastAsiaTheme="minorEastAsia"/>
          <w:color w:val="auto"/>
          <w:sz w:val="24"/>
          <w:szCs w:val="24"/>
          <w:highlight w:val="none"/>
          <w:u w:val="single"/>
        </w:rPr>
        <w:t>  </w:t>
      </w:r>
      <w:r>
        <w:rPr>
          <w:rFonts w:asciiTheme="minorEastAsia" w:hAnsiTheme="minorEastAsia" w:eastAsiaTheme="minorEastAsia"/>
          <w:color w:val="auto"/>
          <w:sz w:val="24"/>
          <w:szCs w:val="24"/>
          <w:highlight w:val="none"/>
        </w:rPr>
        <w:t>；</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关于监理人的其他约定：</w:t>
      </w:r>
      <w:r>
        <w:rPr>
          <w:rFonts w:hint="eastAsia" w:asciiTheme="minorEastAsia" w:hAnsiTheme="minorEastAsia" w:eastAsiaTheme="minorEastAsia"/>
          <w:color w:val="auto"/>
          <w:sz w:val="24"/>
          <w:szCs w:val="24"/>
          <w:highlight w:val="none"/>
          <w:u w:val="single"/>
        </w:rPr>
        <w:t>监理工程师经发包人书面同意后可以履行的职责：（1）工程变更（含设计变更及工程量变更）及现场签证单；（2）工期顺延及费用索赔的认可或确认；（3）承包人付款的审核及确认（含索赔）；（4）开工/停工（在紧急状态下的情况除外）/复工/竣工指令；（5）分包单位的确定；（6）材料设备价格及品牌的认定。监理工程师下达给承包人或其项目负责人的任何涉及工程造价的指示，必须得到发包人及跟踪审计的书面认可，该指示于发包人及跟踪审计批准之日起有效 。</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4.4 商定或确定</w:t>
      </w:r>
    </w:p>
    <w:p>
      <w:pPr>
        <w:ind w:firstLine="480" w:firstLineChars="200"/>
        <w:rPr>
          <w:rFonts w:asciiTheme="minorEastAsia" w:hAnsiTheme="minorEastAsia" w:eastAsiaTheme="minorEastAsia"/>
          <w:color w:val="auto"/>
          <w:sz w:val="24"/>
          <w:szCs w:val="24"/>
          <w:highlight w:val="none"/>
        </w:rPr>
      </w:pPr>
      <w:bookmarkStart w:id="157" w:name="_Toc267251418"/>
      <w:r>
        <w:rPr>
          <w:rFonts w:asciiTheme="minorEastAsia" w:hAnsiTheme="minorEastAsia" w:eastAsiaTheme="minorEastAsia"/>
          <w:color w:val="auto"/>
          <w:sz w:val="24"/>
          <w:szCs w:val="24"/>
          <w:highlight w:val="none"/>
        </w:rPr>
        <w:t>在发包人和承包人不能通过协商达成一致意见时，发包人授权监理人对以下事项进行确定：</w:t>
      </w:r>
    </w:p>
    <w:p>
      <w:pPr>
        <w:autoSpaceDE w:val="0"/>
        <w:autoSpaceDN w:val="0"/>
        <w:adjustRightInd w:val="0"/>
        <w:ind w:firstLine="480" w:firstLineChars="200"/>
        <w:jc w:val="left"/>
        <w:rPr>
          <w:rFonts w:asciiTheme="minorEastAsia" w:hAnsiTheme="minorEastAsia" w:eastAsiaTheme="minorEastAsia"/>
          <w:color w:val="auto"/>
          <w:kern w:val="0"/>
          <w:sz w:val="24"/>
          <w:szCs w:val="24"/>
          <w:highlight w:val="none"/>
        </w:rPr>
      </w:pPr>
      <w:bookmarkStart w:id="158" w:name="_Toc351203637"/>
      <w:r>
        <w:rPr>
          <w:rFonts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按合同执行</w:t>
      </w:r>
      <w:r>
        <w:rPr>
          <w:rFonts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u w:val="single"/>
        </w:rPr>
        <w:t xml:space="preserve"> 另行规定</w:t>
      </w:r>
      <w:r>
        <w:rPr>
          <w:rFonts w:asciiTheme="minorEastAsia" w:hAnsiTheme="minorEastAsia" w:eastAsiaTheme="minorEastAsia"/>
          <w:color w:val="auto"/>
          <w:sz w:val="24"/>
          <w:szCs w:val="24"/>
          <w:highlight w:val="none"/>
        </w:rPr>
        <w:t>。</w:t>
      </w:r>
    </w:p>
    <w:p>
      <w:pPr>
        <w:pStyle w:val="7"/>
        <w:rPr>
          <w:rFonts w:asciiTheme="minorEastAsia" w:hAnsiTheme="minorEastAsia" w:eastAsiaTheme="minorEastAsia"/>
          <w:b w:val="0"/>
          <w:color w:val="auto"/>
          <w:sz w:val="24"/>
          <w:szCs w:val="24"/>
          <w:highlight w:val="none"/>
        </w:rPr>
      </w:pPr>
      <w:r>
        <w:rPr>
          <w:rFonts w:asciiTheme="minorEastAsia" w:hAnsiTheme="minorEastAsia" w:eastAsiaTheme="minorEastAsia"/>
          <w:b w:val="0"/>
          <w:color w:val="auto"/>
          <w:sz w:val="24"/>
          <w:szCs w:val="24"/>
          <w:highlight w:val="none"/>
        </w:rPr>
        <w:t>5</w:t>
      </w:r>
      <w:bookmarkEnd w:id="157"/>
      <w:bookmarkStart w:id="159" w:name="_Toc297048349"/>
      <w:bookmarkStart w:id="160" w:name="_Toc296346664"/>
      <w:bookmarkStart w:id="161" w:name="_Toc292559872"/>
      <w:bookmarkStart w:id="162" w:name="_Toc297120463"/>
      <w:bookmarkStart w:id="163" w:name="_Toc296503163"/>
      <w:bookmarkStart w:id="164" w:name="_Toc292559367"/>
      <w:bookmarkStart w:id="165" w:name="_Toc296891203"/>
      <w:bookmarkStart w:id="166" w:name="_Toc296944502"/>
      <w:bookmarkStart w:id="167" w:name="_Toc296890991"/>
      <w:bookmarkStart w:id="168" w:name="_Toc296347162"/>
      <w:r>
        <w:rPr>
          <w:rFonts w:asciiTheme="minorEastAsia" w:hAnsiTheme="minorEastAsia" w:eastAsiaTheme="minorEastAsia"/>
          <w:b w:val="0"/>
          <w:color w:val="auto"/>
          <w:sz w:val="24"/>
          <w:szCs w:val="24"/>
          <w:highlight w:val="none"/>
        </w:rPr>
        <w:t>. 工程质量</w:t>
      </w:r>
      <w:bookmarkEnd w:id="158"/>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5.1 质量要求</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w:t>
      </w:r>
      <w:bookmarkStart w:id="169" w:name="_Toc297123496"/>
      <w:bookmarkStart w:id="170" w:name="_Toc312677997"/>
      <w:bookmarkStart w:id="171" w:name="_Toc300934949"/>
      <w:bookmarkStart w:id="172" w:name="_Toc303539106"/>
      <w:bookmarkStart w:id="173" w:name="_Toc318581164"/>
      <w:bookmarkStart w:id="174" w:name="_Toc304295527"/>
      <w:bookmarkStart w:id="175" w:name="_Toc297216155"/>
      <w:r>
        <w:rPr>
          <w:rFonts w:asciiTheme="minorEastAsia" w:hAnsiTheme="minorEastAsia" w:eastAsiaTheme="minorEastAsia"/>
          <w:color w:val="auto"/>
          <w:sz w:val="24"/>
          <w:szCs w:val="24"/>
          <w:highlight w:val="none"/>
        </w:rPr>
        <w:t>.1.1 特殊质量标准和要求：</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合格</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关于工程奖项的约定：</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5.3 隐蔽工程检查</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5.3.2承包人提前通知监理人隐蔽工程检查的期限的约定：</w:t>
      </w:r>
      <w:r>
        <w:rPr>
          <w:rFonts w:hint="eastAsia" w:asciiTheme="minorEastAsia" w:hAnsiTheme="minorEastAsia" w:eastAsiaTheme="minorEastAsia"/>
          <w:color w:val="auto"/>
          <w:sz w:val="24"/>
          <w:szCs w:val="24"/>
          <w:highlight w:val="none"/>
          <w:u w:val="single"/>
        </w:rPr>
        <w:t>执行通用合同条款：应在共同检查前48小时。监理人不能按时进行检查时，应提前24小时提交书面延期要求。关于延期最长不得超过：48小时</w:t>
      </w:r>
      <w:r>
        <w:rPr>
          <w:rFonts w:asciiTheme="minorEastAsia" w:hAnsiTheme="minorEastAsia" w:eastAsiaTheme="minorEastAsia"/>
          <w:color w:val="auto"/>
          <w:sz w:val="24"/>
          <w:szCs w:val="24"/>
          <w:highlight w:val="none"/>
        </w:rPr>
        <w:t>。</w:t>
      </w:r>
    </w:p>
    <w:p>
      <w:pPr>
        <w:pStyle w:val="7"/>
        <w:rPr>
          <w:rFonts w:asciiTheme="minorEastAsia" w:hAnsiTheme="minorEastAsia" w:eastAsiaTheme="minorEastAsia"/>
          <w:b w:val="0"/>
          <w:color w:val="auto"/>
          <w:sz w:val="24"/>
          <w:szCs w:val="24"/>
          <w:highlight w:val="none"/>
        </w:rPr>
      </w:pPr>
      <w:bookmarkStart w:id="176" w:name="_Toc351203638"/>
      <w:r>
        <w:rPr>
          <w:rFonts w:asciiTheme="minorEastAsia" w:hAnsiTheme="minorEastAsia" w:eastAsiaTheme="minorEastAsia"/>
          <w:b w:val="0"/>
          <w:color w:val="auto"/>
          <w:sz w:val="24"/>
          <w:szCs w:val="24"/>
          <w:highlight w:val="none"/>
        </w:rPr>
        <w:t>6. 安全文明施工与环境保护</w:t>
      </w:r>
      <w:bookmarkEnd w:id="176"/>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6.1安全文明施工</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6.1.1 项目安全生产的达标目标及相应事项的约定：</w:t>
      </w:r>
      <w:r>
        <w:rPr>
          <w:rFonts w:hint="eastAsia" w:asciiTheme="minorEastAsia" w:hAnsiTheme="minorEastAsia" w:eastAsiaTheme="minorEastAsia"/>
          <w:color w:val="auto"/>
          <w:sz w:val="24"/>
          <w:szCs w:val="24"/>
          <w:highlight w:val="none"/>
          <w:u w:val="single"/>
        </w:rPr>
        <w:t>（1）承包人必须按照规定的标准实行安全文明施工管理，对施工现场的安全施工负责。按安全标准组织施工，根据现场情况采取必要的安全防护措施，全面负责施工现场的安全及第三方人身安全，加强安全教育，坚决杜绝安全事故的发生，并承担一切责任。每发生一起一般安全事故，承包人除赔偿全部损失以外，发包人可以按违约责任给予承包人一次性经济处罚10000元；如发生较大、重大等大安全事故，按相关法律法规执行。承包人对发包人提出的安全整改意见不及时整改的，发包人按5000元/次处罚承包人。（2）承包人必须建立和执行防火管理制度。在火灾易发地区(木工房等)施工或储存使用易燃器材时,应采取特殊消防安全措施,现场严禁吸烟。（3）施工现场的通道、消防出入口、紧急疏散处等均应有明显标志或指示牌。有高度限制的地点应有限高标志，各种车辆进入施工现场，必须服从发包人的统一管理和遵守有关规定，否则发包人将按照有关规定给予处罚。（4）现场的食堂卫生安全、饮水设施安全可靠。（5）施工现场临时用电安全参照JGJ46—2005规范执行。（5）承包人对安全生产负全责，与发包人另签《安全生产合同》</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6.1.4 关于治安保卫的特别约定：</w:t>
      </w:r>
      <w:r>
        <w:rPr>
          <w:rFonts w:hint="eastAsia" w:asciiTheme="minorEastAsia" w:hAnsiTheme="minorEastAsia" w:eastAsiaTheme="minorEastAsia"/>
          <w:color w:val="auto"/>
          <w:sz w:val="24"/>
          <w:szCs w:val="24"/>
          <w:highlight w:val="none"/>
          <w:u w:val="single"/>
        </w:rPr>
        <w:t>现场采取必要的安全保卫措施，出入口设置门卫室，专人管理，严禁无关人员进入施工进场，外来人员、车辆做好登记。施工现场的主要管理人员在施工现场应当佩戴证明其身份的证卡,其它现场施工人员宜有标识</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关于编制施工场地治安管理计划的约定：</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在开工前提交的施工组织设计中必须含有此部分内容</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6.1.5 文明施工</w:t>
      </w:r>
    </w:p>
    <w:p>
      <w:pPr>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合同当事人对文明施工的要求：</w:t>
      </w:r>
      <w:r>
        <w:rPr>
          <w:rFonts w:hint="eastAsia" w:asciiTheme="minorEastAsia" w:hAnsiTheme="minorEastAsia" w:eastAsiaTheme="minorEastAsia"/>
          <w:color w:val="auto"/>
          <w:sz w:val="24"/>
          <w:szCs w:val="24"/>
          <w:highlight w:val="none"/>
          <w:u w:val="single"/>
        </w:rPr>
        <w:t>一是施工前，必须仔细核对地下管线图，并用电子仪器等先进设备对现状管线进行复测，人工挖探沟，摸清地下管线的具体位置和深度，在施工前与相关管线单位取得联系，做好地下管线交底工作，并要求巡线员进驻施工现场，查明管线主要阀门，以便应急处置；二是承包人无偿保护施工场地周围地下管线和邻近建筑物、构筑物(含文物保护建筑)、古树名木,因承包人的责任造成财产和人身的损失，费用按实赔偿；三是施工人员应按岗位着装要求着装，工作服要求干净、整洁；四是施工人员应服从公司相关管理人员的统一安排、管理、应服从物业、治安保工作人员的监督、管理；五是严格遵守施工现场管理规定及其他管理规定和办法 。</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6.1.6 关于安全文明施工费支付比例和支付期限的约定：</w:t>
      </w:r>
      <w:r>
        <w:rPr>
          <w:rFonts w:hint="eastAsia" w:asciiTheme="minorEastAsia" w:hAnsiTheme="minorEastAsia" w:eastAsiaTheme="minorEastAsia"/>
          <w:color w:val="auto"/>
          <w:sz w:val="24"/>
          <w:szCs w:val="24"/>
          <w:highlight w:val="none"/>
          <w:u w:val="single"/>
        </w:rPr>
        <w:t>安全文明施工措施费用在项目办理开工安全生产条件审查前需支付其总费用的60%，余额在本工程结算审计后与进度款同步支付。施工过程中不按安全文明规范标准施工，不符合安全文明标化施工要求造成的所有损失由承包人自行负责，发包人不承担任何责任，各种材料及建筑垃圾需堆放至指定地点、采取防扬尘措施</w:t>
      </w:r>
      <w:r>
        <w:rPr>
          <w:rFonts w:asciiTheme="minorEastAsia" w:hAnsiTheme="minorEastAsia" w:eastAsiaTheme="minorEastAsia"/>
          <w:color w:val="auto"/>
          <w:sz w:val="24"/>
          <w:szCs w:val="24"/>
          <w:highlight w:val="none"/>
        </w:rPr>
        <w:t>。</w:t>
      </w:r>
    </w:p>
    <w:p>
      <w:pPr>
        <w:ind w:firstLine="480" w:firstLineChars="200"/>
        <w:outlineLvl w:val="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6.1.7环境保护</w:t>
      </w:r>
    </w:p>
    <w:p>
      <w:pPr>
        <w:ind w:firstLine="480" w:firstLineChars="200"/>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工程施工期间,应控制噪声对周围环境的影响,承包人必须满足国家、省市的有关法规要求,必须符合《建筑施工场界噪声限值》(GB12523-90)和《城市区域环境震动标准》(GB10070-88)的要求，按规定自行办理涉及施工场地交通、施工噪音以及环境保护和安全生产等相关手续，并承担相应手续费用。施工现场在保证安全的前提下,按照标准化现场施工要求,保持场内、场外、交通进出口的安全。保证场内场外相邻道路的畅通，做好安全防护及交通输导工作，减少扬尘和噪音干扰，做好场内外场地保洁工作，做好防尘降尘工作，扬尘管控须符合南京市扬尘管控相关要求。</w:t>
      </w:r>
    </w:p>
    <w:bookmarkEnd w:id="169"/>
    <w:bookmarkEnd w:id="170"/>
    <w:bookmarkEnd w:id="171"/>
    <w:bookmarkEnd w:id="172"/>
    <w:bookmarkEnd w:id="173"/>
    <w:bookmarkEnd w:id="174"/>
    <w:bookmarkEnd w:id="175"/>
    <w:p>
      <w:pPr>
        <w:pStyle w:val="7"/>
        <w:rPr>
          <w:rFonts w:asciiTheme="minorEastAsia" w:hAnsiTheme="minorEastAsia" w:eastAsiaTheme="minorEastAsia"/>
          <w:b w:val="0"/>
          <w:color w:val="auto"/>
          <w:sz w:val="24"/>
          <w:szCs w:val="24"/>
          <w:highlight w:val="none"/>
        </w:rPr>
      </w:pPr>
      <w:bookmarkStart w:id="177" w:name="_Toc351203639"/>
      <w:r>
        <w:rPr>
          <w:rFonts w:asciiTheme="minorEastAsia" w:hAnsiTheme="minorEastAsia" w:eastAsiaTheme="minorEastAsia"/>
          <w:b w:val="0"/>
          <w:color w:val="auto"/>
          <w:sz w:val="24"/>
          <w:szCs w:val="24"/>
          <w:highlight w:val="none"/>
        </w:rPr>
        <w:t>7. 工期和进度</w:t>
      </w:r>
      <w:bookmarkEnd w:id="177"/>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7.1 施工组织设计</w:t>
      </w:r>
    </w:p>
    <w:p>
      <w:pPr>
        <w:autoSpaceDE w:val="0"/>
        <w:autoSpaceDN w:val="0"/>
        <w:adjustRightInd w:val="0"/>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sz w:val="24"/>
          <w:szCs w:val="24"/>
          <w:highlight w:val="none"/>
        </w:rPr>
        <w:t>7.1.</w:t>
      </w:r>
      <w:r>
        <w:rPr>
          <w:rFonts w:hint="eastAsia" w:asciiTheme="minorEastAsia" w:hAnsiTheme="minorEastAsia" w:eastAsiaTheme="minorEastAsia"/>
          <w:color w:val="auto"/>
          <w:sz w:val="24"/>
          <w:szCs w:val="24"/>
          <w:highlight w:val="none"/>
        </w:rPr>
        <w:t>1 合</w:t>
      </w:r>
      <w:r>
        <w:rPr>
          <w:rFonts w:hint="eastAsia" w:asciiTheme="minorEastAsia" w:hAnsiTheme="minorEastAsia" w:eastAsiaTheme="minorEastAsia"/>
          <w:color w:val="auto"/>
          <w:kern w:val="0"/>
          <w:sz w:val="24"/>
          <w:szCs w:val="24"/>
          <w:highlight w:val="none"/>
        </w:rPr>
        <w:t>同当事人约定的</w:t>
      </w:r>
      <w:r>
        <w:rPr>
          <w:rFonts w:asciiTheme="minorEastAsia" w:hAnsiTheme="minorEastAsia" w:eastAsiaTheme="minorEastAsia"/>
          <w:color w:val="auto"/>
          <w:kern w:val="0"/>
          <w:sz w:val="24"/>
          <w:szCs w:val="24"/>
          <w:highlight w:val="none"/>
        </w:rPr>
        <w:t>施工组织设计</w:t>
      </w:r>
      <w:r>
        <w:rPr>
          <w:rFonts w:hint="eastAsia" w:asciiTheme="minorEastAsia" w:hAnsiTheme="minorEastAsia" w:eastAsiaTheme="minorEastAsia"/>
          <w:color w:val="auto"/>
          <w:kern w:val="0"/>
          <w:sz w:val="24"/>
          <w:szCs w:val="24"/>
          <w:highlight w:val="none"/>
        </w:rPr>
        <w:t>应包括的其他内容</w:t>
      </w:r>
      <w:r>
        <w:rPr>
          <w:rFonts w:asciiTheme="minorEastAsia" w:hAnsiTheme="minorEastAsia" w:eastAsiaTheme="minorEastAsia"/>
          <w:color w:val="auto"/>
          <w:kern w:val="0"/>
          <w:sz w:val="24"/>
          <w:szCs w:val="24"/>
          <w:highlight w:val="none"/>
        </w:rPr>
        <w:t>：</w:t>
      </w:r>
      <w:r>
        <w:rPr>
          <w:rFonts w:hint="eastAsia" w:asciiTheme="minorEastAsia" w:hAnsiTheme="minorEastAsia" w:eastAsiaTheme="minorEastAsia"/>
          <w:color w:val="auto"/>
          <w:kern w:val="0"/>
          <w:sz w:val="24"/>
          <w:szCs w:val="24"/>
          <w:highlight w:val="none"/>
          <w:u w:val="single"/>
        </w:rPr>
        <w:t>(1)施工方案；(2)施工现场平面布置图；(3)施工进度计划和保证措施；(4)劳动力及材料供应计划；(5)施工机械设备的选用；(6)质量保证体系及措施；(7)安全生产、文明施工措施；(8)环境保护、成本控制措施；(9)</w:t>
      </w:r>
      <w:r>
        <w:rPr>
          <w:rFonts w:hint="eastAsia" w:asciiTheme="minorEastAsia" w:hAnsiTheme="minorEastAsia" w:eastAsiaTheme="minorEastAsia"/>
          <w:color w:val="auto"/>
          <w:sz w:val="24"/>
          <w:szCs w:val="24"/>
          <w:highlight w:val="none"/>
          <w:u w:val="single"/>
        </w:rPr>
        <w:t>现状树木、古树名木、地下管线及邻近建筑物、构筑物（含文物保护建筑）保护方案</w:t>
      </w:r>
      <w:r>
        <w:rPr>
          <w:rFonts w:hint="eastAsia"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sz w:val="24"/>
          <w:szCs w:val="24"/>
          <w:highlight w:val="none"/>
          <w:u w:val="single"/>
        </w:rPr>
        <w:t>(10)</w:t>
      </w:r>
      <w:r>
        <w:rPr>
          <w:rFonts w:hint="eastAsia" w:asciiTheme="minorEastAsia" w:hAnsiTheme="minorEastAsia" w:eastAsiaTheme="minorEastAsia"/>
          <w:color w:val="auto"/>
          <w:kern w:val="0"/>
          <w:sz w:val="24"/>
          <w:szCs w:val="24"/>
          <w:highlight w:val="none"/>
          <w:u w:val="single"/>
        </w:rPr>
        <w:t>其他。</w:t>
      </w:r>
    </w:p>
    <w:p>
      <w:pPr>
        <w:autoSpaceDE w:val="0"/>
        <w:autoSpaceDN w:val="0"/>
        <w:adjustRightInd w:val="0"/>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sz w:val="24"/>
          <w:szCs w:val="24"/>
          <w:highlight w:val="none"/>
        </w:rPr>
        <w:t xml:space="preserve">7.1.2 </w:t>
      </w:r>
      <w:r>
        <w:rPr>
          <w:rFonts w:asciiTheme="minorEastAsia" w:hAnsiTheme="minorEastAsia" w:eastAsiaTheme="minorEastAsia"/>
          <w:color w:val="auto"/>
          <w:kern w:val="0"/>
          <w:sz w:val="24"/>
          <w:szCs w:val="24"/>
          <w:highlight w:val="none"/>
        </w:rPr>
        <w:t>施工组织设计的提交和修改</w:t>
      </w:r>
    </w:p>
    <w:p>
      <w:pPr>
        <w:autoSpaceDE w:val="0"/>
        <w:autoSpaceDN w:val="0"/>
        <w:adjustRightInd w:val="0"/>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kern w:val="0"/>
          <w:sz w:val="24"/>
          <w:szCs w:val="24"/>
          <w:highlight w:val="none"/>
        </w:rPr>
        <w:t>承包人提交详细施工组织设计的期限的约定：</w:t>
      </w:r>
      <w:r>
        <w:rPr>
          <w:rFonts w:hint="eastAsia" w:asciiTheme="minorEastAsia" w:hAnsiTheme="minorEastAsia" w:eastAsiaTheme="minorEastAsia"/>
          <w:color w:val="auto"/>
          <w:sz w:val="24"/>
          <w:szCs w:val="24"/>
          <w:highlight w:val="none"/>
          <w:u w:val="single"/>
        </w:rPr>
        <w:t>合同签订后7天内</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发包人和监理人在收到</w:t>
      </w:r>
      <w:r>
        <w:rPr>
          <w:rFonts w:hint="eastAsia" w:asciiTheme="minorEastAsia" w:hAnsiTheme="minorEastAsia" w:eastAsiaTheme="minorEastAsia"/>
          <w:color w:val="auto"/>
          <w:sz w:val="24"/>
          <w:szCs w:val="24"/>
          <w:highlight w:val="none"/>
        </w:rPr>
        <w:t>详细的施工组织设计</w:t>
      </w:r>
      <w:r>
        <w:rPr>
          <w:rFonts w:asciiTheme="minorEastAsia" w:hAnsiTheme="minorEastAsia" w:eastAsiaTheme="minorEastAsia"/>
          <w:color w:val="auto"/>
          <w:sz w:val="24"/>
          <w:szCs w:val="24"/>
          <w:highlight w:val="none"/>
        </w:rPr>
        <w:t>后确认或提出修改意见的期限：</w:t>
      </w:r>
      <w:r>
        <w:rPr>
          <w:rFonts w:hint="eastAsia" w:asciiTheme="minorEastAsia" w:hAnsiTheme="minorEastAsia" w:eastAsiaTheme="minorEastAsia"/>
          <w:color w:val="auto"/>
          <w:sz w:val="24"/>
          <w:szCs w:val="24"/>
          <w:highlight w:val="none"/>
          <w:u w:val="single"/>
        </w:rPr>
        <w:t>收到资料后3日内</w:t>
      </w:r>
      <w:r>
        <w:rPr>
          <w:rFonts w:asciiTheme="minorEastAsia" w:hAnsiTheme="minorEastAsia" w:eastAsiaTheme="minorEastAsia"/>
          <w:color w:val="auto"/>
          <w:sz w:val="24"/>
          <w:szCs w:val="24"/>
          <w:highlight w:val="none"/>
        </w:rPr>
        <w:t>。</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w:t>
      </w:r>
      <w:bookmarkStart w:id="178" w:name="_Toc297123514"/>
      <w:bookmarkStart w:id="179" w:name="_Toc312677479"/>
      <w:bookmarkStart w:id="180" w:name="_Toc297216173"/>
      <w:bookmarkStart w:id="181" w:name="_Toc304295541"/>
      <w:bookmarkStart w:id="182" w:name="_Toc312678005"/>
      <w:bookmarkStart w:id="183" w:name="_Toc303539123"/>
      <w:bookmarkStart w:id="184" w:name="_Toc300934966"/>
      <w:r>
        <w:rPr>
          <w:rFonts w:asciiTheme="minorEastAsia" w:hAnsiTheme="minorEastAsia" w:eastAsiaTheme="minorEastAsia"/>
          <w:color w:val="auto"/>
          <w:sz w:val="24"/>
          <w:szCs w:val="24"/>
          <w:highlight w:val="none"/>
        </w:rPr>
        <w:t>.2 施工进度计划</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7.2.2 施工进度计划的修订</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发包人和监理人在收到修订的施工进度计划后确认或提出修改意见的期限：</w:t>
      </w:r>
      <w:r>
        <w:rPr>
          <w:rFonts w:hint="eastAsia" w:asciiTheme="minorEastAsia" w:hAnsiTheme="minorEastAsia" w:eastAsiaTheme="minorEastAsia"/>
          <w:color w:val="auto"/>
          <w:sz w:val="24"/>
          <w:szCs w:val="24"/>
          <w:highlight w:val="none"/>
          <w:u w:val="single"/>
        </w:rPr>
        <w:t>收到资料后3日内</w:t>
      </w:r>
      <w:r>
        <w:rPr>
          <w:rFonts w:asciiTheme="minorEastAsia" w:hAnsiTheme="minorEastAsia" w:eastAsiaTheme="minorEastAsia"/>
          <w:color w:val="auto"/>
          <w:sz w:val="24"/>
          <w:szCs w:val="24"/>
          <w:highlight w:val="none"/>
        </w:rPr>
        <w:t>。</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7.3 开工</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7.3.1 开工准备</w:t>
      </w:r>
    </w:p>
    <w:p>
      <w:pPr>
        <w:ind w:firstLine="480" w:firstLineChars="2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关于承包人提交</w:t>
      </w:r>
      <w:r>
        <w:rPr>
          <w:rFonts w:asciiTheme="minorEastAsia" w:hAnsiTheme="minorEastAsia" w:eastAsiaTheme="minorEastAsia"/>
          <w:color w:val="auto"/>
          <w:kern w:val="0"/>
          <w:sz w:val="24"/>
          <w:szCs w:val="24"/>
          <w:highlight w:val="none"/>
        </w:rPr>
        <w:t>工程开工报审表的期限：</w:t>
      </w:r>
      <w:r>
        <w:rPr>
          <w:rFonts w:hint="eastAsia" w:asciiTheme="minorEastAsia" w:hAnsiTheme="minorEastAsia" w:eastAsiaTheme="minorEastAsia"/>
          <w:color w:val="auto"/>
          <w:sz w:val="24"/>
          <w:szCs w:val="24"/>
          <w:highlight w:val="none"/>
          <w:u w:val="single"/>
        </w:rPr>
        <w:t>合同签订后10日内</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关于发包人应完成的其他开工准备工作及期限：</w:t>
      </w:r>
      <w:r>
        <w:rPr>
          <w:rFonts w:hint="eastAsia" w:asciiTheme="minorEastAsia" w:hAnsiTheme="minorEastAsia" w:eastAsiaTheme="minorEastAsia"/>
          <w:color w:val="auto"/>
          <w:sz w:val="24"/>
          <w:szCs w:val="24"/>
          <w:highlight w:val="none"/>
          <w:u w:val="single"/>
        </w:rPr>
        <w:t>协商确定</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关于承包人应完成的其他开工准备工作及期限：</w:t>
      </w:r>
      <w:r>
        <w:rPr>
          <w:rFonts w:hint="eastAsia" w:cs="仿宋_GB2312" w:asciiTheme="minorEastAsia" w:hAnsiTheme="minorEastAsia" w:eastAsiaTheme="minorEastAsia"/>
          <w:color w:val="auto"/>
          <w:sz w:val="24"/>
          <w:szCs w:val="24"/>
          <w:highlight w:val="none"/>
          <w:u w:val="single"/>
        </w:rPr>
        <w:t>临时设施搭建、材料、设备、人员等，合同签订后7日</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7.3.2开工通知</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因发包人原因造成监理人未能在计划开工日期之日起</w:t>
      </w:r>
      <w:r>
        <w:rPr>
          <w:rFonts w:asciiTheme="minorEastAsia" w:hAnsiTheme="minorEastAsia" w:eastAsiaTheme="minorEastAsia"/>
          <w:color w:val="auto"/>
          <w:sz w:val="24"/>
          <w:szCs w:val="24"/>
          <w:highlight w:val="none"/>
          <w:u w:val="single"/>
        </w:rPr>
        <w:t xml:space="preserve"> </w:t>
      </w:r>
      <w:r>
        <w:rPr>
          <w:rFonts w:hint="eastAsia" w:cs="仿宋_GB2312" w:asciiTheme="minorEastAsia" w:hAnsiTheme="minorEastAsia" w:eastAsiaTheme="minorEastAsia"/>
          <w:color w:val="auto"/>
          <w:sz w:val="24"/>
          <w:szCs w:val="24"/>
          <w:highlight w:val="none"/>
          <w:u w:val="single"/>
        </w:rPr>
        <w:t>按通用条款执行</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天内发出开工通知的，承包人有权提出价格调整要求，或者解除合同。</w:t>
      </w:r>
    </w:p>
    <w:bookmarkEnd w:id="178"/>
    <w:bookmarkEnd w:id="179"/>
    <w:bookmarkEnd w:id="180"/>
    <w:bookmarkEnd w:id="181"/>
    <w:bookmarkEnd w:id="182"/>
    <w:bookmarkEnd w:id="183"/>
    <w:bookmarkEnd w:id="184"/>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7.4 测量放线</w:t>
      </w:r>
    </w:p>
    <w:p>
      <w:pPr>
        <w:ind w:firstLine="480" w:firstLineChars="2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7.4.1发包人通过监理人向承包人提供测量基准点、基准线和水准点及其书面资料的期限：</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开工前</w:t>
      </w:r>
      <w:r>
        <w:rPr>
          <w:rFonts w:asciiTheme="minorEastAsia" w:hAnsiTheme="minorEastAsia" w:eastAsiaTheme="minorEastAsia"/>
          <w:color w:val="auto"/>
          <w:sz w:val="24"/>
          <w:szCs w:val="24"/>
          <w:highlight w:val="none"/>
          <w:u w:val="single"/>
        </w:rPr>
        <w:t>3天</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w:t>
      </w:r>
      <w:bookmarkStart w:id="185" w:name="_Toc304295546"/>
      <w:bookmarkStart w:id="186" w:name="_Toc297123516"/>
      <w:bookmarkStart w:id="187" w:name="_Toc312678010"/>
      <w:bookmarkStart w:id="188" w:name="_Toc312677484"/>
      <w:bookmarkStart w:id="189" w:name="_Toc300934968"/>
      <w:bookmarkStart w:id="190" w:name="_Toc297216175"/>
      <w:bookmarkStart w:id="191" w:name="_Toc303539125"/>
      <w:r>
        <w:rPr>
          <w:rFonts w:asciiTheme="minorEastAsia" w:hAnsiTheme="minorEastAsia" w:eastAsiaTheme="minorEastAsia"/>
          <w:color w:val="auto"/>
          <w:sz w:val="24"/>
          <w:szCs w:val="24"/>
          <w:highlight w:val="none"/>
        </w:rPr>
        <w:t>.5 工期延误</w:t>
      </w:r>
    </w:p>
    <w:bookmarkEnd w:id="185"/>
    <w:bookmarkEnd w:id="186"/>
    <w:bookmarkEnd w:id="187"/>
    <w:bookmarkEnd w:id="188"/>
    <w:bookmarkEnd w:id="189"/>
    <w:bookmarkEnd w:id="190"/>
    <w:bookmarkEnd w:id="191"/>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7.5.1 因发包人原因导致工期延误</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（7）因发包人原因导致工期延误的其他情形：</w:t>
      </w:r>
      <w:r>
        <w:rPr>
          <w:rFonts w:hint="eastAsia" w:asciiTheme="minorEastAsia" w:hAnsiTheme="minorEastAsia" w:eastAsiaTheme="minorEastAsia"/>
          <w:color w:val="auto"/>
          <w:sz w:val="24"/>
          <w:szCs w:val="24"/>
          <w:highlight w:val="none"/>
          <w:u w:val="single"/>
        </w:rPr>
        <w:t>按通用条款执行</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w:t>
      </w:r>
      <w:bookmarkStart w:id="192" w:name="_Toc297123518"/>
      <w:bookmarkStart w:id="193" w:name="_Toc304295548"/>
      <w:bookmarkStart w:id="194" w:name="_Toc300934970"/>
      <w:bookmarkStart w:id="195" w:name="_Toc303539127"/>
      <w:bookmarkStart w:id="196" w:name="_Toc312678012"/>
      <w:bookmarkStart w:id="197" w:name="_Toc297216177"/>
      <w:bookmarkStart w:id="198" w:name="_Toc318581169"/>
      <w:bookmarkStart w:id="199" w:name="_Toc312677486"/>
      <w:r>
        <w:rPr>
          <w:rFonts w:asciiTheme="minorEastAsia" w:hAnsiTheme="minorEastAsia" w:eastAsiaTheme="minorEastAsia"/>
          <w:color w:val="auto"/>
          <w:sz w:val="24"/>
          <w:szCs w:val="24"/>
          <w:highlight w:val="none"/>
        </w:rPr>
        <w:t>.5.2 因承包人原因导致工期延误</w:t>
      </w:r>
    </w:p>
    <w:bookmarkEnd w:id="192"/>
    <w:bookmarkEnd w:id="193"/>
    <w:bookmarkEnd w:id="194"/>
    <w:bookmarkEnd w:id="195"/>
    <w:bookmarkEnd w:id="196"/>
    <w:bookmarkEnd w:id="197"/>
    <w:bookmarkEnd w:id="198"/>
    <w:bookmarkEnd w:id="199"/>
    <w:p>
      <w:pPr>
        <w:ind w:firstLine="480" w:firstLineChars="200"/>
        <w:jc w:val="left"/>
        <w:rPr>
          <w:rFonts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因</w:t>
      </w:r>
      <w:bookmarkStart w:id="200" w:name="_Toc312678013"/>
      <w:bookmarkStart w:id="201" w:name="_Toc312677487"/>
      <w:bookmarkStart w:id="202" w:name="_Toc318581170"/>
      <w:r>
        <w:rPr>
          <w:rFonts w:hint="eastAsia" w:cs="仿宋_GB2312" w:asciiTheme="minorEastAsia" w:hAnsiTheme="minorEastAsia" w:eastAsiaTheme="minorEastAsia"/>
          <w:color w:val="auto"/>
          <w:sz w:val="24"/>
          <w:szCs w:val="24"/>
          <w:highlight w:val="none"/>
        </w:rPr>
        <w:t>承包人原因造成工期延误，逾期竣工违约金的计算方法为：</w:t>
      </w:r>
      <w:r>
        <w:rPr>
          <w:rFonts w:hint="eastAsia" w:cs="仿宋_GB2312" w:asciiTheme="minorEastAsia" w:hAnsiTheme="minorEastAsia" w:eastAsiaTheme="minorEastAsia"/>
          <w:color w:val="auto"/>
          <w:sz w:val="24"/>
          <w:szCs w:val="24"/>
          <w:highlight w:val="none"/>
          <w:u w:val="single"/>
        </w:rPr>
        <w:t>因承包方原因造成不能按合同工期完成, 承包方应承担违约责任,并向发包方支付违约金,</w:t>
      </w:r>
      <w:r>
        <w:rPr>
          <w:rFonts w:hint="eastAsia" w:cs="仿宋_GB2312" w:asciiTheme="minorEastAsia" w:hAnsiTheme="minorEastAsia" w:eastAsiaTheme="minorEastAsia"/>
          <w:color w:val="auto"/>
          <w:kern w:val="0"/>
          <w:sz w:val="24"/>
          <w:szCs w:val="24"/>
          <w:highlight w:val="none"/>
          <w:u w:val="single"/>
        </w:rPr>
        <w:t xml:space="preserve"> 工期每延误一天违约金5000元</w:t>
      </w:r>
      <w:r>
        <w:rPr>
          <w:rFonts w:hint="eastAsia" w:cs="仿宋_GB2312" w:asciiTheme="minorEastAsia" w:hAnsiTheme="minorEastAsia" w:eastAsiaTheme="minorEastAsia"/>
          <w:color w:val="auto"/>
          <w:sz w:val="24"/>
          <w:szCs w:val="24"/>
          <w:highlight w:val="none"/>
          <w:u w:val="single"/>
        </w:rPr>
        <w:t>。发包方可从应向承包方支付的任何款项中扣除此违约金,此违约金的支付并不能解除承包方完成工程的责任和合同规定的其它责任。如工期拖延超过15天以上或施工过程中承包方在监理和发包方合理要求下不按要求增加施工机械和人员的，发包方有权另行安排具有相应资质的单位进行剩余工程的施工，增加的费用由承包方承担</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bookmarkEnd w:id="200"/>
      <w:bookmarkEnd w:id="201"/>
    </w:p>
    <w:p>
      <w:pPr>
        <w:ind w:firstLine="480" w:firstLineChars="200"/>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在工程施工过程中，若出现后续图纸或设计变更资料的交付时间可能影响工程进度时，承包人应立即通知发包人及监理工程师，通知应包括所需的图纸或指令、需要的理由和时间、承包人的通知应在该项内容实施前合理的时间内提出，否则造成工期延误由承包人负责。</w:t>
      </w:r>
    </w:p>
    <w:bookmarkEnd w:id="202"/>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因承包人原因造成工期延误，逾</w:t>
      </w:r>
      <w:bookmarkStart w:id="203" w:name="_Toc312678014"/>
      <w:bookmarkStart w:id="204" w:name="_Toc318581171"/>
      <w:r>
        <w:rPr>
          <w:rFonts w:asciiTheme="minorEastAsia" w:hAnsiTheme="minorEastAsia" w:eastAsiaTheme="minorEastAsia"/>
          <w:color w:val="auto"/>
          <w:sz w:val="24"/>
          <w:szCs w:val="24"/>
          <w:highlight w:val="none"/>
        </w:rPr>
        <w:t>期竣工违约金的上限：</w:t>
      </w:r>
      <w:r>
        <w:rPr>
          <w:rFonts w:hint="eastAsia" w:asciiTheme="minorEastAsia" w:hAnsiTheme="minorEastAsia" w:eastAsiaTheme="minorEastAsia"/>
          <w:color w:val="auto"/>
          <w:sz w:val="24"/>
          <w:szCs w:val="24"/>
          <w:highlight w:val="none"/>
          <w:u w:val="single"/>
        </w:rPr>
        <w:t>合同价款的</w:t>
      </w:r>
      <w:r>
        <w:rPr>
          <w:rFonts w:asciiTheme="minorEastAsia" w:hAnsiTheme="minorEastAsia" w:eastAsiaTheme="minorEastAsia"/>
          <w:color w:val="auto"/>
          <w:sz w:val="24"/>
          <w:szCs w:val="24"/>
          <w:highlight w:val="none"/>
          <w:u w:val="single"/>
        </w:rPr>
        <w:t xml:space="preserve">10% </w:t>
      </w:r>
      <w:r>
        <w:rPr>
          <w:rFonts w:asciiTheme="minorEastAsia" w:hAnsiTheme="minorEastAsia" w:eastAsiaTheme="minorEastAsia"/>
          <w:color w:val="auto"/>
          <w:sz w:val="24"/>
          <w:szCs w:val="24"/>
          <w:highlight w:val="none"/>
        </w:rPr>
        <w:t>。</w:t>
      </w:r>
    </w:p>
    <w:bookmarkEnd w:id="203"/>
    <w:bookmarkEnd w:id="204"/>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w:t>
      </w:r>
      <w:bookmarkStart w:id="205" w:name="_Toc304295549"/>
      <w:bookmarkStart w:id="206" w:name="_Toc297216178"/>
      <w:bookmarkStart w:id="207" w:name="_Toc303539128"/>
      <w:bookmarkStart w:id="208" w:name="_Toc312678015"/>
      <w:bookmarkStart w:id="209" w:name="_Toc300934971"/>
      <w:bookmarkStart w:id="210" w:name="_Toc297123519"/>
      <w:r>
        <w:rPr>
          <w:rFonts w:asciiTheme="minorEastAsia" w:hAnsiTheme="minorEastAsia" w:eastAsiaTheme="minorEastAsia"/>
          <w:color w:val="auto"/>
          <w:sz w:val="24"/>
          <w:szCs w:val="24"/>
          <w:highlight w:val="none"/>
        </w:rPr>
        <w:t>.6 不</w:t>
      </w:r>
      <w:bookmarkEnd w:id="205"/>
      <w:bookmarkEnd w:id="206"/>
      <w:bookmarkEnd w:id="207"/>
      <w:bookmarkEnd w:id="208"/>
      <w:bookmarkEnd w:id="209"/>
      <w:bookmarkEnd w:id="210"/>
      <w:r>
        <w:rPr>
          <w:rFonts w:asciiTheme="minorEastAsia" w:hAnsiTheme="minorEastAsia" w:eastAsiaTheme="minorEastAsia"/>
          <w:color w:val="auto"/>
          <w:sz w:val="24"/>
          <w:szCs w:val="24"/>
          <w:highlight w:val="none"/>
        </w:rPr>
        <w:t>利物质条件</w:t>
      </w:r>
    </w:p>
    <w:p>
      <w:pPr>
        <w:ind w:firstLine="480" w:firstLineChars="200"/>
        <w:jc w:val="left"/>
        <w:rPr>
          <w:rFonts w:asciiTheme="minorEastAsia" w:hAnsiTheme="minorEastAsia" w:eastAsiaTheme="minorEastAsia"/>
          <w:color w:val="auto"/>
          <w:sz w:val="24"/>
          <w:szCs w:val="24"/>
          <w:highlight w:val="none"/>
        </w:rPr>
      </w:pPr>
      <w:bookmarkStart w:id="211" w:name="_Toc297123520"/>
      <w:bookmarkStart w:id="212" w:name="_Toc303539129"/>
      <w:bookmarkStart w:id="213" w:name="_Toc318581172"/>
      <w:bookmarkStart w:id="214" w:name="_Toc312678016"/>
      <w:bookmarkStart w:id="215" w:name="_Toc304295550"/>
      <w:bookmarkStart w:id="216" w:name="_Toc297216179"/>
      <w:bookmarkStart w:id="217" w:name="_Toc300934972"/>
      <w:r>
        <w:rPr>
          <w:rFonts w:asciiTheme="minorEastAsia" w:hAnsiTheme="minorEastAsia" w:eastAsiaTheme="minorEastAsia"/>
          <w:color w:val="auto"/>
          <w:sz w:val="24"/>
          <w:szCs w:val="24"/>
          <w:highlight w:val="none"/>
        </w:rPr>
        <w:t>不利物质条件的其他情形和有关约定：</w:t>
      </w:r>
      <w:r>
        <w:rPr>
          <w:rFonts w:hint="eastAsia" w:asciiTheme="minorEastAsia" w:hAnsiTheme="minorEastAsia" w:eastAsiaTheme="minorEastAsia"/>
          <w:color w:val="auto"/>
          <w:sz w:val="24"/>
          <w:szCs w:val="24"/>
          <w:highlight w:val="none"/>
          <w:u w:val="single"/>
        </w:rPr>
        <w:t>按通用条款执行</w:t>
      </w:r>
      <w:r>
        <w:rPr>
          <w:rFonts w:asciiTheme="minorEastAsia" w:hAnsiTheme="minorEastAsia" w:eastAsiaTheme="minorEastAsia"/>
          <w:color w:val="auto"/>
          <w:sz w:val="24"/>
          <w:szCs w:val="24"/>
          <w:highlight w:val="none"/>
        </w:rPr>
        <w:t>。</w:t>
      </w:r>
    </w:p>
    <w:bookmarkEnd w:id="211"/>
    <w:bookmarkEnd w:id="212"/>
    <w:bookmarkEnd w:id="213"/>
    <w:bookmarkEnd w:id="214"/>
    <w:bookmarkEnd w:id="215"/>
    <w:bookmarkEnd w:id="216"/>
    <w:bookmarkEnd w:id="217"/>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w:t>
      </w:r>
      <w:bookmarkStart w:id="218" w:name="_Toc297216180"/>
      <w:bookmarkStart w:id="219" w:name="_Toc300934973"/>
      <w:bookmarkStart w:id="220" w:name="_Toc303539130"/>
      <w:bookmarkStart w:id="221" w:name="_Toc304295551"/>
      <w:bookmarkStart w:id="222" w:name="_Toc297123521"/>
      <w:bookmarkStart w:id="223" w:name="_Toc312678017"/>
      <w:r>
        <w:rPr>
          <w:rFonts w:asciiTheme="minorEastAsia" w:hAnsiTheme="minorEastAsia" w:eastAsiaTheme="minorEastAsia"/>
          <w:color w:val="auto"/>
          <w:sz w:val="24"/>
          <w:szCs w:val="24"/>
          <w:highlight w:val="none"/>
        </w:rPr>
        <w:t>.7异常恶劣的气候条件</w:t>
      </w:r>
    </w:p>
    <w:bookmarkEnd w:id="218"/>
    <w:bookmarkEnd w:id="219"/>
    <w:bookmarkEnd w:id="220"/>
    <w:bookmarkEnd w:id="221"/>
    <w:bookmarkEnd w:id="222"/>
    <w:bookmarkEnd w:id="223"/>
    <w:p>
      <w:pPr>
        <w:ind w:firstLine="480" w:firstLineChars="2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发包人和承包人同意以下情形视为异常恶劣的气候条件：</w:t>
      </w:r>
      <w:r>
        <w:rPr>
          <w:rFonts w:asciiTheme="minorEastAsia" w:hAnsiTheme="minorEastAsia" w:eastAsiaTheme="minorEastAsia"/>
          <w:color w:val="auto"/>
          <w:sz w:val="24"/>
          <w:szCs w:val="24"/>
          <w:highlight w:val="none"/>
          <w:u w:val="single"/>
        </w:rPr>
        <w:t>(1)日降雨量大于50mm的雨日超过1天；(2）7级以上大风灾害；(3）日气温超过38℃的高温大于3天；(4）日气温低于-20℃的严寒大于3天；(5）造成工程损坏的冰雹和大雪灾害：日降雪量10mm及以上</w:t>
      </w:r>
      <w:r>
        <w:rPr>
          <w:rFonts w:hint="eastAsia" w:asciiTheme="minorEastAsia" w:hAnsiTheme="minorEastAsia" w:eastAsiaTheme="minorEastAsia"/>
          <w:color w:val="auto"/>
          <w:sz w:val="24"/>
          <w:szCs w:val="24"/>
          <w:highlight w:val="none"/>
          <w:u w:val="singl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7.9 提前竣工的奖励</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7.9.2提前竣工的奖励：</w:t>
      </w:r>
      <w:r>
        <w:rPr>
          <w:rFonts w:asciiTheme="minorEastAsia" w:hAnsiTheme="minorEastAsia" w:eastAsiaTheme="minorEastAsia"/>
          <w:color w:val="auto"/>
          <w:sz w:val="24"/>
          <w:szCs w:val="24"/>
          <w:highlight w:val="none"/>
          <w:u w:val="single"/>
        </w:rPr>
        <w:t xml:space="preserve"> 无 </w:t>
      </w:r>
      <w:r>
        <w:rPr>
          <w:rFonts w:asciiTheme="minorEastAsia" w:hAnsiTheme="minorEastAsia" w:eastAsiaTheme="minorEastAsia"/>
          <w:color w:val="auto"/>
          <w:sz w:val="24"/>
          <w:szCs w:val="24"/>
          <w:highlight w:val="none"/>
        </w:rPr>
        <w:t>。</w:t>
      </w:r>
    </w:p>
    <w:p>
      <w:pPr>
        <w:pStyle w:val="7"/>
        <w:rPr>
          <w:rFonts w:asciiTheme="minorEastAsia" w:hAnsiTheme="minorEastAsia" w:eastAsiaTheme="minorEastAsia"/>
          <w:b w:val="0"/>
          <w:color w:val="auto"/>
          <w:sz w:val="24"/>
          <w:szCs w:val="24"/>
          <w:highlight w:val="none"/>
        </w:rPr>
      </w:pPr>
      <w:bookmarkStart w:id="224" w:name="_Toc351203640"/>
      <w:r>
        <w:rPr>
          <w:rFonts w:asciiTheme="minorEastAsia" w:hAnsiTheme="minorEastAsia" w:eastAsiaTheme="minorEastAsia"/>
          <w:b w:val="0"/>
          <w:color w:val="auto"/>
          <w:sz w:val="24"/>
          <w:szCs w:val="24"/>
          <w:highlight w:val="none"/>
        </w:rPr>
        <w:t>8. 材料与设备</w:t>
      </w:r>
      <w:bookmarkEnd w:id="224"/>
    </w:p>
    <w:bookmarkEnd w:id="159"/>
    <w:bookmarkEnd w:id="160"/>
    <w:bookmarkEnd w:id="161"/>
    <w:bookmarkEnd w:id="162"/>
    <w:bookmarkEnd w:id="163"/>
    <w:bookmarkEnd w:id="164"/>
    <w:bookmarkEnd w:id="165"/>
    <w:bookmarkEnd w:id="166"/>
    <w:bookmarkEnd w:id="167"/>
    <w:bookmarkEnd w:id="168"/>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w:t>
      </w:r>
      <w:bookmarkStart w:id="225" w:name="_Toc296346668"/>
      <w:bookmarkStart w:id="226" w:name="_Toc304295556"/>
      <w:bookmarkStart w:id="227" w:name="_Toc296944506"/>
      <w:bookmarkStart w:id="228" w:name="_Toc297048353"/>
      <w:bookmarkStart w:id="229" w:name="_Toc300934979"/>
      <w:bookmarkStart w:id="230" w:name="_Toc292559877"/>
      <w:bookmarkStart w:id="231" w:name="_Toc303539136"/>
      <w:bookmarkStart w:id="232" w:name="_Toc312677493"/>
      <w:bookmarkStart w:id="233" w:name="_Toc296890995"/>
      <w:bookmarkStart w:id="234" w:name="_Toc292559372"/>
      <w:bookmarkStart w:id="235" w:name="_Toc297120467"/>
      <w:bookmarkStart w:id="236" w:name="_Toc297216186"/>
      <w:bookmarkStart w:id="237" w:name="_Toc296347166"/>
      <w:bookmarkStart w:id="238" w:name="_Toc297123527"/>
      <w:bookmarkStart w:id="239" w:name="_Toc280868654"/>
      <w:bookmarkStart w:id="240" w:name="_Toc312678019"/>
      <w:bookmarkStart w:id="241" w:name="_Toc296503167"/>
      <w:bookmarkStart w:id="242" w:name="_Toc296891207"/>
      <w:bookmarkStart w:id="243" w:name="_Toc280868656"/>
      <w:bookmarkStart w:id="244" w:name="_Toc267251424"/>
      <w:bookmarkStart w:id="245" w:name="_Toc280868655"/>
      <w:r>
        <w:rPr>
          <w:rFonts w:asciiTheme="minorEastAsia" w:hAnsiTheme="minorEastAsia" w:eastAsiaTheme="minorEastAsia"/>
          <w:color w:val="auto"/>
          <w:sz w:val="24"/>
          <w:szCs w:val="24"/>
          <w:highlight w:val="none"/>
        </w:rPr>
        <w:t>.4材料与工程设备的保管与使用</w:t>
      </w:r>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w:t>
      </w:r>
      <w:bookmarkStart w:id="246" w:name="_Toc292559373"/>
      <w:bookmarkStart w:id="247" w:name="_Toc292559878"/>
      <w:bookmarkStart w:id="248" w:name="_Toc296890996"/>
      <w:bookmarkStart w:id="249" w:name="_Toc297216187"/>
      <w:bookmarkStart w:id="250" w:name="_Toc300934980"/>
      <w:bookmarkStart w:id="251" w:name="_Toc297120468"/>
      <w:bookmarkStart w:id="252" w:name="_Toc297123528"/>
      <w:bookmarkStart w:id="253" w:name="_Toc303539137"/>
      <w:bookmarkStart w:id="254" w:name="_Toc304295557"/>
      <w:bookmarkStart w:id="255" w:name="_Toc296503168"/>
      <w:bookmarkStart w:id="256" w:name="_Toc312678020"/>
      <w:bookmarkStart w:id="257" w:name="_Toc318581173"/>
      <w:bookmarkStart w:id="258" w:name="_Toc296891208"/>
      <w:bookmarkStart w:id="259" w:name="_Toc296346669"/>
      <w:bookmarkStart w:id="260" w:name="_Toc312677494"/>
      <w:bookmarkStart w:id="261" w:name="_Toc296944507"/>
      <w:bookmarkStart w:id="262" w:name="_Toc297048354"/>
      <w:bookmarkStart w:id="263" w:name="_Toc296347167"/>
      <w:r>
        <w:rPr>
          <w:rFonts w:asciiTheme="minorEastAsia" w:hAnsiTheme="minorEastAsia" w:eastAsiaTheme="minorEastAsia"/>
          <w:color w:val="auto"/>
          <w:sz w:val="24"/>
          <w:szCs w:val="24"/>
          <w:highlight w:val="none"/>
        </w:rPr>
        <w:t>.4.1发包人供应的材料设备的保管费用的承担：</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bookmarkEnd w:id="246"/>
      <w:bookmarkEnd w:id="247"/>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8.6 样品</w:t>
      </w:r>
    </w:p>
    <w:p>
      <w:pPr>
        <w:autoSpaceDE w:val="0"/>
        <w:autoSpaceDN w:val="0"/>
        <w:adjustRightInd w:val="0"/>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8.6.1</w:t>
      </w:r>
      <w:r>
        <w:rPr>
          <w:rFonts w:asciiTheme="minorEastAsia" w:hAnsiTheme="minorEastAsia" w:eastAsiaTheme="minorEastAsia"/>
          <w:color w:val="auto"/>
          <w:kern w:val="0"/>
          <w:sz w:val="24"/>
          <w:szCs w:val="24"/>
          <w:highlight w:val="none"/>
        </w:rPr>
        <w:tab/>
      </w:r>
      <w:r>
        <w:rPr>
          <w:rFonts w:asciiTheme="minorEastAsia" w:hAnsiTheme="minorEastAsia" w:eastAsiaTheme="minorEastAsia"/>
          <w:color w:val="auto"/>
          <w:kern w:val="0"/>
          <w:sz w:val="24"/>
          <w:szCs w:val="24"/>
          <w:highlight w:val="none"/>
        </w:rPr>
        <w:t>样品的报送</w:t>
      </w:r>
      <w:r>
        <w:rPr>
          <w:rFonts w:hint="eastAsia" w:asciiTheme="minorEastAsia" w:hAnsiTheme="minorEastAsia" w:eastAsiaTheme="minorEastAsia"/>
          <w:color w:val="auto"/>
          <w:kern w:val="0"/>
          <w:sz w:val="24"/>
          <w:szCs w:val="24"/>
          <w:highlight w:val="none"/>
        </w:rPr>
        <w:t>与封存</w:t>
      </w:r>
    </w:p>
    <w:p>
      <w:pPr>
        <w:autoSpaceDE w:val="0"/>
        <w:autoSpaceDN w:val="0"/>
        <w:adjustRightInd w:val="0"/>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kern w:val="0"/>
          <w:sz w:val="24"/>
          <w:szCs w:val="24"/>
          <w:highlight w:val="none"/>
        </w:rPr>
        <w:t>需要承包人报送样品的材料或工程设备，样品的种类、名称、规格、数量要求：</w:t>
      </w:r>
      <w:r>
        <w:rPr>
          <w:rFonts w:hint="eastAsia" w:asciiTheme="minorEastAsia" w:hAnsiTheme="minorEastAsia" w:eastAsiaTheme="minorEastAsia"/>
          <w:color w:val="auto"/>
          <w:sz w:val="24"/>
          <w:szCs w:val="24"/>
          <w:highlight w:val="none"/>
          <w:u w:val="single"/>
        </w:rPr>
        <w:t>按监管部门要求和发包人需求确定，监理提前提醒发包人并确认，承包人报送</w:t>
      </w:r>
      <w:r>
        <w:rPr>
          <w:rFonts w:asciiTheme="minorEastAsia" w:hAnsiTheme="minorEastAsia" w:eastAsiaTheme="minorEastAsia"/>
          <w:color w:val="auto"/>
          <w:sz w:val="24"/>
          <w:szCs w:val="24"/>
          <w:highlight w:val="none"/>
        </w:rPr>
        <w:t>。</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8.8 施工设备和临时设施</w:t>
      </w:r>
    </w:p>
    <w:p>
      <w:pPr>
        <w:autoSpaceDE w:val="0"/>
        <w:autoSpaceDN w:val="0"/>
        <w:adjustRightInd w:val="0"/>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8.8.1 承包人提供的施工设备和临时设施</w:t>
      </w:r>
    </w:p>
    <w:p>
      <w:pPr>
        <w:autoSpaceDE w:val="0"/>
        <w:autoSpaceDN w:val="0"/>
        <w:adjustRightInd w:val="0"/>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关于修建临时设施费用承担的约定：</w:t>
      </w:r>
      <w:r>
        <w:rPr>
          <w:rFonts w:hint="eastAsia" w:asciiTheme="minorEastAsia" w:hAnsiTheme="minorEastAsia" w:eastAsiaTheme="minorEastAsia"/>
          <w:color w:val="auto"/>
          <w:sz w:val="24"/>
          <w:szCs w:val="24"/>
          <w:highlight w:val="none"/>
          <w:u w:val="single"/>
        </w:rPr>
        <w:t>投标时已在报价中考虑，由承包人承担</w:t>
      </w:r>
      <w:r>
        <w:rPr>
          <w:rFonts w:asciiTheme="minorEastAsia" w:hAnsiTheme="minorEastAsia" w:eastAsiaTheme="minorEastAsia"/>
          <w:color w:val="auto"/>
          <w:sz w:val="24"/>
          <w:szCs w:val="24"/>
          <w:highlight w:val="none"/>
        </w:rPr>
        <w:t>。</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Pr>
        <w:pStyle w:val="7"/>
        <w:rPr>
          <w:rFonts w:asciiTheme="minorEastAsia" w:hAnsiTheme="minorEastAsia" w:eastAsiaTheme="minorEastAsia"/>
          <w:b w:val="0"/>
          <w:color w:val="auto"/>
          <w:sz w:val="24"/>
          <w:szCs w:val="24"/>
          <w:highlight w:val="none"/>
        </w:rPr>
      </w:pPr>
      <w:bookmarkStart w:id="264" w:name="_Toc351203641"/>
      <w:r>
        <w:rPr>
          <w:rFonts w:asciiTheme="minorEastAsia" w:hAnsiTheme="minorEastAsia" w:eastAsiaTheme="minorEastAsia"/>
          <w:b w:val="0"/>
          <w:color w:val="auto"/>
          <w:sz w:val="24"/>
          <w:szCs w:val="24"/>
          <w:highlight w:val="none"/>
        </w:rPr>
        <w:t>9</w:t>
      </w:r>
      <w:bookmarkEnd w:id="243"/>
      <w:bookmarkEnd w:id="244"/>
      <w:bookmarkEnd w:id="245"/>
      <w:bookmarkStart w:id="265" w:name="_Toc312677495"/>
      <w:bookmarkStart w:id="266" w:name="_Toc297216192"/>
      <w:bookmarkStart w:id="267" w:name="_Toc303539139"/>
      <w:bookmarkStart w:id="268" w:name="_Toc304295559"/>
      <w:bookmarkStart w:id="269" w:name="_Toc300934982"/>
      <w:bookmarkStart w:id="270" w:name="_Toc312678021"/>
      <w:bookmarkStart w:id="271" w:name="_Toc297123533"/>
      <w:bookmarkStart w:id="272" w:name="_Toc296347172"/>
      <w:bookmarkStart w:id="273" w:name="_Toc297120473"/>
      <w:bookmarkStart w:id="274" w:name="_Toc297048359"/>
      <w:bookmarkStart w:id="275" w:name="_Toc296891213"/>
      <w:bookmarkStart w:id="276" w:name="_Toc296944512"/>
      <w:bookmarkStart w:id="277" w:name="_Toc296346674"/>
      <w:bookmarkStart w:id="278" w:name="_Toc267251427"/>
      <w:bookmarkStart w:id="279" w:name="_Toc296503173"/>
      <w:bookmarkStart w:id="280" w:name="_Toc267251428"/>
      <w:bookmarkStart w:id="281" w:name="_Toc296891001"/>
      <w:bookmarkStart w:id="282" w:name="_Toc292559378"/>
      <w:bookmarkStart w:id="283" w:name="_Toc292559883"/>
      <w:r>
        <w:rPr>
          <w:rFonts w:asciiTheme="minorEastAsia" w:hAnsiTheme="minorEastAsia" w:eastAsiaTheme="minorEastAsia"/>
          <w:b w:val="0"/>
          <w:color w:val="auto"/>
          <w:sz w:val="24"/>
          <w:szCs w:val="24"/>
          <w:highlight w:val="none"/>
        </w:rPr>
        <w:t>. 试验与检验</w:t>
      </w:r>
      <w:bookmarkEnd w:id="264"/>
    </w:p>
    <w:bookmarkEnd w:id="265"/>
    <w:bookmarkEnd w:id="266"/>
    <w:bookmarkEnd w:id="267"/>
    <w:bookmarkEnd w:id="268"/>
    <w:bookmarkEnd w:id="269"/>
    <w:bookmarkEnd w:id="270"/>
    <w:bookmarkEnd w:id="271"/>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9</w:t>
      </w:r>
      <w:bookmarkStart w:id="284" w:name="_Toc312677496"/>
      <w:bookmarkStart w:id="285" w:name="_Toc297216193"/>
      <w:bookmarkStart w:id="286" w:name="_Toc304295560"/>
      <w:bookmarkStart w:id="287" w:name="_Toc297123534"/>
      <w:bookmarkStart w:id="288" w:name="_Toc312678022"/>
      <w:bookmarkStart w:id="289" w:name="_Toc300934983"/>
      <w:bookmarkStart w:id="290" w:name="_Toc303539140"/>
      <w:r>
        <w:rPr>
          <w:rFonts w:asciiTheme="minorEastAsia" w:hAnsiTheme="minorEastAsia" w:eastAsiaTheme="minorEastAsia"/>
          <w:color w:val="auto"/>
          <w:sz w:val="24"/>
          <w:szCs w:val="24"/>
          <w:highlight w:val="none"/>
        </w:rPr>
        <w:t>.1试验设备与试验人员</w:t>
      </w:r>
    </w:p>
    <w:bookmarkEnd w:id="284"/>
    <w:bookmarkEnd w:id="285"/>
    <w:bookmarkEnd w:id="286"/>
    <w:bookmarkEnd w:id="287"/>
    <w:bookmarkEnd w:id="288"/>
    <w:bookmarkEnd w:id="289"/>
    <w:bookmarkEnd w:id="290"/>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9</w:t>
      </w:r>
      <w:bookmarkStart w:id="291" w:name="_Toc304295561"/>
      <w:bookmarkStart w:id="292" w:name="_Toc303539141"/>
      <w:bookmarkStart w:id="293" w:name="_Toc312678023"/>
      <w:bookmarkStart w:id="294" w:name="_Toc312677497"/>
      <w:bookmarkStart w:id="295" w:name="_Toc297123535"/>
      <w:bookmarkStart w:id="296" w:name="_Toc300934984"/>
      <w:bookmarkStart w:id="297" w:name="_Toc297216194"/>
      <w:bookmarkStart w:id="298" w:name="_Toc318581174"/>
      <w:r>
        <w:rPr>
          <w:rFonts w:asciiTheme="minorEastAsia" w:hAnsiTheme="minorEastAsia" w:eastAsiaTheme="minorEastAsia"/>
          <w:color w:val="auto"/>
          <w:sz w:val="24"/>
          <w:szCs w:val="24"/>
          <w:highlight w:val="none"/>
        </w:rPr>
        <w:t>.1.2 试验设备</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施工现场需要配置的试验场所：</w:t>
      </w:r>
      <w:bookmarkEnd w:id="291"/>
      <w:bookmarkEnd w:id="292"/>
      <w:bookmarkEnd w:id="293"/>
      <w:bookmarkEnd w:id="294"/>
      <w:bookmarkEnd w:id="295"/>
      <w:bookmarkEnd w:id="296"/>
      <w:bookmarkEnd w:id="297"/>
      <w:bookmarkStart w:id="299" w:name="_Toc297123536"/>
      <w:bookmarkStart w:id="300" w:name="_Toc297216195"/>
      <w:bookmarkStart w:id="301" w:name="_Toc303539142"/>
      <w:bookmarkStart w:id="302" w:name="_Toc304295562"/>
      <w:bookmarkStart w:id="303" w:name="_Toc312678024"/>
      <w:bookmarkStart w:id="304" w:name="_Toc300934985"/>
      <w:bookmarkStart w:id="305" w:name="_Toc312677498"/>
      <w:r>
        <w:rPr>
          <w:rFonts w:hint="eastAsia" w:asciiTheme="minorEastAsia" w:hAnsiTheme="minorEastAsia" w:eastAsiaTheme="minorEastAsia"/>
          <w:color w:val="auto"/>
          <w:sz w:val="24"/>
          <w:szCs w:val="24"/>
          <w:highlight w:val="none"/>
          <w:u w:val="single"/>
        </w:rPr>
        <w:t>根据国家或地方相关规定配置</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施工现场需要配备的试验设备：</w:t>
      </w:r>
      <w:r>
        <w:rPr>
          <w:rFonts w:hint="eastAsia" w:asciiTheme="minorEastAsia" w:hAnsiTheme="minorEastAsia" w:eastAsiaTheme="minorEastAsia"/>
          <w:color w:val="auto"/>
          <w:sz w:val="24"/>
          <w:szCs w:val="24"/>
          <w:highlight w:val="none"/>
          <w:u w:val="single"/>
        </w:rPr>
        <w:t>根据国家或地方相关规定配置</w:t>
      </w:r>
      <w:r>
        <w:rPr>
          <w:rFonts w:asciiTheme="minorEastAsia" w:hAnsiTheme="minorEastAsia" w:eastAsiaTheme="minorEastAsia"/>
          <w:color w:val="auto"/>
          <w:sz w:val="24"/>
          <w:szCs w:val="24"/>
          <w:highlight w:val="none"/>
        </w:rPr>
        <w:t>。施工现场需要具备的其他试验条件：</w:t>
      </w:r>
      <w:r>
        <w:rPr>
          <w:rFonts w:hint="eastAsia" w:asciiTheme="minorEastAsia" w:hAnsiTheme="minorEastAsia" w:eastAsiaTheme="minorEastAsia"/>
          <w:color w:val="auto"/>
          <w:sz w:val="24"/>
          <w:szCs w:val="24"/>
          <w:highlight w:val="none"/>
          <w:u w:val="single"/>
        </w:rPr>
        <w:t>根据国家或地方相关规定配置</w:t>
      </w:r>
      <w:r>
        <w:rPr>
          <w:rFonts w:asciiTheme="minorEastAsia" w:hAnsiTheme="minorEastAsia" w:eastAsiaTheme="minorEastAsia"/>
          <w:color w:val="auto"/>
          <w:sz w:val="24"/>
          <w:szCs w:val="24"/>
          <w:highlight w:val="none"/>
        </w:rPr>
        <w:t>。</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9.4 现场工艺试验</w:t>
      </w:r>
      <w:r>
        <w:rPr>
          <w:rFonts w:hint="eastAsia" w:asciiTheme="minorEastAsia" w:hAnsiTheme="minorEastAsia" w:eastAsiaTheme="minorEastAsia"/>
          <w:color w:val="auto"/>
          <w:sz w:val="24"/>
          <w:szCs w:val="24"/>
          <w:highlight w:val="none"/>
        </w:rPr>
        <w:t xml:space="preserve"> </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现场工艺试验的有关约定：</w:t>
      </w:r>
      <w:r>
        <w:rPr>
          <w:rFonts w:hint="eastAsia" w:asciiTheme="minorEastAsia" w:hAnsiTheme="minorEastAsia" w:eastAsiaTheme="minorEastAsia"/>
          <w:color w:val="auto"/>
          <w:sz w:val="24"/>
          <w:szCs w:val="24"/>
          <w:highlight w:val="none"/>
          <w:u w:val="single"/>
        </w:rPr>
        <w:t>执行合同通用条款</w:t>
      </w:r>
      <w:r>
        <w:rPr>
          <w:rFonts w:asciiTheme="minorEastAsia" w:hAnsiTheme="minorEastAsia" w:eastAsiaTheme="minorEastAsia"/>
          <w:color w:val="auto"/>
          <w:sz w:val="24"/>
          <w:szCs w:val="24"/>
          <w:highlight w:val="none"/>
        </w:rPr>
        <w:t>。</w:t>
      </w:r>
    </w:p>
    <w:bookmarkEnd w:id="298"/>
    <w:bookmarkEnd w:id="299"/>
    <w:bookmarkEnd w:id="300"/>
    <w:bookmarkEnd w:id="301"/>
    <w:bookmarkEnd w:id="302"/>
    <w:bookmarkEnd w:id="303"/>
    <w:bookmarkEnd w:id="304"/>
    <w:bookmarkEnd w:id="305"/>
    <w:p>
      <w:pPr>
        <w:pStyle w:val="7"/>
        <w:rPr>
          <w:rFonts w:asciiTheme="minorEastAsia" w:hAnsiTheme="minorEastAsia" w:eastAsiaTheme="minorEastAsia"/>
          <w:b w:val="0"/>
          <w:color w:val="auto"/>
          <w:sz w:val="24"/>
          <w:szCs w:val="24"/>
          <w:highlight w:val="none"/>
        </w:rPr>
      </w:pPr>
      <w:bookmarkStart w:id="306" w:name="_Toc351203642"/>
      <w:r>
        <w:rPr>
          <w:rFonts w:asciiTheme="minorEastAsia" w:hAnsiTheme="minorEastAsia" w:eastAsiaTheme="minorEastAsia"/>
          <w:b w:val="0"/>
          <w:color w:val="auto"/>
          <w:sz w:val="24"/>
          <w:szCs w:val="24"/>
          <w:highlight w:val="none"/>
        </w:rPr>
        <w:t>1</w:t>
      </w:r>
      <w:bookmarkEnd w:id="272"/>
      <w:bookmarkEnd w:id="273"/>
      <w:bookmarkEnd w:id="274"/>
      <w:bookmarkEnd w:id="275"/>
      <w:bookmarkEnd w:id="276"/>
      <w:bookmarkEnd w:id="277"/>
      <w:bookmarkEnd w:id="278"/>
      <w:bookmarkEnd w:id="279"/>
      <w:bookmarkEnd w:id="280"/>
      <w:bookmarkEnd w:id="281"/>
      <w:bookmarkEnd w:id="282"/>
      <w:bookmarkEnd w:id="283"/>
      <w:bookmarkStart w:id="307" w:name="_Toc296346694"/>
      <w:bookmarkStart w:id="308" w:name="_Toc297048379"/>
      <w:bookmarkStart w:id="309" w:name="_Toc296891021"/>
      <w:bookmarkStart w:id="310" w:name="_Toc297123540"/>
      <w:bookmarkStart w:id="311" w:name="_Toc296944532"/>
      <w:bookmarkStart w:id="312" w:name="_Toc297216199"/>
      <w:bookmarkStart w:id="313" w:name="_Toc303539146"/>
      <w:bookmarkStart w:id="314" w:name="_Toc296347192"/>
      <w:bookmarkStart w:id="315" w:name="_Toc304295566"/>
      <w:bookmarkStart w:id="316" w:name="_Toc296503193"/>
      <w:bookmarkStart w:id="317" w:name="_Toc300934989"/>
      <w:bookmarkStart w:id="318" w:name="_Toc297120493"/>
      <w:bookmarkStart w:id="319" w:name="_Toc292559398"/>
      <w:bookmarkStart w:id="320" w:name="_Toc292559903"/>
      <w:bookmarkStart w:id="321" w:name="_Toc296891233"/>
      <w:bookmarkStart w:id="322" w:name="_Toc312678025"/>
      <w:bookmarkStart w:id="323" w:name="_Toc312677499"/>
      <w:bookmarkStart w:id="324" w:name="_Toc267251440"/>
      <w:bookmarkStart w:id="325" w:name="_Toc267251439"/>
      <w:bookmarkStart w:id="326" w:name="_Toc267251437"/>
      <w:bookmarkStart w:id="327" w:name="_Toc267251435"/>
      <w:bookmarkStart w:id="328" w:name="_Toc267251433"/>
      <w:bookmarkStart w:id="329" w:name="_Toc267251441"/>
      <w:bookmarkStart w:id="330" w:name="_Toc267251442"/>
      <w:r>
        <w:rPr>
          <w:rFonts w:asciiTheme="minorEastAsia" w:hAnsiTheme="minorEastAsia" w:eastAsiaTheme="minorEastAsia"/>
          <w:b w:val="0"/>
          <w:color w:val="auto"/>
          <w:sz w:val="24"/>
          <w:szCs w:val="24"/>
          <w:highlight w:val="none"/>
        </w:rPr>
        <w:t>0. 变更</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bookmarkEnd w:id="322"/>
    <w:bookmarkEnd w:id="323"/>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bookmarkStart w:id="331" w:name="_Toc303539147"/>
      <w:bookmarkStart w:id="332" w:name="_Toc312677500"/>
      <w:bookmarkStart w:id="333" w:name="_Toc300934990"/>
      <w:bookmarkStart w:id="334" w:name="_Toc297120494"/>
      <w:bookmarkStart w:id="335" w:name="_Toc296347193"/>
      <w:bookmarkStart w:id="336" w:name="_Toc296503194"/>
      <w:bookmarkStart w:id="337" w:name="_Toc296944533"/>
      <w:bookmarkStart w:id="338" w:name="_Toc296891234"/>
      <w:bookmarkStart w:id="339" w:name="_Toc304295567"/>
      <w:bookmarkStart w:id="340" w:name="_Toc296346695"/>
      <w:bookmarkStart w:id="341" w:name="_Toc292559904"/>
      <w:bookmarkStart w:id="342" w:name="_Toc292559399"/>
      <w:bookmarkStart w:id="343" w:name="_Toc297048380"/>
      <w:bookmarkStart w:id="344" w:name="_Toc297216200"/>
      <w:bookmarkStart w:id="345" w:name="_Toc312678026"/>
      <w:bookmarkStart w:id="346" w:name="_Toc296891022"/>
      <w:bookmarkStart w:id="347" w:name="_Toc297123541"/>
      <w:r>
        <w:rPr>
          <w:rFonts w:asciiTheme="minorEastAsia" w:hAnsiTheme="minorEastAsia" w:eastAsiaTheme="minorEastAsia"/>
          <w:color w:val="auto"/>
          <w:sz w:val="24"/>
          <w:szCs w:val="24"/>
          <w:highlight w:val="none"/>
        </w:rPr>
        <w:t>0.1变更的范围</w:t>
      </w:r>
    </w:p>
    <w:p>
      <w:pPr>
        <w:ind w:firstLine="6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关于变更的范围的约定：</w:t>
      </w:r>
      <w:r>
        <w:rPr>
          <w:rFonts w:hint="eastAsia" w:asciiTheme="minorEastAsia" w:hAnsiTheme="minorEastAsia" w:eastAsiaTheme="minorEastAsia"/>
          <w:color w:val="auto"/>
          <w:sz w:val="24"/>
          <w:szCs w:val="24"/>
          <w:highlight w:val="none"/>
          <w:u w:val="single"/>
        </w:rPr>
        <w:t>(1)工程变更签证的资料要求。属于工程变更（含设计变更和合同外增加工程等）的签证工程，必须同时具有盖发包人项目章的工程业务联系单、签证单（有需要须附上竣工图及验收单），如承包人原因造成资料不全，工程结算时不得补充资料，则工程造价增加的视为承包人放弃此项权利，工程造价减少的按实结算扣除。(2)签证的时限要求。施工中发生的应由发包人承担责任的设计变更及其他变更，承包人应在发生后 10 天内办理好签证手续报监理单位和发包人签章认可，发包人项目部签认后，报发包人 14 日内确认。并报两份签证原件交发包人备案。签证手续不完整的，发包人不予认可，不能作为结算依据；签证手续不得补办，若承包人在变更发生后超过 10 天仍未办理签证申请，视为自动放弃此部分权利，增加部分不再计取，减少部分经发包人核定未上报者除按核定价扣减造价外，发包人另外收取该部分造价的 20％作为违约金从承包人的结算款中扣除。工程施工中，发包人任何个人的签字都不能作为工程结算的依据，必须加盖发包人指定公章的签证单才能作为结算有效文件。(3) 由于承包人原因导致的工程变更，承包人无权要求签证赔偿。(4) 签证单的签证程序必须严格按照发包人规定执行，否则，视为无效签证单。无效签证单发包人不予承认，责任由承包人自负。(5) 若发包人有明确的工作指令，承包人不应以工程签证未办理完成为借口，延误工作进展</w:t>
      </w:r>
      <w:r>
        <w:rPr>
          <w:rFonts w:asciiTheme="minorEastAsia" w:hAnsiTheme="minorEastAsia" w:eastAsiaTheme="minorEastAsia"/>
          <w:color w:val="auto"/>
          <w:sz w:val="24"/>
          <w:szCs w:val="24"/>
          <w:highlight w:val="none"/>
        </w:rPr>
        <w:t>。</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10.4 变更估价</w:t>
      </w:r>
    </w:p>
    <w:p>
      <w:pPr>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10.4.1 变更估价原则</w:t>
      </w:r>
    </w:p>
    <w:p>
      <w:pPr>
        <w:ind w:firstLine="480" w:firstLineChars="200"/>
        <w:jc w:val="left"/>
        <w:rPr>
          <w:rFonts w:cs="仿宋_GB2312"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关于变更估价的约定</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sz w:val="24"/>
          <w:szCs w:val="24"/>
          <w:highlight w:val="none"/>
          <w:u w:val="single"/>
        </w:rPr>
        <w:t xml:space="preserve"> （1）合同中已有适用于变更工程的价格，按合同已有的价格变更合同价款；（2）合同中只有类似于变更工程的价格，发承包双方协商参照类似价格变更合同价款；（3）合同中没有适用或类似于变更工程的价格，按《建设工程工程量清单计价规范》、《江苏省建筑与装饰工程计价定额》（2014年）、《江苏省安装工程计价定额》（2014年）、《江苏省房屋修缮工程计价表》（2009年）、《江苏省建设工程工程量清单计价项目指引》及相配套定额和文件规定的人工、材料、机械台班耗用量，由承包人依据招标文件约定的计价方式及标准在14日内提出，并根据中标的下浮率执行相应的优惠，所有变更的单价作为结算依据，由审计单位审计时确定，未在14日内将提出变更价格造成损失的由承包人承担；（4）因承包人自身原因导致的工程变更，承包人无权要求追加合同价款；（5）签证：签证单上必须有发包人代表、监理工程师、承包人项目负责人签字和盖章，方可作为竣工结算的依据；签证单上必须明确签证的原因、位置、尺寸、数量、材料、人工、机械台班和签证时间等；（6）政策性调整按政策文件规定调整方法进行；（7）其他事项：双方另行协商。</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Start w:id="348" w:name="_Toc296503197"/>
      <w:bookmarkStart w:id="349" w:name="_Toc297216203"/>
      <w:bookmarkStart w:id="350" w:name="_Toc292559907"/>
      <w:bookmarkStart w:id="351" w:name="_Toc296891025"/>
      <w:bookmarkStart w:id="352" w:name="_Toc296891237"/>
      <w:bookmarkStart w:id="353" w:name="_Toc300934993"/>
      <w:bookmarkStart w:id="354" w:name="_Toc292559402"/>
      <w:bookmarkStart w:id="355" w:name="_Toc303539150"/>
      <w:bookmarkStart w:id="356" w:name="_Toc297123544"/>
      <w:bookmarkStart w:id="357" w:name="_Toc297120497"/>
      <w:bookmarkStart w:id="358" w:name="_Toc296347196"/>
      <w:bookmarkStart w:id="359" w:name="_Toc296346698"/>
      <w:bookmarkStart w:id="360" w:name="_Toc296944536"/>
      <w:bookmarkStart w:id="361" w:name="_Toc297048383"/>
      <w:bookmarkStart w:id="362" w:name="_Toc304295570"/>
      <w:bookmarkStart w:id="363" w:name="_Toc312677503"/>
      <w:bookmarkStart w:id="364" w:name="_Toc312678029"/>
      <w:r>
        <w:rPr>
          <w:rFonts w:asciiTheme="minorEastAsia" w:hAnsiTheme="minorEastAsia" w:eastAsiaTheme="minorEastAsia"/>
          <w:color w:val="auto"/>
          <w:sz w:val="24"/>
          <w:szCs w:val="24"/>
          <w:highlight w:val="none"/>
        </w:rPr>
        <w:t>0.5承</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5" w:name="_Toc292559408"/>
      <w:bookmarkStart w:id="366" w:name="_Toc300934994"/>
      <w:bookmarkStart w:id="367" w:name="_Toc297123545"/>
      <w:bookmarkStart w:id="368" w:name="_Toc297120503"/>
      <w:bookmarkStart w:id="369" w:name="_Toc296346704"/>
      <w:bookmarkStart w:id="370" w:name="_Toc296891031"/>
      <w:bookmarkStart w:id="371" w:name="_Toc297048389"/>
      <w:bookmarkStart w:id="372" w:name="_Toc292559913"/>
      <w:bookmarkStart w:id="373" w:name="_Toc296503203"/>
      <w:bookmarkStart w:id="374" w:name="_Toc297216204"/>
      <w:bookmarkStart w:id="375" w:name="_Toc296891243"/>
      <w:bookmarkStart w:id="376" w:name="_Toc303539151"/>
      <w:bookmarkStart w:id="377" w:name="_Toc296944542"/>
      <w:bookmarkStart w:id="378" w:name="_Toc296347202"/>
      <w:r>
        <w:rPr>
          <w:rFonts w:asciiTheme="minorEastAsia" w:hAnsiTheme="minorEastAsia" w:eastAsiaTheme="minorEastAsia"/>
          <w:color w:val="auto"/>
          <w:sz w:val="24"/>
          <w:szCs w:val="24"/>
          <w:highlight w:val="none"/>
        </w:rPr>
        <w:t>包人的合理化建议</w:t>
      </w: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监理人审查承包人合理化建议的期限：</w:t>
      </w:r>
      <w:r>
        <w:rPr>
          <w:rFonts w:cs="Arial" w:asciiTheme="minorEastAsia" w:hAnsiTheme="minorEastAsia" w:eastAsiaTheme="minorEastAsia"/>
          <w:color w:val="auto"/>
          <w:sz w:val="24"/>
          <w:szCs w:val="24"/>
          <w:highlight w:val="none"/>
          <w:u w:val="single"/>
          <w:shd w:val="clear" w:color="auto" w:fill="FFFFFF"/>
        </w:rPr>
        <w:t>7天</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发包人审批承包人合理化建议的期限：</w:t>
      </w:r>
      <w:r>
        <w:rPr>
          <w:rFonts w:cs="Arial" w:asciiTheme="minorEastAsia" w:hAnsiTheme="minorEastAsia" w:eastAsiaTheme="minorEastAsia"/>
          <w:color w:val="auto"/>
          <w:sz w:val="24"/>
          <w:szCs w:val="24"/>
          <w:highlight w:val="none"/>
          <w:u w:val="single"/>
          <w:shd w:val="clear" w:color="auto" w:fill="FFFFFF"/>
        </w:rPr>
        <w:t>7天</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承</w:t>
      </w:r>
      <w:bookmarkStart w:id="379" w:name="_Toc312677504"/>
      <w:bookmarkStart w:id="380" w:name="_Toc292559914"/>
      <w:bookmarkStart w:id="381" w:name="_Toc296346705"/>
      <w:bookmarkStart w:id="382" w:name="_Toc304295571"/>
      <w:bookmarkStart w:id="383" w:name="_Toc292559409"/>
      <w:bookmarkStart w:id="384" w:name="_Toc297120504"/>
      <w:bookmarkStart w:id="385" w:name="_Toc303539152"/>
      <w:bookmarkStart w:id="386" w:name="_Toc312678030"/>
      <w:bookmarkStart w:id="387" w:name="_Toc296891244"/>
      <w:bookmarkStart w:id="388" w:name="_Toc296347203"/>
      <w:bookmarkStart w:id="389" w:name="_Toc296891032"/>
      <w:bookmarkStart w:id="390" w:name="_Toc297123546"/>
      <w:bookmarkStart w:id="391" w:name="_Toc296944543"/>
      <w:bookmarkStart w:id="392" w:name="_Toc300934995"/>
      <w:bookmarkStart w:id="393" w:name="_Toc297048390"/>
      <w:bookmarkStart w:id="394" w:name="_Toc296503204"/>
      <w:bookmarkStart w:id="395" w:name="_Toc318581175"/>
      <w:bookmarkStart w:id="396" w:name="_Toc297216205"/>
      <w:r>
        <w:rPr>
          <w:rFonts w:asciiTheme="minorEastAsia" w:hAnsiTheme="minorEastAsia" w:eastAsiaTheme="minorEastAsia"/>
          <w:color w:val="auto"/>
          <w:sz w:val="24"/>
          <w:szCs w:val="24"/>
          <w:highlight w:val="none"/>
        </w:rPr>
        <w:t>包人提出的合理化建议降低了合同价格或者提高了工程经济效益的奖励的方法和金额为：</w:t>
      </w:r>
      <w:r>
        <w:rPr>
          <w:rFonts w:hint="eastAsia" w:asciiTheme="minorEastAsia" w:hAnsiTheme="minorEastAsia" w:eastAsiaTheme="minorEastAsia"/>
          <w:color w:val="auto"/>
          <w:sz w:val="24"/>
          <w:szCs w:val="24"/>
          <w:highlight w:val="none"/>
          <w:u w:val="single"/>
        </w:rPr>
        <w:t>无</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bookmarkStart w:id="397" w:name="_Toc296891027"/>
      <w:bookmarkStart w:id="398" w:name="_Toc297216207"/>
      <w:bookmarkStart w:id="399" w:name="_Toc304295574"/>
      <w:bookmarkStart w:id="400" w:name="_Toc297123548"/>
      <w:bookmarkStart w:id="401" w:name="_Toc297120499"/>
      <w:bookmarkStart w:id="402" w:name="_Toc312678033"/>
      <w:bookmarkStart w:id="403" w:name="_Toc296347198"/>
      <w:bookmarkStart w:id="404" w:name="_Toc296503199"/>
      <w:bookmarkStart w:id="405" w:name="_Toc300934997"/>
      <w:bookmarkStart w:id="406" w:name="_Toc292559909"/>
      <w:bookmarkStart w:id="407" w:name="_Toc312677507"/>
      <w:bookmarkStart w:id="408" w:name="_Toc297048385"/>
      <w:bookmarkStart w:id="409" w:name="_Toc296891239"/>
      <w:bookmarkStart w:id="410" w:name="_Toc303539154"/>
      <w:bookmarkStart w:id="411" w:name="_Toc296944538"/>
      <w:bookmarkStart w:id="412" w:name="_Toc292559404"/>
      <w:bookmarkStart w:id="413" w:name="_Toc296346700"/>
      <w:r>
        <w:rPr>
          <w:rFonts w:asciiTheme="minorEastAsia" w:hAnsiTheme="minorEastAsia" w:eastAsiaTheme="minorEastAsia"/>
          <w:color w:val="auto"/>
          <w:sz w:val="24"/>
          <w:szCs w:val="24"/>
          <w:highlight w:val="none"/>
        </w:rPr>
        <w:t>0.7 暂估价</w:t>
      </w:r>
    </w:p>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kern w:val="0"/>
          <w:sz w:val="24"/>
          <w:szCs w:val="24"/>
          <w:highlight w:val="none"/>
        </w:rPr>
        <w:t>暂</w:t>
      </w:r>
      <w:bookmarkStart w:id="414" w:name="_Toc312677508"/>
      <w:bookmarkStart w:id="415" w:name="_Toc312678034"/>
      <w:bookmarkStart w:id="416" w:name="_Toc318581176"/>
      <w:r>
        <w:rPr>
          <w:rFonts w:asciiTheme="minorEastAsia" w:hAnsiTheme="minorEastAsia" w:eastAsiaTheme="minorEastAsia"/>
          <w:color w:val="auto"/>
          <w:kern w:val="0"/>
          <w:sz w:val="24"/>
          <w:szCs w:val="24"/>
          <w:highlight w:val="none"/>
        </w:rPr>
        <w:t>估价材料和工程设备的明细详见附件</w:t>
      </w:r>
      <w:r>
        <w:rPr>
          <w:rFonts w:hint="eastAsia" w:asciiTheme="minorEastAsia" w:hAnsiTheme="minorEastAsia" w:eastAsiaTheme="minorEastAsia"/>
          <w:color w:val="auto"/>
          <w:kern w:val="0"/>
          <w:sz w:val="24"/>
          <w:szCs w:val="24"/>
          <w:highlight w:val="none"/>
        </w:rPr>
        <w:t>11：《</w:t>
      </w:r>
      <w:r>
        <w:rPr>
          <w:rFonts w:asciiTheme="minorEastAsia" w:hAnsiTheme="minorEastAsia" w:eastAsiaTheme="minorEastAsia"/>
          <w:color w:val="auto"/>
          <w:sz w:val="24"/>
          <w:szCs w:val="24"/>
          <w:highlight w:val="none"/>
        </w:rPr>
        <w:t>暂估价一览表</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kern w:val="0"/>
          <w:sz w:val="24"/>
          <w:szCs w:val="24"/>
          <w:highlight w:val="none"/>
        </w:rPr>
        <w:t>。</w:t>
      </w:r>
    </w:p>
    <w:bookmarkEnd w:id="414"/>
    <w:bookmarkEnd w:id="415"/>
    <w:bookmarkEnd w:id="416"/>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bookmarkStart w:id="417" w:name="_Toc318581177"/>
      <w:bookmarkStart w:id="418" w:name="_Toc312678035"/>
      <w:bookmarkStart w:id="419" w:name="_Toc312677509"/>
      <w:r>
        <w:rPr>
          <w:rFonts w:asciiTheme="minorEastAsia" w:hAnsiTheme="minorEastAsia" w:eastAsiaTheme="minorEastAsia"/>
          <w:color w:val="auto"/>
          <w:sz w:val="24"/>
          <w:szCs w:val="24"/>
          <w:highlight w:val="none"/>
        </w:rPr>
        <w:t>0.7.1 依法必须招标的暂估价项目</w:t>
      </w:r>
    </w:p>
    <w:bookmarkEnd w:id="417"/>
    <w:bookmarkEnd w:id="418"/>
    <w:bookmarkEnd w:id="419"/>
    <w:p>
      <w:pPr>
        <w:ind w:firstLine="480" w:firstLineChars="200"/>
        <w:jc w:val="left"/>
        <w:rPr>
          <w:rFonts w:cs="仿宋_GB2312" w:asciiTheme="minorEastAsia" w:hAnsiTheme="minorEastAsia" w:eastAsiaTheme="minorEastAsia"/>
          <w:color w:val="auto"/>
          <w:sz w:val="24"/>
          <w:szCs w:val="24"/>
          <w:highlight w:val="none"/>
          <w:u w:val="single"/>
        </w:rPr>
      </w:pPr>
      <w:r>
        <w:rPr>
          <w:rFonts w:hint="eastAsia" w:cs="仿宋_GB2312" w:asciiTheme="minorEastAsia" w:hAnsiTheme="minorEastAsia" w:eastAsiaTheme="minorEastAsia"/>
          <w:color w:val="auto"/>
          <w:sz w:val="24"/>
          <w:szCs w:val="24"/>
          <w:highlight w:val="none"/>
          <w:u w:val="single"/>
        </w:rPr>
        <w:t>对于依法必须招标的暂估价项目的确认和批准采取通用合同条款中第2种方式确定。</w:t>
      </w:r>
      <w:r>
        <w:rPr>
          <w:rFonts w:cs="仿宋_GB2312" w:asciiTheme="minorEastAsia" w:hAnsiTheme="minorEastAsia" w:eastAsiaTheme="minorEastAsia"/>
          <w:color w:val="auto"/>
          <w:sz w:val="24"/>
          <w:szCs w:val="24"/>
          <w:highlight w:val="none"/>
          <w:u w:val="single"/>
        </w:rPr>
        <w:t>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10.7.2 不属于依法必须招标的暂估价项目</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对于不属于依法必须招标的暂估价项目的确认和批准采取第</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3</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种方式确定。</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sz w:val="24"/>
          <w:szCs w:val="24"/>
          <w:highlight w:val="none"/>
        </w:rPr>
        <w:t>第3种方式：</w:t>
      </w:r>
      <w:r>
        <w:rPr>
          <w:rFonts w:asciiTheme="minorEastAsia" w:hAnsiTheme="minorEastAsia" w:eastAsiaTheme="minorEastAsia"/>
          <w:color w:val="auto"/>
          <w:kern w:val="0"/>
          <w:sz w:val="24"/>
          <w:szCs w:val="24"/>
          <w:highlight w:val="none"/>
        </w:rPr>
        <w:t>承包人直接实施的暂估价项目</w:t>
      </w:r>
    </w:p>
    <w:p>
      <w:pPr>
        <w:ind w:firstLine="480" w:firstLineChars="2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承包人直接实施的暂估价项目的约定：</w:t>
      </w:r>
      <w:r>
        <w:rPr>
          <w:rFonts w:hint="eastAsia" w:asciiTheme="minorEastAsia" w:hAnsiTheme="minorEastAsia" w:eastAsiaTheme="minorEastAsia"/>
          <w:color w:val="auto"/>
          <w:sz w:val="24"/>
          <w:szCs w:val="24"/>
          <w:highlight w:val="none"/>
          <w:u w:val="single"/>
        </w:rPr>
        <w:t>由建设单位根据项目施工情况确定使用，价格最终以上级主管部门（或建设单位）委托的结算审计单位审核确定的价格为准。</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10.8 暂列金额</w:t>
      </w:r>
    </w:p>
    <w:p>
      <w:pPr>
        <w:autoSpaceDE w:val="0"/>
        <w:autoSpaceDN w:val="0"/>
        <w:adjustRightInd w:val="0"/>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合同当事人关于暂列金额使用的约定：</w:t>
      </w:r>
      <w:r>
        <w:rPr>
          <w:rFonts w:asciiTheme="minorEastAsia" w:hAnsiTheme="minorEastAsia" w:eastAsiaTheme="minorEastAsia"/>
          <w:color w:val="auto"/>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u w:val="single"/>
        </w:rPr>
        <w:t>按《通用条款》执行</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kern w:val="0"/>
          <w:sz w:val="24"/>
          <w:szCs w:val="24"/>
          <w:highlight w:val="none"/>
        </w:rPr>
        <w:t>。</w:t>
      </w:r>
    </w:p>
    <w:p>
      <w:pPr>
        <w:pStyle w:val="7"/>
        <w:rPr>
          <w:rFonts w:asciiTheme="minorEastAsia" w:hAnsiTheme="minorEastAsia" w:eastAsiaTheme="minorEastAsia"/>
          <w:b w:val="0"/>
          <w:color w:val="auto"/>
          <w:sz w:val="24"/>
          <w:szCs w:val="24"/>
          <w:highlight w:val="none"/>
        </w:rPr>
      </w:pPr>
      <w:bookmarkStart w:id="420" w:name="_Toc351203643"/>
      <w:r>
        <w:rPr>
          <w:rFonts w:asciiTheme="minorEastAsia" w:hAnsiTheme="minorEastAsia" w:eastAsiaTheme="minorEastAsia"/>
          <w:b w:val="0"/>
          <w:color w:val="auto"/>
          <w:sz w:val="24"/>
          <w:szCs w:val="24"/>
          <w:highlight w:val="none"/>
        </w:rPr>
        <w:t>11. 价格调整</w:t>
      </w:r>
      <w:bookmarkEnd w:id="420"/>
    </w:p>
    <w:p>
      <w:pPr>
        <w:spacing w:after="120"/>
        <w:ind w:firstLine="480" w:firstLineChars="200"/>
        <w:rPr>
          <w:rFonts w:asciiTheme="minorEastAsia" w:hAnsiTheme="minorEastAsia" w:eastAsiaTheme="minorEastAsia"/>
          <w:color w:val="auto"/>
          <w:sz w:val="24"/>
          <w:szCs w:val="24"/>
          <w:highlight w:val="none"/>
        </w:rPr>
      </w:pPr>
      <w:bookmarkStart w:id="421" w:name="_Toc292559406"/>
      <w:bookmarkStart w:id="422" w:name="_Toc297120501"/>
      <w:bookmarkStart w:id="423" w:name="_Toc296346702"/>
      <w:bookmarkStart w:id="424" w:name="_Toc312678039"/>
      <w:bookmarkStart w:id="425" w:name="_Toc292559911"/>
      <w:bookmarkStart w:id="426" w:name="_Toc296891029"/>
      <w:bookmarkStart w:id="427" w:name="_Toc304295577"/>
      <w:bookmarkStart w:id="428" w:name="_Toc303539157"/>
      <w:bookmarkStart w:id="429" w:name="_Toc297123550"/>
      <w:bookmarkStart w:id="430" w:name="_Toc296944540"/>
      <w:bookmarkStart w:id="431" w:name="_Toc297216209"/>
      <w:bookmarkStart w:id="432" w:name="_Toc296503201"/>
      <w:bookmarkStart w:id="433" w:name="_Toc296347200"/>
      <w:bookmarkStart w:id="434" w:name="_Toc296891241"/>
      <w:bookmarkStart w:id="435" w:name="_Toc297048387"/>
      <w:bookmarkStart w:id="436" w:name="_Toc300935000"/>
      <w:r>
        <w:rPr>
          <w:rFonts w:asciiTheme="minorEastAsia" w:hAnsiTheme="minorEastAsia" w:eastAsiaTheme="minorEastAsia"/>
          <w:color w:val="auto"/>
          <w:sz w:val="24"/>
          <w:szCs w:val="24"/>
          <w:highlight w:val="none"/>
        </w:rPr>
        <w:t>11.1 市场价格波动引起的调整</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Pr>
        <w:ind w:firstLine="480" w:firstLineChars="2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kern w:val="0"/>
          <w:sz w:val="24"/>
          <w:szCs w:val="24"/>
          <w:highlight w:val="none"/>
        </w:rPr>
        <w:t>市场价格波动是否调整合同价格的约定：</w:t>
      </w:r>
      <w:r>
        <w:rPr>
          <w:rFonts w:hint="eastAsia" w:cs="仿宋_GB2312" w:asciiTheme="minorEastAsia" w:hAnsiTheme="minorEastAsia" w:eastAsiaTheme="minorEastAsia"/>
          <w:color w:val="auto"/>
          <w:kern w:val="0"/>
          <w:sz w:val="24"/>
          <w:szCs w:val="24"/>
          <w:highlight w:val="none"/>
          <w:u w:val="single"/>
        </w:rPr>
        <w:t>工程量清单存在缺项、漏项或错误时的可调整合同价格。</w:t>
      </w:r>
    </w:p>
    <w:p>
      <w:pPr>
        <w:ind w:firstLine="480" w:firstLineChars="200"/>
        <w:rPr>
          <w:rFonts w:asciiTheme="minorEastAsia" w:hAnsiTheme="minorEastAsia" w:eastAsiaTheme="minorEastAsia"/>
          <w:color w:val="auto"/>
          <w:sz w:val="24"/>
          <w:szCs w:val="24"/>
          <w:highlight w:val="none"/>
          <w:u w:val="single"/>
        </w:rPr>
      </w:pPr>
      <w:r>
        <w:rPr>
          <w:rFonts w:hint="eastAsia" w:cs="仿宋_GB2312" w:asciiTheme="minorEastAsia" w:hAnsiTheme="minorEastAsia" w:eastAsiaTheme="minorEastAsia"/>
          <w:color w:val="auto"/>
          <w:sz w:val="24"/>
          <w:szCs w:val="24"/>
          <w:highlight w:val="none"/>
          <w:u w:val="single"/>
        </w:rPr>
        <w:t>施工期间内主要材料价格变动超过</w:t>
      </w:r>
      <w:r>
        <w:rPr>
          <w:rFonts w:cs="Arial" w:asciiTheme="minorEastAsia" w:hAnsiTheme="minorEastAsia" w:eastAsiaTheme="minorEastAsia"/>
          <w:color w:val="auto"/>
          <w:sz w:val="24"/>
          <w:szCs w:val="24"/>
          <w:highlight w:val="none"/>
          <w:u w:val="single"/>
          <w:shd w:val="clear" w:color="auto" w:fill="FFFFFF"/>
        </w:rPr>
        <w:t>±</w:t>
      </w:r>
      <w:r>
        <w:rPr>
          <w:rFonts w:hint="eastAsia" w:cs="仿宋_GB2312" w:asciiTheme="minorEastAsia" w:hAnsiTheme="minorEastAsia" w:eastAsiaTheme="minorEastAsia"/>
          <w:color w:val="auto"/>
          <w:sz w:val="24"/>
          <w:szCs w:val="24"/>
          <w:highlight w:val="none"/>
          <w:u w:val="single"/>
        </w:rPr>
        <w:t>10%的部分执行苏建价（2008）67号文，如不涉及主材，则不适用价格调整</w:t>
      </w:r>
      <w:r>
        <w:rPr>
          <w:rFonts w:hint="eastAsia" w:asciiTheme="minorEastAsia" w:hAnsiTheme="minorEastAsia" w:eastAsiaTheme="minorEastAsia"/>
          <w:color w:val="auto"/>
          <w:sz w:val="24"/>
          <w:szCs w:val="24"/>
          <w:highlight w:val="none"/>
          <w:u w:val="single"/>
        </w:rPr>
        <w:t>。</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措施项目费：</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（1）措施费应包括但不限于临时设施费、建筑工人实名制费用、智慧工地费用以及本项目涉及到的其他措施所发生的所有费用，应是承包人对施工现场进行实地踏勘后的准确报价；</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2）措施费中除现场安全文明施工措施费外的其他措施费均以包干形式计入报价，各种措施费用无论在工程量清单中是否单独列出承包人都应包含在自己的投标报价中，结算时与分部分项工程量变化、设计变更、现场签证等均无关，不再调增；</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（3）投标报价中含有的措施项目费，在实际施工时未发生的或者比投标报价中可计量工程量减少的部分在结算时可予以按比例扣减。</w:t>
      </w:r>
    </w:p>
    <w:bookmarkEnd w:id="324"/>
    <w:bookmarkEnd w:id="325"/>
    <w:bookmarkEnd w:id="326"/>
    <w:bookmarkEnd w:id="327"/>
    <w:bookmarkEnd w:id="328"/>
    <w:bookmarkEnd w:id="329"/>
    <w:p>
      <w:pPr>
        <w:pStyle w:val="7"/>
        <w:rPr>
          <w:rFonts w:asciiTheme="minorEastAsia" w:hAnsiTheme="minorEastAsia" w:eastAsiaTheme="minorEastAsia"/>
          <w:b w:val="0"/>
          <w:color w:val="auto"/>
          <w:sz w:val="24"/>
          <w:szCs w:val="24"/>
          <w:highlight w:val="none"/>
        </w:rPr>
      </w:pPr>
      <w:bookmarkStart w:id="437" w:name="_Toc292559410"/>
      <w:bookmarkStart w:id="438" w:name="_Toc292559915"/>
      <w:bookmarkStart w:id="439" w:name="_Toc296503205"/>
      <w:bookmarkStart w:id="440" w:name="_Toc296944544"/>
      <w:bookmarkStart w:id="441" w:name="_Toc297048391"/>
      <w:bookmarkStart w:id="442" w:name="_Toc296346706"/>
      <w:bookmarkStart w:id="443" w:name="_Toc296347204"/>
      <w:bookmarkStart w:id="444" w:name="_Toc297120505"/>
      <w:bookmarkStart w:id="445" w:name="_Toc296891245"/>
      <w:bookmarkStart w:id="446" w:name="_Toc296891033"/>
      <w:bookmarkStart w:id="447" w:name="_Toc351203644"/>
      <w:bookmarkStart w:id="448" w:name="_Toc297123552"/>
      <w:bookmarkStart w:id="449" w:name="_Toc312678040"/>
      <w:bookmarkStart w:id="450" w:name="_Toc303539159"/>
      <w:bookmarkStart w:id="451" w:name="_Toc300935002"/>
      <w:bookmarkStart w:id="452" w:name="_Toc304295579"/>
      <w:bookmarkStart w:id="453" w:name="_Toc297216211"/>
      <w:r>
        <w:rPr>
          <w:rFonts w:asciiTheme="minorEastAsia" w:hAnsiTheme="minorEastAsia" w:eastAsiaTheme="minorEastAsia"/>
          <w:b w:val="0"/>
          <w:color w:val="auto"/>
          <w:sz w:val="24"/>
          <w:szCs w:val="24"/>
          <w:highlight w:val="none"/>
        </w:rPr>
        <w:t xml:space="preserve">12. </w:t>
      </w:r>
      <w:bookmarkEnd w:id="437"/>
      <w:bookmarkEnd w:id="438"/>
      <w:bookmarkEnd w:id="439"/>
      <w:bookmarkEnd w:id="440"/>
      <w:bookmarkEnd w:id="441"/>
      <w:bookmarkEnd w:id="442"/>
      <w:bookmarkEnd w:id="443"/>
      <w:bookmarkEnd w:id="444"/>
      <w:bookmarkEnd w:id="445"/>
      <w:bookmarkEnd w:id="446"/>
      <w:r>
        <w:rPr>
          <w:rFonts w:asciiTheme="minorEastAsia" w:hAnsiTheme="minorEastAsia" w:eastAsiaTheme="minorEastAsia"/>
          <w:b w:val="0"/>
          <w:color w:val="auto"/>
          <w:sz w:val="24"/>
          <w:szCs w:val="24"/>
          <w:highlight w:val="none"/>
        </w:rPr>
        <w:t>合同价格、计量与支付</w:t>
      </w:r>
      <w:bookmarkEnd w:id="447"/>
    </w:p>
    <w:bookmarkEnd w:id="448"/>
    <w:bookmarkEnd w:id="449"/>
    <w:bookmarkEnd w:id="450"/>
    <w:bookmarkEnd w:id="451"/>
    <w:bookmarkEnd w:id="452"/>
    <w:bookmarkEnd w:id="453"/>
    <w:p>
      <w:pPr>
        <w:spacing w:after="120"/>
        <w:ind w:firstLine="480" w:firstLineChars="200"/>
        <w:rPr>
          <w:rFonts w:asciiTheme="minorEastAsia" w:hAnsiTheme="minorEastAsia" w:eastAsiaTheme="minorEastAsia"/>
          <w:color w:val="auto"/>
          <w:sz w:val="24"/>
          <w:szCs w:val="24"/>
          <w:highlight w:val="none"/>
        </w:rPr>
      </w:pPr>
      <w:bookmarkStart w:id="454" w:name="_Toc292559916"/>
      <w:bookmarkStart w:id="455" w:name="_Toc292559411"/>
      <w:bookmarkStart w:id="456" w:name="_Toc267251461"/>
      <w:bookmarkStart w:id="457" w:name="_Toc296944545"/>
      <w:bookmarkStart w:id="458" w:name="_Toc296891034"/>
      <w:bookmarkStart w:id="459" w:name="_Toc297120506"/>
      <w:bookmarkStart w:id="460" w:name="_Toc296891246"/>
      <w:bookmarkStart w:id="461" w:name="_Toc296347205"/>
      <w:bookmarkStart w:id="462" w:name="_Toc296346707"/>
      <w:bookmarkStart w:id="463" w:name="_Toc296503206"/>
      <w:bookmarkStart w:id="464" w:name="_Toc297048392"/>
      <w:bookmarkStart w:id="465" w:name="_Toc303539160"/>
      <w:bookmarkStart w:id="466" w:name="_Toc312678041"/>
      <w:bookmarkStart w:id="467" w:name="_Toc297216212"/>
      <w:bookmarkStart w:id="468" w:name="_Toc300935003"/>
      <w:bookmarkStart w:id="469" w:name="_Toc304295580"/>
      <w:bookmarkStart w:id="470" w:name="_Toc297123553"/>
      <w:r>
        <w:rPr>
          <w:rFonts w:asciiTheme="minorEastAsia" w:hAnsiTheme="minorEastAsia" w:eastAsiaTheme="minorEastAsia"/>
          <w:color w:val="auto"/>
          <w:sz w:val="24"/>
          <w:szCs w:val="24"/>
          <w:highlight w:val="none"/>
        </w:rPr>
        <w:t>12.1 合</w:t>
      </w:r>
      <w:bookmarkEnd w:id="454"/>
      <w:bookmarkEnd w:id="455"/>
      <w:bookmarkEnd w:id="456"/>
      <w:r>
        <w:rPr>
          <w:rFonts w:asciiTheme="minorEastAsia" w:hAnsiTheme="minorEastAsia" w:eastAsiaTheme="minorEastAsia"/>
          <w:color w:val="auto"/>
          <w:sz w:val="24"/>
          <w:szCs w:val="24"/>
          <w:highlight w:val="none"/>
        </w:rPr>
        <w:t>同价</w:t>
      </w:r>
      <w:bookmarkEnd w:id="457"/>
      <w:bookmarkEnd w:id="458"/>
      <w:bookmarkEnd w:id="459"/>
      <w:bookmarkEnd w:id="460"/>
      <w:bookmarkEnd w:id="461"/>
      <w:bookmarkEnd w:id="462"/>
      <w:bookmarkEnd w:id="463"/>
      <w:bookmarkEnd w:id="464"/>
      <w:r>
        <w:rPr>
          <w:rFonts w:asciiTheme="minorEastAsia" w:hAnsiTheme="minorEastAsia" w:eastAsiaTheme="minorEastAsia"/>
          <w:color w:val="auto"/>
          <w:sz w:val="24"/>
          <w:szCs w:val="24"/>
          <w:highlight w:val="none"/>
        </w:rPr>
        <w:t>格形式</w:t>
      </w:r>
      <w:bookmarkEnd w:id="465"/>
      <w:bookmarkEnd w:id="466"/>
      <w:bookmarkEnd w:id="467"/>
      <w:bookmarkEnd w:id="468"/>
      <w:bookmarkEnd w:id="469"/>
      <w:bookmarkEnd w:id="470"/>
      <w:r>
        <w:rPr>
          <w:rFonts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单价合同</w:t>
      </w:r>
      <w:r>
        <w:rPr>
          <w:rFonts w:hint="eastAsia" w:asciiTheme="minorEastAsia" w:hAnsiTheme="minorEastAsia" w:eastAsiaTheme="minorEastAsia"/>
          <w:color w:val="auto"/>
          <w:sz w:val="24"/>
          <w:szCs w:val="24"/>
          <w:highlight w:val="none"/>
          <w:u w:val="single"/>
        </w:rPr>
        <w:t>（限定最高总价）</w:t>
      </w:r>
      <w:r>
        <w:rPr>
          <w:rFonts w:asciiTheme="minorEastAsia" w:hAnsiTheme="minorEastAsia" w:eastAsiaTheme="minorEastAsia"/>
          <w:color w:val="auto"/>
          <w:sz w:val="24"/>
          <w:szCs w:val="24"/>
          <w:highlight w:val="none"/>
        </w:rPr>
        <w:t>。</w:t>
      </w:r>
    </w:p>
    <w:p>
      <w:pPr>
        <w:ind w:firstLine="480" w:firstLineChars="200"/>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本项目中标价为最高结算总价，如未得到甲方同意增加总价款的书面批准，甲方可拒付超出中标价的价款。</w:t>
      </w:r>
    </w:p>
    <w:p>
      <w:pPr>
        <w:ind w:firstLine="480" w:firstLineChars="2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综合单价包含的风险范围：</w:t>
      </w:r>
      <w:r>
        <w:rPr>
          <w:rFonts w:hint="eastAsia" w:asciiTheme="minorEastAsia" w:hAnsiTheme="minorEastAsia" w:eastAsiaTheme="minorEastAsia"/>
          <w:color w:val="auto"/>
          <w:sz w:val="24"/>
          <w:szCs w:val="24"/>
          <w:highlight w:val="none"/>
          <w:u w:val="single"/>
        </w:rPr>
        <w:t>（1）投标报价时人工、材料、机械台班单价与工程实施的差异，市场价格波动、措施项目费等承包人原因引起的工期延误所造成的费用增加；对图纸、清单、现场条件的理解偏差及预测不足导致的报价失误及费用增加；（2）施工管理不当带来的人工、机械的窝工，材料使用不当带来的材料浪费等。（3）按合同工期完工所采取的赶工措施费；在实际施工中改变既定的施工组织、施工顺序、施工方法导致的费用增加风险（包括技术和其他措施费用），以及管理不善带来的管理费增加。（4）利润不合理取值带来的风险。（5）合同约定的其他由承包人承担的降效风险。</w:t>
      </w:r>
    </w:p>
    <w:p>
      <w:pPr>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投标人在投标报价时，要结合场地踏勘情况，充分考虑施工现场场地狭小等限制原因，对材料堆场、加工点及各类临时设施的搭建等进行合理布置，费用在投标报价中综合考虑，结算时与此相关项均不作调整。如需招标人协调，由此产生的相关协调费用亦由中标人支付。</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风险费用的计算方法：</w:t>
      </w:r>
      <w:r>
        <w:rPr>
          <w:rFonts w:hint="eastAsia" w:asciiTheme="minorEastAsia" w:hAnsiTheme="minorEastAsia" w:eastAsiaTheme="minorEastAsia"/>
          <w:color w:val="auto"/>
          <w:sz w:val="24"/>
          <w:szCs w:val="24"/>
          <w:highlight w:val="none"/>
          <w:u w:val="single"/>
        </w:rPr>
        <w:t>投标人在投标报价中已经考虑,不再另行计取</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风险范围以外合同价格的调整方法：</w:t>
      </w:r>
      <w:r>
        <w:rPr>
          <w:rFonts w:hint="eastAsia" w:cs="仿宋_GB2312" w:asciiTheme="minorEastAsia" w:hAnsiTheme="minorEastAsia" w:eastAsiaTheme="minorEastAsia"/>
          <w:color w:val="auto"/>
          <w:sz w:val="24"/>
          <w:szCs w:val="24"/>
          <w:highlight w:val="none"/>
          <w:u w:val="single"/>
        </w:rPr>
        <w:t>设计变更、发包方和监理方均认可的签证、招标图纸以外新增加的工程项目、发包人所提供的工程量清单中的重大偏差或漏项以及主要材料价格变动；增加或减少工程量清单中已有的项目，无论增减幅度多大，均按投标时的单价进行增减；相近或相似的项目，仅作主要材料变换的，也仅对变更后发包人指定产品的采购价差部分进行调整后并入结算价（含相关税费）；但不论是增加或减少工程量清单中已有的项目还是相近或相似的工程项目如承包人在投标文件中所报的单价明显高于市场价时，发包人有权按施工期间的市场价进行调整，承包人不得因此提出任何异议；清单中无此项的增加项，按编制工程预算时使用的定额编制及取费后予以下浮，下浮率为投标总价与招标人委托编制的工程控制价的下浮比率；因发包人提供的工程量清单中分部分项工程工程量的偏差或漏项对该项造价的影响在2000元以内的部分不予调整，大于2000元的部分按前述原则调整</w:t>
      </w:r>
      <w:r>
        <w:rPr>
          <w:rFonts w:asciiTheme="minorEastAsia" w:hAnsiTheme="minorEastAsia" w:eastAsiaTheme="minorEastAsia"/>
          <w:color w:val="auto"/>
          <w:sz w:val="24"/>
          <w:szCs w:val="24"/>
          <w:highlight w:val="none"/>
        </w:rPr>
        <w:t>。</w:t>
      </w:r>
    </w:p>
    <w:p>
      <w:pPr>
        <w:spacing w:after="120"/>
        <w:ind w:firstLine="480" w:firstLineChars="200"/>
        <w:rPr>
          <w:rFonts w:asciiTheme="minorEastAsia" w:hAnsiTheme="minorEastAsia" w:eastAsiaTheme="minorEastAsia"/>
          <w:color w:val="auto"/>
          <w:sz w:val="24"/>
          <w:szCs w:val="24"/>
          <w:highlight w:val="none"/>
        </w:rPr>
      </w:pPr>
      <w:bookmarkStart w:id="471" w:name="_Toc304295581"/>
      <w:bookmarkStart w:id="472" w:name="_Toc303539161"/>
      <w:bookmarkStart w:id="473" w:name="_Toc300935004"/>
      <w:bookmarkStart w:id="474" w:name="_Toc297216213"/>
      <w:bookmarkStart w:id="475" w:name="_Toc297123554"/>
      <w:bookmarkStart w:id="476" w:name="_Toc312678042"/>
      <w:bookmarkStart w:id="477" w:name="_Toc297120507"/>
      <w:bookmarkStart w:id="478" w:name="_Toc292559917"/>
      <w:bookmarkStart w:id="479" w:name="_Toc296891035"/>
      <w:bookmarkStart w:id="480" w:name="_Toc296891247"/>
      <w:bookmarkStart w:id="481" w:name="_Toc296503207"/>
      <w:bookmarkStart w:id="482" w:name="_Toc296347206"/>
      <w:bookmarkStart w:id="483" w:name="_Toc297048393"/>
      <w:bookmarkStart w:id="484" w:name="_Toc292559412"/>
      <w:bookmarkStart w:id="485" w:name="_Toc296346708"/>
      <w:bookmarkStart w:id="486" w:name="_Toc296944546"/>
      <w:r>
        <w:rPr>
          <w:rFonts w:asciiTheme="minorEastAsia" w:hAnsiTheme="minorEastAsia" w:eastAsiaTheme="minorEastAsia"/>
          <w:color w:val="auto"/>
          <w:sz w:val="24"/>
          <w:szCs w:val="24"/>
          <w:highlight w:val="none"/>
        </w:rPr>
        <w:t>12.2 预付款</w:t>
      </w:r>
    </w:p>
    <w:bookmarkEnd w:id="471"/>
    <w:bookmarkEnd w:id="472"/>
    <w:bookmarkEnd w:id="473"/>
    <w:bookmarkEnd w:id="474"/>
    <w:bookmarkEnd w:id="475"/>
    <w:bookmarkEnd w:id="476"/>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12.2.1 预付款的支付</w:t>
      </w:r>
    </w:p>
    <w:p>
      <w:pPr>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预付款支付比例或金额：</w:t>
      </w:r>
      <w:r>
        <w:rPr>
          <w:rFonts w:hint="eastAsia" w:asciiTheme="minorEastAsia" w:hAnsiTheme="minorEastAsia" w:eastAsiaTheme="minorEastAsia"/>
          <w:color w:val="auto"/>
          <w:sz w:val="24"/>
          <w:szCs w:val="24"/>
          <w:highlight w:val="none"/>
          <w:u w:val="single"/>
        </w:rPr>
        <w:t>10%（扣除暂列金额及专业工程暂估价）。</w:t>
      </w:r>
    </w:p>
    <w:p>
      <w:pPr>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预付款支付期限：</w:t>
      </w:r>
      <w:r>
        <w:rPr>
          <w:rFonts w:hint="eastAsia" w:asciiTheme="minorEastAsia" w:hAnsiTheme="minorEastAsia" w:eastAsiaTheme="minorEastAsia"/>
          <w:color w:val="auto"/>
          <w:sz w:val="24"/>
          <w:szCs w:val="24"/>
          <w:highlight w:val="none"/>
          <w:u w:val="single"/>
        </w:rPr>
        <w:t xml:space="preserve"> 合同签订并主要人员、机械进场15天内 </w:t>
      </w:r>
      <w:r>
        <w:rPr>
          <w:rFonts w:hint="eastAsia"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预付款扣回的方式：</w:t>
      </w:r>
      <w:r>
        <w:rPr>
          <w:rFonts w:hint="eastAsia" w:asciiTheme="minorEastAsia" w:hAnsiTheme="minorEastAsia" w:eastAsiaTheme="minorEastAsia"/>
          <w:color w:val="auto"/>
          <w:sz w:val="24"/>
          <w:szCs w:val="24"/>
          <w:highlight w:val="none"/>
          <w:u w:val="single"/>
        </w:rPr>
        <w:t>在支付第1次、第2次、第3次工程进度款时分别按30%、30%、40%的比例扣回，直到全部扣回为止。</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12.2.2 预付款担保</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承包人提交预付款担保的期限：</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预付款担保的形式为：</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bookmarkEnd w:id="477"/>
    <w:bookmarkEnd w:id="478"/>
    <w:bookmarkEnd w:id="479"/>
    <w:bookmarkEnd w:id="480"/>
    <w:bookmarkEnd w:id="481"/>
    <w:bookmarkEnd w:id="482"/>
    <w:bookmarkEnd w:id="483"/>
    <w:bookmarkEnd w:id="484"/>
    <w:bookmarkEnd w:id="485"/>
    <w:bookmarkEnd w:id="486"/>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12.3 计量</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12.3.1 计量原则</w:t>
      </w:r>
    </w:p>
    <w:p>
      <w:pPr>
        <w:ind w:firstLine="422"/>
        <w:rPr>
          <w:rFonts w:cs="仿宋_GB2312"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工程量计算规则：</w:t>
      </w:r>
      <w:r>
        <w:rPr>
          <w:rFonts w:hint="eastAsia" w:asciiTheme="minorEastAsia" w:hAnsiTheme="minorEastAsia" w:eastAsiaTheme="minorEastAsia"/>
          <w:color w:val="auto"/>
          <w:sz w:val="24"/>
          <w:szCs w:val="24"/>
          <w:highlight w:val="none"/>
          <w:u w:val="single"/>
        </w:rPr>
        <w:t>工程量计算规则执行国家标准《建设工程工程量清单计价规范》</w:t>
      </w:r>
      <w:r>
        <w:rPr>
          <w:rFonts w:asciiTheme="minorEastAsia" w:hAnsiTheme="minorEastAsia" w:eastAsiaTheme="minorEastAsia"/>
          <w:color w:val="auto"/>
          <w:sz w:val="24"/>
          <w:szCs w:val="24"/>
          <w:highlight w:val="none"/>
          <w:u w:val="single"/>
        </w:rPr>
        <w:t>(GB50500-2013)或其适用的修订版本，承包人实际完成的工程量按约定的工程量计算规则和经主管部门或发包人批准的图纸进行计量</w:t>
      </w:r>
      <w:r>
        <w:rPr>
          <w:rFonts w:hint="eastAsia" w:cs="仿宋_GB2312" w:asciiTheme="minorEastAsia" w:hAnsiTheme="minorEastAsia" w:eastAsiaTheme="minorEastAsia"/>
          <w:color w:val="auto"/>
          <w:sz w:val="24"/>
          <w:szCs w:val="24"/>
          <w:highlight w:val="none"/>
        </w:rPr>
        <w:t>。</w:t>
      </w:r>
    </w:p>
    <w:p>
      <w:pPr>
        <w:ind w:firstLine="422"/>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不予计量的规定： (a)无开工报告或开工报告未经批准；(b)</w:t>
      </w:r>
      <w:r>
        <w:rPr>
          <w:rFonts w:hint="eastAsia" w:asciiTheme="minorEastAsia" w:hAnsiTheme="minorEastAsia" w:eastAsiaTheme="minorEastAsia"/>
          <w:color w:val="auto"/>
          <w:sz w:val="24"/>
          <w:szCs w:val="24"/>
          <w:highlight w:val="none"/>
          <w:u w:val="single"/>
        </w:rPr>
        <w:t xml:space="preserve"> 不满足设计图纸、技术规范的，无有关工程质量验收资料、手续的，</w:t>
      </w:r>
      <w:r>
        <w:rPr>
          <w:rFonts w:asciiTheme="minorEastAsia" w:hAnsiTheme="minorEastAsia" w:eastAsiaTheme="minorEastAsia"/>
          <w:color w:val="auto"/>
          <w:sz w:val="24"/>
          <w:szCs w:val="24"/>
          <w:highlight w:val="none"/>
          <w:u w:val="single"/>
        </w:rPr>
        <w:t>无计量资料或计量资料不完整；(c)因施工错误而增加的工程量；(d)工程量计算不符合相关计算规则；(e)措施项目超出投标报价措施项目费总额；(f)材料未按规定试验，或未被确认为合格；(g)合同外项目费用未按发包人有关规定办理审批手续</w:t>
      </w:r>
      <w:r>
        <w:rPr>
          <w:rFonts w:hint="eastAsia" w:asciiTheme="minorEastAsia" w:hAnsiTheme="minorEastAsia" w:eastAsiaTheme="minorEastAsia"/>
          <w:color w:val="auto"/>
          <w:sz w:val="24"/>
          <w:szCs w:val="24"/>
          <w:highlight w:val="none"/>
          <w:u w:val="singl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12.3.2 计量周期</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关于计量周期的约定：</w:t>
      </w:r>
      <w:r>
        <w:rPr>
          <w:rFonts w:asciiTheme="minorEastAsia" w:hAnsiTheme="minorEastAsia" w:eastAsiaTheme="minorEastAsia"/>
          <w:color w:val="auto"/>
          <w:sz w:val="24"/>
          <w:szCs w:val="24"/>
          <w:highlight w:val="none"/>
          <w:u w:val="single"/>
        </w:rPr>
        <w:t xml:space="preserve"> </w:t>
      </w:r>
      <w:r>
        <w:rPr>
          <w:rFonts w:hint="eastAsia" w:cs="仿宋_GB2312" w:asciiTheme="minorEastAsia" w:hAnsiTheme="minorEastAsia" w:eastAsiaTheme="minorEastAsia"/>
          <w:color w:val="auto"/>
          <w:sz w:val="24"/>
          <w:szCs w:val="24"/>
          <w:highlight w:val="none"/>
          <w:u w:val="single"/>
        </w:rPr>
        <w:t>另外约定</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12.3.3 单价合同的计量</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关于单价合同计量的约定：</w:t>
      </w:r>
      <w:r>
        <w:rPr>
          <w:rFonts w:asciiTheme="minorEastAsia" w:hAnsiTheme="minorEastAsia" w:eastAsiaTheme="minorEastAsia"/>
          <w:color w:val="auto"/>
          <w:sz w:val="24"/>
          <w:szCs w:val="24"/>
          <w:highlight w:val="none"/>
          <w:u w:val="single"/>
        </w:rPr>
        <w:t xml:space="preserve"> </w:t>
      </w:r>
      <w:r>
        <w:rPr>
          <w:rFonts w:hint="eastAsia" w:cs="仿宋_GB2312" w:asciiTheme="minorEastAsia" w:hAnsiTheme="minorEastAsia" w:eastAsiaTheme="minorEastAsia"/>
          <w:color w:val="auto"/>
          <w:sz w:val="24"/>
          <w:szCs w:val="24"/>
          <w:highlight w:val="none"/>
          <w:u w:val="single"/>
        </w:rPr>
        <w:t>按通用条款执行</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12.4 工程进度款支付</w:t>
      </w:r>
    </w:p>
    <w:p>
      <w:pPr>
        <w:ind w:firstLine="480" w:firstLineChars="200"/>
        <w:jc w:val="left"/>
        <w:rPr>
          <w:rFonts w:asciiTheme="minorEastAsia" w:hAnsiTheme="minorEastAsia" w:eastAsiaTheme="minorEastAsia"/>
          <w:color w:val="auto"/>
          <w:sz w:val="24"/>
          <w:szCs w:val="24"/>
          <w:highlight w:val="none"/>
        </w:rPr>
      </w:pPr>
      <w:bookmarkStart w:id="487" w:name="_Toc296891039"/>
      <w:bookmarkStart w:id="488" w:name="_Toc292559921"/>
      <w:bookmarkStart w:id="489" w:name="_Toc297123556"/>
      <w:bookmarkStart w:id="490" w:name="_Toc297216215"/>
      <w:bookmarkStart w:id="491" w:name="_Toc300935006"/>
      <w:bookmarkStart w:id="492" w:name="_Toc296944550"/>
      <w:bookmarkStart w:id="493" w:name="_Toc296346712"/>
      <w:bookmarkStart w:id="494" w:name="_Toc296503211"/>
      <w:bookmarkStart w:id="495" w:name="_Toc297048397"/>
      <w:bookmarkStart w:id="496" w:name="_Toc303539163"/>
      <w:bookmarkStart w:id="497" w:name="_Toc296891251"/>
      <w:bookmarkStart w:id="498" w:name="_Toc296347210"/>
      <w:bookmarkStart w:id="499" w:name="_Toc297120511"/>
      <w:bookmarkStart w:id="500" w:name="_Toc292559416"/>
      <w:r>
        <w:rPr>
          <w:rFonts w:asciiTheme="minorEastAsia" w:hAnsiTheme="minorEastAsia" w:eastAsiaTheme="minorEastAsia"/>
          <w:color w:val="auto"/>
          <w:sz w:val="24"/>
          <w:szCs w:val="24"/>
          <w:highlight w:val="none"/>
        </w:rPr>
        <w:t>12.4.1 付款周期</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关于付款周期的约定：</w:t>
      </w:r>
    </w:p>
    <w:p>
      <w:pPr>
        <w:ind w:firstLine="480" w:firstLineChars="200"/>
        <w:jc w:val="left"/>
        <w:rPr>
          <w:rFonts w:hint="eastAsia" w:asciiTheme="minorEastAsia" w:hAnsiTheme="minorEastAsia" w:eastAsiaTheme="minorEastAsia"/>
          <w:color w:val="auto"/>
          <w:sz w:val="24"/>
          <w:szCs w:val="24"/>
          <w:highlight w:val="none"/>
          <w:u w:val="single"/>
        </w:rPr>
      </w:pPr>
      <w:bookmarkStart w:id="501" w:name="_Hlk41038350"/>
      <w:r>
        <w:rPr>
          <w:rFonts w:hint="eastAsia" w:asciiTheme="minorEastAsia" w:hAnsiTheme="minorEastAsia" w:eastAsiaTheme="minorEastAsia"/>
          <w:color w:val="auto"/>
          <w:sz w:val="24"/>
          <w:szCs w:val="24"/>
          <w:highlight w:val="none"/>
          <w:u w:val="single"/>
        </w:rPr>
        <w:t>1、合同签订且工程开工后发包人支付承包人合同总价（扣除暂列金额、专业暂估价、甲供材）的10%的预付款，所有预付款项在第一次进度款中扣回；</w:t>
      </w:r>
    </w:p>
    <w:p>
      <w:pPr>
        <w:ind w:firstLine="480" w:firstLineChars="200"/>
        <w:jc w:val="left"/>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2、每月度完成的产值上报经监理、跟踪审计、业主审核确认后，付至审核后的已完工程造价的80%；</w:t>
      </w:r>
    </w:p>
    <w:p>
      <w:pPr>
        <w:ind w:firstLine="480" w:firstLineChars="200"/>
        <w:jc w:val="left"/>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3、工程竣工验收合格，付至合同价(遇工程总造价变小时，按监理、跟踪审计、业主审核确认后的工程造价计算；遇工程总造价增加时，按中标的合同价计算)的80%；</w:t>
      </w:r>
    </w:p>
    <w:p>
      <w:pPr>
        <w:ind w:firstLine="480" w:firstLineChars="200"/>
        <w:jc w:val="left"/>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4、工程验收达到合同约定标准，工程结算审计后，承包人负责提交经相关管理部门认可的竣工资料，支付至审定价的97%；</w:t>
      </w:r>
    </w:p>
    <w:p>
      <w:pPr>
        <w:ind w:firstLine="480" w:firstLineChars="200"/>
        <w:jc w:val="left"/>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5、3%余款待保修期满后付清。</w:t>
      </w:r>
    </w:p>
    <w:bookmarkEnd w:id="501"/>
    <w:p>
      <w:pPr>
        <w:ind w:firstLine="480" w:firstLineChars="200"/>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发包人有权直接扣除按合同规定对承包人的各种违约金。</w:t>
      </w:r>
    </w:p>
    <w:p>
      <w:pPr>
        <w:ind w:firstLine="480" w:firstLineChars="200"/>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所有工程付款必须经总监理工程师和发包人项目负责人签发付款证明书后发包人才予以支付。付款时，承包人必须设立以法人单位为开户的帐户作为本项工程专用帐户，保证专款专用，否则发包人将不予付款。</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12.4.2 进度付款申请单的编制</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关于进度付款申请单编制的约定：</w:t>
      </w:r>
      <w:r>
        <w:rPr>
          <w:rFonts w:hint="eastAsia" w:asciiTheme="minorEastAsia" w:hAnsiTheme="minorEastAsia" w:eastAsiaTheme="minorEastAsia"/>
          <w:color w:val="auto"/>
          <w:sz w:val="24"/>
          <w:szCs w:val="24"/>
          <w:highlight w:val="none"/>
          <w:u w:val="single"/>
        </w:rPr>
        <w:t>按通用条款执行</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asciiTheme="minorEastAsia" w:hAnsiTheme="minorEastAsia" w:eastAsiaTheme="minorEastAsia"/>
          <w:color w:val="auto"/>
          <w:sz w:val="24"/>
          <w:szCs w:val="24"/>
          <w:highlight w:val="none"/>
        </w:rPr>
        <w:t>2.4.3 进度付款申请单的提交</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（1）单价合同进度付款申请单提交的约定</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rPr>
        <w:t>在承包人认为达到付款节点条件情况下提交，并附相关资料</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12.4.4 进度款审核和支付</w:t>
      </w:r>
    </w:p>
    <w:p>
      <w:pPr>
        <w:ind w:firstLine="480" w:firstLineChars="2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（1）监理人审查并报送发包人的期限：</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 xml:space="preserve">按通用条款执行 </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发包人完成审批并签发进度款支付证书的期限：</w:t>
      </w:r>
      <w:r>
        <w:rPr>
          <w:rFonts w:hint="eastAsia" w:asciiTheme="minorEastAsia" w:hAnsiTheme="minorEastAsia" w:eastAsiaTheme="minorEastAsia"/>
          <w:color w:val="auto"/>
          <w:sz w:val="24"/>
          <w:szCs w:val="24"/>
          <w:highlight w:val="none"/>
          <w:u w:val="single"/>
        </w:rPr>
        <w:t>按通用条款执行</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（2）发包人支付进度款的期限：</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按通用条款执行</w:t>
      </w:r>
      <w:r>
        <w:rPr>
          <w:rFonts w:asciiTheme="minorEastAsia" w:hAnsiTheme="minorEastAsia" w:eastAsiaTheme="minorEastAsia"/>
          <w:color w:val="auto"/>
          <w:sz w:val="24"/>
          <w:szCs w:val="24"/>
          <w:highlight w:val="none"/>
        </w:rPr>
        <w:t>。</w:t>
      </w:r>
    </w:p>
    <w:p>
      <w:pPr>
        <w:ind w:firstLine="600" w:firstLineChars="25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发包人逾期支付进度款的违约金的计算方式：</w:t>
      </w:r>
      <w:r>
        <w:rPr>
          <w:rFonts w:hint="eastAsia" w:asciiTheme="minorEastAsia" w:hAnsiTheme="minorEastAsia" w:eastAsiaTheme="minorEastAsia"/>
          <w:color w:val="auto"/>
          <w:sz w:val="24"/>
          <w:szCs w:val="24"/>
          <w:highlight w:val="none"/>
          <w:u w:val="single"/>
        </w:rPr>
        <w:t>无</w:t>
      </w:r>
      <w:r>
        <w:rPr>
          <w:rFonts w:asciiTheme="minorEastAsia" w:hAnsiTheme="minorEastAsia" w:eastAsiaTheme="minorEastAsia"/>
          <w:color w:val="auto"/>
          <w:sz w:val="24"/>
          <w:szCs w:val="24"/>
          <w:highlight w:val="none"/>
        </w:rPr>
        <w:t>。</w:t>
      </w:r>
    </w:p>
    <w:bookmarkEnd w:id="330"/>
    <w:p>
      <w:pPr>
        <w:pStyle w:val="7"/>
        <w:rPr>
          <w:rFonts w:asciiTheme="minorEastAsia" w:hAnsiTheme="minorEastAsia" w:eastAsiaTheme="minorEastAsia"/>
          <w:b w:val="0"/>
          <w:color w:val="auto"/>
          <w:sz w:val="24"/>
          <w:szCs w:val="24"/>
          <w:highlight w:val="none"/>
        </w:rPr>
      </w:pPr>
      <w:bookmarkStart w:id="502" w:name="_Toc351203645"/>
      <w:bookmarkStart w:id="503" w:name="_Toc296503219"/>
      <w:bookmarkStart w:id="504" w:name="_Toc303539172"/>
      <w:bookmarkStart w:id="505" w:name="_Toc297048405"/>
      <w:bookmarkStart w:id="506" w:name="_Toc292559424"/>
      <w:bookmarkStart w:id="507" w:name="_Toc312678053"/>
      <w:bookmarkStart w:id="508" w:name="_Toc296346720"/>
      <w:bookmarkStart w:id="509" w:name="_Toc304295593"/>
      <w:bookmarkStart w:id="510" w:name="_Toc296347218"/>
      <w:bookmarkStart w:id="511" w:name="_Toc296891259"/>
      <w:bookmarkStart w:id="512" w:name="_Toc292559929"/>
      <w:bookmarkStart w:id="513" w:name="_Toc297123564"/>
      <w:bookmarkStart w:id="514" w:name="_Toc297120519"/>
      <w:bookmarkStart w:id="515" w:name="_Toc300935015"/>
      <w:bookmarkStart w:id="516" w:name="_Toc296891047"/>
      <w:bookmarkStart w:id="517" w:name="_Toc297216223"/>
      <w:bookmarkStart w:id="518" w:name="_Toc296944558"/>
      <w:r>
        <w:rPr>
          <w:rFonts w:asciiTheme="minorEastAsia" w:hAnsiTheme="minorEastAsia" w:eastAsiaTheme="minorEastAsia"/>
          <w:b w:val="0"/>
          <w:color w:val="auto"/>
          <w:sz w:val="24"/>
          <w:szCs w:val="24"/>
          <w:highlight w:val="none"/>
        </w:rPr>
        <w:t>13.</w:t>
      </w:r>
      <w:r>
        <w:rPr>
          <w:rFonts w:hint="eastAsia" w:asciiTheme="minorEastAsia" w:hAnsiTheme="minorEastAsia" w:eastAsiaTheme="minorEastAsia"/>
          <w:b w:val="0"/>
          <w:color w:val="auto"/>
          <w:sz w:val="24"/>
          <w:szCs w:val="24"/>
          <w:highlight w:val="none"/>
        </w:rPr>
        <w:t xml:space="preserve"> </w:t>
      </w:r>
      <w:r>
        <w:rPr>
          <w:rFonts w:asciiTheme="minorEastAsia" w:hAnsiTheme="minorEastAsia" w:eastAsiaTheme="minorEastAsia"/>
          <w:b w:val="0"/>
          <w:color w:val="auto"/>
          <w:sz w:val="24"/>
          <w:szCs w:val="24"/>
          <w:highlight w:val="none"/>
        </w:rPr>
        <w:t>验收和工程试车</w:t>
      </w:r>
      <w:bookmarkEnd w:id="502"/>
    </w:p>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13.1 分部分项工程验收</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13.1.2监理人不能按时进行验收时，应提前</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24</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小时提交书面延期要求。关于延期最长不得超过：</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48</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小时。</w:t>
      </w:r>
    </w:p>
    <w:p>
      <w:pPr>
        <w:spacing w:after="120"/>
        <w:ind w:firstLine="480" w:firstLineChars="200"/>
        <w:rPr>
          <w:rFonts w:asciiTheme="minorEastAsia" w:hAnsiTheme="minorEastAsia" w:eastAsiaTheme="minorEastAsia"/>
          <w:color w:val="auto"/>
          <w:sz w:val="24"/>
          <w:szCs w:val="24"/>
          <w:highlight w:val="none"/>
        </w:rPr>
      </w:pPr>
      <w:bookmarkStart w:id="519" w:name="_Toc304295596"/>
      <w:bookmarkStart w:id="520" w:name="_Toc297048409"/>
      <w:bookmarkStart w:id="521" w:name="_Toc296347222"/>
      <w:bookmarkStart w:id="522" w:name="_Toc296346724"/>
      <w:bookmarkStart w:id="523" w:name="_Toc296891263"/>
      <w:bookmarkStart w:id="524" w:name="_Toc296891051"/>
      <w:bookmarkStart w:id="525" w:name="_Toc292559933"/>
      <w:bookmarkStart w:id="526" w:name="_Toc312678056"/>
      <w:bookmarkStart w:id="527" w:name="_Toc292559428"/>
      <w:bookmarkStart w:id="528" w:name="_Toc296503223"/>
      <w:bookmarkStart w:id="529" w:name="_Toc297123565"/>
      <w:bookmarkStart w:id="530" w:name="_Toc297120523"/>
      <w:bookmarkStart w:id="531" w:name="_Toc296944562"/>
      <w:bookmarkStart w:id="532" w:name="_Toc297216224"/>
      <w:bookmarkStart w:id="533" w:name="_Toc303539173"/>
      <w:bookmarkStart w:id="534" w:name="_Toc300935016"/>
      <w:bookmarkStart w:id="535" w:name="_Toc267251474"/>
      <w:bookmarkStart w:id="536" w:name="_Toc267251470"/>
      <w:bookmarkStart w:id="537" w:name="_Toc267251476"/>
      <w:bookmarkStart w:id="538" w:name="_Toc267251472"/>
      <w:bookmarkStart w:id="539" w:name="_Toc267251475"/>
      <w:bookmarkStart w:id="540" w:name="_Toc267251473"/>
      <w:bookmarkStart w:id="541" w:name="_Toc267251471"/>
      <w:r>
        <w:rPr>
          <w:rFonts w:asciiTheme="minorEastAsia" w:hAnsiTheme="minorEastAsia" w:eastAsiaTheme="minorEastAsia"/>
          <w:color w:val="auto"/>
          <w:sz w:val="24"/>
          <w:szCs w:val="24"/>
          <w:highlight w:val="none"/>
        </w:rPr>
        <w:t>13.2 竣工验收</w:t>
      </w:r>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Pr>
        <w:ind w:firstLine="480" w:firstLineChars="200"/>
        <w:jc w:val="left"/>
        <w:rPr>
          <w:rFonts w:cs="仿宋_GB2312" w:asciiTheme="minorEastAsia" w:hAnsiTheme="minorEastAsia" w:eastAsiaTheme="minorEastAsia"/>
          <w:color w:val="auto"/>
          <w:sz w:val="24"/>
          <w:szCs w:val="24"/>
          <w:highlight w:val="none"/>
        </w:rPr>
      </w:pPr>
      <w:bookmarkStart w:id="542" w:name="_Toc280868705"/>
      <w:bookmarkStart w:id="543" w:name="_Toc280868704"/>
      <w:bookmarkStart w:id="544" w:name="_Toc280868706"/>
      <w:bookmarkStart w:id="545" w:name="_Toc280868707"/>
      <w:bookmarkStart w:id="546" w:name="_Toc280868708"/>
      <w:bookmarkStart w:id="547" w:name="_Toc280868709"/>
      <w:r>
        <w:rPr>
          <w:rFonts w:asciiTheme="minorEastAsia" w:hAnsiTheme="minorEastAsia" w:eastAsiaTheme="minorEastAsia"/>
          <w:color w:val="auto"/>
          <w:sz w:val="24"/>
          <w:szCs w:val="24"/>
          <w:highlight w:val="none"/>
        </w:rPr>
        <w:t>13.2.</w:t>
      </w:r>
      <w:r>
        <w:rPr>
          <w:rFonts w:hint="eastAsia" w:asciiTheme="minorEastAsia" w:hAnsiTheme="minorEastAsia" w:eastAsiaTheme="minorEastAsia"/>
          <w:color w:val="auto"/>
          <w:sz w:val="24"/>
          <w:szCs w:val="24"/>
          <w:highlight w:val="none"/>
        </w:rPr>
        <w:t>1</w:t>
      </w:r>
      <w:r>
        <w:rPr>
          <w:rFonts w:hint="eastAsia" w:cs="仿宋_GB2312" w:asciiTheme="minorEastAsia" w:hAnsiTheme="minorEastAsia" w:eastAsiaTheme="minorEastAsia"/>
          <w:color w:val="auto"/>
          <w:sz w:val="24"/>
          <w:szCs w:val="24"/>
          <w:highlight w:val="none"/>
        </w:rPr>
        <w:t>竣工验收标准</w:t>
      </w:r>
    </w:p>
    <w:p>
      <w:pPr>
        <w:ind w:firstLine="480" w:firstLineChars="200"/>
        <w:jc w:val="left"/>
        <w:rPr>
          <w:rFonts w:cs="仿宋_GB2312"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(1) 符合与本工程专业相关的国家、省市质量标准与验收规范的规定；(2)符合工程设计文件等要求；(3)符合合同的约定</w:t>
      </w:r>
      <w:r>
        <w:rPr>
          <w:rFonts w:hint="eastAsia" w:cs="仿宋_GB2312" w:asciiTheme="minorEastAsia" w:hAnsiTheme="minorEastAsia" w:eastAsiaTheme="minorEastAsia"/>
          <w:color w:val="auto"/>
          <w:sz w:val="24"/>
          <w:szCs w:val="24"/>
          <w:highlight w:val="none"/>
          <w:u w:val="singl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13.2.2竣工验收程序</w:t>
      </w:r>
    </w:p>
    <w:bookmarkEnd w:id="542"/>
    <w:bookmarkEnd w:id="543"/>
    <w:p>
      <w:pPr>
        <w:ind w:firstLine="480" w:firstLineChars="200"/>
        <w:jc w:val="left"/>
        <w:rPr>
          <w:rStyle w:val="137"/>
          <w:rFonts w:asciiTheme="minorEastAsia" w:hAnsiTheme="minorEastAsia" w:eastAsiaTheme="minorEastAsia"/>
          <w:color w:val="auto"/>
          <w:sz w:val="24"/>
          <w:szCs w:val="24"/>
          <w:highlight w:val="none"/>
          <w:u w:val="single"/>
        </w:rPr>
      </w:pPr>
      <w:r>
        <w:rPr>
          <w:rStyle w:val="137"/>
          <w:rFonts w:hint="eastAsia" w:asciiTheme="minorEastAsia" w:hAnsiTheme="minorEastAsia" w:eastAsiaTheme="minorEastAsia"/>
          <w:color w:val="auto"/>
          <w:sz w:val="24"/>
          <w:szCs w:val="24"/>
          <w:highlight w:val="none"/>
          <w:u w:val="single"/>
        </w:rPr>
        <w:t>1、提交工程竣工报告；2、建设单位组织专家验收，制定验收方案；3、通知工程监督机构验收时间；4、建设单位组织工程竣工验收；5、施工单位按照意见整改；6、验收合格后，报主管部门备案。</w:t>
      </w:r>
    </w:p>
    <w:p>
      <w:pPr>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13.2.</w:t>
      </w: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竣工验</w:t>
      </w:r>
      <w:r>
        <w:rPr>
          <w:rFonts w:hint="eastAsia" w:asciiTheme="minorEastAsia" w:hAnsiTheme="minorEastAsia" w:eastAsiaTheme="minorEastAsia"/>
          <w:color w:val="auto"/>
          <w:sz w:val="24"/>
          <w:szCs w:val="24"/>
          <w:highlight w:val="none"/>
        </w:rPr>
        <w:t>资料</w:t>
      </w:r>
    </w:p>
    <w:p>
      <w:pPr>
        <w:ind w:firstLine="480" w:firstLineChars="200"/>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工程竣工后60天内，承包人完成并提交真实、准确、完整，与工程实际符合，且符合档案管理部门要求的竣工资料，并向市城建档案馆的移交工作。其中3套原件、3套复印件、3套光盘（包括竣工图及其他资料）；竣工决算文件3套、竣工图3套，并报监理审核。无论哪项拖延，均视为承包人违约，承包人按每拖延一天1000元向发包人支付违约金。</w:t>
      </w:r>
    </w:p>
    <w:p>
      <w:pPr>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kern w:val="0"/>
          <w:sz w:val="24"/>
          <w:szCs w:val="24"/>
          <w:highlight w:val="none"/>
        </w:rPr>
        <w:t>发包人不按照本项约定组织竣工验收、颁发工程接收证书的违约金的计算方法：</w:t>
      </w:r>
      <w:r>
        <w:rPr>
          <w:rFonts w:hint="eastAsia" w:cs="仿宋_GB2312" w:asciiTheme="minorEastAsia" w:hAnsiTheme="minorEastAsia" w:eastAsiaTheme="minorEastAsia"/>
          <w:color w:val="auto"/>
          <w:sz w:val="24"/>
          <w:szCs w:val="24"/>
          <w:highlight w:val="none"/>
          <w:u w:val="single"/>
        </w:rPr>
        <w:t xml:space="preserve">不予计算 </w:t>
      </w:r>
      <w:r>
        <w:rPr>
          <w:rFonts w:hint="eastAsia" w:cs="仿宋_GB2312"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13.2.5移交、接收全部与部分工程</w:t>
      </w:r>
    </w:p>
    <w:bookmarkEnd w:id="544"/>
    <w:p>
      <w:pPr>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承包人向发包人移交工程的期限：</w:t>
      </w:r>
      <w:r>
        <w:rPr>
          <w:rFonts w:hint="eastAsia" w:cs="仿宋_GB2312" w:asciiTheme="minorEastAsia" w:hAnsiTheme="minorEastAsia" w:eastAsiaTheme="minorEastAsia"/>
          <w:color w:val="auto"/>
          <w:sz w:val="24"/>
          <w:szCs w:val="24"/>
          <w:highlight w:val="none"/>
          <w:u w:val="single"/>
        </w:rPr>
        <w:t>竣工验收合格之日起30天内完成,绿化工程缺陷责任期满后30天内完成</w:t>
      </w:r>
      <w:r>
        <w:rPr>
          <w:rFonts w:hint="eastAsia"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kern w:val="0"/>
          <w:sz w:val="24"/>
          <w:szCs w:val="24"/>
          <w:highlight w:val="none"/>
        </w:rPr>
        <w:t>发包人未按本合同约定接收全部或部分工程的，违约金的计算方法为：</w:t>
      </w:r>
      <w:r>
        <w:rPr>
          <w:rFonts w:asciiTheme="minorEastAsia" w:hAnsiTheme="minorEastAsia" w:eastAsiaTheme="minorEastAsia"/>
          <w:color w:val="auto"/>
          <w:sz w:val="24"/>
          <w:szCs w:val="24"/>
          <w:highlight w:val="none"/>
          <w:u w:val="single"/>
        </w:rPr>
        <w:t>执行通用条款</w:t>
      </w:r>
      <w:r>
        <w:rPr>
          <w:rFonts w:asciiTheme="minorEastAsia" w:hAnsiTheme="minorEastAsia" w:eastAsiaTheme="minorEastAsia"/>
          <w:color w:val="auto"/>
          <w:sz w:val="24"/>
          <w:szCs w:val="24"/>
          <w:highlight w:val="none"/>
        </w:rPr>
        <w:t>。</w:t>
      </w:r>
    </w:p>
    <w:bookmarkEnd w:id="545"/>
    <w:p>
      <w:pPr>
        <w:ind w:firstLine="480" w:firstLineChars="2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承包人未按时移交工程的，违约金的计算方法为：</w:t>
      </w:r>
      <w:r>
        <w:rPr>
          <w:rFonts w:hint="eastAsia" w:asciiTheme="minorEastAsia" w:hAnsiTheme="minorEastAsia" w:eastAsiaTheme="minorEastAsia"/>
          <w:color w:val="auto"/>
          <w:sz w:val="24"/>
          <w:szCs w:val="24"/>
          <w:highlight w:val="none"/>
          <w:u w:val="single"/>
        </w:rPr>
        <w:t>（1）承包人原因导致工期延误按合同7.5.2 执行。（2）每延迟一天向发包人支付5000元的违约金，该违约金从工程款中直接扣除。</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13.3 工程试车</w:t>
      </w:r>
    </w:p>
    <w:bookmarkEnd w:id="546"/>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13.3.1 试车程序</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工程试车内容：</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（1）单机无负荷试车费用由</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kern w:val="0"/>
          <w:sz w:val="24"/>
          <w:szCs w:val="24"/>
          <w:highlight w:val="none"/>
        </w:rPr>
        <w:t>承担；</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（2）无负荷联动试车费用由</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kern w:val="0"/>
          <w:sz w:val="24"/>
          <w:szCs w:val="24"/>
          <w:highlight w:val="none"/>
        </w:rPr>
        <w:t>承担。</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13.3.3 投料试车</w:t>
      </w:r>
    </w:p>
    <w:p>
      <w:pPr>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关于投料试车相关事项的约定：</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13.6 竣工退场</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13.6.1 竣工退场</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承包人完成竣工退场的期限：</w:t>
      </w:r>
      <w:r>
        <w:rPr>
          <w:rFonts w:hint="eastAsia" w:cs="仿宋_GB2312" w:asciiTheme="minorEastAsia" w:hAnsiTheme="minorEastAsia" w:eastAsiaTheme="minorEastAsia"/>
          <w:color w:val="auto"/>
          <w:sz w:val="24"/>
          <w:szCs w:val="24"/>
          <w:highlight w:val="none"/>
          <w:u w:val="single"/>
        </w:rPr>
        <w:t>竣工验收合格后除绿化工程外的其他工程移交后3日内</w:t>
      </w:r>
      <w:r>
        <w:rPr>
          <w:rFonts w:asciiTheme="minorEastAsia" w:hAnsiTheme="minorEastAsia" w:eastAsiaTheme="minorEastAsia"/>
          <w:color w:val="auto"/>
          <w:kern w:val="0"/>
          <w:sz w:val="24"/>
          <w:szCs w:val="24"/>
          <w:highlight w:val="none"/>
        </w:rPr>
        <w:t>。</w:t>
      </w:r>
    </w:p>
    <w:p>
      <w:pPr>
        <w:pStyle w:val="7"/>
        <w:rPr>
          <w:rFonts w:asciiTheme="minorEastAsia" w:hAnsiTheme="minorEastAsia" w:eastAsiaTheme="minorEastAsia"/>
          <w:b w:val="0"/>
          <w:color w:val="auto"/>
          <w:sz w:val="24"/>
          <w:szCs w:val="24"/>
          <w:highlight w:val="none"/>
        </w:rPr>
      </w:pPr>
      <w:bookmarkStart w:id="548" w:name="_Toc351203646"/>
      <w:r>
        <w:rPr>
          <w:rFonts w:asciiTheme="minorEastAsia" w:hAnsiTheme="minorEastAsia" w:eastAsiaTheme="minorEastAsia"/>
          <w:b w:val="0"/>
          <w:color w:val="auto"/>
          <w:sz w:val="24"/>
          <w:szCs w:val="24"/>
          <w:highlight w:val="none"/>
        </w:rPr>
        <w:t>14. 竣工结算</w:t>
      </w:r>
      <w:bookmarkEnd w:id="548"/>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14.1 竣工</w:t>
      </w:r>
      <w:r>
        <w:rPr>
          <w:rFonts w:hint="eastAsia" w:asciiTheme="minorEastAsia" w:hAnsiTheme="minorEastAsia" w:eastAsiaTheme="minorEastAsia"/>
          <w:color w:val="auto"/>
          <w:sz w:val="24"/>
          <w:szCs w:val="24"/>
          <w:highlight w:val="none"/>
        </w:rPr>
        <w:t>结算</w:t>
      </w:r>
      <w:r>
        <w:rPr>
          <w:rFonts w:asciiTheme="minorEastAsia" w:hAnsiTheme="minorEastAsia" w:eastAsiaTheme="minorEastAsia"/>
          <w:color w:val="auto"/>
          <w:sz w:val="24"/>
          <w:szCs w:val="24"/>
          <w:highlight w:val="none"/>
        </w:rPr>
        <w:t>申请</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承包人提交竣工</w:t>
      </w:r>
      <w:r>
        <w:rPr>
          <w:rFonts w:hint="eastAsia" w:asciiTheme="minorEastAsia" w:hAnsiTheme="minorEastAsia" w:eastAsiaTheme="minorEastAsia"/>
          <w:color w:val="auto"/>
          <w:sz w:val="24"/>
          <w:szCs w:val="24"/>
          <w:highlight w:val="none"/>
        </w:rPr>
        <w:t>结算</w:t>
      </w:r>
      <w:r>
        <w:rPr>
          <w:rFonts w:asciiTheme="minorEastAsia" w:hAnsiTheme="minorEastAsia" w:eastAsiaTheme="minorEastAsia"/>
          <w:color w:val="auto"/>
          <w:sz w:val="24"/>
          <w:szCs w:val="24"/>
          <w:highlight w:val="none"/>
        </w:rPr>
        <w:t>申请单的期限：</w:t>
      </w:r>
      <w:r>
        <w:rPr>
          <w:rFonts w:hint="eastAsia" w:asciiTheme="minorEastAsia" w:hAnsiTheme="minorEastAsia" w:eastAsiaTheme="minorEastAsia"/>
          <w:color w:val="auto"/>
          <w:sz w:val="24"/>
          <w:szCs w:val="24"/>
          <w:highlight w:val="none"/>
          <w:u w:val="single"/>
        </w:rPr>
        <w:t>承包人应在工程竣工验收合格后60天内向工程师提交竣工结算申请单，并提交完整的结算资料</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竣工</w:t>
      </w:r>
      <w:r>
        <w:rPr>
          <w:rFonts w:hint="eastAsia" w:asciiTheme="minorEastAsia" w:hAnsiTheme="minorEastAsia" w:eastAsiaTheme="minorEastAsia"/>
          <w:color w:val="auto"/>
          <w:sz w:val="24"/>
          <w:szCs w:val="24"/>
          <w:highlight w:val="none"/>
        </w:rPr>
        <w:t>结算</w:t>
      </w:r>
      <w:r>
        <w:rPr>
          <w:rFonts w:asciiTheme="minorEastAsia" w:hAnsiTheme="minorEastAsia" w:eastAsiaTheme="minorEastAsia"/>
          <w:color w:val="auto"/>
          <w:sz w:val="24"/>
          <w:szCs w:val="24"/>
          <w:highlight w:val="none"/>
        </w:rPr>
        <w:t>申请单应包括的内容：</w:t>
      </w:r>
      <w:r>
        <w:rPr>
          <w:rFonts w:hint="eastAsia" w:asciiTheme="minorEastAsia" w:hAnsiTheme="minorEastAsia" w:eastAsiaTheme="minorEastAsia"/>
          <w:color w:val="auto"/>
          <w:sz w:val="24"/>
          <w:szCs w:val="24"/>
          <w:highlight w:val="none"/>
          <w:u w:val="single"/>
        </w:rPr>
        <w:t>招标投标资料（需提供未来版）、中标通知书、合同及补充协议、设计变更、工程商洽、现场签证、工程结算价、工程量确认、竣工图、扣款单据、会议记录、会议纪要、往来信函等各8份,2份正本，4份副本，2份的电子件</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14.2 竣工结算审核</w:t>
      </w:r>
    </w:p>
    <w:p>
      <w:pPr>
        <w:pStyle w:val="22"/>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kern w:val="0"/>
          <w:sz w:val="24"/>
          <w:szCs w:val="24"/>
          <w:highlight w:val="none"/>
          <w:u w:val="single"/>
        </w:rPr>
        <w:t>1）</w:t>
      </w:r>
      <w:r>
        <w:rPr>
          <w:rFonts w:asciiTheme="minorEastAsia" w:hAnsiTheme="minorEastAsia" w:eastAsiaTheme="minorEastAsia"/>
          <w:color w:val="auto"/>
          <w:kern w:val="0"/>
          <w:sz w:val="24"/>
          <w:szCs w:val="24"/>
          <w:highlight w:val="none"/>
          <w:u w:val="single"/>
        </w:rPr>
        <w:t>承包人必须按照发包人的要求编制整理资料，工程竣工后</w:t>
      </w:r>
      <w:r>
        <w:rPr>
          <w:rFonts w:hint="eastAsia" w:asciiTheme="minorEastAsia" w:hAnsiTheme="minorEastAsia" w:eastAsiaTheme="minorEastAsia"/>
          <w:color w:val="auto"/>
          <w:kern w:val="0"/>
          <w:sz w:val="24"/>
          <w:szCs w:val="24"/>
          <w:highlight w:val="none"/>
          <w:u w:val="single"/>
        </w:rPr>
        <w:t>60</w:t>
      </w:r>
      <w:r>
        <w:rPr>
          <w:rFonts w:asciiTheme="minorEastAsia" w:hAnsiTheme="minorEastAsia" w:eastAsiaTheme="minorEastAsia"/>
          <w:color w:val="auto"/>
          <w:kern w:val="0"/>
          <w:sz w:val="24"/>
          <w:szCs w:val="24"/>
          <w:highlight w:val="none"/>
          <w:u w:val="single"/>
        </w:rPr>
        <w:t>天内向发包人递交结算报告及完整的结算资料，否则造成发包人、工程师等管理费用的增加，应由承包人承担。结算审核包括发包人初审、承包人与造价审计咨询单位核对以及发包人与主管部门最终审核确认三个过程，审定后的审计结算报告作为双方结算工程款的依据。在与咨询单位进行结算核对过程中，承包人不得向咨询单位人员赠送钱物、行贿，亦不得向咨询单位人员请客送礼。</w:t>
      </w:r>
    </w:p>
    <w:p>
      <w:pPr>
        <w:pStyle w:val="22"/>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kern w:val="0"/>
          <w:sz w:val="24"/>
          <w:szCs w:val="24"/>
          <w:highlight w:val="none"/>
          <w:u w:val="single"/>
        </w:rPr>
        <w:t>2）</w:t>
      </w:r>
      <w:r>
        <w:rPr>
          <w:rFonts w:asciiTheme="minorEastAsia" w:hAnsiTheme="minorEastAsia" w:eastAsiaTheme="minorEastAsia"/>
          <w:color w:val="auto"/>
          <w:kern w:val="0"/>
          <w:sz w:val="24"/>
          <w:szCs w:val="24"/>
          <w:highlight w:val="none"/>
          <w:u w:val="single"/>
        </w:rPr>
        <w:t>竣工结算书中应有完整的结算资料。在造价咨询单位结算审价过程中，不再接受增加任何结</w:t>
      </w:r>
      <w:r>
        <w:rPr>
          <w:rFonts w:hint="eastAsia" w:asciiTheme="minorEastAsia" w:hAnsiTheme="minorEastAsia" w:eastAsiaTheme="minorEastAsia"/>
          <w:color w:val="auto"/>
          <w:kern w:val="0"/>
          <w:sz w:val="24"/>
          <w:szCs w:val="24"/>
          <w:highlight w:val="none"/>
          <w:u w:val="single"/>
        </w:rPr>
        <w:t>算资料（图纸、签证变更单、价格凭证等），送审的结算书中若有结算遗漏项目均作为让利给发包人，不作任何增加调整。</w:t>
      </w:r>
    </w:p>
    <w:p>
      <w:pPr>
        <w:pStyle w:val="22"/>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kern w:val="0"/>
          <w:sz w:val="24"/>
          <w:szCs w:val="24"/>
          <w:highlight w:val="none"/>
          <w:u w:val="single"/>
        </w:rPr>
        <w:t>3）</w:t>
      </w:r>
      <w:r>
        <w:rPr>
          <w:rFonts w:asciiTheme="minorEastAsia" w:hAnsiTheme="minorEastAsia" w:eastAsiaTheme="minorEastAsia"/>
          <w:color w:val="auto"/>
          <w:kern w:val="0"/>
          <w:sz w:val="24"/>
          <w:szCs w:val="24"/>
          <w:highlight w:val="none"/>
          <w:u w:val="single"/>
        </w:rPr>
        <w:t>承包人在计算工程量时必须按竣工图分专业计算，竣工图以外的变更签证部分，分专业另行计算。变更签证须在竣工图上标明的，不得重复计算。</w:t>
      </w:r>
    </w:p>
    <w:p>
      <w:pPr>
        <w:pStyle w:val="22"/>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kern w:val="0"/>
          <w:sz w:val="24"/>
          <w:szCs w:val="24"/>
          <w:highlight w:val="none"/>
          <w:u w:val="single"/>
        </w:rPr>
        <w:t>4）</w:t>
      </w:r>
      <w:r>
        <w:rPr>
          <w:rFonts w:asciiTheme="minorEastAsia" w:hAnsiTheme="minorEastAsia" w:eastAsiaTheme="minorEastAsia"/>
          <w:color w:val="auto"/>
          <w:kern w:val="0"/>
          <w:sz w:val="24"/>
          <w:szCs w:val="24"/>
          <w:highlight w:val="none"/>
          <w:u w:val="single"/>
        </w:rPr>
        <w:t>发包人增加工程量，或者对工程进行变更，承包人应无条件先完成变更项目，承包人按发包人要求完成签证工程的施工，引致合同造价外的金额而</w:t>
      </w:r>
      <w:r>
        <w:rPr>
          <w:rFonts w:hint="eastAsia" w:asciiTheme="minorEastAsia" w:hAnsiTheme="minorEastAsia" w:eastAsiaTheme="minorEastAsia"/>
          <w:color w:val="auto"/>
          <w:kern w:val="0"/>
          <w:sz w:val="24"/>
          <w:szCs w:val="24"/>
          <w:highlight w:val="none"/>
          <w:u w:val="single"/>
        </w:rPr>
        <w:t>要求补偿时，应在变更或签证项目完成后</w:t>
      </w:r>
      <w:r>
        <w:rPr>
          <w:rFonts w:asciiTheme="minorEastAsia" w:hAnsiTheme="minorEastAsia" w:eastAsiaTheme="minorEastAsia"/>
          <w:color w:val="auto"/>
          <w:kern w:val="0"/>
          <w:sz w:val="24"/>
          <w:szCs w:val="24"/>
          <w:highlight w:val="none"/>
          <w:u w:val="single"/>
        </w:rPr>
        <w:t>14日内将签证（附相对应的联系单或设计变更单、详细预算及报价，否则视为无效）报工程师及发包人，逾期视为承包人放弃补偿要求。</w:t>
      </w:r>
    </w:p>
    <w:p>
      <w:pPr>
        <w:pStyle w:val="22"/>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kern w:val="0"/>
          <w:sz w:val="24"/>
          <w:szCs w:val="24"/>
          <w:highlight w:val="none"/>
          <w:u w:val="single"/>
        </w:rPr>
        <w:t>5）</w:t>
      </w:r>
      <w:r>
        <w:rPr>
          <w:rFonts w:asciiTheme="minorEastAsia" w:hAnsiTheme="minorEastAsia" w:eastAsiaTheme="minorEastAsia"/>
          <w:color w:val="auto"/>
          <w:kern w:val="0"/>
          <w:sz w:val="24"/>
          <w:szCs w:val="24"/>
          <w:highlight w:val="none"/>
          <w:u w:val="single"/>
        </w:rPr>
        <w:t>针对工程量发生变化的隐蔽工程及发包人提出的对已完成的分项工程进行变更，承包人应在施工前将施工方案报发包人及监理工程师确认；对于有可能重复利用的材料、设备，承包人应小心保护，因承包人拆除时未采取保护措施或拆除后保护不当造成的损害后果，由承包人负责赔偿损失。</w:t>
      </w:r>
    </w:p>
    <w:p>
      <w:pPr>
        <w:pStyle w:val="22"/>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kern w:val="0"/>
          <w:sz w:val="24"/>
          <w:szCs w:val="24"/>
          <w:highlight w:val="none"/>
          <w:u w:val="single"/>
        </w:rPr>
        <w:t>6）</w:t>
      </w:r>
      <w:r>
        <w:rPr>
          <w:rFonts w:asciiTheme="minorEastAsia" w:hAnsiTheme="minorEastAsia" w:eastAsiaTheme="minorEastAsia"/>
          <w:color w:val="auto"/>
          <w:kern w:val="0"/>
          <w:sz w:val="24"/>
          <w:szCs w:val="24"/>
          <w:highlight w:val="none"/>
          <w:u w:val="single"/>
        </w:rPr>
        <w:t>办理签证时，变更、签证结算费用编制应按“一单一价”的原则，即每一份变更、签证附一份造</w:t>
      </w:r>
      <w:r>
        <w:rPr>
          <w:rFonts w:hint="eastAsia" w:asciiTheme="minorEastAsia" w:hAnsiTheme="minorEastAsia" w:eastAsiaTheme="minorEastAsia"/>
          <w:color w:val="auto"/>
          <w:kern w:val="0"/>
          <w:sz w:val="24"/>
          <w:szCs w:val="24"/>
          <w:highlight w:val="none"/>
          <w:u w:val="single"/>
        </w:rPr>
        <w:t>价核定单。一份签证单上只能申报一项内容。对不符合前述要求的签证，发包人有权拒绝认可。</w:t>
      </w:r>
    </w:p>
    <w:p>
      <w:pPr>
        <w:pStyle w:val="22"/>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kern w:val="0"/>
          <w:sz w:val="24"/>
          <w:szCs w:val="24"/>
          <w:highlight w:val="none"/>
          <w:u w:val="single"/>
        </w:rPr>
        <w:t>7）</w:t>
      </w:r>
      <w:r>
        <w:rPr>
          <w:rFonts w:asciiTheme="minorEastAsia" w:hAnsiTheme="minorEastAsia" w:eastAsiaTheme="minorEastAsia"/>
          <w:color w:val="auto"/>
          <w:kern w:val="0"/>
          <w:sz w:val="24"/>
          <w:szCs w:val="24"/>
          <w:highlight w:val="none"/>
          <w:u w:val="single"/>
        </w:rPr>
        <w:t>工程变更及现场签证统一使用规定格式的现场签证单，并按照相应规定执行。所有工程变更及现场签证均应有承包人（项目部）、监理人、工程造价跟踪控制单位、代建单位、发包人项目代表人员签字与盖章方为有效。</w:t>
      </w:r>
    </w:p>
    <w:p>
      <w:pPr>
        <w:pStyle w:val="22"/>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kern w:val="0"/>
          <w:sz w:val="24"/>
          <w:szCs w:val="24"/>
          <w:highlight w:val="none"/>
          <w:u w:val="single"/>
        </w:rPr>
        <w:t>8）</w:t>
      </w:r>
      <w:r>
        <w:rPr>
          <w:rFonts w:asciiTheme="minorEastAsia" w:hAnsiTheme="minorEastAsia" w:eastAsiaTheme="minorEastAsia"/>
          <w:color w:val="auto"/>
          <w:kern w:val="0"/>
          <w:sz w:val="24"/>
          <w:szCs w:val="24"/>
          <w:highlight w:val="none"/>
          <w:u w:val="single"/>
        </w:rPr>
        <w:t xml:space="preserve">为避免签证出现混乱、重复结算，承包人在办理签证时必须明确每份签证的具体原因、施工部位、施工时间、签证的编号等，否则不予办理。 </w:t>
      </w:r>
    </w:p>
    <w:p>
      <w:pPr>
        <w:pStyle w:val="22"/>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kern w:val="0"/>
          <w:sz w:val="24"/>
          <w:szCs w:val="24"/>
          <w:highlight w:val="none"/>
          <w:u w:val="single"/>
        </w:rPr>
        <w:t>9）</w:t>
      </w:r>
      <w:r>
        <w:rPr>
          <w:rFonts w:asciiTheme="minorEastAsia" w:hAnsiTheme="minorEastAsia" w:eastAsiaTheme="minorEastAsia"/>
          <w:color w:val="auto"/>
          <w:kern w:val="0"/>
          <w:sz w:val="24"/>
          <w:szCs w:val="24"/>
          <w:highlight w:val="none"/>
          <w:u w:val="single"/>
        </w:rPr>
        <w:t>承包人发生的所有违约金、违约金等相应扣款项，均由监理工程师在当月的工程量审核单中注明发生事由及金额</w:t>
      </w:r>
      <w:r>
        <w:rPr>
          <w:rFonts w:hint="eastAsia" w:asciiTheme="minorEastAsia" w:hAnsiTheme="minorEastAsia" w:eastAsiaTheme="minorEastAsia"/>
          <w:color w:val="auto"/>
          <w:kern w:val="0"/>
          <w:sz w:val="24"/>
          <w:szCs w:val="24"/>
          <w:highlight w:val="none"/>
          <w:u w:val="single"/>
        </w:rPr>
        <w:t>，由发包人工程管理部在当月工程款支付单中予以注明扣除。所有变更及签证产生的费用均在竣工结算中办理。</w:t>
      </w:r>
    </w:p>
    <w:p>
      <w:pPr>
        <w:pStyle w:val="22"/>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kern w:val="0"/>
          <w:sz w:val="24"/>
          <w:szCs w:val="24"/>
          <w:highlight w:val="none"/>
          <w:u w:val="single"/>
        </w:rPr>
        <w:t>10）</w:t>
      </w:r>
      <w:r>
        <w:rPr>
          <w:rFonts w:asciiTheme="minorEastAsia" w:hAnsiTheme="minorEastAsia" w:eastAsiaTheme="minorEastAsia"/>
          <w:color w:val="auto"/>
          <w:kern w:val="0"/>
          <w:sz w:val="24"/>
          <w:szCs w:val="24"/>
          <w:highlight w:val="none"/>
          <w:u w:val="single"/>
        </w:rPr>
        <w:t>按国家规定由承包人交纳的各种税收、劳动保险费及其他费用已包含在本工程造价内，由承包人负责向税收等部门交纳。</w:t>
      </w:r>
    </w:p>
    <w:p>
      <w:pPr>
        <w:pStyle w:val="22"/>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kern w:val="0"/>
          <w:sz w:val="24"/>
          <w:szCs w:val="24"/>
          <w:highlight w:val="none"/>
          <w:u w:val="single"/>
        </w:rPr>
        <w:t>11）</w:t>
      </w:r>
      <w:r>
        <w:rPr>
          <w:rFonts w:asciiTheme="minorEastAsia" w:hAnsiTheme="minorEastAsia" w:eastAsiaTheme="minorEastAsia"/>
          <w:color w:val="auto"/>
          <w:kern w:val="0"/>
          <w:sz w:val="24"/>
          <w:szCs w:val="24"/>
          <w:highlight w:val="none"/>
          <w:u w:val="single"/>
        </w:rPr>
        <w:t xml:space="preserve">承包人需在发包人指定的开票点代开相关税务发票。 </w:t>
      </w:r>
    </w:p>
    <w:p>
      <w:pPr>
        <w:pStyle w:val="22"/>
        <w:ind w:firstLine="480" w:firstLineChars="200"/>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u w:val="single"/>
        </w:rPr>
        <w:t>（</w:t>
      </w:r>
      <w:r>
        <w:rPr>
          <w:rFonts w:hint="eastAsia" w:asciiTheme="minorEastAsia" w:hAnsiTheme="minorEastAsia" w:eastAsiaTheme="minorEastAsia"/>
          <w:color w:val="auto"/>
          <w:kern w:val="0"/>
          <w:sz w:val="24"/>
          <w:szCs w:val="24"/>
          <w:highlight w:val="none"/>
          <w:u w:val="single"/>
        </w:rPr>
        <w:t>12）</w:t>
      </w:r>
      <w:r>
        <w:rPr>
          <w:rFonts w:asciiTheme="minorEastAsia" w:hAnsiTheme="minorEastAsia" w:eastAsiaTheme="minorEastAsia"/>
          <w:color w:val="auto"/>
          <w:kern w:val="0"/>
          <w:sz w:val="24"/>
          <w:szCs w:val="24"/>
          <w:highlight w:val="none"/>
          <w:u w:val="single"/>
        </w:rPr>
        <w:t>其他：双方另行协商。</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14.4 最终结清</w:t>
      </w:r>
    </w:p>
    <w:p>
      <w:pPr>
        <w:spacing w:after="120"/>
        <w:ind w:firstLine="480" w:firstLineChars="200"/>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14.4.1 最终结清申请单</w:t>
      </w:r>
    </w:p>
    <w:p>
      <w:pPr>
        <w:spacing w:after="120"/>
        <w:ind w:firstLine="480" w:firstLineChars="200"/>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承包人提交最终结清申请单的份数：</w:t>
      </w:r>
      <w:r>
        <w:rPr>
          <w:rFonts w:hint="eastAsia" w:cs="仿宋_GB2312" w:asciiTheme="minorEastAsia" w:hAnsiTheme="minorEastAsia" w:eastAsiaTheme="minorEastAsia"/>
          <w:color w:val="auto"/>
          <w:sz w:val="24"/>
          <w:szCs w:val="24"/>
          <w:highlight w:val="none"/>
          <w:u w:val="single"/>
        </w:rPr>
        <w:t>3份</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kern w:val="0"/>
          <w:sz w:val="24"/>
          <w:szCs w:val="24"/>
          <w:highlight w:val="none"/>
        </w:rPr>
        <w:t>承包人提交最终结算申请单的期限：</w:t>
      </w:r>
      <w:r>
        <w:rPr>
          <w:rFonts w:hint="eastAsia" w:asciiTheme="minorEastAsia" w:hAnsiTheme="minorEastAsia" w:eastAsiaTheme="minorEastAsia"/>
          <w:color w:val="auto"/>
          <w:sz w:val="24"/>
          <w:szCs w:val="24"/>
          <w:highlight w:val="none"/>
          <w:u w:val="single"/>
        </w:rPr>
        <w:t>按通用条款执行</w:t>
      </w:r>
      <w:r>
        <w:rPr>
          <w:rFonts w:asciiTheme="minorEastAsia" w:hAnsiTheme="minorEastAsia" w:eastAsiaTheme="minorEastAsia"/>
          <w:color w:val="auto"/>
          <w:sz w:val="24"/>
          <w:szCs w:val="24"/>
          <w:highlight w:val="none"/>
        </w:rPr>
        <w:t xml:space="preserve">。 </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14.4.2 最终结清证书和支付</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（1）发包人完成最终结清申请单的</w:t>
      </w:r>
      <w:r>
        <w:rPr>
          <w:rFonts w:hint="eastAsia" w:asciiTheme="minorEastAsia" w:hAnsiTheme="minorEastAsia" w:eastAsiaTheme="minorEastAsia"/>
          <w:color w:val="auto"/>
          <w:sz w:val="24"/>
          <w:szCs w:val="24"/>
          <w:highlight w:val="none"/>
        </w:rPr>
        <w:t>审批</w:t>
      </w:r>
      <w:r>
        <w:rPr>
          <w:rFonts w:asciiTheme="minorEastAsia" w:hAnsiTheme="minorEastAsia" w:eastAsiaTheme="minorEastAsia"/>
          <w:color w:val="auto"/>
          <w:sz w:val="24"/>
          <w:szCs w:val="24"/>
          <w:highlight w:val="none"/>
        </w:rPr>
        <w:t>并颁发最终结清证书的期限：</w:t>
      </w:r>
      <w:r>
        <w:rPr>
          <w:rFonts w:hint="eastAsia" w:cs="仿宋_GB2312" w:asciiTheme="minorEastAsia" w:hAnsiTheme="minorEastAsia" w:eastAsiaTheme="minorEastAsia"/>
          <w:color w:val="auto"/>
          <w:sz w:val="24"/>
          <w:szCs w:val="24"/>
          <w:highlight w:val="none"/>
          <w:u w:val="single"/>
        </w:rPr>
        <w:t xml:space="preserve">按 </w:t>
      </w:r>
      <w:r>
        <w:rPr>
          <w:rFonts w:asciiTheme="minorEastAsia" w:hAnsiTheme="minorEastAsia" w:eastAsiaTheme="minorEastAsia"/>
          <w:color w:val="auto"/>
          <w:sz w:val="24"/>
          <w:szCs w:val="24"/>
          <w:highlight w:val="none"/>
          <w:u w:val="single"/>
        </w:rPr>
        <w:t>12.4.2付款周期</w:t>
      </w:r>
      <w:r>
        <w:rPr>
          <w:rFonts w:hint="eastAsia" w:asciiTheme="minorEastAsia" w:hAnsiTheme="minorEastAsia" w:eastAsiaTheme="minorEastAsia"/>
          <w:color w:val="auto"/>
          <w:sz w:val="24"/>
          <w:szCs w:val="24"/>
          <w:highlight w:val="none"/>
          <w:u w:val="single"/>
        </w:rPr>
        <w:t>执行</w:t>
      </w:r>
      <w:r>
        <w:rPr>
          <w:rFonts w:asciiTheme="minorEastAsia" w:hAnsiTheme="minorEastAsia" w:eastAsiaTheme="minorEastAsia"/>
          <w:color w:val="auto"/>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（2）发包人完成支付的期限：</w:t>
      </w:r>
      <w:r>
        <w:rPr>
          <w:rFonts w:hint="eastAsia" w:cs="仿宋_GB2312" w:asciiTheme="minorEastAsia" w:hAnsiTheme="minorEastAsia" w:eastAsiaTheme="minorEastAsia"/>
          <w:color w:val="auto"/>
          <w:sz w:val="24"/>
          <w:szCs w:val="24"/>
          <w:highlight w:val="none"/>
          <w:u w:val="single"/>
        </w:rPr>
        <w:t xml:space="preserve">按 </w:t>
      </w:r>
      <w:r>
        <w:rPr>
          <w:rFonts w:asciiTheme="minorEastAsia" w:hAnsiTheme="minorEastAsia" w:eastAsiaTheme="minorEastAsia"/>
          <w:color w:val="auto"/>
          <w:sz w:val="24"/>
          <w:szCs w:val="24"/>
          <w:highlight w:val="none"/>
          <w:u w:val="single"/>
        </w:rPr>
        <w:t>12.4.2付款周期</w:t>
      </w:r>
      <w:r>
        <w:rPr>
          <w:rFonts w:hint="eastAsia" w:asciiTheme="minorEastAsia" w:hAnsiTheme="minorEastAsia" w:eastAsiaTheme="minorEastAsia"/>
          <w:color w:val="auto"/>
          <w:sz w:val="24"/>
          <w:szCs w:val="24"/>
          <w:highlight w:val="none"/>
          <w:u w:val="single"/>
        </w:rPr>
        <w:t>执行</w:t>
      </w:r>
      <w:r>
        <w:rPr>
          <w:rFonts w:asciiTheme="minorEastAsia" w:hAnsiTheme="minorEastAsia" w:eastAsiaTheme="minorEastAsia"/>
          <w:color w:val="auto"/>
          <w:sz w:val="24"/>
          <w:szCs w:val="24"/>
          <w:highlight w:val="none"/>
        </w:rPr>
        <w:t>。</w:t>
      </w:r>
    </w:p>
    <w:bookmarkEnd w:id="535"/>
    <w:bookmarkEnd w:id="536"/>
    <w:bookmarkEnd w:id="537"/>
    <w:bookmarkEnd w:id="538"/>
    <w:bookmarkEnd w:id="539"/>
    <w:bookmarkEnd w:id="540"/>
    <w:bookmarkEnd w:id="541"/>
    <w:bookmarkEnd w:id="547"/>
    <w:p>
      <w:pPr>
        <w:pStyle w:val="7"/>
        <w:rPr>
          <w:rFonts w:asciiTheme="minorEastAsia" w:hAnsiTheme="minorEastAsia" w:eastAsiaTheme="minorEastAsia"/>
          <w:b w:val="0"/>
          <w:color w:val="auto"/>
          <w:sz w:val="24"/>
          <w:szCs w:val="24"/>
          <w:highlight w:val="none"/>
        </w:rPr>
      </w:pPr>
      <w:bookmarkStart w:id="549" w:name="_Toc351203647"/>
      <w:bookmarkStart w:id="550" w:name="_Toc267251483"/>
      <w:bookmarkStart w:id="551" w:name="_Toc267251482"/>
      <w:bookmarkStart w:id="552" w:name="_Toc267251484"/>
      <w:bookmarkStart w:id="553" w:name="_Toc267251485"/>
      <w:bookmarkStart w:id="554" w:name="_Toc267251490"/>
      <w:bookmarkStart w:id="555" w:name="_Toc267251486"/>
      <w:bookmarkStart w:id="556" w:name="_Toc267251488"/>
      <w:bookmarkStart w:id="557" w:name="_Toc267251489"/>
      <w:bookmarkStart w:id="558" w:name="_Toc267251498"/>
      <w:bookmarkStart w:id="559" w:name="_Toc267251494"/>
      <w:bookmarkStart w:id="560" w:name="_Toc267251497"/>
      <w:bookmarkStart w:id="561" w:name="_Toc267251503"/>
      <w:bookmarkStart w:id="562" w:name="_Toc267251491"/>
      <w:bookmarkStart w:id="563" w:name="_Toc267251502"/>
      <w:bookmarkStart w:id="564" w:name="_Toc267251492"/>
      <w:bookmarkStart w:id="565" w:name="_Toc267251496"/>
      <w:bookmarkStart w:id="566" w:name="_Toc267251493"/>
      <w:bookmarkStart w:id="567" w:name="_Toc267251499"/>
      <w:bookmarkStart w:id="568" w:name="_Toc267251501"/>
      <w:bookmarkStart w:id="569" w:name="_Toc267251495"/>
      <w:bookmarkStart w:id="570" w:name="_Toc267251504"/>
      <w:bookmarkStart w:id="571" w:name="_Toc267251506"/>
      <w:bookmarkStart w:id="572" w:name="_Toc267251507"/>
      <w:bookmarkStart w:id="573" w:name="_Toc267251508"/>
      <w:bookmarkStart w:id="574" w:name="_Toc267251513"/>
      <w:bookmarkStart w:id="575" w:name="_Toc267251514"/>
      <w:bookmarkStart w:id="576" w:name="_Toc267251509"/>
      <w:bookmarkStart w:id="577" w:name="_Toc267251511"/>
      <w:bookmarkStart w:id="578" w:name="_Toc267251510"/>
      <w:bookmarkStart w:id="579" w:name="_Toc267251515"/>
      <w:r>
        <w:rPr>
          <w:rFonts w:asciiTheme="minorEastAsia" w:hAnsiTheme="minorEastAsia" w:eastAsiaTheme="minorEastAsia"/>
          <w:b w:val="0"/>
          <w:color w:val="auto"/>
          <w:sz w:val="24"/>
          <w:szCs w:val="24"/>
          <w:highlight w:val="none"/>
        </w:rPr>
        <w:t>15. 缺陷责任期与保修</w:t>
      </w:r>
      <w:bookmarkEnd w:id="549"/>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15.2缺陷责任期</w:t>
      </w:r>
      <w:bookmarkEnd w:id="550"/>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缺陷责任期的具体期限：</w:t>
      </w:r>
      <w:r>
        <w:rPr>
          <w:rFonts w:hint="eastAsia" w:asciiTheme="minorEastAsia" w:hAnsiTheme="minorEastAsia" w:eastAsiaTheme="minorEastAsia"/>
          <w:color w:val="auto"/>
          <w:sz w:val="24"/>
          <w:szCs w:val="24"/>
          <w:highlight w:val="none"/>
          <w:u w:val="single"/>
        </w:rPr>
        <w:t>24个月</w:t>
      </w:r>
      <w:r>
        <w:rPr>
          <w:rFonts w:asciiTheme="minorEastAsia" w:hAnsiTheme="minorEastAsia" w:eastAsiaTheme="minorEastAsia"/>
          <w:color w:val="auto"/>
          <w:sz w:val="24"/>
          <w:szCs w:val="24"/>
          <w:highlight w:val="none"/>
        </w:rPr>
        <w:t>。</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15.3 质量保证金</w:t>
      </w:r>
    </w:p>
    <w:p>
      <w:pPr>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关于是否扣留质量保证金的约定：</w:t>
      </w:r>
      <w:r>
        <w:rPr>
          <w:rFonts w:hint="eastAsia" w:cs="仿宋_GB2312" w:asciiTheme="minorEastAsia" w:hAnsiTheme="minorEastAsia" w:eastAsiaTheme="minorEastAsia"/>
          <w:color w:val="auto"/>
          <w:sz w:val="24"/>
          <w:szCs w:val="24"/>
          <w:highlight w:val="none"/>
          <w:u w:val="single"/>
        </w:rPr>
        <w:t>/</w:t>
      </w:r>
    </w:p>
    <w:p>
      <w:pPr>
        <w:ind w:firstLine="480" w:firstLineChars="200"/>
        <w:jc w:val="left"/>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15.3.1 </w:t>
      </w:r>
      <w:r>
        <w:rPr>
          <w:rFonts w:hint="eastAsia" w:asciiTheme="minorEastAsia" w:hAnsiTheme="minorEastAsia" w:eastAsiaTheme="minorEastAsia"/>
          <w:color w:val="auto"/>
          <w:sz w:val="24"/>
          <w:szCs w:val="24"/>
          <w:highlight w:val="none"/>
        </w:rPr>
        <w:t>承包人提供</w:t>
      </w:r>
      <w:r>
        <w:rPr>
          <w:rFonts w:asciiTheme="minorEastAsia" w:hAnsiTheme="minorEastAsia" w:eastAsiaTheme="minorEastAsia"/>
          <w:color w:val="auto"/>
          <w:sz w:val="24"/>
          <w:szCs w:val="24"/>
          <w:highlight w:val="none"/>
        </w:rPr>
        <w:t>质量保证金的</w:t>
      </w:r>
      <w:r>
        <w:rPr>
          <w:rFonts w:hint="eastAsia" w:asciiTheme="minorEastAsia" w:hAnsiTheme="minorEastAsia" w:eastAsiaTheme="minorEastAsia"/>
          <w:color w:val="auto"/>
          <w:sz w:val="24"/>
          <w:szCs w:val="24"/>
          <w:highlight w:val="none"/>
        </w:rPr>
        <w:t>方</w:t>
      </w:r>
      <w:r>
        <w:rPr>
          <w:rFonts w:asciiTheme="minorEastAsia" w:hAnsiTheme="minorEastAsia" w:eastAsiaTheme="minorEastAsia"/>
          <w:color w:val="auto"/>
          <w:sz w:val="24"/>
          <w:szCs w:val="24"/>
          <w:highlight w:val="none"/>
        </w:rPr>
        <w:t>式</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质量保证金采用以下第</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种方式：</w:t>
      </w:r>
    </w:p>
    <w:p>
      <w:pPr>
        <w:autoSpaceDE w:val="0"/>
        <w:autoSpaceDN w:val="0"/>
        <w:adjustRightInd w:val="0"/>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（1）质量保证金保函，保证金额为：</w:t>
      </w:r>
      <w:r>
        <w:rPr>
          <w:rFonts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rPr>
        <w:t xml:space="preserve"> /   </w:t>
      </w:r>
      <w:r>
        <w:rPr>
          <w:rFonts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rPr>
        <w:t xml:space="preserve">； </w:t>
      </w:r>
    </w:p>
    <w:p>
      <w:pPr>
        <w:autoSpaceDE w:val="0"/>
        <w:autoSpaceDN w:val="0"/>
        <w:adjustRightInd w:val="0"/>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（2）</w:t>
      </w:r>
      <w:r>
        <w:rPr>
          <w:rFonts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rPr>
        <w:t>%的工程款；</w:t>
      </w:r>
    </w:p>
    <w:p>
      <w:pPr>
        <w:autoSpaceDE w:val="0"/>
        <w:autoSpaceDN w:val="0"/>
        <w:adjustRightInd w:val="0"/>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（3）其他</w:t>
      </w:r>
      <w:r>
        <w:rPr>
          <w:rFonts w:hint="eastAsia" w:asciiTheme="minorEastAsia" w:hAnsiTheme="minorEastAsia" w:eastAsiaTheme="minorEastAsia"/>
          <w:color w:val="auto"/>
          <w:kern w:val="0"/>
          <w:sz w:val="24"/>
          <w:szCs w:val="24"/>
          <w:highlight w:val="none"/>
        </w:rPr>
        <w:t>方</w:t>
      </w:r>
      <w:r>
        <w:rPr>
          <w:rFonts w:asciiTheme="minorEastAsia" w:hAnsiTheme="minorEastAsia" w:eastAsiaTheme="minorEastAsia"/>
          <w:color w:val="auto"/>
          <w:kern w:val="0"/>
          <w:sz w:val="24"/>
          <w:szCs w:val="24"/>
          <w:highlight w:val="none"/>
        </w:rPr>
        <w:t>式</w:t>
      </w:r>
      <w:r>
        <w:rPr>
          <w:rFonts w:hint="eastAsia" w:asciiTheme="minorEastAsia" w:hAnsiTheme="minorEastAsia" w:eastAsiaTheme="minorEastAsia"/>
          <w:color w:val="auto"/>
          <w:kern w:val="0"/>
          <w:sz w:val="24"/>
          <w:szCs w:val="24"/>
          <w:highlight w:val="none"/>
        </w:rPr>
        <w:t>：</w:t>
      </w:r>
      <w:r>
        <w:rPr>
          <w:rFonts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rPr>
        <w:t>/</w:t>
      </w:r>
      <w:r>
        <w:rPr>
          <w:rFonts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rPr>
        <w:t>。</w:t>
      </w:r>
    </w:p>
    <w:p>
      <w:pPr>
        <w:ind w:firstLine="480" w:firstLineChars="200"/>
        <w:jc w:val="left"/>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15.3.2 质量保证金的扣留 </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质量保证金的扣留采取以下第</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种方式：</w:t>
      </w:r>
    </w:p>
    <w:p>
      <w:pPr>
        <w:autoSpaceDE w:val="0"/>
        <w:autoSpaceDN w:val="0"/>
        <w:adjustRightInd w:val="0"/>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ind w:firstLine="480" w:firstLineChars="200"/>
        <w:jc w:val="left"/>
        <w:outlineLvl w:val="0"/>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（2）工程竣工结算时一次性扣留质量保证金；</w:t>
      </w:r>
    </w:p>
    <w:p>
      <w:pPr>
        <w:autoSpaceDE w:val="0"/>
        <w:autoSpaceDN w:val="0"/>
        <w:adjustRightInd w:val="0"/>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（3）其他扣留方式:</w:t>
      </w:r>
      <w:r>
        <w:rPr>
          <w:rFonts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关于质量保证金的补充约定：</w:t>
      </w:r>
      <w:r>
        <w:rPr>
          <w:rFonts w:hint="eastAsia" w:asciiTheme="minorEastAsia" w:hAnsiTheme="minorEastAsia" w:eastAsiaTheme="minorEastAsia"/>
          <w:color w:val="auto"/>
          <w:kern w:val="0"/>
          <w:sz w:val="24"/>
          <w:szCs w:val="24"/>
          <w:highlight w:val="none"/>
          <w:u w:val="single"/>
        </w:rPr>
        <w:t>工程缺陷责任期满，承包人履行缺陷责任期内质量保修义务且合格移交后</w:t>
      </w:r>
      <w:r>
        <w:rPr>
          <w:rFonts w:asciiTheme="minorEastAsia" w:hAnsiTheme="minorEastAsia" w:eastAsiaTheme="minorEastAsia"/>
          <w:color w:val="auto"/>
          <w:kern w:val="0"/>
          <w:sz w:val="24"/>
          <w:szCs w:val="24"/>
          <w:highlight w:val="none"/>
        </w:rPr>
        <w:t>。</w:t>
      </w:r>
    </w:p>
    <w:bookmarkEnd w:id="551"/>
    <w:bookmarkEnd w:id="552"/>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15.4保修</w:t>
      </w:r>
    </w:p>
    <w:bookmarkEnd w:id="553"/>
    <w:p>
      <w:pPr>
        <w:ind w:firstLine="468" w:firstLineChars="195"/>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15.4.1 保修责任</w:t>
      </w:r>
    </w:p>
    <w:p>
      <w:pPr>
        <w:ind w:firstLine="468" w:firstLineChars="195"/>
        <w:jc w:val="left"/>
        <w:rPr>
          <w:rFonts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1）基础设施工程、房屋建筑的地基基础工程和主体结构工程，为设计文件规定的该工程的合理使用年限；（2）屋面防水工程、有防水要求的卫生间、房间和外墙面的防渗漏为5年；（3）供热与供冷系统为2个采暖期、供冷期；（4）电气管线、给排水管道、设备安装和装修工程为2年</w:t>
      </w:r>
      <w:r>
        <w:rPr>
          <w:rFonts w:hint="eastAsia" w:asciiTheme="minorEastAsia" w:hAnsiTheme="minorEastAsia" w:eastAsiaTheme="minorEastAsia"/>
          <w:color w:val="auto"/>
          <w:kern w:val="0"/>
          <w:sz w:val="24"/>
          <w:szCs w:val="24"/>
          <w:highlight w:val="none"/>
          <w:u w:val="single"/>
        </w:rPr>
        <w:t>。</w:t>
      </w:r>
    </w:p>
    <w:p>
      <w:pPr>
        <w:ind w:firstLine="468" w:firstLineChars="195"/>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15.4.3 修复通知</w:t>
      </w:r>
    </w:p>
    <w:p>
      <w:pPr>
        <w:ind w:firstLine="468" w:firstLineChars="195"/>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承包人收到保修通知并到达工程现场的合理时间：</w:t>
      </w:r>
      <w:r>
        <w:rPr>
          <w:rFonts w:hint="eastAsia" w:asciiTheme="minorEastAsia" w:hAnsiTheme="minorEastAsia" w:eastAsiaTheme="minorEastAsia"/>
          <w:color w:val="auto"/>
          <w:sz w:val="24"/>
          <w:szCs w:val="24"/>
          <w:highlight w:val="none"/>
          <w:u w:val="single"/>
          <w:shd w:val="clear" w:color="auto" w:fill="FFFFFF"/>
        </w:rPr>
        <w:t>1.承包人应当在接到保修通知之日起24 小时内派人保修。承包人不在约定期限内派人保修的，发包人可以委托他人修理，保修费用从余款中扣除。2.对于涉及结构安全的质量问题，应根据相关规定，立即向当地建设行政主管部门报告，采取安全防范措施；由原设计单位或者具有相应资质等级的设计单位提出保修方案，承包人实施保修。3.质量保修完成后，由发包人组织验收</w:t>
      </w:r>
      <w:r>
        <w:rPr>
          <w:rFonts w:asciiTheme="minorEastAsia" w:hAnsiTheme="minorEastAsia" w:eastAsiaTheme="minorEastAsia"/>
          <w:color w:val="auto"/>
          <w:kern w:val="0"/>
          <w:sz w:val="24"/>
          <w:szCs w:val="24"/>
          <w:highlight w:val="none"/>
        </w:rPr>
        <w:t>。</w:t>
      </w:r>
    </w:p>
    <w:bookmarkEnd w:id="554"/>
    <w:bookmarkEnd w:id="555"/>
    <w:bookmarkEnd w:id="556"/>
    <w:bookmarkEnd w:id="557"/>
    <w:p>
      <w:pPr>
        <w:pStyle w:val="7"/>
        <w:rPr>
          <w:rFonts w:asciiTheme="minorEastAsia" w:hAnsiTheme="minorEastAsia" w:eastAsiaTheme="minorEastAsia"/>
          <w:b w:val="0"/>
          <w:color w:val="auto"/>
          <w:sz w:val="24"/>
          <w:szCs w:val="24"/>
          <w:highlight w:val="none"/>
        </w:rPr>
      </w:pPr>
      <w:bookmarkStart w:id="580" w:name="_Toc351203648"/>
      <w:bookmarkStart w:id="581" w:name="_Toc280868717"/>
      <w:bookmarkStart w:id="582" w:name="_Toc280868718"/>
      <w:r>
        <w:rPr>
          <w:rFonts w:asciiTheme="minorEastAsia" w:hAnsiTheme="minorEastAsia" w:eastAsiaTheme="minorEastAsia"/>
          <w:b w:val="0"/>
          <w:color w:val="auto"/>
          <w:sz w:val="24"/>
          <w:szCs w:val="24"/>
          <w:highlight w:val="none"/>
        </w:rPr>
        <w:t>16. 违约</w:t>
      </w:r>
      <w:bookmarkEnd w:id="580"/>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16.1 发包人违约</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16.1.1发包人违约的情形</w:t>
      </w:r>
    </w:p>
    <w:p>
      <w:pPr>
        <w:ind w:left="1200" w:hanging="1200" w:hangingChars="5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发包人违约的其他情形：</w:t>
      </w:r>
      <w:r>
        <w:rPr>
          <w:rFonts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rPr>
        <w:t>/</w:t>
      </w:r>
      <w:r>
        <w:rPr>
          <w:rFonts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rPr>
        <w:t>。</w:t>
      </w:r>
    </w:p>
    <w:p>
      <w:pPr>
        <w:ind w:left="1200" w:hanging="1200" w:hangingChars="5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 xml:space="preserve">    16.1.2 发包人违约的责任</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发包人违约责任的承担方式和计算方法：</w:t>
      </w:r>
    </w:p>
    <w:p>
      <w:pPr>
        <w:ind w:firstLine="480" w:firstLineChars="200"/>
        <w:jc w:val="left"/>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kern w:val="0"/>
          <w:sz w:val="24"/>
          <w:szCs w:val="24"/>
          <w:highlight w:val="none"/>
        </w:rPr>
        <w:t>（1）因发包人原因未能在计划开工日期前7天内下达开工通知的违约责任：</w:t>
      </w:r>
      <w:r>
        <w:rPr>
          <w:rFonts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rPr>
        <w:t>工期顺延</w:t>
      </w:r>
      <w:r>
        <w:rPr>
          <w:rFonts w:asciiTheme="minorEastAsia" w:hAnsiTheme="minorEastAsia" w:eastAsiaTheme="minorEastAsia"/>
          <w:color w:val="auto"/>
          <w:kern w:val="0"/>
          <w:sz w:val="24"/>
          <w:szCs w:val="24"/>
          <w:highlight w:val="none"/>
        </w:rPr>
        <w:t>。</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（2）因发包人原因未能按合同约定支付合同价款的违约责任：</w:t>
      </w:r>
      <w:r>
        <w:rPr>
          <w:rFonts w:hint="eastAsia" w:asciiTheme="minorEastAsia" w:hAnsiTheme="minorEastAsia" w:eastAsiaTheme="minorEastAsia"/>
          <w:color w:val="auto"/>
          <w:sz w:val="24"/>
          <w:szCs w:val="24"/>
          <w:highlight w:val="none"/>
          <w:u w:val="single"/>
          <w:shd w:val="clear" w:color="auto" w:fill="FFFFFF"/>
        </w:rPr>
        <w:t>双方协商</w:t>
      </w:r>
      <w:r>
        <w:rPr>
          <w:rFonts w:asciiTheme="minorEastAsia" w:hAnsiTheme="minorEastAsia" w:eastAsiaTheme="minorEastAsia"/>
          <w:color w:val="auto"/>
          <w:kern w:val="0"/>
          <w:sz w:val="24"/>
          <w:szCs w:val="24"/>
          <w:highlight w:val="none"/>
        </w:rPr>
        <w:t>。</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（3）发包人违反第10.1款</w:t>
      </w:r>
      <w:r>
        <w:rPr>
          <w:rFonts w:hint="eastAsia" w:asciiTheme="minorEastAsia" w:hAnsiTheme="minorEastAsia" w:eastAsiaTheme="minorEastAsia"/>
          <w:color w:val="auto"/>
          <w:kern w:val="0"/>
          <w:sz w:val="24"/>
          <w:szCs w:val="24"/>
          <w:highlight w:val="none"/>
        </w:rPr>
        <w:t>〔</w:t>
      </w:r>
      <w:r>
        <w:rPr>
          <w:rFonts w:asciiTheme="minorEastAsia" w:hAnsiTheme="minorEastAsia" w:eastAsiaTheme="minorEastAsia"/>
          <w:color w:val="auto"/>
          <w:kern w:val="0"/>
          <w:sz w:val="24"/>
          <w:szCs w:val="24"/>
          <w:highlight w:val="none"/>
        </w:rPr>
        <w:t>变更的范围</w:t>
      </w:r>
      <w:r>
        <w:rPr>
          <w:rFonts w:hint="eastAsia" w:asciiTheme="minorEastAsia" w:hAnsiTheme="minorEastAsia" w:eastAsiaTheme="minorEastAsia"/>
          <w:color w:val="auto"/>
          <w:kern w:val="0"/>
          <w:sz w:val="24"/>
          <w:szCs w:val="24"/>
          <w:highlight w:val="none"/>
        </w:rPr>
        <w:t>〕</w:t>
      </w:r>
      <w:r>
        <w:rPr>
          <w:rFonts w:asciiTheme="minorEastAsia" w:hAnsiTheme="minorEastAsia" w:eastAsiaTheme="minorEastAsia"/>
          <w:color w:val="auto"/>
          <w:kern w:val="0"/>
          <w:sz w:val="24"/>
          <w:szCs w:val="24"/>
          <w:highlight w:val="none"/>
        </w:rPr>
        <w:t>第（2）项约定，自行实施被取消的工作或转由他人实施的违约责任：</w:t>
      </w:r>
      <w:r>
        <w:rPr>
          <w:rFonts w:hint="eastAsia" w:asciiTheme="minorEastAsia" w:hAnsiTheme="minorEastAsia" w:eastAsiaTheme="minorEastAsia"/>
          <w:color w:val="auto"/>
          <w:sz w:val="24"/>
          <w:szCs w:val="24"/>
          <w:highlight w:val="none"/>
          <w:u w:val="single"/>
          <w:shd w:val="clear" w:color="auto" w:fill="FFFFFF"/>
        </w:rPr>
        <w:t>双方协商</w:t>
      </w:r>
      <w:r>
        <w:rPr>
          <w:rFonts w:asciiTheme="minorEastAsia" w:hAnsiTheme="minorEastAsia" w:eastAsiaTheme="minorEastAsia"/>
          <w:color w:val="auto"/>
          <w:kern w:val="0"/>
          <w:sz w:val="24"/>
          <w:szCs w:val="24"/>
          <w:highlight w:val="none"/>
        </w:rPr>
        <w:t>。</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olor w:val="auto"/>
          <w:sz w:val="24"/>
          <w:szCs w:val="24"/>
          <w:highlight w:val="none"/>
          <w:u w:val="single"/>
          <w:shd w:val="clear" w:color="auto" w:fill="FFFFFF"/>
        </w:rPr>
        <w:t>双方协商</w:t>
      </w:r>
      <w:r>
        <w:rPr>
          <w:rFonts w:asciiTheme="minorEastAsia" w:hAnsiTheme="minorEastAsia" w:eastAsiaTheme="minorEastAsia"/>
          <w:color w:val="auto"/>
          <w:kern w:val="0"/>
          <w:sz w:val="24"/>
          <w:szCs w:val="24"/>
          <w:highlight w:val="none"/>
        </w:rPr>
        <w:t>。</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（5）因发包人违反合同约定造成暂停施工的违约责任：</w:t>
      </w:r>
      <w:r>
        <w:rPr>
          <w:rFonts w:hint="eastAsia" w:asciiTheme="minorEastAsia" w:hAnsiTheme="minorEastAsia" w:eastAsiaTheme="minorEastAsia"/>
          <w:color w:val="auto"/>
          <w:sz w:val="24"/>
          <w:szCs w:val="24"/>
          <w:highlight w:val="none"/>
          <w:u w:val="single"/>
          <w:shd w:val="clear" w:color="auto" w:fill="FFFFFF"/>
        </w:rPr>
        <w:t>双方协商</w:t>
      </w:r>
      <w:r>
        <w:rPr>
          <w:rFonts w:asciiTheme="minorEastAsia" w:hAnsiTheme="minorEastAsia" w:eastAsiaTheme="minorEastAsia"/>
          <w:color w:val="auto"/>
          <w:kern w:val="0"/>
          <w:sz w:val="24"/>
          <w:szCs w:val="24"/>
          <w:highlight w:val="none"/>
        </w:rPr>
        <w:t>。</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（6）发包人无正当理由没有在约定期限内发出复工指示，导致承包人无法复工的违约责任：</w:t>
      </w:r>
      <w:r>
        <w:rPr>
          <w:rFonts w:hint="eastAsia" w:asciiTheme="minorEastAsia" w:hAnsiTheme="minorEastAsia" w:eastAsiaTheme="minorEastAsia"/>
          <w:color w:val="auto"/>
          <w:sz w:val="24"/>
          <w:szCs w:val="24"/>
          <w:highlight w:val="none"/>
          <w:u w:val="single"/>
          <w:shd w:val="clear" w:color="auto" w:fill="FFFFFF"/>
        </w:rPr>
        <w:t>双方协商</w:t>
      </w:r>
      <w:r>
        <w:rPr>
          <w:rFonts w:asciiTheme="minorEastAsia" w:hAnsiTheme="minorEastAsia" w:eastAsiaTheme="minorEastAsia"/>
          <w:color w:val="auto"/>
          <w:kern w:val="0"/>
          <w:sz w:val="24"/>
          <w:szCs w:val="24"/>
          <w:highlight w:val="none"/>
        </w:rPr>
        <w:t>。</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（7）</w:t>
      </w:r>
      <w:r>
        <w:rPr>
          <w:rFonts w:hint="eastAsia" w:asciiTheme="minorEastAsia" w:hAnsiTheme="minorEastAsia" w:eastAsiaTheme="minorEastAsia"/>
          <w:color w:val="auto"/>
          <w:kern w:val="0"/>
          <w:sz w:val="24"/>
          <w:szCs w:val="24"/>
          <w:highlight w:val="none"/>
        </w:rPr>
        <w:t>其他：</w:t>
      </w:r>
      <w:r>
        <w:rPr>
          <w:rFonts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rPr>
        <w:t>。</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16.1.3 因发包人违约解除合同</w:t>
      </w:r>
    </w:p>
    <w:p>
      <w:pPr>
        <w:autoSpaceDE w:val="0"/>
        <w:autoSpaceDN w:val="0"/>
        <w:adjustRightInd w:val="0"/>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承包人按16.1.1项</w:t>
      </w:r>
      <w:r>
        <w:rPr>
          <w:rFonts w:hint="eastAsia" w:asciiTheme="minorEastAsia" w:hAnsiTheme="minorEastAsia" w:eastAsiaTheme="minorEastAsia"/>
          <w:color w:val="auto"/>
          <w:kern w:val="0"/>
          <w:sz w:val="24"/>
          <w:szCs w:val="24"/>
          <w:highlight w:val="none"/>
        </w:rPr>
        <w:t>〔</w:t>
      </w:r>
      <w:r>
        <w:rPr>
          <w:rFonts w:asciiTheme="minorEastAsia" w:hAnsiTheme="minorEastAsia" w:eastAsiaTheme="minorEastAsia"/>
          <w:color w:val="auto"/>
          <w:kern w:val="0"/>
          <w:sz w:val="24"/>
          <w:szCs w:val="24"/>
          <w:highlight w:val="none"/>
        </w:rPr>
        <w:t>发包人违约的情形</w:t>
      </w:r>
      <w:r>
        <w:rPr>
          <w:rFonts w:hint="eastAsia" w:asciiTheme="minorEastAsia" w:hAnsiTheme="minorEastAsia" w:eastAsiaTheme="minorEastAsia"/>
          <w:color w:val="auto"/>
          <w:kern w:val="0"/>
          <w:sz w:val="24"/>
          <w:szCs w:val="24"/>
          <w:highlight w:val="none"/>
        </w:rPr>
        <w:t>〕</w:t>
      </w:r>
      <w:r>
        <w:rPr>
          <w:rFonts w:asciiTheme="minorEastAsia" w:hAnsiTheme="minorEastAsia" w:eastAsiaTheme="minorEastAsia"/>
          <w:color w:val="auto"/>
          <w:kern w:val="0"/>
          <w:sz w:val="24"/>
          <w:szCs w:val="24"/>
          <w:highlight w:val="none"/>
        </w:rPr>
        <w:t>约定暂停施工满</w:t>
      </w:r>
      <w:r>
        <w:rPr>
          <w:rFonts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rPr>
        <w:t>/</w:t>
      </w:r>
      <w:r>
        <w:rPr>
          <w:rFonts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rPr>
        <w:t>天后发包人仍不纠正其违约行为并致使合同目的不能实现的，承包人有权解除合同。</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16.2 承包人违约</w:t>
      </w:r>
    </w:p>
    <w:p>
      <w:pPr>
        <w:ind w:firstLine="480" w:firstLineChars="200"/>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16.2.1 承包人违约的情形</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1）合同工期按承包人投标时的自报工期。如工期延误，承包人应承担违约责任并向发包人赔偿损失，工期每延误一天违约金5000元。此赔偿费的支付并不解除承包人应完成工程的义务或合同规定应完成的其他义务。如承包人工期延误超过15天，属于严重违约，发包人有权解除合同，并由承包人承担由此引起的一切损失以及负责由此引起的一切法律责任。不计工期提前奖。</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2）承包人确保达到中标时承诺的质量、安全等标准；如果在合同工期内达不到承诺的标准，承包人必须按发包人规定的期限返工直至达到中标时承诺的的标准；如返工仍然无法达到中标时承诺的的标准，则需向发包人支付违约赔偿金，所发生的一切返工费用以及由此给发包人造成的经济损失均由承包人承担，并按工程结算价款的2%予以处罚，此项赔偿并不能解除承包人完成工程的责任以及合同规定的其他责任，同时发包人有权解除本合同。如因施工质量导致安全事故，承包人承担事故处理的一切费用、工程的恢复费用及因此而造成后续工程延误费用。</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3）承包人投标时是在仔细阅读招标文件、设计图纸、相关技术规范并认真勘察现场等前提下，结合对本工程的风险分析，做出自己的投标报价的，而且已对招标文件提供的工程量清单进行过核对并予以认可。中标价格为最高结算价格，如未得到甲方同意增加金额，甲方可拒付增加部分金额。承包人不得以任何有关工程量清单、投标报价、利润、成本等方面的理由要求变更或者偷工减料、延误进度，否则发包人将视情节严重程度对承包人处以合同价款1%～5%的违约金（具体由发包人确定），并勒令其改进；如处罚后承包人仍无改进，发包人有权解除合同并处以合同价款10%的违约金，同时报建设主管部门追究其责任。</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4）承包人必须按照发包人书面批准的相关进度计划安排人员、机械、材料进场并组织施工，不得有连续3天以上的延误，否则发包人有权对其处以最高10000元／天的处罚（从决算中扣除），直至解除合同（不可抗力除外）；此违约金并不解除承包人应完成工程的责任或合同规定的其它责任。</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（5）招标文件要求承包人在投标报价中必须充分考虑的辅助性工作，如承包人在施工过程中拒绝执行，则发包人有权另行安排施工，费用从承包人工程款中扣除，如工程款数额不足，则从决算中扣除。</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（6）若非因发包人原因，导致周边住户和单位投诉新闻媒体负面曝光的，承包人需承担由此产生的一切后果和费用，每曝光一次，承包人需向发包人支付10000元的违约金。</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 xml:space="preserve">（7）承包人应确保民工工资如期发放，承包人组织的施工人员以农民工工资拖欠为由投诉或影响发包人正常工作秩序，发包人有权解除本合同，并有权按工程最终决算审计价款的20%扣付承包人工程款作为承包人应付的违约金。 </w:t>
      </w:r>
    </w:p>
    <w:p>
      <w:pPr>
        <w:ind w:firstLine="420"/>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（8</w:t>
      </w:r>
      <w:r>
        <w:rPr>
          <w:rFonts w:asciiTheme="minorEastAsia" w:hAnsiTheme="minorEastAsia" w:eastAsiaTheme="minorEastAsia"/>
          <w:color w:val="auto"/>
          <w:sz w:val="24"/>
          <w:szCs w:val="24"/>
          <w:highlight w:val="none"/>
          <w:u w:val="single"/>
        </w:rPr>
        <w:t>）承包人违反合同约定采购和使用不合格的材料和工程设备的</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承包人需承担</w:t>
      </w:r>
      <w:r>
        <w:rPr>
          <w:rFonts w:hint="eastAsia" w:asciiTheme="minorEastAsia" w:hAnsiTheme="minorEastAsia" w:eastAsiaTheme="minorEastAsia"/>
          <w:color w:val="auto"/>
          <w:sz w:val="24"/>
          <w:szCs w:val="24"/>
          <w:highlight w:val="none"/>
          <w:u w:val="single"/>
        </w:rPr>
        <w:t>2</w:t>
      </w:r>
      <w:r>
        <w:rPr>
          <w:rFonts w:asciiTheme="minorEastAsia" w:hAnsiTheme="minorEastAsia" w:eastAsiaTheme="minorEastAsia"/>
          <w:color w:val="auto"/>
          <w:sz w:val="24"/>
          <w:szCs w:val="24"/>
          <w:highlight w:val="none"/>
          <w:u w:val="single"/>
        </w:rPr>
        <w:t>0000元/次的违约金。</w:t>
      </w:r>
      <w:r>
        <w:rPr>
          <w:rFonts w:hint="eastAsia" w:cs="仿宋_GB2312" w:asciiTheme="minorEastAsia" w:hAnsiTheme="minorEastAsia" w:eastAsiaTheme="minorEastAsia"/>
          <w:color w:val="auto"/>
          <w:kern w:val="0"/>
          <w:sz w:val="24"/>
          <w:szCs w:val="24"/>
          <w:highlight w:val="none"/>
          <w:u w:val="single"/>
        </w:rPr>
        <w:t>并勒令其改进，如处罚两次后承包人仍无改进，发包人有权解除合同并处以合同价款10%的违约金。</w:t>
      </w:r>
    </w:p>
    <w:p>
      <w:pPr>
        <w:ind w:firstLine="420"/>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（9</w:t>
      </w:r>
      <w:r>
        <w:rPr>
          <w:rFonts w:asciiTheme="minorEastAsia" w:hAnsiTheme="minorEastAsia" w:eastAsiaTheme="minorEastAsia"/>
          <w:color w:val="auto"/>
          <w:sz w:val="24"/>
          <w:szCs w:val="24"/>
          <w:highlight w:val="none"/>
          <w:u w:val="single"/>
        </w:rPr>
        <w:t>）承包人未经批准，私自将已按照合同约定进入施工现场的材料或设备撤离施工现场的；承包人承担一切损失，并需承担</w:t>
      </w:r>
      <w:r>
        <w:rPr>
          <w:rFonts w:hint="eastAsia" w:asciiTheme="minorEastAsia" w:hAnsiTheme="minorEastAsia" w:eastAsiaTheme="minorEastAsia"/>
          <w:color w:val="auto"/>
          <w:sz w:val="24"/>
          <w:szCs w:val="24"/>
          <w:highlight w:val="none"/>
          <w:u w:val="single"/>
        </w:rPr>
        <w:t>10</w:t>
      </w:r>
      <w:r>
        <w:rPr>
          <w:rFonts w:asciiTheme="minorEastAsia" w:hAnsiTheme="minorEastAsia" w:eastAsiaTheme="minorEastAsia"/>
          <w:color w:val="auto"/>
          <w:sz w:val="24"/>
          <w:szCs w:val="24"/>
          <w:highlight w:val="none"/>
          <w:u w:val="single"/>
        </w:rPr>
        <w:t>000元/次的违约金。</w:t>
      </w:r>
      <w:r>
        <w:rPr>
          <w:rFonts w:hint="eastAsia" w:cs="仿宋_GB2312" w:asciiTheme="minorEastAsia" w:hAnsiTheme="minorEastAsia" w:eastAsiaTheme="minorEastAsia"/>
          <w:color w:val="auto"/>
          <w:kern w:val="0"/>
          <w:sz w:val="24"/>
          <w:szCs w:val="24"/>
          <w:highlight w:val="none"/>
          <w:u w:val="single"/>
        </w:rPr>
        <w:t>并勒令其改进，如处罚两次后承包人仍无改进，发包人有权解除合同并处以合同价款10%的违约金。</w:t>
      </w:r>
    </w:p>
    <w:p>
      <w:pPr>
        <w:ind w:firstLine="420"/>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（10</w:t>
      </w:r>
      <w:r>
        <w:rPr>
          <w:rFonts w:asciiTheme="minorEastAsia" w:hAnsiTheme="minorEastAsia" w:eastAsiaTheme="minorEastAsia"/>
          <w:color w:val="auto"/>
          <w:sz w:val="24"/>
          <w:szCs w:val="24"/>
          <w:highlight w:val="none"/>
          <w:u w:val="single"/>
        </w:rPr>
        <w:t>）承包人在缺陷责任期及保修期内，未能在合理期限对工程缺陷进行修复，或拒绝按发包人要求进行修复的；质保金没有结算的，发包人有权扣留剩余质保金，作为承包人的违约金。因承包人拒绝按发包人要求进行修复或者未在合理期限对工程缺陷进行修复的，发包人聘请其他人修复的费用由承包人承担。</w:t>
      </w:r>
    </w:p>
    <w:p>
      <w:pPr>
        <w:pStyle w:val="22"/>
        <w:ind w:firstLine="480" w:firstLineChars="200"/>
        <w:rPr>
          <w:rFonts w:asciiTheme="minorEastAsia" w:hAnsiTheme="minorEastAsia" w:eastAsiaTheme="minorEastAsia"/>
          <w:color w:val="auto"/>
          <w:kern w:val="0"/>
          <w:sz w:val="24"/>
          <w:szCs w:val="24"/>
          <w:highlight w:val="none"/>
          <w:u w:val="single"/>
        </w:rPr>
      </w:pPr>
      <w:r>
        <w:rPr>
          <w:rFonts w:hint="eastAsia" w:asciiTheme="minorEastAsia" w:hAnsiTheme="minorEastAsia" w:eastAsiaTheme="minorEastAsia"/>
          <w:color w:val="auto"/>
          <w:kern w:val="0"/>
          <w:sz w:val="24"/>
          <w:szCs w:val="24"/>
          <w:highlight w:val="none"/>
          <w:u w:val="single"/>
        </w:rPr>
        <w:t>（11）</w:t>
      </w:r>
      <w:r>
        <w:rPr>
          <w:rFonts w:asciiTheme="minorEastAsia" w:hAnsiTheme="minorEastAsia" w:eastAsiaTheme="minorEastAsia"/>
          <w:color w:val="auto"/>
          <w:kern w:val="0"/>
          <w:sz w:val="24"/>
          <w:szCs w:val="24"/>
          <w:highlight w:val="none"/>
          <w:u w:val="single"/>
        </w:rPr>
        <w:t>本工程具体分项工程完成时间应服从发包人的总体要求，如因承包人原因导致实际进度与发包人要求的进度计划不符，承包人无措施或无法按工期完工或质</w:t>
      </w:r>
      <w:r>
        <w:rPr>
          <w:rFonts w:hint="eastAsia" w:asciiTheme="minorEastAsia" w:hAnsiTheme="minorEastAsia" w:eastAsiaTheme="minorEastAsia"/>
          <w:color w:val="auto"/>
          <w:kern w:val="0"/>
          <w:sz w:val="24"/>
          <w:szCs w:val="24"/>
          <w:highlight w:val="none"/>
          <w:u w:val="single"/>
        </w:rPr>
        <w:t>量无法达到合同要求的，发包人有权对部分分项工程指定第三方施工，承包人必须无条件服从和配合；此分项工程费用由发包人按实际发生费用从承包人的工程款中扣除，并加收</w:t>
      </w:r>
      <w:r>
        <w:rPr>
          <w:rFonts w:asciiTheme="minorEastAsia" w:hAnsiTheme="minorEastAsia" w:eastAsiaTheme="minorEastAsia"/>
          <w:color w:val="auto"/>
          <w:kern w:val="0"/>
          <w:sz w:val="24"/>
          <w:szCs w:val="24"/>
          <w:highlight w:val="none"/>
          <w:u w:val="single"/>
        </w:rPr>
        <w:t>10%的管理费；当</w:t>
      </w:r>
      <w:r>
        <w:rPr>
          <w:rFonts w:hint="eastAsia" w:asciiTheme="minorEastAsia" w:hAnsiTheme="minorEastAsia" w:eastAsiaTheme="minorEastAsia"/>
          <w:color w:val="auto"/>
          <w:kern w:val="0"/>
          <w:sz w:val="24"/>
          <w:szCs w:val="24"/>
          <w:highlight w:val="none"/>
          <w:u w:val="single"/>
        </w:rPr>
        <w:t>合同工期内</w:t>
      </w:r>
      <w:r>
        <w:rPr>
          <w:rFonts w:asciiTheme="minorEastAsia" w:hAnsiTheme="minorEastAsia" w:eastAsiaTheme="minorEastAsia"/>
          <w:color w:val="auto"/>
          <w:kern w:val="0"/>
          <w:sz w:val="24"/>
          <w:szCs w:val="24"/>
          <w:highlight w:val="none"/>
          <w:u w:val="single"/>
        </w:rPr>
        <w:t>累计完成工程量不足计划进度的70%时，可认为承包人无能力按期履行合同，发包人有权终止合同，并由承包人承担一切损失。</w:t>
      </w:r>
      <w:r>
        <w:rPr>
          <w:rFonts w:hint="eastAsia" w:asciiTheme="minorEastAsia" w:hAnsiTheme="minorEastAsia" w:eastAsiaTheme="minorEastAsia"/>
          <w:color w:val="auto"/>
          <w:kern w:val="0"/>
          <w:sz w:val="24"/>
          <w:szCs w:val="24"/>
          <w:highlight w:val="none"/>
          <w:u w:val="single"/>
        </w:rPr>
        <w:t>若承包人擅自停工或单方面终止合同的执行或违约，造成合同无法履行，在本合同解除后，承包人必须在5天内无条件退场。发包人将按承包人已完成合格工程量的70%给予结算，承包人承担由此而给发包人造成的一切损失并承担相应的法律责任。承包人私自甩项不按工程清单内容施工的，发包人有权将甩项内容安排第三方实施，并由承包人承担此项发生的实际费用，同时发包人保留索赔权利。</w:t>
      </w:r>
    </w:p>
    <w:p>
      <w:pPr>
        <w:pStyle w:val="22"/>
        <w:ind w:firstLine="480" w:firstLineChars="200"/>
        <w:rPr>
          <w:rFonts w:asciiTheme="minorEastAsia" w:hAnsiTheme="minorEastAsia" w:eastAsiaTheme="minorEastAsia"/>
          <w:color w:val="auto"/>
          <w:kern w:val="0"/>
          <w:sz w:val="24"/>
          <w:szCs w:val="24"/>
          <w:highlight w:val="none"/>
          <w:u w:val="single"/>
        </w:rPr>
      </w:pPr>
      <w:r>
        <w:rPr>
          <w:rFonts w:hint="eastAsia" w:asciiTheme="minorEastAsia" w:hAnsiTheme="minorEastAsia" w:eastAsiaTheme="minorEastAsia"/>
          <w:color w:val="auto"/>
          <w:kern w:val="0"/>
          <w:sz w:val="24"/>
          <w:szCs w:val="24"/>
          <w:highlight w:val="none"/>
          <w:u w:val="single"/>
        </w:rPr>
        <w:t>（12）</w:t>
      </w:r>
      <w:r>
        <w:rPr>
          <w:rFonts w:asciiTheme="minorEastAsia" w:hAnsiTheme="minorEastAsia" w:eastAsiaTheme="minorEastAsia"/>
          <w:color w:val="auto"/>
          <w:kern w:val="0"/>
          <w:sz w:val="24"/>
          <w:szCs w:val="24"/>
          <w:highlight w:val="none"/>
          <w:u w:val="single"/>
        </w:rPr>
        <w:t>承包人未按程序报验的，每次向发包人支付1</w:t>
      </w:r>
      <w:r>
        <w:rPr>
          <w:rFonts w:hint="eastAsia" w:asciiTheme="minorEastAsia" w:hAnsiTheme="minorEastAsia" w:eastAsiaTheme="minorEastAsia"/>
          <w:color w:val="auto"/>
          <w:kern w:val="0"/>
          <w:sz w:val="24"/>
          <w:szCs w:val="24"/>
          <w:highlight w:val="none"/>
          <w:u w:val="single"/>
        </w:rPr>
        <w:t>0</w:t>
      </w:r>
      <w:r>
        <w:rPr>
          <w:rFonts w:asciiTheme="minorEastAsia" w:hAnsiTheme="minorEastAsia" w:eastAsiaTheme="minorEastAsia"/>
          <w:color w:val="auto"/>
          <w:kern w:val="0"/>
          <w:sz w:val="24"/>
          <w:szCs w:val="24"/>
          <w:highlight w:val="none"/>
          <w:u w:val="single"/>
        </w:rPr>
        <w:t>000元违约赔偿金。</w:t>
      </w:r>
    </w:p>
    <w:p>
      <w:pPr>
        <w:pStyle w:val="22"/>
        <w:ind w:firstLine="480" w:firstLineChars="200"/>
        <w:rPr>
          <w:rFonts w:asciiTheme="minorEastAsia" w:hAnsiTheme="minorEastAsia" w:eastAsiaTheme="minorEastAsia"/>
          <w:color w:val="auto"/>
          <w:kern w:val="0"/>
          <w:sz w:val="24"/>
          <w:szCs w:val="24"/>
          <w:highlight w:val="none"/>
          <w:u w:val="single"/>
        </w:rPr>
      </w:pPr>
      <w:r>
        <w:rPr>
          <w:rFonts w:hint="eastAsia" w:asciiTheme="minorEastAsia" w:hAnsiTheme="minorEastAsia" w:eastAsiaTheme="minorEastAsia"/>
          <w:color w:val="auto"/>
          <w:kern w:val="0"/>
          <w:sz w:val="24"/>
          <w:szCs w:val="24"/>
          <w:highlight w:val="none"/>
          <w:u w:val="single"/>
        </w:rPr>
        <w:t>（13）</w:t>
      </w:r>
      <w:r>
        <w:rPr>
          <w:rFonts w:asciiTheme="minorEastAsia" w:hAnsiTheme="minorEastAsia" w:eastAsiaTheme="minorEastAsia"/>
          <w:color w:val="auto"/>
          <w:kern w:val="0"/>
          <w:sz w:val="24"/>
          <w:szCs w:val="24"/>
          <w:highlight w:val="none"/>
          <w:u w:val="single"/>
        </w:rPr>
        <w:t>承包人必须服从发包人发布的各项符合现行法律、法规的管理规定，如承包人不服从发包人</w:t>
      </w:r>
      <w:r>
        <w:rPr>
          <w:rFonts w:hint="eastAsia" w:asciiTheme="minorEastAsia" w:hAnsiTheme="minorEastAsia" w:eastAsiaTheme="minorEastAsia"/>
          <w:color w:val="auto"/>
          <w:kern w:val="0"/>
          <w:sz w:val="24"/>
          <w:szCs w:val="24"/>
          <w:highlight w:val="none"/>
          <w:u w:val="single"/>
        </w:rPr>
        <w:t>及监理的管理，每次向发包人支付1</w:t>
      </w:r>
      <w:r>
        <w:rPr>
          <w:rFonts w:asciiTheme="minorEastAsia" w:hAnsiTheme="minorEastAsia" w:eastAsiaTheme="minorEastAsia"/>
          <w:color w:val="auto"/>
          <w:kern w:val="0"/>
          <w:sz w:val="24"/>
          <w:szCs w:val="24"/>
          <w:highlight w:val="none"/>
          <w:u w:val="single"/>
        </w:rPr>
        <w:t>0000元违约赔偿金，且发包人有权解除合同，并要求承包人赔偿损失</w:t>
      </w:r>
      <w:r>
        <w:rPr>
          <w:rFonts w:hint="eastAsia" w:asciiTheme="minorEastAsia" w:hAnsiTheme="minorEastAsia" w:eastAsiaTheme="minorEastAsia"/>
          <w:color w:val="auto"/>
          <w:kern w:val="0"/>
          <w:sz w:val="24"/>
          <w:szCs w:val="24"/>
          <w:highlight w:val="none"/>
          <w:u w:val="single"/>
        </w:rPr>
        <w:t>。</w:t>
      </w:r>
    </w:p>
    <w:p>
      <w:pPr>
        <w:pStyle w:val="22"/>
        <w:ind w:firstLine="480" w:firstLineChars="200"/>
        <w:rPr>
          <w:rFonts w:asciiTheme="minorEastAsia" w:hAnsiTheme="minorEastAsia" w:eastAsiaTheme="minorEastAsia"/>
          <w:color w:val="auto"/>
          <w:kern w:val="0"/>
          <w:sz w:val="24"/>
          <w:szCs w:val="24"/>
          <w:highlight w:val="none"/>
          <w:u w:val="single"/>
        </w:rPr>
      </w:pPr>
      <w:r>
        <w:rPr>
          <w:rFonts w:hint="eastAsia" w:asciiTheme="minorEastAsia" w:hAnsiTheme="minorEastAsia" w:eastAsiaTheme="minorEastAsia"/>
          <w:color w:val="auto"/>
          <w:kern w:val="0"/>
          <w:sz w:val="24"/>
          <w:szCs w:val="24"/>
          <w:highlight w:val="none"/>
          <w:u w:val="single"/>
        </w:rPr>
        <w:t>（14）</w:t>
      </w:r>
      <w:r>
        <w:rPr>
          <w:rFonts w:asciiTheme="minorEastAsia" w:hAnsiTheme="minorEastAsia" w:eastAsiaTheme="minorEastAsia"/>
          <w:color w:val="auto"/>
          <w:kern w:val="0"/>
          <w:sz w:val="24"/>
          <w:szCs w:val="24"/>
          <w:highlight w:val="none"/>
          <w:u w:val="single"/>
        </w:rPr>
        <w:t>本工程要求项目负责人本人</w:t>
      </w:r>
      <w:r>
        <w:rPr>
          <w:rFonts w:hint="eastAsia" w:asciiTheme="minorEastAsia" w:hAnsiTheme="minorEastAsia" w:eastAsiaTheme="minorEastAsia"/>
          <w:color w:val="auto"/>
          <w:kern w:val="0"/>
          <w:sz w:val="24"/>
          <w:szCs w:val="24"/>
          <w:highlight w:val="none"/>
          <w:u w:val="single"/>
        </w:rPr>
        <w:t>每月在现场时间不得少于本月施工时间的80%，且</w:t>
      </w:r>
      <w:r>
        <w:rPr>
          <w:rFonts w:asciiTheme="minorEastAsia" w:hAnsiTheme="minorEastAsia" w:eastAsiaTheme="minorEastAsia"/>
          <w:color w:val="auto"/>
          <w:kern w:val="0"/>
          <w:sz w:val="24"/>
          <w:szCs w:val="24"/>
          <w:highlight w:val="none"/>
          <w:u w:val="single"/>
        </w:rPr>
        <w:t>每周不少于5天，每天至少8小时在本工程现场工作，且必须参加每周召开的例会（有事须请假），如发现项目负责人未经发包人同意，违反上述规定，每发现一次罚款</w:t>
      </w:r>
      <w:r>
        <w:rPr>
          <w:rFonts w:hint="eastAsia" w:asciiTheme="minorEastAsia" w:hAnsiTheme="minorEastAsia" w:eastAsiaTheme="minorEastAsia"/>
          <w:color w:val="auto"/>
          <w:kern w:val="0"/>
          <w:sz w:val="24"/>
          <w:szCs w:val="24"/>
          <w:highlight w:val="none"/>
          <w:u w:val="single"/>
        </w:rPr>
        <w:t>10</w:t>
      </w:r>
      <w:r>
        <w:rPr>
          <w:rFonts w:asciiTheme="minorEastAsia" w:hAnsiTheme="minorEastAsia" w:eastAsiaTheme="minorEastAsia"/>
          <w:color w:val="auto"/>
          <w:kern w:val="0"/>
          <w:sz w:val="24"/>
          <w:szCs w:val="24"/>
          <w:highlight w:val="none"/>
          <w:u w:val="single"/>
        </w:rPr>
        <w:t>000元整；发现三次以上（含三次），发包人有权解除合同，并赔偿由此带来的发包人的一切损失。</w:t>
      </w:r>
    </w:p>
    <w:p>
      <w:pPr>
        <w:pStyle w:val="22"/>
        <w:ind w:firstLine="480" w:firstLineChars="200"/>
        <w:rPr>
          <w:rFonts w:asciiTheme="minorEastAsia" w:hAnsiTheme="minorEastAsia" w:eastAsiaTheme="minorEastAsia"/>
          <w:color w:val="auto"/>
          <w:kern w:val="0"/>
          <w:sz w:val="24"/>
          <w:szCs w:val="24"/>
          <w:highlight w:val="none"/>
          <w:u w:val="single"/>
        </w:rPr>
      </w:pPr>
      <w:r>
        <w:rPr>
          <w:rFonts w:hint="eastAsia" w:asciiTheme="minorEastAsia" w:hAnsiTheme="minorEastAsia" w:eastAsiaTheme="minorEastAsia"/>
          <w:color w:val="auto"/>
          <w:kern w:val="0"/>
          <w:sz w:val="24"/>
          <w:szCs w:val="24"/>
          <w:highlight w:val="none"/>
          <w:u w:val="single"/>
        </w:rPr>
        <w:t>（15）</w:t>
      </w:r>
      <w:r>
        <w:rPr>
          <w:rFonts w:asciiTheme="minorEastAsia" w:hAnsiTheme="minorEastAsia" w:eastAsiaTheme="minorEastAsia"/>
          <w:color w:val="auto"/>
          <w:kern w:val="0"/>
          <w:sz w:val="24"/>
          <w:szCs w:val="24"/>
          <w:highlight w:val="none"/>
          <w:u w:val="single"/>
        </w:rPr>
        <w:t>在施工过程中，发包人将对承包人的安全文明情况进行考评，只有考评合格，结算时方可计取现场安全文明措施费现场考评费，否则结算时不得计取该项费用</w:t>
      </w:r>
      <w:r>
        <w:rPr>
          <w:rFonts w:hint="eastAsia" w:asciiTheme="minorEastAsia" w:hAnsiTheme="minorEastAsia" w:eastAsiaTheme="minorEastAsia"/>
          <w:color w:val="auto"/>
          <w:kern w:val="0"/>
          <w:sz w:val="24"/>
          <w:szCs w:val="24"/>
          <w:highlight w:val="none"/>
          <w:u w:val="single"/>
        </w:rPr>
        <w:t>。</w:t>
      </w:r>
    </w:p>
    <w:p>
      <w:pPr>
        <w:ind w:firstLine="420"/>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（16</w:t>
      </w:r>
      <w:r>
        <w:rPr>
          <w:rFonts w:asciiTheme="minorEastAsia" w:hAnsiTheme="minorEastAsia" w:eastAsiaTheme="minorEastAsia"/>
          <w:color w:val="auto"/>
          <w:sz w:val="24"/>
          <w:szCs w:val="24"/>
          <w:highlight w:val="none"/>
          <w:u w:val="single"/>
        </w:rPr>
        <w:t>）承包人明确表示或者以其行为表明不履行合同主要义务的</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招标人有权解除合同。</w:t>
      </w:r>
    </w:p>
    <w:p>
      <w:pPr>
        <w:ind w:firstLine="420"/>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（17</w:t>
      </w:r>
      <w:r>
        <w:rPr>
          <w:rFonts w:asciiTheme="minorEastAsia" w:hAnsiTheme="minorEastAsia" w:eastAsiaTheme="minorEastAsia"/>
          <w:color w:val="auto"/>
          <w:sz w:val="24"/>
          <w:szCs w:val="24"/>
          <w:highlight w:val="none"/>
          <w:u w:val="single"/>
        </w:rPr>
        <w:t>）承包人未能按照合同约定履行其他义务的</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招标人有权解除合同。</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u w:val="single"/>
        </w:rPr>
        <w:t xml:space="preserve">（18）所有违约金和赔偿金的支付不影响承包人承担和履行合同项下的任何责任和义务 </w:t>
      </w:r>
      <w:r>
        <w:rPr>
          <w:rFonts w:hint="eastAsia" w:cs="仿宋_GB2312" w:asciiTheme="minorEastAsia" w:hAnsiTheme="minorEastAsia" w:eastAsiaTheme="minorEastAsia"/>
          <w:color w:val="auto"/>
          <w:kern w:val="0"/>
          <w:sz w:val="24"/>
          <w:szCs w:val="24"/>
          <w:highlight w:val="none"/>
        </w:rPr>
        <w:t>。</w:t>
      </w:r>
    </w:p>
    <w:p>
      <w:pPr>
        <w:ind w:firstLine="420"/>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1</w:t>
      </w:r>
      <w:r>
        <w:rPr>
          <w:rFonts w:hint="eastAsia" w:asciiTheme="minorEastAsia" w:hAnsiTheme="minorEastAsia" w:eastAsiaTheme="minorEastAsia"/>
          <w:color w:val="auto"/>
          <w:sz w:val="24"/>
          <w:szCs w:val="24"/>
          <w:highlight w:val="none"/>
          <w:u w:val="single"/>
        </w:rPr>
        <w:t>9</w:t>
      </w:r>
      <w:r>
        <w:rPr>
          <w:rFonts w:asciiTheme="minorEastAsia" w:hAnsiTheme="minorEastAsia" w:eastAsiaTheme="minorEastAsia"/>
          <w:color w:val="auto"/>
          <w:sz w:val="24"/>
          <w:szCs w:val="24"/>
          <w:highlight w:val="none"/>
          <w:u w:val="single"/>
        </w:rPr>
        <w:t>）承包人违反合同约定进行转包或违法分包的；招标人有权解除合同。</w:t>
      </w:r>
    </w:p>
    <w:p>
      <w:pPr>
        <w:pStyle w:val="22"/>
        <w:ind w:firstLine="480" w:firstLineChars="200"/>
        <w:rPr>
          <w:rFonts w:hint="eastAsia" w:asciiTheme="minorEastAsia" w:hAnsiTheme="minorEastAsia" w:eastAsiaTheme="minorEastAsia"/>
          <w:color w:val="auto"/>
          <w:kern w:val="0"/>
          <w:sz w:val="24"/>
          <w:szCs w:val="24"/>
          <w:highlight w:val="none"/>
          <w:u w:val="single"/>
        </w:rPr>
      </w:pPr>
      <w:r>
        <w:rPr>
          <w:rFonts w:hint="eastAsia" w:asciiTheme="minorEastAsia" w:hAnsiTheme="minorEastAsia" w:eastAsiaTheme="minorEastAsia"/>
          <w:color w:val="auto"/>
          <w:kern w:val="0"/>
          <w:sz w:val="24"/>
          <w:szCs w:val="24"/>
          <w:highlight w:val="none"/>
          <w:u w:val="single"/>
        </w:rPr>
        <w:t>以上承包人的违约行为，须承担违约行为导致的所有违约责任和损失，包括但不限于合同内及合同外造成的甲方其他损失，并赔偿所有违约行为造成的损失（承包人承担比例为100%）。同时甲方可以在发生上述解除合同情形的违约条款时与承包人解除合同。</w:t>
      </w:r>
    </w:p>
    <w:p>
      <w:pPr>
        <w:ind w:firstLine="480" w:firstLineChars="200"/>
        <w:jc w:val="left"/>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16.2.2 因承包人违约解除合同</w:t>
      </w:r>
    </w:p>
    <w:p>
      <w:pPr>
        <w:ind w:firstLine="480" w:firstLineChars="200"/>
        <w:jc w:val="left"/>
        <w:rPr>
          <w:rFonts w:cs="仿宋_GB2312" w:asciiTheme="minorEastAsia" w:hAnsiTheme="minorEastAsia" w:eastAsiaTheme="minorEastAsia"/>
          <w:color w:val="auto"/>
          <w:kern w:val="0"/>
          <w:sz w:val="24"/>
          <w:szCs w:val="24"/>
          <w:highlight w:val="none"/>
          <w:u w:val="single"/>
        </w:rPr>
      </w:pPr>
      <w:r>
        <w:rPr>
          <w:rFonts w:hint="eastAsia" w:cs="仿宋_GB2312" w:asciiTheme="minorEastAsia" w:hAnsiTheme="minorEastAsia" w:eastAsiaTheme="minorEastAsia"/>
          <w:color w:val="auto"/>
          <w:kern w:val="0"/>
          <w:sz w:val="24"/>
          <w:szCs w:val="24"/>
          <w:highlight w:val="none"/>
        </w:rPr>
        <w:t>关于承包人违约解除合同的特别约定：</w:t>
      </w:r>
      <w:r>
        <w:rPr>
          <w:rFonts w:hint="eastAsia" w:asciiTheme="minorEastAsia" w:hAnsiTheme="minorEastAsia" w:eastAsiaTheme="minorEastAsia"/>
          <w:color w:val="auto"/>
          <w:sz w:val="24"/>
          <w:szCs w:val="24"/>
          <w:highlight w:val="none"/>
          <w:u w:val="single"/>
        </w:rPr>
        <w:t>因承包人违约解除合同后，承包人必须在</w:t>
      </w:r>
      <w:r>
        <w:rPr>
          <w:rFonts w:asciiTheme="minorEastAsia" w:hAnsiTheme="minorEastAsia" w:eastAsiaTheme="minorEastAsia"/>
          <w:color w:val="auto"/>
          <w:sz w:val="24"/>
          <w:szCs w:val="24"/>
          <w:highlight w:val="none"/>
          <w:u w:val="single"/>
        </w:rPr>
        <w:t>5天内无条件退场。</w:t>
      </w:r>
      <w:r>
        <w:rPr>
          <w:rFonts w:hint="eastAsia" w:asciiTheme="minorEastAsia" w:hAnsiTheme="minorEastAsia" w:eastAsiaTheme="minorEastAsia"/>
          <w:color w:val="auto"/>
          <w:sz w:val="24"/>
          <w:szCs w:val="24"/>
          <w:highlight w:val="none"/>
          <w:u w:val="single"/>
        </w:rPr>
        <w:t>发包人</w:t>
      </w:r>
      <w:r>
        <w:rPr>
          <w:rFonts w:asciiTheme="minorEastAsia" w:hAnsiTheme="minorEastAsia" w:eastAsiaTheme="minorEastAsia"/>
          <w:color w:val="auto"/>
          <w:sz w:val="24"/>
          <w:szCs w:val="24"/>
          <w:highlight w:val="none"/>
          <w:u w:val="single"/>
        </w:rPr>
        <w:t>将按</w:t>
      </w:r>
      <w:r>
        <w:rPr>
          <w:rFonts w:hint="eastAsia" w:asciiTheme="minorEastAsia" w:hAnsiTheme="minorEastAsia" w:eastAsiaTheme="minorEastAsia"/>
          <w:color w:val="auto"/>
          <w:sz w:val="24"/>
          <w:szCs w:val="24"/>
          <w:highlight w:val="none"/>
          <w:u w:val="single"/>
        </w:rPr>
        <w:t>承包人</w:t>
      </w:r>
      <w:r>
        <w:rPr>
          <w:rFonts w:asciiTheme="minorEastAsia" w:hAnsiTheme="minorEastAsia" w:eastAsiaTheme="minorEastAsia"/>
          <w:color w:val="auto"/>
          <w:sz w:val="24"/>
          <w:szCs w:val="24"/>
          <w:highlight w:val="none"/>
          <w:u w:val="single"/>
        </w:rPr>
        <w:t>已完成</w:t>
      </w:r>
      <w:r>
        <w:rPr>
          <w:rFonts w:hint="eastAsia" w:asciiTheme="minorEastAsia" w:hAnsiTheme="minorEastAsia" w:eastAsiaTheme="minorEastAsia"/>
          <w:color w:val="auto"/>
          <w:sz w:val="24"/>
          <w:szCs w:val="24"/>
          <w:highlight w:val="none"/>
          <w:u w:val="single"/>
        </w:rPr>
        <w:t>合格</w:t>
      </w:r>
      <w:r>
        <w:rPr>
          <w:rFonts w:asciiTheme="minorEastAsia" w:hAnsiTheme="minorEastAsia" w:eastAsiaTheme="minorEastAsia"/>
          <w:color w:val="auto"/>
          <w:sz w:val="24"/>
          <w:szCs w:val="24"/>
          <w:highlight w:val="none"/>
          <w:u w:val="single"/>
        </w:rPr>
        <w:t>工程量的</w:t>
      </w:r>
      <w:r>
        <w:rPr>
          <w:rFonts w:hint="eastAsia" w:asciiTheme="minorEastAsia" w:hAnsiTheme="minorEastAsia" w:eastAsiaTheme="minorEastAsia"/>
          <w:color w:val="auto"/>
          <w:sz w:val="24"/>
          <w:szCs w:val="24"/>
          <w:highlight w:val="none"/>
          <w:u w:val="single"/>
        </w:rPr>
        <w:t>5</w:t>
      </w:r>
      <w:r>
        <w:rPr>
          <w:rFonts w:asciiTheme="minorEastAsia" w:hAnsiTheme="minorEastAsia" w:eastAsiaTheme="minorEastAsia"/>
          <w:color w:val="auto"/>
          <w:sz w:val="24"/>
          <w:szCs w:val="24"/>
          <w:highlight w:val="none"/>
          <w:u w:val="single"/>
        </w:rPr>
        <w:t>0%给予结算，</w:t>
      </w:r>
      <w:r>
        <w:rPr>
          <w:rFonts w:hint="eastAsia" w:asciiTheme="minorEastAsia" w:hAnsiTheme="minorEastAsia" w:eastAsiaTheme="minorEastAsia"/>
          <w:color w:val="auto"/>
          <w:sz w:val="24"/>
          <w:szCs w:val="24"/>
          <w:highlight w:val="none"/>
          <w:u w:val="single"/>
        </w:rPr>
        <w:t>承包人</w:t>
      </w:r>
      <w:r>
        <w:rPr>
          <w:rFonts w:asciiTheme="minorEastAsia" w:hAnsiTheme="minorEastAsia" w:eastAsiaTheme="minorEastAsia"/>
          <w:color w:val="auto"/>
          <w:sz w:val="24"/>
          <w:szCs w:val="24"/>
          <w:highlight w:val="none"/>
          <w:u w:val="single"/>
        </w:rPr>
        <w:t>并承担由此而给发包方造成的一切损失</w:t>
      </w:r>
      <w:r>
        <w:rPr>
          <w:rFonts w:hint="eastAsia" w:cs="仿宋_GB2312" w:asciiTheme="minorEastAsia" w:hAnsiTheme="minorEastAsia" w:eastAsiaTheme="minorEastAsia"/>
          <w:color w:val="auto"/>
          <w:kern w:val="0"/>
          <w:sz w:val="24"/>
          <w:szCs w:val="24"/>
          <w:highlight w:val="none"/>
        </w:rPr>
        <w:t>。</w:t>
      </w:r>
    </w:p>
    <w:p>
      <w:pPr>
        <w:spacing w:before="120" w:after="120"/>
        <w:ind w:firstLine="480" w:firstLineChars="200"/>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发包人</w:t>
      </w:r>
      <w:r>
        <w:rPr>
          <w:rFonts w:hint="eastAsia" w:asciiTheme="minorEastAsia" w:hAnsiTheme="minorEastAsia" w:eastAsiaTheme="minorEastAsia"/>
          <w:color w:val="auto"/>
          <w:kern w:val="0"/>
          <w:sz w:val="24"/>
          <w:szCs w:val="24"/>
          <w:highlight w:val="none"/>
        </w:rPr>
        <w:t>继续</w:t>
      </w:r>
      <w:r>
        <w:rPr>
          <w:rFonts w:asciiTheme="minorEastAsia" w:hAnsiTheme="minorEastAsia" w:eastAsiaTheme="minorEastAsia"/>
          <w:color w:val="auto"/>
          <w:kern w:val="0"/>
          <w:sz w:val="24"/>
          <w:szCs w:val="24"/>
          <w:highlight w:val="none"/>
        </w:rPr>
        <w:t>使用承包人在施工现场的材料、设备、临时工程、承包人文件和由承包人或以其名义编制的其他文件</w:t>
      </w:r>
      <w:r>
        <w:rPr>
          <w:rFonts w:hint="eastAsia" w:asciiTheme="minorEastAsia" w:hAnsiTheme="minorEastAsia" w:eastAsiaTheme="minorEastAsia"/>
          <w:color w:val="auto"/>
          <w:kern w:val="0"/>
          <w:sz w:val="24"/>
          <w:szCs w:val="24"/>
          <w:highlight w:val="none"/>
        </w:rPr>
        <w:t>的费用承担方式</w:t>
      </w:r>
      <w:r>
        <w:rPr>
          <w:rFonts w:asciiTheme="minorEastAsia" w:hAnsiTheme="minorEastAsia" w:eastAsiaTheme="minorEastAsia"/>
          <w:color w:val="auto"/>
          <w:kern w:val="0"/>
          <w:sz w:val="24"/>
          <w:szCs w:val="24"/>
          <w:highlight w:val="none"/>
        </w:rPr>
        <w:t>：</w:t>
      </w:r>
      <w:r>
        <w:rPr>
          <w:rFonts w:hint="eastAsia" w:asciiTheme="minorEastAsia" w:hAnsiTheme="minorEastAsia" w:eastAsiaTheme="minorEastAsia"/>
          <w:color w:val="auto"/>
          <w:sz w:val="24"/>
          <w:szCs w:val="24"/>
          <w:highlight w:val="none"/>
          <w:u w:val="single"/>
        </w:rPr>
        <w:t>根据监理、审计出具的报告结算给承包人</w:t>
      </w:r>
      <w:r>
        <w:rPr>
          <w:rFonts w:hint="eastAsia" w:asciiTheme="minorEastAsia" w:hAnsiTheme="minorEastAsia" w:eastAsiaTheme="minorEastAsia"/>
          <w:color w:val="auto"/>
          <w:kern w:val="0"/>
          <w:sz w:val="24"/>
          <w:szCs w:val="24"/>
          <w:highlight w:val="none"/>
        </w:rPr>
        <w:t>。</w:t>
      </w:r>
    </w:p>
    <w:p>
      <w:pPr>
        <w:pStyle w:val="7"/>
        <w:rPr>
          <w:rFonts w:asciiTheme="minorEastAsia" w:hAnsiTheme="minorEastAsia" w:eastAsiaTheme="minorEastAsia"/>
          <w:b w:val="0"/>
          <w:color w:val="auto"/>
          <w:sz w:val="24"/>
          <w:szCs w:val="24"/>
          <w:highlight w:val="none"/>
        </w:rPr>
      </w:pPr>
      <w:bookmarkStart w:id="583" w:name="_Toc351203649"/>
      <w:r>
        <w:rPr>
          <w:rFonts w:asciiTheme="minorEastAsia" w:hAnsiTheme="minorEastAsia" w:eastAsiaTheme="minorEastAsia"/>
          <w:b w:val="0"/>
          <w:color w:val="auto"/>
          <w:sz w:val="24"/>
          <w:szCs w:val="24"/>
          <w:highlight w:val="none"/>
        </w:rPr>
        <w:t>17. 不可抗力</w:t>
      </w:r>
      <w:bookmarkEnd w:id="583"/>
      <w:r>
        <w:rPr>
          <w:rFonts w:asciiTheme="minorEastAsia" w:hAnsiTheme="minorEastAsia" w:eastAsiaTheme="minorEastAsia"/>
          <w:b w:val="0"/>
          <w:color w:val="auto"/>
          <w:sz w:val="24"/>
          <w:szCs w:val="24"/>
          <w:highlight w:val="none"/>
        </w:rPr>
        <w:t xml:space="preserve"> </w:t>
      </w:r>
      <w:bookmarkEnd w:id="581"/>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17.1 不可抗力的确认</w:t>
      </w:r>
    </w:p>
    <w:p>
      <w:pPr>
        <w:ind w:firstLine="480" w:firstLineChars="200"/>
        <w:jc w:val="left"/>
        <w:rPr>
          <w:rFonts w:asciiTheme="minorEastAsia" w:hAnsiTheme="minorEastAsia" w:eastAsiaTheme="minorEastAsia"/>
          <w:color w:val="auto"/>
          <w:kern w:val="0"/>
          <w:sz w:val="24"/>
          <w:szCs w:val="24"/>
          <w:highlight w:val="none"/>
          <w:u w:val="single"/>
        </w:rPr>
      </w:pPr>
      <w:r>
        <w:rPr>
          <w:rFonts w:asciiTheme="minorEastAsia" w:hAnsiTheme="minorEastAsia" w:eastAsiaTheme="minorEastAsia"/>
          <w:color w:val="auto"/>
          <w:sz w:val="24"/>
          <w:szCs w:val="24"/>
          <w:highlight w:val="none"/>
        </w:rPr>
        <w:t>除通用合同条款约定的不可抗力事件之外，视为不可抗力的其他情形：</w:t>
      </w:r>
      <w:r>
        <w:rPr>
          <w:rFonts w:hint="eastAsia" w:asciiTheme="minorEastAsia" w:hAnsiTheme="minorEastAsia" w:eastAsiaTheme="minorEastAsia"/>
          <w:color w:val="auto"/>
          <w:kern w:val="0"/>
          <w:sz w:val="24"/>
          <w:szCs w:val="24"/>
          <w:highlight w:val="none"/>
          <w:u w:val="single"/>
        </w:rPr>
        <w:t>按省级有关部门的正式规定执行</w:t>
      </w:r>
      <w:r>
        <w:rPr>
          <w:rFonts w:asciiTheme="minorEastAsia" w:hAnsiTheme="minorEastAsia" w:eastAsiaTheme="minorEastAsia"/>
          <w:color w:val="auto"/>
          <w:kern w:val="0"/>
          <w:sz w:val="24"/>
          <w:szCs w:val="24"/>
          <w:highlight w:val="none"/>
        </w:rPr>
        <w:t>。</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17.4 因不可抗力解除合同</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合同解除后，发包人应在商定或确定发包人应支付款项后</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按通用条款执行</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天内完成款项的支付。</w:t>
      </w:r>
    </w:p>
    <w:p>
      <w:pPr>
        <w:pStyle w:val="7"/>
        <w:rPr>
          <w:rFonts w:asciiTheme="minorEastAsia" w:hAnsiTheme="minorEastAsia" w:eastAsiaTheme="minorEastAsia"/>
          <w:b w:val="0"/>
          <w:color w:val="auto"/>
          <w:sz w:val="24"/>
          <w:szCs w:val="24"/>
          <w:highlight w:val="none"/>
        </w:rPr>
      </w:pPr>
      <w:bookmarkStart w:id="584" w:name="_Toc351203650"/>
      <w:r>
        <w:rPr>
          <w:rFonts w:asciiTheme="minorEastAsia" w:hAnsiTheme="minorEastAsia" w:eastAsiaTheme="minorEastAsia"/>
          <w:b w:val="0"/>
          <w:color w:val="auto"/>
          <w:sz w:val="24"/>
          <w:szCs w:val="24"/>
          <w:highlight w:val="none"/>
        </w:rPr>
        <w:t>18. 保险</w:t>
      </w:r>
      <w:bookmarkEnd w:id="584"/>
    </w:p>
    <w:bookmarkEnd w:id="582"/>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18.1 工程保险</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关于工程保险的特别约定：</w:t>
      </w:r>
      <w:r>
        <w:rPr>
          <w:rFonts w:hint="eastAsia" w:asciiTheme="minorEastAsia" w:hAnsiTheme="minorEastAsia" w:eastAsiaTheme="minorEastAsia"/>
          <w:color w:val="auto"/>
          <w:sz w:val="24"/>
          <w:szCs w:val="24"/>
          <w:highlight w:val="none"/>
          <w:u w:val="single"/>
        </w:rPr>
        <w:t>承包人承担合同履行期间，承包人应依照法律规定投保建筑安装工程一切险（附加第三方责任险）等，并为在施工现场的全部员工办理工伤保险及人身意外伤害险。承包人须对进入施工现场人员的意外或伤亡负全部责任。发包人对包括但不限于任何雇员的意外或伤亡，不论该人是受雇于承包人或其分包人，皆不负任何法律上的赔偿责任，承包人须保障发包人免负任何有关的索偿、要求、诉讼、成本、费用和支出。承包人须对与本工程有关或本工程进行期间发生或本工程引致的人身伤亡及财产损坏负费用、损失、索偿或诉讼等法律责任，并须保障发包人免负该等责任，除非有关伤亡是发包人所引致的。承包人须按国家有关规定为从事危险作业的职工办理意外伤害保险、建筑施工项目工伤保险、第三方人身险以及国家其他相关文件规定的必须要办理的保险。保险费已含在工程款中，发包方不再另行支付</w:t>
      </w:r>
      <w:r>
        <w:rPr>
          <w:rFonts w:asciiTheme="minorEastAsia" w:hAnsiTheme="minorEastAsia" w:eastAsiaTheme="minorEastAsia"/>
          <w:color w:val="auto"/>
          <w:kern w:val="0"/>
          <w:sz w:val="24"/>
          <w:szCs w:val="24"/>
          <w:highlight w:val="none"/>
          <w:u w:val="single"/>
        </w:rPr>
        <w:t xml:space="preserve"> </w:t>
      </w:r>
      <w:r>
        <w:rPr>
          <w:rFonts w:asciiTheme="minorEastAsia" w:hAnsiTheme="minorEastAsia" w:eastAsiaTheme="minorEastAsia"/>
          <w:color w:val="auto"/>
          <w:kern w:val="0"/>
          <w:sz w:val="24"/>
          <w:szCs w:val="24"/>
          <w:highlight w:val="none"/>
        </w:rPr>
        <w:t>。</w:t>
      </w:r>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18.7 通知义务</w:t>
      </w:r>
    </w:p>
    <w:p>
      <w:pPr>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kern w:val="0"/>
          <w:sz w:val="24"/>
          <w:szCs w:val="24"/>
          <w:highlight w:val="none"/>
        </w:rPr>
        <w:t>关于变更保险合同时的通知义务的约定：</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p>
    <w:bookmarkEnd w:id="558"/>
    <w:bookmarkEnd w:id="559"/>
    <w:bookmarkEnd w:id="560"/>
    <w:bookmarkEnd w:id="561"/>
    <w:bookmarkEnd w:id="562"/>
    <w:bookmarkEnd w:id="563"/>
    <w:bookmarkEnd w:id="564"/>
    <w:bookmarkEnd w:id="565"/>
    <w:bookmarkEnd w:id="566"/>
    <w:bookmarkEnd w:id="567"/>
    <w:bookmarkEnd w:id="568"/>
    <w:bookmarkEnd w:id="569"/>
    <w:p>
      <w:pPr>
        <w:pStyle w:val="7"/>
        <w:rPr>
          <w:rFonts w:asciiTheme="minorEastAsia" w:hAnsiTheme="minorEastAsia" w:eastAsiaTheme="minorEastAsia"/>
          <w:b w:val="0"/>
          <w:color w:val="auto"/>
          <w:sz w:val="24"/>
          <w:szCs w:val="24"/>
          <w:highlight w:val="none"/>
        </w:rPr>
      </w:pPr>
      <w:bookmarkStart w:id="585" w:name="_Toc351203651"/>
      <w:r>
        <w:rPr>
          <w:rFonts w:asciiTheme="minorEastAsia" w:hAnsiTheme="minorEastAsia" w:eastAsiaTheme="minorEastAsia"/>
          <w:b w:val="0"/>
          <w:color w:val="auto"/>
          <w:sz w:val="24"/>
          <w:szCs w:val="24"/>
          <w:highlight w:val="none"/>
        </w:rPr>
        <w:t>20. 争议解决</w:t>
      </w:r>
      <w:bookmarkEnd w:id="585"/>
    </w:p>
    <w:bookmarkEnd w:id="570"/>
    <w:bookmarkEnd w:id="571"/>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20.</w:t>
      </w: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 xml:space="preserve"> 争</w:t>
      </w:r>
      <w:bookmarkEnd w:id="572"/>
      <w:r>
        <w:rPr>
          <w:rFonts w:asciiTheme="minorEastAsia" w:hAnsiTheme="minorEastAsia" w:eastAsiaTheme="minorEastAsia"/>
          <w:color w:val="auto"/>
          <w:sz w:val="24"/>
          <w:szCs w:val="24"/>
          <w:highlight w:val="none"/>
        </w:rPr>
        <w:t>议评审</w:t>
      </w:r>
    </w:p>
    <w:p>
      <w:pPr>
        <w:ind w:left="149" w:leftChars="71" w:firstLine="360" w:firstLineChars="15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合同当事人是否同意将工程争议提交争议评审小组决</w:t>
      </w:r>
      <w:r>
        <w:rPr>
          <w:rFonts w:hint="eastAsia" w:asciiTheme="minorEastAsia" w:hAnsiTheme="minorEastAsia" w:eastAsiaTheme="minorEastAsia"/>
          <w:color w:val="auto"/>
          <w:sz w:val="24"/>
          <w:szCs w:val="24"/>
          <w:highlight w:val="none"/>
        </w:rPr>
        <w:t>定：</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否</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 xml:space="preserve">。  </w:t>
      </w:r>
    </w:p>
    <w:p>
      <w:pPr>
        <w:spacing w:after="120"/>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20.</w:t>
      </w: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仲裁或诉讼</w:t>
      </w:r>
      <w:bookmarkEnd w:id="573"/>
    </w:p>
    <w:p>
      <w:pPr>
        <w:spacing w:after="12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因合同及合同有关事项发生的争议，按下列第</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2</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种方式</w:t>
      </w:r>
      <w:r>
        <w:rPr>
          <w:rFonts w:hint="eastAsia" w:asciiTheme="minorEastAsia" w:hAnsiTheme="minorEastAsia" w:eastAsiaTheme="minorEastAsia"/>
          <w:color w:val="auto"/>
          <w:sz w:val="24"/>
          <w:szCs w:val="24"/>
          <w:highlight w:val="none"/>
        </w:rPr>
        <w:t>解</w:t>
      </w:r>
      <w:r>
        <w:rPr>
          <w:rFonts w:asciiTheme="minorEastAsia" w:hAnsiTheme="minorEastAsia" w:eastAsiaTheme="minorEastAsia"/>
          <w:color w:val="auto"/>
          <w:sz w:val="24"/>
          <w:szCs w:val="24"/>
          <w:highlight w:val="none"/>
        </w:rPr>
        <w:t>决：</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（1）向</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仲裁委员会申请仲裁；</w:t>
      </w:r>
    </w:p>
    <w:p>
      <w:pPr>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（2）向</w:t>
      </w:r>
      <w:r>
        <w:rPr>
          <w:rFonts w:hint="eastAsia" w:asciiTheme="minorEastAsia" w:hAnsiTheme="minorEastAsia" w:eastAsiaTheme="minorEastAsia"/>
          <w:color w:val="auto"/>
          <w:sz w:val="24"/>
          <w:szCs w:val="24"/>
          <w:highlight w:val="none"/>
          <w:u w:val="single"/>
        </w:rPr>
        <w:t>工程所在地</w:t>
      </w:r>
      <w:r>
        <w:rPr>
          <w:rFonts w:asciiTheme="minorEastAsia" w:hAnsiTheme="minorEastAsia" w:eastAsiaTheme="minorEastAsia"/>
          <w:color w:val="auto"/>
          <w:sz w:val="24"/>
          <w:szCs w:val="24"/>
          <w:highlight w:val="none"/>
        </w:rPr>
        <w:t>人民法院起诉。</w:t>
      </w:r>
      <w:bookmarkEnd w:id="574"/>
      <w:bookmarkEnd w:id="575"/>
      <w:bookmarkEnd w:id="576"/>
      <w:bookmarkEnd w:id="577"/>
      <w:bookmarkEnd w:id="578"/>
      <w:bookmarkEnd w:id="579"/>
    </w:p>
    <w:p>
      <w:pPr>
        <w:ind w:firstLine="480" w:firstLineChars="200"/>
        <w:outlineLvl w:val="2"/>
        <w:rPr>
          <w:rFonts w:asciiTheme="minorEastAsia" w:hAnsiTheme="minorEastAsia" w:eastAsiaTheme="minorEastAsia"/>
          <w:color w:val="auto"/>
          <w:sz w:val="24"/>
          <w:szCs w:val="24"/>
          <w:highlight w:val="none"/>
        </w:rPr>
      </w:pPr>
      <w:bookmarkStart w:id="586" w:name="_Toc365353596"/>
      <w:bookmarkStart w:id="587" w:name="_Toc452738762"/>
      <w:bookmarkStart w:id="588" w:name="_Toc6183"/>
      <w:r>
        <w:rPr>
          <w:rFonts w:hint="eastAsia" w:asciiTheme="minorEastAsia" w:hAnsiTheme="minorEastAsia" w:eastAsiaTheme="minorEastAsia"/>
          <w:color w:val="auto"/>
          <w:sz w:val="24"/>
          <w:szCs w:val="24"/>
          <w:highlight w:val="none"/>
        </w:rPr>
        <w:t>20.3 通知送达</w:t>
      </w:r>
      <w:bookmarkEnd w:id="586"/>
      <w:bookmarkEnd w:id="587"/>
      <w:bookmarkEnd w:id="588"/>
    </w:p>
    <w:p>
      <w:pPr>
        <w:ind w:firstLine="480" w:firstLineChars="200"/>
        <w:outlineLvl w:val="2"/>
        <w:rPr>
          <w:rFonts w:cs="仿宋" w:asciiTheme="minorEastAsia" w:hAnsiTheme="minorEastAsia" w:eastAsiaTheme="minorEastAsia"/>
          <w:color w:val="auto"/>
          <w:kern w:val="0"/>
          <w:sz w:val="24"/>
          <w:szCs w:val="24"/>
          <w:highlight w:val="none"/>
        </w:rPr>
      </w:pPr>
      <w:bookmarkStart w:id="589" w:name="_Toc1414635822"/>
      <w:bookmarkStart w:id="590" w:name="_Toc626862138"/>
      <w:r>
        <w:rPr>
          <w:rFonts w:hint="eastAsia" w:cs="仿宋" w:asciiTheme="minorEastAsia" w:hAnsiTheme="minorEastAsia" w:eastAsiaTheme="minorEastAsia"/>
          <w:color w:val="auto"/>
          <w:kern w:val="0"/>
          <w:sz w:val="24"/>
          <w:szCs w:val="24"/>
          <w:highlight w:val="none"/>
        </w:rPr>
        <w:t>双方确认本合同载明的联系方式（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r>
        <w:rPr>
          <w:rFonts w:hint="eastAsia" w:cs="仿宋" w:asciiTheme="minorEastAsia" w:hAnsiTheme="minorEastAsia" w:eastAsiaTheme="minorEastAsia"/>
          <w:color w:val="auto"/>
          <w:kern w:val="0"/>
          <w:sz w:val="24"/>
          <w:szCs w:val="24"/>
          <w:highlight w:val="none"/>
          <w:u w:val="single"/>
        </w:rPr>
        <w:t xml:space="preserve">  3  </w:t>
      </w:r>
      <w:r>
        <w:rPr>
          <w:rFonts w:hint="eastAsia" w:cs="仿宋" w:asciiTheme="minorEastAsia" w:hAnsiTheme="minorEastAsia" w:eastAsiaTheme="minorEastAsia"/>
          <w:color w:val="auto"/>
          <w:kern w:val="0"/>
          <w:sz w:val="24"/>
          <w:szCs w:val="24"/>
          <w:highlight w:val="none"/>
        </w:rPr>
        <w:t>天起视为已送达。</w:t>
      </w:r>
      <w:bookmarkEnd w:id="589"/>
      <w:bookmarkEnd w:id="590"/>
    </w:p>
    <w:p>
      <w:pPr>
        <w:numPr>
          <w:ilvl w:val="0"/>
          <w:numId w:val="3"/>
        </w:numPr>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未尽事宜，双方另行商议。</w:t>
      </w:r>
    </w:p>
    <w:p>
      <w:pPr>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22. 合同附件</w:t>
      </w:r>
    </w:p>
    <w:p>
      <w:pPr>
        <w:jc w:val="lef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附件1：工程质量保修书</w:t>
      </w:r>
    </w:p>
    <w:p>
      <w:pPr>
        <w:jc w:val="lef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附件2：廉政建设责任书</w:t>
      </w:r>
    </w:p>
    <w:p>
      <w:pPr>
        <w:jc w:val="lef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附件3：安全生产合同</w:t>
      </w:r>
    </w:p>
    <w:p>
      <w:pPr>
        <w:jc w:val="lef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附件4：关于不拖欠农民工工资的承诺</w:t>
      </w:r>
    </w:p>
    <w:p>
      <w:pPr>
        <w:jc w:val="left"/>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附件5：承包人主要施工管理人员表</w:t>
      </w:r>
    </w:p>
    <w:p>
      <w:pPr>
        <w:tabs>
          <w:tab w:val="left" w:pos="0"/>
          <w:tab w:val="left" w:pos="993"/>
          <w:tab w:val="left" w:pos="1134"/>
        </w:tabs>
        <w:autoSpaceDE w:val="0"/>
        <w:autoSpaceDN w:val="0"/>
        <w:adjustRightInd w:val="0"/>
        <w:spacing w:line="360" w:lineRule="auto"/>
        <w:rPr>
          <w:rFonts w:cs="宋体" w:asciiTheme="minorEastAsia" w:hAnsiTheme="minorEastAsia" w:eastAsiaTheme="minorEastAsia"/>
          <w:snapToGrid w:val="0"/>
          <w:color w:val="auto"/>
          <w:highlight w:val="none"/>
        </w:rPr>
      </w:pPr>
    </w:p>
    <w:p>
      <w:pPr>
        <w:pStyle w:val="2"/>
        <w:ind w:left="1260"/>
        <w:rPr>
          <w:rFonts w:cs="宋体" w:asciiTheme="minorEastAsia" w:hAnsiTheme="minorEastAsia" w:eastAsiaTheme="minorEastAsia"/>
          <w:snapToGrid w:val="0"/>
          <w:color w:val="auto"/>
          <w:highlight w:val="none"/>
        </w:rPr>
      </w:pPr>
    </w:p>
    <w:p>
      <w:pPr>
        <w:rPr>
          <w:rFonts w:cs="宋体" w:asciiTheme="minorEastAsia" w:hAnsiTheme="minorEastAsia" w:eastAsiaTheme="minorEastAsia"/>
          <w:snapToGrid w:val="0"/>
          <w:color w:val="auto"/>
          <w:highlight w:val="none"/>
        </w:rPr>
      </w:pPr>
    </w:p>
    <w:p>
      <w:pPr>
        <w:spacing w:line="240" w:lineRule="atLeas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附件</w:t>
      </w: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 xml:space="preserve">：    </w:t>
      </w:r>
    </w:p>
    <w:p>
      <w:pPr>
        <w:pStyle w:val="4"/>
        <w:spacing w:before="0" w:line="240" w:lineRule="atLeast"/>
        <w:jc w:val="center"/>
        <w:rPr>
          <w:rFonts w:cs="黑体" w:asciiTheme="minorEastAsia" w:hAnsiTheme="minorEastAsia" w:eastAsiaTheme="minorEastAsia"/>
          <w:b w:val="0"/>
          <w:color w:val="auto"/>
          <w:sz w:val="24"/>
          <w:szCs w:val="24"/>
          <w:highlight w:val="none"/>
        </w:rPr>
      </w:pPr>
      <w:r>
        <w:rPr>
          <w:rFonts w:cs="黑体" w:asciiTheme="minorEastAsia" w:hAnsiTheme="minorEastAsia" w:eastAsiaTheme="minorEastAsia"/>
          <w:b w:val="0"/>
          <w:color w:val="auto"/>
          <w:sz w:val="24"/>
          <w:szCs w:val="24"/>
          <w:highlight w:val="none"/>
        </w:rPr>
        <w:t>工程质量保修书</w:t>
      </w:r>
    </w:p>
    <w:p>
      <w:pPr>
        <w:spacing w:line="360" w:lineRule="atLeas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招标</w:t>
      </w:r>
      <w:r>
        <w:rPr>
          <w:rFonts w:asciiTheme="minorEastAsia" w:hAnsiTheme="minorEastAsia" w:eastAsiaTheme="minorEastAsia"/>
          <w:color w:val="auto"/>
          <w:sz w:val="24"/>
          <w:szCs w:val="24"/>
          <w:highlight w:val="none"/>
        </w:rPr>
        <w:t>人（全称）：</w:t>
      </w:r>
      <w:r>
        <w:rPr>
          <w:rFonts w:hint="eastAsia" w:ascii="宋体" w:hAnsi="宋体" w:cs="宋体" w:eastAsiaTheme="minorEastAsia"/>
          <w:color w:val="auto"/>
          <w:sz w:val="24"/>
          <w:szCs w:val="24"/>
          <w:highlight w:val="none"/>
          <w:u w:val="single"/>
          <w:lang w:eastAsia="zh-CN"/>
        </w:rPr>
        <w:t>南京市栖霞区人民政府尧化办事处</w:t>
      </w:r>
      <w:r>
        <w:rPr>
          <w:rFonts w:asciiTheme="minorEastAsia" w:hAnsiTheme="minorEastAsia" w:eastAsiaTheme="minorEastAsia"/>
          <w:color w:val="auto"/>
          <w:sz w:val="24"/>
          <w:szCs w:val="24"/>
          <w:highlight w:val="none"/>
        </w:rPr>
        <w:t xml:space="preserve"> </w:t>
      </w:r>
    </w:p>
    <w:p>
      <w:pPr>
        <w:spacing w:line="360" w:lineRule="atLeas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发包人（全称）：</w:t>
      </w:r>
      <w:r>
        <w:rPr>
          <w:rFonts w:hint="eastAsia" w:ascii="宋体" w:hAnsi="宋体" w:cs="宋体"/>
          <w:bCs/>
          <w:color w:val="auto"/>
          <w:sz w:val="24"/>
          <w:szCs w:val="24"/>
          <w:highlight w:val="none"/>
          <w:u w:val="single"/>
          <w:lang w:val="zh-CN"/>
        </w:rPr>
        <w:t>南京市栖霞区实验小学</w:t>
      </w:r>
      <w:r>
        <w:rPr>
          <w:rFonts w:asciiTheme="minorEastAsia" w:hAnsiTheme="minorEastAsia" w:eastAsiaTheme="minorEastAsia"/>
          <w:color w:val="auto"/>
          <w:sz w:val="24"/>
          <w:szCs w:val="24"/>
          <w:highlight w:val="none"/>
        </w:rPr>
        <w:t xml:space="preserve"> </w:t>
      </w:r>
    </w:p>
    <w:p>
      <w:pPr>
        <w:spacing w:line="360" w:lineRule="atLeas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承包人（全称）：</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 xml:space="preserve"> </w:t>
      </w:r>
    </w:p>
    <w:p>
      <w:pPr>
        <w:spacing w:line="360" w:lineRule="atLeas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发包人和承包人根据《中华人民共和国建筑法》和《建设工程质量管理条例》，经协商一致就</w:t>
      </w:r>
      <w:r>
        <w:rPr>
          <w:rFonts w:asciiTheme="minorEastAsia" w:hAnsiTheme="minorEastAsia" w:eastAsiaTheme="minorEastAsia"/>
          <w:color w:val="auto"/>
          <w:sz w:val="24"/>
          <w:szCs w:val="24"/>
          <w:highlight w:val="none"/>
          <w:u w:val="single"/>
        </w:rPr>
        <w:t xml:space="preserve"> </w:t>
      </w:r>
      <w:r>
        <w:rPr>
          <w:rFonts w:hint="eastAsia" w:ascii="宋体" w:hAnsi="宋体" w:cs="宋体" w:eastAsiaTheme="minorEastAsia"/>
          <w:color w:val="auto"/>
          <w:sz w:val="24"/>
          <w:szCs w:val="24"/>
          <w:highlight w:val="none"/>
          <w:u w:val="single"/>
          <w:lang w:eastAsia="zh-CN"/>
        </w:rPr>
        <w:t>2024 年南京市栖霞区实验小学尧化街校区厕所提升工程</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（工程全称）签订工程质量保修书。</w:t>
      </w:r>
    </w:p>
    <w:p>
      <w:pPr>
        <w:spacing w:line="360" w:lineRule="atLeast"/>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一、工程质量保修范围和内容</w:t>
      </w:r>
    </w:p>
    <w:p>
      <w:pPr>
        <w:spacing w:line="360" w:lineRule="atLeas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承包人在质量保修期内，按照有关法律规定和合同约定，承担工程质量保修责任。</w:t>
      </w:r>
    </w:p>
    <w:p>
      <w:pPr>
        <w:spacing w:line="360" w:lineRule="atLeas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heme="minorEastAsia" w:hAnsiTheme="minorEastAsia" w:eastAsiaTheme="minorEastAsia"/>
          <w:color w:val="auto"/>
          <w:sz w:val="24"/>
          <w:szCs w:val="24"/>
          <w:highlight w:val="none"/>
          <w:u w:val="single"/>
        </w:rPr>
        <w:t>符合国家相关规定</w:t>
      </w:r>
      <w:r>
        <w:rPr>
          <w:rFonts w:asciiTheme="minorEastAsia" w:hAnsiTheme="minorEastAsia" w:eastAsiaTheme="minorEastAsia"/>
          <w:color w:val="auto"/>
          <w:sz w:val="24"/>
          <w:szCs w:val="24"/>
          <w:highlight w:val="none"/>
        </w:rPr>
        <w:t>。</w:t>
      </w:r>
    </w:p>
    <w:p>
      <w:pPr>
        <w:spacing w:line="360" w:lineRule="atLeast"/>
        <w:outlineLvl w:val="0"/>
        <w:rPr>
          <w:rFonts w:asciiTheme="minorEastAsia" w:hAnsiTheme="minorEastAsia" w:eastAsiaTheme="minorEastAsia"/>
          <w:color w:val="auto"/>
          <w:sz w:val="24"/>
          <w:szCs w:val="24"/>
          <w:highlight w:val="none"/>
        </w:rPr>
      </w:pPr>
      <w:r>
        <w:rPr>
          <w:rFonts w:asciiTheme="minorEastAsia" w:hAnsiTheme="minorEastAsia" w:eastAsiaTheme="minorEastAsia"/>
          <w:b/>
          <w:color w:val="auto"/>
          <w:sz w:val="24"/>
          <w:szCs w:val="24"/>
          <w:highlight w:val="none"/>
        </w:rPr>
        <w:t>　　</w:t>
      </w:r>
      <w:r>
        <w:rPr>
          <w:rFonts w:asciiTheme="minorEastAsia" w:hAnsiTheme="minorEastAsia" w:eastAsiaTheme="minorEastAsia"/>
          <w:color w:val="auto"/>
          <w:sz w:val="24"/>
          <w:szCs w:val="24"/>
          <w:highlight w:val="none"/>
        </w:rPr>
        <w:t>二、质量保修期</w:t>
      </w:r>
    </w:p>
    <w:p>
      <w:pPr>
        <w:spacing w:line="360" w:lineRule="atLeas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根据《建设工程质量管理条例》及有关规定，工程的质量保修期如下：</w:t>
      </w:r>
    </w:p>
    <w:p>
      <w:pPr>
        <w:snapToGrid w:val="0"/>
        <w:spacing w:line="360" w:lineRule="atLeast"/>
        <w:ind w:firstLine="6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工程的质量保修期如下：</w:t>
      </w:r>
    </w:p>
    <w:p>
      <w:pPr>
        <w:snapToGrid w:val="0"/>
        <w:spacing w:line="360" w:lineRule="atLeast"/>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      1. 地基基础工程和主体结构工程为设计文件规定的工程合理使用年限；</w:t>
      </w:r>
    </w:p>
    <w:p>
      <w:pPr>
        <w:snapToGrid w:val="0"/>
        <w:spacing w:line="360" w:lineRule="atLeast"/>
        <w:ind w:firstLine="6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 屋面防水工程、有防水要求的卫生间、房间和外墙面的防渗为</w:t>
      </w:r>
      <w:r>
        <w:rPr>
          <w:rFonts w:hint="eastAsia" w:cs="仿宋_GB2312" w:asciiTheme="minorEastAsia" w:hAnsiTheme="minorEastAsia" w:eastAsiaTheme="minorEastAsia"/>
          <w:color w:val="auto"/>
          <w:sz w:val="24"/>
          <w:szCs w:val="24"/>
          <w:highlight w:val="none"/>
          <w:u w:val="single"/>
        </w:rPr>
        <w:t xml:space="preserve">  5  </w:t>
      </w:r>
      <w:r>
        <w:rPr>
          <w:rFonts w:hint="eastAsia" w:cs="仿宋_GB2312" w:asciiTheme="minorEastAsia" w:hAnsiTheme="minorEastAsia" w:eastAsiaTheme="minorEastAsia"/>
          <w:color w:val="auto"/>
          <w:sz w:val="24"/>
          <w:szCs w:val="24"/>
          <w:highlight w:val="none"/>
        </w:rPr>
        <w:t>年；其他防水工程</w:t>
      </w:r>
      <w:r>
        <w:rPr>
          <w:rFonts w:hint="eastAsia" w:cs="仿宋_GB2312" w:asciiTheme="minorEastAsia" w:hAnsiTheme="minorEastAsia" w:eastAsiaTheme="minorEastAsia"/>
          <w:color w:val="auto"/>
          <w:sz w:val="24"/>
          <w:szCs w:val="24"/>
          <w:highlight w:val="none"/>
          <w:u w:val="single"/>
        </w:rPr>
        <w:t xml:space="preserve">  5  </w:t>
      </w:r>
      <w:r>
        <w:rPr>
          <w:rFonts w:hint="eastAsia" w:cs="仿宋_GB2312" w:asciiTheme="minorEastAsia" w:hAnsiTheme="minorEastAsia" w:eastAsiaTheme="minorEastAsia"/>
          <w:color w:val="auto"/>
          <w:sz w:val="24"/>
          <w:szCs w:val="24"/>
          <w:highlight w:val="none"/>
        </w:rPr>
        <w:t>年。</w:t>
      </w:r>
    </w:p>
    <w:p>
      <w:pPr>
        <w:snapToGrid w:val="0"/>
        <w:spacing w:line="360" w:lineRule="atLeast"/>
        <w:ind w:firstLine="6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3. 装修工程为</w:t>
      </w:r>
      <w:r>
        <w:rPr>
          <w:rFonts w:hint="eastAsia" w:cs="仿宋_GB2312" w:asciiTheme="minorEastAsia" w:hAnsiTheme="minorEastAsia" w:eastAsiaTheme="minorEastAsia"/>
          <w:color w:val="auto"/>
          <w:sz w:val="24"/>
          <w:szCs w:val="24"/>
          <w:highlight w:val="none"/>
          <w:u w:val="single"/>
        </w:rPr>
        <w:t xml:space="preserve">  2  </w:t>
      </w:r>
      <w:r>
        <w:rPr>
          <w:rFonts w:hint="eastAsia" w:cs="仿宋_GB2312" w:asciiTheme="minorEastAsia" w:hAnsiTheme="minorEastAsia" w:eastAsiaTheme="minorEastAsia"/>
          <w:color w:val="auto"/>
          <w:sz w:val="24"/>
          <w:szCs w:val="24"/>
          <w:highlight w:val="none"/>
        </w:rPr>
        <w:t>年；</w:t>
      </w:r>
    </w:p>
    <w:p>
      <w:pPr>
        <w:snapToGrid w:val="0"/>
        <w:spacing w:line="360" w:lineRule="atLeast"/>
        <w:ind w:firstLine="6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4. 电气管线、给排水管道、设备安装工程为</w:t>
      </w:r>
      <w:r>
        <w:rPr>
          <w:rFonts w:hint="eastAsia" w:cs="仿宋_GB2312" w:asciiTheme="minorEastAsia" w:hAnsiTheme="minorEastAsia" w:eastAsiaTheme="minorEastAsia"/>
          <w:color w:val="auto"/>
          <w:sz w:val="24"/>
          <w:szCs w:val="24"/>
          <w:highlight w:val="none"/>
          <w:u w:val="single"/>
        </w:rPr>
        <w:t xml:space="preserve">  2  </w:t>
      </w:r>
      <w:r>
        <w:rPr>
          <w:rFonts w:hint="eastAsia" w:cs="仿宋_GB2312" w:asciiTheme="minorEastAsia" w:hAnsiTheme="minorEastAsia" w:eastAsiaTheme="minorEastAsia"/>
          <w:color w:val="auto"/>
          <w:sz w:val="24"/>
          <w:szCs w:val="24"/>
          <w:highlight w:val="none"/>
        </w:rPr>
        <w:t>年；</w:t>
      </w:r>
    </w:p>
    <w:p>
      <w:pPr>
        <w:snapToGrid w:val="0"/>
        <w:spacing w:line="360" w:lineRule="atLeast"/>
        <w:ind w:firstLine="6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5．供热与供冷系统为</w:t>
      </w:r>
      <w:r>
        <w:rPr>
          <w:rFonts w:hint="eastAsia" w:cs="仿宋_GB2312" w:asciiTheme="minorEastAsia" w:hAnsiTheme="minorEastAsia" w:eastAsiaTheme="minorEastAsia"/>
          <w:color w:val="auto"/>
          <w:sz w:val="24"/>
          <w:szCs w:val="24"/>
          <w:highlight w:val="none"/>
          <w:u w:val="single"/>
        </w:rPr>
        <w:t xml:space="preserve">  2 </w:t>
      </w:r>
      <w:r>
        <w:rPr>
          <w:rFonts w:hint="eastAsia" w:cs="仿宋_GB2312" w:asciiTheme="minorEastAsia" w:hAnsiTheme="minorEastAsia" w:eastAsiaTheme="minorEastAsia"/>
          <w:color w:val="auto"/>
          <w:sz w:val="24"/>
          <w:szCs w:val="24"/>
          <w:highlight w:val="none"/>
        </w:rPr>
        <w:t>个采暖期、供冷期；</w:t>
      </w:r>
    </w:p>
    <w:p>
      <w:pPr>
        <w:snapToGrid w:val="0"/>
        <w:spacing w:line="360" w:lineRule="atLeast"/>
        <w:ind w:firstLine="6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6. 绿化工程为</w:t>
      </w:r>
      <w:r>
        <w:rPr>
          <w:rFonts w:hint="eastAsia" w:cs="仿宋_GB2312" w:asciiTheme="minorEastAsia" w:hAnsiTheme="minorEastAsia" w:eastAsiaTheme="minorEastAsia"/>
          <w:color w:val="auto"/>
          <w:sz w:val="24"/>
          <w:szCs w:val="24"/>
          <w:highlight w:val="none"/>
          <w:u w:val="single"/>
        </w:rPr>
        <w:t xml:space="preserve"> 24 </w:t>
      </w:r>
      <w:r>
        <w:rPr>
          <w:rFonts w:hint="eastAsia" w:cs="仿宋_GB2312" w:asciiTheme="minorEastAsia" w:hAnsiTheme="minorEastAsia" w:eastAsiaTheme="minorEastAsia"/>
          <w:color w:val="auto"/>
          <w:sz w:val="24"/>
          <w:szCs w:val="24"/>
          <w:highlight w:val="none"/>
        </w:rPr>
        <w:t>个月；</w:t>
      </w:r>
    </w:p>
    <w:p>
      <w:pPr>
        <w:snapToGrid w:val="0"/>
        <w:spacing w:line="360" w:lineRule="atLeast"/>
        <w:ind w:firstLine="6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7. 园林附属工程为</w:t>
      </w:r>
      <w:r>
        <w:rPr>
          <w:rFonts w:hint="eastAsia" w:cs="仿宋_GB2312" w:asciiTheme="minorEastAsia" w:hAnsiTheme="minorEastAsia" w:eastAsiaTheme="minorEastAsia"/>
          <w:color w:val="auto"/>
          <w:sz w:val="24"/>
          <w:szCs w:val="24"/>
          <w:highlight w:val="none"/>
          <w:u w:val="single"/>
        </w:rPr>
        <w:t xml:space="preserve"> 24 </w:t>
      </w:r>
      <w:r>
        <w:rPr>
          <w:rFonts w:hint="eastAsia" w:cs="仿宋_GB2312" w:asciiTheme="minorEastAsia" w:hAnsiTheme="minorEastAsia" w:eastAsiaTheme="minorEastAsia"/>
          <w:color w:val="auto"/>
          <w:sz w:val="24"/>
          <w:szCs w:val="24"/>
          <w:highlight w:val="none"/>
        </w:rPr>
        <w:t>个月；</w:t>
      </w:r>
    </w:p>
    <w:p>
      <w:pPr>
        <w:snapToGrid w:val="0"/>
        <w:spacing w:line="360" w:lineRule="atLeast"/>
        <w:ind w:firstLine="6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8. 其他项目保修期限约定如下：</w:t>
      </w:r>
      <w:r>
        <w:rPr>
          <w:rFonts w:hint="eastAsia" w:cs="仿宋_GB2312" w:asciiTheme="minorEastAsia" w:hAnsiTheme="minorEastAsia" w:eastAsiaTheme="minorEastAsia"/>
          <w:color w:val="auto"/>
          <w:sz w:val="24"/>
          <w:szCs w:val="24"/>
          <w:highlight w:val="none"/>
          <w:u w:val="single"/>
        </w:rPr>
        <w:t xml:space="preserve"> 其他质保期按2年  </w:t>
      </w:r>
      <w:r>
        <w:rPr>
          <w:rFonts w:hint="eastAsia" w:cs="仿宋_GB2312" w:asciiTheme="minorEastAsia" w:hAnsiTheme="minorEastAsia" w:eastAsiaTheme="minorEastAsia"/>
          <w:color w:val="auto"/>
          <w:sz w:val="24"/>
          <w:szCs w:val="24"/>
          <w:highlight w:val="none"/>
        </w:rPr>
        <w:t>。</w:t>
      </w:r>
    </w:p>
    <w:p>
      <w:pPr>
        <w:spacing w:line="360" w:lineRule="atLeas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质量保修期自工程竣工验收合格之日起计算。</w:t>
      </w:r>
    </w:p>
    <w:p>
      <w:pPr>
        <w:spacing w:line="360" w:lineRule="atLeast"/>
        <w:ind w:firstLine="480" w:firstLineChars="200"/>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三、缺陷责任期</w:t>
      </w:r>
    </w:p>
    <w:p>
      <w:pPr>
        <w:spacing w:line="360" w:lineRule="atLeas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工程缺陷责任期为</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24</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个月，缺陷责任期自工程</w:t>
      </w:r>
      <w:r>
        <w:rPr>
          <w:rFonts w:hint="eastAsia" w:asciiTheme="minorEastAsia" w:hAnsiTheme="minorEastAsia" w:eastAsiaTheme="minorEastAsia"/>
          <w:color w:val="auto"/>
          <w:sz w:val="24"/>
          <w:szCs w:val="24"/>
          <w:highlight w:val="none"/>
        </w:rPr>
        <w:t>通过竣工验收</w:t>
      </w:r>
      <w:r>
        <w:rPr>
          <w:rFonts w:asciiTheme="minorEastAsia" w:hAnsiTheme="minorEastAsia" w:eastAsiaTheme="minorEastAsia"/>
          <w:color w:val="auto"/>
          <w:sz w:val="24"/>
          <w:szCs w:val="24"/>
          <w:highlight w:val="none"/>
        </w:rPr>
        <w:t>之日起计算。单位工程先于全部工程进行验收，单位工程缺陷责任期自单位工程验收合格之日起算。</w:t>
      </w:r>
    </w:p>
    <w:p>
      <w:pPr>
        <w:spacing w:line="360" w:lineRule="atLeas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缺陷责任期终止后，发包人应退还剩余的质量保证金。</w:t>
      </w:r>
    </w:p>
    <w:p>
      <w:pPr>
        <w:spacing w:line="360" w:lineRule="atLeast"/>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四、质量保修责任</w:t>
      </w:r>
    </w:p>
    <w:p>
      <w:pPr>
        <w:spacing w:line="360" w:lineRule="atLeast"/>
        <w:ind w:left="105" w:leftChars="50" w:firstLine="491" w:firstLineChars="20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属于保修范围、内容的项目，承包人应当在接到保修通知之日起7天内派人保修。承包人不在约定期限内派人保修的，发包人可以委托他人修理。</w:t>
      </w:r>
    </w:p>
    <w:p>
      <w:pPr>
        <w:spacing w:line="360" w:lineRule="atLeast"/>
        <w:ind w:left="105" w:leftChars="50" w:firstLine="491" w:firstLineChars="20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发生紧急事故需抢修的，承包人在接到事故通知后，应当立即到达事故现场抢修。</w:t>
      </w:r>
    </w:p>
    <w:p>
      <w:pPr>
        <w:spacing w:line="360" w:lineRule="atLeast"/>
        <w:ind w:left="105" w:leftChars="50" w:firstLine="491" w:firstLineChars="20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tLeast"/>
        <w:ind w:left="420" w:leftChars="200" w:firstLine="120" w:firstLineChars="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质量保修完成后，由发包人组织验收。</w:t>
      </w:r>
    </w:p>
    <w:p>
      <w:pPr>
        <w:spacing w:line="360" w:lineRule="atLeast"/>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五、保修费用</w:t>
      </w:r>
    </w:p>
    <w:p>
      <w:pPr>
        <w:spacing w:line="360" w:lineRule="atLeas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保修费用由造成质量缺陷的责任方承担。</w:t>
      </w:r>
    </w:p>
    <w:p>
      <w:pPr>
        <w:spacing w:line="360" w:lineRule="atLeast"/>
        <w:ind w:firstLine="480" w:firstLineChars="200"/>
        <w:jc w:val="left"/>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六、双方约定的其他工程质量保修事项：</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rPr>
        <w:t>。</w:t>
      </w:r>
    </w:p>
    <w:p>
      <w:pPr>
        <w:spacing w:line="360" w:lineRule="atLeast"/>
        <w:ind w:firstLine="456" w:firstLineChars="19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工程质量保修书由发包人、承包人在工程竣工验收前共同签署，作为施工合同附件，其有效期限至保修期满。</w:t>
      </w:r>
    </w:p>
    <w:p>
      <w:pPr>
        <w:pStyle w:val="17"/>
        <w:rPr>
          <w:rFonts w:asciiTheme="minorEastAsia" w:hAnsiTheme="minorEastAsia" w:eastAsiaTheme="minorEastAsia"/>
          <w:color w:val="auto"/>
          <w:sz w:val="24"/>
          <w:szCs w:val="24"/>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招标人</w:t>
      </w:r>
      <w:r>
        <w:rPr>
          <w:rFonts w:hint="eastAsia" w:ascii="宋体" w:hAnsi="宋体" w:cs="宋体"/>
          <w:color w:val="auto"/>
          <w:sz w:val="24"/>
          <w:szCs w:val="24"/>
          <w:highlight w:val="none"/>
          <w:lang w:val="zh-CN"/>
        </w:rPr>
        <w:t>：（公章）</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 xml:space="preserve">     </w:t>
      </w:r>
    </w:p>
    <w:p>
      <w:pPr>
        <w:autoSpaceDE w:val="0"/>
        <w:autoSpaceDN w:val="0"/>
        <w:adjustRightIn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法定代表人或其委托代理人：</w:t>
      </w:r>
    </w:p>
    <w:p>
      <w:pPr>
        <w:autoSpaceDE w:val="0"/>
        <w:autoSpaceDN w:val="0"/>
        <w:adjustRightInd w:val="0"/>
        <w:spacing w:line="360" w:lineRule="auto"/>
        <w:ind w:firstLine="1440" w:firstLineChars="6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（签字） </w:t>
      </w:r>
      <w:r>
        <w:rPr>
          <w:rFonts w:hint="eastAsia" w:ascii="宋体" w:hAnsi="宋体" w:cs="宋体"/>
          <w:color w:val="auto"/>
          <w:sz w:val="24"/>
          <w:szCs w:val="24"/>
          <w:highlight w:val="none"/>
        </w:rPr>
        <w:t xml:space="preserve"> </w:t>
      </w:r>
    </w:p>
    <w:p>
      <w:pPr>
        <w:autoSpaceDE w:val="0"/>
        <w:autoSpaceDN w:val="0"/>
        <w:adjustRightInd w:val="0"/>
        <w:spacing w:line="360" w:lineRule="auto"/>
        <w:ind w:firstLine="480" w:firstLineChars="200"/>
        <w:rPr>
          <w:rFonts w:ascii="宋体" w:hAnsi="宋体" w:cs="宋体"/>
          <w:color w:val="auto"/>
          <w:sz w:val="24"/>
          <w:szCs w:val="24"/>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  期：</w:t>
      </w:r>
    </w:p>
    <w:p>
      <w:pPr>
        <w:rPr>
          <w:rFonts w:asciiTheme="minorEastAsia" w:hAnsiTheme="minorEastAsia" w:eastAsiaTheme="minorEastAsia"/>
          <w:color w:val="auto"/>
          <w:sz w:val="24"/>
          <w:szCs w:val="24"/>
          <w:highlight w:val="none"/>
        </w:rPr>
      </w:pPr>
    </w:p>
    <w:p>
      <w:pPr>
        <w:pStyle w:val="17"/>
        <w:rPr>
          <w:rFonts w:asciiTheme="minorEastAsia" w:hAnsiTheme="minorEastAsia" w:eastAsiaTheme="minorEastAsia"/>
          <w:color w:val="auto"/>
          <w:sz w:val="24"/>
          <w:szCs w:val="24"/>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公章</w:t>
      </w:r>
      <w:r>
        <w:rPr>
          <w:rFonts w:hint="eastAsia" w:ascii="宋体" w:hAnsi="宋体" w:cs="宋体"/>
          <w:color w:val="auto"/>
          <w:sz w:val="24"/>
          <w:szCs w:val="24"/>
          <w:highlight w:val="none"/>
        </w:rPr>
        <w:t>）                 乙方</w:t>
      </w:r>
      <w:r>
        <w:rPr>
          <w:rFonts w:hint="eastAsia" w:ascii="宋体" w:hAnsi="宋体" w:cs="宋体"/>
          <w:color w:val="auto"/>
          <w:sz w:val="24"/>
          <w:szCs w:val="24"/>
          <w:highlight w:val="none"/>
          <w:lang w:val="zh-CN"/>
        </w:rPr>
        <w:t>：（公章）</w:t>
      </w:r>
      <w:r>
        <w:rPr>
          <w:rFonts w:hint="eastAsia" w:ascii="宋体" w:hAnsi="宋体" w:cs="宋体"/>
          <w:color w:val="auto"/>
          <w:sz w:val="24"/>
          <w:szCs w:val="24"/>
          <w:highlight w:val="none"/>
        </w:rPr>
        <w:t xml:space="preserve">      </w:t>
      </w:r>
    </w:p>
    <w:p>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法定代表人或其委托代理人</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法定代表人或其委托代理人</w:t>
      </w:r>
      <w:r>
        <w:rPr>
          <w:rFonts w:hint="eastAsia" w:ascii="宋体" w:hAnsi="宋体" w:cs="宋体"/>
          <w:color w:val="auto"/>
          <w:sz w:val="24"/>
          <w:szCs w:val="24"/>
          <w:highlight w:val="none"/>
        </w:rPr>
        <w:t>：</w:t>
      </w:r>
    </w:p>
    <w:p>
      <w:pPr>
        <w:autoSpaceDE w:val="0"/>
        <w:autoSpaceDN w:val="0"/>
        <w:adjustRightInd w:val="0"/>
        <w:spacing w:line="360" w:lineRule="auto"/>
        <w:ind w:firstLine="1440" w:firstLineChars="6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（签字）</w:t>
      </w:r>
    </w:p>
    <w:p>
      <w:pPr>
        <w:adjustRightInd w:val="0"/>
        <w:snapToGrid w:val="0"/>
        <w:spacing w:line="360" w:lineRule="auto"/>
        <w:ind w:firstLine="480" w:firstLineChars="200"/>
        <w:rPr>
          <w:rFonts w:ascii="宋体" w:hAnsi="宋体" w:cs="宋体"/>
          <w:color w:val="auto"/>
          <w:sz w:val="24"/>
          <w:szCs w:val="24"/>
          <w:highlight w:val="none"/>
        </w:rPr>
      </w:pP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  期：                                日  期：</w:t>
      </w:r>
    </w:p>
    <w:p>
      <w:pPr>
        <w:adjustRightInd w:val="0"/>
        <w:snapToGrid w:val="0"/>
        <w:spacing w:line="360" w:lineRule="auto"/>
        <w:ind w:left="3373"/>
        <w:rPr>
          <w:rFonts w:ascii="宋体" w:hAnsi="宋体" w:cs="宋体"/>
          <w:color w:val="auto"/>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rPr>
      </w:pPr>
    </w:p>
    <w:p>
      <w:pPr>
        <w:rPr>
          <w:color w:val="auto"/>
          <w:highlight w:val="none"/>
        </w:rPr>
      </w:pPr>
    </w:p>
    <w:p>
      <w:pPr>
        <w:spacing w:line="360" w:lineRule="atLeast"/>
        <w:ind w:firstLine="420"/>
        <w:rPr>
          <w:rFonts w:asciiTheme="minorEastAsia" w:hAnsiTheme="minorEastAsia" w:eastAsiaTheme="minorEastAsia"/>
          <w:color w:val="auto"/>
          <w:highlight w:val="none"/>
        </w:rPr>
      </w:pPr>
    </w:p>
    <w:p>
      <w:pPr>
        <w:spacing w:line="240" w:lineRule="atLeast"/>
        <w:rPr>
          <w:rFonts w:asciiTheme="minorEastAsia" w:hAnsiTheme="minorEastAsia" w:eastAsiaTheme="minorEastAsia"/>
          <w:color w:val="auto"/>
          <w:highlight w:val="none"/>
        </w:rPr>
      </w:pPr>
      <w:bookmarkStart w:id="591" w:name="_Toc1799881692"/>
      <w:bookmarkStart w:id="592" w:name="_Toc1357349786"/>
      <w:bookmarkStart w:id="593" w:name="_Toc2144979508"/>
    </w:p>
    <w:p>
      <w:pPr>
        <w:pStyle w:val="17"/>
        <w:rPr>
          <w:rFonts w:asciiTheme="minorEastAsia" w:hAnsiTheme="minorEastAsia" w:eastAsiaTheme="minorEastAsia"/>
          <w:color w:val="auto"/>
          <w:sz w:val="21"/>
          <w:szCs w:val="21"/>
          <w:highlight w:val="none"/>
        </w:rPr>
      </w:pPr>
    </w:p>
    <w:p>
      <w:pPr>
        <w:spacing w:line="240" w:lineRule="atLeast"/>
        <w:jc w:val="left"/>
        <w:rPr>
          <w:rFonts w:asciiTheme="minorEastAsia" w:hAnsiTheme="minorEastAsia" w:eastAsiaTheme="minorEastAsia"/>
          <w:b/>
          <w:color w:val="auto"/>
          <w:highlight w:val="none"/>
        </w:rPr>
      </w:pPr>
    </w:p>
    <w:p>
      <w:pPr>
        <w:spacing w:line="240" w:lineRule="atLeast"/>
        <w:rPr>
          <w:rFonts w:asciiTheme="minorEastAsia" w:hAnsiTheme="minorEastAsia" w:eastAsiaTheme="minorEastAsia"/>
          <w:color w:val="auto"/>
          <w:highlight w:val="none"/>
        </w:rPr>
      </w:pPr>
    </w:p>
    <w:p>
      <w:pPr>
        <w:spacing w:line="240" w:lineRule="atLeast"/>
        <w:rPr>
          <w:rFonts w:cs="仿宋_GB2312" w:asciiTheme="minorEastAsia" w:hAnsiTheme="minorEastAsia" w:eastAsiaTheme="minorEastAsia"/>
          <w:color w:val="auto"/>
          <w:highlight w:val="none"/>
        </w:rPr>
      </w:pPr>
    </w:p>
    <w:p>
      <w:pPr>
        <w:spacing w:line="240" w:lineRule="atLeast"/>
        <w:rPr>
          <w:rFonts w:cs="仿宋_GB2312" w:asciiTheme="minorEastAsia" w:hAnsiTheme="minorEastAsia" w:eastAsiaTheme="minorEastAsia"/>
          <w:color w:val="auto"/>
          <w:highlight w:val="none"/>
        </w:rPr>
      </w:pPr>
    </w:p>
    <w:p>
      <w:pPr>
        <w:spacing w:line="240" w:lineRule="atLeast"/>
        <w:rPr>
          <w:rFonts w:cs="仿宋_GB2312" w:asciiTheme="minorEastAsia" w:hAnsiTheme="minorEastAsia" w:eastAsiaTheme="minorEastAsia"/>
          <w:color w:val="auto"/>
          <w:highlight w:val="none"/>
        </w:rPr>
      </w:pPr>
    </w:p>
    <w:p>
      <w:pPr>
        <w:spacing w:line="240" w:lineRule="atLeast"/>
        <w:rPr>
          <w:rFonts w:cs="仿宋_GB2312" w:asciiTheme="minorEastAsia" w:hAnsiTheme="minorEastAsia" w:eastAsiaTheme="minorEastAsia"/>
          <w:color w:val="auto"/>
          <w:highlight w:val="none"/>
        </w:rPr>
      </w:pPr>
    </w:p>
    <w:p>
      <w:pPr>
        <w:spacing w:line="240" w:lineRule="atLeast"/>
        <w:outlineLvl w:val="1"/>
        <w:rPr>
          <w:rFonts w:cs="仿宋_GB2312" w:asciiTheme="minorEastAsia" w:hAnsiTheme="minorEastAsia" w:eastAsiaTheme="minorEastAsia"/>
          <w:color w:val="auto"/>
          <w:highlight w:val="none"/>
        </w:rPr>
      </w:pPr>
    </w:p>
    <w:bookmarkEnd w:id="591"/>
    <w:bookmarkEnd w:id="592"/>
    <w:bookmarkEnd w:id="593"/>
    <w:p>
      <w:pPr>
        <w:spacing w:line="240" w:lineRule="atLeast"/>
        <w:outlineLvl w:val="1"/>
        <w:rPr>
          <w:rFonts w:hint="eastAsia" w:cs="仿宋_GB2312" w:asciiTheme="minorEastAsia" w:hAnsiTheme="minorEastAsia" w:eastAsiaTheme="minorEastAsia"/>
          <w:color w:val="auto"/>
          <w:sz w:val="24"/>
          <w:szCs w:val="24"/>
          <w:highlight w:val="none"/>
        </w:rPr>
      </w:pPr>
      <w:bookmarkStart w:id="594" w:name="_Toc362478915"/>
    </w:p>
    <w:p>
      <w:pPr>
        <w:spacing w:line="240" w:lineRule="atLeast"/>
        <w:outlineLvl w:val="1"/>
        <w:rPr>
          <w:rFonts w:hint="eastAsia" w:cs="仿宋_GB2312" w:asciiTheme="minorEastAsia" w:hAnsiTheme="minorEastAsia" w:eastAsiaTheme="minorEastAsia"/>
          <w:color w:val="auto"/>
          <w:sz w:val="24"/>
          <w:szCs w:val="24"/>
          <w:highlight w:val="none"/>
        </w:rPr>
      </w:pPr>
    </w:p>
    <w:p>
      <w:pPr>
        <w:spacing w:line="240" w:lineRule="atLeast"/>
        <w:outlineLvl w:val="1"/>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附件2：</w:t>
      </w:r>
      <w:bookmarkEnd w:id="594"/>
    </w:p>
    <w:p>
      <w:pPr>
        <w:pStyle w:val="4"/>
        <w:spacing w:before="0" w:line="240" w:lineRule="atLeast"/>
        <w:jc w:val="center"/>
        <w:rPr>
          <w:rFonts w:cs="黑体" w:asciiTheme="minorEastAsia" w:hAnsiTheme="minorEastAsia" w:eastAsiaTheme="minorEastAsia"/>
          <w:b w:val="0"/>
          <w:bCs w:val="0"/>
          <w:color w:val="auto"/>
          <w:sz w:val="24"/>
          <w:szCs w:val="24"/>
          <w:highlight w:val="none"/>
        </w:rPr>
      </w:pPr>
      <w:bookmarkStart w:id="595" w:name="_Toc1106295181"/>
      <w:bookmarkStart w:id="596" w:name="_Toc41181775"/>
      <w:r>
        <w:rPr>
          <w:rFonts w:hint="eastAsia" w:cs="黑体" w:asciiTheme="minorEastAsia" w:hAnsiTheme="minorEastAsia" w:eastAsiaTheme="minorEastAsia"/>
          <w:b w:val="0"/>
          <w:bCs w:val="0"/>
          <w:color w:val="auto"/>
          <w:sz w:val="24"/>
          <w:szCs w:val="24"/>
          <w:highlight w:val="none"/>
        </w:rPr>
        <w:t>廉政建设责任书</w:t>
      </w:r>
      <w:bookmarkEnd w:id="595"/>
      <w:bookmarkEnd w:id="596"/>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一、双方的责任</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1.1应严格遵守国家关于建设工程的有关法律、法规，相关政策，以及廉政建设的各项规定。</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1.2严格执行建设工程合同文件，自觉按合同办事。</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1.4发现对方在业务活动中有违规、违纪、违法行为的，应及时提醒对方，情节严重的，应向其上级主管部门或纪检监察、司法等有关机关举报。</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二、发包人责任</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发包人从事该建设工程项目的负责人和工作人员，在工程建设的事前、事中、事后应遵守以下规定：</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2.1不得向承包人和相关单位索要或接受回扣、礼金、有价证券、贵重物品和好处费、感谢费等。</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2.2不得在承包人和相关单位报销任何应由发包人或个人支付的费用。</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2.3不得要求、暗示或接受承包人和相关单位为个人装修住房、婚丧嫁娶、配偶子女的工作安排以及出国(境)、旅游等提供方便。</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2.4不得参加有可能影响公正执行公务的承包人和相关单位的宴请、健身、娱乐等活动。</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三、承包人责任</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应与发包人保持正常的业务交往，按照有关法律法规和程序开展业务工作，严格执行工程建设的有关方针、政策，执行工程建设强制性标准，并遵守以下规定：</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3.1不得以任何理由向发包人及其工作人员索要、接受或赠送礼金、有价证券、贵重物品及回扣、好处费、感谢费等。</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3.2不得以任何理由为发包人和相关单位报销应由对方或个人支付的费用。</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3.3不得接受或暗示为发包人、相关单位或个人装修住房、婚丧嫁娶、配偶子女的工作安排以及出国(境)、旅游等提供方便。</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3.4不得以任何理由为发包人、相关单位或个人组织有可能影响公正执行公务的宴请、健身、娱乐等活动。</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四、违约责任</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4.3本责任书作为本合同的组成部分，与本合同具有同等法律效力，经双方签署后立即生效。</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五、责任书有效期</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本责任书的有效期为双方签署之日起至该工程项目竣工验收合格时止。</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六、责任书份数</w:t>
      </w:r>
    </w:p>
    <w:p>
      <w:pPr>
        <w:snapToGrid w:val="0"/>
        <w:spacing w:line="240" w:lineRule="atLeas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本责任书一式两份，发包人承包人各执一份，具有同等效力。</w:t>
      </w:r>
    </w:p>
    <w:p>
      <w:pPr>
        <w:pStyle w:val="87"/>
        <w:spacing w:line="240" w:lineRule="atLeast"/>
        <w:ind w:firstLine="420"/>
        <w:rPr>
          <w:rFonts w:asciiTheme="minorEastAsia" w:hAnsiTheme="minorEastAsia" w:eastAsiaTheme="minorEastAsia"/>
          <w:color w:val="auto"/>
          <w:sz w:val="24"/>
          <w:szCs w:val="24"/>
          <w:highlight w:val="none"/>
        </w:rPr>
      </w:pPr>
    </w:p>
    <w:p>
      <w:pPr>
        <w:pStyle w:val="87"/>
        <w:spacing w:line="240" w:lineRule="atLeast"/>
        <w:ind w:firstLine="420"/>
        <w:rPr>
          <w:rFonts w:asciiTheme="minorEastAsia" w:hAnsiTheme="minorEastAsia" w:eastAsiaTheme="minorEastAsia"/>
          <w:color w:val="auto"/>
          <w:sz w:val="24"/>
          <w:szCs w:val="24"/>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招标人</w:t>
      </w:r>
      <w:r>
        <w:rPr>
          <w:rFonts w:hint="eastAsia" w:ascii="宋体" w:hAnsi="宋体" w:cs="宋体"/>
          <w:color w:val="auto"/>
          <w:sz w:val="24"/>
          <w:szCs w:val="24"/>
          <w:highlight w:val="none"/>
          <w:lang w:val="zh-CN"/>
        </w:rPr>
        <w:t>：（公章）</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 xml:space="preserve">     </w:t>
      </w:r>
    </w:p>
    <w:p>
      <w:pPr>
        <w:autoSpaceDE w:val="0"/>
        <w:autoSpaceDN w:val="0"/>
        <w:adjustRightIn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法定代表人或其委托代理人：</w:t>
      </w:r>
    </w:p>
    <w:p>
      <w:pPr>
        <w:autoSpaceDE w:val="0"/>
        <w:autoSpaceDN w:val="0"/>
        <w:adjustRightInd w:val="0"/>
        <w:spacing w:line="360" w:lineRule="auto"/>
        <w:ind w:firstLine="1440" w:firstLineChars="6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（签字） </w:t>
      </w:r>
      <w:r>
        <w:rPr>
          <w:rFonts w:hint="eastAsia" w:ascii="宋体" w:hAnsi="宋体" w:cs="宋体"/>
          <w:color w:val="auto"/>
          <w:sz w:val="24"/>
          <w:szCs w:val="24"/>
          <w:highlight w:val="none"/>
        </w:rPr>
        <w:t xml:space="preserve"> </w:t>
      </w:r>
    </w:p>
    <w:p>
      <w:pPr>
        <w:autoSpaceDE w:val="0"/>
        <w:autoSpaceDN w:val="0"/>
        <w:adjustRightInd w:val="0"/>
        <w:spacing w:line="360" w:lineRule="auto"/>
        <w:ind w:firstLine="480" w:firstLineChars="200"/>
        <w:rPr>
          <w:rFonts w:ascii="宋体" w:hAnsi="宋体" w:cs="宋体"/>
          <w:color w:val="auto"/>
          <w:sz w:val="24"/>
          <w:szCs w:val="24"/>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  期：</w:t>
      </w:r>
    </w:p>
    <w:p>
      <w:pPr>
        <w:pStyle w:val="87"/>
        <w:spacing w:line="240" w:lineRule="atLeast"/>
        <w:ind w:firstLine="420"/>
        <w:rPr>
          <w:rFonts w:asciiTheme="minorEastAsia" w:hAnsiTheme="minorEastAsia" w:eastAsiaTheme="minorEastAsia"/>
          <w:color w:val="auto"/>
          <w:sz w:val="24"/>
          <w:szCs w:val="24"/>
          <w:highlight w:val="none"/>
        </w:rPr>
      </w:pPr>
    </w:p>
    <w:p>
      <w:pPr>
        <w:pStyle w:val="87"/>
        <w:spacing w:line="240" w:lineRule="atLeast"/>
        <w:ind w:firstLine="420"/>
        <w:rPr>
          <w:rFonts w:asciiTheme="minorEastAsia" w:hAnsiTheme="minorEastAsia" w:eastAsiaTheme="minorEastAsia"/>
          <w:color w:val="auto"/>
          <w:sz w:val="24"/>
          <w:szCs w:val="24"/>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公章</w:t>
      </w:r>
      <w:r>
        <w:rPr>
          <w:rFonts w:hint="eastAsia" w:ascii="宋体" w:hAnsi="宋体" w:cs="宋体"/>
          <w:color w:val="auto"/>
          <w:sz w:val="24"/>
          <w:szCs w:val="24"/>
          <w:highlight w:val="none"/>
        </w:rPr>
        <w:t>）                 乙方</w:t>
      </w:r>
      <w:r>
        <w:rPr>
          <w:rFonts w:hint="eastAsia" w:ascii="宋体" w:hAnsi="宋体" w:cs="宋体"/>
          <w:color w:val="auto"/>
          <w:sz w:val="24"/>
          <w:szCs w:val="24"/>
          <w:highlight w:val="none"/>
          <w:lang w:val="zh-CN"/>
        </w:rPr>
        <w:t>：（公章）</w:t>
      </w:r>
      <w:r>
        <w:rPr>
          <w:rFonts w:hint="eastAsia" w:ascii="宋体" w:hAnsi="宋体" w:cs="宋体"/>
          <w:color w:val="auto"/>
          <w:sz w:val="24"/>
          <w:szCs w:val="24"/>
          <w:highlight w:val="none"/>
        </w:rPr>
        <w:t xml:space="preserve">      </w:t>
      </w:r>
    </w:p>
    <w:p>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法定代表人或其委托代理人</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法定代表人或其委托代理人</w:t>
      </w:r>
      <w:r>
        <w:rPr>
          <w:rFonts w:hint="eastAsia" w:ascii="宋体" w:hAnsi="宋体" w:cs="宋体"/>
          <w:color w:val="auto"/>
          <w:sz w:val="24"/>
          <w:szCs w:val="24"/>
          <w:highlight w:val="none"/>
        </w:rPr>
        <w:t>：</w:t>
      </w:r>
    </w:p>
    <w:p>
      <w:pPr>
        <w:autoSpaceDE w:val="0"/>
        <w:autoSpaceDN w:val="0"/>
        <w:adjustRightInd w:val="0"/>
        <w:spacing w:line="360" w:lineRule="auto"/>
        <w:ind w:firstLine="1440" w:firstLineChars="6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（签字）</w:t>
      </w:r>
    </w:p>
    <w:p>
      <w:pPr>
        <w:adjustRightInd w:val="0"/>
        <w:snapToGrid w:val="0"/>
        <w:spacing w:line="360" w:lineRule="auto"/>
        <w:ind w:firstLine="480" w:firstLineChars="200"/>
        <w:rPr>
          <w:rFonts w:ascii="宋体" w:hAnsi="宋体" w:cs="宋体"/>
          <w:color w:val="auto"/>
          <w:sz w:val="24"/>
          <w:szCs w:val="24"/>
          <w:highlight w:val="none"/>
        </w:rPr>
      </w:pP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  期：                                日  期：</w:t>
      </w:r>
    </w:p>
    <w:p>
      <w:pPr>
        <w:adjustRightInd w:val="0"/>
        <w:snapToGrid w:val="0"/>
        <w:spacing w:line="360" w:lineRule="auto"/>
        <w:ind w:left="3373"/>
        <w:rPr>
          <w:rFonts w:ascii="宋体" w:hAnsi="宋体" w:cs="宋体"/>
          <w:color w:val="auto"/>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rPr>
      </w:pPr>
    </w:p>
    <w:p>
      <w:pPr>
        <w:snapToGrid w:val="0"/>
        <w:spacing w:line="400" w:lineRule="exact"/>
        <w:ind w:left="105" w:leftChars="50" w:firstLine="600"/>
        <w:rPr>
          <w:rFonts w:cs="仿宋_GB2312" w:asciiTheme="minorEastAsia" w:hAnsiTheme="minorEastAsia" w:eastAsiaTheme="minorEastAsia"/>
          <w:color w:val="auto"/>
          <w:sz w:val="24"/>
          <w:szCs w:val="24"/>
          <w:highlight w:val="none"/>
        </w:rPr>
      </w:pPr>
    </w:p>
    <w:p>
      <w:pPr>
        <w:spacing w:line="400" w:lineRule="exact"/>
        <w:rPr>
          <w:rFonts w:asciiTheme="minorEastAsia" w:hAnsiTheme="minorEastAsia" w:eastAsiaTheme="minorEastAsia"/>
          <w:color w:val="auto"/>
          <w:highlight w:val="none"/>
        </w:rPr>
      </w:pPr>
    </w:p>
    <w:p>
      <w:pPr>
        <w:spacing w:line="400" w:lineRule="exact"/>
        <w:jc w:val="left"/>
        <w:rPr>
          <w:rFonts w:asciiTheme="minorEastAsia" w:hAnsiTheme="minorEastAsia" w:eastAsiaTheme="minorEastAsia"/>
          <w:b/>
          <w:color w:val="auto"/>
          <w:highlight w:val="none"/>
        </w:rPr>
      </w:pPr>
    </w:p>
    <w:p>
      <w:pPr>
        <w:pStyle w:val="17"/>
        <w:rPr>
          <w:rFonts w:asciiTheme="minorEastAsia" w:hAnsiTheme="minorEastAsia" w:eastAsiaTheme="minorEastAsia"/>
          <w:b/>
          <w:color w:val="auto"/>
          <w:highlight w:val="none"/>
        </w:rPr>
      </w:pPr>
    </w:p>
    <w:p>
      <w:pPr>
        <w:rPr>
          <w:rFonts w:asciiTheme="minorEastAsia" w:hAnsiTheme="minorEastAsia" w:eastAsiaTheme="minorEastAsia"/>
          <w:b/>
          <w:color w:val="auto"/>
          <w:highlight w:val="none"/>
        </w:rPr>
      </w:pPr>
    </w:p>
    <w:p>
      <w:pPr>
        <w:pStyle w:val="17"/>
        <w:rPr>
          <w:rFonts w:asciiTheme="minorEastAsia" w:hAnsiTheme="minorEastAsia" w:eastAsiaTheme="minorEastAsia"/>
          <w:b/>
          <w:color w:val="auto"/>
          <w:highlight w:val="none"/>
        </w:rPr>
      </w:pPr>
    </w:p>
    <w:p>
      <w:pPr>
        <w:rPr>
          <w:rFonts w:asciiTheme="minorEastAsia" w:hAnsiTheme="minorEastAsia" w:eastAsiaTheme="minorEastAsia"/>
          <w:b/>
          <w:color w:val="auto"/>
          <w:highlight w:val="none"/>
        </w:rPr>
      </w:pPr>
    </w:p>
    <w:p>
      <w:pPr>
        <w:pStyle w:val="17"/>
        <w:rPr>
          <w:rFonts w:asciiTheme="minorEastAsia" w:hAnsiTheme="minorEastAsia" w:eastAsiaTheme="minorEastAsia"/>
          <w:b/>
          <w:color w:val="auto"/>
          <w:highlight w:val="none"/>
        </w:rPr>
      </w:pPr>
    </w:p>
    <w:p>
      <w:pPr>
        <w:rPr>
          <w:rFonts w:asciiTheme="minorEastAsia" w:hAnsiTheme="minorEastAsia" w:eastAsiaTheme="minorEastAsia"/>
          <w:b/>
          <w:color w:val="auto"/>
          <w:highlight w:val="none"/>
        </w:rPr>
      </w:pPr>
    </w:p>
    <w:p>
      <w:pPr>
        <w:pStyle w:val="17"/>
        <w:rPr>
          <w:color w:val="auto"/>
          <w:highlight w:val="none"/>
        </w:rPr>
      </w:pPr>
    </w:p>
    <w:p>
      <w:pPr>
        <w:pStyle w:val="87"/>
        <w:spacing w:line="240" w:lineRule="atLeas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附件3：</w:t>
      </w:r>
    </w:p>
    <w:p>
      <w:pPr>
        <w:pStyle w:val="87"/>
        <w:spacing w:line="240" w:lineRule="atLeas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安全生产合同</w:t>
      </w:r>
    </w:p>
    <w:p>
      <w:pPr>
        <w:spacing w:line="360" w:lineRule="atLeas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招标</w:t>
      </w:r>
      <w:r>
        <w:rPr>
          <w:rFonts w:asciiTheme="minorEastAsia" w:hAnsiTheme="minorEastAsia" w:eastAsiaTheme="minorEastAsia"/>
          <w:color w:val="auto"/>
          <w:sz w:val="24"/>
          <w:szCs w:val="24"/>
          <w:highlight w:val="none"/>
        </w:rPr>
        <w:t>人（全称）：</w:t>
      </w:r>
      <w:r>
        <w:rPr>
          <w:rFonts w:hint="eastAsia" w:ascii="宋体" w:hAnsi="宋体" w:cs="宋体" w:eastAsiaTheme="minorEastAsia"/>
          <w:color w:val="auto"/>
          <w:sz w:val="24"/>
          <w:szCs w:val="24"/>
          <w:highlight w:val="none"/>
          <w:u w:val="single"/>
          <w:lang w:eastAsia="zh-CN"/>
        </w:rPr>
        <w:t>南京市栖霞区人民政府尧化办事处</w:t>
      </w:r>
      <w:r>
        <w:rPr>
          <w:rFonts w:asciiTheme="minorEastAsia" w:hAnsiTheme="minorEastAsia" w:eastAsiaTheme="minorEastAsia"/>
          <w:color w:val="auto"/>
          <w:sz w:val="24"/>
          <w:szCs w:val="24"/>
          <w:highlight w:val="none"/>
        </w:rPr>
        <w:t xml:space="preserve"> </w:t>
      </w:r>
    </w:p>
    <w:p>
      <w:pPr>
        <w:spacing w:line="360" w:lineRule="atLeas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发包人（全称）：</w:t>
      </w:r>
      <w:r>
        <w:rPr>
          <w:rFonts w:hint="eastAsia" w:ascii="宋体" w:hAnsi="宋体" w:cs="宋体"/>
          <w:bCs/>
          <w:color w:val="auto"/>
          <w:sz w:val="24"/>
          <w:szCs w:val="24"/>
          <w:highlight w:val="none"/>
          <w:u w:val="single"/>
          <w:lang w:val="zh-CN"/>
        </w:rPr>
        <w:t>南京市栖霞区实验小学</w:t>
      </w:r>
      <w:r>
        <w:rPr>
          <w:rFonts w:asciiTheme="minorEastAsia" w:hAnsiTheme="minorEastAsia" w:eastAsiaTheme="minorEastAsia"/>
          <w:color w:val="auto"/>
          <w:sz w:val="24"/>
          <w:szCs w:val="24"/>
          <w:highlight w:val="none"/>
        </w:rPr>
        <w:t xml:space="preserve"> </w:t>
      </w:r>
    </w:p>
    <w:p>
      <w:pPr>
        <w:widowControl/>
        <w:spacing w:line="240" w:lineRule="atLeast"/>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承包人（全称）：</w:t>
      </w:r>
      <w:r>
        <w:rPr>
          <w:rFonts w:asciiTheme="minorEastAsia" w:hAnsiTheme="minorEastAsia" w:eastAsiaTheme="minorEastAsia"/>
          <w:color w:val="auto"/>
          <w:sz w:val="24"/>
          <w:szCs w:val="24"/>
          <w:highlight w:val="none"/>
          <w:u w:val="single"/>
        </w:rPr>
        <w:t xml:space="preserve">                </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为在</w:t>
      </w:r>
      <w:r>
        <w:rPr>
          <w:rFonts w:hint="eastAsia" w:cs="仿宋" w:asciiTheme="minorEastAsia" w:hAnsiTheme="minorEastAsia" w:eastAsiaTheme="minorEastAsia"/>
          <w:b/>
          <w:color w:val="auto"/>
          <w:sz w:val="24"/>
          <w:szCs w:val="24"/>
          <w:highlight w:val="none"/>
          <w:u w:val="single"/>
        </w:rPr>
        <w:t xml:space="preserve"> </w:t>
      </w:r>
      <w:r>
        <w:rPr>
          <w:rFonts w:hint="eastAsia" w:ascii="宋体" w:hAnsi="宋体" w:cs="宋体" w:eastAsiaTheme="minorEastAsia"/>
          <w:color w:val="auto"/>
          <w:sz w:val="24"/>
          <w:szCs w:val="24"/>
          <w:highlight w:val="none"/>
          <w:u w:val="single"/>
          <w:lang w:eastAsia="zh-CN"/>
        </w:rPr>
        <w:t>2024年南京市栖霞区实验小学尧化街校区厕所提升工程</w:t>
      </w:r>
      <w:r>
        <w:rPr>
          <w:rFonts w:hint="eastAsia" w:cs="仿宋" w:asciiTheme="minorEastAsia" w:hAnsiTheme="minorEastAsia" w:eastAsiaTheme="minorEastAsia"/>
          <w:b/>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施工合同的实施过程中创造安全、高效的施工环境，切实搞好本项目的安全管理工作，特此签订安全生产合同。具体如下：</w:t>
      </w:r>
    </w:p>
    <w:p>
      <w:pPr>
        <w:pStyle w:val="87"/>
        <w:spacing w:line="240" w:lineRule="atLeast"/>
        <w:ind w:firstLine="420"/>
        <w:outlineLvl w:val="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一、发包人职责</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1．严格遵守国家有关安全生产的法律法规，认真执行工程承包合同中的有关安全要求。</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2.按照“安全第一、预防为主”和坚持“管生产必需管安全”的原则进行安全生产管理，做到生产与安全工作同时计划、布置、检查、总结和评比。</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3.定期召开安全生产协调会，及时传达中央及地方有关安全生产的精神。</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4.组织对承包人施工现场安全生产检查，建立安全生产责任制网络、汇总重要危险源、监督承包人及时处理发现的各种安全隐患。</w:t>
      </w:r>
    </w:p>
    <w:p>
      <w:pPr>
        <w:pStyle w:val="87"/>
        <w:spacing w:line="240" w:lineRule="atLeast"/>
        <w:ind w:firstLine="420"/>
        <w:outlineLvl w:val="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二、承包人职责</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1.严格遵守国家有关安全生产的法律法规、有关安全生产的规定，认真执行工程承包合同中的有关安全要求，接受发包人和监理工程师对安全生产工作的指导。</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坚持“安全第一、预防为主”和“管生产必须管安全”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建立健全安全生产责任制网络。从派往项目实施的项目负责人到生产工人（包括临时雇请的民工）的安全生产管理系统必须做到纵向到底，一环不漏；各职能部门、人员的安全生产责任制做到横向到边，人人有责。施工单位的主要负责人是工程的安全生产负责人，对安全生产负领导责任，项目负责人是工程的安全生产责任人，对安全生产负直接责任，专职安全员和安全员是工程现场的安全生产直接责任人，对安全生产具体负责。现场设置的安全机构，应按施工合同约定，配备安全员（其中专职安全员每标段不少于1人），专职负责所有员工的安全和治安保卫工作及预防事故的发生。安全机构人员，有权按有关规定发布指令，并采取保护性措施防止事故发生。</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4.承包人在任何时侯都应采取各种合理的预防措施，防止其人员发生任何违法、违禁、暴力、违规或妨碍治安的行为。</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承包人必须具有省部级行政主管部门颁发的安全生产证书，参加施工的人员，必须按受安全技术教育，熟知和遵守本工程的各项安全技术操作规程，定期进行安全技术考核，合格者方准上岗操作，对于从事机动车驾驶、电气、起重、建筑登高架设作业、焊接等特殊工程的人员须持证上岗。施工现场如发现无证操作现象时，项目负责人必须承担管理责任。</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6.加强施工中交通运输安全管理，各种运输机械等需划定运输路线行驶。</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7.对于易燃易爆的材料除应专门有效封闭、妥善保管之外，还应配备有足够的消防设施，所有施工人员都应熟悉消防设备的性能和使用方法。</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8.操作人员上岗，必须按规定穿戴防护用品。施工负责人和安全检查员应随时检查劳动防护用品的穿戴情况，不按规定穿戴防护用品的人员不得上岗。</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9.所有施工机具、设备和劳动保护用品应具备有效的安检合格证明，并经安全员签字同意后方可使用，施工期间应定期检查，保证其处于完好状态；不合格的机具、设备和劳动保护用品严禁使用。</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10.施工现场必须具有相关的安全标志牌。</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11.建立主要危险源备案制度，要明确潜在隐患、防范措施和落实责任人。</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12.承包人对发包人提出的安全整改意见不及时整改的，发包人按10000元/次处罚承包人。</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pStyle w:val="87"/>
        <w:spacing w:line="240" w:lineRule="atLeast"/>
        <w:ind w:firstLine="420"/>
        <w:outlineLvl w:val="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三、违约责任</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如承包人违约或者违章施工造成安全事故，由承包人承担一切责任及善后事宜，并将报请有关部门依法追究责任。</w:t>
      </w:r>
    </w:p>
    <w:p>
      <w:pPr>
        <w:pStyle w:val="87"/>
        <w:spacing w:line="240" w:lineRule="atLeast"/>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本合同，由双方法定代表人或其授权的代理人签署和加盖公章后生效，全部工程竣工验收后失效。</w:t>
      </w:r>
    </w:p>
    <w:p>
      <w:pPr>
        <w:pStyle w:val="87"/>
        <w:spacing w:line="240" w:lineRule="atLeast"/>
        <w:ind w:firstLine="420"/>
        <w:rPr>
          <w:rFonts w:asciiTheme="minorEastAsia" w:hAnsiTheme="minorEastAsia" w:eastAsiaTheme="minorEastAsia"/>
          <w:color w:val="auto"/>
          <w:sz w:val="24"/>
          <w:szCs w:val="24"/>
          <w:highlight w:val="none"/>
        </w:rPr>
      </w:pPr>
    </w:p>
    <w:p>
      <w:pPr>
        <w:pStyle w:val="87"/>
        <w:spacing w:line="240" w:lineRule="atLeast"/>
        <w:ind w:firstLine="420"/>
        <w:rPr>
          <w:rFonts w:asciiTheme="minorEastAsia" w:hAnsiTheme="minorEastAsia" w:eastAsiaTheme="minorEastAsia"/>
          <w:color w:val="auto"/>
          <w:sz w:val="24"/>
          <w:szCs w:val="24"/>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招标人</w:t>
      </w:r>
      <w:r>
        <w:rPr>
          <w:rFonts w:hint="eastAsia" w:ascii="宋体" w:hAnsi="宋体" w:cs="宋体"/>
          <w:color w:val="auto"/>
          <w:sz w:val="24"/>
          <w:szCs w:val="24"/>
          <w:highlight w:val="none"/>
          <w:lang w:val="zh-CN"/>
        </w:rPr>
        <w:t>：（公章）</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 xml:space="preserve">     </w:t>
      </w:r>
    </w:p>
    <w:p>
      <w:pPr>
        <w:autoSpaceDE w:val="0"/>
        <w:autoSpaceDN w:val="0"/>
        <w:adjustRightIn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法定代表人或其委托代理人：</w:t>
      </w:r>
    </w:p>
    <w:p>
      <w:pPr>
        <w:autoSpaceDE w:val="0"/>
        <w:autoSpaceDN w:val="0"/>
        <w:adjustRightInd w:val="0"/>
        <w:spacing w:line="360" w:lineRule="auto"/>
        <w:ind w:firstLine="1440" w:firstLineChars="6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（签字） </w:t>
      </w:r>
      <w:r>
        <w:rPr>
          <w:rFonts w:hint="eastAsia" w:ascii="宋体" w:hAnsi="宋体" w:cs="宋体"/>
          <w:color w:val="auto"/>
          <w:sz w:val="24"/>
          <w:szCs w:val="24"/>
          <w:highlight w:val="none"/>
        </w:rPr>
        <w:t xml:space="preserve"> </w:t>
      </w:r>
    </w:p>
    <w:p>
      <w:pPr>
        <w:autoSpaceDE w:val="0"/>
        <w:autoSpaceDN w:val="0"/>
        <w:adjustRightInd w:val="0"/>
        <w:spacing w:line="360" w:lineRule="auto"/>
        <w:ind w:firstLine="480" w:firstLineChars="200"/>
        <w:rPr>
          <w:rFonts w:ascii="宋体" w:hAnsi="宋体" w:cs="宋体"/>
          <w:color w:val="auto"/>
          <w:sz w:val="24"/>
          <w:szCs w:val="24"/>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  期：</w:t>
      </w:r>
    </w:p>
    <w:p>
      <w:pPr>
        <w:pStyle w:val="87"/>
        <w:spacing w:line="240" w:lineRule="atLeast"/>
        <w:ind w:firstLine="420"/>
        <w:rPr>
          <w:rFonts w:asciiTheme="minorEastAsia" w:hAnsiTheme="minorEastAsia" w:eastAsiaTheme="minorEastAsia"/>
          <w:color w:val="auto"/>
          <w:szCs w:val="21"/>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公章</w:t>
      </w:r>
      <w:r>
        <w:rPr>
          <w:rFonts w:hint="eastAsia" w:ascii="宋体" w:hAnsi="宋体" w:cs="宋体"/>
          <w:color w:val="auto"/>
          <w:sz w:val="24"/>
          <w:szCs w:val="24"/>
          <w:highlight w:val="none"/>
        </w:rPr>
        <w:t>）                 乙方</w:t>
      </w:r>
      <w:r>
        <w:rPr>
          <w:rFonts w:hint="eastAsia" w:ascii="宋体" w:hAnsi="宋体" w:cs="宋体"/>
          <w:color w:val="auto"/>
          <w:sz w:val="24"/>
          <w:szCs w:val="24"/>
          <w:highlight w:val="none"/>
          <w:lang w:val="zh-CN"/>
        </w:rPr>
        <w:t>：（公章）</w:t>
      </w:r>
      <w:r>
        <w:rPr>
          <w:rFonts w:hint="eastAsia" w:ascii="宋体" w:hAnsi="宋体" w:cs="宋体"/>
          <w:color w:val="auto"/>
          <w:sz w:val="24"/>
          <w:szCs w:val="24"/>
          <w:highlight w:val="none"/>
        </w:rPr>
        <w:t xml:space="preserve">      </w:t>
      </w:r>
    </w:p>
    <w:p>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法定代表人或其委托代理人</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法定代表人或其委托代理人</w:t>
      </w:r>
      <w:r>
        <w:rPr>
          <w:rFonts w:hint="eastAsia" w:ascii="宋体" w:hAnsi="宋体" w:cs="宋体"/>
          <w:color w:val="auto"/>
          <w:sz w:val="24"/>
          <w:szCs w:val="24"/>
          <w:highlight w:val="none"/>
        </w:rPr>
        <w:t>：</w:t>
      </w:r>
    </w:p>
    <w:p>
      <w:pPr>
        <w:autoSpaceDE w:val="0"/>
        <w:autoSpaceDN w:val="0"/>
        <w:adjustRightInd w:val="0"/>
        <w:spacing w:line="360" w:lineRule="auto"/>
        <w:ind w:firstLine="1440" w:firstLineChars="6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（签字）</w:t>
      </w:r>
    </w:p>
    <w:p>
      <w:pPr>
        <w:adjustRightInd w:val="0"/>
        <w:snapToGrid w:val="0"/>
        <w:spacing w:line="360" w:lineRule="auto"/>
        <w:ind w:firstLine="480" w:firstLineChars="200"/>
        <w:rPr>
          <w:rFonts w:ascii="宋体" w:hAnsi="宋体" w:cs="宋体"/>
          <w:color w:val="auto"/>
          <w:sz w:val="24"/>
          <w:szCs w:val="24"/>
          <w:highlight w:val="none"/>
        </w:rPr>
      </w:pP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  期：                                日  期：</w:t>
      </w:r>
    </w:p>
    <w:p>
      <w:pPr>
        <w:adjustRightInd w:val="0"/>
        <w:snapToGrid w:val="0"/>
        <w:spacing w:line="360" w:lineRule="auto"/>
        <w:ind w:left="3373"/>
        <w:rPr>
          <w:rFonts w:ascii="宋体" w:hAnsi="宋体" w:cs="宋体"/>
          <w:color w:val="auto"/>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rPr>
      </w:pPr>
    </w:p>
    <w:p>
      <w:pPr>
        <w:autoSpaceDE w:val="0"/>
        <w:autoSpaceDN w:val="0"/>
        <w:adjustRightInd w:val="0"/>
        <w:spacing w:line="360" w:lineRule="auto"/>
        <w:ind w:firstLine="480" w:firstLineChars="200"/>
        <w:rPr>
          <w:rFonts w:ascii="宋体" w:hAnsi="宋体" w:cs="宋体"/>
          <w:color w:val="auto"/>
          <w:sz w:val="24"/>
          <w:szCs w:val="24"/>
          <w:highlight w:val="none"/>
        </w:rPr>
      </w:pPr>
    </w:p>
    <w:p>
      <w:pPr>
        <w:pStyle w:val="87"/>
        <w:spacing w:line="240" w:lineRule="atLeast"/>
        <w:rPr>
          <w:rFonts w:asciiTheme="minorEastAsia" w:hAnsiTheme="minorEastAsia" w:eastAsiaTheme="minorEastAsia"/>
          <w:color w:val="auto"/>
          <w:szCs w:val="21"/>
          <w:highlight w:val="none"/>
        </w:rPr>
      </w:pPr>
    </w:p>
    <w:p>
      <w:pPr>
        <w:pStyle w:val="87"/>
        <w:spacing w:line="240" w:lineRule="atLeast"/>
        <w:rPr>
          <w:rFonts w:asciiTheme="minorEastAsia" w:hAnsiTheme="minorEastAsia" w:eastAsiaTheme="minorEastAsia"/>
          <w:color w:val="auto"/>
          <w:szCs w:val="21"/>
          <w:highlight w:val="none"/>
        </w:rPr>
      </w:pPr>
    </w:p>
    <w:p>
      <w:pPr>
        <w:pStyle w:val="87"/>
        <w:spacing w:line="240" w:lineRule="atLeas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附件4：</w:t>
      </w:r>
    </w:p>
    <w:p>
      <w:pPr>
        <w:pStyle w:val="87"/>
        <w:spacing w:line="240" w:lineRule="atLeast"/>
        <w:jc w:val="center"/>
        <w:rPr>
          <w:rFonts w:asciiTheme="minorEastAsia" w:hAnsiTheme="minorEastAsia" w:eastAsiaTheme="minorEastAsia"/>
          <w:color w:val="auto"/>
          <w:sz w:val="24"/>
          <w:szCs w:val="24"/>
          <w:highlight w:val="none"/>
        </w:rPr>
      </w:pPr>
    </w:p>
    <w:p>
      <w:pPr>
        <w:pStyle w:val="87"/>
        <w:spacing w:line="240" w:lineRule="atLeas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关于不拖欠农民工工资的承诺</w:t>
      </w:r>
    </w:p>
    <w:p>
      <w:pPr>
        <w:pStyle w:val="5"/>
        <w:spacing w:line="240" w:lineRule="atLeast"/>
        <w:ind w:firstLine="0"/>
        <w:rPr>
          <w:rFonts w:asciiTheme="minorEastAsia" w:hAnsiTheme="minorEastAsia" w:eastAsiaTheme="minorEastAsia"/>
          <w:bCs/>
          <w:color w:val="auto"/>
          <w:sz w:val="24"/>
          <w:szCs w:val="24"/>
          <w:highlight w:val="none"/>
        </w:rPr>
      </w:pPr>
    </w:p>
    <w:p>
      <w:pPr>
        <w:pStyle w:val="5"/>
        <w:ind w:firstLine="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致:</w:t>
      </w:r>
      <w:r>
        <w:rPr>
          <w:rFonts w:hint="eastAsia" w:cs="仿宋" w:asciiTheme="minorEastAsia" w:hAnsiTheme="minorEastAsia" w:eastAsiaTheme="minorEastAsia"/>
          <w:bCs/>
          <w:color w:val="auto"/>
          <w:sz w:val="24"/>
          <w:szCs w:val="24"/>
          <w:highlight w:val="none"/>
          <w:u w:val="single"/>
        </w:rPr>
        <w:t xml:space="preserve">                </w:t>
      </w:r>
    </w:p>
    <w:p>
      <w:pPr>
        <w:pStyle w:val="5"/>
        <w:ind w:firstLine="480" w:firstLineChars="200"/>
        <w:rPr>
          <w:rFonts w:asciiTheme="minorEastAsia" w:hAnsiTheme="minorEastAsia" w:eastAsiaTheme="minorEastAsia"/>
          <w:color w:val="auto"/>
          <w:sz w:val="24"/>
          <w:szCs w:val="24"/>
          <w:highlight w:val="none"/>
        </w:rPr>
      </w:pPr>
    </w:p>
    <w:p>
      <w:pPr>
        <w:pStyle w:val="5"/>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我方将对</w:t>
      </w:r>
      <w:r>
        <w:rPr>
          <w:rFonts w:hint="eastAsia" w:cs="仿宋" w:asciiTheme="minorEastAsia" w:hAnsiTheme="minorEastAsia" w:eastAsiaTheme="minorEastAsia"/>
          <w:b/>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组织的</w:t>
      </w:r>
      <w:r>
        <w:rPr>
          <w:rFonts w:hint="eastAsia" w:cs="仿宋" w:asciiTheme="minorEastAsia" w:hAnsiTheme="minorEastAsia" w:eastAsiaTheme="minorEastAsia"/>
          <w:b/>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进行工程施工。我方承诺:我方将保障农民工的权益，不拖欠农民工工资，并将合同价款的5％作为不拖欠农民工工资的保证金，工程通过单位工程验收后并无拖欠农民工工资的予以退还。如</w:t>
      </w:r>
      <w:r>
        <w:rPr>
          <w:rFonts w:hint="eastAsia" w:asciiTheme="minorEastAsia" w:hAnsiTheme="minorEastAsia" w:eastAsiaTheme="minorEastAsia"/>
          <w:b/>
          <w:color w:val="auto"/>
          <w:sz w:val="24"/>
          <w:szCs w:val="24"/>
          <w:highlight w:val="none"/>
          <w:u w:val="single"/>
        </w:rPr>
        <w:t>因拖欠施工人员工资或材料供应商的货款，造成人员围堵发包方个人或单位的，承包人必须无条件立即处理完毕；如承包人未及时处理，发包可接手处理，因此而造成的一切损失由承包人承担，并从工程款中扣除5倍垫付款项，该款项不设上限，同时，上报主管部门备案</w:t>
      </w:r>
      <w:r>
        <w:rPr>
          <w:rFonts w:hint="eastAsia" w:asciiTheme="minorEastAsia" w:hAnsiTheme="minorEastAsia" w:eastAsiaTheme="minorEastAsia"/>
          <w:color w:val="auto"/>
          <w:sz w:val="24"/>
          <w:szCs w:val="24"/>
          <w:highlight w:val="none"/>
          <w:u w:val="single"/>
        </w:rPr>
        <w:t>。</w:t>
      </w:r>
      <w:r>
        <w:rPr>
          <w:rFonts w:hint="eastAsia" w:asciiTheme="minorEastAsia" w:hAnsiTheme="minorEastAsia" w:eastAsiaTheme="minorEastAsia"/>
          <w:color w:val="auto"/>
          <w:sz w:val="24"/>
          <w:szCs w:val="24"/>
          <w:highlight w:val="none"/>
        </w:rPr>
        <w:t>。</w:t>
      </w:r>
    </w:p>
    <w:p>
      <w:pPr>
        <w:pStyle w:val="5"/>
        <w:spacing w:line="240" w:lineRule="atLeast"/>
        <w:jc w:val="right"/>
        <w:rPr>
          <w:rFonts w:asciiTheme="minorEastAsia" w:hAnsiTheme="minorEastAsia" w:eastAsiaTheme="minorEastAsia"/>
          <w:color w:val="auto"/>
          <w:sz w:val="24"/>
          <w:szCs w:val="24"/>
          <w:highlight w:val="none"/>
        </w:rPr>
      </w:pPr>
    </w:p>
    <w:p>
      <w:pPr>
        <w:pStyle w:val="5"/>
        <w:spacing w:line="240" w:lineRule="atLeast"/>
        <w:ind w:right="420" w:firstLine="5160" w:firstLineChars="21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p>
    <w:p>
      <w:pPr>
        <w:pStyle w:val="5"/>
        <w:spacing w:line="240" w:lineRule="atLeast"/>
        <w:ind w:right="420" w:firstLine="5160" w:firstLineChars="2150"/>
        <w:rPr>
          <w:rFonts w:asciiTheme="minorEastAsia" w:hAnsiTheme="minorEastAsia" w:eastAsiaTheme="minorEastAsia"/>
          <w:color w:val="auto"/>
          <w:sz w:val="24"/>
          <w:szCs w:val="24"/>
          <w:highlight w:val="none"/>
        </w:rPr>
      </w:pPr>
    </w:p>
    <w:p>
      <w:pPr>
        <w:pStyle w:val="5"/>
        <w:spacing w:line="240" w:lineRule="atLeast"/>
        <w:ind w:right="420" w:firstLine="5160" w:firstLineChars="2150"/>
        <w:rPr>
          <w:rFonts w:asciiTheme="minorEastAsia" w:hAnsiTheme="minorEastAsia" w:eastAsiaTheme="minorEastAsia"/>
          <w:color w:val="auto"/>
          <w:sz w:val="24"/>
          <w:szCs w:val="24"/>
          <w:highlight w:val="none"/>
        </w:rPr>
      </w:pPr>
    </w:p>
    <w:p>
      <w:pPr>
        <w:pStyle w:val="5"/>
        <w:spacing w:line="240" w:lineRule="atLeast"/>
        <w:ind w:right="420" w:firstLine="4560" w:firstLineChars="19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承包人：（盖单位章）</w:t>
      </w:r>
    </w:p>
    <w:p>
      <w:pPr>
        <w:pStyle w:val="5"/>
        <w:spacing w:line="240" w:lineRule="atLeast"/>
        <w:ind w:right="420"/>
        <w:jc w:val="center"/>
        <w:rPr>
          <w:rFonts w:asciiTheme="minorEastAsia" w:hAnsiTheme="minorEastAsia" w:eastAsiaTheme="minorEastAsia"/>
          <w:color w:val="auto"/>
          <w:sz w:val="24"/>
          <w:szCs w:val="24"/>
          <w:highlight w:val="none"/>
        </w:rPr>
      </w:pPr>
    </w:p>
    <w:p>
      <w:pPr>
        <w:pStyle w:val="5"/>
        <w:spacing w:line="240" w:lineRule="atLeast"/>
        <w:ind w:right="735" w:firstLine="4560" w:firstLineChars="19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法定代表人（或委托代理人）： </w:t>
      </w:r>
    </w:p>
    <w:p>
      <w:pPr>
        <w:spacing w:line="240" w:lineRule="atLeast"/>
        <w:ind w:firstLine="5160" w:firstLineChars="2150"/>
        <w:rPr>
          <w:rFonts w:asciiTheme="minorEastAsia" w:hAnsiTheme="minorEastAsia" w:eastAsiaTheme="minorEastAsia"/>
          <w:color w:val="auto"/>
          <w:sz w:val="24"/>
          <w:szCs w:val="24"/>
          <w:highlight w:val="none"/>
        </w:rPr>
      </w:pPr>
    </w:p>
    <w:p>
      <w:pPr>
        <w:spacing w:line="240" w:lineRule="atLeast"/>
        <w:ind w:firstLine="4560" w:firstLineChars="1900"/>
        <w:rPr>
          <w:rFonts w:cs="金山简魏碑"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   期：   </w:t>
      </w:r>
      <w:r>
        <w:rPr>
          <w:rFonts w:hint="eastAsia" w:cs="金山简魏碑" w:asciiTheme="minorEastAsia" w:hAnsiTheme="minorEastAsia" w:eastAsiaTheme="minorEastAsia"/>
          <w:color w:val="auto"/>
          <w:sz w:val="24"/>
          <w:szCs w:val="24"/>
          <w:highlight w:val="none"/>
        </w:rPr>
        <w:t xml:space="preserve">     年  月   日</w:t>
      </w:r>
    </w:p>
    <w:p>
      <w:pPr>
        <w:spacing w:line="240" w:lineRule="atLeast"/>
        <w:ind w:firstLine="5160" w:firstLineChars="2150"/>
        <w:rPr>
          <w:rFonts w:cs="金山简魏碑" w:asciiTheme="minorEastAsia" w:hAnsiTheme="minorEastAsia" w:eastAsiaTheme="minorEastAsia"/>
          <w:color w:val="auto"/>
          <w:sz w:val="24"/>
          <w:szCs w:val="24"/>
          <w:highlight w:val="none"/>
        </w:rPr>
      </w:pPr>
    </w:p>
    <w:p>
      <w:pPr>
        <w:spacing w:line="240" w:lineRule="atLeast"/>
        <w:ind w:firstLine="4515" w:firstLineChars="2150"/>
        <w:rPr>
          <w:rFonts w:cs="金山简魏碑" w:asciiTheme="minorEastAsia" w:hAnsiTheme="minorEastAsia" w:eastAsiaTheme="minorEastAsia"/>
          <w:color w:val="auto"/>
          <w:highlight w:val="none"/>
        </w:rPr>
      </w:pPr>
    </w:p>
    <w:p>
      <w:pPr>
        <w:spacing w:line="240" w:lineRule="atLeast"/>
        <w:ind w:firstLine="4515" w:firstLineChars="2150"/>
        <w:rPr>
          <w:rFonts w:cs="金山简魏碑" w:asciiTheme="minorEastAsia" w:hAnsiTheme="minorEastAsia" w:eastAsiaTheme="minorEastAsia"/>
          <w:color w:val="auto"/>
          <w:highlight w:val="none"/>
        </w:rPr>
      </w:pPr>
    </w:p>
    <w:p>
      <w:pPr>
        <w:spacing w:line="240" w:lineRule="atLeast"/>
        <w:ind w:firstLine="4515" w:firstLineChars="2150"/>
        <w:rPr>
          <w:rFonts w:cs="金山简魏碑" w:asciiTheme="minorEastAsia" w:hAnsiTheme="minorEastAsia" w:eastAsiaTheme="minorEastAsia"/>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Times New Roman" w:hAnsi="Times New Roman" w:eastAsia="仿宋_GB2312"/>
          <w:color w:val="auto"/>
          <w:highlight w:val="none"/>
        </w:rPr>
      </w:pPr>
    </w:p>
    <w:p>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附</w:t>
      </w:r>
      <w:bookmarkStart w:id="597" w:name="_Toc296891056"/>
      <w:bookmarkStart w:id="598" w:name="_Toc296347227"/>
      <w:bookmarkStart w:id="599" w:name="_Toc296891268"/>
      <w:bookmarkStart w:id="600" w:name="_Toc296944567"/>
      <w:bookmarkStart w:id="601" w:name="_Toc296346729"/>
      <w:bookmarkStart w:id="602" w:name="_Toc267261699"/>
      <w:bookmarkStart w:id="603" w:name="_Toc296503228"/>
      <w:r>
        <w:rPr>
          <w:rFonts w:hint="eastAsia" w:ascii="宋体" w:hAnsi="宋体" w:cs="宋体"/>
          <w:color w:val="auto"/>
          <w:sz w:val="24"/>
          <w:szCs w:val="24"/>
          <w:highlight w:val="none"/>
        </w:rPr>
        <w:t>件5：</w:t>
      </w:r>
    </w:p>
    <w:bookmarkEnd w:id="597"/>
    <w:bookmarkEnd w:id="598"/>
    <w:bookmarkEnd w:id="599"/>
    <w:bookmarkEnd w:id="600"/>
    <w:bookmarkEnd w:id="601"/>
    <w:bookmarkEnd w:id="602"/>
    <w:bookmarkEnd w:id="603"/>
    <w:p>
      <w:pPr>
        <w:spacing w:before="156" w:beforeLines="50" w:after="156" w:afterLines="50"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承包人主要施工管理人员表</w:t>
      </w:r>
    </w:p>
    <w:tbl>
      <w:tblPr>
        <w:tblStyle w:val="41"/>
        <w:tblW w:w="92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73"/>
        <w:gridCol w:w="1344"/>
        <w:gridCol w:w="1075"/>
        <w:gridCol w:w="1075"/>
        <w:gridCol w:w="40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73" w:type="dxa"/>
            <w:tcBorders>
              <w:top w:val="single" w:color="auto" w:sz="12" w:space="0"/>
              <w:bottom w:val="doub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名    称</w:t>
            </w:r>
          </w:p>
        </w:tc>
        <w:tc>
          <w:tcPr>
            <w:tcW w:w="1344" w:type="dxa"/>
            <w:tcBorders>
              <w:top w:val="single" w:color="auto" w:sz="12" w:space="0"/>
              <w:bottom w:val="doub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075" w:type="dxa"/>
            <w:tcBorders>
              <w:top w:val="single" w:color="auto" w:sz="12" w:space="0"/>
              <w:bottom w:val="doub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1075" w:type="dxa"/>
            <w:tcBorders>
              <w:top w:val="single" w:color="auto" w:sz="12" w:space="0"/>
              <w:bottom w:val="doub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4031" w:type="dxa"/>
            <w:tcBorders>
              <w:top w:val="single" w:color="auto" w:sz="12" w:space="0"/>
              <w:bottom w:val="doub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8" w:hRule="atLeast"/>
          <w:jc w:val="center"/>
        </w:trPr>
        <w:tc>
          <w:tcPr>
            <w:tcW w:w="9298" w:type="dxa"/>
            <w:gridSpan w:val="5"/>
            <w:tcBorders>
              <w:top w:val="double" w:color="auto" w:sz="6" w:space="0"/>
              <w:bottom w:val="sing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项目主管</w:t>
            </w:r>
          </w:p>
        </w:tc>
        <w:tc>
          <w:tcPr>
            <w:tcW w:w="1344" w:type="dxa"/>
            <w:tcBorders>
              <w:top w:val="nil"/>
              <w:left w:val="single" w:color="auto" w:sz="4" w:space="0"/>
            </w:tcBorders>
            <w:vAlign w:val="center"/>
          </w:tcPr>
          <w:p>
            <w:pPr>
              <w:pStyle w:val="17"/>
              <w:keepNext/>
              <w:spacing w:line="240" w:lineRule="atLeast"/>
              <w:ind w:left="63" w:right="63"/>
              <w:rPr>
                <w:rFonts w:ascii="宋体" w:hAnsi="宋体" w:cs="宋体"/>
                <w:color w:val="auto"/>
                <w:sz w:val="24"/>
                <w:szCs w:val="24"/>
                <w:highlight w:val="none"/>
              </w:rPr>
            </w:pPr>
          </w:p>
        </w:tc>
        <w:tc>
          <w:tcPr>
            <w:tcW w:w="1075" w:type="dxa"/>
            <w:tcBorders>
              <w:top w:val="nil"/>
            </w:tcBorders>
            <w:vAlign w:val="center"/>
          </w:tcPr>
          <w:p>
            <w:pPr>
              <w:pStyle w:val="17"/>
              <w:keepNext/>
              <w:spacing w:line="240" w:lineRule="atLeast"/>
              <w:ind w:left="63" w:right="63"/>
              <w:rPr>
                <w:rFonts w:ascii="宋体" w:hAnsi="宋体" w:cs="宋体"/>
                <w:color w:val="auto"/>
                <w:sz w:val="24"/>
                <w:szCs w:val="24"/>
                <w:highlight w:val="none"/>
              </w:rPr>
            </w:pPr>
          </w:p>
        </w:tc>
        <w:tc>
          <w:tcPr>
            <w:tcW w:w="1075" w:type="dxa"/>
            <w:tcBorders>
              <w:top w:val="nil"/>
            </w:tcBorders>
            <w:vAlign w:val="center"/>
          </w:tcPr>
          <w:p>
            <w:pPr>
              <w:pStyle w:val="17"/>
              <w:keepNext/>
              <w:spacing w:line="240" w:lineRule="atLeast"/>
              <w:ind w:left="63" w:right="63"/>
              <w:rPr>
                <w:rFonts w:ascii="宋体" w:hAnsi="宋体" w:cs="宋体"/>
                <w:color w:val="auto"/>
                <w:sz w:val="24"/>
                <w:szCs w:val="24"/>
                <w:highlight w:val="none"/>
              </w:rPr>
            </w:pPr>
          </w:p>
        </w:tc>
        <w:tc>
          <w:tcPr>
            <w:tcW w:w="4031" w:type="dxa"/>
            <w:tcBorders>
              <w:top w:val="nil"/>
            </w:tcBorders>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pStyle w:val="17"/>
              <w:keepNext/>
              <w:spacing w:line="240" w:lineRule="atLeast"/>
              <w:ind w:left="63" w:right="63"/>
              <w:rPr>
                <w:rFonts w:ascii="宋体" w:hAnsi="宋体" w:cs="宋体"/>
                <w:color w:val="auto"/>
                <w:sz w:val="24"/>
                <w:szCs w:val="24"/>
                <w:highlight w:val="none"/>
              </w:rPr>
            </w:pPr>
          </w:p>
        </w:tc>
        <w:tc>
          <w:tcPr>
            <w:tcW w:w="1344" w:type="dxa"/>
            <w:tcBorders>
              <w:left w:val="single" w:color="auto" w:sz="4" w:space="0"/>
            </w:tcBorders>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344" w:type="dxa"/>
            <w:tcBorders>
              <w:left w:val="single" w:color="auto" w:sz="4" w:space="0"/>
            </w:tcBorders>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pStyle w:val="17"/>
              <w:keepNext/>
              <w:spacing w:line="240" w:lineRule="atLeast"/>
              <w:ind w:left="63" w:right="63"/>
              <w:rPr>
                <w:rFonts w:ascii="宋体" w:hAnsi="宋体" w:cs="宋体"/>
                <w:color w:val="auto"/>
                <w:sz w:val="24"/>
                <w:szCs w:val="24"/>
                <w:highlight w:val="none"/>
              </w:rPr>
            </w:pPr>
          </w:p>
        </w:tc>
        <w:tc>
          <w:tcPr>
            <w:tcW w:w="1344" w:type="dxa"/>
            <w:tcBorders>
              <w:left w:val="single" w:color="auto" w:sz="4" w:space="0"/>
            </w:tcBorders>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298" w:type="dxa"/>
            <w:gridSpan w:val="5"/>
            <w:tcBorders>
              <w:top w:val="single" w:color="auto" w:sz="6" w:space="0"/>
              <w:bottom w:val="sing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tcBorders>
              <w:top w:val="single" w:color="auto" w:sz="6" w:space="0"/>
              <w:bottom w:val="sing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344"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tcBorders>
              <w:top w:val="single" w:color="auto" w:sz="6" w:space="0"/>
              <w:bottom w:val="sing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项目副经理</w:t>
            </w:r>
          </w:p>
        </w:tc>
        <w:tc>
          <w:tcPr>
            <w:tcW w:w="1344"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tcBorders>
              <w:top w:val="single" w:color="auto" w:sz="6" w:space="0"/>
              <w:bottom w:val="sing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344"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tcBorders>
              <w:top w:val="single" w:color="auto" w:sz="6" w:space="0"/>
              <w:bottom w:val="sing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造价管理</w:t>
            </w:r>
          </w:p>
        </w:tc>
        <w:tc>
          <w:tcPr>
            <w:tcW w:w="1344"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tcBorders>
              <w:top w:val="single" w:color="auto" w:sz="6" w:space="0"/>
              <w:bottom w:val="sing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质量管理</w:t>
            </w:r>
          </w:p>
        </w:tc>
        <w:tc>
          <w:tcPr>
            <w:tcW w:w="1344"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tcBorders>
              <w:top w:val="single" w:color="auto" w:sz="6" w:space="0"/>
              <w:bottom w:val="sing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材料管理</w:t>
            </w:r>
          </w:p>
        </w:tc>
        <w:tc>
          <w:tcPr>
            <w:tcW w:w="1344"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tcBorders>
              <w:top w:val="single" w:color="auto" w:sz="6" w:space="0"/>
              <w:bottom w:val="sing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计划管理</w:t>
            </w:r>
          </w:p>
        </w:tc>
        <w:tc>
          <w:tcPr>
            <w:tcW w:w="1344"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tcBorders>
              <w:top w:val="single" w:color="auto" w:sz="6" w:space="0"/>
              <w:bottom w:val="sing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安全管理</w:t>
            </w:r>
          </w:p>
        </w:tc>
        <w:tc>
          <w:tcPr>
            <w:tcW w:w="1344"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vMerge w:val="restart"/>
            <w:tcBorders>
              <w:top w:val="single" w:color="auto" w:sz="6" w:space="0"/>
            </w:tcBorders>
            <w:vAlign w:val="center"/>
          </w:tcPr>
          <w:p>
            <w:pPr>
              <w:pStyle w:val="17"/>
              <w:keepNext/>
              <w:spacing w:line="240" w:lineRule="atLeast"/>
              <w:ind w:left="63" w:right="63"/>
              <w:rPr>
                <w:rFonts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344"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vMerge w:val="continue"/>
            <w:vAlign w:val="center"/>
          </w:tcPr>
          <w:p>
            <w:pPr>
              <w:pStyle w:val="17"/>
              <w:keepNext/>
              <w:spacing w:line="240" w:lineRule="atLeast"/>
              <w:ind w:left="63" w:right="63"/>
              <w:rPr>
                <w:rFonts w:ascii="宋体" w:hAnsi="宋体" w:cs="宋体"/>
                <w:color w:val="auto"/>
                <w:sz w:val="24"/>
                <w:szCs w:val="24"/>
                <w:highlight w:val="none"/>
              </w:rPr>
            </w:pPr>
          </w:p>
        </w:tc>
        <w:tc>
          <w:tcPr>
            <w:tcW w:w="1344" w:type="dxa"/>
            <w:tcBorders>
              <w:bottom w:val="nil"/>
            </w:tcBorders>
            <w:vAlign w:val="center"/>
          </w:tcPr>
          <w:p>
            <w:pPr>
              <w:pStyle w:val="17"/>
              <w:keepNext/>
              <w:spacing w:line="240" w:lineRule="atLeast"/>
              <w:ind w:left="63" w:right="63"/>
              <w:rPr>
                <w:rFonts w:ascii="宋体" w:hAnsi="宋体" w:cs="宋体"/>
                <w:color w:val="auto"/>
                <w:sz w:val="24"/>
                <w:szCs w:val="24"/>
                <w:highlight w:val="none"/>
              </w:rPr>
            </w:pPr>
          </w:p>
        </w:tc>
        <w:tc>
          <w:tcPr>
            <w:tcW w:w="1075" w:type="dxa"/>
            <w:tcBorders>
              <w:bottom w:val="nil"/>
            </w:tcBorders>
            <w:vAlign w:val="center"/>
          </w:tcPr>
          <w:p>
            <w:pPr>
              <w:pStyle w:val="17"/>
              <w:keepNext/>
              <w:spacing w:line="240" w:lineRule="atLeast"/>
              <w:ind w:left="63" w:right="63"/>
              <w:rPr>
                <w:rFonts w:ascii="宋体" w:hAnsi="宋体" w:cs="宋体"/>
                <w:color w:val="auto"/>
                <w:sz w:val="24"/>
                <w:szCs w:val="24"/>
                <w:highlight w:val="none"/>
              </w:rPr>
            </w:pPr>
          </w:p>
        </w:tc>
        <w:tc>
          <w:tcPr>
            <w:tcW w:w="1075" w:type="dxa"/>
            <w:tcBorders>
              <w:bottom w:val="nil"/>
            </w:tcBorders>
            <w:vAlign w:val="center"/>
          </w:tcPr>
          <w:p>
            <w:pPr>
              <w:pStyle w:val="17"/>
              <w:keepNext/>
              <w:spacing w:line="240" w:lineRule="atLeast"/>
              <w:ind w:left="63" w:right="63"/>
              <w:rPr>
                <w:rFonts w:ascii="宋体" w:hAnsi="宋体" w:cs="宋体"/>
                <w:color w:val="auto"/>
                <w:sz w:val="24"/>
                <w:szCs w:val="24"/>
                <w:highlight w:val="none"/>
              </w:rPr>
            </w:pPr>
          </w:p>
        </w:tc>
        <w:tc>
          <w:tcPr>
            <w:tcW w:w="4031" w:type="dxa"/>
            <w:tcBorders>
              <w:bottom w:val="nil"/>
            </w:tcBorders>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vMerge w:val="continue"/>
            <w:vAlign w:val="center"/>
          </w:tcPr>
          <w:p>
            <w:pPr>
              <w:pStyle w:val="17"/>
              <w:keepNext/>
              <w:spacing w:line="240" w:lineRule="atLeast"/>
              <w:ind w:left="63" w:right="63"/>
              <w:rPr>
                <w:rFonts w:ascii="宋体" w:hAnsi="宋体" w:cs="宋体"/>
                <w:color w:val="auto"/>
                <w:sz w:val="24"/>
                <w:szCs w:val="24"/>
                <w:highlight w:val="none"/>
              </w:rPr>
            </w:pPr>
          </w:p>
        </w:tc>
        <w:tc>
          <w:tcPr>
            <w:tcW w:w="1344"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vMerge w:val="continue"/>
            <w:vAlign w:val="center"/>
          </w:tcPr>
          <w:p>
            <w:pPr>
              <w:pStyle w:val="17"/>
              <w:keepNext/>
              <w:spacing w:line="240" w:lineRule="atLeast"/>
              <w:ind w:left="63" w:right="63"/>
              <w:rPr>
                <w:rFonts w:ascii="宋体" w:hAnsi="宋体" w:cs="宋体"/>
                <w:color w:val="auto"/>
                <w:sz w:val="24"/>
                <w:szCs w:val="24"/>
                <w:highlight w:val="none"/>
              </w:rPr>
            </w:pPr>
          </w:p>
        </w:tc>
        <w:tc>
          <w:tcPr>
            <w:tcW w:w="1344"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73" w:type="dxa"/>
            <w:vMerge w:val="continue"/>
            <w:vAlign w:val="center"/>
          </w:tcPr>
          <w:p>
            <w:pPr>
              <w:pStyle w:val="17"/>
              <w:keepNext/>
              <w:spacing w:line="240" w:lineRule="atLeast"/>
              <w:ind w:left="63" w:right="63"/>
              <w:rPr>
                <w:rFonts w:ascii="宋体" w:hAnsi="宋体" w:cs="宋体"/>
                <w:color w:val="auto"/>
                <w:sz w:val="24"/>
                <w:szCs w:val="24"/>
                <w:highlight w:val="none"/>
              </w:rPr>
            </w:pPr>
          </w:p>
        </w:tc>
        <w:tc>
          <w:tcPr>
            <w:tcW w:w="1344"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1075" w:type="dxa"/>
            <w:vAlign w:val="center"/>
          </w:tcPr>
          <w:p>
            <w:pPr>
              <w:pStyle w:val="17"/>
              <w:keepNext/>
              <w:spacing w:line="240" w:lineRule="atLeast"/>
              <w:ind w:left="63" w:right="63"/>
              <w:rPr>
                <w:rFonts w:ascii="宋体" w:hAnsi="宋体" w:cs="宋体"/>
                <w:color w:val="auto"/>
                <w:sz w:val="24"/>
                <w:szCs w:val="24"/>
                <w:highlight w:val="none"/>
              </w:rPr>
            </w:pPr>
          </w:p>
        </w:tc>
        <w:tc>
          <w:tcPr>
            <w:tcW w:w="4031" w:type="dxa"/>
            <w:vAlign w:val="center"/>
          </w:tcPr>
          <w:p>
            <w:pPr>
              <w:pStyle w:val="17"/>
              <w:keepNext/>
              <w:spacing w:line="240" w:lineRule="atLeast"/>
              <w:ind w:left="63" w:right="63"/>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8" w:hRule="atLeast"/>
          <w:jc w:val="center"/>
        </w:trPr>
        <w:tc>
          <w:tcPr>
            <w:tcW w:w="1773" w:type="dxa"/>
            <w:vMerge w:val="continue"/>
            <w:tcBorders>
              <w:bottom w:val="single" w:color="auto" w:sz="12" w:space="0"/>
            </w:tcBorders>
            <w:vAlign w:val="center"/>
          </w:tcPr>
          <w:p>
            <w:pPr>
              <w:pStyle w:val="17"/>
              <w:keepNext/>
              <w:spacing w:line="240" w:lineRule="atLeast"/>
              <w:ind w:left="63" w:right="63"/>
              <w:rPr>
                <w:rFonts w:ascii="宋体" w:hAnsi="宋体" w:cs="宋体"/>
                <w:color w:val="auto"/>
                <w:sz w:val="24"/>
                <w:szCs w:val="24"/>
                <w:highlight w:val="none"/>
              </w:rPr>
            </w:pPr>
          </w:p>
        </w:tc>
        <w:tc>
          <w:tcPr>
            <w:tcW w:w="1344" w:type="dxa"/>
            <w:tcBorders>
              <w:bottom w:val="single" w:color="auto" w:sz="12" w:space="0"/>
            </w:tcBorders>
            <w:vAlign w:val="center"/>
          </w:tcPr>
          <w:p>
            <w:pPr>
              <w:pStyle w:val="17"/>
              <w:keepNext/>
              <w:spacing w:line="240" w:lineRule="atLeast"/>
              <w:ind w:left="63" w:right="63"/>
              <w:rPr>
                <w:rFonts w:ascii="宋体" w:hAnsi="宋体" w:cs="宋体"/>
                <w:color w:val="auto"/>
                <w:sz w:val="24"/>
                <w:szCs w:val="24"/>
                <w:highlight w:val="none"/>
              </w:rPr>
            </w:pPr>
          </w:p>
        </w:tc>
        <w:tc>
          <w:tcPr>
            <w:tcW w:w="1075" w:type="dxa"/>
            <w:tcBorders>
              <w:bottom w:val="single" w:color="auto" w:sz="12" w:space="0"/>
            </w:tcBorders>
            <w:vAlign w:val="center"/>
          </w:tcPr>
          <w:p>
            <w:pPr>
              <w:pStyle w:val="17"/>
              <w:keepNext/>
              <w:spacing w:line="240" w:lineRule="atLeast"/>
              <w:ind w:left="63" w:right="63"/>
              <w:rPr>
                <w:rFonts w:ascii="宋体" w:hAnsi="宋体" w:cs="宋体"/>
                <w:color w:val="auto"/>
                <w:sz w:val="24"/>
                <w:szCs w:val="24"/>
                <w:highlight w:val="none"/>
              </w:rPr>
            </w:pPr>
          </w:p>
        </w:tc>
        <w:tc>
          <w:tcPr>
            <w:tcW w:w="1075" w:type="dxa"/>
            <w:tcBorders>
              <w:bottom w:val="single" w:color="auto" w:sz="12" w:space="0"/>
            </w:tcBorders>
            <w:vAlign w:val="center"/>
          </w:tcPr>
          <w:p>
            <w:pPr>
              <w:pStyle w:val="17"/>
              <w:keepNext/>
              <w:spacing w:line="240" w:lineRule="atLeast"/>
              <w:ind w:left="63" w:right="63"/>
              <w:rPr>
                <w:rFonts w:ascii="宋体" w:hAnsi="宋体" w:cs="宋体"/>
                <w:color w:val="auto"/>
                <w:sz w:val="24"/>
                <w:szCs w:val="24"/>
                <w:highlight w:val="none"/>
              </w:rPr>
            </w:pPr>
          </w:p>
        </w:tc>
        <w:tc>
          <w:tcPr>
            <w:tcW w:w="4031" w:type="dxa"/>
            <w:tcBorders>
              <w:bottom w:val="single" w:color="auto" w:sz="12" w:space="0"/>
            </w:tcBorders>
            <w:vAlign w:val="center"/>
          </w:tcPr>
          <w:p>
            <w:pPr>
              <w:pStyle w:val="17"/>
              <w:keepNext/>
              <w:spacing w:line="240" w:lineRule="atLeast"/>
              <w:ind w:left="63" w:right="63"/>
              <w:rPr>
                <w:rFonts w:ascii="宋体" w:hAnsi="宋体" w:cs="宋体"/>
                <w:color w:val="auto"/>
                <w:sz w:val="24"/>
                <w:szCs w:val="24"/>
                <w:highlight w:val="none"/>
              </w:rPr>
            </w:pPr>
          </w:p>
        </w:tc>
      </w:tr>
    </w:tbl>
    <w:p>
      <w:pPr>
        <w:spacing w:line="400" w:lineRule="exact"/>
        <w:rPr>
          <w:rFonts w:eastAsia="仿宋_GB2312"/>
          <w:b/>
        </w:rPr>
      </w:pPr>
    </w:p>
    <w:p>
      <w:pPr>
        <w:jc w:val="center"/>
        <w:rPr>
          <w:rFonts w:hint="eastAsia" w:ascii="微软雅黑" w:hAnsi="微软雅黑" w:eastAsia="微软雅黑" w:cs="微软雅黑"/>
          <w:bCs/>
          <w:sz w:val="32"/>
          <w:szCs w:val="32"/>
          <w:lang w:val="zh-CN"/>
        </w:rPr>
      </w:pPr>
    </w:p>
    <w:p>
      <w:pPr>
        <w:jc w:val="center"/>
        <w:rPr>
          <w:rFonts w:hint="eastAsia" w:ascii="微软雅黑" w:hAnsi="微软雅黑" w:eastAsia="微软雅黑" w:cs="微软雅黑"/>
          <w:bCs/>
          <w:sz w:val="32"/>
          <w:szCs w:val="32"/>
          <w:lang w:val="zh-CN"/>
        </w:rPr>
      </w:pPr>
    </w:p>
    <w:p>
      <w:pPr>
        <w:jc w:val="center"/>
        <w:rPr>
          <w:rFonts w:hint="eastAsia" w:ascii="微软雅黑" w:hAnsi="微软雅黑" w:eastAsia="微软雅黑" w:cs="微软雅黑"/>
          <w:bCs/>
          <w:sz w:val="32"/>
          <w:szCs w:val="32"/>
          <w:lang w:val="zh-CN"/>
        </w:rPr>
      </w:pPr>
    </w:p>
    <w:p>
      <w:pPr>
        <w:jc w:val="center"/>
        <w:rPr>
          <w:rFonts w:hint="eastAsia" w:ascii="微软雅黑" w:hAnsi="微软雅黑" w:eastAsia="微软雅黑" w:cs="微软雅黑"/>
          <w:bCs/>
          <w:sz w:val="32"/>
          <w:szCs w:val="32"/>
          <w:lang w:val="zh-CN"/>
        </w:rPr>
      </w:pPr>
    </w:p>
    <w:p>
      <w:pPr>
        <w:jc w:val="center"/>
        <w:rPr>
          <w:rFonts w:eastAsia="黑体"/>
          <w:sz w:val="32"/>
          <w:szCs w:val="32"/>
        </w:rPr>
      </w:pPr>
      <w:r>
        <w:rPr>
          <w:rFonts w:hint="eastAsia" w:ascii="微软雅黑" w:hAnsi="微软雅黑" w:eastAsia="微软雅黑" w:cs="微软雅黑"/>
          <w:bCs/>
          <w:sz w:val="32"/>
          <w:szCs w:val="32"/>
          <w:lang w:val="zh-CN"/>
        </w:rPr>
        <w:t>第六章</w:t>
      </w:r>
      <w:bookmarkEnd w:id="45"/>
      <w:bookmarkEnd w:id="46"/>
      <w:bookmarkStart w:id="604" w:name="_Toc26539"/>
      <w:bookmarkStart w:id="605" w:name="_Toc479586165"/>
      <w:r>
        <w:rPr>
          <w:rFonts w:hint="eastAsia" w:ascii="微软雅黑" w:hAnsi="微软雅黑" w:eastAsia="微软雅黑" w:cs="微软雅黑"/>
          <w:bCs/>
          <w:sz w:val="32"/>
          <w:szCs w:val="32"/>
        </w:rPr>
        <w:t xml:space="preserve"> </w:t>
      </w:r>
      <w:r>
        <w:rPr>
          <w:rFonts w:hint="eastAsia" w:ascii="微软雅黑" w:hAnsi="微软雅黑" w:eastAsia="微软雅黑" w:cs="微软雅黑"/>
          <w:bCs/>
          <w:sz w:val="32"/>
          <w:szCs w:val="32"/>
          <w:lang w:val="zh-CN"/>
        </w:rPr>
        <w:t>磋商响应文件格式</w:t>
      </w:r>
    </w:p>
    <w:p>
      <w:pPr>
        <w:jc w:val="center"/>
        <w:rPr>
          <w:rFonts w:eastAsia="黑体"/>
          <w:sz w:val="28"/>
          <w:szCs w:val="28"/>
        </w:rPr>
      </w:pPr>
    </w:p>
    <w:p>
      <w:pPr>
        <w:ind w:left="6300" w:leftChars="3000"/>
        <w:jc w:val="center"/>
        <w:rPr>
          <w:rFonts w:eastAsia="黑体"/>
          <w:sz w:val="28"/>
          <w:szCs w:val="28"/>
        </w:rPr>
      </w:pPr>
      <w:r>
        <w:rPr>
          <w:rFonts w:hint="eastAsia" w:eastAsia="黑体"/>
          <w:sz w:val="28"/>
          <w:szCs w:val="28"/>
        </w:rPr>
        <w:t>正本（副本）</w:t>
      </w:r>
    </w:p>
    <w:p>
      <w:pPr>
        <w:jc w:val="center"/>
        <w:rPr>
          <w:rFonts w:eastAsia="黑体"/>
          <w:sz w:val="28"/>
          <w:szCs w:val="28"/>
        </w:rPr>
      </w:pPr>
    </w:p>
    <w:p>
      <w:pPr>
        <w:jc w:val="center"/>
        <w:rPr>
          <w:rFonts w:eastAsia="黑体"/>
          <w:sz w:val="20"/>
          <w:szCs w:val="20"/>
        </w:rPr>
      </w:pPr>
      <w:r>
        <w:rPr>
          <w:rFonts w:hint="eastAsia" w:eastAsia="黑体"/>
          <w:sz w:val="28"/>
          <w:szCs w:val="28"/>
        </w:rPr>
        <w:t>（项目名称）</w:t>
      </w:r>
    </w:p>
    <w:p>
      <w:pPr>
        <w:jc w:val="center"/>
        <w:rPr>
          <w:rFonts w:eastAsia="黑体"/>
          <w:sz w:val="20"/>
          <w:szCs w:val="20"/>
        </w:rPr>
      </w:pPr>
    </w:p>
    <w:p>
      <w:pPr>
        <w:jc w:val="center"/>
        <w:rPr>
          <w:rFonts w:eastAsia="黑体"/>
          <w:sz w:val="20"/>
          <w:szCs w:val="20"/>
        </w:rPr>
      </w:pPr>
    </w:p>
    <w:p>
      <w:pPr>
        <w:jc w:val="center"/>
        <w:rPr>
          <w:rFonts w:eastAsia="黑体"/>
          <w:sz w:val="44"/>
          <w:szCs w:val="44"/>
        </w:rPr>
      </w:pPr>
      <w:r>
        <w:rPr>
          <w:rFonts w:hint="eastAsia" w:eastAsia="黑体"/>
          <w:sz w:val="44"/>
          <w:szCs w:val="44"/>
        </w:rPr>
        <w:t>响应文件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pStyle w:val="7"/>
      </w:pPr>
    </w:p>
    <w:p>
      <w:pPr>
        <w:jc w:val="center"/>
        <w:rPr>
          <w:rFonts w:eastAsia="黑体"/>
          <w:sz w:val="28"/>
          <w:szCs w:val="28"/>
          <w:u w:val="single"/>
        </w:rPr>
      </w:pPr>
      <w:r>
        <w:rPr>
          <w:rFonts w:hint="eastAsia" w:eastAsia="黑体"/>
          <w:sz w:val="28"/>
          <w:szCs w:val="28"/>
        </w:rPr>
        <w:t>供应商：（盖单位章）</w:t>
      </w:r>
    </w:p>
    <w:p>
      <w:pPr>
        <w:jc w:val="center"/>
        <w:rPr>
          <w:rFonts w:eastAsia="黑体"/>
          <w:sz w:val="28"/>
          <w:szCs w:val="28"/>
        </w:rPr>
      </w:pPr>
      <w:r>
        <w:rPr>
          <w:rFonts w:hint="eastAsia" w:eastAsia="黑体"/>
          <w:sz w:val="28"/>
          <w:szCs w:val="28"/>
        </w:rPr>
        <w:t>法定代表人或其委托代理人：（签字）</w:t>
      </w:r>
    </w:p>
    <w:p>
      <w:pPr>
        <w:jc w:val="center"/>
        <w:rPr>
          <w:rFonts w:eastAsia="黑体"/>
          <w:sz w:val="20"/>
          <w:szCs w:val="20"/>
        </w:rPr>
      </w:pPr>
      <w:r>
        <w:rPr>
          <w:rFonts w:hint="eastAsia" w:eastAsia="黑体"/>
          <w:sz w:val="28"/>
          <w:szCs w:val="28"/>
        </w:rPr>
        <w:t>年   月   日</w:t>
      </w:r>
    </w:p>
    <w:p>
      <w:pPr>
        <w:pStyle w:val="3"/>
        <w:spacing w:before="240" w:after="240" w:line="420" w:lineRule="exact"/>
        <w:rPr>
          <w:rFonts w:ascii="微软雅黑" w:hAnsi="微软雅黑" w:eastAsia="微软雅黑" w:cs="微软雅黑"/>
          <w:sz w:val="21"/>
          <w:szCs w:val="21"/>
        </w:rPr>
      </w:pPr>
    </w:p>
    <w:p>
      <w:pPr>
        <w:autoSpaceDE w:val="0"/>
        <w:autoSpaceDN w:val="0"/>
        <w:adjustRightInd w:val="0"/>
        <w:spacing w:line="460" w:lineRule="exact"/>
        <w:jc w:val="center"/>
        <w:outlineLvl w:val="0"/>
        <w:rPr>
          <w:rFonts w:ascii="微软雅黑" w:hAnsi="微软雅黑" w:eastAsia="微软雅黑" w:cs="微软雅黑"/>
          <w:bCs/>
          <w:sz w:val="36"/>
          <w:szCs w:val="36"/>
          <w:lang w:val="zh-CN"/>
        </w:rPr>
      </w:pPr>
    </w:p>
    <w:p>
      <w:pPr>
        <w:autoSpaceDE w:val="0"/>
        <w:autoSpaceDN w:val="0"/>
        <w:adjustRightInd w:val="0"/>
        <w:spacing w:line="460" w:lineRule="exact"/>
        <w:jc w:val="center"/>
        <w:outlineLvl w:val="0"/>
        <w:rPr>
          <w:rFonts w:ascii="微软雅黑" w:hAnsi="微软雅黑" w:eastAsia="微软雅黑" w:cs="微软雅黑"/>
          <w:bCs/>
          <w:sz w:val="36"/>
          <w:szCs w:val="36"/>
          <w:lang w:val="zh-CN"/>
        </w:rPr>
      </w:pPr>
    </w:p>
    <w:p>
      <w:pPr>
        <w:pStyle w:val="3"/>
        <w:spacing w:before="240" w:after="240" w:line="460" w:lineRule="exact"/>
        <w:rPr>
          <w:rFonts w:hint="eastAsia" w:ascii="宋体" w:hAnsi="宋体" w:eastAsia="宋体" w:cs="宋体"/>
          <w:sz w:val="21"/>
          <w:szCs w:val="21"/>
        </w:rPr>
      </w:pPr>
      <w:r>
        <w:rPr>
          <w:rFonts w:hint="eastAsia" w:ascii="宋体" w:hAnsi="宋体" w:eastAsia="宋体" w:cs="宋体"/>
          <w:sz w:val="21"/>
          <w:szCs w:val="21"/>
        </w:rPr>
        <w:t>附件一：磋商申请及声明格式</w:t>
      </w:r>
      <w:bookmarkEnd w:id="604"/>
      <w:bookmarkEnd w:id="605"/>
    </w:p>
    <w:p>
      <w:pPr>
        <w:pStyle w:val="3"/>
        <w:spacing w:before="240" w:after="240" w:line="460" w:lineRule="exact"/>
        <w:jc w:val="center"/>
        <w:rPr>
          <w:rFonts w:hint="eastAsia" w:ascii="宋体" w:hAnsi="宋体" w:eastAsia="宋体" w:cs="宋体"/>
          <w:sz w:val="21"/>
          <w:szCs w:val="21"/>
        </w:rPr>
      </w:pPr>
      <w:r>
        <w:rPr>
          <w:rFonts w:hint="eastAsia" w:ascii="宋体" w:hAnsi="宋体" w:eastAsia="宋体" w:cs="宋体"/>
          <w:sz w:val="21"/>
          <w:szCs w:val="21"/>
        </w:rPr>
        <w:t>磋商申请及声明</w:t>
      </w:r>
    </w:p>
    <w:p>
      <w:pPr>
        <w:autoSpaceDE w:val="0"/>
        <w:autoSpaceDN w:val="0"/>
        <w:adjustRightInd w:val="0"/>
        <w:spacing w:line="460" w:lineRule="exact"/>
        <w:rPr>
          <w:rFonts w:hint="eastAsia" w:ascii="宋体" w:hAnsi="宋体" w:eastAsia="宋体" w:cs="宋体"/>
          <w:sz w:val="21"/>
          <w:szCs w:val="21"/>
          <w:lang w:eastAsia="zh-CN"/>
        </w:rPr>
      </w:pPr>
      <w:r>
        <w:rPr>
          <w:rFonts w:hint="eastAsia" w:ascii="宋体" w:hAnsi="宋体" w:eastAsia="宋体" w:cs="宋体"/>
          <w:sz w:val="21"/>
          <w:szCs w:val="21"/>
        </w:rPr>
        <w:t>致：</w:t>
      </w:r>
      <w:r>
        <w:rPr>
          <w:rFonts w:hint="eastAsia" w:ascii="宋体" w:hAnsi="宋体" w:eastAsia="宋体" w:cs="宋体"/>
          <w:sz w:val="21"/>
          <w:szCs w:val="21"/>
          <w:lang w:eastAsia="zh-CN"/>
        </w:rPr>
        <w:t>南京市栖霞区人民政府尧化办事处</w:t>
      </w:r>
    </w:p>
    <w:p>
      <w:pPr>
        <w:autoSpaceDE w:val="0"/>
        <w:autoSpaceDN w:val="0"/>
        <w:adjustRightInd w:val="0"/>
        <w:spacing w:line="460" w:lineRule="exact"/>
        <w:ind w:firstLine="420"/>
        <w:rPr>
          <w:rFonts w:hint="eastAsia" w:ascii="宋体" w:hAnsi="宋体" w:eastAsia="宋体" w:cs="宋体"/>
          <w:sz w:val="21"/>
          <w:szCs w:val="21"/>
        </w:rPr>
      </w:pPr>
      <w:r>
        <w:rPr>
          <w:rFonts w:hint="eastAsia" w:ascii="宋体" w:hAnsi="宋体" w:eastAsia="宋体" w:cs="宋体"/>
          <w:sz w:val="21"/>
          <w:szCs w:val="21"/>
        </w:rPr>
        <w:t>根据贵方</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lang w:val="zh-CN"/>
        </w:rPr>
        <w:t xml:space="preserve">（项目名称）  </w:t>
      </w:r>
      <w:r>
        <w:rPr>
          <w:rFonts w:hint="eastAsia" w:ascii="宋体" w:hAnsi="宋体" w:eastAsia="宋体" w:cs="宋体"/>
          <w:sz w:val="21"/>
          <w:szCs w:val="21"/>
        </w:rPr>
        <w:t>磋商邀请，正式授权下述签字人</w:t>
      </w:r>
      <w:r>
        <w:rPr>
          <w:rFonts w:hint="eastAsia" w:ascii="宋体" w:hAnsi="宋体" w:eastAsia="宋体" w:cs="宋体"/>
          <w:sz w:val="21"/>
          <w:szCs w:val="21"/>
          <w:u w:val="single"/>
        </w:rPr>
        <w:t xml:space="preserve">      </w:t>
      </w:r>
      <w:r>
        <w:rPr>
          <w:rFonts w:hint="eastAsia" w:ascii="宋体" w:hAnsi="宋体" w:eastAsia="宋体" w:cs="宋体"/>
          <w:sz w:val="21"/>
          <w:szCs w:val="21"/>
        </w:rPr>
        <w:t>(姓名和职务)代表</w:t>
      </w:r>
      <w:r>
        <w:rPr>
          <w:rFonts w:hint="eastAsia" w:ascii="宋体" w:hAnsi="宋体" w:eastAsia="宋体" w:cs="宋体"/>
          <w:sz w:val="21"/>
          <w:szCs w:val="21"/>
          <w:u w:val="single"/>
        </w:rPr>
        <w:t xml:space="preserve">      </w:t>
      </w:r>
      <w:r>
        <w:rPr>
          <w:rFonts w:hint="eastAsia" w:ascii="宋体" w:hAnsi="宋体" w:eastAsia="宋体" w:cs="宋体"/>
          <w:sz w:val="21"/>
          <w:szCs w:val="21"/>
        </w:rPr>
        <w:t>（供应商名称），提交响应文件并参加磋商。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据此函，签字人兹宣布同意如下：</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bCs/>
          <w:sz w:val="21"/>
          <w:szCs w:val="21"/>
        </w:rPr>
        <w:t>我们的资格条件完全符合政府采购法和本次采购要求</w:t>
      </w:r>
      <w:r>
        <w:rPr>
          <w:rFonts w:hint="eastAsia" w:ascii="宋体" w:hAnsi="宋体" w:eastAsia="宋体" w:cs="宋体"/>
          <w:sz w:val="21"/>
          <w:szCs w:val="21"/>
        </w:rPr>
        <w:t>，我们同意并向贵方提供了与本次采购活动有关的所有证据和资料。</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2、工程名称：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46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3、</w:t>
      </w:r>
      <w:r>
        <w:rPr>
          <w:rFonts w:hint="eastAsia" w:ascii="宋体" w:hAnsi="宋体" w:eastAsia="宋体" w:cs="宋体"/>
          <w:sz w:val="21"/>
          <w:szCs w:val="21"/>
          <w:lang w:val="zh-CN"/>
        </w:rPr>
        <w:t>按磋商要求，我们的投标总报价为（大写）</w:t>
      </w:r>
      <w:r>
        <w:rPr>
          <w:rFonts w:hint="eastAsia" w:ascii="宋体" w:hAnsi="宋体" w:eastAsia="宋体" w:cs="宋体"/>
          <w:sz w:val="21"/>
          <w:szCs w:val="21"/>
          <w:u w:val="single"/>
        </w:rPr>
        <w:t xml:space="preserve">           （￥       ）</w:t>
      </w:r>
      <w:r>
        <w:rPr>
          <w:rFonts w:hint="eastAsia" w:ascii="宋体" w:hAnsi="宋体" w:eastAsia="宋体" w:cs="宋体"/>
          <w:sz w:val="21"/>
          <w:szCs w:val="21"/>
          <w:lang w:val="zh-CN"/>
        </w:rPr>
        <w:t>人民币。</w:t>
      </w:r>
      <w:r>
        <w:rPr>
          <w:rFonts w:hint="eastAsia" w:ascii="宋体" w:hAnsi="宋体" w:eastAsia="宋体" w:cs="宋体"/>
          <w:sz w:val="21"/>
          <w:szCs w:val="21"/>
        </w:rPr>
        <w:t>项目经理为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4、我们已详细审核全部磋商文件及其有效补充文件，我们放弃对磋商文件任何误解的权利，提交响应文件后，</w:t>
      </w:r>
      <w:r>
        <w:rPr>
          <w:rFonts w:hint="eastAsia" w:ascii="宋体" w:hAnsi="宋体" w:eastAsia="宋体" w:cs="宋体"/>
          <w:b/>
          <w:bCs/>
          <w:sz w:val="21"/>
          <w:szCs w:val="21"/>
        </w:rPr>
        <w:t>不对磋商文件本身提出质疑</w:t>
      </w:r>
      <w:r>
        <w:rPr>
          <w:rFonts w:hint="eastAsia" w:ascii="宋体" w:hAnsi="宋体" w:eastAsia="宋体" w:cs="宋体"/>
          <w:sz w:val="21"/>
          <w:szCs w:val="21"/>
        </w:rPr>
        <w:t>。否则，属于不诚信和故意扰乱政府采购活动行为，我们将无条件接受处罚。</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5、一旦我方成交，我方将根据磋商文件的规定，严格履行合同，保证于</w:t>
      </w:r>
      <w:r>
        <w:rPr>
          <w:rFonts w:hint="eastAsia" w:ascii="宋体" w:hAnsi="宋体" w:eastAsia="宋体" w:cs="宋体"/>
          <w:sz w:val="21"/>
          <w:szCs w:val="21"/>
          <w:u w:val="single"/>
        </w:rPr>
        <w:t xml:space="preserve">       </w:t>
      </w:r>
      <w:r>
        <w:rPr>
          <w:rFonts w:hint="eastAsia" w:ascii="宋体" w:hAnsi="宋体" w:eastAsia="宋体" w:cs="宋体"/>
          <w:sz w:val="21"/>
          <w:szCs w:val="21"/>
        </w:rPr>
        <w:t>日历天的时间内完成本项目规定的施工内容。</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我方决不提供虚假材料谋取成交、决不采取不正当手段诋毁、排挤其他供应商、决不与采购人、其它供应商或者代理机构恶意串通、决不向采购人、代理机构工作人员和磋商小组进行商业贿赂、决不拒绝有关部门监督检查或提供虚假情况，如有违反，无条件接受贵方及相关管理部门的处罚。</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7、我方正式通讯方式为：</w:t>
      </w:r>
    </w:p>
    <w:p>
      <w:pPr>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地   址：</w:t>
      </w:r>
    </w:p>
    <w:p>
      <w:pPr>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电   话：</w:t>
      </w:r>
    </w:p>
    <w:p>
      <w:pPr>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传   真：</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8、我方正式开户银行和账号为：</w:t>
      </w:r>
    </w:p>
    <w:p>
      <w:pPr>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开户银行：</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账    号：</w:t>
      </w:r>
    </w:p>
    <w:p>
      <w:pPr>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供应商授权代表姓名（签字）：</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供应商名称（公章）：</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日    期：年月日</w:t>
      </w:r>
    </w:p>
    <w:p>
      <w:pPr>
        <w:jc w:val="left"/>
        <w:rPr>
          <w:rFonts w:hint="eastAsia" w:ascii="宋体" w:hAnsi="宋体" w:eastAsia="宋体" w:cs="宋体"/>
          <w:b/>
          <w:bCs/>
          <w:sz w:val="21"/>
          <w:szCs w:val="21"/>
        </w:rPr>
      </w:pPr>
    </w:p>
    <w:p>
      <w:pPr>
        <w:jc w:val="left"/>
        <w:rPr>
          <w:rFonts w:hint="eastAsia" w:ascii="宋体" w:hAnsi="宋体" w:eastAsia="宋体" w:cs="宋体"/>
          <w:b/>
          <w:kern w:val="0"/>
          <w:sz w:val="21"/>
          <w:szCs w:val="21"/>
          <w:lang w:val="zh-CN"/>
        </w:rPr>
      </w:pPr>
      <w:r>
        <w:rPr>
          <w:rFonts w:hint="eastAsia" w:ascii="宋体" w:hAnsi="宋体" w:eastAsia="宋体" w:cs="宋体"/>
          <w:b/>
          <w:bCs/>
          <w:sz w:val="21"/>
          <w:szCs w:val="21"/>
        </w:rPr>
        <w:t>附件二：</w:t>
      </w:r>
      <w:r>
        <w:rPr>
          <w:rFonts w:hint="eastAsia" w:ascii="宋体" w:hAnsi="宋体" w:eastAsia="宋体" w:cs="宋体"/>
          <w:b/>
          <w:kern w:val="0"/>
          <w:sz w:val="21"/>
          <w:szCs w:val="21"/>
        </w:rPr>
        <w:t>法定代表人证明书及</w:t>
      </w:r>
      <w:r>
        <w:rPr>
          <w:rFonts w:hint="eastAsia" w:ascii="宋体" w:hAnsi="宋体" w:eastAsia="宋体" w:cs="宋体"/>
          <w:b/>
          <w:kern w:val="0"/>
          <w:sz w:val="21"/>
          <w:szCs w:val="21"/>
          <w:lang w:val="zh-CN"/>
        </w:rPr>
        <w:t>法定代表人授权书格式</w:t>
      </w:r>
    </w:p>
    <w:p>
      <w:pPr>
        <w:pStyle w:val="22"/>
        <w:adjustRightInd w:val="0"/>
        <w:snapToGrid w:val="0"/>
        <w:spacing w:line="300" w:lineRule="auto"/>
        <w:ind w:firstLine="420" w:firstLineChars="200"/>
        <w:jc w:val="center"/>
        <w:rPr>
          <w:rFonts w:hint="eastAsia" w:ascii="宋体" w:hAnsi="宋体" w:eastAsia="宋体" w:cs="宋体"/>
          <w:kern w:val="0"/>
          <w:sz w:val="21"/>
          <w:szCs w:val="21"/>
        </w:rPr>
      </w:pPr>
      <w:r>
        <w:rPr>
          <w:rFonts w:hint="eastAsia" w:ascii="宋体" w:hAnsi="宋体" w:eastAsia="宋体" w:cs="宋体"/>
          <w:kern w:val="0"/>
          <w:sz w:val="21"/>
          <w:szCs w:val="21"/>
        </w:rPr>
        <w:t>法定代表人证明书</w:t>
      </w:r>
    </w:p>
    <w:p>
      <w:pPr>
        <w:pStyle w:val="22"/>
        <w:adjustRightInd w:val="0"/>
        <w:snapToGrid w:val="0"/>
        <w:spacing w:line="30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单位名称：</w:t>
      </w:r>
    </w:p>
    <w:p>
      <w:pPr>
        <w:pStyle w:val="22"/>
        <w:adjustRightInd w:val="0"/>
        <w:snapToGrid w:val="0"/>
        <w:spacing w:line="30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地址：</w:t>
      </w:r>
    </w:p>
    <w:p>
      <w:pPr>
        <w:pStyle w:val="22"/>
        <w:adjustRightInd w:val="0"/>
        <w:snapToGrid w:val="0"/>
        <w:spacing w:line="30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姓名：             性别：          年龄：          职务：</w:t>
      </w:r>
    </w:p>
    <w:p>
      <w:pPr>
        <w:pStyle w:val="22"/>
        <w:adjustRightInd w:val="0"/>
        <w:snapToGrid w:val="0"/>
        <w:spacing w:line="30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的法定代表人。为完成</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（项目名称），签署上述项目的投标文件、进行签署合同和处理与之有关的一切事务。</w:t>
      </w:r>
    </w:p>
    <w:p>
      <w:pPr>
        <w:pStyle w:val="22"/>
        <w:adjustRightInd w:val="0"/>
        <w:snapToGrid w:val="0"/>
        <w:spacing w:line="30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特此证明。</w:t>
      </w:r>
    </w:p>
    <w:p>
      <w:pPr>
        <w:pStyle w:val="22"/>
        <w:adjustRightInd w:val="0"/>
        <w:snapToGrid w:val="0"/>
        <w:spacing w:line="300" w:lineRule="auto"/>
        <w:ind w:firstLine="420" w:firstLineChars="200"/>
        <w:jc w:val="right"/>
        <w:rPr>
          <w:rFonts w:hint="eastAsia" w:ascii="宋体" w:hAnsi="宋体" w:eastAsia="宋体" w:cs="宋体"/>
          <w:sz w:val="21"/>
          <w:szCs w:val="21"/>
        </w:rPr>
      </w:pPr>
      <w:r>
        <w:rPr>
          <w:rFonts w:hint="eastAsia" w:ascii="宋体" w:hAnsi="宋体" w:eastAsia="宋体" w:cs="宋体"/>
          <w:sz w:val="21"/>
          <w:szCs w:val="21"/>
        </w:rPr>
        <w:t>供应商：(盖章)</w:t>
      </w:r>
    </w:p>
    <w:p>
      <w:pPr>
        <w:pStyle w:val="22"/>
        <w:adjustRightInd w:val="0"/>
        <w:snapToGrid w:val="0"/>
        <w:spacing w:line="300" w:lineRule="auto"/>
        <w:ind w:firstLine="420" w:firstLineChars="200"/>
        <w:jc w:val="right"/>
        <w:rPr>
          <w:rFonts w:hint="eastAsia" w:ascii="宋体" w:hAnsi="宋体" w:eastAsia="宋体" w:cs="宋体"/>
          <w:sz w:val="21"/>
          <w:szCs w:val="21"/>
        </w:rPr>
      </w:pPr>
    </w:p>
    <w:p>
      <w:pPr>
        <w:pStyle w:val="22"/>
        <w:adjustRightInd w:val="0"/>
        <w:snapToGrid w:val="0"/>
        <w:spacing w:line="300" w:lineRule="auto"/>
        <w:ind w:firstLine="420" w:firstLineChars="200"/>
        <w:jc w:val="righ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年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日</w:t>
      </w:r>
    </w:p>
    <w:p>
      <w:pPr>
        <w:autoSpaceDE w:val="0"/>
        <w:autoSpaceDN w:val="0"/>
        <w:adjustRightInd w:val="0"/>
        <w:spacing w:line="460" w:lineRule="exact"/>
        <w:rPr>
          <w:rFonts w:hint="eastAsia" w:ascii="宋体" w:hAnsi="宋体" w:eastAsia="宋体" w:cs="宋体"/>
          <w:b/>
          <w:bCs/>
          <w:sz w:val="21"/>
          <w:szCs w:val="21"/>
        </w:rPr>
      </w:pPr>
    </w:p>
    <w:p>
      <w:pPr>
        <w:spacing w:line="460" w:lineRule="exact"/>
        <w:jc w:val="center"/>
        <w:rPr>
          <w:rFonts w:hint="eastAsia" w:ascii="宋体" w:hAnsi="宋体" w:eastAsia="宋体" w:cs="宋体"/>
          <w:b/>
          <w:bCs/>
          <w:sz w:val="21"/>
          <w:szCs w:val="21"/>
        </w:rPr>
      </w:pPr>
      <w:r>
        <w:rPr>
          <w:rFonts w:hint="eastAsia" w:ascii="宋体" w:hAnsi="宋体" w:eastAsia="宋体" w:cs="宋体"/>
          <w:b/>
          <w:bCs/>
          <w:sz w:val="21"/>
          <w:szCs w:val="21"/>
        </w:rPr>
        <w:t>法定代表人授权书</w:t>
      </w:r>
    </w:p>
    <w:p>
      <w:pPr>
        <w:autoSpaceDE w:val="0"/>
        <w:autoSpaceDN w:val="0"/>
        <w:adjustRightInd w:val="0"/>
        <w:spacing w:line="460" w:lineRule="exact"/>
        <w:rPr>
          <w:rFonts w:hint="eastAsia" w:ascii="宋体" w:hAnsi="宋体" w:eastAsia="宋体" w:cs="宋体"/>
          <w:sz w:val="21"/>
          <w:szCs w:val="21"/>
        </w:rPr>
      </w:pPr>
      <w:r>
        <w:rPr>
          <w:rFonts w:hint="eastAsia" w:ascii="宋体" w:hAnsi="宋体" w:eastAsia="宋体" w:cs="宋体"/>
          <w:sz w:val="21"/>
          <w:szCs w:val="21"/>
          <w:lang w:eastAsia="zh-CN"/>
        </w:rPr>
        <w:t>南京市栖霞区人民政府尧化办事处</w:t>
      </w:r>
      <w:r>
        <w:rPr>
          <w:rFonts w:hint="eastAsia" w:ascii="宋体" w:hAnsi="宋体" w:eastAsia="宋体" w:cs="宋体"/>
          <w:sz w:val="21"/>
          <w:szCs w:val="21"/>
        </w:rPr>
        <w:t>：</w:t>
      </w:r>
    </w:p>
    <w:p>
      <w:pPr>
        <w:autoSpaceDE w:val="0"/>
        <w:autoSpaceDN w:val="0"/>
        <w:adjustRightIn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本授权书声明：注册于</w:t>
      </w:r>
      <w:r>
        <w:rPr>
          <w:rFonts w:hint="eastAsia" w:ascii="宋体" w:hAnsi="宋体" w:eastAsia="宋体" w:cs="宋体"/>
          <w:sz w:val="21"/>
          <w:szCs w:val="21"/>
          <w:u w:val="single"/>
        </w:rPr>
        <w:t xml:space="preserve">     </w:t>
      </w:r>
      <w:r>
        <w:rPr>
          <w:rFonts w:hint="eastAsia" w:ascii="宋体" w:hAnsi="宋体" w:eastAsia="宋体" w:cs="宋体"/>
          <w:sz w:val="21"/>
          <w:szCs w:val="21"/>
        </w:rPr>
        <w:t>（供应商住址）的</w:t>
      </w:r>
      <w:r>
        <w:rPr>
          <w:rFonts w:hint="eastAsia" w:ascii="宋体" w:hAnsi="宋体" w:eastAsia="宋体" w:cs="宋体"/>
          <w:sz w:val="21"/>
          <w:szCs w:val="21"/>
          <w:u w:val="single"/>
        </w:rPr>
        <w:t xml:space="preserve">     </w:t>
      </w:r>
      <w:r>
        <w:rPr>
          <w:rFonts w:hint="eastAsia" w:ascii="宋体" w:hAnsi="宋体" w:eastAsia="宋体" w:cs="宋体"/>
          <w:sz w:val="21"/>
          <w:szCs w:val="21"/>
        </w:rPr>
        <w:t>（供应商名称）法定代表人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（法定代表人姓名、职务）代表本公司授权在下面签字的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（供应商代表姓名、职务）为本公司的合法代理人，就贵方组织的</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lang w:val="zh-CN"/>
        </w:rPr>
        <w:t>（项目名称：）</w:t>
      </w:r>
      <w:r>
        <w:rPr>
          <w:rFonts w:hint="eastAsia" w:ascii="宋体" w:hAnsi="宋体" w:eastAsia="宋体" w:cs="宋体"/>
          <w:sz w:val="21"/>
          <w:szCs w:val="21"/>
        </w:rPr>
        <w:t>竞争性磋商，以本公司名义处理一切与之有关的事务。</w:t>
      </w:r>
    </w:p>
    <w:p>
      <w:pPr>
        <w:autoSpaceDE w:val="0"/>
        <w:autoSpaceDN w:val="0"/>
        <w:adjustRightInd w:val="0"/>
        <w:spacing w:line="460" w:lineRule="exact"/>
        <w:rPr>
          <w:rFonts w:hint="eastAsia" w:ascii="宋体" w:hAnsi="宋体" w:eastAsia="宋体" w:cs="宋体"/>
          <w:sz w:val="21"/>
          <w:szCs w:val="21"/>
        </w:rPr>
      </w:pPr>
      <w:r>
        <w:rPr>
          <w:rFonts w:hint="eastAsia" w:ascii="宋体" w:hAnsi="宋体" w:eastAsia="宋体" w:cs="宋体"/>
          <w:sz w:val="21"/>
          <w:szCs w:val="21"/>
        </w:rPr>
        <w:t>本授权书于    年   月  日签字生效，特此声明。</w:t>
      </w:r>
    </w:p>
    <w:p>
      <w:pPr>
        <w:autoSpaceDE w:val="0"/>
        <w:autoSpaceDN w:val="0"/>
        <w:adjustRightInd w:val="0"/>
        <w:spacing w:line="460" w:lineRule="exact"/>
        <w:rPr>
          <w:rFonts w:hint="eastAsia" w:ascii="宋体" w:hAnsi="宋体" w:eastAsia="宋体" w:cs="宋体"/>
          <w:sz w:val="21"/>
          <w:szCs w:val="21"/>
        </w:rPr>
      </w:pPr>
      <w:r>
        <w:rPr>
          <w:rFonts w:hint="eastAsia" w:ascii="宋体" w:hAnsi="宋体" w:eastAsia="宋体" w:cs="宋体"/>
          <w:sz w:val="21"/>
          <w:szCs w:val="21"/>
        </w:rPr>
        <w:t>法定代表人签字：</w:t>
      </w:r>
    </w:p>
    <w:p>
      <w:pPr>
        <w:autoSpaceDE w:val="0"/>
        <w:autoSpaceDN w:val="0"/>
        <w:adjustRightInd w:val="0"/>
        <w:spacing w:line="460" w:lineRule="exact"/>
        <w:rPr>
          <w:rFonts w:hint="eastAsia" w:ascii="宋体" w:hAnsi="宋体" w:eastAsia="宋体" w:cs="宋体"/>
          <w:sz w:val="21"/>
          <w:szCs w:val="21"/>
        </w:rPr>
      </w:pPr>
      <w:r>
        <w:rPr>
          <w:rFonts w:hint="eastAsia" w:ascii="宋体" w:hAnsi="宋体" w:eastAsia="宋体" w:cs="宋体"/>
          <w:sz w:val="21"/>
          <w:szCs w:val="21"/>
        </w:rPr>
        <w:t>被授权人签字：</w:t>
      </w:r>
    </w:p>
    <w:p>
      <w:pPr>
        <w:autoSpaceDE w:val="0"/>
        <w:autoSpaceDN w:val="0"/>
        <w:adjustRightInd w:val="0"/>
        <w:spacing w:line="460" w:lineRule="exact"/>
        <w:ind w:firstLine="420"/>
        <w:rPr>
          <w:rFonts w:hint="eastAsia" w:ascii="宋体" w:hAnsi="宋体" w:eastAsia="宋体" w:cs="宋体"/>
          <w:sz w:val="21"/>
          <w:szCs w:val="21"/>
        </w:rPr>
      </w:pPr>
      <w:r>
        <w:rPr>
          <w:rFonts w:hint="eastAsia" w:ascii="宋体" w:hAnsi="宋体" w:eastAsia="宋体" w:cs="宋体"/>
          <w:sz w:val="21"/>
          <w:szCs w:val="21"/>
        </w:rPr>
        <w:t>日期：年月日</w:t>
      </w:r>
    </w:p>
    <w:p>
      <w:pPr>
        <w:pStyle w:val="7"/>
        <w:spacing w:line="460" w:lineRule="exact"/>
        <w:rPr>
          <w:rFonts w:hint="eastAsia" w:ascii="宋体" w:hAnsi="宋体" w:eastAsia="宋体" w:cs="宋体"/>
          <w:sz w:val="21"/>
          <w:szCs w:val="21"/>
        </w:rPr>
      </w:pPr>
    </w:p>
    <w:p>
      <w:pPr>
        <w:widowControl/>
        <w:adjustRightInd w:val="0"/>
        <w:spacing w:line="400" w:lineRule="exact"/>
        <w:jc w:val="center"/>
        <w:rPr>
          <w:rFonts w:hint="eastAsia" w:ascii="宋体" w:hAnsi="宋体" w:eastAsia="宋体" w:cs="宋体"/>
          <w:kern w:val="0"/>
          <w:sz w:val="21"/>
          <w:szCs w:val="21"/>
          <w:lang w:val="zh-CN"/>
        </w:rPr>
      </w:pPr>
    </w:p>
    <w:p>
      <w:pPr>
        <w:widowControl/>
        <w:adjustRightInd w:val="0"/>
        <w:spacing w:line="400" w:lineRule="exact"/>
        <w:jc w:val="center"/>
        <w:rPr>
          <w:rFonts w:hint="eastAsia" w:ascii="宋体" w:hAnsi="宋体" w:eastAsia="宋体" w:cs="宋体"/>
          <w:kern w:val="0"/>
          <w:sz w:val="21"/>
          <w:szCs w:val="21"/>
          <w:lang w:val="zh-CN"/>
        </w:rPr>
      </w:pPr>
    </w:p>
    <w:p>
      <w:pPr>
        <w:widowControl/>
        <w:adjustRightInd w:val="0"/>
        <w:spacing w:line="400" w:lineRule="exact"/>
        <w:jc w:val="center"/>
        <w:rPr>
          <w:rFonts w:hint="eastAsia" w:ascii="宋体" w:hAnsi="宋体" w:eastAsia="宋体" w:cs="宋体"/>
          <w:kern w:val="0"/>
          <w:sz w:val="21"/>
          <w:szCs w:val="21"/>
          <w:lang w:val="zh-CN"/>
        </w:rPr>
      </w:pPr>
    </w:p>
    <w:p>
      <w:pPr>
        <w:widowControl/>
        <w:adjustRightInd w:val="0"/>
        <w:spacing w:line="400" w:lineRule="exact"/>
        <w:jc w:val="center"/>
        <w:rPr>
          <w:rFonts w:hint="eastAsia" w:ascii="宋体" w:hAnsi="宋体" w:eastAsia="宋体" w:cs="宋体"/>
          <w:kern w:val="0"/>
          <w:sz w:val="21"/>
          <w:szCs w:val="21"/>
          <w:lang w:val="zh-CN"/>
        </w:rPr>
      </w:pPr>
    </w:p>
    <w:p>
      <w:pPr>
        <w:widowControl/>
        <w:adjustRightInd w:val="0"/>
        <w:spacing w:line="400" w:lineRule="exact"/>
        <w:jc w:val="center"/>
        <w:rPr>
          <w:rFonts w:hint="eastAsia" w:ascii="宋体" w:hAnsi="宋体" w:eastAsia="宋体" w:cs="宋体"/>
          <w:kern w:val="0"/>
          <w:sz w:val="21"/>
          <w:szCs w:val="21"/>
          <w:lang w:val="zh-CN"/>
        </w:rPr>
      </w:pPr>
    </w:p>
    <w:p>
      <w:pPr>
        <w:widowControl/>
        <w:adjustRightInd w:val="0"/>
        <w:spacing w:line="400" w:lineRule="exact"/>
        <w:jc w:val="center"/>
        <w:rPr>
          <w:rFonts w:hint="eastAsia" w:ascii="宋体" w:hAnsi="宋体" w:eastAsia="宋体" w:cs="宋体"/>
          <w:kern w:val="0"/>
          <w:sz w:val="21"/>
          <w:szCs w:val="21"/>
          <w:lang w:val="zh-CN"/>
        </w:rPr>
      </w:pPr>
    </w:p>
    <w:p>
      <w:pPr>
        <w:widowControl/>
        <w:adjustRightInd w:val="0"/>
        <w:spacing w:line="400" w:lineRule="exact"/>
        <w:rPr>
          <w:rFonts w:hint="eastAsia" w:ascii="宋体" w:hAnsi="宋体" w:eastAsia="宋体" w:cs="宋体"/>
          <w:b/>
          <w:bCs/>
          <w:sz w:val="21"/>
          <w:szCs w:val="21"/>
        </w:rPr>
      </w:pPr>
    </w:p>
    <w:p>
      <w:pPr>
        <w:widowControl/>
        <w:adjustRightInd w:val="0"/>
        <w:spacing w:line="400" w:lineRule="exact"/>
        <w:rPr>
          <w:rFonts w:hint="eastAsia" w:ascii="宋体" w:hAnsi="宋体" w:eastAsia="宋体" w:cs="宋体"/>
          <w:b/>
          <w:bCs/>
          <w:sz w:val="21"/>
          <w:szCs w:val="21"/>
        </w:rPr>
      </w:pPr>
    </w:p>
    <w:p>
      <w:pPr>
        <w:widowControl/>
        <w:adjustRightInd w:val="0"/>
        <w:spacing w:line="400" w:lineRule="exact"/>
        <w:rPr>
          <w:rFonts w:hint="eastAsia" w:ascii="宋体" w:hAnsi="宋体" w:eastAsia="宋体" w:cs="宋体"/>
          <w:b/>
          <w:bCs/>
          <w:sz w:val="21"/>
          <w:szCs w:val="21"/>
        </w:rPr>
      </w:pPr>
    </w:p>
    <w:p>
      <w:pPr>
        <w:widowControl/>
        <w:adjustRightInd w:val="0"/>
        <w:spacing w:line="400" w:lineRule="exact"/>
        <w:rPr>
          <w:rFonts w:hint="eastAsia" w:ascii="宋体" w:hAnsi="宋体" w:eastAsia="宋体" w:cs="宋体"/>
          <w:b/>
          <w:bCs/>
          <w:sz w:val="21"/>
          <w:szCs w:val="21"/>
        </w:rPr>
      </w:pPr>
    </w:p>
    <w:p>
      <w:pPr>
        <w:widowControl/>
        <w:adjustRightInd w:val="0"/>
        <w:spacing w:line="400" w:lineRule="exact"/>
        <w:rPr>
          <w:rFonts w:hint="eastAsia" w:ascii="宋体" w:hAnsi="宋体" w:eastAsia="宋体" w:cs="宋体"/>
          <w:b/>
          <w:bCs/>
          <w:sz w:val="21"/>
          <w:szCs w:val="21"/>
        </w:rPr>
      </w:pPr>
    </w:p>
    <w:p>
      <w:pPr>
        <w:widowControl/>
        <w:adjustRightInd w:val="0"/>
        <w:spacing w:line="400" w:lineRule="exact"/>
        <w:rPr>
          <w:rFonts w:hint="eastAsia" w:ascii="宋体" w:hAnsi="宋体" w:eastAsia="宋体" w:cs="宋体"/>
          <w:kern w:val="0"/>
          <w:sz w:val="21"/>
          <w:szCs w:val="21"/>
          <w:lang w:val="zh-CN"/>
        </w:rPr>
      </w:pPr>
      <w:r>
        <w:rPr>
          <w:rFonts w:hint="eastAsia" w:ascii="宋体" w:hAnsi="宋体" w:eastAsia="宋体" w:cs="宋体"/>
          <w:b/>
          <w:bCs/>
          <w:sz w:val="21"/>
          <w:szCs w:val="21"/>
        </w:rPr>
        <w:t>附件三：报价</w:t>
      </w:r>
      <w:r>
        <w:rPr>
          <w:rFonts w:hint="eastAsia" w:ascii="宋体" w:hAnsi="宋体" w:eastAsia="宋体" w:cs="宋体"/>
          <w:b/>
          <w:bCs/>
          <w:sz w:val="21"/>
          <w:szCs w:val="21"/>
          <w:lang w:val="zh-CN"/>
        </w:rPr>
        <w:t>一览表格式</w:t>
      </w:r>
    </w:p>
    <w:p>
      <w:pPr>
        <w:widowControl/>
        <w:adjustRightInd w:val="0"/>
        <w:spacing w:line="400" w:lineRule="exact"/>
        <w:jc w:val="center"/>
        <w:rPr>
          <w:rFonts w:hint="eastAsia" w:ascii="宋体" w:hAnsi="宋体" w:eastAsia="宋体" w:cs="宋体"/>
          <w:kern w:val="0"/>
          <w:sz w:val="21"/>
          <w:szCs w:val="21"/>
          <w:lang w:val="zh-CN"/>
        </w:rPr>
      </w:pPr>
    </w:p>
    <w:p>
      <w:pPr>
        <w:widowControl/>
        <w:adjustRightInd w:val="0"/>
        <w:spacing w:line="400" w:lineRule="exact"/>
        <w:jc w:val="center"/>
        <w:rPr>
          <w:rFonts w:hint="eastAsia" w:ascii="宋体" w:hAnsi="宋体" w:eastAsia="宋体" w:cs="宋体"/>
          <w:kern w:val="0"/>
          <w:sz w:val="21"/>
          <w:szCs w:val="21"/>
          <w:lang w:val="zh-CN"/>
        </w:rPr>
      </w:pPr>
      <w:r>
        <w:rPr>
          <w:rFonts w:hint="eastAsia" w:ascii="宋体" w:hAnsi="宋体" w:eastAsia="宋体" w:cs="宋体"/>
          <w:kern w:val="0"/>
          <w:sz w:val="21"/>
          <w:szCs w:val="21"/>
        </w:rPr>
        <w:t>报价</w:t>
      </w:r>
      <w:r>
        <w:rPr>
          <w:rFonts w:hint="eastAsia" w:ascii="宋体" w:hAnsi="宋体" w:eastAsia="宋体" w:cs="宋体"/>
          <w:kern w:val="0"/>
          <w:sz w:val="21"/>
          <w:szCs w:val="21"/>
          <w:lang w:val="zh-CN"/>
        </w:rPr>
        <w:t>一览表</w:t>
      </w:r>
    </w:p>
    <w:tbl>
      <w:tblPr>
        <w:tblStyle w:val="41"/>
        <w:tblW w:w="903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6"/>
        <w:gridCol w:w="2538"/>
        <w:gridCol w:w="1522"/>
        <w:gridCol w:w="692"/>
        <w:gridCol w:w="830"/>
        <w:gridCol w:w="1395"/>
        <w:gridCol w:w="14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5408" w:type="dxa"/>
            <w:gridSpan w:val="4"/>
            <w:tcBorders>
              <w:top w:val="nil"/>
              <w:left w:val="nil"/>
              <w:right w:val="nil"/>
            </w:tcBorders>
            <w:vAlign w:val="center"/>
          </w:tcPr>
          <w:p>
            <w:pPr>
              <w:widowControl/>
              <w:snapToGrid w:val="0"/>
              <w:spacing w:line="360" w:lineRule="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项目名称： </w:t>
            </w:r>
          </w:p>
        </w:tc>
        <w:tc>
          <w:tcPr>
            <w:tcW w:w="3628" w:type="dxa"/>
            <w:gridSpan w:val="3"/>
            <w:tcBorders>
              <w:top w:val="nil"/>
              <w:left w:val="nil"/>
              <w:right w:val="nil"/>
            </w:tcBorders>
            <w:vAlign w:val="center"/>
          </w:tcPr>
          <w:p>
            <w:pPr>
              <w:widowControl/>
              <w:snapToGrid w:val="0"/>
              <w:spacing w:line="360" w:lineRule="auto"/>
              <w:ind w:firstLine="105" w:firstLineChars="5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项目编号：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56" w:type="dxa"/>
            <w:vAlign w:val="center"/>
          </w:tcPr>
          <w:p>
            <w:pPr>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序号</w:t>
            </w:r>
          </w:p>
        </w:tc>
        <w:tc>
          <w:tcPr>
            <w:tcW w:w="2538" w:type="dxa"/>
            <w:vAlign w:val="center"/>
          </w:tcPr>
          <w:p>
            <w:pPr>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名               称</w:t>
            </w:r>
          </w:p>
        </w:tc>
        <w:tc>
          <w:tcPr>
            <w:tcW w:w="1522" w:type="dxa"/>
            <w:vAlign w:val="center"/>
          </w:tcPr>
          <w:p>
            <w:pPr>
              <w:spacing w:line="360" w:lineRule="auto"/>
              <w:jc w:val="center"/>
              <w:rPr>
                <w:rFonts w:hint="eastAsia" w:ascii="宋体" w:hAnsi="宋体" w:eastAsia="宋体" w:cs="宋体"/>
                <w:sz w:val="21"/>
                <w:szCs w:val="21"/>
                <w:lang w:val="zh-CN"/>
              </w:rPr>
            </w:pPr>
            <w:r>
              <w:rPr>
                <w:rFonts w:hint="eastAsia" w:ascii="宋体" w:hAnsi="宋体" w:eastAsia="宋体" w:cs="宋体"/>
                <w:b/>
                <w:sz w:val="21"/>
                <w:szCs w:val="21"/>
                <w:lang w:val="zh-CN"/>
              </w:rPr>
              <w:t>报价（元）</w:t>
            </w:r>
          </w:p>
        </w:tc>
        <w:tc>
          <w:tcPr>
            <w:tcW w:w="1522" w:type="dxa"/>
            <w:gridSpan w:val="2"/>
            <w:vAlign w:val="center"/>
          </w:tcPr>
          <w:p>
            <w:pPr>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其中</w:t>
            </w:r>
            <w:r>
              <w:rPr>
                <w:rFonts w:hint="eastAsia" w:ascii="宋体" w:hAnsi="宋体" w:eastAsia="宋体" w:cs="宋体"/>
                <w:b/>
                <w:kern w:val="0"/>
                <w:sz w:val="21"/>
                <w:szCs w:val="21"/>
              </w:rPr>
              <w:t>小、微型企业报价（元）</w:t>
            </w:r>
          </w:p>
        </w:tc>
        <w:tc>
          <w:tcPr>
            <w:tcW w:w="1395" w:type="dxa"/>
          </w:tcPr>
          <w:p>
            <w:pPr>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其中</w:t>
            </w:r>
            <w:r>
              <w:rPr>
                <w:rFonts w:hint="eastAsia" w:ascii="宋体" w:hAnsi="宋体" w:eastAsia="宋体" w:cs="宋体"/>
                <w:b/>
                <w:kern w:val="0"/>
                <w:sz w:val="21"/>
                <w:szCs w:val="21"/>
              </w:rPr>
              <w:t>残疾人福利单位报价（元）</w:t>
            </w:r>
          </w:p>
        </w:tc>
        <w:tc>
          <w:tcPr>
            <w:tcW w:w="1403" w:type="dxa"/>
          </w:tcPr>
          <w:p>
            <w:pPr>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其中</w:t>
            </w:r>
            <w:r>
              <w:rPr>
                <w:rFonts w:hint="eastAsia" w:ascii="宋体" w:hAnsi="宋体" w:eastAsia="宋体" w:cs="宋体"/>
                <w:b/>
                <w:kern w:val="0"/>
                <w:sz w:val="21"/>
                <w:szCs w:val="21"/>
              </w:rPr>
              <w:t>监狱企业报价（元）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56" w:type="dxa"/>
            <w:vAlign w:val="center"/>
          </w:tcPr>
          <w:p>
            <w:pPr>
              <w:spacing w:line="360" w:lineRule="auto"/>
              <w:jc w:val="center"/>
              <w:rPr>
                <w:rFonts w:hint="eastAsia" w:ascii="宋体" w:hAnsi="宋体" w:eastAsia="宋体" w:cs="宋体"/>
                <w:spacing w:val="-2"/>
                <w:sz w:val="21"/>
                <w:szCs w:val="21"/>
              </w:rPr>
            </w:pPr>
          </w:p>
        </w:tc>
        <w:tc>
          <w:tcPr>
            <w:tcW w:w="2538" w:type="dxa"/>
            <w:vAlign w:val="center"/>
          </w:tcPr>
          <w:p>
            <w:pPr>
              <w:spacing w:line="360" w:lineRule="auto"/>
              <w:rPr>
                <w:rFonts w:hint="eastAsia" w:ascii="宋体" w:hAnsi="宋体" w:eastAsia="宋体" w:cs="宋体"/>
                <w:spacing w:val="-2"/>
                <w:sz w:val="21"/>
                <w:szCs w:val="21"/>
              </w:rPr>
            </w:pPr>
          </w:p>
        </w:tc>
        <w:tc>
          <w:tcPr>
            <w:tcW w:w="1522" w:type="dxa"/>
            <w:vAlign w:val="center"/>
          </w:tcPr>
          <w:p>
            <w:pPr>
              <w:spacing w:line="360" w:lineRule="auto"/>
              <w:jc w:val="center"/>
              <w:rPr>
                <w:rFonts w:hint="eastAsia" w:ascii="宋体" w:hAnsi="宋体" w:eastAsia="宋体" w:cs="宋体"/>
                <w:sz w:val="21"/>
                <w:szCs w:val="21"/>
                <w:lang w:val="zh-CN"/>
              </w:rPr>
            </w:pPr>
          </w:p>
        </w:tc>
        <w:tc>
          <w:tcPr>
            <w:tcW w:w="1522" w:type="dxa"/>
            <w:gridSpan w:val="2"/>
            <w:vAlign w:val="center"/>
          </w:tcPr>
          <w:p>
            <w:pPr>
              <w:spacing w:line="360" w:lineRule="auto"/>
              <w:jc w:val="center"/>
              <w:rPr>
                <w:rFonts w:hint="eastAsia" w:ascii="宋体" w:hAnsi="宋体" w:eastAsia="宋体" w:cs="宋体"/>
                <w:sz w:val="21"/>
                <w:szCs w:val="21"/>
                <w:lang w:val="zh-CN"/>
              </w:rPr>
            </w:pPr>
          </w:p>
        </w:tc>
        <w:tc>
          <w:tcPr>
            <w:tcW w:w="1395" w:type="dxa"/>
          </w:tcPr>
          <w:p>
            <w:pPr>
              <w:spacing w:line="360" w:lineRule="auto"/>
              <w:jc w:val="center"/>
              <w:rPr>
                <w:rFonts w:hint="eastAsia" w:ascii="宋体" w:hAnsi="宋体" w:eastAsia="宋体" w:cs="宋体"/>
                <w:sz w:val="21"/>
                <w:szCs w:val="21"/>
                <w:lang w:val="zh-CN"/>
              </w:rPr>
            </w:pPr>
          </w:p>
        </w:tc>
        <w:tc>
          <w:tcPr>
            <w:tcW w:w="1403" w:type="dxa"/>
          </w:tcPr>
          <w:p>
            <w:pPr>
              <w:spacing w:line="360" w:lineRule="auto"/>
              <w:jc w:val="center"/>
              <w:rPr>
                <w:rFonts w:hint="eastAsia" w:ascii="宋体" w:hAnsi="宋体" w:eastAsia="宋体" w:cs="宋体"/>
                <w:sz w:val="21"/>
                <w:szCs w:val="21"/>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3194" w:type="dxa"/>
            <w:gridSpan w:val="2"/>
            <w:vAlign w:val="center"/>
          </w:tcPr>
          <w:p>
            <w:pPr>
              <w:widowControl/>
              <w:snapToGrid w:val="0"/>
              <w:spacing w:line="360" w:lineRule="auto"/>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投标总价（人民币，大写）</w:t>
            </w:r>
          </w:p>
        </w:tc>
        <w:tc>
          <w:tcPr>
            <w:tcW w:w="5842" w:type="dxa"/>
            <w:gridSpan w:val="5"/>
            <w:vAlign w:val="center"/>
          </w:tcPr>
          <w:p>
            <w:pPr>
              <w:widowControl/>
              <w:snapToGrid w:val="0"/>
              <w:spacing w:line="360" w:lineRule="auto"/>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194" w:type="dxa"/>
            <w:gridSpan w:val="2"/>
            <w:vAlign w:val="center"/>
          </w:tcPr>
          <w:p>
            <w:pPr>
              <w:widowControl/>
              <w:snapToGrid w:val="0"/>
              <w:spacing w:line="360" w:lineRule="auto"/>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是否属于小微型企业</w:t>
            </w:r>
          </w:p>
        </w:tc>
        <w:tc>
          <w:tcPr>
            <w:tcW w:w="5842" w:type="dxa"/>
            <w:gridSpan w:val="5"/>
            <w:vAlign w:val="center"/>
          </w:tcPr>
          <w:p>
            <w:pPr>
              <w:widowControl/>
              <w:snapToGrid w:val="0"/>
              <w:spacing w:line="360" w:lineRule="auto"/>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 是             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194" w:type="dxa"/>
            <w:gridSpan w:val="2"/>
            <w:vAlign w:val="center"/>
          </w:tcPr>
          <w:p>
            <w:pPr>
              <w:widowControl/>
              <w:snapToGrid w:val="0"/>
              <w:spacing w:line="360" w:lineRule="auto"/>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是否属于残疾人福利性单位</w:t>
            </w:r>
          </w:p>
        </w:tc>
        <w:tc>
          <w:tcPr>
            <w:tcW w:w="5842" w:type="dxa"/>
            <w:gridSpan w:val="5"/>
            <w:vAlign w:val="center"/>
          </w:tcPr>
          <w:p>
            <w:pPr>
              <w:widowControl/>
              <w:snapToGrid w:val="0"/>
              <w:spacing w:line="360" w:lineRule="auto"/>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 是             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194" w:type="dxa"/>
            <w:gridSpan w:val="2"/>
            <w:tcBorders>
              <w:bottom w:val="single" w:color="auto" w:sz="6" w:space="0"/>
            </w:tcBorders>
            <w:vAlign w:val="center"/>
          </w:tcPr>
          <w:p>
            <w:pPr>
              <w:widowControl/>
              <w:snapToGrid w:val="0"/>
              <w:spacing w:line="360" w:lineRule="auto"/>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是否属于监狱企业</w:t>
            </w:r>
          </w:p>
        </w:tc>
        <w:tc>
          <w:tcPr>
            <w:tcW w:w="5842" w:type="dxa"/>
            <w:gridSpan w:val="5"/>
            <w:tcBorders>
              <w:bottom w:val="single" w:color="auto" w:sz="6" w:space="0"/>
            </w:tcBorders>
            <w:vAlign w:val="center"/>
          </w:tcPr>
          <w:p>
            <w:pPr>
              <w:widowControl/>
              <w:snapToGrid w:val="0"/>
              <w:spacing w:line="360" w:lineRule="auto"/>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 是             否</w:t>
            </w:r>
          </w:p>
        </w:tc>
      </w:tr>
    </w:tbl>
    <w:p>
      <w:pPr>
        <w:widowControl/>
        <w:adjustRightInd w:val="0"/>
        <w:spacing w:line="400" w:lineRule="exact"/>
        <w:jc w:val="left"/>
        <w:rPr>
          <w:rFonts w:hint="eastAsia" w:ascii="宋体" w:hAnsi="宋体" w:eastAsia="宋体" w:cs="宋体"/>
          <w:kern w:val="0"/>
          <w:sz w:val="21"/>
          <w:szCs w:val="21"/>
          <w:lang w:val="zh-CN"/>
        </w:rPr>
      </w:pPr>
    </w:p>
    <w:p>
      <w:pPr>
        <w:widowControl/>
        <w:adjustRightInd w:val="0"/>
        <w:spacing w:line="400" w:lineRule="exact"/>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供应商名称:</w:t>
      </w:r>
      <w:r>
        <w:rPr>
          <w:rFonts w:hint="eastAsia" w:ascii="宋体" w:hAnsi="宋体" w:eastAsia="宋体" w:cs="宋体"/>
          <w:kern w:val="0"/>
          <w:sz w:val="21"/>
          <w:szCs w:val="21"/>
          <w:u w:val="single"/>
          <w:lang w:val="zh-CN"/>
        </w:rPr>
        <w:t xml:space="preserve">                                                  </w:t>
      </w:r>
      <w:r>
        <w:rPr>
          <w:rFonts w:hint="eastAsia" w:ascii="宋体" w:hAnsi="宋体" w:eastAsia="宋体" w:cs="宋体"/>
          <w:kern w:val="0"/>
          <w:sz w:val="21"/>
          <w:szCs w:val="21"/>
          <w:lang w:val="zh-CN"/>
        </w:rPr>
        <w:t>（盖章）</w:t>
      </w:r>
    </w:p>
    <w:p>
      <w:pPr>
        <w:spacing w:line="400" w:lineRule="exact"/>
        <w:rPr>
          <w:rFonts w:hint="eastAsia" w:ascii="宋体" w:hAnsi="宋体" w:eastAsia="宋体" w:cs="宋体"/>
          <w:sz w:val="21"/>
          <w:szCs w:val="21"/>
          <w:lang w:val="zh-CN"/>
        </w:rPr>
      </w:pPr>
      <w:r>
        <w:rPr>
          <w:rFonts w:hint="eastAsia" w:ascii="宋体" w:hAnsi="宋体" w:eastAsia="宋体" w:cs="宋体"/>
          <w:kern w:val="0"/>
          <w:sz w:val="21"/>
          <w:szCs w:val="21"/>
          <w:lang w:val="zh-CN"/>
        </w:rPr>
        <w:t>说明：</w:t>
      </w:r>
    </w:p>
    <w:p>
      <w:pPr>
        <w:spacing w:line="400" w:lineRule="exact"/>
        <w:ind w:firstLine="630" w:firstLineChars="300"/>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zh-CN"/>
        </w:rPr>
        <w:t>.在“供应商是否属于小和微型企业”栏后“是”或“否”上打“√”。</w:t>
      </w:r>
    </w:p>
    <w:p>
      <w:pPr>
        <w:spacing w:line="400" w:lineRule="exact"/>
        <w:ind w:firstLine="630" w:firstLineChars="300"/>
        <w:rPr>
          <w:rFonts w:hint="eastAsia" w:ascii="宋体" w:hAnsi="宋体" w:eastAsia="宋体" w:cs="宋体"/>
          <w:sz w:val="21"/>
          <w:szCs w:val="21"/>
          <w:lang w:val="zh-CN"/>
        </w:rPr>
      </w:pPr>
      <w:r>
        <w:rPr>
          <w:rFonts w:hint="eastAsia" w:ascii="宋体" w:hAnsi="宋体" w:eastAsia="宋体" w:cs="宋体"/>
          <w:sz w:val="21"/>
          <w:szCs w:val="21"/>
        </w:rPr>
        <w:t>2</w:t>
      </w:r>
      <w:r>
        <w:rPr>
          <w:rFonts w:hint="eastAsia" w:ascii="宋体" w:hAnsi="宋体" w:eastAsia="宋体" w:cs="宋体"/>
          <w:sz w:val="21"/>
          <w:szCs w:val="21"/>
          <w:lang w:val="zh-CN"/>
        </w:rPr>
        <w:t>.在“供应商是否属于残疾人福利性单位”栏后“是”或“否”上打“√”。</w:t>
      </w:r>
    </w:p>
    <w:p>
      <w:pPr>
        <w:spacing w:line="400" w:lineRule="exact"/>
        <w:ind w:firstLine="630" w:firstLineChars="300"/>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.在“供应商是否属于监狱企业”栏后“是”或“否”上打“√”。</w:t>
      </w:r>
    </w:p>
    <w:p>
      <w:pPr>
        <w:spacing w:line="460" w:lineRule="exact"/>
        <w:rPr>
          <w:rFonts w:hint="eastAsia" w:ascii="宋体" w:hAnsi="宋体" w:eastAsia="宋体" w:cs="宋体"/>
          <w:sz w:val="21"/>
          <w:szCs w:val="21"/>
        </w:rPr>
      </w:pPr>
    </w:p>
    <w:p>
      <w:pPr>
        <w:widowControl/>
        <w:adjustRightInd w:val="0"/>
        <w:spacing w:line="460" w:lineRule="exact"/>
        <w:jc w:val="left"/>
        <w:rPr>
          <w:rFonts w:hint="eastAsia" w:ascii="宋体" w:hAnsi="宋体" w:eastAsia="宋体" w:cs="宋体"/>
          <w:b/>
          <w:kern w:val="0"/>
          <w:sz w:val="21"/>
          <w:szCs w:val="21"/>
          <w:lang w:val="zh-CN"/>
        </w:rPr>
      </w:pPr>
    </w:p>
    <w:p>
      <w:pPr>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br w:type="page"/>
      </w:r>
    </w:p>
    <w:p>
      <w:pPr>
        <w:pStyle w:val="7"/>
        <w:adjustRightInd w:val="0"/>
        <w:spacing w:before="0" w:after="0" w:line="360" w:lineRule="auto"/>
        <w:jc w:val="center"/>
        <w:rPr>
          <w:rFonts w:ascii="黑体" w:hAnsi="宋体" w:cs="宋体"/>
          <w:b w:val="0"/>
          <w:bCs/>
          <w:color w:val="000000"/>
          <w:kern w:val="0"/>
          <w:sz w:val="32"/>
          <w:szCs w:val="32"/>
          <w:lang w:val="zh-CN"/>
        </w:rPr>
      </w:pPr>
      <w:r>
        <w:rPr>
          <w:rFonts w:hint="eastAsia" w:ascii="黑体" w:hAnsi="宋体" w:cs="宋体"/>
          <w:b w:val="0"/>
          <w:bCs/>
          <w:color w:val="000000"/>
          <w:kern w:val="0"/>
          <w:sz w:val="32"/>
          <w:szCs w:val="32"/>
          <w:lang w:val="zh-CN"/>
        </w:rPr>
        <w:t>分项报价一览表</w:t>
      </w:r>
    </w:p>
    <w:p>
      <w:pPr>
        <w:jc w:val="center"/>
        <w:rPr>
          <w:color w:val="000000"/>
          <w:lang w:val="zh-CN"/>
        </w:rPr>
      </w:pPr>
      <w:r>
        <w:rPr>
          <w:rFonts w:hint="eastAsia"/>
          <w:color w:val="000000"/>
          <w:lang w:val="zh-CN"/>
        </w:rPr>
        <w:t>（按照未来清单格式提供）</w:t>
      </w: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jc w:val="center"/>
        <w:rPr>
          <w:rFonts w:hint="eastAsia" w:eastAsia="宋体" w:cs="Times New Roman"/>
          <w:color w:val="000000"/>
          <w:lang w:val="en-US" w:eastAsia="zh-CN"/>
        </w:rPr>
      </w:pPr>
      <w:r>
        <w:rPr>
          <w:rFonts w:hint="eastAsia" w:eastAsia="宋体" w:cs="Times New Roman"/>
          <w:color w:val="000000"/>
          <w:lang w:val="en-US" w:eastAsia="zh-CN"/>
        </w:rPr>
        <w:t>材料设备品牌表</w:t>
      </w:r>
    </w:p>
    <w:tbl>
      <w:tblPr>
        <w:tblStyle w:val="41"/>
        <w:tblW w:w="10679" w:type="dxa"/>
        <w:tblInd w:w="-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636"/>
        <w:gridCol w:w="4522"/>
        <w:gridCol w:w="2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0"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序号</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材料名称</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品牌</w:t>
            </w:r>
          </w:p>
        </w:tc>
        <w:tc>
          <w:tcPr>
            <w:tcW w:w="2721" w:type="dxa"/>
            <w:noWrap w:val="0"/>
            <w:vAlign w:val="center"/>
          </w:tcPr>
          <w:p>
            <w:pPr>
              <w:spacing w:line="460" w:lineRule="exact"/>
              <w:jc w:val="center"/>
              <w:rPr>
                <w:rFonts w:hint="eastAsia" w:cs="微软雅黑" w:asciiTheme="minorEastAsia" w:hAnsiTheme="minorEastAsia" w:eastAsiaTheme="minorEastAsia"/>
                <w:lang w:val="en-US" w:eastAsia="zh-CN"/>
              </w:rPr>
            </w:pPr>
            <w:r>
              <w:rPr>
                <w:rFonts w:hint="eastAsia" w:cs="微软雅黑" w:asciiTheme="minorEastAsia" w:hAnsiTheme="minorEastAsia" w:eastAsiaTheme="minorEastAsia"/>
                <w:lang w:val="en-US" w:eastAsia="zh-CN"/>
              </w:rPr>
              <w:t>报价品牌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00"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1</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墙地砖</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益力达陶瓷、依诺陶瓷、冠军臻石</w:t>
            </w:r>
          </w:p>
        </w:tc>
        <w:tc>
          <w:tcPr>
            <w:tcW w:w="2721" w:type="dxa"/>
            <w:noWrap w:val="0"/>
            <w:vAlign w:val="center"/>
          </w:tcPr>
          <w:p>
            <w:pPr>
              <w:spacing w:line="460" w:lineRule="exact"/>
              <w:jc w:val="center"/>
              <w:rPr>
                <w:rFonts w:hint="eastAsia" w:cs="微软雅黑"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0"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2</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乳胶漆</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立邦、多乐士、双菱</w:t>
            </w:r>
          </w:p>
        </w:tc>
        <w:tc>
          <w:tcPr>
            <w:tcW w:w="2721" w:type="dxa"/>
            <w:noWrap w:val="0"/>
            <w:vAlign w:val="center"/>
          </w:tcPr>
          <w:p>
            <w:pPr>
              <w:spacing w:line="460" w:lineRule="exact"/>
              <w:jc w:val="center"/>
              <w:rPr>
                <w:rFonts w:hint="eastAsia" w:cs="微软雅黑"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0"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3</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轻钢龙骨</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拉法基、可耐福、龙牌</w:t>
            </w:r>
          </w:p>
        </w:tc>
        <w:tc>
          <w:tcPr>
            <w:tcW w:w="2721" w:type="dxa"/>
            <w:noWrap w:val="0"/>
            <w:vAlign w:val="center"/>
          </w:tcPr>
          <w:p>
            <w:pPr>
              <w:spacing w:line="460" w:lineRule="exact"/>
              <w:jc w:val="center"/>
              <w:rPr>
                <w:rFonts w:hint="eastAsia" w:cs="微软雅黑"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0"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4</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板材</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兔宝宝、福庆、大王椰</w:t>
            </w:r>
          </w:p>
        </w:tc>
        <w:tc>
          <w:tcPr>
            <w:tcW w:w="2721" w:type="dxa"/>
            <w:noWrap w:val="0"/>
            <w:vAlign w:val="center"/>
          </w:tcPr>
          <w:p>
            <w:pPr>
              <w:spacing w:line="460" w:lineRule="exact"/>
              <w:jc w:val="center"/>
              <w:rPr>
                <w:rFonts w:hint="eastAsia" w:cs="微软雅黑"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0"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5</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饰面砂浆</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富思特、西西韦、堡密特</w:t>
            </w:r>
          </w:p>
        </w:tc>
        <w:tc>
          <w:tcPr>
            <w:tcW w:w="2721" w:type="dxa"/>
            <w:noWrap w:val="0"/>
            <w:vAlign w:val="center"/>
          </w:tcPr>
          <w:p>
            <w:pPr>
              <w:spacing w:line="460" w:lineRule="exact"/>
              <w:jc w:val="center"/>
              <w:rPr>
                <w:rFonts w:hint="eastAsia" w:cs="微软雅黑"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0"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6</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防水卷材</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大禹、禹王、东方雨虹</w:t>
            </w:r>
          </w:p>
        </w:tc>
        <w:tc>
          <w:tcPr>
            <w:tcW w:w="2721" w:type="dxa"/>
            <w:noWrap w:val="0"/>
            <w:vAlign w:val="center"/>
          </w:tcPr>
          <w:p>
            <w:pPr>
              <w:spacing w:line="460" w:lineRule="exact"/>
              <w:jc w:val="center"/>
              <w:rPr>
                <w:rFonts w:hint="eastAsia" w:cs="微软雅黑"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0"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7</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普通灯具</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雷士、飞利浦、欧普照明</w:t>
            </w:r>
          </w:p>
        </w:tc>
        <w:tc>
          <w:tcPr>
            <w:tcW w:w="2721" w:type="dxa"/>
            <w:noWrap w:val="0"/>
            <w:vAlign w:val="center"/>
          </w:tcPr>
          <w:p>
            <w:pPr>
              <w:spacing w:line="460" w:lineRule="exact"/>
              <w:jc w:val="center"/>
              <w:rPr>
                <w:rFonts w:hint="eastAsia" w:cs="微软雅黑"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0" w:type="dxa"/>
            <w:noWrap w:val="0"/>
            <w:vAlign w:val="center"/>
          </w:tcPr>
          <w:p>
            <w:pPr>
              <w:spacing w:line="460" w:lineRule="exact"/>
              <w:jc w:val="center"/>
              <w:rPr>
                <w:rFonts w:hint="eastAsia" w:cs="微软雅黑" w:asciiTheme="minorEastAsia" w:hAnsiTheme="minorEastAsia" w:eastAsiaTheme="minorEastAsia"/>
                <w:lang w:eastAsia="zh-CN"/>
              </w:rPr>
            </w:pPr>
            <w:r>
              <w:rPr>
                <w:rFonts w:hint="eastAsia" w:cs="微软雅黑" w:asciiTheme="minorEastAsia" w:hAnsiTheme="minorEastAsia" w:eastAsiaTheme="minorEastAsia"/>
                <w:lang w:val="en-US" w:eastAsia="zh-CN"/>
              </w:rPr>
              <w:t>8</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开关面板</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TCL、西门子、公牛</w:t>
            </w:r>
          </w:p>
        </w:tc>
        <w:tc>
          <w:tcPr>
            <w:tcW w:w="2721" w:type="dxa"/>
            <w:noWrap w:val="0"/>
            <w:vAlign w:val="center"/>
          </w:tcPr>
          <w:p>
            <w:pPr>
              <w:spacing w:line="460" w:lineRule="exact"/>
              <w:jc w:val="center"/>
              <w:rPr>
                <w:rFonts w:hint="eastAsia" w:cs="微软雅黑"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0" w:type="dxa"/>
            <w:noWrap w:val="0"/>
            <w:vAlign w:val="center"/>
          </w:tcPr>
          <w:p>
            <w:pPr>
              <w:spacing w:line="460" w:lineRule="exact"/>
              <w:jc w:val="center"/>
              <w:rPr>
                <w:rFonts w:hint="default" w:cs="微软雅黑" w:asciiTheme="minorEastAsia" w:hAnsiTheme="minorEastAsia" w:eastAsiaTheme="minorEastAsia"/>
                <w:lang w:val="en-US" w:eastAsia="zh-CN"/>
              </w:rPr>
            </w:pPr>
            <w:r>
              <w:rPr>
                <w:rFonts w:hint="eastAsia" w:cs="微软雅黑" w:asciiTheme="minorEastAsia" w:hAnsiTheme="minorEastAsia" w:eastAsiaTheme="minorEastAsia"/>
                <w:lang w:val="en-US" w:eastAsia="zh-CN"/>
              </w:rPr>
              <w:t>9</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电线/电缆</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远东、江南、上上</w:t>
            </w:r>
          </w:p>
        </w:tc>
        <w:tc>
          <w:tcPr>
            <w:tcW w:w="2721" w:type="dxa"/>
            <w:noWrap w:val="0"/>
            <w:vAlign w:val="center"/>
          </w:tcPr>
          <w:p>
            <w:pPr>
              <w:spacing w:line="460" w:lineRule="exact"/>
              <w:jc w:val="center"/>
              <w:rPr>
                <w:rFonts w:hint="eastAsia" w:cs="微软雅黑"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00" w:type="dxa"/>
            <w:noWrap w:val="0"/>
            <w:vAlign w:val="center"/>
          </w:tcPr>
          <w:p>
            <w:pPr>
              <w:spacing w:line="460" w:lineRule="exact"/>
              <w:jc w:val="center"/>
              <w:rPr>
                <w:rFonts w:hint="default" w:cs="微软雅黑" w:asciiTheme="minorEastAsia" w:hAnsiTheme="minorEastAsia" w:eastAsiaTheme="minorEastAsia"/>
                <w:lang w:val="en-US" w:eastAsia="zh-CN"/>
              </w:rPr>
            </w:pPr>
            <w:r>
              <w:rPr>
                <w:rFonts w:hint="eastAsia" w:cs="微软雅黑" w:asciiTheme="minorEastAsia" w:hAnsiTheme="minorEastAsia" w:eastAsiaTheme="minorEastAsia"/>
                <w:lang w:val="en-US" w:eastAsia="zh-CN"/>
              </w:rPr>
              <w:t>10</w:t>
            </w:r>
          </w:p>
        </w:tc>
        <w:tc>
          <w:tcPr>
            <w:tcW w:w="2636" w:type="dxa"/>
            <w:noWrap w:val="0"/>
            <w:vAlign w:val="center"/>
          </w:tcPr>
          <w:p>
            <w:pPr>
              <w:spacing w:line="460" w:lineRule="exact"/>
              <w:jc w:val="center"/>
              <w:rPr>
                <w:rFonts w:hint="default" w:cs="微软雅黑" w:asciiTheme="minorEastAsia" w:hAnsiTheme="minorEastAsia" w:eastAsiaTheme="minorEastAsia"/>
                <w:lang w:val="en-US" w:eastAsia="zh-CN"/>
              </w:rPr>
            </w:pPr>
            <w:r>
              <w:rPr>
                <w:rFonts w:hint="eastAsia" w:cs="微软雅黑" w:asciiTheme="minorEastAsia" w:hAnsiTheme="minorEastAsia" w:eastAsiaTheme="minorEastAsia"/>
              </w:rPr>
              <w:t>电箱</w:t>
            </w:r>
            <w:r>
              <w:rPr>
                <w:rFonts w:hint="eastAsia" w:cs="微软雅黑" w:asciiTheme="minorEastAsia" w:hAnsiTheme="minorEastAsia" w:eastAsiaTheme="minorEastAsia"/>
                <w:lang w:eastAsia="zh-CN"/>
              </w:rPr>
              <w:t>、</w:t>
            </w:r>
            <w:r>
              <w:rPr>
                <w:rFonts w:hint="eastAsia" w:cs="微软雅黑" w:asciiTheme="minorEastAsia" w:hAnsiTheme="minorEastAsia" w:eastAsiaTheme="minorEastAsia"/>
                <w:lang w:val="en-US" w:eastAsia="zh-CN"/>
              </w:rPr>
              <w:t>断路器</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公牛、西门子、ABB</w:t>
            </w:r>
          </w:p>
        </w:tc>
        <w:tc>
          <w:tcPr>
            <w:tcW w:w="2721" w:type="dxa"/>
            <w:noWrap w:val="0"/>
            <w:vAlign w:val="center"/>
          </w:tcPr>
          <w:p>
            <w:pPr>
              <w:spacing w:line="460" w:lineRule="exact"/>
              <w:jc w:val="center"/>
              <w:rPr>
                <w:rFonts w:hint="eastAsia" w:cs="微软雅黑"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pPr>
              <w:spacing w:line="460" w:lineRule="exact"/>
              <w:jc w:val="center"/>
              <w:rPr>
                <w:rFonts w:hint="default" w:cs="微软雅黑" w:asciiTheme="minorEastAsia" w:hAnsiTheme="minorEastAsia" w:eastAsiaTheme="minorEastAsia"/>
                <w:lang w:val="en-US" w:eastAsia="zh-CN"/>
              </w:rPr>
            </w:pPr>
            <w:r>
              <w:rPr>
                <w:rFonts w:hint="eastAsia" w:cs="微软雅黑" w:asciiTheme="minorEastAsia" w:hAnsiTheme="minorEastAsia" w:eastAsiaTheme="minorEastAsia"/>
                <w:lang w:val="en-US" w:eastAsia="zh-CN"/>
              </w:rPr>
              <w:t>11</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卫生洁具</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惠达、九牧、东鹏</w:t>
            </w:r>
          </w:p>
        </w:tc>
        <w:tc>
          <w:tcPr>
            <w:tcW w:w="2721" w:type="dxa"/>
            <w:noWrap w:val="0"/>
            <w:vAlign w:val="center"/>
          </w:tcPr>
          <w:p>
            <w:pPr>
              <w:spacing w:line="460" w:lineRule="exact"/>
              <w:jc w:val="center"/>
              <w:rPr>
                <w:rFonts w:hint="eastAsia" w:cs="微软雅黑"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00" w:type="dxa"/>
            <w:noWrap w:val="0"/>
            <w:vAlign w:val="center"/>
          </w:tcPr>
          <w:p>
            <w:pPr>
              <w:spacing w:line="460" w:lineRule="exact"/>
              <w:jc w:val="center"/>
              <w:rPr>
                <w:rFonts w:hint="default" w:cs="微软雅黑" w:asciiTheme="minorEastAsia" w:hAnsiTheme="minorEastAsia" w:eastAsiaTheme="minorEastAsia"/>
                <w:lang w:val="en-US" w:eastAsia="zh-CN"/>
              </w:rPr>
            </w:pPr>
            <w:r>
              <w:rPr>
                <w:rFonts w:hint="eastAsia" w:cs="微软雅黑" w:asciiTheme="minorEastAsia" w:hAnsiTheme="minorEastAsia" w:eastAsiaTheme="minorEastAsia"/>
                <w:lang w:val="en-US" w:eastAsia="zh-CN"/>
              </w:rPr>
              <w:t>12</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管材</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rPr>
              <w:t>伟星、公元、中财</w:t>
            </w:r>
          </w:p>
        </w:tc>
        <w:tc>
          <w:tcPr>
            <w:tcW w:w="2721" w:type="dxa"/>
            <w:noWrap w:val="0"/>
            <w:vAlign w:val="center"/>
          </w:tcPr>
          <w:p>
            <w:pPr>
              <w:spacing w:line="460" w:lineRule="exact"/>
              <w:jc w:val="center"/>
              <w:rPr>
                <w:rFonts w:hint="eastAsia" w:cs="微软雅黑"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00" w:type="dxa"/>
            <w:noWrap w:val="0"/>
            <w:vAlign w:val="center"/>
          </w:tcPr>
          <w:p>
            <w:pPr>
              <w:spacing w:line="460" w:lineRule="exact"/>
              <w:jc w:val="center"/>
              <w:rPr>
                <w:rFonts w:hint="default" w:cs="微软雅黑" w:asciiTheme="minorEastAsia" w:hAnsiTheme="minorEastAsia" w:eastAsiaTheme="minorEastAsia"/>
                <w:lang w:val="en-US" w:eastAsia="zh-CN"/>
              </w:rPr>
            </w:pPr>
            <w:r>
              <w:rPr>
                <w:rFonts w:hint="eastAsia" w:cs="微软雅黑" w:asciiTheme="minorEastAsia" w:hAnsiTheme="minorEastAsia" w:eastAsiaTheme="minorEastAsia"/>
                <w:lang w:val="en-US" w:eastAsia="zh-CN"/>
              </w:rPr>
              <w:t>13</w:t>
            </w:r>
          </w:p>
        </w:tc>
        <w:tc>
          <w:tcPr>
            <w:tcW w:w="2636"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lang w:val="en-US" w:eastAsia="zh-CN"/>
              </w:rPr>
              <w:t>阀门</w:t>
            </w:r>
          </w:p>
        </w:tc>
        <w:tc>
          <w:tcPr>
            <w:tcW w:w="4522" w:type="dxa"/>
            <w:noWrap w:val="0"/>
            <w:vAlign w:val="center"/>
          </w:tcPr>
          <w:p>
            <w:pPr>
              <w:spacing w:line="460" w:lineRule="exact"/>
              <w:jc w:val="center"/>
              <w:rPr>
                <w:rFonts w:hint="eastAsia" w:cs="微软雅黑" w:asciiTheme="minorEastAsia" w:hAnsiTheme="minorEastAsia" w:eastAsiaTheme="minorEastAsia"/>
              </w:rPr>
            </w:pPr>
            <w:r>
              <w:rPr>
                <w:rFonts w:hint="eastAsia" w:cs="微软雅黑" w:asciiTheme="minorEastAsia" w:hAnsiTheme="minorEastAsia" w:eastAsiaTheme="minorEastAsia"/>
                <w:lang w:val="en-US" w:eastAsia="zh-CN"/>
              </w:rPr>
              <w:t>上海标一、上海沪工、埃美柯</w:t>
            </w:r>
          </w:p>
        </w:tc>
        <w:tc>
          <w:tcPr>
            <w:tcW w:w="2721" w:type="dxa"/>
            <w:noWrap w:val="0"/>
            <w:vAlign w:val="center"/>
          </w:tcPr>
          <w:p>
            <w:pPr>
              <w:spacing w:line="460" w:lineRule="exact"/>
              <w:jc w:val="center"/>
              <w:rPr>
                <w:rFonts w:hint="eastAsia" w:cs="微软雅黑" w:asciiTheme="minorEastAsia" w:hAnsiTheme="minorEastAsia" w:eastAsiaTheme="minorEastAsia"/>
                <w:lang w:val="en-US" w:eastAsia="zh-CN"/>
              </w:rPr>
            </w:pPr>
          </w:p>
        </w:tc>
      </w:tr>
    </w:tbl>
    <w:p>
      <w:pPr>
        <w:pStyle w:val="65"/>
        <w:tabs>
          <w:tab w:val="left" w:pos="390"/>
          <w:tab w:val="center" w:pos="4404"/>
        </w:tabs>
        <w:spacing w:line="240" w:lineRule="auto"/>
        <w:jc w:val="left"/>
        <w:rPr>
          <w:rFonts w:hint="eastAsia" w:cs="微软雅黑" w:asciiTheme="minorEastAsia" w:hAnsiTheme="minorEastAsia" w:eastAsiaTheme="minorEastAsia"/>
          <w:b w:val="0"/>
          <w:bCs/>
          <w:lang w:val="en-US" w:eastAsia="zh-CN"/>
        </w:rPr>
      </w:pPr>
      <w:r>
        <w:rPr>
          <w:rFonts w:hint="eastAsia" w:cs="微软雅黑" w:asciiTheme="minorEastAsia" w:hAnsiTheme="minorEastAsia" w:eastAsiaTheme="minorEastAsia"/>
          <w:b w:val="0"/>
          <w:bCs/>
          <w:lang w:val="en-US" w:eastAsia="zh-CN"/>
        </w:rPr>
        <w:t>注：1、供应商必须按照采购人提供的品牌及质量要求报价，如使用其他品牌时，必须提供充分的依据，证明使用的材料质量高于或相当于本品牌产品，并得到采购人同意。</w:t>
      </w:r>
    </w:p>
    <w:p>
      <w:pPr>
        <w:pStyle w:val="65"/>
        <w:tabs>
          <w:tab w:val="left" w:pos="390"/>
          <w:tab w:val="center" w:pos="4404"/>
        </w:tabs>
        <w:spacing w:line="240" w:lineRule="auto"/>
        <w:jc w:val="left"/>
        <w:rPr>
          <w:rFonts w:hint="default" w:cs="微软雅黑" w:asciiTheme="minorEastAsia" w:hAnsiTheme="minorEastAsia" w:eastAsiaTheme="minorEastAsia"/>
          <w:b w:val="0"/>
          <w:bCs/>
          <w:lang w:val="en-US" w:eastAsia="zh-CN"/>
        </w:rPr>
      </w:pPr>
      <w:r>
        <w:rPr>
          <w:rFonts w:hint="eastAsia" w:cs="微软雅黑" w:asciiTheme="minorEastAsia" w:hAnsiTheme="minorEastAsia" w:eastAsiaTheme="minorEastAsia"/>
          <w:b w:val="0"/>
          <w:bCs/>
          <w:lang w:val="en-US" w:eastAsia="zh-CN"/>
        </w:rPr>
        <w:t>2、材料进场前应先申请经采购人同意后才可购买。</w:t>
      </w: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eastAsia="宋体" w:cs="宋体"/>
          <w:b/>
          <w:kern w:val="0"/>
          <w:sz w:val="21"/>
          <w:szCs w:val="21"/>
          <w:lang w:val="zh-CN"/>
        </w:rPr>
      </w:pPr>
    </w:p>
    <w:p>
      <w:pPr>
        <w:pStyle w:val="6"/>
        <w:keepNext w:val="0"/>
        <w:keepLines w:val="0"/>
        <w:adjustRightInd w:val="0"/>
        <w:snapToGrid w:val="0"/>
        <w:spacing w:before="240" w:after="240" w:line="276" w:lineRule="auto"/>
        <w:rPr>
          <w:rFonts w:hint="eastAsia" w:ascii="宋体" w:hAnsi="宋体" w:cs="宋体"/>
          <w:color w:val="000000"/>
          <w:sz w:val="21"/>
          <w:szCs w:val="21"/>
          <w:lang w:val="zh-CN"/>
        </w:rPr>
      </w:pPr>
      <w:r>
        <w:rPr>
          <w:rFonts w:hint="eastAsia" w:ascii="宋体" w:hAnsi="宋体" w:eastAsia="宋体" w:cs="宋体"/>
          <w:b/>
          <w:kern w:val="0"/>
          <w:sz w:val="21"/>
          <w:szCs w:val="21"/>
          <w:lang w:val="zh-CN"/>
        </w:rPr>
        <w:t>附件</w:t>
      </w:r>
      <w:r>
        <w:rPr>
          <w:rFonts w:hint="eastAsia" w:ascii="宋体" w:hAnsi="宋体" w:eastAsia="宋体" w:cs="宋体"/>
          <w:b/>
          <w:kern w:val="0"/>
          <w:sz w:val="21"/>
          <w:szCs w:val="21"/>
        </w:rPr>
        <w:t>四</w:t>
      </w:r>
      <w:r>
        <w:rPr>
          <w:rFonts w:hint="eastAsia" w:ascii="宋体" w:hAnsi="宋体" w:eastAsia="宋体" w:cs="宋体"/>
          <w:b/>
          <w:kern w:val="0"/>
          <w:sz w:val="21"/>
          <w:szCs w:val="21"/>
          <w:lang w:val="zh-CN"/>
        </w:rPr>
        <w:t>：</w:t>
      </w:r>
      <w:r>
        <w:rPr>
          <w:rFonts w:hint="eastAsia" w:ascii="宋体" w:hAnsi="宋体" w:cs="宋体"/>
          <w:color w:val="000000"/>
          <w:sz w:val="21"/>
          <w:szCs w:val="21"/>
          <w:lang w:val="zh-CN"/>
        </w:rPr>
        <w:t>资格证明文件</w:t>
      </w:r>
    </w:p>
    <w:p>
      <w:pPr>
        <w:rPr>
          <w:rFonts w:hint="eastAsia" w:ascii="宋体" w:hAnsi="宋体" w:eastAsia="宋体" w:cs="宋体"/>
          <w:b/>
          <w:kern w:val="0"/>
          <w:sz w:val="21"/>
          <w:szCs w:val="21"/>
          <w:lang w:val="zh-CN"/>
        </w:rPr>
      </w:pPr>
    </w:p>
    <w:p>
      <w:pPr>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br w:type="page"/>
      </w:r>
    </w:p>
    <w:p>
      <w:pPr>
        <w:widowControl/>
        <w:adjustRightInd w:val="0"/>
        <w:spacing w:line="460" w:lineRule="exact"/>
        <w:jc w:val="left"/>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附件</w:t>
      </w:r>
      <w:r>
        <w:rPr>
          <w:rFonts w:hint="eastAsia" w:ascii="宋体" w:hAnsi="宋体" w:eastAsia="宋体" w:cs="宋体"/>
          <w:b/>
          <w:kern w:val="0"/>
          <w:sz w:val="21"/>
          <w:szCs w:val="21"/>
        </w:rPr>
        <w:t>五</w:t>
      </w:r>
      <w:r>
        <w:rPr>
          <w:rFonts w:hint="eastAsia" w:ascii="宋体" w:hAnsi="宋体" w:eastAsia="宋体" w:cs="宋体"/>
          <w:b/>
          <w:kern w:val="0"/>
          <w:sz w:val="21"/>
          <w:szCs w:val="21"/>
          <w:lang w:val="zh-CN"/>
        </w:rPr>
        <w:t>：</w:t>
      </w:r>
      <w:r>
        <w:rPr>
          <w:rFonts w:hint="eastAsia" w:ascii="宋体" w:hAnsi="宋体" w:eastAsia="宋体" w:cs="宋体"/>
          <w:b/>
          <w:bCs/>
          <w:sz w:val="21"/>
          <w:szCs w:val="21"/>
        </w:rPr>
        <w:t>辅助资料表</w:t>
      </w:r>
    </w:p>
    <w:p>
      <w:pPr>
        <w:pStyle w:val="22"/>
        <w:adjustRightInd w:val="0"/>
        <w:snapToGrid w:val="0"/>
        <w:spacing w:line="460" w:lineRule="exact"/>
        <w:jc w:val="center"/>
        <w:rPr>
          <w:rFonts w:hint="eastAsia" w:ascii="宋体" w:hAnsi="宋体" w:eastAsia="宋体" w:cs="宋体"/>
          <w:sz w:val="21"/>
          <w:szCs w:val="21"/>
        </w:rPr>
      </w:pPr>
    </w:p>
    <w:p>
      <w:pPr>
        <w:jc w:val="center"/>
        <w:rPr>
          <w:rFonts w:hint="eastAsia" w:ascii="宋体" w:hAnsi="宋体" w:eastAsia="宋体" w:cs="宋体"/>
          <w:bCs/>
          <w:sz w:val="21"/>
          <w:szCs w:val="21"/>
        </w:rPr>
      </w:pPr>
      <w:r>
        <w:rPr>
          <w:rFonts w:hint="eastAsia" w:ascii="宋体" w:hAnsi="宋体" w:eastAsia="宋体" w:cs="宋体"/>
          <w:bCs/>
          <w:sz w:val="21"/>
          <w:szCs w:val="21"/>
        </w:rPr>
        <w:t>1、投标人基本情况表</w:t>
      </w:r>
    </w:p>
    <w:tbl>
      <w:tblPr>
        <w:tblStyle w:val="41"/>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197"/>
        <w:gridCol w:w="371"/>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222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电 话</w:t>
            </w:r>
          </w:p>
        </w:tc>
        <w:tc>
          <w:tcPr>
            <w:tcW w:w="222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网 址</w:t>
            </w:r>
          </w:p>
        </w:tc>
        <w:tc>
          <w:tcPr>
            <w:tcW w:w="222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rFonts w:hint="eastAsia" w:ascii="宋体" w:hAnsi="宋体" w:eastAsia="宋体" w:cs="宋体"/>
                <w:sz w:val="21"/>
                <w:szCs w:val="21"/>
              </w:rPr>
            </w:pPr>
            <w:r>
              <w:rPr>
                <w:rFonts w:hint="eastAsia" w:ascii="宋体" w:hAnsi="宋体" w:eastAsia="宋体" w:cs="宋体"/>
                <w:sz w:val="21"/>
                <w:szCs w:val="21"/>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p>
            <w:pPr>
              <w:topLinePunct/>
              <w:spacing w:line="440" w:lineRule="exact"/>
              <w:jc w:val="center"/>
              <w:rPr>
                <w:rFonts w:hint="eastAsia" w:ascii="宋体" w:hAnsi="宋体" w:eastAsia="宋体" w:cs="宋体"/>
                <w:sz w:val="21"/>
                <w:szCs w:val="21"/>
              </w:rPr>
            </w:pPr>
          </w:p>
          <w:p>
            <w:pPr>
              <w:topLinePunct/>
              <w:spacing w:line="440" w:lineRule="exact"/>
              <w:jc w:val="center"/>
              <w:rPr>
                <w:rFonts w:hint="eastAsia" w:ascii="宋体" w:hAnsi="宋体" w:eastAsia="宋体" w:cs="宋体"/>
                <w:sz w:val="21"/>
                <w:szCs w:val="21"/>
              </w:rPr>
            </w:pPr>
          </w:p>
          <w:p>
            <w:pPr>
              <w:topLinePunct/>
              <w:spacing w:line="440" w:lineRule="exact"/>
              <w:jc w:val="center"/>
              <w:rPr>
                <w:rFonts w:hint="eastAsia" w:ascii="宋体" w:hAnsi="宋体" w:eastAsia="宋体" w:cs="宋体"/>
                <w:sz w:val="21"/>
                <w:szCs w:val="21"/>
              </w:rPr>
            </w:pPr>
          </w:p>
          <w:p>
            <w:pPr>
              <w:topLinePunct/>
              <w:spacing w:line="44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r>
              <w:rPr>
                <w:rFonts w:hint="eastAsia" w:ascii="宋体" w:hAnsi="宋体" w:eastAsia="宋体" w:cs="宋体"/>
                <w:sz w:val="21"/>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 w:val="21"/>
                <w:szCs w:val="21"/>
              </w:rPr>
            </w:pPr>
          </w:p>
        </w:tc>
      </w:tr>
    </w:tbl>
    <w:p>
      <w:pPr>
        <w:pStyle w:val="22"/>
        <w:adjustRightInd w:val="0"/>
        <w:snapToGrid w:val="0"/>
        <w:spacing w:line="460" w:lineRule="exact"/>
        <w:rPr>
          <w:rFonts w:hint="eastAsia" w:ascii="宋体" w:hAnsi="宋体" w:eastAsia="宋体" w:cs="宋体"/>
          <w:sz w:val="21"/>
          <w:szCs w:val="21"/>
        </w:rPr>
      </w:pPr>
      <w:r>
        <w:rPr>
          <w:rFonts w:hint="eastAsia" w:ascii="宋体" w:hAnsi="宋体" w:eastAsia="宋体" w:cs="宋体"/>
          <w:kern w:val="0"/>
          <w:sz w:val="21"/>
          <w:szCs w:val="21"/>
        </w:rPr>
        <w:t>附：相关资格文件等，详见招标文件要求</w:t>
      </w:r>
    </w:p>
    <w:p>
      <w:pPr>
        <w:pStyle w:val="22"/>
        <w:adjustRightInd w:val="0"/>
        <w:snapToGrid w:val="0"/>
        <w:spacing w:line="460" w:lineRule="exact"/>
        <w:jc w:val="center"/>
        <w:rPr>
          <w:rFonts w:hint="eastAsia" w:ascii="宋体" w:hAnsi="宋体" w:eastAsia="宋体" w:cs="宋体"/>
          <w:sz w:val="21"/>
          <w:szCs w:val="21"/>
        </w:rPr>
      </w:pPr>
    </w:p>
    <w:p>
      <w:pPr>
        <w:pStyle w:val="22"/>
        <w:adjustRightInd w:val="0"/>
        <w:snapToGrid w:val="0"/>
        <w:spacing w:line="460" w:lineRule="exact"/>
        <w:jc w:val="center"/>
        <w:rPr>
          <w:rFonts w:hint="eastAsia" w:ascii="宋体" w:hAnsi="宋体" w:eastAsia="宋体" w:cs="宋体"/>
          <w:sz w:val="21"/>
          <w:szCs w:val="21"/>
        </w:rPr>
      </w:pPr>
    </w:p>
    <w:p>
      <w:pPr>
        <w:pStyle w:val="22"/>
        <w:adjustRightInd w:val="0"/>
        <w:snapToGrid w:val="0"/>
        <w:spacing w:line="460" w:lineRule="exact"/>
        <w:jc w:val="center"/>
        <w:rPr>
          <w:rFonts w:hint="eastAsia" w:ascii="宋体" w:hAnsi="宋体" w:eastAsia="宋体" w:cs="宋体"/>
          <w:sz w:val="21"/>
          <w:szCs w:val="21"/>
        </w:rPr>
      </w:pPr>
    </w:p>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2、项目负责人简历表</w:t>
      </w:r>
    </w:p>
    <w:p>
      <w:pPr>
        <w:pStyle w:val="22"/>
        <w:adjustRightInd w:val="0"/>
        <w:snapToGrid w:val="0"/>
        <w:spacing w:line="460" w:lineRule="exact"/>
        <w:jc w:val="center"/>
        <w:rPr>
          <w:rFonts w:hint="eastAsia" w:ascii="宋体" w:hAnsi="宋体" w:eastAsia="宋体" w:cs="宋体"/>
          <w:sz w:val="21"/>
          <w:szCs w:val="21"/>
        </w:rPr>
      </w:pPr>
    </w:p>
    <w:tbl>
      <w:tblPr>
        <w:tblStyle w:val="41"/>
        <w:tblW w:w="9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404"/>
        <w:gridCol w:w="930"/>
        <w:gridCol w:w="1234"/>
        <w:gridCol w:w="36"/>
        <w:gridCol w:w="209"/>
        <w:gridCol w:w="1582"/>
        <w:gridCol w:w="1747"/>
        <w:gridCol w:w="12"/>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05"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1334"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1479" w:type="dxa"/>
            <w:gridSpan w:val="3"/>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性别</w:t>
            </w:r>
          </w:p>
        </w:tc>
        <w:tc>
          <w:tcPr>
            <w:tcW w:w="1582"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759" w:type="dxa"/>
            <w:gridSpan w:val="2"/>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年龄</w:t>
            </w:r>
          </w:p>
        </w:tc>
        <w:tc>
          <w:tcPr>
            <w:tcW w:w="1741" w:type="dxa"/>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05"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职务</w:t>
            </w:r>
          </w:p>
        </w:tc>
        <w:tc>
          <w:tcPr>
            <w:tcW w:w="1334"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1479" w:type="dxa"/>
            <w:gridSpan w:val="3"/>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职称</w:t>
            </w:r>
          </w:p>
        </w:tc>
        <w:tc>
          <w:tcPr>
            <w:tcW w:w="1582"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759" w:type="dxa"/>
            <w:gridSpan w:val="2"/>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学历</w:t>
            </w:r>
          </w:p>
        </w:tc>
        <w:tc>
          <w:tcPr>
            <w:tcW w:w="1741" w:type="dxa"/>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09" w:type="dxa"/>
            <w:gridSpan w:val="2"/>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参加工作时间</w:t>
            </w:r>
          </w:p>
        </w:tc>
        <w:tc>
          <w:tcPr>
            <w:tcW w:w="2164"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3574" w:type="dxa"/>
            <w:gridSpan w:val="4"/>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从事项目经理年限</w:t>
            </w:r>
          </w:p>
        </w:tc>
        <w:tc>
          <w:tcPr>
            <w:tcW w:w="1753"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9500" w:type="dxa"/>
            <w:gridSpan w:val="10"/>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项目经理业绩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09" w:type="dxa"/>
            <w:gridSpan w:val="2"/>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2200" w:type="dxa"/>
            <w:gridSpan w:val="3"/>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中标日期</w:t>
            </w:r>
          </w:p>
        </w:tc>
        <w:tc>
          <w:tcPr>
            <w:tcW w:w="1791" w:type="dxa"/>
            <w:gridSpan w:val="2"/>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合同价</w:t>
            </w:r>
          </w:p>
        </w:tc>
        <w:tc>
          <w:tcPr>
            <w:tcW w:w="1747"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开工、竣工日期</w:t>
            </w:r>
          </w:p>
        </w:tc>
        <w:tc>
          <w:tcPr>
            <w:tcW w:w="1753" w:type="dxa"/>
            <w:gridSpan w:val="2"/>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09"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2200" w:type="dxa"/>
            <w:gridSpan w:val="3"/>
            <w:vAlign w:val="center"/>
          </w:tcPr>
          <w:p>
            <w:pPr>
              <w:pStyle w:val="22"/>
              <w:adjustRightInd w:val="0"/>
              <w:snapToGrid w:val="0"/>
              <w:spacing w:line="460" w:lineRule="exact"/>
              <w:jc w:val="center"/>
              <w:rPr>
                <w:rFonts w:hint="eastAsia" w:ascii="宋体" w:hAnsi="宋体" w:eastAsia="宋体" w:cs="宋体"/>
                <w:sz w:val="21"/>
                <w:szCs w:val="21"/>
              </w:rPr>
            </w:pPr>
          </w:p>
        </w:tc>
        <w:tc>
          <w:tcPr>
            <w:tcW w:w="1791"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1747"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753"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09"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2200" w:type="dxa"/>
            <w:gridSpan w:val="3"/>
            <w:vAlign w:val="center"/>
          </w:tcPr>
          <w:p>
            <w:pPr>
              <w:pStyle w:val="22"/>
              <w:adjustRightInd w:val="0"/>
              <w:snapToGrid w:val="0"/>
              <w:spacing w:line="460" w:lineRule="exact"/>
              <w:jc w:val="center"/>
              <w:rPr>
                <w:rFonts w:hint="eastAsia" w:ascii="宋体" w:hAnsi="宋体" w:eastAsia="宋体" w:cs="宋体"/>
                <w:sz w:val="21"/>
                <w:szCs w:val="21"/>
              </w:rPr>
            </w:pPr>
          </w:p>
        </w:tc>
        <w:tc>
          <w:tcPr>
            <w:tcW w:w="1791"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1747"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753"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09"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2200" w:type="dxa"/>
            <w:gridSpan w:val="3"/>
            <w:vAlign w:val="center"/>
          </w:tcPr>
          <w:p>
            <w:pPr>
              <w:pStyle w:val="22"/>
              <w:adjustRightInd w:val="0"/>
              <w:snapToGrid w:val="0"/>
              <w:spacing w:line="460" w:lineRule="exact"/>
              <w:jc w:val="center"/>
              <w:rPr>
                <w:rFonts w:hint="eastAsia" w:ascii="宋体" w:hAnsi="宋体" w:eastAsia="宋体" w:cs="宋体"/>
                <w:sz w:val="21"/>
                <w:szCs w:val="21"/>
              </w:rPr>
            </w:pPr>
          </w:p>
        </w:tc>
        <w:tc>
          <w:tcPr>
            <w:tcW w:w="1791"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1747"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753"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09"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2200" w:type="dxa"/>
            <w:gridSpan w:val="3"/>
            <w:vAlign w:val="center"/>
          </w:tcPr>
          <w:p>
            <w:pPr>
              <w:pStyle w:val="22"/>
              <w:adjustRightInd w:val="0"/>
              <w:snapToGrid w:val="0"/>
              <w:spacing w:line="460" w:lineRule="exact"/>
              <w:jc w:val="center"/>
              <w:rPr>
                <w:rFonts w:hint="eastAsia" w:ascii="宋体" w:hAnsi="宋体" w:eastAsia="宋体" w:cs="宋体"/>
                <w:sz w:val="21"/>
                <w:szCs w:val="21"/>
              </w:rPr>
            </w:pPr>
          </w:p>
        </w:tc>
        <w:tc>
          <w:tcPr>
            <w:tcW w:w="1791"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1747"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753"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09"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2200" w:type="dxa"/>
            <w:gridSpan w:val="3"/>
            <w:vAlign w:val="center"/>
          </w:tcPr>
          <w:p>
            <w:pPr>
              <w:pStyle w:val="22"/>
              <w:adjustRightInd w:val="0"/>
              <w:snapToGrid w:val="0"/>
              <w:spacing w:line="460" w:lineRule="exact"/>
              <w:jc w:val="center"/>
              <w:rPr>
                <w:rFonts w:hint="eastAsia" w:ascii="宋体" w:hAnsi="宋体" w:eastAsia="宋体" w:cs="宋体"/>
                <w:sz w:val="21"/>
                <w:szCs w:val="21"/>
              </w:rPr>
            </w:pPr>
          </w:p>
        </w:tc>
        <w:tc>
          <w:tcPr>
            <w:tcW w:w="1791"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1747"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753"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09"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2200" w:type="dxa"/>
            <w:gridSpan w:val="3"/>
            <w:vAlign w:val="center"/>
          </w:tcPr>
          <w:p>
            <w:pPr>
              <w:pStyle w:val="22"/>
              <w:adjustRightInd w:val="0"/>
              <w:snapToGrid w:val="0"/>
              <w:spacing w:line="460" w:lineRule="exact"/>
              <w:jc w:val="center"/>
              <w:rPr>
                <w:rFonts w:hint="eastAsia" w:ascii="宋体" w:hAnsi="宋体" w:eastAsia="宋体" w:cs="宋体"/>
                <w:sz w:val="21"/>
                <w:szCs w:val="21"/>
              </w:rPr>
            </w:pPr>
          </w:p>
        </w:tc>
        <w:tc>
          <w:tcPr>
            <w:tcW w:w="1791"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1747"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753"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09"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2200" w:type="dxa"/>
            <w:gridSpan w:val="3"/>
            <w:vAlign w:val="center"/>
          </w:tcPr>
          <w:p>
            <w:pPr>
              <w:pStyle w:val="22"/>
              <w:adjustRightInd w:val="0"/>
              <w:snapToGrid w:val="0"/>
              <w:spacing w:line="460" w:lineRule="exact"/>
              <w:jc w:val="center"/>
              <w:rPr>
                <w:rFonts w:hint="eastAsia" w:ascii="宋体" w:hAnsi="宋体" w:eastAsia="宋体" w:cs="宋体"/>
                <w:sz w:val="21"/>
                <w:szCs w:val="21"/>
              </w:rPr>
            </w:pPr>
          </w:p>
        </w:tc>
        <w:tc>
          <w:tcPr>
            <w:tcW w:w="1791"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1747"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753"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09"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2200" w:type="dxa"/>
            <w:gridSpan w:val="3"/>
            <w:vAlign w:val="center"/>
          </w:tcPr>
          <w:p>
            <w:pPr>
              <w:pStyle w:val="22"/>
              <w:adjustRightInd w:val="0"/>
              <w:snapToGrid w:val="0"/>
              <w:spacing w:line="460" w:lineRule="exact"/>
              <w:jc w:val="center"/>
              <w:rPr>
                <w:rFonts w:hint="eastAsia" w:ascii="宋体" w:hAnsi="宋体" w:eastAsia="宋体" w:cs="宋体"/>
                <w:sz w:val="21"/>
                <w:szCs w:val="21"/>
              </w:rPr>
            </w:pPr>
          </w:p>
        </w:tc>
        <w:tc>
          <w:tcPr>
            <w:tcW w:w="1791"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c>
          <w:tcPr>
            <w:tcW w:w="1747"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753" w:type="dxa"/>
            <w:gridSpan w:val="2"/>
            <w:vAlign w:val="center"/>
          </w:tcPr>
          <w:p>
            <w:pPr>
              <w:pStyle w:val="22"/>
              <w:adjustRightInd w:val="0"/>
              <w:snapToGrid w:val="0"/>
              <w:spacing w:line="460" w:lineRule="exact"/>
              <w:jc w:val="center"/>
              <w:rPr>
                <w:rFonts w:hint="eastAsia" w:ascii="宋体" w:hAnsi="宋体" w:eastAsia="宋体" w:cs="宋体"/>
                <w:sz w:val="21"/>
                <w:szCs w:val="21"/>
              </w:rPr>
            </w:pPr>
          </w:p>
        </w:tc>
      </w:tr>
    </w:tbl>
    <w:p>
      <w:pPr>
        <w:pStyle w:val="22"/>
        <w:adjustRightInd w:val="0"/>
        <w:snapToGrid w:val="0"/>
        <w:spacing w:line="460" w:lineRule="exact"/>
        <w:rPr>
          <w:rFonts w:hint="eastAsia" w:ascii="宋体" w:hAnsi="宋体" w:eastAsia="宋体" w:cs="宋体"/>
          <w:kern w:val="0"/>
          <w:sz w:val="21"/>
          <w:szCs w:val="21"/>
        </w:rPr>
      </w:pPr>
      <w:r>
        <w:rPr>
          <w:rFonts w:hint="eastAsia" w:ascii="宋体" w:hAnsi="宋体" w:eastAsia="宋体" w:cs="宋体"/>
          <w:kern w:val="0"/>
          <w:sz w:val="21"/>
          <w:szCs w:val="21"/>
        </w:rPr>
        <w:t>附：相关考核合格证书等，详见采购文件要求</w:t>
      </w:r>
    </w:p>
    <w:p>
      <w:pPr>
        <w:pStyle w:val="22"/>
        <w:adjustRightInd w:val="0"/>
        <w:snapToGrid w:val="0"/>
        <w:spacing w:line="460" w:lineRule="exact"/>
        <w:rPr>
          <w:rFonts w:hint="eastAsia" w:ascii="宋体" w:hAnsi="宋体" w:eastAsia="宋体" w:cs="宋体"/>
          <w:kern w:val="0"/>
          <w:sz w:val="21"/>
          <w:szCs w:val="21"/>
        </w:rPr>
      </w:pPr>
    </w:p>
    <w:p>
      <w:pPr>
        <w:pStyle w:val="22"/>
        <w:adjustRightInd w:val="0"/>
        <w:snapToGrid w:val="0"/>
        <w:spacing w:line="460" w:lineRule="exact"/>
        <w:rPr>
          <w:rFonts w:hint="eastAsia" w:ascii="宋体" w:hAnsi="宋体" w:eastAsia="宋体" w:cs="宋体"/>
          <w:kern w:val="0"/>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rPr>
          <w:rFonts w:hint="eastAsia" w:ascii="宋体" w:hAnsi="宋体" w:eastAsia="宋体" w:cs="宋体"/>
          <w:kern w:val="0"/>
          <w:sz w:val="21"/>
          <w:szCs w:val="21"/>
        </w:rPr>
      </w:pPr>
    </w:p>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主要施工管理人员表</w:t>
      </w:r>
    </w:p>
    <w:p>
      <w:pPr>
        <w:pStyle w:val="22"/>
        <w:adjustRightInd w:val="0"/>
        <w:snapToGrid w:val="0"/>
        <w:spacing w:line="460" w:lineRule="exact"/>
        <w:rPr>
          <w:rFonts w:hint="eastAsia" w:ascii="宋体" w:hAnsi="宋体" w:eastAsia="宋体" w:cs="宋体"/>
          <w:sz w:val="21"/>
          <w:szCs w:val="21"/>
        </w:rPr>
      </w:pPr>
    </w:p>
    <w:tbl>
      <w:tblPr>
        <w:tblStyle w:val="41"/>
        <w:tblW w:w="96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294"/>
        <w:gridCol w:w="1253"/>
        <w:gridCol w:w="1280"/>
        <w:gridCol w:w="1987"/>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2"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94"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名称</w:t>
            </w:r>
          </w:p>
        </w:tc>
        <w:tc>
          <w:tcPr>
            <w:tcW w:w="1253"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80"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职称</w:t>
            </w:r>
          </w:p>
        </w:tc>
        <w:tc>
          <w:tcPr>
            <w:tcW w:w="1987"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证书编号</w:t>
            </w:r>
          </w:p>
        </w:tc>
        <w:tc>
          <w:tcPr>
            <w:tcW w:w="3201"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2"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94" w:type="dxa"/>
            <w:vAlign w:val="center"/>
          </w:tcPr>
          <w:p>
            <w:pPr>
              <w:pStyle w:val="22"/>
              <w:adjustRightInd w:val="0"/>
              <w:snapToGrid w:val="0"/>
              <w:spacing w:line="460" w:lineRule="exact"/>
              <w:rPr>
                <w:rFonts w:hint="eastAsia" w:ascii="宋体" w:hAnsi="宋体" w:eastAsia="宋体" w:cs="宋体"/>
                <w:sz w:val="21"/>
                <w:szCs w:val="21"/>
              </w:rPr>
            </w:pPr>
          </w:p>
        </w:tc>
        <w:tc>
          <w:tcPr>
            <w:tcW w:w="1253" w:type="dxa"/>
            <w:vAlign w:val="center"/>
          </w:tcPr>
          <w:p>
            <w:pPr>
              <w:pStyle w:val="22"/>
              <w:adjustRightInd w:val="0"/>
              <w:snapToGrid w:val="0"/>
              <w:spacing w:line="460" w:lineRule="exact"/>
              <w:rPr>
                <w:rFonts w:hint="eastAsia" w:ascii="宋体" w:hAnsi="宋体" w:eastAsia="宋体" w:cs="宋体"/>
                <w:sz w:val="21"/>
                <w:szCs w:val="21"/>
              </w:rPr>
            </w:pPr>
          </w:p>
        </w:tc>
        <w:tc>
          <w:tcPr>
            <w:tcW w:w="1280" w:type="dxa"/>
            <w:vAlign w:val="center"/>
          </w:tcPr>
          <w:p>
            <w:pPr>
              <w:pStyle w:val="22"/>
              <w:adjustRightInd w:val="0"/>
              <w:snapToGrid w:val="0"/>
              <w:spacing w:line="460" w:lineRule="exact"/>
              <w:rPr>
                <w:rFonts w:hint="eastAsia" w:ascii="宋体" w:hAnsi="宋体" w:eastAsia="宋体" w:cs="宋体"/>
                <w:sz w:val="21"/>
                <w:szCs w:val="21"/>
              </w:rPr>
            </w:pPr>
          </w:p>
        </w:tc>
        <w:tc>
          <w:tcPr>
            <w:tcW w:w="1987" w:type="dxa"/>
            <w:vAlign w:val="center"/>
          </w:tcPr>
          <w:p>
            <w:pPr>
              <w:pStyle w:val="22"/>
              <w:adjustRightInd w:val="0"/>
              <w:snapToGrid w:val="0"/>
              <w:spacing w:line="460" w:lineRule="exact"/>
              <w:rPr>
                <w:rFonts w:hint="eastAsia" w:ascii="宋体" w:hAnsi="宋体" w:eastAsia="宋体" w:cs="宋体"/>
                <w:sz w:val="21"/>
                <w:szCs w:val="21"/>
              </w:rPr>
            </w:pPr>
          </w:p>
        </w:tc>
        <w:tc>
          <w:tcPr>
            <w:tcW w:w="3201" w:type="dxa"/>
            <w:vAlign w:val="center"/>
          </w:tcPr>
          <w:p>
            <w:pPr>
              <w:pStyle w:val="22"/>
              <w:adjustRightInd w:val="0"/>
              <w:snapToGrid w:val="0"/>
              <w:spacing w:line="4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2"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94" w:type="dxa"/>
            <w:vAlign w:val="center"/>
          </w:tcPr>
          <w:p>
            <w:pPr>
              <w:pStyle w:val="22"/>
              <w:adjustRightInd w:val="0"/>
              <w:snapToGrid w:val="0"/>
              <w:spacing w:line="460" w:lineRule="exact"/>
              <w:rPr>
                <w:rFonts w:hint="eastAsia" w:ascii="宋体" w:hAnsi="宋体" w:eastAsia="宋体" w:cs="宋体"/>
                <w:sz w:val="21"/>
                <w:szCs w:val="21"/>
              </w:rPr>
            </w:pPr>
          </w:p>
        </w:tc>
        <w:tc>
          <w:tcPr>
            <w:tcW w:w="1253" w:type="dxa"/>
            <w:vAlign w:val="center"/>
          </w:tcPr>
          <w:p>
            <w:pPr>
              <w:pStyle w:val="22"/>
              <w:adjustRightInd w:val="0"/>
              <w:snapToGrid w:val="0"/>
              <w:spacing w:line="460" w:lineRule="exact"/>
              <w:rPr>
                <w:rFonts w:hint="eastAsia" w:ascii="宋体" w:hAnsi="宋体" w:eastAsia="宋体" w:cs="宋体"/>
                <w:sz w:val="21"/>
                <w:szCs w:val="21"/>
              </w:rPr>
            </w:pPr>
          </w:p>
        </w:tc>
        <w:tc>
          <w:tcPr>
            <w:tcW w:w="1280" w:type="dxa"/>
            <w:vAlign w:val="center"/>
          </w:tcPr>
          <w:p>
            <w:pPr>
              <w:pStyle w:val="22"/>
              <w:adjustRightInd w:val="0"/>
              <w:snapToGrid w:val="0"/>
              <w:spacing w:line="460" w:lineRule="exact"/>
              <w:rPr>
                <w:rFonts w:hint="eastAsia" w:ascii="宋体" w:hAnsi="宋体" w:eastAsia="宋体" w:cs="宋体"/>
                <w:sz w:val="21"/>
                <w:szCs w:val="21"/>
              </w:rPr>
            </w:pPr>
          </w:p>
        </w:tc>
        <w:tc>
          <w:tcPr>
            <w:tcW w:w="1987" w:type="dxa"/>
            <w:vAlign w:val="center"/>
          </w:tcPr>
          <w:p>
            <w:pPr>
              <w:pStyle w:val="22"/>
              <w:adjustRightInd w:val="0"/>
              <w:snapToGrid w:val="0"/>
              <w:spacing w:line="460" w:lineRule="exact"/>
              <w:rPr>
                <w:rFonts w:hint="eastAsia" w:ascii="宋体" w:hAnsi="宋体" w:eastAsia="宋体" w:cs="宋体"/>
                <w:sz w:val="21"/>
                <w:szCs w:val="21"/>
              </w:rPr>
            </w:pPr>
          </w:p>
        </w:tc>
        <w:tc>
          <w:tcPr>
            <w:tcW w:w="3201" w:type="dxa"/>
            <w:vAlign w:val="center"/>
          </w:tcPr>
          <w:p>
            <w:pPr>
              <w:pStyle w:val="22"/>
              <w:adjustRightInd w:val="0"/>
              <w:snapToGrid w:val="0"/>
              <w:spacing w:line="4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2"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94" w:type="dxa"/>
            <w:vAlign w:val="center"/>
          </w:tcPr>
          <w:p>
            <w:pPr>
              <w:pStyle w:val="22"/>
              <w:adjustRightInd w:val="0"/>
              <w:snapToGrid w:val="0"/>
              <w:spacing w:line="460" w:lineRule="exact"/>
              <w:rPr>
                <w:rFonts w:hint="eastAsia" w:ascii="宋体" w:hAnsi="宋体" w:eastAsia="宋体" w:cs="宋体"/>
                <w:sz w:val="21"/>
                <w:szCs w:val="21"/>
              </w:rPr>
            </w:pPr>
          </w:p>
        </w:tc>
        <w:tc>
          <w:tcPr>
            <w:tcW w:w="1253" w:type="dxa"/>
            <w:vAlign w:val="center"/>
          </w:tcPr>
          <w:p>
            <w:pPr>
              <w:pStyle w:val="22"/>
              <w:adjustRightInd w:val="0"/>
              <w:snapToGrid w:val="0"/>
              <w:spacing w:line="460" w:lineRule="exact"/>
              <w:rPr>
                <w:rFonts w:hint="eastAsia" w:ascii="宋体" w:hAnsi="宋体" w:eastAsia="宋体" w:cs="宋体"/>
                <w:sz w:val="21"/>
                <w:szCs w:val="21"/>
              </w:rPr>
            </w:pPr>
          </w:p>
        </w:tc>
        <w:tc>
          <w:tcPr>
            <w:tcW w:w="1280" w:type="dxa"/>
            <w:vAlign w:val="center"/>
          </w:tcPr>
          <w:p>
            <w:pPr>
              <w:pStyle w:val="22"/>
              <w:adjustRightInd w:val="0"/>
              <w:snapToGrid w:val="0"/>
              <w:spacing w:line="460" w:lineRule="exact"/>
              <w:rPr>
                <w:rFonts w:hint="eastAsia" w:ascii="宋体" w:hAnsi="宋体" w:eastAsia="宋体" w:cs="宋体"/>
                <w:sz w:val="21"/>
                <w:szCs w:val="21"/>
              </w:rPr>
            </w:pPr>
          </w:p>
        </w:tc>
        <w:tc>
          <w:tcPr>
            <w:tcW w:w="1987" w:type="dxa"/>
            <w:vAlign w:val="center"/>
          </w:tcPr>
          <w:p>
            <w:pPr>
              <w:pStyle w:val="22"/>
              <w:adjustRightInd w:val="0"/>
              <w:snapToGrid w:val="0"/>
              <w:spacing w:line="460" w:lineRule="exact"/>
              <w:rPr>
                <w:rFonts w:hint="eastAsia" w:ascii="宋体" w:hAnsi="宋体" w:eastAsia="宋体" w:cs="宋体"/>
                <w:sz w:val="21"/>
                <w:szCs w:val="21"/>
              </w:rPr>
            </w:pPr>
          </w:p>
        </w:tc>
        <w:tc>
          <w:tcPr>
            <w:tcW w:w="3201" w:type="dxa"/>
            <w:vAlign w:val="center"/>
          </w:tcPr>
          <w:p>
            <w:pPr>
              <w:pStyle w:val="22"/>
              <w:adjustRightInd w:val="0"/>
              <w:snapToGrid w:val="0"/>
              <w:spacing w:line="4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2"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94" w:type="dxa"/>
            <w:vAlign w:val="center"/>
          </w:tcPr>
          <w:p>
            <w:pPr>
              <w:pStyle w:val="22"/>
              <w:adjustRightInd w:val="0"/>
              <w:snapToGrid w:val="0"/>
              <w:spacing w:line="460" w:lineRule="exact"/>
              <w:rPr>
                <w:rFonts w:hint="eastAsia" w:ascii="宋体" w:hAnsi="宋体" w:eastAsia="宋体" w:cs="宋体"/>
                <w:sz w:val="21"/>
                <w:szCs w:val="21"/>
              </w:rPr>
            </w:pPr>
          </w:p>
        </w:tc>
        <w:tc>
          <w:tcPr>
            <w:tcW w:w="1253" w:type="dxa"/>
            <w:vAlign w:val="center"/>
          </w:tcPr>
          <w:p>
            <w:pPr>
              <w:pStyle w:val="22"/>
              <w:adjustRightInd w:val="0"/>
              <w:snapToGrid w:val="0"/>
              <w:spacing w:line="460" w:lineRule="exact"/>
              <w:rPr>
                <w:rFonts w:hint="eastAsia" w:ascii="宋体" w:hAnsi="宋体" w:eastAsia="宋体" w:cs="宋体"/>
                <w:sz w:val="21"/>
                <w:szCs w:val="21"/>
              </w:rPr>
            </w:pPr>
          </w:p>
        </w:tc>
        <w:tc>
          <w:tcPr>
            <w:tcW w:w="1280" w:type="dxa"/>
            <w:vAlign w:val="center"/>
          </w:tcPr>
          <w:p>
            <w:pPr>
              <w:pStyle w:val="22"/>
              <w:adjustRightInd w:val="0"/>
              <w:snapToGrid w:val="0"/>
              <w:spacing w:line="460" w:lineRule="exact"/>
              <w:rPr>
                <w:rFonts w:hint="eastAsia" w:ascii="宋体" w:hAnsi="宋体" w:eastAsia="宋体" w:cs="宋体"/>
                <w:sz w:val="21"/>
                <w:szCs w:val="21"/>
              </w:rPr>
            </w:pPr>
          </w:p>
        </w:tc>
        <w:tc>
          <w:tcPr>
            <w:tcW w:w="1987" w:type="dxa"/>
            <w:vAlign w:val="center"/>
          </w:tcPr>
          <w:p>
            <w:pPr>
              <w:pStyle w:val="22"/>
              <w:adjustRightInd w:val="0"/>
              <w:snapToGrid w:val="0"/>
              <w:spacing w:line="460" w:lineRule="exact"/>
              <w:rPr>
                <w:rFonts w:hint="eastAsia" w:ascii="宋体" w:hAnsi="宋体" w:eastAsia="宋体" w:cs="宋体"/>
                <w:sz w:val="21"/>
                <w:szCs w:val="21"/>
              </w:rPr>
            </w:pPr>
          </w:p>
        </w:tc>
        <w:tc>
          <w:tcPr>
            <w:tcW w:w="3201" w:type="dxa"/>
            <w:vAlign w:val="center"/>
          </w:tcPr>
          <w:p>
            <w:pPr>
              <w:pStyle w:val="22"/>
              <w:adjustRightInd w:val="0"/>
              <w:snapToGrid w:val="0"/>
              <w:spacing w:line="4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2"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94" w:type="dxa"/>
            <w:vAlign w:val="center"/>
          </w:tcPr>
          <w:p>
            <w:pPr>
              <w:pStyle w:val="22"/>
              <w:adjustRightInd w:val="0"/>
              <w:snapToGrid w:val="0"/>
              <w:spacing w:line="460" w:lineRule="exact"/>
              <w:rPr>
                <w:rFonts w:hint="eastAsia" w:ascii="宋体" w:hAnsi="宋体" w:eastAsia="宋体" w:cs="宋体"/>
                <w:sz w:val="21"/>
                <w:szCs w:val="21"/>
              </w:rPr>
            </w:pPr>
          </w:p>
        </w:tc>
        <w:tc>
          <w:tcPr>
            <w:tcW w:w="1253" w:type="dxa"/>
            <w:vAlign w:val="center"/>
          </w:tcPr>
          <w:p>
            <w:pPr>
              <w:pStyle w:val="22"/>
              <w:adjustRightInd w:val="0"/>
              <w:snapToGrid w:val="0"/>
              <w:spacing w:line="460" w:lineRule="exact"/>
              <w:rPr>
                <w:rFonts w:hint="eastAsia" w:ascii="宋体" w:hAnsi="宋体" w:eastAsia="宋体" w:cs="宋体"/>
                <w:sz w:val="21"/>
                <w:szCs w:val="21"/>
              </w:rPr>
            </w:pPr>
          </w:p>
        </w:tc>
        <w:tc>
          <w:tcPr>
            <w:tcW w:w="1280" w:type="dxa"/>
            <w:vAlign w:val="center"/>
          </w:tcPr>
          <w:p>
            <w:pPr>
              <w:pStyle w:val="22"/>
              <w:adjustRightInd w:val="0"/>
              <w:snapToGrid w:val="0"/>
              <w:spacing w:line="460" w:lineRule="exact"/>
              <w:rPr>
                <w:rFonts w:hint="eastAsia" w:ascii="宋体" w:hAnsi="宋体" w:eastAsia="宋体" w:cs="宋体"/>
                <w:sz w:val="21"/>
                <w:szCs w:val="21"/>
              </w:rPr>
            </w:pPr>
          </w:p>
        </w:tc>
        <w:tc>
          <w:tcPr>
            <w:tcW w:w="1987" w:type="dxa"/>
            <w:vAlign w:val="center"/>
          </w:tcPr>
          <w:p>
            <w:pPr>
              <w:pStyle w:val="22"/>
              <w:adjustRightInd w:val="0"/>
              <w:snapToGrid w:val="0"/>
              <w:spacing w:line="460" w:lineRule="exact"/>
              <w:rPr>
                <w:rFonts w:hint="eastAsia" w:ascii="宋体" w:hAnsi="宋体" w:eastAsia="宋体" w:cs="宋体"/>
                <w:sz w:val="21"/>
                <w:szCs w:val="21"/>
              </w:rPr>
            </w:pPr>
          </w:p>
        </w:tc>
        <w:tc>
          <w:tcPr>
            <w:tcW w:w="3201" w:type="dxa"/>
            <w:vAlign w:val="center"/>
          </w:tcPr>
          <w:p>
            <w:pPr>
              <w:pStyle w:val="22"/>
              <w:adjustRightInd w:val="0"/>
              <w:snapToGrid w:val="0"/>
              <w:spacing w:line="4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2" w:type="dxa"/>
            <w:vAlign w:val="center"/>
          </w:tcPr>
          <w:p>
            <w:pPr>
              <w:pStyle w:val="22"/>
              <w:adjustRightInd w:val="0"/>
              <w:snapToGrid w:val="0"/>
              <w:spacing w:line="460" w:lineRule="exact"/>
              <w:rPr>
                <w:rFonts w:hint="eastAsia" w:ascii="宋体" w:hAnsi="宋体" w:eastAsia="宋体" w:cs="宋体"/>
                <w:sz w:val="21"/>
                <w:szCs w:val="21"/>
              </w:rPr>
            </w:pPr>
          </w:p>
        </w:tc>
        <w:tc>
          <w:tcPr>
            <w:tcW w:w="1294" w:type="dxa"/>
            <w:vAlign w:val="center"/>
          </w:tcPr>
          <w:p>
            <w:pPr>
              <w:pStyle w:val="22"/>
              <w:adjustRightInd w:val="0"/>
              <w:snapToGrid w:val="0"/>
              <w:spacing w:line="460" w:lineRule="exact"/>
              <w:rPr>
                <w:rFonts w:hint="eastAsia" w:ascii="宋体" w:hAnsi="宋体" w:eastAsia="宋体" w:cs="宋体"/>
                <w:sz w:val="21"/>
                <w:szCs w:val="21"/>
              </w:rPr>
            </w:pPr>
          </w:p>
        </w:tc>
        <w:tc>
          <w:tcPr>
            <w:tcW w:w="1253" w:type="dxa"/>
            <w:vAlign w:val="center"/>
          </w:tcPr>
          <w:p>
            <w:pPr>
              <w:pStyle w:val="22"/>
              <w:adjustRightInd w:val="0"/>
              <w:snapToGrid w:val="0"/>
              <w:spacing w:line="460" w:lineRule="exact"/>
              <w:rPr>
                <w:rFonts w:hint="eastAsia" w:ascii="宋体" w:hAnsi="宋体" w:eastAsia="宋体" w:cs="宋体"/>
                <w:sz w:val="21"/>
                <w:szCs w:val="21"/>
              </w:rPr>
            </w:pPr>
          </w:p>
        </w:tc>
        <w:tc>
          <w:tcPr>
            <w:tcW w:w="1280" w:type="dxa"/>
            <w:vAlign w:val="center"/>
          </w:tcPr>
          <w:p>
            <w:pPr>
              <w:pStyle w:val="22"/>
              <w:adjustRightInd w:val="0"/>
              <w:snapToGrid w:val="0"/>
              <w:spacing w:line="460" w:lineRule="exact"/>
              <w:rPr>
                <w:rFonts w:hint="eastAsia" w:ascii="宋体" w:hAnsi="宋体" w:eastAsia="宋体" w:cs="宋体"/>
                <w:sz w:val="21"/>
                <w:szCs w:val="21"/>
              </w:rPr>
            </w:pPr>
          </w:p>
        </w:tc>
        <w:tc>
          <w:tcPr>
            <w:tcW w:w="1987" w:type="dxa"/>
            <w:vAlign w:val="center"/>
          </w:tcPr>
          <w:p>
            <w:pPr>
              <w:pStyle w:val="22"/>
              <w:adjustRightInd w:val="0"/>
              <w:snapToGrid w:val="0"/>
              <w:spacing w:line="460" w:lineRule="exact"/>
              <w:rPr>
                <w:rFonts w:hint="eastAsia" w:ascii="宋体" w:hAnsi="宋体" w:eastAsia="宋体" w:cs="宋体"/>
                <w:sz w:val="21"/>
                <w:szCs w:val="21"/>
              </w:rPr>
            </w:pPr>
          </w:p>
        </w:tc>
        <w:tc>
          <w:tcPr>
            <w:tcW w:w="3201" w:type="dxa"/>
            <w:vAlign w:val="center"/>
          </w:tcPr>
          <w:p>
            <w:pPr>
              <w:pStyle w:val="22"/>
              <w:adjustRightInd w:val="0"/>
              <w:snapToGrid w:val="0"/>
              <w:spacing w:line="4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2"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94" w:type="dxa"/>
            <w:vAlign w:val="center"/>
          </w:tcPr>
          <w:p>
            <w:pPr>
              <w:pStyle w:val="22"/>
              <w:adjustRightInd w:val="0"/>
              <w:snapToGrid w:val="0"/>
              <w:spacing w:line="460" w:lineRule="exact"/>
              <w:rPr>
                <w:rFonts w:hint="eastAsia" w:ascii="宋体" w:hAnsi="宋体" w:eastAsia="宋体" w:cs="宋体"/>
                <w:sz w:val="21"/>
                <w:szCs w:val="21"/>
              </w:rPr>
            </w:pPr>
          </w:p>
        </w:tc>
        <w:tc>
          <w:tcPr>
            <w:tcW w:w="1253" w:type="dxa"/>
            <w:vAlign w:val="center"/>
          </w:tcPr>
          <w:p>
            <w:pPr>
              <w:pStyle w:val="22"/>
              <w:adjustRightInd w:val="0"/>
              <w:snapToGrid w:val="0"/>
              <w:spacing w:line="460" w:lineRule="exact"/>
              <w:rPr>
                <w:rFonts w:hint="eastAsia" w:ascii="宋体" w:hAnsi="宋体" w:eastAsia="宋体" w:cs="宋体"/>
                <w:sz w:val="21"/>
                <w:szCs w:val="21"/>
              </w:rPr>
            </w:pPr>
          </w:p>
        </w:tc>
        <w:tc>
          <w:tcPr>
            <w:tcW w:w="1280" w:type="dxa"/>
            <w:vAlign w:val="center"/>
          </w:tcPr>
          <w:p>
            <w:pPr>
              <w:pStyle w:val="22"/>
              <w:adjustRightInd w:val="0"/>
              <w:snapToGrid w:val="0"/>
              <w:spacing w:line="460" w:lineRule="exact"/>
              <w:rPr>
                <w:rFonts w:hint="eastAsia" w:ascii="宋体" w:hAnsi="宋体" w:eastAsia="宋体" w:cs="宋体"/>
                <w:sz w:val="21"/>
                <w:szCs w:val="21"/>
              </w:rPr>
            </w:pPr>
          </w:p>
        </w:tc>
        <w:tc>
          <w:tcPr>
            <w:tcW w:w="1987" w:type="dxa"/>
            <w:vAlign w:val="center"/>
          </w:tcPr>
          <w:p>
            <w:pPr>
              <w:pStyle w:val="22"/>
              <w:adjustRightInd w:val="0"/>
              <w:snapToGrid w:val="0"/>
              <w:spacing w:line="460" w:lineRule="exact"/>
              <w:rPr>
                <w:rFonts w:hint="eastAsia" w:ascii="宋体" w:hAnsi="宋体" w:eastAsia="宋体" w:cs="宋体"/>
                <w:sz w:val="21"/>
                <w:szCs w:val="21"/>
              </w:rPr>
            </w:pPr>
          </w:p>
        </w:tc>
        <w:tc>
          <w:tcPr>
            <w:tcW w:w="3201" w:type="dxa"/>
            <w:vAlign w:val="center"/>
          </w:tcPr>
          <w:p>
            <w:pPr>
              <w:pStyle w:val="22"/>
              <w:adjustRightInd w:val="0"/>
              <w:snapToGrid w:val="0"/>
              <w:spacing w:line="4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2" w:type="dxa"/>
            <w:vAlign w:val="center"/>
          </w:tcPr>
          <w:p>
            <w:pPr>
              <w:pStyle w:val="22"/>
              <w:adjustRightInd w:val="0"/>
              <w:snapToGrid w:val="0"/>
              <w:spacing w:line="460" w:lineRule="exact"/>
              <w:ind w:firstLine="210"/>
              <w:jc w:val="center"/>
              <w:rPr>
                <w:rFonts w:hint="eastAsia" w:ascii="宋体" w:hAnsi="宋体" w:eastAsia="宋体" w:cs="宋体"/>
                <w:sz w:val="21"/>
                <w:szCs w:val="21"/>
              </w:rPr>
            </w:pPr>
          </w:p>
        </w:tc>
        <w:tc>
          <w:tcPr>
            <w:tcW w:w="1294" w:type="dxa"/>
            <w:vAlign w:val="center"/>
          </w:tcPr>
          <w:p>
            <w:pPr>
              <w:pStyle w:val="22"/>
              <w:adjustRightInd w:val="0"/>
              <w:snapToGrid w:val="0"/>
              <w:spacing w:line="460" w:lineRule="exact"/>
              <w:rPr>
                <w:rFonts w:hint="eastAsia" w:ascii="宋体" w:hAnsi="宋体" w:eastAsia="宋体" w:cs="宋体"/>
                <w:sz w:val="21"/>
                <w:szCs w:val="21"/>
              </w:rPr>
            </w:pPr>
          </w:p>
        </w:tc>
        <w:tc>
          <w:tcPr>
            <w:tcW w:w="1253" w:type="dxa"/>
            <w:vAlign w:val="center"/>
          </w:tcPr>
          <w:p>
            <w:pPr>
              <w:pStyle w:val="22"/>
              <w:adjustRightInd w:val="0"/>
              <w:snapToGrid w:val="0"/>
              <w:spacing w:line="460" w:lineRule="exact"/>
              <w:rPr>
                <w:rFonts w:hint="eastAsia" w:ascii="宋体" w:hAnsi="宋体" w:eastAsia="宋体" w:cs="宋体"/>
                <w:sz w:val="21"/>
                <w:szCs w:val="21"/>
              </w:rPr>
            </w:pPr>
          </w:p>
        </w:tc>
        <w:tc>
          <w:tcPr>
            <w:tcW w:w="1280" w:type="dxa"/>
            <w:vAlign w:val="center"/>
          </w:tcPr>
          <w:p>
            <w:pPr>
              <w:pStyle w:val="22"/>
              <w:adjustRightInd w:val="0"/>
              <w:snapToGrid w:val="0"/>
              <w:spacing w:line="460" w:lineRule="exact"/>
              <w:rPr>
                <w:rFonts w:hint="eastAsia" w:ascii="宋体" w:hAnsi="宋体" w:eastAsia="宋体" w:cs="宋体"/>
                <w:sz w:val="21"/>
                <w:szCs w:val="21"/>
              </w:rPr>
            </w:pPr>
          </w:p>
        </w:tc>
        <w:tc>
          <w:tcPr>
            <w:tcW w:w="1987" w:type="dxa"/>
            <w:vAlign w:val="center"/>
          </w:tcPr>
          <w:p>
            <w:pPr>
              <w:pStyle w:val="22"/>
              <w:adjustRightInd w:val="0"/>
              <w:snapToGrid w:val="0"/>
              <w:spacing w:line="460" w:lineRule="exact"/>
              <w:rPr>
                <w:rFonts w:hint="eastAsia" w:ascii="宋体" w:hAnsi="宋体" w:eastAsia="宋体" w:cs="宋体"/>
                <w:sz w:val="21"/>
                <w:szCs w:val="21"/>
              </w:rPr>
            </w:pPr>
          </w:p>
        </w:tc>
        <w:tc>
          <w:tcPr>
            <w:tcW w:w="3201" w:type="dxa"/>
            <w:vAlign w:val="center"/>
          </w:tcPr>
          <w:p>
            <w:pPr>
              <w:pStyle w:val="22"/>
              <w:adjustRightInd w:val="0"/>
              <w:snapToGrid w:val="0"/>
              <w:spacing w:line="460" w:lineRule="exact"/>
              <w:rPr>
                <w:rFonts w:hint="eastAsia" w:ascii="宋体" w:hAnsi="宋体" w:eastAsia="宋体" w:cs="宋体"/>
                <w:sz w:val="21"/>
                <w:szCs w:val="21"/>
              </w:rPr>
            </w:pPr>
          </w:p>
        </w:tc>
      </w:tr>
    </w:tbl>
    <w:p>
      <w:pPr>
        <w:rPr>
          <w:rFonts w:hint="eastAsia" w:ascii="宋体" w:hAnsi="宋体" w:eastAsia="宋体" w:cs="宋体"/>
          <w:kern w:val="0"/>
          <w:sz w:val="21"/>
          <w:szCs w:val="21"/>
        </w:rPr>
      </w:pPr>
      <w:r>
        <w:rPr>
          <w:rFonts w:hint="eastAsia" w:ascii="宋体" w:hAnsi="宋体" w:eastAsia="宋体" w:cs="宋体"/>
          <w:kern w:val="0"/>
          <w:sz w:val="21"/>
          <w:szCs w:val="21"/>
        </w:rPr>
        <w:t>附：相关证书及社会保险缴费证明等，详见采购文件要求。</w:t>
      </w:r>
    </w:p>
    <w:p>
      <w:pPr>
        <w:rPr>
          <w:rFonts w:hint="eastAsia" w:ascii="宋体" w:hAnsi="宋体" w:eastAsia="宋体" w:cs="宋体"/>
          <w:kern w:val="0"/>
          <w:sz w:val="21"/>
          <w:szCs w:val="21"/>
        </w:rPr>
      </w:pPr>
    </w:p>
    <w:p>
      <w:pPr>
        <w:rPr>
          <w:rFonts w:hint="eastAsia" w:ascii="宋体" w:hAnsi="宋体" w:eastAsia="宋体" w:cs="宋体"/>
          <w:kern w:val="0"/>
          <w:sz w:val="21"/>
          <w:szCs w:val="21"/>
        </w:rPr>
      </w:pPr>
    </w:p>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kern w:val="0"/>
          <w:sz w:val="21"/>
          <w:szCs w:val="21"/>
        </w:rPr>
        <w:br w:type="page"/>
      </w:r>
      <w:r>
        <w:rPr>
          <w:rFonts w:hint="eastAsia" w:ascii="宋体" w:hAnsi="宋体" w:eastAsia="宋体" w:cs="宋体"/>
          <w:kern w:val="0"/>
          <w:sz w:val="21"/>
          <w:szCs w:val="21"/>
        </w:rPr>
        <w:t>5、近年来完成的</w:t>
      </w:r>
      <w:r>
        <w:rPr>
          <w:rFonts w:hint="eastAsia" w:ascii="宋体" w:hAnsi="宋体" w:eastAsia="宋体" w:cs="宋体"/>
          <w:sz w:val="21"/>
          <w:szCs w:val="21"/>
        </w:rPr>
        <w:t>类似业绩情况表</w:t>
      </w:r>
    </w:p>
    <w:p>
      <w:pPr>
        <w:pStyle w:val="22"/>
        <w:adjustRightInd w:val="0"/>
        <w:snapToGrid w:val="0"/>
        <w:spacing w:line="460" w:lineRule="exact"/>
        <w:rPr>
          <w:rFonts w:hint="eastAsia" w:ascii="宋体" w:hAnsi="宋体" w:eastAsia="宋体" w:cs="宋体"/>
          <w:sz w:val="21"/>
          <w:szCs w:val="21"/>
        </w:rPr>
      </w:pPr>
    </w:p>
    <w:tbl>
      <w:tblPr>
        <w:tblStyle w:val="41"/>
        <w:tblW w:w="91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410"/>
        <w:gridCol w:w="1205"/>
        <w:gridCol w:w="1205"/>
        <w:gridCol w:w="1205"/>
        <w:gridCol w:w="1196"/>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62"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10"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中标日期</w:t>
            </w: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合同价</w:t>
            </w: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开工、竣工</w:t>
            </w:r>
          </w:p>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日期</w:t>
            </w:r>
          </w:p>
        </w:tc>
        <w:tc>
          <w:tcPr>
            <w:tcW w:w="1196"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334"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62"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2410"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196"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334" w:type="dxa"/>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62"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2410"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196"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334" w:type="dxa"/>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62"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2410"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196"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334" w:type="dxa"/>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62"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2410"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196"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334" w:type="dxa"/>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62"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2410"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196"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334" w:type="dxa"/>
            <w:vAlign w:val="center"/>
          </w:tcPr>
          <w:p>
            <w:pPr>
              <w:pStyle w:val="22"/>
              <w:adjustRightInd w:val="0"/>
              <w:snapToGrid w:val="0"/>
              <w:spacing w:line="4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62" w:type="dxa"/>
            <w:vAlign w:val="center"/>
          </w:tcPr>
          <w:p>
            <w:pPr>
              <w:pStyle w:val="22"/>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2410"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205"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196" w:type="dxa"/>
            <w:vAlign w:val="center"/>
          </w:tcPr>
          <w:p>
            <w:pPr>
              <w:pStyle w:val="22"/>
              <w:adjustRightInd w:val="0"/>
              <w:snapToGrid w:val="0"/>
              <w:spacing w:line="460" w:lineRule="exact"/>
              <w:jc w:val="center"/>
              <w:rPr>
                <w:rFonts w:hint="eastAsia" w:ascii="宋体" w:hAnsi="宋体" w:eastAsia="宋体" w:cs="宋体"/>
                <w:sz w:val="21"/>
                <w:szCs w:val="21"/>
              </w:rPr>
            </w:pPr>
          </w:p>
        </w:tc>
        <w:tc>
          <w:tcPr>
            <w:tcW w:w="1334" w:type="dxa"/>
            <w:vAlign w:val="center"/>
          </w:tcPr>
          <w:p>
            <w:pPr>
              <w:pStyle w:val="22"/>
              <w:adjustRightInd w:val="0"/>
              <w:snapToGrid w:val="0"/>
              <w:spacing w:line="460" w:lineRule="exact"/>
              <w:jc w:val="center"/>
              <w:rPr>
                <w:rFonts w:hint="eastAsia" w:ascii="宋体" w:hAnsi="宋体" w:eastAsia="宋体" w:cs="宋体"/>
                <w:sz w:val="21"/>
                <w:szCs w:val="21"/>
              </w:rPr>
            </w:pPr>
          </w:p>
        </w:tc>
      </w:tr>
    </w:tbl>
    <w:p>
      <w:pPr>
        <w:rPr>
          <w:rFonts w:hint="eastAsia" w:ascii="宋体" w:hAnsi="宋体" w:eastAsia="宋体" w:cs="宋体"/>
          <w:kern w:val="0"/>
          <w:sz w:val="21"/>
          <w:szCs w:val="21"/>
        </w:rPr>
      </w:pPr>
      <w:r>
        <w:rPr>
          <w:rFonts w:hint="eastAsia" w:ascii="宋体" w:hAnsi="宋体" w:eastAsia="宋体" w:cs="宋体"/>
          <w:kern w:val="0"/>
          <w:sz w:val="21"/>
          <w:szCs w:val="21"/>
        </w:rPr>
        <w:t>附：业绩证明材料，详见采购文件要求。</w:t>
      </w:r>
    </w:p>
    <w:p>
      <w:pPr>
        <w:pStyle w:val="7"/>
        <w:rPr>
          <w:rFonts w:hint="eastAsia" w:ascii="宋体" w:hAnsi="宋体" w:eastAsia="宋体" w:cs="宋体"/>
          <w:sz w:val="21"/>
          <w:szCs w:val="21"/>
        </w:rPr>
      </w:pPr>
    </w:p>
    <w:p>
      <w:pPr>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br w:type="page"/>
      </w:r>
    </w:p>
    <w:p>
      <w:pPr>
        <w:widowControl/>
        <w:snapToGrid w:val="0"/>
        <w:spacing w:line="460" w:lineRule="exact"/>
        <w:jc w:val="left"/>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附件</w:t>
      </w:r>
      <w:r>
        <w:rPr>
          <w:rFonts w:hint="eastAsia" w:ascii="宋体" w:hAnsi="宋体" w:eastAsia="宋体" w:cs="宋体"/>
          <w:b/>
          <w:kern w:val="0"/>
          <w:sz w:val="21"/>
          <w:szCs w:val="21"/>
        </w:rPr>
        <w:t>六</w:t>
      </w:r>
      <w:r>
        <w:rPr>
          <w:rFonts w:hint="eastAsia" w:ascii="宋体" w:hAnsi="宋体" w:eastAsia="宋体" w:cs="宋体"/>
          <w:b/>
          <w:kern w:val="0"/>
          <w:sz w:val="21"/>
          <w:szCs w:val="21"/>
          <w:lang w:val="zh-CN"/>
        </w:rPr>
        <w:t>：技术条款偏离表格式</w:t>
      </w:r>
    </w:p>
    <w:p>
      <w:pPr>
        <w:widowControl/>
        <w:adjustRightInd w:val="0"/>
        <w:spacing w:line="460" w:lineRule="exact"/>
        <w:ind w:left="420"/>
        <w:jc w:val="center"/>
        <w:outlineLvl w:val="0"/>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技术条款偏离表</w:t>
      </w:r>
    </w:p>
    <w:tbl>
      <w:tblPr>
        <w:tblStyle w:val="41"/>
        <w:tblW w:w="9435" w:type="dxa"/>
        <w:jc w:val="center"/>
        <w:tblLayout w:type="fixed"/>
        <w:tblCellMar>
          <w:top w:w="0" w:type="dxa"/>
          <w:left w:w="0" w:type="dxa"/>
          <w:bottom w:w="0" w:type="dxa"/>
          <w:right w:w="0" w:type="dxa"/>
        </w:tblCellMar>
      </w:tblPr>
      <w:tblGrid>
        <w:gridCol w:w="765"/>
        <w:gridCol w:w="1620"/>
        <w:gridCol w:w="2700"/>
        <w:gridCol w:w="1411"/>
        <w:gridCol w:w="1829"/>
        <w:gridCol w:w="1110"/>
      </w:tblGrid>
      <w:tr>
        <w:tblPrEx>
          <w:tblCellMar>
            <w:top w:w="0" w:type="dxa"/>
            <w:left w:w="0" w:type="dxa"/>
            <w:bottom w:w="0" w:type="dxa"/>
            <w:right w:w="0" w:type="dxa"/>
          </w:tblCellMar>
        </w:tblPrEx>
        <w:trPr>
          <w:trHeight w:val="284" w:hRule="atLeast"/>
          <w:jc w:val="center"/>
        </w:trPr>
        <w:tc>
          <w:tcPr>
            <w:tcW w:w="6496" w:type="dxa"/>
            <w:gridSpan w:val="4"/>
            <w:tcBorders>
              <w:top w:val="nil"/>
              <w:left w:val="nil"/>
              <w:bottom w:val="single" w:color="auto" w:sz="6" w:space="0"/>
              <w:right w:val="nil"/>
            </w:tcBorders>
            <w:vAlign w:val="center"/>
          </w:tcPr>
          <w:p>
            <w:pPr>
              <w:widowControl/>
              <w:adjustRightInd w:val="0"/>
              <w:spacing w:line="460" w:lineRule="exact"/>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项目名称：</w:t>
            </w:r>
          </w:p>
        </w:tc>
        <w:tc>
          <w:tcPr>
            <w:tcW w:w="2939" w:type="dxa"/>
            <w:gridSpan w:val="2"/>
            <w:tcBorders>
              <w:top w:val="nil"/>
              <w:left w:val="nil"/>
              <w:bottom w:val="single" w:color="auto" w:sz="6" w:space="0"/>
              <w:right w:val="nil"/>
            </w:tcBorders>
            <w:vAlign w:val="center"/>
          </w:tcPr>
          <w:p>
            <w:pPr>
              <w:widowControl/>
              <w:adjustRightInd w:val="0"/>
              <w:spacing w:line="460" w:lineRule="exact"/>
              <w:jc w:val="left"/>
              <w:rPr>
                <w:rFonts w:hint="eastAsia" w:ascii="宋体" w:hAnsi="宋体" w:eastAsia="宋体" w:cs="宋体"/>
                <w:kern w:val="0"/>
                <w:sz w:val="21"/>
                <w:szCs w:val="21"/>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磋商文件条目号</w:t>
            </w: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招标要求规格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投标响应</w:t>
            </w: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偏离</w:t>
            </w: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460" w:lineRule="exact"/>
              <w:jc w:val="center"/>
              <w:rPr>
                <w:rFonts w:hint="eastAsia" w:ascii="宋体" w:hAnsi="宋体" w:eastAsia="宋体" w:cs="宋体"/>
                <w:kern w:val="0"/>
                <w:sz w:val="21"/>
                <w:szCs w:val="21"/>
                <w:lang w:val="zh-CN"/>
              </w:rPr>
            </w:pPr>
          </w:p>
        </w:tc>
      </w:tr>
    </w:tbl>
    <w:p>
      <w:pPr>
        <w:widowControl/>
        <w:adjustRightInd w:val="0"/>
        <w:spacing w:line="460" w:lineRule="exact"/>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供应商名称：（盖章）</w:t>
      </w:r>
    </w:p>
    <w:p>
      <w:pPr>
        <w:rPr>
          <w:rFonts w:hint="eastAsia" w:ascii="宋体" w:hAnsi="宋体" w:eastAsia="宋体" w:cs="宋体"/>
          <w:sz w:val="21"/>
          <w:szCs w:val="21"/>
          <w:lang w:val="zh-CN"/>
        </w:rPr>
      </w:pPr>
    </w:p>
    <w:p>
      <w:pPr>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br w:type="page"/>
      </w:r>
    </w:p>
    <w:p>
      <w:pPr>
        <w:widowControl/>
        <w:adjustRightInd w:val="0"/>
        <w:spacing w:line="460" w:lineRule="exact"/>
        <w:jc w:val="left"/>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附件</w:t>
      </w:r>
      <w:r>
        <w:rPr>
          <w:rFonts w:hint="eastAsia" w:ascii="宋体" w:hAnsi="宋体" w:eastAsia="宋体" w:cs="宋体"/>
          <w:b/>
          <w:kern w:val="0"/>
          <w:sz w:val="21"/>
          <w:szCs w:val="21"/>
        </w:rPr>
        <w:t>七</w:t>
      </w:r>
      <w:r>
        <w:rPr>
          <w:rFonts w:hint="eastAsia" w:ascii="宋体" w:hAnsi="宋体" w:eastAsia="宋体" w:cs="宋体"/>
          <w:b/>
          <w:kern w:val="0"/>
          <w:sz w:val="21"/>
          <w:szCs w:val="21"/>
          <w:lang w:val="zh-CN"/>
        </w:rPr>
        <w:t>：商务条款偏离表格式</w:t>
      </w:r>
    </w:p>
    <w:p>
      <w:pPr>
        <w:widowControl/>
        <w:adjustRightInd w:val="0"/>
        <w:spacing w:line="460" w:lineRule="exact"/>
        <w:ind w:left="420"/>
        <w:jc w:val="center"/>
        <w:outlineLvl w:val="0"/>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商务条款偏离表</w:t>
      </w:r>
    </w:p>
    <w:tbl>
      <w:tblPr>
        <w:tblStyle w:val="41"/>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81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blHeader/>
          <w:jc w:val="center"/>
        </w:trPr>
        <w:tc>
          <w:tcPr>
            <w:tcW w:w="6386" w:type="dxa"/>
            <w:gridSpan w:val="4"/>
            <w:tcBorders>
              <w:top w:val="nil"/>
              <w:left w:val="nil"/>
              <w:right w:val="nil"/>
            </w:tcBorders>
            <w:vAlign w:val="center"/>
          </w:tcPr>
          <w:p>
            <w:pPr>
              <w:widowControl/>
              <w:adjustRightInd w:val="0"/>
              <w:spacing w:line="460" w:lineRule="exact"/>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项目名称：</w:t>
            </w:r>
          </w:p>
        </w:tc>
        <w:tc>
          <w:tcPr>
            <w:tcW w:w="2830" w:type="dxa"/>
            <w:gridSpan w:val="2"/>
            <w:tcBorders>
              <w:top w:val="nil"/>
              <w:left w:val="nil"/>
              <w:right w:val="nil"/>
            </w:tcBorders>
            <w:vAlign w:val="center"/>
          </w:tcPr>
          <w:p>
            <w:pPr>
              <w:widowControl/>
              <w:adjustRightInd w:val="0"/>
              <w:spacing w:line="460" w:lineRule="exact"/>
              <w:jc w:val="left"/>
              <w:rPr>
                <w:rFonts w:hint="eastAsia" w:ascii="宋体" w:hAnsi="宋体" w:eastAsia="宋体" w:cs="宋体"/>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460" w:lineRule="exact"/>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序号</w:t>
            </w:r>
          </w:p>
        </w:tc>
        <w:tc>
          <w:tcPr>
            <w:tcW w:w="1620" w:type="dxa"/>
            <w:vAlign w:val="center"/>
          </w:tcPr>
          <w:p>
            <w:pPr>
              <w:widowControl/>
              <w:adjustRightInd w:val="0"/>
              <w:spacing w:line="460" w:lineRule="exact"/>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磋商文件条目号</w:t>
            </w:r>
          </w:p>
        </w:tc>
        <w:tc>
          <w:tcPr>
            <w:tcW w:w="2700" w:type="dxa"/>
            <w:vAlign w:val="center"/>
          </w:tcPr>
          <w:p>
            <w:pPr>
              <w:widowControl/>
              <w:adjustRightInd w:val="0"/>
              <w:spacing w:line="460" w:lineRule="exact"/>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磋商文件要求的商务条款</w:t>
            </w:r>
          </w:p>
        </w:tc>
        <w:tc>
          <w:tcPr>
            <w:tcW w:w="3225" w:type="dxa"/>
            <w:gridSpan w:val="2"/>
            <w:vAlign w:val="center"/>
          </w:tcPr>
          <w:p>
            <w:pPr>
              <w:widowControl/>
              <w:adjustRightInd w:val="0"/>
              <w:spacing w:line="460" w:lineRule="exact"/>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投标响应</w:t>
            </w:r>
          </w:p>
        </w:tc>
        <w:tc>
          <w:tcPr>
            <w:tcW w:w="1020" w:type="dxa"/>
            <w:vAlign w:val="center"/>
          </w:tcPr>
          <w:p>
            <w:pPr>
              <w:widowControl/>
              <w:adjustRightInd w:val="0"/>
              <w:spacing w:line="460" w:lineRule="exact"/>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25" w:type="dxa"/>
            <w:gridSpan w:val="2"/>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020" w:type="dxa"/>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25" w:type="dxa"/>
            <w:gridSpan w:val="2"/>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020" w:type="dxa"/>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25" w:type="dxa"/>
            <w:gridSpan w:val="2"/>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020" w:type="dxa"/>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25" w:type="dxa"/>
            <w:gridSpan w:val="2"/>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020" w:type="dxa"/>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25" w:type="dxa"/>
            <w:gridSpan w:val="2"/>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020" w:type="dxa"/>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25" w:type="dxa"/>
            <w:gridSpan w:val="2"/>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020" w:type="dxa"/>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25" w:type="dxa"/>
            <w:gridSpan w:val="2"/>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020" w:type="dxa"/>
            <w:vAlign w:val="center"/>
          </w:tcPr>
          <w:p>
            <w:pPr>
              <w:widowControl/>
              <w:adjustRightInd w:val="0"/>
              <w:spacing w:line="460" w:lineRule="exact"/>
              <w:jc w:val="center"/>
              <w:rPr>
                <w:rFonts w:hint="eastAsia" w:ascii="宋体" w:hAnsi="宋体" w:eastAsia="宋体" w:cs="宋体"/>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62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2700" w:type="dxa"/>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3225" w:type="dxa"/>
            <w:gridSpan w:val="2"/>
            <w:vAlign w:val="center"/>
          </w:tcPr>
          <w:p>
            <w:pPr>
              <w:widowControl/>
              <w:adjustRightInd w:val="0"/>
              <w:spacing w:line="460" w:lineRule="exact"/>
              <w:jc w:val="center"/>
              <w:rPr>
                <w:rFonts w:hint="eastAsia" w:ascii="宋体" w:hAnsi="宋体" w:eastAsia="宋体" w:cs="宋体"/>
                <w:kern w:val="0"/>
                <w:sz w:val="21"/>
                <w:szCs w:val="21"/>
                <w:lang w:val="zh-CN"/>
              </w:rPr>
            </w:pPr>
          </w:p>
        </w:tc>
        <w:tc>
          <w:tcPr>
            <w:tcW w:w="1020" w:type="dxa"/>
            <w:vAlign w:val="center"/>
          </w:tcPr>
          <w:p>
            <w:pPr>
              <w:widowControl/>
              <w:adjustRightInd w:val="0"/>
              <w:spacing w:line="460" w:lineRule="exact"/>
              <w:jc w:val="center"/>
              <w:rPr>
                <w:rFonts w:hint="eastAsia" w:ascii="宋体" w:hAnsi="宋体" w:eastAsia="宋体" w:cs="宋体"/>
                <w:kern w:val="0"/>
                <w:sz w:val="21"/>
                <w:szCs w:val="21"/>
                <w:lang w:val="zh-CN"/>
              </w:rPr>
            </w:pPr>
          </w:p>
        </w:tc>
      </w:tr>
    </w:tbl>
    <w:p>
      <w:pPr>
        <w:widowControl/>
        <w:adjustRightInd w:val="0"/>
        <w:spacing w:line="460" w:lineRule="exact"/>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供应商名称：（盖章）</w:t>
      </w:r>
    </w:p>
    <w:p>
      <w:pPr>
        <w:widowControl/>
        <w:adjustRightInd w:val="0"/>
        <w:spacing w:line="460" w:lineRule="exact"/>
        <w:jc w:val="left"/>
        <w:rPr>
          <w:rFonts w:hint="eastAsia" w:ascii="宋体" w:hAnsi="宋体" w:eastAsia="宋体" w:cs="宋体"/>
          <w:kern w:val="0"/>
          <w:sz w:val="21"/>
          <w:szCs w:val="21"/>
          <w:lang w:val="zh-CN"/>
        </w:rPr>
      </w:pPr>
    </w:p>
    <w:p>
      <w:pPr>
        <w:widowControl/>
        <w:adjustRightInd w:val="0"/>
        <w:spacing w:line="460" w:lineRule="exact"/>
        <w:jc w:val="left"/>
        <w:rPr>
          <w:rFonts w:hint="eastAsia" w:ascii="宋体" w:hAnsi="宋体" w:eastAsia="宋体" w:cs="宋体"/>
          <w:b/>
          <w:kern w:val="0"/>
          <w:sz w:val="21"/>
          <w:szCs w:val="21"/>
          <w:lang w:val="zh-CN"/>
        </w:rPr>
      </w:pPr>
    </w:p>
    <w:p>
      <w:pPr>
        <w:rPr>
          <w:rFonts w:hint="eastAsia" w:ascii="宋体" w:hAnsi="宋体" w:eastAsia="宋体" w:cs="宋体"/>
          <w:b/>
          <w:sz w:val="21"/>
          <w:szCs w:val="21"/>
        </w:rPr>
      </w:pPr>
      <w:r>
        <w:rPr>
          <w:rFonts w:hint="eastAsia" w:ascii="宋体" w:hAnsi="宋体" w:eastAsia="宋体" w:cs="宋体"/>
          <w:b/>
          <w:sz w:val="21"/>
          <w:szCs w:val="21"/>
        </w:rPr>
        <w:br w:type="page"/>
      </w:r>
    </w:p>
    <w:p>
      <w:pPr>
        <w:spacing w:line="460" w:lineRule="exact"/>
        <w:rPr>
          <w:rFonts w:hint="eastAsia" w:ascii="宋体" w:hAnsi="宋体" w:eastAsia="宋体" w:cs="宋体"/>
          <w:b/>
          <w:sz w:val="21"/>
          <w:szCs w:val="21"/>
        </w:rPr>
      </w:pPr>
      <w:r>
        <w:rPr>
          <w:rFonts w:hint="eastAsia" w:ascii="宋体" w:hAnsi="宋体" w:eastAsia="宋体" w:cs="宋体"/>
          <w:b/>
          <w:sz w:val="21"/>
          <w:szCs w:val="21"/>
        </w:rPr>
        <w:t>附件八：声明函格式</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val="en-US"/>
        </w:rPr>
        <w:t>1</w:t>
      </w:r>
      <w:r>
        <w:rPr>
          <w:rFonts w:hint="eastAsia" w:ascii="宋体" w:hAnsi="宋体" w:eastAsia="宋体" w:cs="宋体"/>
          <w:b/>
          <w:color w:val="000000" w:themeColor="text1"/>
          <w:sz w:val="21"/>
          <w:szCs w:val="21"/>
        </w:rPr>
        <w:t>、中小企业声明函格式</w:t>
      </w:r>
    </w:p>
    <w:p>
      <w:pPr>
        <w:spacing w:line="460" w:lineRule="exact"/>
        <w:jc w:val="both"/>
        <w:rPr>
          <w:rFonts w:hint="eastAsia" w:ascii="宋体" w:hAnsi="宋体" w:eastAsia="宋体" w:cs="宋体"/>
          <w:sz w:val="21"/>
          <w:szCs w:val="21"/>
        </w:rPr>
      </w:pPr>
    </w:p>
    <w:p>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中小企业声明函</w:t>
      </w:r>
      <w:r>
        <w:rPr>
          <w:rFonts w:hint="eastAsia" w:ascii="宋体" w:hAnsi="宋体" w:eastAsia="宋体" w:cs="宋体"/>
          <w:sz w:val="21"/>
          <w:szCs w:val="21"/>
          <w:lang w:val="en-US"/>
        </w:rPr>
        <w:t>（工程、服务）</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本公司（联合体）郑重声明，根据《政府采购促进中小企业发展管理办法》（财库﹝2020﹞46 号）的规定，本公司（联合体）参加</w:t>
      </w:r>
      <w:r>
        <w:rPr>
          <w:rFonts w:hint="eastAsia" w:ascii="宋体" w:hAnsi="宋体" w:eastAsia="宋体" w:cs="宋体"/>
          <w:color w:val="000000" w:themeColor="text1"/>
          <w:sz w:val="21"/>
          <w:szCs w:val="21"/>
          <w:u w:val="single"/>
        </w:rPr>
        <w:t xml:space="preserve"> （单位名称） </w:t>
      </w:r>
      <w:r>
        <w:rPr>
          <w:rFonts w:hint="eastAsia" w:ascii="宋体" w:hAnsi="宋体" w:eastAsia="宋体" w:cs="宋体"/>
          <w:color w:val="000000" w:themeColor="text1"/>
          <w:sz w:val="21"/>
          <w:szCs w:val="21"/>
        </w:rPr>
        <w:t>的</w:t>
      </w:r>
      <w:r>
        <w:rPr>
          <w:rFonts w:hint="eastAsia" w:ascii="宋体" w:hAnsi="宋体" w:eastAsia="宋体" w:cs="宋体"/>
          <w:color w:val="000000" w:themeColor="text1"/>
          <w:sz w:val="21"/>
          <w:szCs w:val="21"/>
          <w:u w:val="single"/>
        </w:rPr>
        <w:t xml:space="preserve"> （项目名称）</w:t>
      </w:r>
      <w:r>
        <w:rPr>
          <w:rFonts w:hint="eastAsia" w:ascii="宋体" w:hAnsi="宋体" w:eastAsia="宋体" w:cs="宋体"/>
          <w:color w:val="000000" w:themeColor="text1"/>
          <w:sz w:val="21"/>
          <w:szCs w:val="21"/>
        </w:rPr>
        <w:t xml:space="preserve"> 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r>
        <w:rPr>
          <w:rFonts w:hint="eastAsia" w:ascii="宋体" w:hAnsi="宋体" w:eastAsia="宋体" w:cs="宋体"/>
          <w:color w:val="000000" w:themeColor="text1"/>
          <w:sz w:val="21"/>
          <w:szCs w:val="21"/>
          <w:u w:val="single"/>
        </w:rPr>
        <w:t>（标的名称）</w:t>
      </w:r>
      <w:r>
        <w:rPr>
          <w:rFonts w:hint="eastAsia" w:ascii="宋体" w:hAnsi="宋体" w:eastAsia="宋体" w:cs="宋体"/>
          <w:color w:val="000000" w:themeColor="text1"/>
          <w:sz w:val="21"/>
          <w:szCs w:val="21"/>
        </w:rPr>
        <w:t>，属于</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u w:val="single"/>
          <w:lang w:val="en-US"/>
        </w:rPr>
        <w:t>采购文件标明的所属行业</w:t>
      </w:r>
      <w:r>
        <w:rPr>
          <w:rFonts w:hint="eastAsia" w:ascii="宋体" w:hAnsi="宋体" w:eastAsia="宋体" w:cs="宋体"/>
          <w:color w:val="000000" w:themeColor="text1"/>
          <w:sz w:val="21"/>
          <w:szCs w:val="21"/>
          <w:u w:val="single"/>
        </w:rPr>
        <w:t>）</w:t>
      </w:r>
      <w:r>
        <w:rPr>
          <w:rFonts w:hint="eastAsia" w:ascii="宋体" w:hAnsi="宋体" w:eastAsia="宋体" w:cs="宋体"/>
          <w:color w:val="000000" w:themeColor="text1"/>
          <w:sz w:val="21"/>
          <w:szCs w:val="21"/>
        </w:rPr>
        <w:t>；承接企业为</w:t>
      </w:r>
      <w:r>
        <w:rPr>
          <w:rFonts w:hint="eastAsia" w:ascii="宋体" w:hAnsi="宋体" w:eastAsia="宋体" w:cs="宋体"/>
          <w:color w:val="000000" w:themeColor="text1"/>
          <w:sz w:val="21"/>
          <w:szCs w:val="21"/>
          <w:u w:val="single"/>
        </w:rPr>
        <w:t xml:space="preserve"> （企业名称） </w:t>
      </w:r>
      <w:r>
        <w:rPr>
          <w:rFonts w:hint="eastAsia" w:ascii="宋体" w:hAnsi="宋体" w:eastAsia="宋体" w:cs="宋体"/>
          <w:color w:val="000000" w:themeColor="text1"/>
          <w:sz w:val="21"/>
          <w:szCs w:val="21"/>
        </w:rPr>
        <w:t>，从业人员</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人，营业收入为</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万元，资产总额为</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万元</w:t>
      </w:r>
      <w:r>
        <w:rPr>
          <w:rStyle w:val="53"/>
          <w:rFonts w:hint="eastAsia" w:ascii="宋体" w:hAnsi="宋体" w:eastAsia="宋体" w:cs="宋体"/>
          <w:color w:val="000000" w:themeColor="text1"/>
          <w:sz w:val="21"/>
          <w:szCs w:val="21"/>
        </w:rPr>
        <w:footnoteReference w:id="0"/>
      </w:r>
      <w:r>
        <w:rPr>
          <w:rFonts w:hint="eastAsia" w:ascii="宋体" w:hAnsi="宋体" w:eastAsia="宋体" w:cs="宋体"/>
          <w:color w:val="000000" w:themeColor="text1"/>
          <w:sz w:val="21"/>
          <w:szCs w:val="21"/>
        </w:rPr>
        <w:t>，属于</w:t>
      </w:r>
      <w:r>
        <w:rPr>
          <w:rFonts w:hint="eastAsia" w:ascii="宋体" w:hAnsi="宋体" w:eastAsia="宋体" w:cs="宋体"/>
          <w:color w:val="000000" w:themeColor="text1"/>
          <w:sz w:val="21"/>
          <w:szCs w:val="21"/>
          <w:u w:val="single"/>
        </w:rPr>
        <w:t>（中型企业、小型企业、微型企业）</w:t>
      </w:r>
      <w:r>
        <w:rPr>
          <w:rFonts w:hint="eastAsia" w:ascii="宋体" w:hAnsi="宋体" w:eastAsia="宋体" w:cs="宋体"/>
          <w:color w:val="000000" w:themeColor="text1"/>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r>
        <w:rPr>
          <w:rFonts w:hint="eastAsia" w:ascii="宋体" w:hAnsi="宋体" w:eastAsia="宋体" w:cs="宋体"/>
          <w:color w:val="000000" w:themeColor="text1"/>
          <w:sz w:val="21"/>
          <w:szCs w:val="21"/>
          <w:u w:val="single"/>
        </w:rPr>
        <w:t>（标的名称）</w:t>
      </w:r>
      <w:r>
        <w:rPr>
          <w:rFonts w:hint="eastAsia" w:ascii="宋体" w:hAnsi="宋体" w:eastAsia="宋体" w:cs="宋体"/>
          <w:color w:val="000000" w:themeColor="text1"/>
          <w:sz w:val="21"/>
          <w:szCs w:val="21"/>
        </w:rPr>
        <w:t>，属于</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u w:val="single"/>
          <w:lang w:val="en-US"/>
        </w:rPr>
        <w:t>采购文件标明的所属行业</w:t>
      </w:r>
      <w:r>
        <w:rPr>
          <w:rFonts w:hint="eastAsia" w:ascii="宋体" w:hAnsi="宋体" w:eastAsia="宋体" w:cs="宋体"/>
          <w:color w:val="000000" w:themeColor="text1"/>
          <w:sz w:val="21"/>
          <w:szCs w:val="21"/>
          <w:u w:val="single"/>
        </w:rPr>
        <w:t>）</w:t>
      </w:r>
      <w:r>
        <w:rPr>
          <w:rFonts w:hint="eastAsia" w:ascii="宋体" w:hAnsi="宋体" w:eastAsia="宋体" w:cs="宋体"/>
          <w:color w:val="000000" w:themeColor="text1"/>
          <w:sz w:val="21"/>
          <w:szCs w:val="21"/>
        </w:rPr>
        <w:t>；承接企业为</w:t>
      </w:r>
      <w:r>
        <w:rPr>
          <w:rFonts w:hint="eastAsia" w:ascii="宋体" w:hAnsi="宋体" w:eastAsia="宋体" w:cs="宋体"/>
          <w:color w:val="000000" w:themeColor="text1"/>
          <w:sz w:val="21"/>
          <w:szCs w:val="21"/>
          <w:u w:val="single"/>
        </w:rPr>
        <w:t xml:space="preserve"> （企业名称） </w:t>
      </w:r>
      <w:r>
        <w:rPr>
          <w:rFonts w:hint="eastAsia" w:ascii="宋体" w:hAnsi="宋体" w:eastAsia="宋体" w:cs="宋体"/>
          <w:color w:val="000000" w:themeColor="text1"/>
          <w:sz w:val="21"/>
          <w:szCs w:val="21"/>
        </w:rPr>
        <w:t>，从业人员</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人，营业收入为</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万元，资产总额为</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万元，属于</w:t>
      </w:r>
      <w:r>
        <w:rPr>
          <w:rFonts w:hint="eastAsia" w:ascii="宋体" w:hAnsi="宋体" w:eastAsia="宋体" w:cs="宋体"/>
          <w:color w:val="000000" w:themeColor="text1"/>
          <w:sz w:val="21"/>
          <w:szCs w:val="21"/>
          <w:u w:val="single"/>
        </w:rPr>
        <w:t>（中型企业、小型企业、微型企业）</w:t>
      </w:r>
      <w:r>
        <w:rPr>
          <w:rFonts w:hint="eastAsia" w:ascii="宋体" w:hAnsi="宋体" w:eastAsia="宋体" w:cs="宋体"/>
          <w:color w:val="000000" w:themeColor="text1"/>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rPr>
        <w:t>本企业对上述声明内容的真实性负责。如有虚假，将依法承担相应责任。</w:t>
      </w:r>
    </w:p>
    <w:p>
      <w:pPr>
        <w:spacing w:line="460" w:lineRule="exact"/>
        <w:rPr>
          <w:rFonts w:hint="eastAsia" w:ascii="宋体" w:hAnsi="宋体" w:eastAsia="宋体" w:cs="宋体"/>
          <w:sz w:val="21"/>
          <w:szCs w:val="21"/>
        </w:rPr>
      </w:pPr>
    </w:p>
    <w:p>
      <w:pPr>
        <w:spacing w:line="460" w:lineRule="exact"/>
        <w:ind w:firstLine="4200" w:firstLineChars="2000"/>
        <w:rPr>
          <w:rFonts w:hint="eastAsia" w:ascii="宋体" w:hAnsi="宋体" w:eastAsia="宋体" w:cs="宋体"/>
          <w:sz w:val="21"/>
          <w:szCs w:val="21"/>
        </w:rPr>
      </w:pPr>
      <w:r>
        <w:rPr>
          <w:rFonts w:hint="eastAsia" w:ascii="宋体" w:hAnsi="宋体" w:eastAsia="宋体" w:cs="宋体"/>
          <w:sz w:val="21"/>
          <w:szCs w:val="21"/>
        </w:rPr>
        <w:t>企业名称（盖章）：</w:t>
      </w:r>
    </w:p>
    <w:p>
      <w:pPr>
        <w:spacing w:line="460" w:lineRule="exact"/>
        <w:ind w:firstLine="4200" w:firstLineChars="2000"/>
        <w:rPr>
          <w:rFonts w:hint="eastAsia" w:ascii="宋体" w:hAnsi="宋体" w:eastAsia="宋体" w:cs="宋体"/>
          <w:kern w:val="0"/>
          <w:sz w:val="21"/>
          <w:szCs w:val="21"/>
          <w:lang w:val="zh-CN"/>
        </w:rPr>
      </w:pPr>
      <w:r>
        <w:rPr>
          <w:rFonts w:hint="eastAsia" w:ascii="宋体" w:hAnsi="宋体" w:eastAsia="宋体" w:cs="宋体"/>
          <w:sz w:val="21"/>
          <w:szCs w:val="21"/>
        </w:rPr>
        <w:t>日　　　　　　期：</w:t>
      </w:r>
    </w:p>
    <w:p>
      <w:pPr>
        <w:spacing w:line="460" w:lineRule="exact"/>
        <w:rPr>
          <w:rFonts w:hint="eastAsia" w:ascii="宋体" w:hAnsi="宋体" w:eastAsia="宋体" w:cs="宋体"/>
          <w:sz w:val="21"/>
          <w:szCs w:val="21"/>
        </w:rPr>
      </w:pPr>
    </w:p>
    <w:p>
      <w:pPr>
        <w:widowControl/>
        <w:adjustRightInd w:val="0"/>
        <w:spacing w:line="460" w:lineRule="exact"/>
        <w:rPr>
          <w:rFonts w:hint="eastAsia" w:ascii="宋体" w:hAnsi="宋体" w:eastAsia="宋体" w:cs="宋体"/>
          <w:b/>
          <w:sz w:val="21"/>
          <w:szCs w:val="21"/>
        </w:rPr>
      </w:pPr>
    </w:p>
    <w:p>
      <w:pPr>
        <w:widowControl/>
        <w:adjustRightInd w:val="0"/>
        <w:spacing w:line="460" w:lineRule="exact"/>
        <w:rPr>
          <w:rFonts w:hint="eastAsia" w:ascii="宋体" w:hAnsi="宋体" w:eastAsia="宋体" w:cs="宋体"/>
          <w:b/>
          <w:sz w:val="21"/>
          <w:szCs w:val="21"/>
        </w:rPr>
      </w:pPr>
    </w:p>
    <w:p>
      <w:pPr>
        <w:widowControl/>
        <w:adjustRightInd w:val="0"/>
        <w:spacing w:line="460" w:lineRule="exact"/>
        <w:rPr>
          <w:rFonts w:hint="eastAsia" w:ascii="宋体" w:hAnsi="宋体" w:eastAsia="宋体" w:cs="宋体"/>
          <w:b/>
          <w:sz w:val="21"/>
          <w:szCs w:val="21"/>
        </w:rPr>
      </w:pPr>
    </w:p>
    <w:p>
      <w:pPr>
        <w:pStyle w:val="17"/>
        <w:rPr>
          <w:rFonts w:hint="eastAsia" w:ascii="宋体" w:hAnsi="宋体" w:eastAsia="宋体" w:cs="宋体"/>
          <w:b/>
          <w:sz w:val="21"/>
          <w:szCs w:val="21"/>
        </w:rPr>
      </w:pPr>
    </w:p>
    <w:p>
      <w:pPr>
        <w:pStyle w:val="17"/>
        <w:rPr>
          <w:rFonts w:hint="eastAsia" w:ascii="宋体" w:hAnsi="宋体" w:eastAsia="宋体" w:cs="宋体"/>
          <w:b/>
          <w:sz w:val="21"/>
          <w:szCs w:val="21"/>
        </w:rPr>
      </w:pPr>
    </w:p>
    <w:p>
      <w:pPr>
        <w:pStyle w:val="17"/>
        <w:rPr>
          <w:rFonts w:hint="eastAsia" w:ascii="宋体" w:hAnsi="宋体" w:eastAsia="宋体" w:cs="宋体"/>
          <w:b/>
          <w:sz w:val="21"/>
          <w:szCs w:val="21"/>
        </w:rPr>
      </w:pPr>
    </w:p>
    <w:p>
      <w:pPr>
        <w:pStyle w:val="17"/>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br w:type="page"/>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2、残疾人福利性单位声明函格式</w:t>
      </w:r>
    </w:p>
    <w:p>
      <w:pPr>
        <w:spacing w:line="460" w:lineRule="exact"/>
        <w:jc w:val="center"/>
        <w:rPr>
          <w:rFonts w:hint="eastAsia" w:ascii="宋体" w:hAnsi="宋体" w:eastAsia="宋体" w:cs="宋体"/>
          <w:sz w:val="21"/>
          <w:szCs w:val="21"/>
          <w:lang w:val="zh-CN"/>
        </w:rPr>
      </w:pPr>
    </w:p>
    <w:p>
      <w:pPr>
        <w:spacing w:line="460" w:lineRule="exact"/>
        <w:jc w:val="center"/>
        <w:rPr>
          <w:rFonts w:hint="eastAsia" w:ascii="宋体" w:hAnsi="宋体" w:eastAsia="宋体" w:cs="宋体"/>
          <w:color w:val="000000" w:themeColor="text1"/>
          <w:sz w:val="21"/>
          <w:szCs w:val="21"/>
        </w:rPr>
      </w:pPr>
      <w:r>
        <w:rPr>
          <w:rFonts w:hint="eastAsia" w:ascii="宋体" w:hAnsi="宋体" w:eastAsia="宋体" w:cs="宋体"/>
          <w:sz w:val="21"/>
          <w:szCs w:val="21"/>
          <w:lang w:val="zh-CN"/>
        </w:rPr>
        <w:t>残疾人福利性单位声明函</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本单位对上述声明的真实性负责。如有虚假，将依法承担相应责任。</w:t>
      </w:r>
    </w:p>
    <w:p>
      <w:pPr>
        <w:snapToGrid w:val="0"/>
        <w:spacing w:afterLines="50" w:line="360" w:lineRule="auto"/>
        <w:jc w:val="center"/>
        <w:rPr>
          <w:rFonts w:hint="eastAsia" w:ascii="宋体" w:hAnsi="宋体" w:eastAsia="宋体" w:cs="宋体"/>
          <w:color w:val="000000" w:themeColor="text1"/>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420"/>
        <w:jc w:val="righ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单位名称（盖章）：</w:t>
      </w:r>
    </w:p>
    <w:p>
      <w:pPr>
        <w:keepNext w:val="0"/>
        <w:keepLines w:val="0"/>
        <w:pageBreakBefore w:val="0"/>
        <w:widowControl w:val="0"/>
        <w:kinsoku/>
        <w:wordWrap/>
        <w:overflowPunct/>
        <w:topLinePunct w:val="0"/>
        <w:autoSpaceDE/>
        <w:autoSpaceDN/>
        <w:bidi w:val="0"/>
        <w:adjustRightInd/>
        <w:snapToGrid/>
        <w:spacing w:line="440" w:lineRule="exact"/>
        <w:ind w:firstLine="420"/>
        <w:jc w:val="righ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 日  期：</w:t>
      </w:r>
    </w:p>
    <w:p>
      <w:pPr>
        <w:spacing w:line="360" w:lineRule="auto"/>
        <w:rPr>
          <w:rFonts w:hint="eastAsia" w:ascii="宋体" w:hAnsi="宋体" w:eastAsia="宋体" w:cs="宋体"/>
          <w:sz w:val="21"/>
          <w:szCs w:val="21"/>
        </w:rPr>
      </w:pPr>
    </w:p>
    <w:p>
      <w:pPr>
        <w:spacing w:line="360" w:lineRule="auto"/>
        <w:ind w:firstLine="5670" w:firstLineChars="2700"/>
        <w:rPr>
          <w:rFonts w:hint="eastAsia" w:ascii="宋体" w:hAnsi="宋体" w:eastAsia="宋体" w:cs="宋体"/>
          <w:sz w:val="21"/>
          <w:szCs w:val="21"/>
        </w:rPr>
      </w:pPr>
    </w:p>
    <w:p>
      <w:pPr>
        <w:spacing w:line="360" w:lineRule="auto"/>
        <w:ind w:firstLine="5670" w:firstLineChars="2700"/>
        <w:rPr>
          <w:rFonts w:hint="eastAsia" w:ascii="宋体" w:hAnsi="宋体" w:eastAsia="宋体" w:cs="宋体"/>
          <w:sz w:val="21"/>
          <w:szCs w:val="21"/>
        </w:rPr>
      </w:pPr>
    </w:p>
    <w:p>
      <w:pPr>
        <w:spacing w:line="360" w:lineRule="auto"/>
        <w:ind w:firstLine="5670" w:firstLineChars="2700"/>
        <w:rPr>
          <w:rFonts w:hint="eastAsia" w:ascii="宋体" w:hAnsi="宋体" w:eastAsia="宋体" w:cs="宋体"/>
          <w:sz w:val="21"/>
          <w:szCs w:val="21"/>
        </w:rPr>
      </w:pPr>
      <w:r>
        <w:rPr>
          <w:rFonts w:hint="eastAsia" w:ascii="宋体" w:hAnsi="宋体" w:eastAsia="宋体" w:cs="宋体"/>
          <w:sz w:val="21"/>
          <w:szCs w:val="21"/>
        </w:rPr>
        <w:t xml:space="preserve">企业名称（盖章）：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日    期：___年___月___日</w:t>
      </w:r>
    </w:p>
    <w:p>
      <w:pPr>
        <w:widowControl/>
        <w:adjustRightInd w:val="0"/>
        <w:spacing w:line="460" w:lineRule="exact"/>
        <w:rPr>
          <w:rFonts w:hint="eastAsia" w:ascii="宋体" w:hAnsi="宋体" w:eastAsia="宋体" w:cs="宋体"/>
          <w:b/>
          <w:sz w:val="21"/>
          <w:szCs w:val="21"/>
        </w:rPr>
      </w:pPr>
    </w:p>
    <w:p>
      <w:pPr>
        <w:widowControl/>
        <w:adjustRightInd w:val="0"/>
        <w:spacing w:line="460" w:lineRule="exact"/>
        <w:rPr>
          <w:rFonts w:hint="eastAsia" w:ascii="宋体" w:hAnsi="宋体" w:eastAsia="宋体" w:cs="宋体"/>
          <w:b/>
          <w:sz w:val="21"/>
          <w:szCs w:val="21"/>
        </w:rPr>
      </w:pPr>
    </w:p>
    <w:p>
      <w:pPr>
        <w:widowControl/>
        <w:adjustRightInd w:val="0"/>
        <w:spacing w:line="460" w:lineRule="exact"/>
        <w:rPr>
          <w:rFonts w:hint="eastAsia" w:ascii="宋体" w:hAnsi="宋体" w:eastAsia="宋体" w:cs="宋体"/>
          <w:b/>
          <w:sz w:val="21"/>
          <w:szCs w:val="21"/>
        </w:rPr>
      </w:pPr>
    </w:p>
    <w:p>
      <w:pPr>
        <w:spacing w:line="360" w:lineRule="auto"/>
        <w:jc w:val="center"/>
        <w:rPr>
          <w:rFonts w:hint="eastAsia" w:ascii="宋体" w:hAnsi="宋体" w:eastAsia="宋体" w:cs="宋体"/>
          <w:b/>
          <w:color w:val="000000" w:themeColor="text1"/>
          <w:sz w:val="21"/>
          <w:szCs w:val="21"/>
        </w:rPr>
      </w:pPr>
    </w:p>
    <w:p>
      <w:pPr>
        <w:spacing w:line="360" w:lineRule="auto"/>
        <w:jc w:val="center"/>
        <w:rPr>
          <w:rFonts w:hint="eastAsia" w:ascii="宋体" w:hAnsi="宋体" w:eastAsia="宋体" w:cs="宋体"/>
          <w:b/>
          <w:color w:val="000000" w:themeColor="text1"/>
          <w:sz w:val="21"/>
          <w:szCs w:val="21"/>
        </w:rPr>
      </w:pPr>
    </w:p>
    <w:p>
      <w:pPr>
        <w:spacing w:line="360" w:lineRule="auto"/>
        <w:jc w:val="center"/>
        <w:rPr>
          <w:rFonts w:hint="eastAsia" w:ascii="宋体" w:hAnsi="宋体" w:eastAsia="宋体" w:cs="宋体"/>
          <w:b/>
          <w:color w:val="000000" w:themeColor="text1"/>
          <w:sz w:val="21"/>
          <w:szCs w:val="21"/>
        </w:rPr>
      </w:pPr>
    </w:p>
    <w:p>
      <w:pPr>
        <w:spacing w:line="360" w:lineRule="auto"/>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3、属于监狱企业的证明文件</w:t>
      </w:r>
    </w:p>
    <w:p>
      <w:pPr>
        <w:pStyle w:val="136"/>
        <w:snapToGrid w:val="0"/>
        <w:spacing w:afterLines="50" w:line="360" w:lineRule="auto"/>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（提供由省级以上监狱管理局、戒毒管理局(含新疆生产建设兵团)出具的属于监狱企业的证明文件）</w:t>
      </w:r>
    </w:p>
    <w:p>
      <w:pPr>
        <w:pStyle w:val="136"/>
        <w:snapToGrid w:val="0"/>
        <w:spacing w:afterLines="50" w:line="360" w:lineRule="auto"/>
        <w:jc w:val="center"/>
        <w:rPr>
          <w:rFonts w:hint="eastAsia" w:ascii="宋体" w:hAnsi="宋体" w:eastAsia="宋体" w:cs="宋体"/>
          <w:color w:val="000000" w:themeColor="text1"/>
          <w:kern w:val="2"/>
          <w:sz w:val="21"/>
          <w:szCs w:val="21"/>
          <w:lang w:val="en-US" w:eastAsia="zh-CN" w:bidi="ar-SA"/>
        </w:rPr>
      </w:pPr>
    </w:p>
    <w:p>
      <w:pPr>
        <w:pStyle w:val="136"/>
        <w:snapToGrid w:val="0"/>
        <w:spacing w:afterLines="50" w:line="360" w:lineRule="auto"/>
        <w:rPr>
          <w:rFonts w:hint="eastAsia" w:ascii="宋体" w:hAnsi="宋体" w:eastAsia="宋体" w:cs="宋体"/>
          <w:b/>
          <w:bCs/>
          <w:color w:val="000000" w:themeColor="text1"/>
          <w:sz w:val="21"/>
          <w:szCs w:val="21"/>
        </w:rPr>
      </w:pPr>
    </w:p>
    <w:p>
      <w:pPr>
        <w:pStyle w:val="136"/>
        <w:snapToGrid w:val="0"/>
        <w:spacing w:afterLines="50" w:line="360" w:lineRule="auto"/>
        <w:rPr>
          <w:rFonts w:hint="eastAsia" w:ascii="宋体" w:hAnsi="宋体" w:eastAsia="宋体" w:cs="宋体"/>
          <w:b/>
          <w:bCs/>
          <w:color w:val="000000" w:themeColor="text1"/>
          <w:sz w:val="21"/>
          <w:szCs w:val="21"/>
        </w:rPr>
      </w:pPr>
    </w:p>
    <w:p>
      <w:pPr>
        <w:widowControl/>
        <w:adjustRightInd w:val="0"/>
        <w:spacing w:line="240" w:lineRule="atLeast"/>
        <w:rPr>
          <w:rFonts w:hint="eastAsia" w:ascii="宋体" w:hAnsi="宋体" w:eastAsia="宋体" w:cs="宋体"/>
          <w:b/>
          <w:color w:val="000000" w:themeColor="text1"/>
          <w:sz w:val="21"/>
          <w:szCs w:val="21"/>
          <w:lang w:val="en-US" w:eastAsia="zh-CN"/>
        </w:rPr>
      </w:pPr>
    </w:p>
    <w:p>
      <w:pPr>
        <w:widowControl/>
        <w:adjustRightInd w:val="0"/>
        <w:spacing w:line="240" w:lineRule="atLeast"/>
        <w:rPr>
          <w:rFonts w:hint="eastAsia" w:ascii="宋体" w:hAnsi="宋体" w:eastAsia="宋体" w:cs="宋体"/>
          <w:b/>
          <w:color w:val="000000" w:themeColor="text1"/>
          <w:sz w:val="21"/>
          <w:szCs w:val="21"/>
          <w:lang w:val="en-US" w:eastAsia="zh-CN"/>
        </w:rPr>
      </w:pPr>
    </w:p>
    <w:p>
      <w:pPr>
        <w:widowControl/>
        <w:adjustRightInd w:val="0"/>
        <w:spacing w:line="240" w:lineRule="atLeas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val="en-US" w:eastAsia="zh-CN"/>
        </w:rPr>
        <w:t>4</w:t>
      </w:r>
      <w:r>
        <w:rPr>
          <w:rFonts w:hint="eastAsia" w:ascii="宋体" w:hAnsi="宋体" w:eastAsia="宋体" w:cs="宋体"/>
          <w:b/>
          <w:color w:val="000000" w:themeColor="text1"/>
          <w:sz w:val="21"/>
          <w:szCs w:val="21"/>
        </w:rPr>
        <w:t>、无重大违法记录声明格式</w:t>
      </w:r>
    </w:p>
    <w:p>
      <w:pPr>
        <w:widowControl/>
        <w:adjustRightInd w:val="0"/>
        <w:spacing w:line="240" w:lineRule="atLeast"/>
        <w:rPr>
          <w:rFonts w:hint="eastAsia" w:ascii="宋体" w:hAnsi="宋体" w:eastAsia="宋体" w:cs="宋体"/>
          <w:b/>
          <w:color w:val="000000" w:themeColor="text1"/>
          <w:sz w:val="21"/>
          <w:szCs w:val="21"/>
        </w:rPr>
      </w:pPr>
    </w:p>
    <w:p>
      <w:pPr>
        <w:spacing w:line="460" w:lineRule="exact"/>
        <w:jc w:val="center"/>
        <w:rPr>
          <w:rFonts w:hint="eastAsia" w:ascii="宋体" w:hAnsi="宋体" w:eastAsia="宋体" w:cs="宋体"/>
          <w:sz w:val="21"/>
          <w:szCs w:val="21"/>
          <w:lang w:val="zh-CN"/>
        </w:rPr>
      </w:pPr>
      <w:r>
        <w:rPr>
          <w:rFonts w:hint="eastAsia" w:ascii="宋体" w:hAnsi="宋体" w:eastAsia="宋体" w:cs="宋体"/>
          <w:sz w:val="21"/>
          <w:szCs w:val="21"/>
          <w:lang w:val="zh-CN"/>
        </w:rPr>
        <w:t>无重大违法记录声明</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    我单位</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（供应商名称）郑重声明：</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    参加政府采购活动前3年内在经营活动中</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（在下划线上如实填写：有或没有）重大违法记录。</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    （说明：政府采购法第二十二条第一款第五项所称重大违法记录，是指供应商因违法经营受到刑事处罚或者责令停产停业、吊销许可证或者执照、较大数额罚款等行政处罚。）</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                                    </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                                                      声明人：（公章）</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                                     </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 年     月    日</w:t>
      </w:r>
    </w:p>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val="en-US" w:eastAsia="zh-CN"/>
        </w:rPr>
        <w:t>5</w:t>
      </w:r>
      <w:r>
        <w:rPr>
          <w:rFonts w:hint="eastAsia" w:ascii="宋体" w:hAnsi="宋体" w:eastAsia="宋体" w:cs="宋体"/>
          <w:b/>
          <w:color w:val="000000" w:themeColor="text1"/>
          <w:sz w:val="21"/>
          <w:szCs w:val="21"/>
        </w:rPr>
        <w:t>、具备履行合同所必需的设备和专业技术能力的声明格式</w:t>
      </w:r>
      <w:r>
        <w:rPr>
          <w:rFonts w:hint="eastAsia" w:ascii="宋体" w:hAnsi="宋体" w:eastAsia="宋体" w:cs="宋体"/>
          <w:b/>
          <w:color w:val="000000" w:themeColor="text1"/>
          <w:sz w:val="21"/>
          <w:szCs w:val="21"/>
          <w:lang w:val="en-US"/>
        </w:rPr>
        <w:t>及</w:t>
      </w:r>
      <w:r>
        <w:rPr>
          <w:rFonts w:hint="eastAsia" w:ascii="宋体" w:hAnsi="宋体" w:eastAsia="宋体" w:cs="宋体"/>
          <w:b/>
          <w:color w:val="000000" w:themeColor="text1"/>
          <w:sz w:val="21"/>
          <w:szCs w:val="21"/>
        </w:rPr>
        <w:t>证明材料</w:t>
      </w:r>
    </w:p>
    <w:p>
      <w:pPr>
        <w:spacing w:line="460" w:lineRule="exact"/>
        <w:jc w:val="center"/>
        <w:rPr>
          <w:rFonts w:hint="eastAsia" w:ascii="宋体" w:hAnsi="宋体" w:eastAsia="宋体" w:cs="宋体"/>
          <w:sz w:val="21"/>
          <w:szCs w:val="21"/>
          <w:lang w:val="zh-CN"/>
        </w:rPr>
      </w:pPr>
    </w:p>
    <w:p>
      <w:pPr>
        <w:spacing w:line="460" w:lineRule="exact"/>
        <w:jc w:val="center"/>
        <w:rPr>
          <w:rFonts w:hint="eastAsia" w:ascii="宋体" w:hAnsi="宋体" w:eastAsia="宋体" w:cs="宋体"/>
          <w:sz w:val="21"/>
          <w:szCs w:val="21"/>
          <w:lang w:val="zh-CN"/>
        </w:rPr>
      </w:pPr>
      <w:r>
        <w:rPr>
          <w:rFonts w:hint="eastAsia" w:ascii="宋体" w:hAnsi="宋体" w:eastAsia="宋体" w:cs="宋体"/>
          <w:sz w:val="21"/>
          <w:szCs w:val="21"/>
          <w:lang w:val="zh-CN"/>
        </w:rPr>
        <w:t>具备履行合同所必需的设备和专业技术能力的声明格式</w:t>
      </w:r>
    </w:p>
    <w:p>
      <w:pPr>
        <w:spacing w:line="360" w:lineRule="auto"/>
        <w:rPr>
          <w:rFonts w:hint="eastAsia" w:ascii="宋体" w:hAnsi="宋体" w:eastAsia="宋体" w:cs="宋体"/>
          <w:color w:val="000000" w:themeColor="text1"/>
          <w:sz w:val="21"/>
          <w:szCs w:val="21"/>
          <w:u w:val="single"/>
        </w:rPr>
      </w:pP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w:t>
      </w:r>
    </w:p>
    <w:p>
      <w:pPr>
        <w:spacing w:line="460" w:lineRule="exact"/>
        <w:ind w:firstLine="492"/>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我单位</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（供应商名称）郑重声明：我公司具备履行本项采购合同所必需的设备和专业技术能力，为履行本项采购合同我单位具备如下主要设备和主要专业技术能力：</w:t>
      </w:r>
    </w:p>
    <w:p>
      <w:pPr>
        <w:spacing w:line="460" w:lineRule="exact"/>
        <w:ind w:firstLine="492"/>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主要设备有：</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若有 )</w:t>
      </w:r>
    </w:p>
    <w:p>
      <w:pPr>
        <w:spacing w:line="460" w:lineRule="exact"/>
        <w:ind w:firstLine="492"/>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主要专业技术能力有：</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若有 )</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                                      </w:t>
      </w:r>
    </w:p>
    <w:p>
      <w:pPr>
        <w:spacing w:line="360" w:lineRule="auto"/>
        <w:rPr>
          <w:rFonts w:hint="eastAsia" w:ascii="宋体" w:hAnsi="宋体" w:eastAsia="宋体" w:cs="宋体"/>
          <w:color w:val="000000" w:themeColor="text1"/>
          <w:sz w:val="21"/>
          <w:szCs w:val="21"/>
        </w:rPr>
      </w:pPr>
    </w:p>
    <w:p>
      <w:pPr>
        <w:spacing w:line="360" w:lineRule="auto"/>
        <w:jc w:val="righ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                                     声明人：（公章）</w:t>
      </w:r>
    </w:p>
    <w:p>
      <w:pPr>
        <w:spacing w:line="240" w:lineRule="auto"/>
        <w:jc w:val="right"/>
        <w:rPr>
          <w:rFonts w:hint="eastAsia" w:ascii="宋体" w:hAnsi="宋体" w:eastAsia="宋体" w:cs="宋体"/>
          <w:color w:val="000000" w:themeColor="text1"/>
          <w:sz w:val="21"/>
          <w:szCs w:val="21"/>
        </w:rPr>
      </w:pPr>
      <w:r>
        <w:rPr>
          <w:rFonts w:hint="eastAsia" w:ascii="宋体" w:hAnsi="宋体" w:eastAsia="宋体" w:cs="宋体"/>
          <w:bCs/>
          <w:color w:val="000000" w:themeColor="text1"/>
          <w:sz w:val="21"/>
          <w:szCs w:val="21"/>
        </w:rPr>
        <w:t xml:space="preserve">                                     </w:t>
      </w:r>
      <w:r>
        <w:rPr>
          <w:rFonts w:hint="eastAsia" w:ascii="宋体" w:hAnsi="宋体" w:eastAsia="宋体" w:cs="宋体"/>
          <w:bCs/>
          <w:color w:val="000000" w:themeColor="text1"/>
          <w:sz w:val="21"/>
          <w:szCs w:val="21"/>
          <w:lang w:val="en-US" w:eastAsia="zh-CN"/>
        </w:rPr>
        <w:t xml:space="preserve">   </w:t>
      </w:r>
      <w:r>
        <w:rPr>
          <w:rFonts w:hint="eastAsia" w:ascii="宋体" w:hAnsi="宋体" w:eastAsia="宋体" w:cs="宋体"/>
          <w:color w:val="000000" w:themeColor="text1"/>
          <w:sz w:val="21"/>
          <w:szCs w:val="21"/>
        </w:rPr>
        <w:t>日期：______年    月    日</w:t>
      </w:r>
    </w:p>
    <w:p>
      <w:pPr>
        <w:spacing w:line="360" w:lineRule="auto"/>
        <w:rPr>
          <w:rFonts w:hint="eastAsia" w:ascii="宋体" w:hAnsi="宋体" w:eastAsia="宋体" w:cs="宋体"/>
          <w:color w:val="000000" w:themeColor="text1"/>
          <w:sz w:val="21"/>
          <w:szCs w:val="21"/>
        </w:rPr>
      </w:pPr>
    </w:p>
    <w:p>
      <w:pPr>
        <w:pStyle w:val="6"/>
        <w:adjustRightInd w:val="0"/>
        <w:snapToGrid w:val="0"/>
        <w:spacing w:before="240" w:after="240" w:line="276" w:lineRule="auto"/>
        <w:rPr>
          <w:rFonts w:hint="eastAsia" w:ascii="宋体" w:hAnsi="宋体" w:eastAsia="宋体" w:cs="宋体"/>
          <w:sz w:val="21"/>
          <w:szCs w:val="21"/>
          <w:lang w:val="zh-CN"/>
        </w:rPr>
      </w:pPr>
      <w:r>
        <w:rPr>
          <w:rFonts w:hint="eastAsia" w:ascii="宋体" w:hAnsi="宋体" w:eastAsia="宋体" w:cs="宋体"/>
          <w:sz w:val="21"/>
          <w:szCs w:val="21"/>
          <w:lang w:val="zh-CN"/>
        </w:rPr>
        <w:t>附件</w:t>
      </w:r>
      <w:r>
        <w:rPr>
          <w:rFonts w:hint="eastAsia" w:ascii="宋体" w:hAnsi="宋体" w:eastAsia="宋体" w:cs="宋体"/>
          <w:sz w:val="21"/>
          <w:szCs w:val="21"/>
          <w:lang w:val="en-US" w:eastAsia="zh-CN"/>
        </w:rPr>
        <w:t>九</w:t>
      </w:r>
      <w:r>
        <w:rPr>
          <w:rFonts w:hint="eastAsia" w:ascii="宋体" w:hAnsi="宋体" w:eastAsia="宋体" w:cs="宋体"/>
          <w:sz w:val="21"/>
          <w:szCs w:val="21"/>
          <w:lang w:val="zh-CN"/>
        </w:rPr>
        <w:t>：南京市政府采购供应商信用记录表（暨信用承诺书）</w:t>
      </w:r>
    </w:p>
    <w:p>
      <w:pPr>
        <w:widowControl/>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（根据《南京市政府采购供应商诚信档案管理系统》在线打印）</w:t>
      </w:r>
    </w:p>
    <w:p>
      <w:pPr>
        <w:widowControl/>
        <w:adjustRightIn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附件十：承诺书</w:t>
      </w:r>
    </w:p>
    <w:p>
      <w:pPr>
        <w:pStyle w:val="7"/>
        <w:adjustRightInd w:val="0"/>
        <w:spacing w:before="0" w:after="0" w:line="360" w:lineRule="auto"/>
        <w:jc w:val="center"/>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南京市政府采购供应商信用记录表</w:t>
      </w:r>
    </w:p>
    <w:p>
      <w:pPr>
        <w:pStyle w:val="7"/>
        <w:adjustRightInd w:val="0"/>
        <w:spacing w:before="0" w:after="0" w:line="360" w:lineRule="auto"/>
        <w:jc w:val="center"/>
        <w:rPr>
          <w:rFonts w:hint="eastAsia" w:ascii="宋体" w:hAnsi="宋体" w:eastAsia="宋体" w:cs="宋体"/>
          <w:sz w:val="21"/>
          <w:szCs w:val="21"/>
        </w:rPr>
      </w:pPr>
      <w:r>
        <w:rPr>
          <w:rFonts w:hint="eastAsia" w:ascii="宋体" w:hAnsi="宋体" w:eastAsia="宋体" w:cs="宋体"/>
          <w:b w:val="0"/>
          <w:bCs/>
          <w:sz w:val="21"/>
          <w:szCs w:val="21"/>
        </w:rPr>
        <w:t>暨信用承诺书</w:t>
      </w:r>
    </w:p>
    <w:p>
      <w:pPr>
        <w:pStyle w:val="57"/>
        <w:jc w:val="right"/>
        <w:rPr>
          <w:rFonts w:hint="eastAsia" w:ascii="宋体" w:hAnsi="宋体" w:eastAsia="宋体" w:cs="宋体"/>
          <w:sz w:val="21"/>
          <w:szCs w:val="21"/>
        </w:rPr>
      </w:pPr>
      <w:r>
        <w:rPr>
          <w:rFonts w:hint="eastAsia" w:ascii="宋体" w:hAnsi="宋体" w:eastAsia="宋体" w:cs="宋体"/>
          <w:sz w:val="21"/>
          <w:szCs w:val="21"/>
        </w:rPr>
        <w:t>年  月  日</w:t>
      </w:r>
    </w:p>
    <w:tbl>
      <w:tblPr>
        <w:tblStyle w:val="42"/>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271"/>
        <w:gridCol w:w="2299"/>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Pr>
          <w:p>
            <w:pPr>
              <w:rPr>
                <w:rFonts w:hint="eastAsia" w:ascii="宋体" w:hAnsi="宋体" w:eastAsia="宋体" w:cs="宋体"/>
                <w:sz w:val="21"/>
                <w:szCs w:val="21"/>
              </w:rPr>
            </w:pPr>
            <w:r>
              <w:rPr>
                <w:rFonts w:hint="eastAsia" w:ascii="宋体" w:hAnsi="宋体" w:eastAsia="宋体" w:cs="宋体"/>
                <w:sz w:val="21"/>
                <w:szCs w:val="21"/>
              </w:rPr>
              <w:t>单位名称</w:t>
            </w:r>
          </w:p>
        </w:tc>
        <w:tc>
          <w:tcPr>
            <w:tcW w:w="2271" w:type="dxa"/>
          </w:tcPr>
          <w:p>
            <w:pPr>
              <w:rPr>
                <w:rFonts w:hint="eastAsia" w:ascii="宋体" w:hAnsi="宋体" w:eastAsia="宋体" w:cs="宋体"/>
                <w:sz w:val="21"/>
                <w:szCs w:val="21"/>
              </w:rPr>
            </w:pPr>
          </w:p>
        </w:tc>
        <w:tc>
          <w:tcPr>
            <w:tcW w:w="2299" w:type="dxa"/>
          </w:tcPr>
          <w:p>
            <w:pP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2272"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Pr>
          <w:p>
            <w:pPr>
              <w:rPr>
                <w:rFonts w:hint="eastAsia" w:ascii="宋体" w:hAnsi="宋体" w:eastAsia="宋体" w:cs="宋体"/>
                <w:sz w:val="21"/>
                <w:szCs w:val="21"/>
              </w:rPr>
            </w:pPr>
            <w:r>
              <w:rPr>
                <w:rFonts w:hint="eastAsia" w:ascii="宋体" w:hAnsi="宋体" w:eastAsia="宋体" w:cs="宋体"/>
                <w:sz w:val="21"/>
                <w:szCs w:val="21"/>
              </w:rPr>
              <w:t>法定代表人</w:t>
            </w:r>
          </w:p>
        </w:tc>
        <w:tc>
          <w:tcPr>
            <w:tcW w:w="2271" w:type="dxa"/>
          </w:tcPr>
          <w:p>
            <w:pPr>
              <w:rPr>
                <w:rFonts w:hint="eastAsia" w:ascii="宋体" w:hAnsi="宋体" w:eastAsia="宋体" w:cs="宋体"/>
                <w:sz w:val="21"/>
                <w:szCs w:val="21"/>
              </w:rPr>
            </w:pPr>
          </w:p>
        </w:tc>
        <w:tc>
          <w:tcPr>
            <w:tcW w:w="2299" w:type="dxa"/>
          </w:tcPr>
          <w:p>
            <w:pPr>
              <w:rPr>
                <w:rFonts w:hint="eastAsia" w:ascii="宋体" w:hAnsi="宋体" w:eastAsia="宋体" w:cs="宋体"/>
                <w:sz w:val="21"/>
                <w:szCs w:val="21"/>
              </w:rPr>
            </w:pPr>
            <w:r>
              <w:rPr>
                <w:rFonts w:hint="eastAsia" w:ascii="宋体" w:hAnsi="宋体" w:eastAsia="宋体" w:cs="宋体"/>
                <w:sz w:val="21"/>
                <w:szCs w:val="21"/>
              </w:rPr>
              <w:t>联系人</w:t>
            </w:r>
          </w:p>
        </w:tc>
        <w:tc>
          <w:tcPr>
            <w:tcW w:w="2272"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Pr>
          <w:p>
            <w:pPr>
              <w:rPr>
                <w:rFonts w:hint="eastAsia" w:ascii="宋体" w:hAnsi="宋体" w:eastAsia="宋体" w:cs="宋体"/>
                <w:sz w:val="21"/>
                <w:szCs w:val="21"/>
              </w:rPr>
            </w:pPr>
            <w:r>
              <w:rPr>
                <w:rFonts w:hint="eastAsia" w:ascii="宋体" w:hAnsi="宋体" w:eastAsia="宋体" w:cs="宋体"/>
                <w:sz w:val="21"/>
                <w:szCs w:val="21"/>
              </w:rPr>
              <w:t>联系地址</w:t>
            </w:r>
          </w:p>
        </w:tc>
        <w:tc>
          <w:tcPr>
            <w:tcW w:w="2271" w:type="dxa"/>
          </w:tcPr>
          <w:p>
            <w:pPr>
              <w:rPr>
                <w:rFonts w:hint="eastAsia" w:ascii="宋体" w:hAnsi="宋体" w:eastAsia="宋体" w:cs="宋体"/>
                <w:sz w:val="21"/>
                <w:szCs w:val="21"/>
              </w:rPr>
            </w:pPr>
          </w:p>
        </w:tc>
        <w:tc>
          <w:tcPr>
            <w:tcW w:w="2299" w:type="dxa"/>
          </w:tcPr>
          <w:p>
            <w:pPr>
              <w:rPr>
                <w:rFonts w:hint="eastAsia" w:ascii="宋体" w:hAnsi="宋体" w:eastAsia="宋体" w:cs="宋体"/>
                <w:sz w:val="21"/>
                <w:szCs w:val="21"/>
              </w:rPr>
            </w:pPr>
            <w:r>
              <w:rPr>
                <w:rFonts w:hint="eastAsia" w:ascii="宋体" w:hAnsi="宋体" w:eastAsia="宋体" w:cs="宋体"/>
                <w:sz w:val="21"/>
                <w:szCs w:val="21"/>
              </w:rPr>
              <w:t>联系电话</w:t>
            </w:r>
          </w:p>
        </w:tc>
        <w:tc>
          <w:tcPr>
            <w:tcW w:w="2272"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196" w:type="dxa"/>
            <w:vAlign w:val="center"/>
          </w:tcPr>
          <w:p>
            <w:pPr>
              <w:rPr>
                <w:rFonts w:hint="eastAsia" w:ascii="宋体" w:hAnsi="宋体" w:eastAsia="宋体" w:cs="宋体"/>
                <w:sz w:val="21"/>
                <w:szCs w:val="21"/>
              </w:rPr>
            </w:pPr>
            <w:r>
              <w:rPr>
                <w:rFonts w:hint="eastAsia" w:ascii="宋体" w:hAnsi="宋体" w:eastAsia="宋体" w:cs="宋体"/>
                <w:sz w:val="21"/>
                <w:szCs w:val="21"/>
              </w:rPr>
              <w:t>诚信档案记录情况</w:t>
            </w:r>
          </w:p>
        </w:tc>
        <w:tc>
          <w:tcPr>
            <w:tcW w:w="6842" w:type="dxa"/>
            <w:gridSpan w:val="3"/>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6" w:hRule="atLeast"/>
        </w:trPr>
        <w:tc>
          <w:tcPr>
            <w:tcW w:w="2196" w:type="dxa"/>
            <w:vAlign w:val="center"/>
          </w:tcPr>
          <w:p>
            <w:pPr>
              <w:rPr>
                <w:rFonts w:hint="eastAsia" w:ascii="宋体" w:hAnsi="宋体" w:eastAsia="宋体" w:cs="宋体"/>
                <w:sz w:val="21"/>
                <w:szCs w:val="21"/>
              </w:rPr>
            </w:pPr>
            <w:r>
              <w:rPr>
                <w:rFonts w:hint="eastAsia" w:ascii="宋体" w:hAnsi="宋体" w:eastAsia="宋体" w:cs="宋体"/>
                <w:sz w:val="21"/>
                <w:szCs w:val="21"/>
              </w:rPr>
              <w:t>信用承诺</w:t>
            </w:r>
          </w:p>
        </w:tc>
        <w:tc>
          <w:tcPr>
            <w:tcW w:w="6842" w:type="dxa"/>
            <w:gridSpan w:val="3"/>
          </w:tcPr>
          <w:p>
            <w:pPr>
              <w:ind w:firstLine="420" w:firstLineChars="200"/>
              <w:rPr>
                <w:rFonts w:hint="eastAsia" w:ascii="宋体" w:hAnsi="宋体" w:eastAsia="宋体" w:cs="宋体"/>
                <w:sz w:val="21"/>
                <w:szCs w:val="21"/>
              </w:rPr>
            </w:pPr>
            <w:r>
              <w:rPr>
                <w:rFonts w:hint="eastAsia" w:ascii="宋体" w:hAnsi="宋体" w:eastAsia="宋体" w:cs="宋体"/>
                <w:sz w:val="21"/>
                <w:szCs w:val="21"/>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以及法律、行政法规和采购文件规定的其他条件。如有弄虛作假或其他违法违规行为，愿承担一切法律责任，接受各级政府采购监管部门和有权机关的审查和处罚。</w:t>
            </w:r>
          </w:p>
          <w:p>
            <w:pPr>
              <w:pStyle w:val="57"/>
              <w:rPr>
                <w:rFonts w:hint="eastAsia" w:ascii="宋体" w:hAnsi="宋体" w:eastAsia="宋体" w:cs="宋体"/>
                <w:sz w:val="21"/>
                <w:szCs w:val="21"/>
              </w:rPr>
            </w:pPr>
          </w:p>
          <w:p>
            <w:pPr>
              <w:pStyle w:val="57"/>
              <w:rPr>
                <w:rFonts w:hint="eastAsia" w:ascii="宋体" w:hAnsi="宋体" w:eastAsia="宋体" w:cs="宋体"/>
                <w:sz w:val="21"/>
                <w:szCs w:val="21"/>
              </w:rPr>
            </w:pPr>
          </w:p>
          <w:p>
            <w:pPr>
              <w:pStyle w:val="57"/>
              <w:rPr>
                <w:rFonts w:hint="eastAsia" w:ascii="宋体" w:hAnsi="宋体" w:eastAsia="宋体" w:cs="宋体"/>
                <w:sz w:val="21"/>
                <w:szCs w:val="21"/>
              </w:rPr>
            </w:pPr>
          </w:p>
          <w:p>
            <w:pPr>
              <w:pStyle w:val="57"/>
              <w:ind w:firstLine="3570" w:firstLineChars="1700"/>
              <w:rPr>
                <w:rFonts w:hint="eastAsia" w:ascii="宋体" w:hAnsi="宋体" w:eastAsia="宋体" w:cs="宋体"/>
                <w:sz w:val="21"/>
                <w:szCs w:val="21"/>
              </w:rPr>
            </w:pPr>
            <w:r>
              <w:rPr>
                <w:rFonts w:hint="eastAsia" w:ascii="宋体" w:hAnsi="宋体" w:eastAsia="宋体" w:cs="宋体"/>
                <w:sz w:val="21"/>
                <w:szCs w:val="21"/>
              </w:rPr>
              <w:t>供应商名称（盖章）：</w:t>
            </w:r>
          </w:p>
          <w:p>
            <w:pPr>
              <w:pStyle w:val="57"/>
              <w:ind w:firstLine="3570" w:firstLineChars="1700"/>
              <w:rPr>
                <w:rFonts w:hint="eastAsia" w:ascii="宋体" w:hAnsi="宋体" w:eastAsia="宋体" w:cs="宋体"/>
                <w:sz w:val="21"/>
                <w:szCs w:val="21"/>
              </w:rPr>
            </w:pPr>
            <w:r>
              <w:rPr>
                <w:rFonts w:hint="eastAsia" w:ascii="宋体" w:hAnsi="宋体" w:eastAsia="宋体" w:cs="宋体"/>
                <w:sz w:val="21"/>
                <w:szCs w:val="21"/>
              </w:rPr>
              <w:t>法定代表人（签字）：</w:t>
            </w:r>
          </w:p>
          <w:p>
            <w:pPr>
              <w:pStyle w:val="57"/>
              <w:ind w:firstLine="3570" w:firstLineChars="1700"/>
              <w:rPr>
                <w:rFonts w:hint="eastAsia" w:ascii="宋体" w:hAnsi="宋体" w:eastAsia="宋体" w:cs="宋体"/>
                <w:sz w:val="21"/>
                <w:szCs w:val="21"/>
              </w:rPr>
            </w:pPr>
            <w:r>
              <w:rPr>
                <w:rFonts w:hint="eastAsia" w:ascii="宋体" w:hAnsi="宋体" w:eastAsia="宋体" w:cs="宋体"/>
                <w:sz w:val="21"/>
                <w:szCs w:val="21"/>
              </w:rPr>
              <w:t xml:space="preserve">  年    月  日</w:t>
            </w:r>
          </w:p>
        </w:tc>
      </w:tr>
    </w:tbl>
    <w:p>
      <w:pPr>
        <w:rPr>
          <w:rFonts w:hint="eastAsia" w:ascii="宋体" w:hAnsi="宋体" w:eastAsia="宋体" w:cs="宋体"/>
          <w:sz w:val="21"/>
          <w:szCs w:val="21"/>
        </w:rPr>
      </w:pPr>
    </w:p>
    <w:p>
      <w:pPr>
        <w:widowControl/>
        <w:adjustRightInd w:val="0"/>
        <w:spacing w:line="460" w:lineRule="exact"/>
        <w:jc w:val="left"/>
        <w:rPr>
          <w:rFonts w:hint="eastAsia" w:ascii="宋体" w:hAnsi="宋体" w:eastAsia="宋体" w:cs="宋体"/>
          <w:b/>
          <w:kern w:val="0"/>
          <w:sz w:val="21"/>
          <w:szCs w:val="21"/>
          <w:lang w:val="zh-CN"/>
        </w:rPr>
      </w:pPr>
    </w:p>
    <w:p>
      <w:pPr>
        <w:widowControl/>
        <w:adjustRightInd w:val="0"/>
        <w:spacing w:line="460" w:lineRule="exact"/>
        <w:jc w:val="left"/>
        <w:rPr>
          <w:rFonts w:hint="eastAsia" w:ascii="宋体" w:hAnsi="宋体" w:eastAsia="宋体" w:cs="宋体"/>
          <w:b/>
          <w:kern w:val="0"/>
          <w:sz w:val="21"/>
          <w:szCs w:val="21"/>
          <w:lang w:val="zh-CN"/>
        </w:rPr>
      </w:pPr>
    </w:p>
    <w:p>
      <w:pPr>
        <w:widowControl/>
        <w:adjustRightInd w:val="0"/>
        <w:spacing w:line="460" w:lineRule="exact"/>
        <w:jc w:val="left"/>
        <w:rPr>
          <w:rFonts w:hint="eastAsia" w:ascii="宋体" w:hAnsi="宋体" w:eastAsia="宋体" w:cs="宋体"/>
          <w:b/>
          <w:kern w:val="0"/>
          <w:sz w:val="21"/>
          <w:szCs w:val="21"/>
          <w:lang w:val="zh-CN"/>
        </w:rPr>
      </w:pPr>
    </w:p>
    <w:p>
      <w:pPr>
        <w:widowControl/>
        <w:adjustRightInd w:val="0"/>
        <w:spacing w:line="460" w:lineRule="exact"/>
        <w:jc w:val="left"/>
        <w:rPr>
          <w:rFonts w:hint="eastAsia" w:ascii="宋体" w:hAnsi="宋体" w:eastAsia="宋体" w:cs="宋体"/>
          <w:b/>
          <w:kern w:val="0"/>
          <w:sz w:val="21"/>
          <w:szCs w:val="21"/>
          <w:lang w:val="zh-CN"/>
        </w:rPr>
      </w:pPr>
    </w:p>
    <w:p>
      <w:pPr>
        <w:widowControl/>
        <w:adjustRightInd w:val="0"/>
        <w:spacing w:line="460" w:lineRule="exact"/>
        <w:jc w:val="left"/>
        <w:rPr>
          <w:rFonts w:hint="eastAsia" w:ascii="宋体" w:hAnsi="宋体" w:eastAsia="宋体" w:cs="宋体"/>
          <w:kern w:val="0"/>
          <w:sz w:val="21"/>
          <w:szCs w:val="21"/>
        </w:rPr>
      </w:pPr>
      <w:r>
        <w:rPr>
          <w:rFonts w:hint="eastAsia" w:ascii="宋体" w:hAnsi="宋体" w:eastAsia="宋体" w:cs="宋体"/>
          <w:b/>
          <w:kern w:val="0"/>
          <w:sz w:val="21"/>
          <w:szCs w:val="21"/>
          <w:lang w:val="zh-CN"/>
        </w:rPr>
        <w:t>附件</w:t>
      </w:r>
      <w:r>
        <w:rPr>
          <w:rFonts w:hint="eastAsia" w:ascii="宋体" w:hAnsi="宋体" w:eastAsia="宋体" w:cs="宋体"/>
          <w:b/>
          <w:kern w:val="0"/>
          <w:sz w:val="21"/>
          <w:szCs w:val="21"/>
        </w:rPr>
        <w:t>十</w:t>
      </w:r>
      <w:r>
        <w:rPr>
          <w:rFonts w:hint="eastAsia" w:ascii="宋体" w:hAnsi="宋体" w:eastAsia="宋体" w:cs="宋体"/>
          <w:b/>
          <w:kern w:val="0"/>
          <w:sz w:val="21"/>
          <w:szCs w:val="21"/>
          <w:lang w:val="en-US" w:eastAsia="zh-CN" w:bidi="ar-SA"/>
        </w:rPr>
        <w:t>一</w:t>
      </w:r>
      <w:r>
        <w:rPr>
          <w:rFonts w:hint="eastAsia" w:ascii="宋体" w:hAnsi="宋体" w:eastAsia="宋体" w:cs="宋体"/>
          <w:b/>
          <w:kern w:val="0"/>
          <w:sz w:val="21"/>
          <w:szCs w:val="21"/>
          <w:lang w:val="zh-CN" w:eastAsia="zh-CN" w:bidi="ar-SA"/>
        </w:rPr>
        <w:t>：项目实施方案（格式自拟）</w:t>
      </w:r>
    </w:p>
    <w:p>
      <w:pPr>
        <w:pStyle w:val="6"/>
        <w:keepNext w:val="0"/>
        <w:keepLines w:val="0"/>
        <w:adjustRightInd w:val="0"/>
        <w:snapToGrid w:val="0"/>
        <w:spacing w:before="240" w:after="240" w:line="276" w:lineRule="auto"/>
        <w:rPr>
          <w:rFonts w:hint="eastAsia" w:ascii="宋体" w:hAnsi="宋体" w:eastAsia="宋体" w:cs="宋体"/>
          <w:b/>
          <w:sz w:val="21"/>
          <w:szCs w:val="21"/>
        </w:rPr>
      </w:pPr>
      <w:r>
        <w:rPr>
          <w:rFonts w:hint="eastAsia" w:ascii="宋体" w:hAnsi="宋体" w:eastAsia="宋体" w:cs="宋体"/>
          <w:b/>
          <w:kern w:val="0"/>
          <w:sz w:val="21"/>
          <w:szCs w:val="21"/>
          <w:lang w:val="zh-CN"/>
        </w:rPr>
        <w:t>附件</w:t>
      </w:r>
      <w:r>
        <w:rPr>
          <w:rFonts w:hint="eastAsia" w:ascii="宋体" w:hAnsi="宋体" w:eastAsia="宋体" w:cs="宋体"/>
          <w:b/>
          <w:kern w:val="0"/>
          <w:sz w:val="21"/>
          <w:szCs w:val="21"/>
        </w:rPr>
        <w:t>十</w:t>
      </w:r>
      <w:r>
        <w:rPr>
          <w:rFonts w:hint="eastAsia" w:ascii="宋体" w:hAnsi="宋体" w:cs="宋体"/>
          <w:b/>
          <w:kern w:val="0"/>
          <w:sz w:val="21"/>
          <w:szCs w:val="21"/>
          <w:lang w:val="en-US" w:eastAsia="zh-CN" w:bidi="ar-SA"/>
        </w:rPr>
        <w:t>二</w:t>
      </w:r>
      <w:r>
        <w:rPr>
          <w:rFonts w:hint="eastAsia" w:ascii="宋体" w:hAnsi="宋体" w:cs="宋体"/>
          <w:color w:val="000000"/>
          <w:sz w:val="21"/>
          <w:szCs w:val="21"/>
          <w:lang w:val="zh-CN"/>
        </w:rPr>
        <w:t>：服务承诺（格式自拟）</w:t>
      </w:r>
    </w:p>
    <w:p>
      <w:pPr>
        <w:pStyle w:val="17"/>
        <w:rPr>
          <w:rFonts w:hint="eastAsia" w:ascii="宋体" w:hAnsi="宋体" w:eastAsia="宋体" w:cs="宋体"/>
          <w:b/>
          <w:sz w:val="21"/>
          <w:szCs w:val="21"/>
        </w:rPr>
      </w:pPr>
      <w:r>
        <w:rPr>
          <w:rFonts w:hint="eastAsia" w:ascii="宋体" w:hAnsi="宋体" w:eastAsia="宋体" w:cs="宋体"/>
          <w:b/>
          <w:sz w:val="21"/>
          <w:szCs w:val="21"/>
        </w:rPr>
        <w:t>附件十</w:t>
      </w:r>
      <w:r>
        <w:rPr>
          <w:rFonts w:hint="eastAsia" w:ascii="宋体" w:hAnsi="宋体" w:cs="宋体"/>
          <w:b/>
          <w:sz w:val="21"/>
          <w:szCs w:val="21"/>
          <w:lang w:val="en-US" w:eastAsia="zh-CN"/>
        </w:rPr>
        <w:t>三</w:t>
      </w:r>
      <w:r>
        <w:rPr>
          <w:rFonts w:hint="eastAsia" w:ascii="宋体" w:hAnsi="宋体" w:eastAsia="宋体" w:cs="宋体"/>
          <w:b/>
          <w:sz w:val="21"/>
          <w:szCs w:val="21"/>
        </w:rPr>
        <w:t>：其他证明材料及文件（如果供应商认为需要提供的）</w:t>
      </w:r>
    </w:p>
    <w:sectPr>
      <w:footerReference r:id="rId7" w:type="first"/>
      <w:footerReference r:id="rId6" w:type="default"/>
      <w:pgSz w:w="11906" w:h="16838"/>
      <w:pgMar w:top="1417" w:right="1553" w:bottom="1417" w:left="1531" w:header="851" w:footer="992" w:gutter="0"/>
      <w:cols w:space="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金山简魏碑">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47</w:t>
    </w:r>
    <w:r>
      <w:rPr>
        <w:rFonts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7"/>
                </w:pPr>
                <w:r>
                  <w:fldChar w:fldCharType="begin"/>
                </w:r>
                <w:r>
                  <w:instrText xml:space="preserve"> PAGE  \* MERGEFORMAT </w:instrText>
                </w:r>
                <w:r>
                  <w:fldChar w:fldCharType="separate"/>
                </w:r>
                <w:r>
                  <w:t>64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jc w:val="cente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2"/>
      </w:pPr>
      <w:r>
        <w:rPr>
          <w:rFonts w:hint="eastAsia"/>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B426A"/>
    <w:multiLevelType w:val="singleLevel"/>
    <w:tmpl w:val="8A9B426A"/>
    <w:lvl w:ilvl="0" w:tentative="0">
      <w:start w:val="1"/>
      <w:numFmt w:val="decimal"/>
      <w:lvlText w:val="(%1)"/>
      <w:lvlJc w:val="left"/>
      <w:pPr>
        <w:tabs>
          <w:tab w:val="left" w:pos="312"/>
        </w:tabs>
      </w:pPr>
    </w:lvl>
  </w:abstractNum>
  <w:abstractNum w:abstractNumId="1">
    <w:nsid w:val="BE4B1143"/>
    <w:multiLevelType w:val="singleLevel"/>
    <w:tmpl w:val="BE4B1143"/>
    <w:lvl w:ilvl="0" w:tentative="0">
      <w:start w:val="2"/>
      <w:numFmt w:val="decimal"/>
      <w:suff w:val="space"/>
      <w:lvlText w:val="%1."/>
      <w:lvlJc w:val="left"/>
    </w:lvl>
  </w:abstractNum>
  <w:abstractNum w:abstractNumId="2">
    <w:nsid w:val="C9F8C305"/>
    <w:multiLevelType w:val="singleLevel"/>
    <w:tmpl w:val="C9F8C305"/>
    <w:lvl w:ilvl="0" w:tentative="0">
      <w:start w:val="2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HorizontalSpacing w:val="210"/>
  <w:drawingGridVerticalSpacing w:val="163"/>
  <w:doNotShadeFormData w:val="1"/>
  <w:noPunctuationKerning w:val="1"/>
  <w:characterSpacingControl w:val="compressPunctuation"/>
  <w:doNotValidateAgainstSchema/>
  <w:doNotDemarcateInvalidXml/>
  <w:hdrShapeDefaults>
    <o:shapelayout v:ext="edit">
      <o:idmap v:ext="edit" data="2,3"/>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MyMjU2MWQzZTM0NWIyNTYyYWZkYWEyYzVmYjBmZDgifQ=="/>
  </w:docVars>
  <w:rsids>
    <w:rsidRoot w:val="00172A27"/>
    <w:rsid w:val="000022A8"/>
    <w:rsid w:val="00010176"/>
    <w:rsid w:val="00016FEF"/>
    <w:rsid w:val="0002295B"/>
    <w:rsid w:val="00022AF5"/>
    <w:rsid w:val="00031BB9"/>
    <w:rsid w:val="0003306C"/>
    <w:rsid w:val="00034FC0"/>
    <w:rsid w:val="0004159E"/>
    <w:rsid w:val="0005202D"/>
    <w:rsid w:val="0005253D"/>
    <w:rsid w:val="0005389A"/>
    <w:rsid w:val="00061261"/>
    <w:rsid w:val="0006445E"/>
    <w:rsid w:val="0006640C"/>
    <w:rsid w:val="00066C8B"/>
    <w:rsid w:val="00072AB3"/>
    <w:rsid w:val="000758F8"/>
    <w:rsid w:val="00080F95"/>
    <w:rsid w:val="000830CD"/>
    <w:rsid w:val="00087441"/>
    <w:rsid w:val="000942B7"/>
    <w:rsid w:val="00097751"/>
    <w:rsid w:val="000B0D3C"/>
    <w:rsid w:val="000B2502"/>
    <w:rsid w:val="000B3407"/>
    <w:rsid w:val="000B382E"/>
    <w:rsid w:val="000B6072"/>
    <w:rsid w:val="000B76FD"/>
    <w:rsid w:val="000C42D0"/>
    <w:rsid w:val="000D70D6"/>
    <w:rsid w:val="000E2E90"/>
    <w:rsid w:val="000E33BB"/>
    <w:rsid w:val="000E4C80"/>
    <w:rsid w:val="000E70FF"/>
    <w:rsid w:val="000F1AF0"/>
    <w:rsid w:val="000F76A3"/>
    <w:rsid w:val="001026BE"/>
    <w:rsid w:val="00103C3A"/>
    <w:rsid w:val="0010479B"/>
    <w:rsid w:val="001109FC"/>
    <w:rsid w:val="00112DD4"/>
    <w:rsid w:val="00117341"/>
    <w:rsid w:val="00122058"/>
    <w:rsid w:val="00125D97"/>
    <w:rsid w:val="00131265"/>
    <w:rsid w:val="00131E37"/>
    <w:rsid w:val="00133A35"/>
    <w:rsid w:val="00133F84"/>
    <w:rsid w:val="00142712"/>
    <w:rsid w:val="001514CF"/>
    <w:rsid w:val="00163A2A"/>
    <w:rsid w:val="00172A27"/>
    <w:rsid w:val="00172D10"/>
    <w:rsid w:val="001739A9"/>
    <w:rsid w:val="001816F0"/>
    <w:rsid w:val="00196407"/>
    <w:rsid w:val="001A046A"/>
    <w:rsid w:val="001A5989"/>
    <w:rsid w:val="001A7292"/>
    <w:rsid w:val="001A7DBB"/>
    <w:rsid w:val="001B4FAF"/>
    <w:rsid w:val="001B5B69"/>
    <w:rsid w:val="001B75D3"/>
    <w:rsid w:val="001B7678"/>
    <w:rsid w:val="001C34A6"/>
    <w:rsid w:val="001D12EA"/>
    <w:rsid w:val="001D2299"/>
    <w:rsid w:val="001D4443"/>
    <w:rsid w:val="001E303B"/>
    <w:rsid w:val="001F0D24"/>
    <w:rsid w:val="001F21C7"/>
    <w:rsid w:val="001F5B87"/>
    <w:rsid w:val="001F70C3"/>
    <w:rsid w:val="00205D77"/>
    <w:rsid w:val="002119DC"/>
    <w:rsid w:val="00212556"/>
    <w:rsid w:val="002145D9"/>
    <w:rsid w:val="00215C04"/>
    <w:rsid w:val="00216CCF"/>
    <w:rsid w:val="00220028"/>
    <w:rsid w:val="00222C89"/>
    <w:rsid w:val="00223DBA"/>
    <w:rsid w:val="00226D9B"/>
    <w:rsid w:val="00227E8E"/>
    <w:rsid w:val="002303D3"/>
    <w:rsid w:val="00232026"/>
    <w:rsid w:val="00247656"/>
    <w:rsid w:val="00251CDF"/>
    <w:rsid w:val="00253D6E"/>
    <w:rsid w:val="00254C79"/>
    <w:rsid w:val="002575E7"/>
    <w:rsid w:val="00260BED"/>
    <w:rsid w:val="00267932"/>
    <w:rsid w:val="0027205F"/>
    <w:rsid w:val="002722E0"/>
    <w:rsid w:val="0028173E"/>
    <w:rsid w:val="00283A7B"/>
    <w:rsid w:val="00287F0F"/>
    <w:rsid w:val="002905F1"/>
    <w:rsid w:val="00291FE1"/>
    <w:rsid w:val="00296ABB"/>
    <w:rsid w:val="00297897"/>
    <w:rsid w:val="002A0EF8"/>
    <w:rsid w:val="002A1770"/>
    <w:rsid w:val="002A4579"/>
    <w:rsid w:val="002B0886"/>
    <w:rsid w:val="002B26FC"/>
    <w:rsid w:val="002B283E"/>
    <w:rsid w:val="002B41E8"/>
    <w:rsid w:val="002B51AC"/>
    <w:rsid w:val="002D4EF9"/>
    <w:rsid w:val="002E206B"/>
    <w:rsid w:val="002E52CB"/>
    <w:rsid w:val="002E7938"/>
    <w:rsid w:val="002F030A"/>
    <w:rsid w:val="002F0A6E"/>
    <w:rsid w:val="002F5443"/>
    <w:rsid w:val="002F79B0"/>
    <w:rsid w:val="003016DD"/>
    <w:rsid w:val="00307A95"/>
    <w:rsid w:val="0031222F"/>
    <w:rsid w:val="003131D2"/>
    <w:rsid w:val="00314213"/>
    <w:rsid w:val="00314BF5"/>
    <w:rsid w:val="003330CE"/>
    <w:rsid w:val="00341AD5"/>
    <w:rsid w:val="00341F7A"/>
    <w:rsid w:val="00352739"/>
    <w:rsid w:val="00352994"/>
    <w:rsid w:val="00360A4F"/>
    <w:rsid w:val="00360FD7"/>
    <w:rsid w:val="00361359"/>
    <w:rsid w:val="0036175C"/>
    <w:rsid w:val="00362263"/>
    <w:rsid w:val="00363983"/>
    <w:rsid w:val="00367F6B"/>
    <w:rsid w:val="00370717"/>
    <w:rsid w:val="003707D0"/>
    <w:rsid w:val="00372A2B"/>
    <w:rsid w:val="00373A21"/>
    <w:rsid w:val="00376402"/>
    <w:rsid w:val="00381CED"/>
    <w:rsid w:val="00382ED2"/>
    <w:rsid w:val="0039100F"/>
    <w:rsid w:val="00393F45"/>
    <w:rsid w:val="003940F0"/>
    <w:rsid w:val="00396BD7"/>
    <w:rsid w:val="00396E01"/>
    <w:rsid w:val="003973F6"/>
    <w:rsid w:val="003A1491"/>
    <w:rsid w:val="003A211D"/>
    <w:rsid w:val="003A6899"/>
    <w:rsid w:val="003B393D"/>
    <w:rsid w:val="003B6320"/>
    <w:rsid w:val="003B6FB0"/>
    <w:rsid w:val="003C1B08"/>
    <w:rsid w:val="003D18AB"/>
    <w:rsid w:val="003D4F51"/>
    <w:rsid w:val="003E5612"/>
    <w:rsid w:val="003E5633"/>
    <w:rsid w:val="003E6800"/>
    <w:rsid w:val="003F54FD"/>
    <w:rsid w:val="003F7857"/>
    <w:rsid w:val="00400228"/>
    <w:rsid w:val="00403943"/>
    <w:rsid w:val="00403FCE"/>
    <w:rsid w:val="004046E3"/>
    <w:rsid w:val="0040484E"/>
    <w:rsid w:val="00406340"/>
    <w:rsid w:val="004079A4"/>
    <w:rsid w:val="00412D36"/>
    <w:rsid w:val="00414657"/>
    <w:rsid w:val="00415021"/>
    <w:rsid w:val="00424774"/>
    <w:rsid w:val="0043171F"/>
    <w:rsid w:val="0044086A"/>
    <w:rsid w:val="004427E5"/>
    <w:rsid w:val="00444CA8"/>
    <w:rsid w:val="0044571E"/>
    <w:rsid w:val="00451415"/>
    <w:rsid w:val="004519DE"/>
    <w:rsid w:val="004527CB"/>
    <w:rsid w:val="0045627E"/>
    <w:rsid w:val="004611F4"/>
    <w:rsid w:val="00461941"/>
    <w:rsid w:val="004631E7"/>
    <w:rsid w:val="00463FA8"/>
    <w:rsid w:val="00465269"/>
    <w:rsid w:val="00467C17"/>
    <w:rsid w:val="00473984"/>
    <w:rsid w:val="0047404D"/>
    <w:rsid w:val="0047433D"/>
    <w:rsid w:val="004756A6"/>
    <w:rsid w:val="00480E19"/>
    <w:rsid w:val="00482460"/>
    <w:rsid w:val="00484C6D"/>
    <w:rsid w:val="004924F9"/>
    <w:rsid w:val="00492583"/>
    <w:rsid w:val="0049349B"/>
    <w:rsid w:val="004973FD"/>
    <w:rsid w:val="0049782B"/>
    <w:rsid w:val="004A09D4"/>
    <w:rsid w:val="004A16FF"/>
    <w:rsid w:val="004A2656"/>
    <w:rsid w:val="004B2373"/>
    <w:rsid w:val="004B537C"/>
    <w:rsid w:val="004C2077"/>
    <w:rsid w:val="004C32F1"/>
    <w:rsid w:val="004D455A"/>
    <w:rsid w:val="004D4C31"/>
    <w:rsid w:val="004D63F0"/>
    <w:rsid w:val="004E408A"/>
    <w:rsid w:val="004E5144"/>
    <w:rsid w:val="004E74A7"/>
    <w:rsid w:val="004F2C63"/>
    <w:rsid w:val="004F392E"/>
    <w:rsid w:val="004F525A"/>
    <w:rsid w:val="0050617C"/>
    <w:rsid w:val="00510168"/>
    <w:rsid w:val="0051040C"/>
    <w:rsid w:val="00512ABE"/>
    <w:rsid w:val="0051646C"/>
    <w:rsid w:val="00516DC3"/>
    <w:rsid w:val="00517CD2"/>
    <w:rsid w:val="00524307"/>
    <w:rsid w:val="00524400"/>
    <w:rsid w:val="00525A3D"/>
    <w:rsid w:val="00527275"/>
    <w:rsid w:val="00527739"/>
    <w:rsid w:val="005308F0"/>
    <w:rsid w:val="00544759"/>
    <w:rsid w:val="0054716D"/>
    <w:rsid w:val="00547A38"/>
    <w:rsid w:val="00550C33"/>
    <w:rsid w:val="00550FCB"/>
    <w:rsid w:val="0055114E"/>
    <w:rsid w:val="00551415"/>
    <w:rsid w:val="005524A0"/>
    <w:rsid w:val="005528C0"/>
    <w:rsid w:val="005549E4"/>
    <w:rsid w:val="005571D9"/>
    <w:rsid w:val="00563D14"/>
    <w:rsid w:val="00570545"/>
    <w:rsid w:val="00570F1B"/>
    <w:rsid w:val="005738B3"/>
    <w:rsid w:val="00575214"/>
    <w:rsid w:val="0057577D"/>
    <w:rsid w:val="005765FE"/>
    <w:rsid w:val="005839B8"/>
    <w:rsid w:val="00584AF1"/>
    <w:rsid w:val="00590379"/>
    <w:rsid w:val="00593A29"/>
    <w:rsid w:val="00596E5D"/>
    <w:rsid w:val="005A5017"/>
    <w:rsid w:val="005A5080"/>
    <w:rsid w:val="005B09DA"/>
    <w:rsid w:val="005B3735"/>
    <w:rsid w:val="005B3F9E"/>
    <w:rsid w:val="005B4833"/>
    <w:rsid w:val="005B7B75"/>
    <w:rsid w:val="005C2BB5"/>
    <w:rsid w:val="005C7BD0"/>
    <w:rsid w:val="005D2478"/>
    <w:rsid w:val="005E1572"/>
    <w:rsid w:val="005E1B74"/>
    <w:rsid w:val="005E46E0"/>
    <w:rsid w:val="005E7704"/>
    <w:rsid w:val="005F0B89"/>
    <w:rsid w:val="005F0D7F"/>
    <w:rsid w:val="005F1D4D"/>
    <w:rsid w:val="005F1F0E"/>
    <w:rsid w:val="005F3423"/>
    <w:rsid w:val="005F3A48"/>
    <w:rsid w:val="005F4894"/>
    <w:rsid w:val="005F5628"/>
    <w:rsid w:val="005F7515"/>
    <w:rsid w:val="0060193E"/>
    <w:rsid w:val="006035F1"/>
    <w:rsid w:val="00605972"/>
    <w:rsid w:val="00606D28"/>
    <w:rsid w:val="00611452"/>
    <w:rsid w:val="00611C72"/>
    <w:rsid w:val="0061556B"/>
    <w:rsid w:val="00615936"/>
    <w:rsid w:val="00622D94"/>
    <w:rsid w:val="006240B6"/>
    <w:rsid w:val="006252EA"/>
    <w:rsid w:val="00626519"/>
    <w:rsid w:val="00627AB3"/>
    <w:rsid w:val="006318C4"/>
    <w:rsid w:val="006377C7"/>
    <w:rsid w:val="00645937"/>
    <w:rsid w:val="0065161A"/>
    <w:rsid w:val="00656826"/>
    <w:rsid w:val="006600F1"/>
    <w:rsid w:val="006628A6"/>
    <w:rsid w:val="006723CA"/>
    <w:rsid w:val="00674F68"/>
    <w:rsid w:val="00685284"/>
    <w:rsid w:val="00686DB5"/>
    <w:rsid w:val="0069188C"/>
    <w:rsid w:val="0069276F"/>
    <w:rsid w:val="006A1A01"/>
    <w:rsid w:val="006A33FA"/>
    <w:rsid w:val="006A5C8E"/>
    <w:rsid w:val="006A7744"/>
    <w:rsid w:val="006B19CE"/>
    <w:rsid w:val="006B2A74"/>
    <w:rsid w:val="006B6CCD"/>
    <w:rsid w:val="006C2009"/>
    <w:rsid w:val="006C3CFC"/>
    <w:rsid w:val="006C3FD6"/>
    <w:rsid w:val="006D0961"/>
    <w:rsid w:val="006D4BF0"/>
    <w:rsid w:val="006D506E"/>
    <w:rsid w:val="006D573F"/>
    <w:rsid w:val="006E0087"/>
    <w:rsid w:val="006E3472"/>
    <w:rsid w:val="006F1E4C"/>
    <w:rsid w:val="00701793"/>
    <w:rsid w:val="00704464"/>
    <w:rsid w:val="0070726F"/>
    <w:rsid w:val="00711038"/>
    <w:rsid w:val="0071328D"/>
    <w:rsid w:val="007141A3"/>
    <w:rsid w:val="0071552C"/>
    <w:rsid w:val="00721F66"/>
    <w:rsid w:val="00730E76"/>
    <w:rsid w:val="00733CC0"/>
    <w:rsid w:val="007437A4"/>
    <w:rsid w:val="00743D93"/>
    <w:rsid w:val="007443CB"/>
    <w:rsid w:val="00745943"/>
    <w:rsid w:val="00745D58"/>
    <w:rsid w:val="007477AA"/>
    <w:rsid w:val="00747921"/>
    <w:rsid w:val="007532A8"/>
    <w:rsid w:val="007543E9"/>
    <w:rsid w:val="007550FE"/>
    <w:rsid w:val="00766E65"/>
    <w:rsid w:val="00767EA7"/>
    <w:rsid w:val="0077362A"/>
    <w:rsid w:val="007754DC"/>
    <w:rsid w:val="00775684"/>
    <w:rsid w:val="00775939"/>
    <w:rsid w:val="0077626E"/>
    <w:rsid w:val="00781396"/>
    <w:rsid w:val="00784BEC"/>
    <w:rsid w:val="0078768E"/>
    <w:rsid w:val="0079148C"/>
    <w:rsid w:val="00791858"/>
    <w:rsid w:val="00791E2E"/>
    <w:rsid w:val="0079206B"/>
    <w:rsid w:val="0079269C"/>
    <w:rsid w:val="0079687A"/>
    <w:rsid w:val="007A2E72"/>
    <w:rsid w:val="007B04F2"/>
    <w:rsid w:val="007B0A10"/>
    <w:rsid w:val="007B28CD"/>
    <w:rsid w:val="007B5305"/>
    <w:rsid w:val="007B5822"/>
    <w:rsid w:val="007B5A33"/>
    <w:rsid w:val="007B6B61"/>
    <w:rsid w:val="007C70E5"/>
    <w:rsid w:val="007D1259"/>
    <w:rsid w:val="007D4AC6"/>
    <w:rsid w:val="007E0167"/>
    <w:rsid w:val="007E02B8"/>
    <w:rsid w:val="007E0645"/>
    <w:rsid w:val="007E71A2"/>
    <w:rsid w:val="007F0F93"/>
    <w:rsid w:val="0080391F"/>
    <w:rsid w:val="00810AF7"/>
    <w:rsid w:val="00812C3A"/>
    <w:rsid w:val="00814B69"/>
    <w:rsid w:val="00816221"/>
    <w:rsid w:val="00824C77"/>
    <w:rsid w:val="00825A09"/>
    <w:rsid w:val="00826060"/>
    <w:rsid w:val="00827DE9"/>
    <w:rsid w:val="008303DA"/>
    <w:rsid w:val="00832D59"/>
    <w:rsid w:val="008466A2"/>
    <w:rsid w:val="008556FB"/>
    <w:rsid w:val="00862A5C"/>
    <w:rsid w:val="008647BC"/>
    <w:rsid w:val="00864ABF"/>
    <w:rsid w:val="00864E7C"/>
    <w:rsid w:val="008661DB"/>
    <w:rsid w:val="008724F0"/>
    <w:rsid w:val="00872D48"/>
    <w:rsid w:val="00872F55"/>
    <w:rsid w:val="00881425"/>
    <w:rsid w:val="00892C9B"/>
    <w:rsid w:val="008A2091"/>
    <w:rsid w:val="008A5ED1"/>
    <w:rsid w:val="008B254A"/>
    <w:rsid w:val="008B794A"/>
    <w:rsid w:val="008C0A03"/>
    <w:rsid w:val="008C1EEF"/>
    <w:rsid w:val="008D4CC4"/>
    <w:rsid w:val="008D4E6C"/>
    <w:rsid w:val="008E491F"/>
    <w:rsid w:val="008E685F"/>
    <w:rsid w:val="008E6871"/>
    <w:rsid w:val="008F5547"/>
    <w:rsid w:val="00900C1E"/>
    <w:rsid w:val="00901530"/>
    <w:rsid w:val="00910F19"/>
    <w:rsid w:val="00910FE0"/>
    <w:rsid w:val="009215D7"/>
    <w:rsid w:val="009220F0"/>
    <w:rsid w:val="00923685"/>
    <w:rsid w:val="009263A2"/>
    <w:rsid w:val="0093460B"/>
    <w:rsid w:val="00935422"/>
    <w:rsid w:val="00937BC5"/>
    <w:rsid w:val="009415F1"/>
    <w:rsid w:val="009424B6"/>
    <w:rsid w:val="009468A5"/>
    <w:rsid w:val="0095311E"/>
    <w:rsid w:val="00955E39"/>
    <w:rsid w:val="00956159"/>
    <w:rsid w:val="009567D8"/>
    <w:rsid w:val="0096473B"/>
    <w:rsid w:val="009655DD"/>
    <w:rsid w:val="00967927"/>
    <w:rsid w:val="00980820"/>
    <w:rsid w:val="0098135A"/>
    <w:rsid w:val="00992F45"/>
    <w:rsid w:val="009938B0"/>
    <w:rsid w:val="00996B78"/>
    <w:rsid w:val="009A2112"/>
    <w:rsid w:val="009A5FEF"/>
    <w:rsid w:val="009A674F"/>
    <w:rsid w:val="009A7355"/>
    <w:rsid w:val="009B38C0"/>
    <w:rsid w:val="009B3C65"/>
    <w:rsid w:val="009D04BF"/>
    <w:rsid w:val="009D0EF1"/>
    <w:rsid w:val="009D2760"/>
    <w:rsid w:val="009D4609"/>
    <w:rsid w:val="009E2DA1"/>
    <w:rsid w:val="009E5399"/>
    <w:rsid w:val="009E65E7"/>
    <w:rsid w:val="009E67A7"/>
    <w:rsid w:val="009F50C9"/>
    <w:rsid w:val="009F6FB2"/>
    <w:rsid w:val="009F7CF5"/>
    <w:rsid w:val="00A0109C"/>
    <w:rsid w:val="00A03809"/>
    <w:rsid w:val="00A03B71"/>
    <w:rsid w:val="00A04679"/>
    <w:rsid w:val="00A047D3"/>
    <w:rsid w:val="00A067D7"/>
    <w:rsid w:val="00A136AE"/>
    <w:rsid w:val="00A16335"/>
    <w:rsid w:val="00A1695F"/>
    <w:rsid w:val="00A16BB7"/>
    <w:rsid w:val="00A21826"/>
    <w:rsid w:val="00A23A64"/>
    <w:rsid w:val="00A23E25"/>
    <w:rsid w:val="00A27637"/>
    <w:rsid w:val="00A3045B"/>
    <w:rsid w:val="00A325CC"/>
    <w:rsid w:val="00A330B4"/>
    <w:rsid w:val="00A33F9F"/>
    <w:rsid w:val="00A36A4C"/>
    <w:rsid w:val="00A37213"/>
    <w:rsid w:val="00A40AA0"/>
    <w:rsid w:val="00A420B4"/>
    <w:rsid w:val="00A444DA"/>
    <w:rsid w:val="00A457FA"/>
    <w:rsid w:val="00A527C9"/>
    <w:rsid w:val="00A568E8"/>
    <w:rsid w:val="00A57FA6"/>
    <w:rsid w:val="00A65CD6"/>
    <w:rsid w:val="00A669E9"/>
    <w:rsid w:val="00A70EF8"/>
    <w:rsid w:val="00A7360F"/>
    <w:rsid w:val="00A75072"/>
    <w:rsid w:val="00A76659"/>
    <w:rsid w:val="00A80802"/>
    <w:rsid w:val="00A87A3B"/>
    <w:rsid w:val="00A9527C"/>
    <w:rsid w:val="00A95559"/>
    <w:rsid w:val="00AA2C36"/>
    <w:rsid w:val="00AA68CA"/>
    <w:rsid w:val="00AA6F3F"/>
    <w:rsid w:val="00AB0E4F"/>
    <w:rsid w:val="00AB40DE"/>
    <w:rsid w:val="00AC111E"/>
    <w:rsid w:val="00AC21F4"/>
    <w:rsid w:val="00AC5CDE"/>
    <w:rsid w:val="00AC64D3"/>
    <w:rsid w:val="00AD174E"/>
    <w:rsid w:val="00AD325A"/>
    <w:rsid w:val="00AE1926"/>
    <w:rsid w:val="00AE2164"/>
    <w:rsid w:val="00AE3DF6"/>
    <w:rsid w:val="00AE4D38"/>
    <w:rsid w:val="00AE501C"/>
    <w:rsid w:val="00AF40C6"/>
    <w:rsid w:val="00AF46B0"/>
    <w:rsid w:val="00AF7207"/>
    <w:rsid w:val="00B1175D"/>
    <w:rsid w:val="00B135C9"/>
    <w:rsid w:val="00B14994"/>
    <w:rsid w:val="00B15B2D"/>
    <w:rsid w:val="00B22C67"/>
    <w:rsid w:val="00B259AB"/>
    <w:rsid w:val="00B27D05"/>
    <w:rsid w:val="00B30D8B"/>
    <w:rsid w:val="00B32E8C"/>
    <w:rsid w:val="00B341AC"/>
    <w:rsid w:val="00B368E3"/>
    <w:rsid w:val="00B44ADC"/>
    <w:rsid w:val="00B45CCB"/>
    <w:rsid w:val="00B51F65"/>
    <w:rsid w:val="00B5373A"/>
    <w:rsid w:val="00B5436A"/>
    <w:rsid w:val="00B6312E"/>
    <w:rsid w:val="00B65F1B"/>
    <w:rsid w:val="00B710BA"/>
    <w:rsid w:val="00B816F5"/>
    <w:rsid w:val="00B83654"/>
    <w:rsid w:val="00B870DF"/>
    <w:rsid w:val="00B8737B"/>
    <w:rsid w:val="00B95822"/>
    <w:rsid w:val="00BA7354"/>
    <w:rsid w:val="00BA7CFF"/>
    <w:rsid w:val="00BB407A"/>
    <w:rsid w:val="00BB4133"/>
    <w:rsid w:val="00BB4AD8"/>
    <w:rsid w:val="00BC196A"/>
    <w:rsid w:val="00BC5329"/>
    <w:rsid w:val="00BC7870"/>
    <w:rsid w:val="00BD5E48"/>
    <w:rsid w:val="00BE191F"/>
    <w:rsid w:val="00BE1DDB"/>
    <w:rsid w:val="00BE22B5"/>
    <w:rsid w:val="00BE40B7"/>
    <w:rsid w:val="00BF3520"/>
    <w:rsid w:val="00BF4D6B"/>
    <w:rsid w:val="00BF5375"/>
    <w:rsid w:val="00BF5497"/>
    <w:rsid w:val="00BF7145"/>
    <w:rsid w:val="00C076C5"/>
    <w:rsid w:val="00C122E4"/>
    <w:rsid w:val="00C15CD6"/>
    <w:rsid w:val="00C16CDC"/>
    <w:rsid w:val="00C2316F"/>
    <w:rsid w:val="00C35F32"/>
    <w:rsid w:val="00C36605"/>
    <w:rsid w:val="00C500C8"/>
    <w:rsid w:val="00C51FC0"/>
    <w:rsid w:val="00C5430C"/>
    <w:rsid w:val="00C57CEF"/>
    <w:rsid w:val="00C6047D"/>
    <w:rsid w:val="00C65B7A"/>
    <w:rsid w:val="00C768D9"/>
    <w:rsid w:val="00C81179"/>
    <w:rsid w:val="00C820EA"/>
    <w:rsid w:val="00C83295"/>
    <w:rsid w:val="00C86903"/>
    <w:rsid w:val="00C96F93"/>
    <w:rsid w:val="00C978BC"/>
    <w:rsid w:val="00CA78FE"/>
    <w:rsid w:val="00CB340C"/>
    <w:rsid w:val="00CB71ED"/>
    <w:rsid w:val="00CB7BB2"/>
    <w:rsid w:val="00CC0AE9"/>
    <w:rsid w:val="00CC0FF8"/>
    <w:rsid w:val="00CC1F89"/>
    <w:rsid w:val="00CE05B8"/>
    <w:rsid w:val="00CE5551"/>
    <w:rsid w:val="00CE7A2E"/>
    <w:rsid w:val="00D03281"/>
    <w:rsid w:val="00D11132"/>
    <w:rsid w:val="00D11C62"/>
    <w:rsid w:val="00D122BE"/>
    <w:rsid w:val="00D128C6"/>
    <w:rsid w:val="00D16420"/>
    <w:rsid w:val="00D247DC"/>
    <w:rsid w:val="00D24E14"/>
    <w:rsid w:val="00D27A35"/>
    <w:rsid w:val="00D304DB"/>
    <w:rsid w:val="00D314DC"/>
    <w:rsid w:val="00D322ED"/>
    <w:rsid w:val="00D43569"/>
    <w:rsid w:val="00D46093"/>
    <w:rsid w:val="00D5199B"/>
    <w:rsid w:val="00D61571"/>
    <w:rsid w:val="00D61F37"/>
    <w:rsid w:val="00D6351B"/>
    <w:rsid w:val="00D6528A"/>
    <w:rsid w:val="00D670BF"/>
    <w:rsid w:val="00D6724A"/>
    <w:rsid w:val="00D70859"/>
    <w:rsid w:val="00D77B7F"/>
    <w:rsid w:val="00D80FBF"/>
    <w:rsid w:val="00D8432A"/>
    <w:rsid w:val="00D853E0"/>
    <w:rsid w:val="00D862AB"/>
    <w:rsid w:val="00D9034B"/>
    <w:rsid w:val="00D94459"/>
    <w:rsid w:val="00D94EDD"/>
    <w:rsid w:val="00D954E6"/>
    <w:rsid w:val="00DA3B52"/>
    <w:rsid w:val="00DA4D29"/>
    <w:rsid w:val="00DA71DE"/>
    <w:rsid w:val="00DB24A6"/>
    <w:rsid w:val="00DB679D"/>
    <w:rsid w:val="00DB7792"/>
    <w:rsid w:val="00DC3516"/>
    <w:rsid w:val="00DD4463"/>
    <w:rsid w:val="00DE2884"/>
    <w:rsid w:val="00DE6E92"/>
    <w:rsid w:val="00DF5F20"/>
    <w:rsid w:val="00DF7DE2"/>
    <w:rsid w:val="00E24FE7"/>
    <w:rsid w:val="00E33D3B"/>
    <w:rsid w:val="00E37187"/>
    <w:rsid w:val="00E40B1A"/>
    <w:rsid w:val="00E4170F"/>
    <w:rsid w:val="00E43083"/>
    <w:rsid w:val="00E4596A"/>
    <w:rsid w:val="00E46207"/>
    <w:rsid w:val="00E47221"/>
    <w:rsid w:val="00E47E4D"/>
    <w:rsid w:val="00E62570"/>
    <w:rsid w:val="00E63E2E"/>
    <w:rsid w:val="00E652D7"/>
    <w:rsid w:val="00E65CED"/>
    <w:rsid w:val="00E67F54"/>
    <w:rsid w:val="00E7409C"/>
    <w:rsid w:val="00E75C02"/>
    <w:rsid w:val="00E76FCF"/>
    <w:rsid w:val="00E8537D"/>
    <w:rsid w:val="00E859FE"/>
    <w:rsid w:val="00E8730D"/>
    <w:rsid w:val="00E95273"/>
    <w:rsid w:val="00E966E7"/>
    <w:rsid w:val="00E96C5E"/>
    <w:rsid w:val="00EA2723"/>
    <w:rsid w:val="00EB1E2F"/>
    <w:rsid w:val="00EB2C70"/>
    <w:rsid w:val="00EC1DA3"/>
    <w:rsid w:val="00EC7598"/>
    <w:rsid w:val="00ED38A9"/>
    <w:rsid w:val="00ED5B32"/>
    <w:rsid w:val="00ED663B"/>
    <w:rsid w:val="00ED7830"/>
    <w:rsid w:val="00EE41CF"/>
    <w:rsid w:val="00EE476D"/>
    <w:rsid w:val="00EF0367"/>
    <w:rsid w:val="00EF7EC2"/>
    <w:rsid w:val="00F017BE"/>
    <w:rsid w:val="00F057D7"/>
    <w:rsid w:val="00F06843"/>
    <w:rsid w:val="00F07C07"/>
    <w:rsid w:val="00F12EAA"/>
    <w:rsid w:val="00F24011"/>
    <w:rsid w:val="00F24A60"/>
    <w:rsid w:val="00F253E0"/>
    <w:rsid w:val="00F43541"/>
    <w:rsid w:val="00F43EDD"/>
    <w:rsid w:val="00F44318"/>
    <w:rsid w:val="00F56DE3"/>
    <w:rsid w:val="00F6130F"/>
    <w:rsid w:val="00F673FA"/>
    <w:rsid w:val="00F70C64"/>
    <w:rsid w:val="00F7392E"/>
    <w:rsid w:val="00F771F1"/>
    <w:rsid w:val="00F81627"/>
    <w:rsid w:val="00F81F17"/>
    <w:rsid w:val="00F90B38"/>
    <w:rsid w:val="00F90F5E"/>
    <w:rsid w:val="00F93FE3"/>
    <w:rsid w:val="00F9463C"/>
    <w:rsid w:val="00F94666"/>
    <w:rsid w:val="00F952CA"/>
    <w:rsid w:val="00FA3493"/>
    <w:rsid w:val="00FA3CDC"/>
    <w:rsid w:val="00FA6F0D"/>
    <w:rsid w:val="00FB1549"/>
    <w:rsid w:val="00FB3A4E"/>
    <w:rsid w:val="00FB5DC4"/>
    <w:rsid w:val="00FC583A"/>
    <w:rsid w:val="00FC5C50"/>
    <w:rsid w:val="00FD061B"/>
    <w:rsid w:val="00FD0D35"/>
    <w:rsid w:val="00FD42CC"/>
    <w:rsid w:val="00FF6D74"/>
    <w:rsid w:val="012824F2"/>
    <w:rsid w:val="01284C1D"/>
    <w:rsid w:val="012A376B"/>
    <w:rsid w:val="01353465"/>
    <w:rsid w:val="01396ED3"/>
    <w:rsid w:val="01407698"/>
    <w:rsid w:val="014660E1"/>
    <w:rsid w:val="014816EC"/>
    <w:rsid w:val="01487061"/>
    <w:rsid w:val="014E1DDE"/>
    <w:rsid w:val="014F091A"/>
    <w:rsid w:val="015123B9"/>
    <w:rsid w:val="01557D37"/>
    <w:rsid w:val="015606D5"/>
    <w:rsid w:val="016A22B3"/>
    <w:rsid w:val="017F026C"/>
    <w:rsid w:val="0189608F"/>
    <w:rsid w:val="01927107"/>
    <w:rsid w:val="01937EF4"/>
    <w:rsid w:val="019B2F64"/>
    <w:rsid w:val="01A5192C"/>
    <w:rsid w:val="01A7312E"/>
    <w:rsid w:val="01A93FA3"/>
    <w:rsid w:val="01B85F94"/>
    <w:rsid w:val="01BE7323"/>
    <w:rsid w:val="01D31544"/>
    <w:rsid w:val="01E33A31"/>
    <w:rsid w:val="01F2212E"/>
    <w:rsid w:val="01F3521E"/>
    <w:rsid w:val="02162BE1"/>
    <w:rsid w:val="021E3273"/>
    <w:rsid w:val="022A23D7"/>
    <w:rsid w:val="02381488"/>
    <w:rsid w:val="023D79B5"/>
    <w:rsid w:val="024C4B2B"/>
    <w:rsid w:val="02597CDC"/>
    <w:rsid w:val="027943E5"/>
    <w:rsid w:val="02A209F3"/>
    <w:rsid w:val="02BC7D06"/>
    <w:rsid w:val="02C76DD0"/>
    <w:rsid w:val="02C77507"/>
    <w:rsid w:val="02E84657"/>
    <w:rsid w:val="02EB50C9"/>
    <w:rsid w:val="030219B1"/>
    <w:rsid w:val="030A6CC4"/>
    <w:rsid w:val="03323B24"/>
    <w:rsid w:val="033C24C1"/>
    <w:rsid w:val="03443858"/>
    <w:rsid w:val="035A4E9B"/>
    <w:rsid w:val="03676929"/>
    <w:rsid w:val="036D4DCA"/>
    <w:rsid w:val="037F15FA"/>
    <w:rsid w:val="039218D2"/>
    <w:rsid w:val="03A44890"/>
    <w:rsid w:val="03B83C37"/>
    <w:rsid w:val="03D8077D"/>
    <w:rsid w:val="03F94FAF"/>
    <w:rsid w:val="03FD2386"/>
    <w:rsid w:val="04085A5A"/>
    <w:rsid w:val="04090FA6"/>
    <w:rsid w:val="040F79C5"/>
    <w:rsid w:val="04117713"/>
    <w:rsid w:val="04117BDE"/>
    <w:rsid w:val="04232D50"/>
    <w:rsid w:val="04245B63"/>
    <w:rsid w:val="04301718"/>
    <w:rsid w:val="043E0640"/>
    <w:rsid w:val="043E36EE"/>
    <w:rsid w:val="04434F47"/>
    <w:rsid w:val="04504AAA"/>
    <w:rsid w:val="04574281"/>
    <w:rsid w:val="04692A5B"/>
    <w:rsid w:val="046C76BB"/>
    <w:rsid w:val="047459D2"/>
    <w:rsid w:val="04844854"/>
    <w:rsid w:val="048626A3"/>
    <w:rsid w:val="048760F2"/>
    <w:rsid w:val="048E2573"/>
    <w:rsid w:val="049918F9"/>
    <w:rsid w:val="04A26284"/>
    <w:rsid w:val="04A375F7"/>
    <w:rsid w:val="04BD7F32"/>
    <w:rsid w:val="04BE5FB8"/>
    <w:rsid w:val="04CE1C7A"/>
    <w:rsid w:val="04D548BD"/>
    <w:rsid w:val="04FC43EA"/>
    <w:rsid w:val="04FE44F1"/>
    <w:rsid w:val="052F3761"/>
    <w:rsid w:val="05314DF5"/>
    <w:rsid w:val="053A3259"/>
    <w:rsid w:val="0540354B"/>
    <w:rsid w:val="05681A7F"/>
    <w:rsid w:val="057F7008"/>
    <w:rsid w:val="059424AB"/>
    <w:rsid w:val="05971471"/>
    <w:rsid w:val="05A50789"/>
    <w:rsid w:val="05A52A02"/>
    <w:rsid w:val="05C23605"/>
    <w:rsid w:val="05DE1D42"/>
    <w:rsid w:val="05FC61A3"/>
    <w:rsid w:val="05FE5E2E"/>
    <w:rsid w:val="05FF4415"/>
    <w:rsid w:val="060F45F1"/>
    <w:rsid w:val="063C6DF7"/>
    <w:rsid w:val="06472916"/>
    <w:rsid w:val="064E3DDD"/>
    <w:rsid w:val="06551B25"/>
    <w:rsid w:val="06623328"/>
    <w:rsid w:val="067708B3"/>
    <w:rsid w:val="06863551"/>
    <w:rsid w:val="068F50BB"/>
    <w:rsid w:val="068F78B0"/>
    <w:rsid w:val="069C0D35"/>
    <w:rsid w:val="06A42CCE"/>
    <w:rsid w:val="06A62E80"/>
    <w:rsid w:val="06E060A4"/>
    <w:rsid w:val="06E710CA"/>
    <w:rsid w:val="06EB0BBA"/>
    <w:rsid w:val="06FD7D98"/>
    <w:rsid w:val="070B4DB8"/>
    <w:rsid w:val="07230354"/>
    <w:rsid w:val="07287718"/>
    <w:rsid w:val="07375244"/>
    <w:rsid w:val="07392D69"/>
    <w:rsid w:val="073D27EE"/>
    <w:rsid w:val="073D7DB5"/>
    <w:rsid w:val="074A71F6"/>
    <w:rsid w:val="074B5481"/>
    <w:rsid w:val="075952C3"/>
    <w:rsid w:val="075C73C2"/>
    <w:rsid w:val="07607BE9"/>
    <w:rsid w:val="0768354D"/>
    <w:rsid w:val="076B4ABE"/>
    <w:rsid w:val="077A3B0C"/>
    <w:rsid w:val="07823E5B"/>
    <w:rsid w:val="079E4FB2"/>
    <w:rsid w:val="07B6236B"/>
    <w:rsid w:val="07C670CB"/>
    <w:rsid w:val="07C80EFB"/>
    <w:rsid w:val="07D75D35"/>
    <w:rsid w:val="07E03C92"/>
    <w:rsid w:val="07EE0818"/>
    <w:rsid w:val="07F4029E"/>
    <w:rsid w:val="0808177F"/>
    <w:rsid w:val="08084D3B"/>
    <w:rsid w:val="08123F24"/>
    <w:rsid w:val="081564D4"/>
    <w:rsid w:val="081C4DA3"/>
    <w:rsid w:val="084861D8"/>
    <w:rsid w:val="084C57BA"/>
    <w:rsid w:val="0857140A"/>
    <w:rsid w:val="086504F8"/>
    <w:rsid w:val="08694F2F"/>
    <w:rsid w:val="0869623A"/>
    <w:rsid w:val="08781B67"/>
    <w:rsid w:val="087A7939"/>
    <w:rsid w:val="087D5842"/>
    <w:rsid w:val="088A6808"/>
    <w:rsid w:val="088C1F29"/>
    <w:rsid w:val="08A94CEC"/>
    <w:rsid w:val="08BE263A"/>
    <w:rsid w:val="08CA15FD"/>
    <w:rsid w:val="08D045A1"/>
    <w:rsid w:val="08F94EDA"/>
    <w:rsid w:val="08FB2C0B"/>
    <w:rsid w:val="090473D0"/>
    <w:rsid w:val="09105047"/>
    <w:rsid w:val="091E5277"/>
    <w:rsid w:val="092D23F1"/>
    <w:rsid w:val="093024DD"/>
    <w:rsid w:val="094211D5"/>
    <w:rsid w:val="09610AF1"/>
    <w:rsid w:val="096E7C1E"/>
    <w:rsid w:val="09722ECD"/>
    <w:rsid w:val="097F01EE"/>
    <w:rsid w:val="09954B85"/>
    <w:rsid w:val="099D30AA"/>
    <w:rsid w:val="09AA5CD8"/>
    <w:rsid w:val="09AF2373"/>
    <w:rsid w:val="09AF2F93"/>
    <w:rsid w:val="09BE2249"/>
    <w:rsid w:val="09D10057"/>
    <w:rsid w:val="09DB261D"/>
    <w:rsid w:val="09E371DF"/>
    <w:rsid w:val="09EE5A40"/>
    <w:rsid w:val="09F54777"/>
    <w:rsid w:val="09FA5B1C"/>
    <w:rsid w:val="0A0B0881"/>
    <w:rsid w:val="0A2166A1"/>
    <w:rsid w:val="0A251FA9"/>
    <w:rsid w:val="0A2B2DC6"/>
    <w:rsid w:val="0A2F386B"/>
    <w:rsid w:val="0A305EEC"/>
    <w:rsid w:val="0A3C56B3"/>
    <w:rsid w:val="0A4221AC"/>
    <w:rsid w:val="0A462AD7"/>
    <w:rsid w:val="0A466107"/>
    <w:rsid w:val="0A523F5B"/>
    <w:rsid w:val="0A547BE3"/>
    <w:rsid w:val="0A582E17"/>
    <w:rsid w:val="0A7D6298"/>
    <w:rsid w:val="0A8C5597"/>
    <w:rsid w:val="0A8D700E"/>
    <w:rsid w:val="0A916ADB"/>
    <w:rsid w:val="0A982DE2"/>
    <w:rsid w:val="0AE841C2"/>
    <w:rsid w:val="0AE93258"/>
    <w:rsid w:val="0B0F4433"/>
    <w:rsid w:val="0B22348E"/>
    <w:rsid w:val="0B4B6388"/>
    <w:rsid w:val="0B4F4D68"/>
    <w:rsid w:val="0B5169BB"/>
    <w:rsid w:val="0B57063D"/>
    <w:rsid w:val="0B755125"/>
    <w:rsid w:val="0B7A11B3"/>
    <w:rsid w:val="0B7A42BB"/>
    <w:rsid w:val="0B8211A1"/>
    <w:rsid w:val="0B9170F6"/>
    <w:rsid w:val="0B93744E"/>
    <w:rsid w:val="0B9451CA"/>
    <w:rsid w:val="0BCD4D32"/>
    <w:rsid w:val="0BD15580"/>
    <w:rsid w:val="0BE977F2"/>
    <w:rsid w:val="0BEB48E3"/>
    <w:rsid w:val="0BF14C16"/>
    <w:rsid w:val="0BFD5118"/>
    <w:rsid w:val="0C014D1F"/>
    <w:rsid w:val="0C094659"/>
    <w:rsid w:val="0C0E63C2"/>
    <w:rsid w:val="0C17730D"/>
    <w:rsid w:val="0C5C7082"/>
    <w:rsid w:val="0C623305"/>
    <w:rsid w:val="0C697FC7"/>
    <w:rsid w:val="0C6C5F7A"/>
    <w:rsid w:val="0C8C43DB"/>
    <w:rsid w:val="0C8E2713"/>
    <w:rsid w:val="0CA550BC"/>
    <w:rsid w:val="0CB34C17"/>
    <w:rsid w:val="0CE56DF4"/>
    <w:rsid w:val="0CEC7A61"/>
    <w:rsid w:val="0CF452FD"/>
    <w:rsid w:val="0D0B5B12"/>
    <w:rsid w:val="0D2936CD"/>
    <w:rsid w:val="0D3A30BF"/>
    <w:rsid w:val="0D4408F0"/>
    <w:rsid w:val="0D484842"/>
    <w:rsid w:val="0D501777"/>
    <w:rsid w:val="0D55615D"/>
    <w:rsid w:val="0D9C676A"/>
    <w:rsid w:val="0DA97398"/>
    <w:rsid w:val="0DB241E0"/>
    <w:rsid w:val="0DC22968"/>
    <w:rsid w:val="0DD20F17"/>
    <w:rsid w:val="0DED69A3"/>
    <w:rsid w:val="0DF8260D"/>
    <w:rsid w:val="0E0B4030"/>
    <w:rsid w:val="0E0E518E"/>
    <w:rsid w:val="0E126C28"/>
    <w:rsid w:val="0E277CBB"/>
    <w:rsid w:val="0E370B89"/>
    <w:rsid w:val="0E3E034C"/>
    <w:rsid w:val="0E437C38"/>
    <w:rsid w:val="0E440BB0"/>
    <w:rsid w:val="0E4F5367"/>
    <w:rsid w:val="0E63067F"/>
    <w:rsid w:val="0E681122"/>
    <w:rsid w:val="0E6D45AA"/>
    <w:rsid w:val="0E7B033D"/>
    <w:rsid w:val="0E8D07A9"/>
    <w:rsid w:val="0EA52E07"/>
    <w:rsid w:val="0EC80EAA"/>
    <w:rsid w:val="0EE03036"/>
    <w:rsid w:val="0EE97B70"/>
    <w:rsid w:val="0EEB5BCE"/>
    <w:rsid w:val="0EEF4FBF"/>
    <w:rsid w:val="0EF62463"/>
    <w:rsid w:val="0F122CCC"/>
    <w:rsid w:val="0F1F78D7"/>
    <w:rsid w:val="0F244F28"/>
    <w:rsid w:val="0F35387B"/>
    <w:rsid w:val="0F5415C8"/>
    <w:rsid w:val="0F684138"/>
    <w:rsid w:val="0F6A2898"/>
    <w:rsid w:val="0F6A45A7"/>
    <w:rsid w:val="0F7B0361"/>
    <w:rsid w:val="0F7B4AA5"/>
    <w:rsid w:val="0F8349A5"/>
    <w:rsid w:val="0F8B48A6"/>
    <w:rsid w:val="0FB54985"/>
    <w:rsid w:val="0FC770A0"/>
    <w:rsid w:val="0FCF53EF"/>
    <w:rsid w:val="0FFC3E38"/>
    <w:rsid w:val="0FFE2D1F"/>
    <w:rsid w:val="0FFF112E"/>
    <w:rsid w:val="0FFF115C"/>
    <w:rsid w:val="100B39FD"/>
    <w:rsid w:val="10196597"/>
    <w:rsid w:val="101D489A"/>
    <w:rsid w:val="10205AD6"/>
    <w:rsid w:val="102B64CB"/>
    <w:rsid w:val="103846F8"/>
    <w:rsid w:val="104135F9"/>
    <w:rsid w:val="10533FC3"/>
    <w:rsid w:val="10545A22"/>
    <w:rsid w:val="1056146E"/>
    <w:rsid w:val="10584DB2"/>
    <w:rsid w:val="10697CBA"/>
    <w:rsid w:val="106C2775"/>
    <w:rsid w:val="108A1E65"/>
    <w:rsid w:val="109B6496"/>
    <w:rsid w:val="10C96F3E"/>
    <w:rsid w:val="10CF5BB8"/>
    <w:rsid w:val="10DC0358"/>
    <w:rsid w:val="10E347A0"/>
    <w:rsid w:val="10F24BC8"/>
    <w:rsid w:val="10F71E55"/>
    <w:rsid w:val="10FB7DFC"/>
    <w:rsid w:val="11066C1D"/>
    <w:rsid w:val="11121768"/>
    <w:rsid w:val="1129199A"/>
    <w:rsid w:val="112D4BB4"/>
    <w:rsid w:val="11340324"/>
    <w:rsid w:val="113529D2"/>
    <w:rsid w:val="1145536B"/>
    <w:rsid w:val="11563811"/>
    <w:rsid w:val="11636B58"/>
    <w:rsid w:val="116972AB"/>
    <w:rsid w:val="117D3F43"/>
    <w:rsid w:val="1181201F"/>
    <w:rsid w:val="11AD1BC3"/>
    <w:rsid w:val="11AD363C"/>
    <w:rsid w:val="11BD4FAA"/>
    <w:rsid w:val="11CF5A88"/>
    <w:rsid w:val="11D87F8D"/>
    <w:rsid w:val="11F85C26"/>
    <w:rsid w:val="1205621E"/>
    <w:rsid w:val="1211435E"/>
    <w:rsid w:val="122349ED"/>
    <w:rsid w:val="12252291"/>
    <w:rsid w:val="1229469B"/>
    <w:rsid w:val="122A04DA"/>
    <w:rsid w:val="122E62BE"/>
    <w:rsid w:val="1254538F"/>
    <w:rsid w:val="12590BE9"/>
    <w:rsid w:val="125E5410"/>
    <w:rsid w:val="127058E4"/>
    <w:rsid w:val="129E2F84"/>
    <w:rsid w:val="12AC5953"/>
    <w:rsid w:val="12AF5192"/>
    <w:rsid w:val="12BC78AF"/>
    <w:rsid w:val="12CC5D44"/>
    <w:rsid w:val="12E62C7D"/>
    <w:rsid w:val="12F3675C"/>
    <w:rsid w:val="130052E1"/>
    <w:rsid w:val="13005ED5"/>
    <w:rsid w:val="13042924"/>
    <w:rsid w:val="13061386"/>
    <w:rsid w:val="13080B10"/>
    <w:rsid w:val="13082671"/>
    <w:rsid w:val="130B3873"/>
    <w:rsid w:val="13126E1E"/>
    <w:rsid w:val="131A01D7"/>
    <w:rsid w:val="131B37B3"/>
    <w:rsid w:val="13404408"/>
    <w:rsid w:val="134B5716"/>
    <w:rsid w:val="13517FF7"/>
    <w:rsid w:val="13526439"/>
    <w:rsid w:val="136F2CD5"/>
    <w:rsid w:val="13750189"/>
    <w:rsid w:val="137E6E80"/>
    <w:rsid w:val="13A653EC"/>
    <w:rsid w:val="13B9006C"/>
    <w:rsid w:val="13C94031"/>
    <w:rsid w:val="13D46A90"/>
    <w:rsid w:val="13EB5EAD"/>
    <w:rsid w:val="14037C9F"/>
    <w:rsid w:val="140E413A"/>
    <w:rsid w:val="14136865"/>
    <w:rsid w:val="14195870"/>
    <w:rsid w:val="14237F21"/>
    <w:rsid w:val="14320DEA"/>
    <w:rsid w:val="14327510"/>
    <w:rsid w:val="1451091C"/>
    <w:rsid w:val="14972381"/>
    <w:rsid w:val="149C5416"/>
    <w:rsid w:val="14AB6FD0"/>
    <w:rsid w:val="14C21117"/>
    <w:rsid w:val="14D45DB5"/>
    <w:rsid w:val="14EA1A14"/>
    <w:rsid w:val="14EA4E60"/>
    <w:rsid w:val="14F055ED"/>
    <w:rsid w:val="14F815DE"/>
    <w:rsid w:val="1502535A"/>
    <w:rsid w:val="150712B5"/>
    <w:rsid w:val="150A4901"/>
    <w:rsid w:val="15347395"/>
    <w:rsid w:val="153A42C0"/>
    <w:rsid w:val="153E4203"/>
    <w:rsid w:val="154667FD"/>
    <w:rsid w:val="155050C2"/>
    <w:rsid w:val="155A462C"/>
    <w:rsid w:val="15614066"/>
    <w:rsid w:val="156146A1"/>
    <w:rsid w:val="1572701F"/>
    <w:rsid w:val="157C446E"/>
    <w:rsid w:val="15995C85"/>
    <w:rsid w:val="15AE2946"/>
    <w:rsid w:val="15B60CBF"/>
    <w:rsid w:val="15B64965"/>
    <w:rsid w:val="15BE597E"/>
    <w:rsid w:val="15C6756A"/>
    <w:rsid w:val="15E85528"/>
    <w:rsid w:val="15F1786F"/>
    <w:rsid w:val="16041350"/>
    <w:rsid w:val="16282CA0"/>
    <w:rsid w:val="16302197"/>
    <w:rsid w:val="164D6DDE"/>
    <w:rsid w:val="16556536"/>
    <w:rsid w:val="16643D6B"/>
    <w:rsid w:val="16664439"/>
    <w:rsid w:val="16677B31"/>
    <w:rsid w:val="16781AC9"/>
    <w:rsid w:val="167D1692"/>
    <w:rsid w:val="16870047"/>
    <w:rsid w:val="1689418F"/>
    <w:rsid w:val="168B1CC1"/>
    <w:rsid w:val="168C107F"/>
    <w:rsid w:val="168C69E6"/>
    <w:rsid w:val="16915340"/>
    <w:rsid w:val="16B345B2"/>
    <w:rsid w:val="16D66E9F"/>
    <w:rsid w:val="16DA5EFB"/>
    <w:rsid w:val="16E35C40"/>
    <w:rsid w:val="16F5338F"/>
    <w:rsid w:val="16FB6B7B"/>
    <w:rsid w:val="17045380"/>
    <w:rsid w:val="170B0907"/>
    <w:rsid w:val="171925F7"/>
    <w:rsid w:val="17217827"/>
    <w:rsid w:val="17244F38"/>
    <w:rsid w:val="1744312B"/>
    <w:rsid w:val="1746750A"/>
    <w:rsid w:val="174B6065"/>
    <w:rsid w:val="175D32DD"/>
    <w:rsid w:val="17690076"/>
    <w:rsid w:val="17723495"/>
    <w:rsid w:val="178D4B0E"/>
    <w:rsid w:val="17971A26"/>
    <w:rsid w:val="17C52532"/>
    <w:rsid w:val="17D443F2"/>
    <w:rsid w:val="17E57443"/>
    <w:rsid w:val="181A4A15"/>
    <w:rsid w:val="181B0BD3"/>
    <w:rsid w:val="181E3C6C"/>
    <w:rsid w:val="182061EA"/>
    <w:rsid w:val="184E2D57"/>
    <w:rsid w:val="18505C72"/>
    <w:rsid w:val="18524030"/>
    <w:rsid w:val="185E3ECE"/>
    <w:rsid w:val="1899510E"/>
    <w:rsid w:val="189E102A"/>
    <w:rsid w:val="18A872BC"/>
    <w:rsid w:val="18AE1143"/>
    <w:rsid w:val="18B5217C"/>
    <w:rsid w:val="18CC181A"/>
    <w:rsid w:val="18CD1846"/>
    <w:rsid w:val="19373529"/>
    <w:rsid w:val="194D3E6A"/>
    <w:rsid w:val="19942174"/>
    <w:rsid w:val="199E69E4"/>
    <w:rsid w:val="19A76E98"/>
    <w:rsid w:val="19AA61E1"/>
    <w:rsid w:val="19AD7786"/>
    <w:rsid w:val="19DD7134"/>
    <w:rsid w:val="19E00778"/>
    <w:rsid w:val="19E00B88"/>
    <w:rsid w:val="19EC090B"/>
    <w:rsid w:val="19EC2827"/>
    <w:rsid w:val="19F035D7"/>
    <w:rsid w:val="19F46EC4"/>
    <w:rsid w:val="19FE6EC2"/>
    <w:rsid w:val="1A115FF3"/>
    <w:rsid w:val="1A1E0BD2"/>
    <w:rsid w:val="1A254538"/>
    <w:rsid w:val="1A374993"/>
    <w:rsid w:val="1A5A1F1E"/>
    <w:rsid w:val="1A5B1A2A"/>
    <w:rsid w:val="1A776116"/>
    <w:rsid w:val="1A7C759C"/>
    <w:rsid w:val="1A806CA0"/>
    <w:rsid w:val="1A90596C"/>
    <w:rsid w:val="1A91517D"/>
    <w:rsid w:val="1AA80E44"/>
    <w:rsid w:val="1AAE0042"/>
    <w:rsid w:val="1AC028CC"/>
    <w:rsid w:val="1AD11A1D"/>
    <w:rsid w:val="1ADF0BB0"/>
    <w:rsid w:val="1AFD2812"/>
    <w:rsid w:val="1B041DF3"/>
    <w:rsid w:val="1B087B86"/>
    <w:rsid w:val="1B2C0611"/>
    <w:rsid w:val="1B345D88"/>
    <w:rsid w:val="1B3579E5"/>
    <w:rsid w:val="1B46240B"/>
    <w:rsid w:val="1B47617D"/>
    <w:rsid w:val="1B7F0A21"/>
    <w:rsid w:val="1B8F2897"/>
    <w:rsid w:val="1B9A62B3"/>
    <w:rsid w:val="1BA318B3"/>
    <w:rsid w:val="1BA3433F"/>
    <w:rsid w:val="1BA3543B"/>
    <w:rsid w:val="1BB67BA3"/>
    <w:rsid w:val="1BBD395D"/>
    <w:rsid w:val="1BC05D1A"/>
    <w:rsid w:val="1BC81F3E"/>
    <w:rsid w:val="1BCA594F"/>
    <w:rsid w:val="1BD356C5"/>
    <w:rsid w:val="1BDA0C23"/>
    <w:rsid w:val="1BE41F08"/>
    <w:rsid w:val="1BEB410E"/>
    <w:rsid w:val="1C097FFB"/>
    <w:rsid w:val="1C141608"/>
    <w:rsid w:val="1C2A3ADB"/>
    <w:rsid w:val="1C346B6C"/>
    <w:rsid w:val="1C355D29"/>
    <w:rsid w:val="1C4464DE"/>
    <w:rsid w:val="1C467605"/>
    <w:rsid w:val="1C4A4D16"/>
    <w:rsid w:val="1C570FC5"/>
    <w:rsid w:val="1C572942"/>
    <w:rsid w:val="1C6C65D3"/>
    <w:rsid w:val="1C725B22"/>
    <w:rsid w:val="1C9341AE"/>
    <w:rsid w:val="1C935FDB"/>
    <w:rsid w:val="1C993FCC"/>
    <w:rsid w:val="1C9C3F9F"/>
    <w:rsid w:val="1CA57B6D"/>
    <w:rsid w:val="1CA711A3"/>
    <w:rsid w:val="1CAD097E"/>
    <w:rsid w:val="1CB8730B"/>
    <w:rsid w:val="1CD7545A"/>
    <w:rsid w:val="1CDB6556"/>
    <w:rsid w:val="1CDF5053"/>
    <w:rsid w:val="1CE11BAA"/>
    <w:rsid w:val="1CE819CC"/>
    <w:rsid w:val="1CED6042"/>
    <w:rsid w:val="1CFF6D3A"/>
    <w:rsid w:val="1D0E51AB"/>
    <w:rsid w:val="1D1701BD"/>
    <w:rsid w:val="1D2813A7"/>
    <w:rsid w:val="1D2B3667"/>
    <w:rsid w:val="1D343CE2"/>
    <w:rsid w:val="1D3778C7"/>
    <w:rsid w:val="1D4B6358"/>
    <w:rsid w:val="1D510C0F"/>
    <w:rsid w:val="1D633925"/>
    <w:rsid w:val="1D643E3F"/>
    <w:rsid w:val="1D887A36"/>
    <w:rsid w:val="1D8B5AE5"/>
    <w:rsid w:val="1D9446B6"/>
    <w:rsid w:val="1D9720E3"/>
    <w:rsid w:val="1DA325CC"/>
    <w:rsid w:val="1DC44510"/>
    <w:rsid w:val="1DC47AA8"/>
    <w:rsid w:val="1DF86F2E"/>
    <w:rsid w:val="1DFC7CFA"/>
    <w:rsid w:val="1E1853BD"/>
    <w:rsid w:val="1E3B39D9"/>
    <w:rsid w:val="1E49124A"/>
    <w:rsid w:val="1E5737B3"/>
    <w:rsid w:val="1E697177"/>
    <w:rsid w:val="1E6B5FCC"/>
    <w:rsid w:val="1E83354E"/>
    <w:rsid w:val="1EA3429B"/>
    <w:rsid w:val="1EC502CD"/>
    <w:rsid w:val="1ECB2690"/>
    <w:rsid w:val="1EDE6BC3"/>
    <w:rsid w:val="1EDF4BD2"/>
    <w:rsid w:val="1EF81C6E"/>
    <w:rsid w:val="1F151B47"/>
    <w:rsid w:val="1F1F0B10"/>
    <w:rsid w:val="1F2A56BC"/>
    <w:rsid w:val="1F345A2F"/>
    <w:rsid w:val="1F464FEA"/>
    <w:rsid w:val="1F5E008F"/>
    <w:rsid w:val="1F635832"/>
    <w:rsid w:val="1F7741B9"/>
    <w:rsid w:val="1F9B1839"/>
    <w:rsid w:val="1FAB3793"/>
    <w:rsid w:val="1FB876A7"/>
    <w:rsid w:val="1FC35DD8"/>
    <w:rsid w:val="1FCB4108"/>
    <w:rsid w:val="1FCE3A8A"/>
    <w:rsid w:val="1FD3618A"/>
    <w:rsid w:val="200A1C59"/>
    <w:rsid w:val="2015511E"/>
    <w:rsid w:val="20267917"/>
    <w:rsid w:val="20272064"/>
    <w:rsid w:val="202C0033"/>
    <w:rsid w:val="20326387"/>
    <w:rsid w:val="20345A7D"/>
    <w:rsid w:val="20457762"/>
    <w:rsid w:val="20636F3A"/>
    <w:rsid w:val="2072136E"/>
    <w:rsid w:val="20971A13"/>
    <w:rsid w:val="20BE0ED9"/>
    <w:rsid w:val="20BF1984"/>
    <w:rsid w:val="20D251F6"/>
    <w:rsid w:val="20D61A2A"/>
    <w:rsid w:val="20FC5F85"/>
    <w:rsid w:val="21093CBF"/>
    <w:rsid w:val="210B7FAA"/>
    <w:rsid w:val="2112332F"/>
    <w:rsid w:val="2150571F"/>
    <w:rsid w:val="215469C2"/>
    <w:rsid w:val="21634E2C"/>
    <w:rsid w:val="217029D2"/>
    <w:rsid w:val="21822BE2"/>
    <w:rsid w:val="21840028"/>
    <w:rsid w:val="218A318D"/>
    <w:rsid w:val="21955DFD"/>
    <w:rsid w:val="219C7027"/>
    <w:rsid w:val="21A61712"/>
    <w:rsid w:val="21A671C4"/>
    <w:rsid w:val="21A90A60"/>
    <w:rsid w:val="21B460E5"/>
    <w:rsid w:val="21C66054"/>
    <w:rsid w:val="21CB5BB8"/>
    <w:rsid w:val="21CD1190"/>
    <w:rsid w:val="21D267A7"/>
    <w:rsid w:val="21D9062A"/>
    <w:rsid w:val="21E01A23"/>
    <w:rsid w:val="21E55445"/>
    <w:rsid w:val="21EE7AB9"/>
    <w:rsid w:val="21F534A8"/>
    <w:rsid w:val="21FA65B0"/>
    <w:rsid w:val="221B1EC0"/>
    <w:rsid w:val="221B4926"/>
    <w:rsid w:val="222A6E16"/>
    <w:rsid w:val="222F39FC"/>
    <w:rsid w:val="22382A49"/>
    <w:rsid w:val="223D6325"/>
    <w:rsid w:val="22437E84"/>
    <w:rsid w:val="224F1CAD"/>
    <w:rsid w:val="225E1BDC"/>
    <w:rsid w:val="227F15A6"/>
    <w:rsid w:val="22844935"/>
    <w:rsid w:val="228E34B4"/>
    <w:rsid w:val="22AD2A82"/>
    <w:rsid w:val="22DB34D9"/>
    <w:rsid w:val="22DE7896"/>
    <w:rsid w:val="22FA0E80"/>
    <w:rsid w:val="23071B22"/>
    <w:rsid w:val="231675A9"/>
    <w:rsid w:val="231D544C"/>
    <w:rsid w:val="231F63AC"/>
    <w:rsid w:val="233A5DBA"/>
    <w:rsid w:val="23451670"/>
    <w:rsid w:val="234969A2"/>
    <w:rsid w:val="237A6682"/>
    <w:rsid w:val="23971A56"/>
    <w:rsid w:val="23A96A52"/>
    <w:rsid w:val="23B47454"/>
    <w:rsid w:val="23BA0F30"/>
    <w:rsid w:val="23C950EF"/>
    <w:rsid w:val="23C95FCA"/>
    <w:rsid w:val="23CC50E1"/>
    <w:rsid w:val="23CD5478"/>
    <w:rsid w:val="23CD7272"/>
    <w:rsid w:val="23FC7B0B"/>
    <w:rsid w:val="24086E7E"/>
    <w:rsid w:val="24107A5A"/>
    <w:rsid w:val="244872FE"/>
    <w:rsid w:val="24493C64"/>
    <w:rsid w:val="24584F62"/>
    <w:rsid w:val="24601EF4"/>
    <w:rsid w:val="246C66A3"/>
    <w:rsid w:val="24773635"/>
    <w:rsid w:val="247D15C3"/>
    <w:rsid w:val="24830A5B"/>
    <w:rsid w:val="248F79CC"/>
    <w:rsid w:val="24974A67"/>
    <w:rsid w:val="24A27B0D"/>
    <w:rsid w:val="24C148B0"/>
    <w:rsid w:val="24D224C7"/>
    <w:rsid w:val="24EC4023"/>
    <w:rsid w:val="24EE64BB"/>
    <w:rsid w:val="24F5127F"/>
    <w:rsid w:val="24FE2F9A"/>
    <w:rsid w:val="250560AC"/>
    <w:rsid w:val="25085ADD"/>
    <w:rsid w:val="2514459C"/>
    <w:rsid w:val="251B0465"/>
    <w:rsid w:val="25291A5F"/>
    <w:rsid w:val="25307274"/>
    <w:rsid w:val="25427FE9"/>
    <w:rsid w:val="254865BB"/>
    <w:rsid w:val="25754019"/>
    <w:rsid w:val="257F6742"/>
    <w:rsid w:val="258330BA"/>
    <w:rsid w:val="25936104"/>
    <w:rsid w:val="259972A2"/>
    <w:rsid w:val="259B7663"/>
    <w:rsid w:val="25B15FA3"/>
    <w:rsid w:val="25EA6590"/>
    <w:rsid w:val="25EF3DCB"/>
    <w:rsid w:val="25F13DB7"/>
    <w:rsid w:val="25FF67FB"/>
    <w:rsid w:val="26056DA8"/>
    <w:rsid w:val="26073F98"/>
    <w:rsid w:val="26293FBC"/>
    <w:rsid w:val="263409F1"/>
    <w:rsid w:val="26546A75"/>
    <w:rsid w:val="265772B4"/>
    <w:rsid w:val="266C00F5"/>
    <w:rsid w:val="26711E9D"/>
    <w:rsid w:val="267307C8"/>
    <w:rsid w:val="267362AB"/>
    <w:rsid w:val="26823497"/>
    <w:rsid w:val="268A152C"/>
    <w:rsid w:val="268A682A"/>
    <w:rsid w:val="26A32153"/>
    <w:rsid w:val="26A56238"/>
    <w:rsid w:val="26B42CFA"/>
    <w:rsid w:val="26D42AAC"/>
    <w:rsid w:val="26DF14DB"/>
    <w:rsid w:val="26E53DB6"/>
    <w:rsid w:val="26EE7CCA"/>
    <w:rsid w:val="27093951"/>
    <w:rsid w:val="270E5159"/>
    <w:rsid w:val="27132C54"/>
    <w:rsid w:val="272436E9"/>
    <w:rsid w:val="27362E8A"/>
    <w:rsid w:val="273F51F5"/>
    <w:rsid w:val="274578D4"/>
    <w:rsid w:val="27474050"/>
    <w:rsid w:val="274C37A4"/>
    <w:rsid w:val="276A5A9D"/>
    <w:rsid w:val="277A5A61"/>
    <w:rsid w:val="27807201"/>
    <w:rsid w:val="278F1CE3"/>
    <w:rsid w:val="2797386C"/>
    <w:rsid w:val="279C5D53"/>
    <w:rsid w:val="27A13CCA"/>
    <w:rsid w:val="27A606BE"/>
    <w:rsid w:val="27B52CD1"/>
    <w:rsid w:val="27D71AF1"/>
    <w:rsid w:val="27E25DC7"/>
    <w:rsid w:val="27EA7D6A"/>
    <w:rsid w:val="27EF40A7"/>
    <w:rsid w:val="27F31225"/>
    <w:rsid w:val="27F35213"/>
    <w:rsid w:val="28023A3D"/>
    <w:rsid w:val="2812129F"/>
    <w:rsid w:val="28280F12"/>
    <w:rsid w:val="28297129"/>
    <w:rsid w:val="283D3B7B"/>
    <w:rsid w:val="284A0138"/>
    <w:rsid w:val="285773A6"/>
    <w:rsid w:val="285C796F"/>
    <w:rsid w:val="28642123"/>
    <w:rsid w:val="28675EE5"/>
    <w:rsid w:val="287379A1"/>
    <w:rsid w:val="28835D72"/>
    <w:rsid w:val="288F72FD"/>
    <w:rsid w:val="289361A4"/>
    <w:rsid w:val="289703E5"/>
    <w:rsid w:val="28BF1E3F"/>
    <w:rsid w:val="28C865B6"/>
    <w:rsid w:val="28D57D3E"/>
    <w:rsid w:val="28E83937"/>
    <w:rsid w:val="28EC435F"/>
    <w:rsid w:val="28F246B9"/>
    <w:rsid w:val="28F35B80"/>
    <w:rsid w:val="291679E7"/>
    <w:rsid w:val="291B0620"/>
    <w:rsid w:val="291B0E92"/>
    <w:rsid w:val="292A511A"/>
    <w:rsid w:val="294A7318"/>
    <w:rsid w:val="294E380A"/>
    <w:rsid w:val="29A5006B"/>
    <w:rsid w:val="29A749BD"/>
    <w:rsid w:val="29A81C0A"/>
    <w:rsid w:val="29BA3BCB"/>
    <w:rsid w:val="29E70460"/>
    <w:rsid w:val="2A077518"/>
    <w:rsid w:val="2A101098"/>
    <w:rsid w:val="2A11498D"/>
    <w:rsid w:val="2A1E0467"/>
    <w:rsid w:val="2A1F4553"/>
    <w:rsid w:val="2A2A24A3"/>
    <w:rsid w:val="2A3224D8"/>
    <w:rsid w:val="2A361EB3"/>
    <w:rsid w:val="2A5F2511"/>
    <w:rsid w:val="2A873307"/>
    <w:rsid w:val="2A8B3997"/>
    <w:rsid w:val="2AA1716F"/>
    <w:rsid w:val="2AA5538F"/>
    <w:rsid w:val="2AA77796"/>
    <w:rsid w:val="2AB54EB7"/>
    <w:rsid w:val="2ABB2FFA"/>
    <w:rsid w:val="2AC45546"/>
    <w:rsid w:val="2AC810F2"/>
    <w:rsid w:val="2AE66447"/>
    <w:rsid w:val="2AEF7BE7"/>
    <w:rsid w:val="2B0B33D6"/>
    <w:rsid w:val="2B1240B8"/>
    <w:rsid w:val="2B16109B"/>
    <w:rsid w:val="2B1E480B"/>
    <w:rsid w:val="2B2A2316"/>
    <w:rsid w:val="2B3B6FED"/>
    <w:rsid w:val="2B3C0529"/>
    <w:rsid w:val="2B493399"/>
    <w:rsid w:val="2B4F710B"/>
    <w:rsid w:val="2B6C67FA"/>
    <w:rsid w:val="2B794137"/>
    <w:rsid w:val="2B7C1E30"/>
    <w:rsid w:val="2B8C7A41"/>
    <w:rsid w:val="2B905751"/>
    <w:rsid w:val="2BA04E9C"/>
    <w:rsid w:val="2BA5648C"/>
    <w:rsid w:val="2BA97A46"/>
    <w:rsid w:val="2BB43470"/>
    <w:rsid w:val="2BBF186F"/>
    <w:rsid w:val="2BC24C8D"/>
    <w:rsid w:val="2BC94C73"/>
    <w:rsid w:val="2BEA0C2E"/>
    <w:rsid w:val="2C020D90"/>
    <w:rsid w:val="2C091017"/>
    <w:rsid w:val="2C212244"/>
    <w:rsid w:val="2C345F53"/>
    <w:rsid w:val="2C4520C9"/>
    <w:rsid w:val="2C464019"/>
    <w:rsid w:val="2C5A1063"/>
    <w:rsid w:val="2C633C7F"/>
    <w:rsid w:val="2C6721E1"/>
    <w:rsid w:val="2C8132A3"/>
    <w:rsid w:val="2CA0390C"/>
    <w:rsid w:val="2CA40F28"/>
    <w:rsid w:val="2CBA2F10"/>
    <w:rsid w:val="2CC63B52"/>
    <w:rsid w:val="2CD4196D"/>
    <w:rsid w:val="2CEF46B1"/>
    <w:rsid w:val="2D010F5C"/>
    <w:rsid w:val="2D014A77"/>
    <w:rsid w:val="2D1C19B6"/>
    <w:rsid w:val="2D1C7919"/>
    <w:rsid w:val="2D437038"/>
    <w:rsid w:val="2D451DB8"/>
    <w:rsid w:val="2D475DE6"/>
    <w:rsid w:val="2D4A68C0"/>
    <w:rsid w:val="2D50362C"/>
    <w:rsid w:val="2D5D027C"/>
    <w:rsid w:val="2D60730D"/>
    <w:rsid w:val="2D651C7D"/>
    <w:rsid w:val="2D8B0771"/>
    <w:rsid w:val="2D8E3EF9"/>
    <w:rsid w:val="2D9C3CC7"/>
    <w:rsid w:val="2DA13A94"/>
    <w:rsid w:val="2DA70988"/>
    <w:rsid w:val="2DB61567"/>
    <w:rsid w:val="2DBD47AF"/>
    <w:rsid w:val="2DC65E6C"/>
    <w:rsid w:val="2DEB254F"/>
    <w:rsid w:val="2DF302D1"/>
    <w:rsid w:val="2DF73A5B"/>
    <w:rsid w:val="2E073877"/>
    <w:rsid w:val="2E0C7803"/>
    <w:rsid w:val="2E0F444F"/>
    <w:rsid w:val="2E111CB4"/>
    <w:rsid w:val="2E29608C"/>
    <w:rsid w:val="2E344A4A"/>
    <w:rsid w:val="2E3811E3"/>
    <w:rsid w:val="2E6F0CD4"/>
    <w:rsid w:val="2E7806D6"/>
    <w:rsid w:val="2E812E4B"/>
    <w:rsid w:val="2E88381F"/>
    <w:rsid w:val="2E9D6EE2"/>
    <w:rsid w:val="2EB86D24"/>
    <w:rsid w:val="2EBF6305"/>
    <w:rsid w:val="2EC00057"/>
    <w:rsid w:val="2ECD0D68"/>
    <w:rsid w:val="2ECF360C"/>
    <w:rsid w:val="2EDC672E"/>
    <w:rsid w:val="2F063C19"/>
    <w:rsid w:val="2F11654A"/>
    <w:rsid w:val="2F232EB7"/>
    <w:rsid w:val="2F4F2249"/>
    <w:rsid w:val="2F4F2655"/>
    <w:rsid w:val="2F504068"/>
    <w:rsid w:val="2F522ED5"/>
    <w:rsid w:val="2F593740"/>
    <w:rsid w:val="2F6D7B10"/>
    <w:rsid w:val="2F760877"/>
    <w:rsid w:val="2F8A7636"/>
    <w:rsid w:val="2F951C15"/>
    <w:rsid w:val="2FA15A0A"/>
    <w:rsid w:val="2FA869BF"/>
    <w:rsid w:val="2FAC0380"/>
    <w:rsid w:val="2FBD6090"/>
    <w:rsid w:val="2FC97B5B"/>
    <w:rsid w:val="2FD8767E"/>
    <w:rsid w:val="2FDB7451"/>
    <w:rsid w:val="2FEA27B5"/>
    <w:rsid w:val="2FEB26C0"/>
    <w:rsid w:val="2FEC4DF6"/>
    <w:rsid w:val="300130FF"/>
    <w:rsid w:val="30060775"/>
    <w:rsid w:val="300B546C"/>
    <w:rsid w:val="301601A6"/>
    <w:rsid w:val="30204B81"/>
    <w:rsid w:val="303C16D2"/>
    <w:rsid w:val="30447B0F"/>
    <w:rsid w:val="304B53B5"/>
    <w:rsid w:val="305330B3"/>
    <w:rsid w:val="30571CE1"/>
    <w:rsid w:val="30573B74"/>
    <w:rsid w:val="306160A8"/>
    <w:rsid w:val="306311B6"/>
    <w:rsid w:val="30803872"/>
    <w:rsid w:val="30BB4BBC"/>
    <w:rsid w:val="30CF523D"/>
    <w:rsid w:val="30D4446A"/>
    <w:rsid w:val="30D7159E"/>
    <w:rsid w:val="30DC061C"/>
    <w:rsid w:val="30E262DA"/>
    <w:rsid w:val="30F145C1"/>
    <w:rsid w:val="310A7042"/>
    <w:rsid w:val="310E563D"/>
    <w:rsid w:val="3129148B"/>
    <w:rsid w:val="31676DCD"/>
    <w:rsid w:val="31693325"/>
    <w:rsid w:val="317029CD"/>
    <w:rsid w:val="3195334D"/>
    <w:rsid w:val="31A91B05"/>
    <w:rsid w:val="31AE61BD"/>
    <w:rsid w:val="31B23365"/>
    <w:rsid w:val="31C66225"/>
    <w:rsid w:val="31C8697A"/>
    <w:rsid w:val="31F33CF4"/>
    <w:rsid w:val="31F36082"/>
    <w:rsid w:val="3203266C"/>
    <w:rsid w:val="320F1772"/>
    <w:rsid w:val="321C2535"/>
    <w:rsid w:val="321D2940"/>
    <w:rsid w:val="324273D2"/>
    <w:rsid w:val="32510248"/>
    <w:rsid w:val="32545A06"/>
    <w:rsid w:val="32590A86"/>
    <w:rsid w:val="326D1544"/>
    <w:rsid w:val="32711B96"/>
    <w:rsid w:val="32892EB1"/>
    <w:rsid w:val="3299065D"/>
    <w:rsid w:val="32A80BCB"/>
    <w:rsid w:val="32B56BC3"/>
    <w:rsid w:val="32E666AB"/>
    <w:rsid w:val="32F323C7"/>
    <w:rsid w:val="32FB3002"/>
    <w:rsid w:val="32FE17D4"/>
    <w:rsid w:val="33064502"/>
    <w:rsid w:val="33103267"/>
    <w:rsid w:val="331620A2"/>
    <w:rsid w:val="331B6ED3"/>
    <w:rsid w:val="33254FD0"/>
    <w:rsid w:val="33260700"/>
    <w:rsid w:val="334E3919"/>
    <w:rsid w:val="33522D51"/>
    <w:rsid w:val="33550FE6"/>
    <w:rsid w:val="33677C46"/>
    <w:rsid w:val="336B41F1"/>
    <w:rsid w:val="33791178"/>
    <w:rsid w:val="337C4C56"/>
    <w:rsid w:val="338C2BC1"/>
    <w:rsid w:val="338E6F95"/>
    <w:rsid w:val="33A17B6D"/>
    <w:rsid w:val="33AD497E"/>
    <w:rsid w:val="33B165EF"/>
    <w:rsid w:val="33DE5E66"/>
    <w:rsid w:val="33E10ACB"/>
    <w:rsid w:val="33E2235A"/>
    <w:rsid w:val="33E514CF"/>
    <w:rsid w:val="33F8522A"/>
    <w:rsid w:val="33FA26CD"/>
    <w:rsid w:val="342C1D9A"/>
    <w:rsid w:val="343676A0"/>
    <w:rsid w:val="34562BE8"/>
    <w:rsid w:val="345D45F6"/>
    <w:rsid w:val="34622650"/>
    <w:rsid w:val="34780283"/>
    <w:rsid w:val="34831B82"/>
    <w:rsid w:val="34843E25"/>
    <w:rsid w:val="348509E7"/>
    <w:rsid w:val="34946797"/>
    <w:rsid w:val="34A47577"/>
    <w:rsid w:val="34CE10F3"/>
    <w:rsid w:val="34D17B8C"/>
    <w:rsid w:val="34D23B09"/>
    <w:rsid w:val="34E94FE6"/>
    <w:rsid w:val="34FE4938"/>
    <w:rsid w:val="35124A8B"/>
    <w:rsid w:val="3520127B"/>
    <w:rsid w:val="3527249F"/>
    <w:rsid w:val="354A03A7"/>
    <w:rsid w:val="354E3BEE"/>
    <w:rsid w:val="355A3E29"/>
    <w:rsid w:val="355F7EFA"/>
    <w:rsid w:val="35613C72"/>
    <w:rsid w:val="356658C9"/>
    <w:rsid w:val="358633CD"/>
    <w:rsid w:val="35942522"/>
    <w:rsid w:val="35A11668"/>
    <w:rsid w:val="35A12D5D"/>
    <w:rsid w:val="35AB54FA"/>
    <w:rsid w:val="35B80981"/>
    <w:rsid w:val="35BA7826"/>
    <w:rsid w:val="35C661CB"/>
    <w:rsid w:val="35DA12E4"/>
    <w:rsid w:val="35E6061B"/>
    <w:rsid w:val="360B18EA"/>
    <w:rsid w:val="360E6EDE"/>
    <w:rsid w:val="361A2073"/>
    <w:rsid w:val="36314216"/>
    <w:rsid w:val="36337978"/>
    <w:rsid w:val="36407025"/>
    <w:rsid w:val="3641300B"/>
    <w:rsid w:val="36444AB6"/>
    <w:rsid w:val="36491589"/>
    <w:rsid w:val="36575CFC"/>
    <w:rsid w:val="36634CC0"/>
    <w:rsid w:val="368C4D1E"/>
    <w:rsid w:val="3692543F"/>
    <w:rsid w:val="369D3899"/>
    <w:rsid w:val="36A855AE"/>
    <w:rsid w:val="36B1331F"/>
    <w:rsid w:val="36B3194D"/>
    <w:rsid w:val="36C742B7"/>
    <w:rsid w:val="36C90C4B"/>
    <w:rsid w:val="36D5175A"/>
    <w:rsid w:val="36E0150E"/>
    <w:rsid w:val="36ED2AEA"/>
    <w:rsid w:val="36ED7D92"/>
    <w:rsid w:val="36F9145A"/>
    <w:rsid w:val="37034F1F"/>
    <w:rsid w:val="370F60C3"/>
    <w:rsid w:val="3711592B"/>
    <w:rsid w:val="3713136B"/>
    <w:rsid w:val="37132153"/>
    <w:rsid w:val="37242883"/>
    <w:rsid w:val="37290257"/>
    <w:rsid w:val="373618E8"/>
    <w:rsid w:val="373E78A2"/>
    <w:rsid w:val="374326AE"/>
    <w:rsid w:val="375D064C"/>
    <w:rsid w:val="37790D7B"/>
    <w:rsid w:val="37817C9D"/>
    <w:rsid w:val="379A1BB6"/>
    <w:rsid w:val="379F6EE4"/>
    <w:rsid w:val="37A0165A"/>
    <w:rsid w:val="37B03790"/>
    <w:rsid w:val="37BA5A8C"/>
    <w:rsid w:val="37BD163B"/>
    <w:rsid w:val="37DF5322"/>
    <w:rsid w:val="37E700AE"/>
    <w:rsid w:val="37FF018F"/>
    <w:rsid w:val="38004805"/>
    <w:rsid w:val="38047781"/>
    <w:rsid w:val="381274A5"/>
    <w:rsid w:val="38187FD5"/>
    <w:rsid w:val="38402DA7"/>
    <w:rsid w:val="384E118D"/>
    <w:rsid w:val="38584981"/>
    <w:rsid w:val="385E7306"/>
    <w:rsid w:val="386F4EFB"/>
    <w:rsid w:val="3875532A"/>
    <w:rsid w:val="387719FE"/>
    <w:rsid w:val="387B7477"/>
    <w:rsid w:val="388D4D67"/>
    <w:rsid w:val="389F5A95"/>
    <w:rsid w:val="38A17E15"/>
    <w:rsid w:val="38A22CD3"/>
    <w:rsid w:val="38A628F3"/>
    <w:rsid w:val="38A917F5"/>
    <w:rsid w:val="38AC2FAE"/>
    <w:rsid w:val="38AE23C6"/>
    <w:rsid w:val="38CE5B6D"/>
    <w:rsid w:val="38DC3C54"/>
    <w:rsid w:val="38DC3F31"/>
    <w:rsid w:val="38F0347F"/>
    <w:rsid w:val="38F811E2"/>
    <w:rsid w:val="38FE7FB0"/>
    <w:rsid w:val="390C4607"/>
    <w:rsid w:val="39214ED5"/>
    <w:rsid w:val="39321F3C"/>
    <w:rsid w:val="39335925"/>
    <w:rsid w:val="39382CA7"/>
    <w:rsid w:val="39414F29"/>
    <w:rsid w:val="39581830"/>
    <w:rsid w:val="3967488B"/>
    <w:rsid w:val="396E4018"/>
    <w:rsid w:val="39756B90"/>
    <w:rsid w:val="39846181"/>
    <w:rsid w:val="39930ABA"/>
    <w:rsid w:val="39AB7BB1"/>
    <w:rsid w:val="39B3110E"/>
    <w:rsid w:val="39B36A66"/>
    <w:rsid w:val="39D05C98"/>
    <w:rsid w:val="39F5707E"/>
    <w:rsid w:val="3A0379ED"/>
    <w:rsid w:val="3A237439"/>
    <w:rsid w:val="3A2E3BFE"/>
    <w:rsid w:val="3A366B98"/>
    <w:rsid w:val="3A4E47DE"/>
    <w:rsid w:val="3A59640E"/>
    <w:rsid w:val="3A6669BA"/>
    <w:rsid w:val="3A8856BA"/>
    <w:rsid w:val="3A8F31B5"/>
    <w:rsid w:val="3A9321CA"/>
    <w:rsid w:val="3AAF36D1"/>
    <w:rsid w:val="3AB40CE8"/>
    <w:rsid w:val="3AB61B3C"/>
    <w:rsid w:val="3AB91B50"/>
    <w:rsid w:val="3ABA4740"/>
    <w:rsid w:val="3AC95EBB"/>
    <w:rsid w:val="3AD50450"/>
    <w:rsid w:val="3AE27603"/>
    <w:rsid w:val="3AFC570D"/>
    <w:rsid w:val="3B107E40"/>
    <w:rsid w:val="3B1110C3"/>
    <w:rsid w:val="3B292BB8"/>
    <w:rsid w:val="3B2C28F8"/>
    <w:rsid w:val="3B2E44FB"/>
    <w:rsid w:val="3B56369C"/>
    <w:rsid w:val="3B5E2BE4"/>
    <w:rsid w:val="3B6619D7"/>
    <w:rsid w:val="3B863DB3"/>
    <w:rsid w:val="3B982D07"/>
    <w:rsid w:val="3BA02859"/>
    <w:rsid w:val="3BC34A42"/>
    <w:rsid w:val="3BD63E96"/>
    <w:rsid w:val="3BDF6729"/>
    <w:rsid w:val="3BEA5089"/>
    <w:rsid w:val="3BF82E56"/>
    <w:rsid w:val="3BFE0AEE"/>
    <w:rsid w:val="3C095063"/>
    <w:rsid w:val="3C152EA7"/>
    <w:rsid w:val="3C191527"/>
    <w:rsid w:val="3C1D3164"/>
    <w:rsid w:val="3C290157"/>
    <w:rsid w:val="3C3B3BC8"/>
    <w:rsid w:val="3C5D7410"/>
    <w:rsid w:val="3C606490"/>
    <w:rsid w:val="3C6B187A"/>
    <w:rsid w:val="3C7626F9"/>
    <w:rsid w:val="3C7E6961"/>
    <w:rsid w:val="3C876ECD"/>
    <w:rsid w:val="3C8F0C1D"/>
    <w:rsid w:val="3CA56B3A"/>
    <w:rsid w:val="3CAD0DC3"/>
    <w:rsid w:val="3CB439F4"/>
    <w:rsid w:val="3CC17AA3"/>
    <w:rsid w:val="3CD51AFA"/>
    <w:rsid w:val="3CD74CF3"/>
    <w:rsid w:val="3CE11F9A"/>
    <w:rsid w:val="3CE8111C"/>
    <w:rsid w:val="3CEF24AB"/>
    <w:rsid w:val="3CF11EAC"/>
    <w:rsid w:val="3CF278A5"/>
    <w:rsid w:val="3D090DDD"/>
    <w:rsid w:val="3D2B3D98"/>
    <w:rsid w:val="3D3D1A03"/>
    <w:rsid w:val="3D4E7982"/>
    <w:rsid w:val="3D5B369C"/>
    <w:rsid w:val="3D5F6E75"/>
    <w:rsid w:val="3D7A59F0"/>
    <w:rsid w:val="3D86598A"/>
    <w:rsid w:val="3D8C1AA8"/>
    <w:rsid w:val="3D961F77"/>
    <w:rsid w:val="3DB80550"/>
    <w:rsid w:val="3DC11B62"/>
    <w:rsid w:val="3DD472F8"/>
    <w:rsid w:val="3DE0530A"/>
    <w:rsid w:val="3DE11DF4"/>
    <w:rsid w:val="3DE224FF"/>
    <w:rsid w:val="3DE63342"/>
    <w:rsid w:val="3DEB60E8"/>
    <w:rsid w:val="3DF46791"/>
    <w:rsid w:val="3DFC526F"/>
    <w:rsid w:val="3E066635"/>
    <w:rsid w:val="3E093624"/>
    <w:rsid w:val="3E2E7CA0"/>
    <w:rsid w:val="3E363493"/>
    <w:rsid w:val="3E3F0B10"/>
    <w:rsid w:val="3E462C21"/>
    <w:rsid w:val="3E746C5D"/>
    <w:rsid w:val="3E972C5C"/>
    <w:rsid w:val="3E9D4CB9"/>
    <w:rsid w:val="3EA01CAF"/>
    <w:rsid w:val="3EBE26DB"/>
    <w:rsid w:val="3ECF60F0"/>
    <w:rsid w:val="3EE330E4"/>
    <w:rsid w:val="3EF2081B"/>
    <w:rsid w:val="3EF33AE7"/>
    <w:rsid w:val="3F07543D"/>
    <w:rsid w:val="3F0E6CDE"/>
    <w:rsid w:val="3F16720A"/>
    <w:rsid w:val="3F2545DE"/>
    <w:rsid w:val="3F470D88"/>
    <w:rsid w:val="3F4906F4"/>
    <w:rsid w:val="3F6B7DE3"/>
    <w:rsid w:val="3F735DA4"/>
    <w:rsid w:val="3F9959D6"/>
    <w:rsid w:val="3FA04434"/>
    <w:rsid w:val="3FA80C63"/>
    <w:rsid w:val="3FAF5469"/>
    <w:rsid w:val="3FCD6EB1"/>
    <w:rsid w:val="3FCE5B6D"/>
    <w:rsid w:val="3FD25E96"/>
    <w:rsid w:val="3FD32791"/>
    <w:rsid w:val="3FD37F58"/>
    <w:rsid w:val="3FE67B95"/>
    <w:rsid w:val="3FE829A5"/>
    <w:rsid w:val="3FEA152B"/>
    <w:rsid w:val="3FEC1092"/>
    <w:rsid w:val="3FF00178"/>
    <w:rsid w:val="3FFD0A3B"/>
    <w:rsid w:val="40047711"/>
    <w:rsid w:val="400B13AA"/>
    <w:rsid w:val="40200E71"/>
    <w:rsid w:val="40254051"/>
    <w:rsid w:val="40523CFE"/>
    <w:rsid w:val="405745EF"/>
    <w:rsid w:val="406D5BC1"/>
    <w:rsid w:val="40731465"/>
    <w:rsid w:val="408819F1"/>
    <w:rsid w:val="409B5FE3"/>
    <w:rsid w:val="40AA092B"/>
    <w:rsid w:val="40BC16E9"/>
    <w:rsid w:val="40C42D5F"/>
    <w:rsid w:val="40CD0A06"/>
    <w:rsid w:val="40D923CA"/>
    <w:rsid w:val="40EB11DB"/>
    <w:rsid w:val="40F85B95"/>
    <w:rsid w:val="41006A35"/>
    <w:rsid w:val="41061B71"/>
    <w:rsid w:val="410C1FBA"/>
    <w:rsid w:val="410D10DF"/>
    <w:rsid w:val="410D7AB8"/>
    <w:rsid w:val="411C73B5"/>
    <w:rsid w:val="411E7371"/>
    <w:rsid w:val="41210759"/>
    <w:rsid w:val="41265D6F"/>
    <w:rsid w:val="412729B0"/>
    <w:rsid w:val="41287FFD"/>
    <w:rsid w:val="41497880"/>
    <w:rsid w:val="41555250"/>
    <w:rsid w:val="417D3E63"/>
    <w:rsid w:val="41850A30"/>
    <w:rsid w:val="418E46F2"/>
    <w:rsid w:val="419675A1"/>
    <w:rsid w:val="419F619E"/>
    <w:rsid w:val="41A575DC"/>
    <w:rsid w:val="41A924CD"/>
    <w:rsid w:val="41B12F6B"/>
    <w:rsid w:val="41BE3C08"/>
    <w:rsid w:val="41BF005A"/>
    <w:rsid w:val="41C56A80"/>
    <w:rsid w:val="41D220BA"/>
    <w:rsid w:val="41D23FCD"/>
    <w:rsid w:val="41D35EF7"/>
    <w:rsid w:val="41DB2FFE"/>
    <w:rsid w:val="41EE26B8"/>
    <w:rsid w:val="41F21E84"/>
    <w:rsid w:val="41F432B1"/>
    <w:rsid w:val="41FA725D"/>
    <w:rsid w:val="42020F4D"/>
    <w:rsid w:val="42065502"/>
    <w:rsid w:val="421952EC"/>
    <w:rsid w:val="423277A7"/>
    <w:rsid w:val="423F32EF"/>
    <w:rsid w:val="424E723E"/>
    <w:rsid w:val="42501A16"/>
    <w:rsid w:val="42616AF3"/>
    <w:rsid w:val="42673F71"/>
    <w:rsid w:val="4267663F"/>
    <w:rsid w:val="426E3E72"/>
    <w:rsid w:val="426F716A"/>
    <w:rsid w:val="427862AA"/>
    <w:rsid w:val="427D5E63"/>
    <w:rsid w:val="42854261"/>
    <w:rsid w:val="42AF315A"/>
    <w:rsid w:val="42BB551C"/>
    <w:rsid w:val="42C817D4"/>
    <w:rsid w:val="42C9661D"/>
    <w:rsid w:val="42F84283"/>
    <w:rsid w:val="430823B0"/>
    <w:rsid w:val="431165AD"/>
    <w:rsid w:val="433A0DBB"/>
    <w:rsid w:val="434A21E9"/>
    <w:rsid w:val="435C1F1C"/>
    <w:rsid w:val="43651F0F"/>
    <w:rsid w:val="436C1B7D"/>
    <w:rsid w:val="439A02A5"/>
    <w:rsid w:val="43A545CE"/>
    <w:rsid w:val="43C235A8"/>
    <w:rsid w:val="43C45D16"/>
    <w:rsid w:val="43CC11D8"/>
    <w:rsid w:val="43E04B40"/>
    <w:rsid w:val="43F1198B"/>
    <w:rsid w:val="440174F9"/>
    <w:rsid w:val="440206AC"/>
    <w:rsid w:val="4402348F"/>
    <w:rsid w:val="44071E88"/>
    <w:rsid w:val="44103433"/>
    <w:rsid w:val="44111132"/>
    <w:rsid w:val="44170379"/>
    <w:rsid w:val="442E0C8E"/>
    <w:rsid w:val="442E6973"/>
    <w:rsid w:val="4433060C"/>
    <w:rsid w:val="443734AE"/>
    <w:rsid w:val="44477E29"/>
    <w:rsid w:val="446D0C49"/>
    <w:rsid w:val="448C6789"/>
    <w:rsid w:val="448D6ADA"/>
    <w:rsid w:val="44957494"/>
    <w:rsid w:val="44A36047"/>
    <w:rsid w:val="44E1092B"/>
    <w:rsid w:val="44E8701D"/>
    <w:rsid w:val="45300E1F"/>
    <w:rsid w:val="453E1441"/>
    <w:rsid w:val="45433F8B"/>
    <w:rsid w:val="454503CF"/>
    <w:rsid w:val="45460185"/>
    <w:rsid w:val="45462E84"/>
    <w:rsid w:val="454A079F"/>
    <w:rsid w:val="456B14B6"/>
    <w:rsid w:val="456D7629"/>
    <w:rsid w:val="456F3D4B"/>
    <w:rsid w:val="4570420D"/>
    <w:rsid w:val="457572C5"/>
    <w:rsid w:val="45774DEB"/>
    <w:rsid w:val="45795457"/>
    <w:rsid w:val="458B4E19"/>
    <w:rsid w:val="459B78D2"/>
    <w:rsid w:val="45AA51C1"/>
    <w:rsid w:val="45BC2FD6"/>
    <w:rsid w:val="45BD075B"/>
    <w:rsid w:val="45C25F08"/>
    <w:rsid w:val="45EF74A1"/>
    <w:rsid w:val="45FA65EC"/>
    <w:rsid w:val="46106E0D"/>
    <w:rsid w:val="46183D18"/>
    <w:rsid w:val="461A005C"/>
    <w:rsid w:val="461B2CF8"/>
    <w:rsid w:val="46430104"/>
    <w:rsid w:val="464540FD"/>
    <w:rsid w:val="46604917"/>
    <w:rsid w:val="46742955"/>
    <w:rsid w:val="46B473F1"/>
    <w:rsid w:val="46BC1287"/>
    <w:rsid w:val="46DF702D"/>
    <w:rsid w:val="46E22D93"/>
    <w:rsid w:val="46E70265"/>
    <w:rsid w:val="46FE483A"/>
    <w:rsid w:val="470C292A"/>
    <w:rsid w:val="47156485"/>
    <w:rsid w:val="472672C2"/>
    <w:rsid w:val="472D1A82"/>
    <w:rsid w:val="472E6878"/>
    <w:rsid w:val="473E5CE3"/>
    <w:rsid w:val="47440610"/>
    <w:rsid w:val="47454BEB"/>
    <w:rsid w:val="476367ED"/>
    <w:rsid w:val="47637CD8"/>
    <w:rsid w:val="47847B1D"/>
    <w:rsid w:val="47883EB0"/>
    <w:rsid w:val="47894DBE"/>
    <w:rsid w:val="479003E6"/>
    <w:rsid w:val="47A87B70"/>
    <w:rsid w:val="47AC387D"/>
    <w:rsid w:val="47AD0751"/>
    <w:rsid w:val="47C158E0"/>
    <w:rsid w:val="47D344FA"/>
    <w:rsid w:val="47D47863"/>
    <w:rsid w:val="47EF15B1"/>
    <w:rsid w:val="480046E7"/>
    <w:rsid w:val="480343A2"/>
    <w:rsid w:val="480478A3"/>
    <w:rsid w:val="480636BE"/>
    <w:rsid w:val="48176F01"/>
    <w:rsid w:val="4819597C"/>
    <w:rsid w:val="48400FFE"/>
    <w:rsid w:val="4840425B"/>
    <w:rsid w:val="484F2050"/>
    <w:rsid w:val="485F63D7"/>
    <w:rsid w:val="487B2E45"/>
    <w:rsid w:val="488A699C"/>
    <w:rsid w:val="4892644D"/>
    <w:rsid w:val="48AD63C9"/>
    <w:rsid w:val="48C50C9A"/>
    <w:rsid w:val="48C95797"/>
    <w:rsid w:val="48FF2105"/>
    <w:rsid w:val="49197C02"/>
    <w:rsid w:val="49286B27"/>
    <w:rsid w:val="492B21DF"/>
    <w:rsid w:val="492F14E2"/>
    <w:rsid w:val="49362F0F"/>
    <w:rsid w:val="493E4087"/>
    <w:rsid w:val="49534F2D"/>
    <w:rsid w:val="49540338"/>
    <w:rsid w:val="495E69EE"/>
    <w:rsid w:val="498B2668"/>
    <w:rsid w:val="49A01370"/>
    <w:rsid w:val="49B43F88"/>
    <w:rsid w:val="49C2712F"/>
    <w:rsid w:val="49C83FE2"/>
    <w:rsid w:val="49D94FA5"/>
    <w:rsid w:val="49E9640B"/>
    <w:rsid w:val="49EE36C7"/>
    <w:rsid w:val="4A0741D0"/>
    <w:rsid w:val="4A177127"/>
    <w:rsid w:val="4A4915B5"/>
    <w:rsid w:val="4A5B01D8"/>
    <w:rsid w:val="4A5E21B9"/>
    <w:rsid w:val="4A6B64C9"/>
    <w:rsid w:val="4A7C3887"/>
    <w:rsid w:val="4A930237"/>
    <w:rsid w:val="4ABA40AA"/>
    <w:rsid w:val="4AC72371"/>
    <w:rsid w:val="4AD043E5"/>
    <w:rsid w:val="4AD26D90"/>
    <w:rsid w:val="4AD57928"/>
    <w:rsid w:val="4AD93E52"/>
    <w:rsid w:val="4AE2372B"/>
    <w:rsid w:val="4AE7594F"/>
    <w:rsid w:val="4AFB19CB"/>
    <w:rsid w:val="4AFE1C9D"/>
    <w:rsid w:val="4B057873"/>
    <w:rsid w:val="4B057B43"/>
    <w:rsid w:val="4B092E99"/>
    <w:rsid w:val="4B0F4DCA"/>
    <w:rsid w:val="4B10409E"/>
    <w:rsid w:val="4B1E4D8D"/>
    <w:rsid w:val="4B486714"/>
    <w:rsid w:val="4B506B07"/>
    <w:rsid w:val="4B745939"/>
    <w:rsid w:val="4B867DBB"/>
    <w:rsid w:val="4B871A8E"/>
    <w:rsid w:val="4B8F31E8"/>
    <w:rsid w:val="4BAD3F8C"/>
    <w:rsid w:val="4BBC5EF3"/>
    <w:rsid w:val="4BC6509A"/>
    <w:rsid w:val="4BD822CE"/>
    <w:rsid w:val="4BDC009E"/>
    <w:rsid w:val="4BEA57AB"/>
    <w:rsid w:val="4C101E7B"/>
    <w:rsid w:val="4C17744D"/>
    <w:rsid w:val="4C1E7B16"/>
    <w:rsid w:val="4C3E2697"/>
    <w:rsid w:val="4C516396"/>
    <w:rsid w:val="4C522088"/>
    <w:rsid w:val="4C770FB8"/>
    <w:rsid w:val="4C78682A"/>
    <w:rsid w:val="4C971436"/>
    <w:rsid w:val="4C9C7A3C"/>
    <w:rsid w:val="4CAE20DB"/>
    <w:rsid w:val="4CD21AF2"/>
    <w:rsid w:val="4CD60F91"/>
    <w:rsid w:val="4CD61507"/>
    <w:rsid w:val="4CD82ABA"/>
    <w:rsid w:val="4CD866FE"/>
    <w:rsid w:val="4D0E72DC"/>
    <w:rsid w:val="4D334778"/>
    <w:rsid w:val="4D4A76B8"/>
    <w:rsid w:val="4D522FB6"/>
    <w:rsid w:val="4D567E7A"/>
    <w:rsid w:val="4D6776CC"/>
    <w:rsid w:val="4D6C72E0"/>
    <w:rsid w:val="4D771D7A"/>
    <w:rsid w:val="4D7D11B4"/>
    <w:rsid w:val="4D8602C2"/>
    <w:rsid w:val="4D950505"/>
    <w:rsid w:val="4D964FDC"/>
    <w:rsid w:val="4D9E7635"/>
    <w:rsid w:val="4DB36BDD"/>
    <w:rsid w:val="4DB86E03"/>
    <w:rsid w:val="4DBC6854"/>
    <w:rsid w:val="4DCB2178"/>
    <w:rsid w:val="4DD51DDA"/>
    <w:rsid w:val="4DD7606C"/>
    <w:rsid w:val="4DE905AE"/>
    <w:rsid w:val="4E0B1C04"/>
    <w:rsid w:val="4E2C6C91"/>
    <w:rsid w:val="4E451AD2"/>
    <w:rsid w:val="4E4B32B9"/>
    <w:rsid w:val="4E567F8C"/>
    <w:rsid w:val="4E575D7F"/>
    <w:rsid w:val="4E59150D"/>
    <w:rsid w:val="4E5B34FC"/>
    <w:rsid w:val="4E690B3E"/>
    <w:rsid w:val="4E7B594C"/>
    <w:rsid w:val="4E881FCA"/>
    <w:rsid w:val="4E942D6D"/>
    <w:rsid w:val="4E9821BA"/>
    <w:rsid w:val="4E9B1B4B"/>
    <w:rsid w:val="4EA942C8"/>
    <w:rsid w:val="4ECC04C5"/>
    <w:rsid w:val="4F085C3B"/>
    <w:rsid w:val="4F20645D"/>
    <w:rsid w:val="4F221A15"/>
    <w:rsid w:val="4F2254FF"/>
    <w:rsid w:val="4F3952A4"/>
    <w:rsid w:val="4F3A4960"/>
    <w:rsid w:val="4F473A81"/>
    <w:rsid w:val="4F4F7835"/>
    <w:rsid w:val="4F6208E8"/>
    <w:rsid w:val="4F6B686D"/>
    <w:rsid w:val="4F78018C"/>
    <w:rsid w:val="4F7F71A0"/>
    <w:rsid w:val="4F8B1BBF"/>
    <w:rsid w:val="4F96594E"/>
    <w:rsid w:val="4FC20464"/>
    <w:rsid w:val="4FF7217D"/>
    <w:rsid w:val="4FF736F9"/>
    <w:rsid w:val="4FF745A6"/>
    <w:rsid w:val="50054D61"/>
    <w:rsid w:val="50083CA0"/>
    <w:rsid w:val="501715D7"/>
    <w:rsid w:val="502C3517"/>
    <w:rsid w:val="50461590"/>
    <w:rsid w:val="50577E02"/>
    <w:rsid w:val="505931D5"/>
    <w:rsid w:val="509132B9"/>
    <w:rsid w:val="50B33A0F"/>
    <w:rsid w:val="50B86668"/>
    <w:rsid w:val="50B9275C"/>
    <w:rsid w:val="50BC224C"/>
    <w:rsid w:val="50DD78C0"/>
    <w:rsid w:val="50DE08B4"/>
    <w:rsid w:val="50F606F7"/>
    <w:rsid w:val="50FE1B69"/>
    <w:rsid w:val="51033607"/>
    <w:rsid w:val="51037E4D"/>
    <w:rsid w:val="51187D95"/>
    <w:rsid w:val="512C64C4"/>
    <w:rsid w:val="513E0360"/>
    <w:rsid w:val="5159374D"/>
    <w:rsid w:val="516163FD"/>
    <w:rsid w:val="51786E44"/>
    <w:rsid w:val="517B5C63"/>
    <w:rsid w:val="51844B18"/>
    <w:rsid w:val="51901F07"/>
    <w:rsid w:val="51975969"/>
    <w:rsid w:val="519B5C5E"/>
    <w:rsid w:val="519C2B5A"/>
    <w:rsid w:val="51A0725B"/>
    <w:rsid w:val="51B87D65"/>
    <w:rsid w:val="51D57C6E"/>
    <w:rsid w:val="520A0393"/>
    <w:rsid w:val="521A3585"/>
    <w:rsid w:val="521E57F5"/>
    <w:rsid w:val="52251615"/>
    <w:rsid w:val="522A4640"/>
    <w:rsid w:val="523672EA"/>
    <w:rsid w:val="523D180D"/>
    <w:rsid w:val="524A2AF1"/>
    <w:rsid w:val="524A3855"/>
    <w:rsid w:val="524D75E4"/>
    <w:rsid w:val="52761F0B"/>
    <w:rsid w:val="52A33BF2"/>
    <w:rsid w:val="52AD329E"/>
    <w:rsid w:val="52C67244"/>
    <w:rsid w:val="52D649E5"/>
    <w:rsid w:val="52EC0AD9"/>
    <w:rsid w:val="52F178D4"/>
    <w:rsid w:val="52FC3DFF"/>
    <w:rsid w:val="52FC4B82"/>
    <w:rsid w:val="52FF4E5B"/>
    <w:rsid w:val="530211E2"/>
    <w:rsid w:val="5306021E"/>
    <w:rsid w:val="531B548F"/>
    <w:rsid w:val="532328FD"/>
    <w:rsid w:val="53281AE1"/>
    <w:rsid w:val="53590226"/>
    <w:rsid w:val="535C7D7A"/>
    <w:rsid w:val="53665ABA"/>
    <w:rsid w:val="537F7C8D"/>
    <w:rsid w:val="53837A3C"/>
    <w:rsid w:val="53C97781"/>
    <w:rsid w:val="53E06252"/>
    <w:rsid w:val="53EB27E5"/>
    <w:rsid w:val="53EF57BF"/>
    <w:rsid w:val="53FE78A0"/>
    <w:rsid w:val="54011CC1"/>
    <w:rsid w:val="54033EDD"/>
    <w:rsid w:val="5414799A"/>
    <w:rsid w:val="541F4FCC"/>
    <w:rsid w:val="54262A29"/>
    <w:rsid w:val="54305FDD"/>
    <w:rsid w:val="54311574"/>
    <w:rsid w:val="54322F14"/>
    <w:rsid w:val="54394FBB"/>
    <w:rsid w:val="543C20A8"/>
    <w:rsid w:val="54436F0C"/>
    <w:rsid w:val="54470972"/>
    <w:rsid w:val="54554E92"/>
    <w:rsid w:val="5458228C"/>
    <w:rsid w:val="546D5D37"/>
    <w:rsid w:val="54784372"/>
    <w:rsid w:val="548117E3"/>
    <w:rsid w:val="5486504B"/>
    <w:rsid w:val="548D47E6"/>
    <w:rsid w:val="54A65A53"/>
    <w:rsid w:val="54B326FE"/>
    <w:rsid w:val="54BC0A6D"/>
    <w:rsid w:val="54C455FF"/>
    <w:rsid w:val="54CC5EB7"/>
    <w:rsid w:val="54D852E2"/>
    <w:rsid w:val="54F46817"/>
    <w:rsid w:val="54FE49E9"/>
    <w:rsid w:val="5501079D"/>
    <w:rsid w:val="550801A7"/>
    <w:rsid w:val="550B6828"/>
    <w:rsid w:val="5535696F"/>
    <w:rsid w:val="553A07A3"/>
    <w:rsid w:val="55507566"/>
    <w:rsid w:val="555D6119"/>
    <w:rsid w:val="55647961"/>
    <w:rsid w:val="55753BE1"/>
    <w:rsid w:val="55AB3510"/>
    <w:rsid w:val="55BA3D27"/>
    <w:rsid w:val="55BF1536"/>
    <w:rsid w:val="55C80E72"/>
    <w:rsid w:val="55CB7680"/>
    <w:rsid w:val="55D94815"/>
    <w:rsid w:val="55DA157C"/>
    <w:rsid w:val="55DD02C0"/>
    <w:rsid w:val="55E75BE1"/>
    <w:rsid w:val="561C16D5"/>
    <w:rsid w:val="562E70D5"/>
    <w:rsid w:val="56334D5F"/>
    <w:rsid w:val="563936CF"/>
    <w:rsid w:val="563C1642"/>
    <w:rsid w:val="56496330"/>
    <w:rsid w:val="564D50AF"/>
    <w:rsid w:val="56543784"/>
    <w:rsid w:val="56581397"/>
    <w:rsid w:val="565A7615"/>
    <w:rsid w:val="56682C5A"/>
    <w:rsid w:val="5672533A"/>
    <w:rsid w:val="56763F17"/>
    <w:rsid w:val="56764FA1"/>
    <w:rsid w:val="56884F14"/>
    <w:rsid w:val="56913052"/>
    <w:rsid w:val="56937016"/>
    <w:rsid w:val="56BD0F80"/>
    <w:rsid w:val="56BD163F"/>
    <w:rsid w:val="56C208D9"/>
    <w:rsid w:val="56CB5DB3"/>
    <w:rsid w:val="56CE6835"/>
    <w:rsid w:val="56D03449"/>
    <w:rsid w:val="56D46702"/>
    <w:rsid w:val="56DA2C12"/>
    <w:rsid w:val="56EF73AC"/>
    <w:rsid w:val="56F616CA"/>
    <w:rsid w:val="56F67722"/>
    <w:rsid w:val="57003755"/>
    <w:rsid w:val="571526B6"/>
    <w:rsid w:val="571A041C"/>
    <w:rsid w:val="57365D4B"/>
    <w:rsid w:val="573C2B6A"/>
    <w:rsid w:val="574A2B74"/>
    <w:rsid w:val="57547721"/>
    <w:rsid w:val="57AA2C2D"/>
    <w:rsid w:val="57B43C7D"/>
    <w:rsid w:val="57CA2A93"/>
    <w:rsid w:val="57EC78BB"/>
    <w:rsid w:val="57F66044"/>
    <w:rsid w:val="57F83C45"/>
    <w:rsid w:val="57FD682B"/>
    <w:rsid w:val="580F5357"/>
    <w:rsid w:val="58216A24"/>
    <w:rsid w:val="58276B45"/>
    <w:rsid w:val="58342C2C"/>
    <w:rsid w:val="584427BB"/>
    <w:rsid w:val="584C5ED0"/>
    <w:rsid w:val="58627B7D"/>
    <w:rsid w:val="587608C3"/>
    <w:rsid w:val="587B3A94"/>
    <w:rsid w:val="588555F5"/>
    <w:rsid w:val="58866D15"/>
    <w:rsid w:val="588C2FB9"/>
    <w:rsid w:val="589759B4"/>
    <w:rsid w:val="58A3088C"/>
    <w:rsid w:val="58A4027E"/>
    <w:rsid w:val="58BE64DA"/>
    <w:rsid w:val="58BF70D3"/>
    <w:rsid w:val="58C46142"/>
    <w:rsid w:val="58DB3D0B"/>
    <w:rsid w:val="58E34547"/>
    <w:rsid w:val="590E560F"/>
    <w:rsid w:val="590F31BE"/>
    <w:rsid w:val="5927709E"/>
    <w:rsid w:val="59294739"/>
    <w:rsid w:val="592B7D68"/>
    <w:rsid w:val="593A51FE"/>
    <w:rsid w:val="59480E1A"/>
    <w:rsid w:val="594A4899"/>
    <w:rsid w:val="594F663F"/>
    <w:rsid w:val="595922BA"/>
    <w:rsid w:val="596560A9"/>
    <w:rsid w:val="596C7119"/>
    <w:rsid w:val="597331FA"/>
    <w:rsid w:val="597A2940"/>
    <w:rsid w:val="59970522"/>
    <w:rsid w:val="59A2437E"/>
    <w:rsid w:val="59A316DD"/>
    <w:rsid w:val="59A35422"/>
    <w:rsid w:val="59AD12BA"/>
    <w:rsid w:val="59AE300A"/>
    <w:rsid w:val="59B14918"/>
    <w:rsid w:val="59B83EF9"/>
    <w:rsid w:val="59BA3AD1"/>
    <w:rsid w:val="59D71BD8"/>
    <w:rsid w:val="59DD1391"/>
    <w:rsid w:val="59F111B9"/>
    <w:rsid w:val="59F842F5"/>
    <w:rsid w:val="59FA7F8D"/>
    <w:rsid w:val="5A0375D2"/>
    <w:rsid w:val="5A062DCA"/>
    <w:rsid w:val="5A0C619B"/>
    <w:rsid w:val="5A27284D"/>
    <w:rsid w:val="5A2D13D3"/>
    <w:rsid w:val="5A637332"/>
    <w:rsid w:val="5A6C2E6E"/>
    <w:rsid w:val="5A753861"/>
    <w:rsid w:val="5A7F1435"/>
    <w:rsid w:val="5A865DBF"/>
    <w:rsid w:val="5AB0049A"/>
    <w:rsid w:val="5ABF77CE"/>
    <w:rsid w:val="5ACE7632"/>
    <w:rsid w:val="5AD3099C"/>
    <w:rsid w:val="5AD76600"/>
    <w:rsid w:val="5AE605F2"/>
    <w:rsid w:val="5AE86380"/>
    <w:rsid w:val="5AFB1B19"/>
    <w:rsid w:val="5B0326DE"/>
    <w:rsid w:val="5B0C72FF"/>
    <w:rsid w:val="5B1423EC"/>
    <w:rsid w:val="5B1E7D8B"/>
    <w:rsid w:val="5B541FAB"/>
    <w:rsid w:val="5B680958"/>
    <w:rsid w:val="5B786889"/>
    <w:rsid w:val="5B7A7F41"/>
    <w:rsid w:val="5B8C000D"/>
    <w:rsid w:val="5B8D4A43"/>
    <w:rsid w:val="5B971227"/>
    <w:rsid w:val="5BA26506"/>
    <w:rsid w:val="5BAC08EC"/>
    <w:rsid w:val="5BB649FC"/>
    <w:rsid w:val="5BBB3836"/>
    <w:rsid w:val="5BBB4BF1"/>
    <w:rsid w:val="5BDA5F23"/>
    <w:rsid w:val="5BE02DDA"/>
    <w:rsid w:val="5BE30FD5"/>
    <w:rsid w:val="5BFC2241"/>
    <w:rsid w:val="5BFE1975"/>
    <w:rsid w:val="5C2F421A"/>
    <w:rsid w:val="5C311D40"/>
    <w:rsid w:val="5C5679F9"/>
    <w:rsid w:val="5C6C071B"/>
    <w:rsid w:val="5C706051"/>
    <w:rsid w:val="5C713309"/>
    <w:rsid w:val="5C76606A"/>
    <w:rsid w:val="5C9D24FC"/>
    <w:rsid w:val="5CA617DA"/>
    <w:rsid w:val="5CA74402"/>
    <w:rsid w:val="5CAC2119"/>
    <w:rsid w:val="5CBF734C"/>
    <w:rsid w:val="5CC1002E"/>
    <w:rsid w:val="5CC14BA7"/>
    <w:rsid w:val="5CCE0639"/>
    <w:rsid w:val="5CD8040E"/>
    <w:rsid w:val="5CF13EAF"/>
    <w:rsid w:val="5CF61109"/>
    <w:rsid w:val="5CF717CB"/>
    <w:rsid w:val="5D431DE2"/>
    <w:rsid w:val="5D4832D2"/>
    <w:rsid w:val="5D4F5A63"/>
    <w:rsid w:val="5D573A29"/>
    <w:rsid w:val="5D5A6197"/>
    <w:rsid w:val="5D5F6439"/>
    <w:rsid w:val="5D615F53"/>
    <w:rsid w:val="5D660231"/>
    <w:rsid w:val="5D796F08"/>
    <w:rsid w:val="5DA43C52"/>
    <w:rsid w:val="5DAC778D"/>
    <w:rsid w:val="5DE30E18"/>
    <w:rsid w:val="5DE64BF9"/>
    <w:rsid w:val="5DED07FA"/>
    <w:rsid w:val="5DEF0AC3"/>
    <w:rsid w:val="5DF5698D"/>
    <w:rsid w:val="5DF84E75"/>
    <w:rsid w:val="5DF9688E"/>
    <w:rsid w:val="5DFE448A"/>
    <w:rsid w:val="5E0E3CBA"/>
    <w:rsid w:val="5E1A1693"/>
    <w:rsid w:val="5E2A5AD0"/>
    <w:rsid w:val="5E2F0A7E"/>
    <w:rsid w:val="5E2F7B9F"/>
    <w:rsid w:val="5E3139F7"/>
    <w:rsid w:val="5E343D6A"/>
    <w:rsid w:val="5E435D5B"/>
    <w:rsid w:val="5E694802"/>
    <w:rsid w:val="5E721E52"/>
    <w:rsid w:val="5E800508"/>
    <w:rsid w:val="5E845069"/>
    <w:rsid w:val="5E856D27"/>
    <w:rsid w:val="5E9461A3"/>
    <w:rsid w:val="5EA20CD3"/>
    <w:rsid w:val="5EB95C0A"/>
    <w:rsid w:val="5EBC227C"/>
    <w:rsid w:val="5ED604D4"/>
    <w:rsid w:val="5EE75AEF"/>
    <w:rsid w:val="5EF23E8C"/>
    <w:rsid w:val="5EF33051"/>
    <w:rsid w:val="5EF61620"/>
    <w:rsid w:val="5EFF4B95"/>
    <w:rsid w:val="5F02607A"/>
    <w:rsid w:val="5F306143"/>
    <w:rsid w:val="5F3735C0"/>
    <w:rsid w:val="5F3A0F0C"/>
    <w:rsid w:val="5F640167"/>
    <w:rsid w:val="5F661D01"/>
    <w:rsid w:val="5F6E5059"/>
    <w:rsid w:val="5F7414B6"/>
    <w:rsid w:val="5F771499"/>
    <w:rsid w:val="5F7F08C1"/>
    <w:rsid w:val="5F88611B"/>
    <w:rsid w:val="5F90475F"/>
    <w:rsid w:val="5F9C3975"/>
    <w:rsid w:val="5FA13927"/>
    <w:rsid w:val="5FB40923"/>
    <w:rsid w:val="5FB54A36"/>
    <w:rsid w:val="5FC92639"/>
    <w:rsid w:val="5FD11073"/>
    <w:rsid w:val="5FDC5726"/>
    <w:rsid w:val="5FDE5D3B"/>
    <w:rsid w:val="5FE178F5"/>
    <w:rsid w:val="5FF67529"/>
    <w:rsid w:val="5FFB4BA2"/>
    <w:rsid w:val="60083B32"/>
    <w:rsid w:val="60144FCB"/>
    <w:rsid w:val="602E035A"/>
    <w:rsid w:val="603040BD"/>
    <w:rsid w:val="60320CB8"/>
    <w:rsid w:val="60386986"/>
    <w:rsid w:val="604B5821"/>
    <w:rsid w:val="60613668"/>
    <w:rsid w:val="60733B2A"/>
    <w:rsid w:val="60764115"/>
    <w:rsid w:val="60765A69"/>
    <w:rsid w:val="607C4290"/>
    <w:rsid w:val="60D46924"/>
    <w:rsid w:val="60ED12AB"/>
    <w:rsid w:val="60FB46CB"/>
    <w:rsid w:val="60FD5033"/>
    <w:rsid w:val="60FF20C6"/>
    <w:rsid w:val="610118B3"/>
    <w:rsid w:val="610174BD"/>
    <w:rsid w:val="610B1530"/>
    <w:rsid w:val="610C4FEC"/>
    <w:rsid w:val="610D0F02"/>
    <w:rsid w:val="61131762"/>
    <w:rsid w:val="611B3251"/>
    <w:rsid w:val="611D0503"/>
    <w:rsid w:val="612F0B86"/>
    <w:rsid w:val="612F7299"/>
    <w:rsid w:val="61362AB4"/>
    <w:rsid w:val="6145491D"/>
    <w:rsid w:val="614A7F3E"/>
    <w:rsid w:val="61534507"/>
    <w:rsid w:val="61590909"/>
    <w:rsid w:val="61A15DCF"/>
    <w:rsid w:val="61A3008B"/>
    <w:rsid w:val="61A742EE"/>
    <w:rsid w:val="61CB5F47"/>
    <w:rsid w:val="61CD6067"/>
    <w:rsid w:val="61D761E1"/>
    <w:rsid w:val="61D87EE2"/>
    <w:rsid w:val="61DF68A3"/>
    <w:rsid w:val="61F15D61"/>
    <w:rsid w:val="61FC19A3"/>
    <w:rsid w:val="623865D6"/>
    <w:rsid w:val="623C7A99"/>
    <w:rsid w:val="623F1F56"/>
    <w:rsid w:val="624A121F"/>
    <w:rsid w:val="62605CC4"/>
    <w:rsid w:val="62657B65"/>
    <w:rsid w:val="626C22B3"/>
    <w:rsid w:val="626F1504"/>
    <w:rsid w:val="627079CF"/>
    <w:rsid w:val="627A1CF5"/>
    <w:rsid w:val="627B3D15"/>
    <w:rsid w:val="627E5186"/>
    <w:rsid w:val="627F5C45"/>
    <w:rsid w:val="628C6DE6"/>
    <w:rsid w:val="62966DA1"/>
    <w:rsid w:val="62A61C5E"/>
    <w:rsid w:val="62A76FEF"/>
    <w:rsid w:val="62B85FC9"/>
    <w:rsid w:val="62CD4741"/>
    <w:rsid w:val="62CD4ACF"/>
    <w:rsid w:val="62D11B41"/>
    <w:rsid w:val="62D31A82"/>
    <w:rsid w:val="62D84C08"/>
    <w:rsid w:val="62EF025F"/>
    <w:rsid w:val="62F92E8C"/>
    <w:rsid w:val="62FE60F3"/>
    <w:rsid w:val="63014699"/>
    <w:rsid w:val="631877B6"/>
    <w:rsid w:val="632E64F9"/>
    <w:rsid w:val="63367D0B"/>
    <w:rsid w:val="633F3793"/>
    <w:rsid w:val="63400ABB"/>
    <w:rsid w:val="63464323"/>
    <w:rsid w:val="634720E1"/>
    <w:rsid w:val="634E31D8"/>
    <w:rsid w:val="635761C2"/>
    <w:rsid w:val="63685355"/>
    <w:rsid w:val="637A5D7B"/>
    <w:rsid w:val="637F7835"/>
    <w:rsid w:val="6382695C"/>
    <w:rsid w:val="63841BAF"/>
    <w:rsid w:val="63AC7EFE"/>
    <w:rsid w:val="63AF4379"/>
    <w:rsid w:val="63B73E27"/>
    <w:rsid w:val="63B93C3E"/>
    <w:rsid w:val="63E87658"/>
    <w:rsid w:val="63EB1E35"/>
    <w:rsid w:val="641D4020"/>
    <w:rsid w:val="642824F8"/>
    <w:rsid w:val="644D5C9A"/>
    <w:rsid w:val="645122BD"/>
    <w:rsid w:val="64567EBC"/>
    <w:rsid w:val="648570CD"/>
    <w:rsid w:val="64AE34B8"/>
    <w:rsid w:val="64D9464F"/>
    <w:rsid w:val="64EE3269"/>
    <w:rsid w:val="64F42AA6"/>
    <w:rsid w:val="650F4BE9"/>
    <w:rsid w:val="65474383"/>
    <w:rsid w:val="654A0FE3"/>
    <w:rsid w:val="657A408B"/>
    <w:rsid w:val="658D6813"/>
    <w:rsid w:val="658F675D"/>
    <w:rsid w:val="659F0F0E"/>
    <w:rsid w:val="65A7609C"/>
    <w:rsid w:val="65D04378"/>
    <w:rsid w:val="65D1623C"/>
    <w:rsid w:val="65D26342"/>
    <w:rsid w:val="65D46DE1"/>
    <w:rsid w:val="65E907BF"/>
    <w:rsid w:val="660E0B3C"/>
    <w:rsid w:val="661113A2"/>
    <w:rsid w:val="662A7F2C"/>
    <w:rsid w:val="66370885"/>
    <w:rsid w:val="663B0217"/>
    <w:rsid w:val="66551CC0"/>
    <w:rsid w:val="665E51D0"/>
    <w:rsid w:val="6695111E"/>
    <w:rsid w:val="669E7BE1"/>
    <w:rsid w:val="66A20CDF"/>
    <w:rsid w:val="66A23598"/>
    <w:rsid w:val="66A82BFF"/>
    <w:rsid w:val="66AC450E"/>
    <w:rsid w:val="66B018F7"/>
    <w:rsid w:val="66B07D06"/>
    <w:rsid w:val="66C72E5C"/>
    <w:rsid w:val="66D47279"/>
    <w:rsid w:val="66F93BB1"/>
    <w:rsid w:val="66FE3F79"/>
    <w:rsid w:val="671B1623"/>
    <w:rsid w:val="671F0CE0"/>
    <w:rsid w:val="673B7301"/>
    <w:rsid w:val="67454FA0"/>
    <w:rsid w:val="67506B1C"/>
    <w:rsid w:val="675D1CF4"/>
    <w:rsid w:val="67701314"/>
    <w:rsid w:val="67790C02"/>
    <w:rsid w:val="677942CC"/>
    <w:rsid w:val="677E346D"/>
    <w:rsid w:val="67833121"/>
    <w:rsid w:val="67855C71"/>
    <w:rsid w:val="67892EB7"/>
    <w:rsid w:val="678A54ED"/>
    <w:rsid w:val="67AD06D9"/>
    <w:rsid w:val="67B42C19"/>
    <w:rsid w:val="67B5244F"/>
    <w:rsid w:val="67D57458"/>
    <w:rsid w:val="67D64D05"/>
    <w:rsid w:val="67F72090"/>
    <w:rsid w:val="67F7778F"/>
    <w:rsid w:val="680152DC"/>
    <w:rsid w:val="681653A0"/>
    <w:rsid w:val="68205C4B"/>
    <w:rsid w:val="683960B6"/>
    <w:rsid w:val="68472357"/>
    <w:rsid w:val="684A03C1"/>
    <w:rsid w:val="684A6702"/>
    <w:rsid w:val="684E5A28"/>
    <w:rsid w:val="68532073"/>
    <w:rsid w:val="68686378"/>
    <w:rsid w:val="6869162C"/>
    <w:rsid w:val="68745D3A"/>
    <w:rsid w:val="687614E3"/>
    <w:rsid w:val="687654E2"/>
    <w:rsid w:val="68934198"/>
    <w:rsid w:val="68A5389A"/>
    <w:rsid w:val="68B31151"/>
    <w:rsid w:val="68C21A8D"/>
    <w:rsid w:val="68C34C0E"/>
    <w:rsid w:val="68C93DEE"/>
    <w:rsid w:val="68D33DA2"/>
    <w:rsid w:val="68F32A36"/>
    <w:rsid w:val="690E6A60"/>
    <w:rsid w:val="69103CC0"/>
    <w:rsid w:val="6945722D"/>
    <w:rsid w:val="694801B8"/>
    <w:rsid w:val="694828EA"/>
    <w:rsid w:val="69505378"/>
    <w:rsid w:val="69525ECE"/>
    <w:rsid w:val="695345E5"/>
    <w:rsid w:val="695C402C"/>
    <w:rsid w:val="695D442F"/>
    <w:rsid w:val="695E6518"/>
    <w:rsid w:val="69631CF0"/>
    <w:rsid w:val="696A5E98"/>
    <w:rsid w:val="6973345A"/>
    <w:rsid w:val="6996316A"/>
    <w:rsid w:val="69A452B9"/>
    <w:rsid w:val="69AC084A"/>
    <w:rsid w:val="69AF257A"/>
    <w:rsid w:val="69B53AF5"/>
    <w:rsid w:val="69BB6DFE"/>
    <w:rsid w:val="69C97A5C"/>
    <w:rsid w:val="69CF4094"/>
    <w:rsid w:val="69DB620B"/>
    <w:rsid w:val="69F00EEE"/>
    <w:rsid w:val="6A01576D"/>
    <w:rsid w:val="6A0F1450"/>
    <w:rsid w:val="6A161EDA"/>
    <w:rsid w:val="6A4A0B23"/>
    <w:rsid w:val="6A51139D"/>
    <w:rsid w:val="6A624A55"/>
    <w:rsid w:val="6A723C50"/>
    <w:rsid w:val="6A791E9B"/>
    <w:rsid w:val="6A7A5E3F"/>
    <w:rsid w:val="6A8C3C41"/>
    <w:rsid w:val="6A9753AA"/>
    <w:rsid w:val="6A975464"/>
    <w:rsid w:val="6AA10977"/>
    <w:rsid w:val="6ACA518F"/>
    <w:rsid w:val="6ACE6840"/>
    <w:rsid w:val="6ADB4304"/>
    <w:rsid w:val="6ADF7078"/>
    <w:rsid w:val="6AE71868"/>
    <w:rsid w:val="6AFE79A3"/>
    <w:rsid w:val="6B1C2FE7"/>
    <w:rsid w:val="6B2211FE"/>
    <w:rsid w:val="6B2554DD"/>
    <w:rsid w:val="6B3334B8"/>
    <w:rsid w:val="6B4F0DE3"/>
    <w:rsid w:val="6B6218F8"/>
    <w:rsid w:val="6B630372"/>
    <w:rsid w:val="6B713F07"/>
    <w:rsid w:val="6B7E0D8A"/>
    <w:rsid w:val="6B7E373D"/>
    <w:rsid w:val="6B812B87"/>
    <w:rsid w:val="6B856C4B"/>
    <w:rsid w:val="6B8C6927"/>
    <w:rsid w:val="6B907AE2"/>
    <w:rsid w:val="6B9104A1"/>
    <w:rsid w:val="6B9A5C0B"/>
    <w:rsid w:val="6BA2704E"/>
    <w:rsid w:val="6BAF1AC6"/>
    <w:rsid w:val="6BAF72DF"/>
    <w:rsid w:val="6BB43DF4"/>
    <w:rsid w:val="6BBB225F"/>
    <w:rsid w:val="6BBB5183"/>
    <w:rsid w:val="6BD4628C"/>
    <w:rsid w:val="6BD64CD4"/>
    <w:rsid w:val="6BE115E4"/>
    <w:rsid w:val="6BE403B1"/>
    <w:rsid w:val="6BE96C59"/>
    <w:rsid w:val="6BF901A3"/>
    <w:rsid w:val="6C016BE7"/>
    <w:rsid w:val="6C046B2A"/>
    <w:rsid w:val="6C062079"/>
    <w:rsid w:val="6C094F8C"/>
    <w:rsid w:val="6C1479C3"/>
    <w:rsid w:val="6C210C80"/>
    <w:rsid w:val="6C307382"/>
    <w:rsid w:val="6C3C59B4"/>
    <w:rsid w:val="6C462123"/>
    <w:rsid w:val="6C4B7382"/>
    <w:rsid w:val="6C5E57D7"/>
    <w:rsid w:val="6C711C63"/>
    <w:rsid w:val="6C733740"/>
    <w:rsid w:val="6C7644AC"/>
    <w:rsid w:val="6C7672FB"/>
    <w:rsid w:val="6C77379F"/>
    <w:rsid w:val="6C7A6DEC"/>
    <w:rsid w:val="6C7D7906"/>
    <w:rsid w:val="6CC30793"/>
    <w:rsid w:val="6CCE1D60"/>
    <w:rsid w:val="6CD83D06"/>
    <w:rsid w:val="6CE51FC7"/>
    <w:rsid w:val="6CFB3E99"/>
    <w:rsid w:val="6D1E76F1"/>
    <w:rsid w:val="6D1E77A1"/>
    <w:rsid w:val="6D2A1BFB"/>
    <w:rsid w:val="6D3F3B91"/>
    <w:rsid w:val="6D420487"/>
    <w:rsid w:val="6D485EE6"/>
    <w:rsid w:val="6D4E0151"/>
    <w:rsid w:val="6D4E3290"/>
    <w:rsid w:val="6D5533B5"/>
    <w:rsid w:val="6D627991"/>
    <w:rsid w:val="6D7E7E06"/>
    <w:rsid w:val="6D7F4034"/>
    <w:rsid w:val="6D8039AA"/>
    <w:rsid w:val="6D846649"/>
    <w:rsid w:val="6D8A2581"/>
    <w:rsid w:val="6D926CA4"/>
    <w:rsid w:val="6DAA420E"/>
    <w:rsid w:val="6DAD31F1"/>
    <w:rsid w:val="6DAF0B3A"/>
    <w:rsid w:val="6DB237CA"/>
    <w:rsid w:val="6DC55C52"/>
    <w:rsid w:val="6DD51448"/>
    <w:rsid w:val="6DDD25B6"/>
    <w:rsid w:val="6DDD5ACA"/>
    <w:rsid w:val="6DE30DA6"/>
    <w:rsid w:val="6DF52AC3"/>
    <w:rsid w:val="6E0230A7"/>
    <w:rsid w:val="6E292FB7"/>
    <w:rsid w:val="6E2C2368"/>
    <w:rsid w:val="6E2E319F"/>
    <w:rsid w:val="6E444E68"/>
    <w:rsid w:val="6E4C130B"/>
    <w:rsid w:val="6E7855AD"/>
    <w:rsid w:val="6E917DBE"/>
    <w:rsid w:val="6EA02651"/>
    <w:rsid w:val="6EA052C5"/>
    <w:rsid w:val="6EC063AA"/>
    <w:rsid w:val="6EEA1B56"/>
    <w:rsid w:val="6EEE1E0F"/>
    <w:rsid w:val="6EF81186"/>
    <w:rsid w:val="6F053454"/>
    <w:rsid w:val="6F0E1C82"/>
    <w:rsid w:val="6F105EF0"/>
    <w:rsid w:val="6F201C6B"/>
    <w:rsid w:val="6F261602"/>
    <w:rsid w:val="6F593684"/>
    <w:rsid w:val="6F5A01FA"/>
    <w:rsid w:val="6F6262EB"/>
    <w:rsid w:val="6F683873"/>
    <w:rsid w:val="6F685021"/>
    <w:rsid w:val="6F7440CB"/>
    <w:rsid w:val="6F8D038F"/>
    <w:rsid w:val="6F960C48"/>
    <w:rsid w:val="6F9D10F4"/>
    <w:rsid w:val="6FA6715A"/>
    <w:rsid w:val="6FAB1D81"/>
    <w:rsid w:val="6FB1521A"/>
    <w:rsid w:val="6FB26754"/>
    <w:rsid w:val="6FE57C29"/>
    <w:rsid w:val="6FEB11AB"/>
    <w:rsid w:val="6FF93C10"/>
    <w:rsid w:val="70053342"/>
    <w:rsid w:val="703674CE"/>
    <w:rsid w:val="7053403D"/>
    <w:rsid w:val="70A42995"/>
    <w:rsid w:val="70AE3AC0"/>
    <w:rsid w:val="70B07717"/>
    <w:rsid w:val="70B72EC9"/>
    <w:rsid w:val="70C444BE"/>
    <w:rsid w:val="70C60851"/>
    <w:rsid w:val="70CE7706"/>
    <w:rsid w:val="70E61A3D"/>
    <w:rsid w:val="710A1AE5"/>
    <w:rsid w:val="711421C6"/>
    <w:rsid w:val="7118753E"/>
    <w:rsid w:val="71443910"/>
    <w:rsid w:val="714A0E7A"/>
    <w:rsid w:val="715847AD"/>
    <w:rsid w:val="715C79EC"/>
    <w:rsid w:val="71644941"/>
    <w:rsid w:val="716E75C4"/>
    <w:rsid w:val="71731ED7"/>
    <w:rsid w:val="718C19D4"/>
    <w:rsid w:val="71A14C62"/>
    <w:rsid w:val="71A32934"/>
    <w:rsid w:val="71A75AF9"/>
    <w:rsid w:val="71BE6085"/>
    <w:rsid w:val="71D208D7"/>
    <w:rsid w:val="71E77274"/>
    <w:rsid w:val="71F6775C"/>
    <w:rsid w:val="71FC3485"/>
    <w:rsid w:val="721219C2"/>
    <w:rsid w:val="723D24B4"/>
    <w:rsid w:val="724A74E8"/>
    <w:rsid w:val="725606E7"/>
    <w:rsid w:val="72574F7D"/>
    <w:rsid w:val="7265409A"/>
    <w:rsid w:val="726B51D8"/>
    <w:rsid w:val="726C4461"/>
    <w:rsid w:val="727F313D"/>
    <w:rsid w:val="728A3B01"/>
    <w:rsid w:val="729B368C"/>
    <w:rsid w:val="72A40CFA"/>
    <w:rsid w:val="72B21C5A"/>
    <w:rsid w:val="72BF687D"/>
    <w:rsid w:val="72FD08D8"/>
    <w:rsid w:val="730712E2"/>
    <w:rsid w:val="73075151"/>
    <w:rsid w:val="730F6A20"/>
    <w:rsid w:val="73141347"/>
    <w:rsid w:val="731614FD"/>
    <w:rsid w:val="73176073"/>
    <w:rsid w:val="732775A1"/>
    <w:rsid w:val="732E14E0"/>
    <w:rsid w:val="73380ED7"/>
    <w:rsid w:val="735617EC"/>
    <w:rsid w:val="73561F51"/>
    <w:rsid w:val="737D356B"/>
    <w:rsid w:val="73864BC0"/>
    <w:rsid w:val="738B18DE"/>
    <w:rsid w:val="739C1D3D"/>
    <w:rsid w:val="73A67D7F"/>
    <w:rsid w:val="73A93422"/>
    <w:rsid w:val="73B638BD"/>
    <w:rsid w:val="73BB389C"/>
    <w:rsid w:val="73BF2499"/>
    <w:rsid w:val="73D2559E"/>
    <w:rsid w:val="73F00D4E"/>
    <w:rsid w:val="7400407A"/>
    <w:rsid w:val="74040A83"/>
    <w:rsid w:val="74062344"/>
    <w:rsid w:val="740718AD"/>
    <w:rsid w:val="740F250F"/>
    <w:rsid w:val="741E1971"/>
    <w:rsid w:val="74245D14"/>
    <w:rsid w:val="74775D4B"/>
    <w:rsid w:val="747D1049"/>
    <w:rsid w:val="748A495D"/>
    <w:rsid w:val="74940C67"/>
    <w:rsid w:val="74C339B6"/>
    <w:rsid w:val="74F13183"/>
    <w:rsid w:val="74F8025A"/>
    <w:rsid w:val="74FA7F6B"/>
    <w:rsid w:val="74FC2AFB"/>
    <w:rsid w:val="754B2309"/>
    <w:rsid w:val="75530B22"/>
    <w:rsid w:val="75551655"/>
    <w:rsid w:val="75622B13"/>
    <w:rsid w:val="7562687E"/>
    <w:rsid w:val="757646BF"/>
    <w:rsid w:val="757A48AD"/>
    <w:rsid w:val="759F231F"/>
    <w:rsid w:val="75B95F1C"/>
    <w:rsid w:val="75C7261F"/>
    <w:rsid w:val="75CD24A3"/>
    <w:rsid w:val="75CE6F8A"/>
    <w:rsid w:val="75E850B3"/>
    <w:rsid w:val="75F50665"/>
    <w:rsid w:val="75F56757"/>
    <w:rsid w:val="75F92214"/>
    <w:rsid w:val="75FB7F8A"/>
    <w:rsid w:val="75FF7897"/>
    <w:rsid w:val="761424FF"/>
    <w:rsid w:val="76167BE8"/>
    <w:rsid w:val="76331F22"/>
    <w:rsid w:val="763B13F0"/>
    <w:rsid w:val="763C1868"/>
    <w:rsid w:val="763F3251"/>
    <w:rsid w:val="764A3CD3"/>
    <w:rsid w:val="76632896"/>
    <w:rsid w:val="76694AED"/>
    <w:rsid w:val="76850C12"/>
    <w:rsid w:val="7685693A"/>
    <w:rsid w:val="768B79D3"/>
    <w:rsid w:val="76921A98"/>
    <w:rsid w:val="76996F90"/>
    <w:rsid w:val="769F47F3"/>
    <w:rsid w:val="76A12CA1"/>
    <w:rsid w:val="76A56179"/>
    <w:rsid w:val="76BE169D"/>
    <w:rsid w:val="76C53359"/>
    <w:rsid w:val="76CC3384"/>
    <w:rsid w:val="76EF0E40"/>
    <w:rsid w:val="76F24D52"/>
    <w:rsid w:val="76FB6517"/>
    <w:rsid w:val="7703210C"/>
    <w:rsid w:val="770543ED"/>
    <w:rsid w:val="770F740A"/>
    <w:rsid w:val="7711659E"/>
    <w:rsid w:val="773B66E7"/>
    <w:rsid w:val="774E1CF1"/>
    <w:rsid w:val="776D6042"/>
    <w:rsid w:val="77764653"/>
    <w:rsid w:val="778025B6"/>
    <w:rsid w:val="778A2EE1"/>
    <w:rsid w:val="779233CF"/>
    <w:rsid w:val="77960A43"/>
    <w:rsid w:val="779F0738"/>
    <w:rsid w:val="77A5566A"/>
    <w:rsid w:val="77A94533"/>
    <w:rsid w:val="77BC7208"/>
    <w:rsid w:val="77C05AB5"/>
    <w:rsid w:val="77C27899"/>
    <w:rsid w:val="77C27DCC"/>
    <w:rsid w:val="77C35AEB"/>
    <w:rsid w:val="77D17600"/>
    <w:rsid w:val="77D74816"/>
    <w:rsid w:val="77E045AC"/>
    <w:rsid w:val="77E21C3E"/>
    <w:rsid w:val="77E75ED1"/>
    <w:rsid w:val="77EB5041"/>
    <w:rsid w:val="77F535AA"/>
    <w:rsid w:val="78044C17"/>
    <w:rsid w:val="780D38A1"/>
    <w:rsid w:val="7812577F"/>
    <w:rsid w:val="781A596F"/>
    <w:rsid w:val="781A63B0"/>
    <w:rsid w:val="78411F00"/>
    <w:rsid w:val="7842483E"/>
    <w:rsid w:val="788317E7"/>
    <w:rsid w:val="7883746C"/>
    <w:rsid w:val="78880AE2"/>
    <w:rsid w:val="788C08B5"/>
    <w:rsid w:val="78987FDC"/>
    <w:rsid w:val="789A33D6"/>
    <w:rsid w:val="78AE74F5"/>
    <w:rsid w:val="78B03211"/>
    <w:rsid w:val="78BB2D92"/>
    <w:rsid w:val="78D74841"/>
    <w:rsid w:val="78FE545A"/>
    <w:rsid w:val="79083FE2"/>
    <w:rsid w:val="79225B64"/>
    <w:rsid w:val="792627D5"/>
    <w:rsid w:val="7938758D"/>
    <w:rsid w:val="79465750"/>
    <w:rsid w:val="794B223C"/>
    <w:rsid w:val="7960222F"/>
    <w:rsid w:val="79670781"/>
    <w:rsid w:val="796B01E8"/>
    <w:rsid w:val="796C3F60"/>
    <w:rsid w:val="79773031"/>
    <w:rsid w:val="797F5E03"/>
    <w:rsid w:val="798B6566"/>
    <w:rsid w:val="79A41C5A"/>
    <w:rsid w:val="79B14AB7"/>
    <w:rsid w:val="79BA6732"/>
    <w:rsid w:val="79EF1FBF"/>
    <w:rsid w:val="79FD01B8"/>
    <w:rsid w:val="7A05569F"/>
    <w:rsid w:val="7A0A5C53"/>
    <w:rsid w:val="7A1B2F1B"/>
    <w:rsid w:val="7A1D1EBD"/>
    <w:rsid w:val="7A204091"/>
    <w:rsid w:val="7A2605B3"/>
    <w:rsid w:val="7A2C45AF"/>
    <w:rsid w:val="7A2D5520"/>
    <w:rsid w:val="7A2E0AD8"/>
    <w:rsid w:val="7A4237D3"/>
    <w:rsid w:val="7A6315A0"/>
    <w:rsid w:val="7A6D4434"/>
    <w:rsid w:val="7A873778"/>
    <w:rsid w:val="7AA3150F"/>
    <w:rsid w:val="7AAE41BF"/>
    <w:rsid w:val="7AB220FA"/>
    <w:rsid w:val="7AC67F38"/>
    <w:rsid w:val="7AD47F1E"/>
    <w:rsid w:val="7AE53FCA"/>
    <w:rsid w:val="7AF27928"/>
    <w:rsid w:val="7AF90AD9"/>
    <w:rsid w:val="7B087093"/>
    <w:rsid w:val="7B134404"/>
    <w:rsid w:val="7B2C6843"/>
    <w:rsid w:val="7B3029F6"/>
    <w:rsid w:val="7B332F87"/>
    <w:rsid w:val="7B437EEA"/>
    <w:rsid w:val="7B641A98"/>
    <w:rsid w:val="7B6B3D3D"/>
    <w:rsid w:val="7B887333"/>
    <w:rsid w:val="7B8C10D2"/>
    <w:rsid w:val="7B8E6410"/>
    <w:rsid w:val="7B941E72"/>
    <w:rsid w:val="7BA920DC"/>
    <w:rsid w:val="7BA92C05"/>
    <w:rsid w:val="7BAE4529"/>
    <w:rsid w:val="7BB340C8"/>
    <w:rsid w:val="7BB8535B"/>
    <w:rsid w:val="7BC906AC"/>
    <w:rsid w:val="7BCD4704"/>
    <w:rsid w:val="7BD60ADD"/>
    <w:rsid w:val="7BFB0AB9"/>
    <w:rsid w:val="7BFE1AAA"/>
    <w:rsid w:val="7C041B9A"/>
    <w:rsid w:val="7C061802"/>
    <w:rsid w:val="7C217DB0"/>
    <w:rsid w:val="7C611D76"/>
    <w:rsid w:val="7C725072"/>
    <w:rsid w:val="7C8408F0"/>
    <w:rsid w:val="7C965D27"/>
    <w:rsid w:val="7CDA6AB9"/>
    <w:rsid w:val="7CE71B72"/>
    <w:rsid w:val="7D121BE5"/>
    <w:rsid w:val="7D197D15"/>
    <w:rsid w:val="7D36553F"/>
    <w:rsid w:val="7D722BC4"/>
    <w:rsid w:val="7D9C5C5D"/>
    <w:rsid w:val="7DBC5EB4"/>
    <w:rsid w:val="7DBF4DA1"/>
    <w:rsid w:val="7DC2797F"/>
    <w:rsid w:val="7DCA2194"/>
    <w:rsid w:val="7DD00937"/>
    <w:rsid w:val="7DD215C6"/>
    <w:rsid w:val="7DE27D74"/>
    <w:rsid w:val="7E0262D6"/>
    <w:rsid w:val="7E096221"/>
    <w:rsid w:val="7E0C0B88"/>
    <w:rsid w:val="7E1B5FCB"/>
    <w:rsid w:val="7E2C5292"/>
    <w:rsid w:val="7E386B07"/>
    <w:rsid w:val="7E3C65F7"/>
    <w:rsid w:val="7E404EB7"/>
    <w:rsid w:val="7E584AB3"/>
    <w:rsid w:val="7E5F7BFD"/>
    <w:rsid w:val="7E622847"/>
    <w:rsid w:val="7E9A331D"/>
    <w:rsid w:val="7E9C4542"/>
    <w:rsid w:val="7EC17B15"/>
    <w:rsid w:val="7EC3068C"/>
    <w:rsid w:val="7ECB6D5B"/>
    <w:rsid w:val="7EF93525"/>
    <w:rsid w:val="7F141322"/>
    <w:rsid w:val="7F166E48"/>
    <w:rsid w:val="7F1700EC"/>
    <w:rsid w:val="7F1A66DC"/>
    <w:rsid w:val="7F1F4446"/>
    <w:rsid w:val="7F30040D"/>
    <w:rsid w:val="7F343772"/>
    <w:rsid w:val="7F484C05"/>
    <w:rsid w:val="7F527E43"/>
    <w:rsid w:val="7F5A38D6"/>
    <w:rsid w:val="7F8A6261"/>
    <w:rsid w:val="7F8B4E7E"/>
    <w:rsid w:val="7F8C0EB8"/>
    <w:rsid w:val="7FBB147E"/>
    <w:rsid w:val="7FDE223B"/>
    <w:rsid w:val="7FFA3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97"/>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5"/>
    <w:link w:val="114"/>
    <w:qFormat/>
    <w:uiPriority w:val="0"/>
    <w:pPr>
      <w:keepNext/>
      <w:keepLines/>
      <w:spacing w:before="120" w:after="120"/>
      <w:jc w:val="left"/>
      <w:outlineLvl w:val="1"/>
    </w:pPr>
    <w:rPr>
      <w:rFonts w:ascii="宋体" w:hAnsi="宋体"/>
      <w:b/>
      <w:bCs/>
      <w:sz w:val="28"/>
      <w:szCs w:val="28"/>
    </w:rPr>
  </w:style>
  <w:style w:type="paragraph" w:styleId="6">
    <w:name w:val="heading 3"/>
    <w:basedOn w:val="1"/>
    <w:next w:val="1"/>
    <w:link w:val="75"/>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108"/>
    <w:unhideWhenUsed/>
    <w:qFormat/>
    <w:uiPriority w:val="0"/>
    <w:pPr>
      <w:keepNext/>
      <w:keepLines/>
      <w:spacing w:before="120" w:after="120"/>
      <w:outlineLvl w:val="3"/>
    </w:pPr>
    <w:rPr>
      <w:rFonts w:ascii="Cambria" w:hAnsi="Cambria" w:eastAsia="华文细黑"/>
      <w:b/>
      <w:sz w:val="28"/>
      <w:szCs w:val="20"/>
    </w:rPr>
  </w:style>
  <w:style w:type="paragraph" w:styleId="8">
    <w:name w:val="heading 5"/>
    <w:basedOn w:val="1"/>
    <w:next w:val="1"/>
    <w:link w:val="74"/>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76"/>
    <w:qFormat/>
    <w:uiPriority w:val="0"/>
    <w:pPr>
      <w:keepNext/>
      <w:keepLines/>
      <w:spacing w:before="240" w:after="64" w:line="317" w:lineRule="auto"/>
      <w:outlineLvl w:val="5"/>
    </w:pPr>
    <w:rPr>
      <w:rFonts w:ascii="Cambria" w:hAnsi="Cambria"/>
      <w:b/>
      <w:bCs/>
      <w:sz w:val="24"/>
      <w:szCs w:val="24"/>
    </w:rPr>
  </w:style>
  <w:style w:type="paragraph" w:styleId="10">
    <w:name w:val="heading 7"/>
    <w:basedOn w:val="1"/>
    <w:next w:val="1"/>
    <w:link w:val="77"/>
    <w:qFormat/>
    <w:uiPriority w:val="0"/>
    <w:pPr>
      <w:keepNext/>
      <w:keepLines/>
      <w:spacing w:before="240" w:after="64" w:line="317" w:lineRule="auto"/>
      <w:outlineLvl w:val="6"/>
    </w:pPr>
    <w:rPr>
      <w:b/>
      <w:bCs/>
      <w:sz w:val="24"/>
      <w:szCs w:val="24"/>
    </w:rPr>
  </w:style>
  <w:style w:type="paragraph" w:styleId="11">
    <w:name w:val="heading 8"/>
    <w:basedOn w:val="1"/>
    <w:next w:val="1"/>
    <w:link w:val="78"/>
    <w:qFormat/>
    <w:uiPriority w:val="0"/>
    <w:pPr>
      <w:keepNext/>
      <w:keepLines/>
      <w:spacing w:before="240" w:after="64" w:line="317" w:lineRule="auto"/>
      <w:outlineLvl w:val="7"/>
    </w:pPr>
    <w:rPr>
      <w:rFonts w:ascii="Cambria" w:hAnsi="Cambria"/>
      <w:sz w:val="24"/>
      <w:szCs w:val="24"/>
    </w:rPr>
  </w:style>
  <w:style w:type="paragraph" w:styleId="12">
    <w:name w:val="heading 9"/>
    <w:basedOn w:val="1"/>
    <w:next w:val="1"/>
    <w:link w:val="79"/>
    <w:qFormat/>
    <w:uiPriority w:val="0"/>
    <w:pPr>
      <w:keepNext/>
      <w:keepLines/>
      <w:spacing w:before="240" w:after="64" w:line="317" w:lineRule="auto"/>
      <w:outlineLvl w:val="8"/>
    </w:pPr>
    <w:rPr>
      <w:rFonts w:ascii="Cambria" w:hAnsi="Cambri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Index4"/>
    <w:basedOn w:val="1"/>
    <w:next w:val="1"/>
    <w:qFormat/>
    <w:uiPriority w:val="0"/>
    <w:pPr>
      <w:ind w:left="600" w:leftChars="600"/>
    </w:pPr>
  </w:style>
  <w:style w:type="paragraph" w:styleId="5">
    <w:name w:val="Normal Indent"/>
    <w:basedOn w:val="1"/>
    <w:link w:val="58"/>
    <w:qFormat/>
    <w:uiPriority w:val="0"/>
    <w:pPr>
      <w:ind w:firstLine="420"/>
    </w:pPr>
  </w:style>
  <w:style w:type="paragraph" w:styleId="13">
    <w:name w:val="toc 7"/>
    <w:basedOn w:val="1"/>
    <w:next w:val="1"/>
    <w:qFormat/>
    <w:uiPriority w:val="0"/>
    <w:pPr>
      <w:ind w:left="2520" w:leftChars="1200"/>
    </w:pPr>
    <w:rPr>
      <w:szCs w:val="22"/>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80"/>
    <w:qFormat/>
    <w:uiPriority w:val="0"/>
    <w:pPr>
      <w:widowControl/>
      <w:shd w:val="clear" w:color="auto" w:fill="000080"/>
      <w:jc w:val="left"/>
    </w:pPr>
    <w:rPr>
      <w:rFonts w:ascii="Times New Roman" w:hAnsi="Times New Roman"/>
      <w:kern w:val="0"/>
      <w:sz w:val="20"/>
      <w:szCs w:val="20"/>
    </w:rPr>
  </w:style>
  <w:style w:type="paragraph" w:styleId="16">
    <w:name w:val="annotation text"/>
    <w:basedOn w:val="1"/>
    <w:link w:val="121"/>
    <w:qFormat/>
    <w:uiPriority w:val="0"/>
    <w:pPr>
      <w:jc w:val="left"/>
    </w:pPr>
    <w:rPr>
      <w:rFonts w:ascii="Times New Roman" w:hAnsi="Times New Roman"/>
    </w:rPr>
  </w:style>
  <w:style w:type="paragraph" w:styleId="17">
    <w:name w:val="Body Text"/>
    <w:basedOn w:val="1"/>
    <w:next w:val="1"/>
    <w:link w:val="106"/>
    <w:qFormat/>
    <w:uiPriority w:val="0"/>
    <w:rPr>
      <w:rFonts w:ascii="楷体_GB2312" w:hAnsi="Arial"/>
      <w:sz w:val="28"/>
      <w:szCs w:val="28"/>
    </w:rPr>
  </w:style>
  <w:style w:type="paragraph" w:styleId="18">
    <w:name w:val="Body Text Indent"/>
    <w:basedOn w:val="1"/>
    <w:qFormat/>
    <w:uiPriority w:val="0"/>
    <w:pPr>
      <w:spacing w:line="300" w:lineRule="exact"/>
      <w:jc w:val="center"/>
    </w:pPr>
    <w:rPr>
      <w:rFonts w:ascii="宋体" w:hAnsi="宋体"/>
      <w:kern w:val="0"/>
    </w:rPr>
  </w:style>
  <w:style w:type="paragraph" w:styleId="19">
    <w:name w:val="index 4"/>
    <w:basedOn w:val="1"/>
    <w:next w:val="1"/>
    <w:qFormat/>
    <w:uiPriority w:val="0"/>
    <w:pPr>
      <w:ind w:left="1260"/>
    </w:pPr>
  </w:style>
  <w:style w:type="paragraph" w:styleId="20">
    <w:name w:val="toc 5"/>
    <w:basedOn w:val="1"/>
    <w:next w:val="1"/>
    <w:qFormat/>
    <w:uiPriority w:val="0"/>
    <w:pPr>
      <w:tabs>
        <w:tab w:val="right" w:leader="dot" w:pos="8296"/>
      </w:tabs>
      <w:ind w:left="1050" w:leftChars="500"/>
    </w:pPr>
    <w:rPr>
      <w:szCs w:val="22"/>
    </w:rPr>
  </w:style>
  <w:style w:type="paragraph" w:styleId="21">
    <w:name w:val="toc 3"/>
    <w:basedOn w:val="1"/>
    <w:next w:val="1"/>
    <w:qFormat/>
    <w:uiPriority w:val="0"/>
    <w:pPr>
      <w:ind w:left="840" w:leftChars="400"/>
    </w:pPr>
    <w:rPr>
      <w:szCs w:val="22"/>
    </w:rPr>
  </w:style>
  <w:style w:type="paragraph" w:styleId="22">
    <w:name w:val="Plain Text"/>
    <w:basedOn w:val="1"/>
    <w:link w:val="72"/>
    <w:qFormat/>
    <w:uiPriority w:val="0"/>
    <w:rPr>
      <w:rFonts w:ascii="宋体" w:hAnsi="Courier New"/>
      <w:szCs w:val="20"/>
    </w:rPr>
  </w:style>
  <w:style w:type="paragraph" w:styleId="23">
    <w:name w:val="toc 8"/>
    <w:basedOn w:val="1"/>
    <w:next w:val="1"/>
    <w:qFormat/>
    <w:uiPriority w:val="0"/>
    <w:pPr>
      <w:ind w:left="2940" w:leftChars="1400"/>
    </w:pPr>
    <w:rPr>
      <w:szCs w:val="22"/>
    </w:rPr>
  </w:style>
  <w:style w:type="paragraph" w:styleId="24">
    <w:name w:val="Date"/>
    <w:basedOn w:val="1"/>
    <w:next w:val="1"/>
    <w:link w:val="82"/>
    <w:qFormat/>
    <w:uiPriority w:val="0"/>
    <w:rPr>
      <w:rFonts w:ascii="宋体" w:hAnsi="Times New Roman"/>
      <w:szCs w:val="20"/>
    </w:rPr>
  </w:style>
  <w:style w:type="paragraph" w:styleId="25">
    <w:name w:val="Body Text Indent 2"/>
    <w:basedOn w:val="1"/>
    <w:link w:val="83"/>
    <w:qFormat/>
    <w:uiPriority w:val="0"/>
    <w:pPr>
      <w:widowControl/>
      <w:tabs>
        <w:tab w:val="left" w:pos="0"/>
        <w:tab w:val="left" w:pos="993"/>
        <w:tab w:val="left" w:pos="1134"/>
      </w:tabs>
      <w:spacing w:line="500" w:lineRule="exact"/>
      <w:ind w:firstLine="851"/>
    </w:pPr>
    <w:rPr>
      <w:rFonts w:ascii="楷体_GB2312" w:hAnsi="Times New Roman" w:eastAsia="楷体_GB2312"/>
      <w:b/>
      <w:spacing w:val="-24"/>
      <w:kern w:val="0"/>
      <w:sz w:val="28"/>
      <w:szCs w:val="20"/>
    </w:rPr>
  </w:style>
  <w:style w:type="paragraph" w:styleId="26">
    <w:name w:val="Balloon Text"/>
    <w:basedOn w:val="1"/>
    <w:link w:val="63"/>
    <w:qFormat/>
    <w:uiPriority w:val="0"/>
    <w:rPr>
      <w:sz w:val="18"/>
      <w:szCs w:val="18"/>
    </w:rPr>
  </w:style>
  <w:style w:type="paragraph" w:styleId="27">
    <w:name w:val="footer"/>
    <w:basedOn w:val="1"/>
    <w:link w:val="59"/>
    <w:qFormat/>
    <w:uiPriority w:val="0"/>
    <w:pPr>
      <w:tabs>
        <w:tab w:val="center" w:pos="4153"/>
        <w:tab w:val="right" w:pos="8306"/>
      </w:tabs>
      <w:snapToGrid w:val="0"/>
      <w:jc w:val="left"/>
    </w:pPr>
    <w:rPr>
      <w:sz w:val="18"/>
      <w:szCs w:val="18"/>
    </w:rPr>
  </w:style>
  <w:style w:type="paragraph" w:styleId="28">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30">
    <w:name w:val="toc 4"/>
    <w:basedOn w:val="1"/>
    <w:next w:val="1"/>
    <w:qFormat/>
    <w:uiPriority w:val="0"/>
    <w:pPr>
      <w:tabs>
        <w:tab w:val="left" w:pos="1890"/>
        <w:tab w:val="right" w:leader="dot" w:pos="8296"/>
      </w:tabs>
      <w:ind w:left="630" w:leftChars="300"/>
    </w:pPr>
    <w:rPr>
      <w:szCs w:val="22"/>
    </w:rPr>
  </w:style>
  <w:style w:type="paragraph" w:styleId="31">
    <w:name w:val="Subtitle"/>
    <w:basedOn w:val="1"/>
    <w:next w:val="1"/>
    <w:link w:val="117"/>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unhideWhenUsed/>
    <w:qFormat/>
    <w:uiPriority w:val="0"/>
    <w:pPr>
      <w:spacing w:after="40"/>
    </w:pPr>
    <w:rPr>
      <w:sz w:val="18"/>
    </w:rPr>
  </w:style>
  <w:style w:type="paragraph" w:styleId="33">
    <w:name w:val="toc 6"/>
    <w:basedOn w:val="1"/>
    <w:next w:val="1"/>
    <w:qFormat/>
    <w:uiPriority w:val="0"/>
    <w:pPr>
      <w:ind w:left="2100" w:leftChars="1000"/>
    </w:pPr>
    <w:rPr>
      <w:szCs w:val="22"/>
    </w:rPr>
  </w:style>
  <w:style w:type="paragraph" w:styleId="34">
    <w:name w:val="Body Text Indent 3"/>
    <w:basedOn w:val="1"/>
    <w:link w:val="81"/>
    <w:qFormat/>
    <w:uiPriority w:val="0"/>
    <w:pPr>
      <w:widowControl/>
      <w:tabs>
        <w:tab w:val="left" w:pos="0"/>
        <w:tab w:val="left" w:pos="1134"/>
      </w:tabs>
      <w:adjustRightInd w:val="0"/>
      <w:snapToGrid w:val="0"/>
      <w:spacing w:line="360" w:lineRule="auto"/>
      <w:ind w:left="567"/>
      <w:jc w:val="left"/>
    </w:pPr>
    <w:rPr>
      <w:rFonts w:ascii="仿宋_GB2312" w:hAnsi="Times New Roman" w:eastAsia="仿宋_GB2312"/>
      <w:kern w:val="0"/>
      <w:sz w:val="28"/>
      <w:szCs w:val="20"/>
    </w:rPr>
  </w:style>
  <w:style w:type="paragraph" w:styleId="35">
    <w:name w:val="toc 2"/>
    <w:basedOn w:val="1"/>
    <w:next w:val="1"/>
    <w:qFormat/>
    <w:uiPriority w:val="0"/>
    <w:pPr>
      <w:ind w:left="420" w:leftChars="200"/>
    </w:pPr>
    <w:rPr>
      <w:rFonts w:ascii="宋体" w:hAnsi="Times New Roman"/>
      <w:b/>
      <w:sz w:val="28"/>
      <w:szCs w:val="20"/>
    </w:rPr>
  </w:style>
  <w:style w:type="paragraph" w:styleId="36">
    <w:name w:val="toc 9"/>
    <w:basedOn w:val="1"/>
    <w:next w:val="1"/>
    <w:qFormat/>
    <w:uiPriority w:val="0"/>
    <w:pPr>
      <w:ind w:left="3360" w:leftChars="1600"/>
    </w:pPr>
    <w:rPr>
      <w:szCs w:val="22"/>
    </w:rPr>
  </w:style>
  <w:style w:type="paragraph" w:styleId="37">
    <w:name w:val="Body Text 2"/>
    <w:basedOn w:val="1"/>
    <w:link w:val="84"/>
    <w:qFormat/>
    <w:uiPriority w:val="0"/>
    <w:pPr>
      <w:widowControl/>
      <w:tabs>
        <w:tab w:val="left" w:pos="0"/>
        <w:tab w:val="left" w:pos="993"/>
        <w:tab w:val="left" w:pos="1134"/>
      </w:tabs>
      <w:spacing w:line="240" w:lineRule="exact"/>
    </w:pPr>
    <w:rPr>
      <w:rFonts w:ascii="楷体_GB2312" w:hAnsi="Times New Roman" w:eastAsia="楷体_GB2312"/>
      <w:kern w:val="0"/>
      <w:sz w:val="18"/>
      <w:szCs w:val="20"/>
    </w:r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9">
    <w:name w:val="Title"/>
    <w:basedOn w:val="1"/>
    <w:next w:val="1"/>
    <w:link w:val="115"/>
    <w:qFormat/>
    <w:uiPriority w:val="0"/>
    <w:pPr>
      <w:spacing w:before="240" w:after="60"/>
      <w:jc w:val="center"/>
      <w:outlineLvl w:val="0"/>
    </w:pPr>
    <w:rPr>
      <w:rFonts w:ascii="Cambria" w:hAnsi="Cambria"/>
      <w:b/>
      <w:bCs/>
      <w:sz w:val="32"/>
      <w:szCs w:val="32"/>
    </w:rPr>
  </w:style>
  <w:style w:type="paragraph" w:styleId="40">
    <w:name w:val="annotation subject"/>
    <w:basedOn w:val="16"/>
    <w:next w:val="16"/>
    <w:link w:val="107"/>
    <w:qFormat/>
    <w:uiPriority w:val="0"/>
    <w:rPr>
      <w:rFonts w:ascii="宋体"/>
      <w:b/>
      <w:bCs/>
      <w:kern w:val="0"/>
      <w:sz w:val="28"/>
      <w:szCs w:val="20"/>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kern w:val="2"/>
      <w:sz w:val="21"/>
      <w:szCs w:val="24"/>
    </w:rPr>
  </w:style>
  <w:style w:type="character" w:styleId="45">
    <w:name w:val="page number"/>
    <w:basedOn w:val="43"/>
    <w:qFormat/>
    <w:uiPriority w:val="0"/>
  </w:style>
  <w:style w:type="character" w:styleId="46">
    <w:name w:val="FollowedHyperlink"/>
    <w:qFormat/>
    <w:uiPriority w:val="0"/>
    <w:rPr>
      <w:color w:val="333333"/>
      <w:kern w:val="2"/>
      <w:sz w:val="21"/>
      <w:szCs w:val="24"/>
      <w:u w:val="none"/>
    </w:rPr>
  </w:style>
  <w:style w:type="character" w:styleId="47">
    <w:name w:val="Emphasis"/>
    <w:qFormat/>
    <w:uiPriority w:val="0"/>
    <w:rPr>
      <w:i/>
      <w:iCs/>
    </w:rPr>
  </w:style>
  <w:style w:type="character" w:styleId="48">
    <w:name w:val="HTML Typewriter"/>
    <w:basedOn w:val="43"/>
    <w:qFormat/>
    <w:uiPriority w:val="0"/>
    <w:rPr>
      <w:rFonts w:ascii="monospace" w:hAnsi="monospace" w:eastAsia="monospace" w:cs="monospace"/>
      <w:sz w:val="20"/>
    </w:rPr>
  </w:style>
  <w:style w:type="character" w:styleId="49">
    <w:name w:val="HTML Acronym"/>
    <w:basedOn w:val="43"/>
    <w:qFormat/>
    <w:uiPriority w:val="0"/>
  </w:style>
  <w:style w:type="character" w:styleId="50">
    <w:name w:val="Hyperlink"/>
    <w:qFormat/>
    <w:uiPriority w:val="0"/>
    <w:rPr>
      <w:rFonts w:ascii="Times New Roman" w:hAnsi="Times New Roman" w:eastAsia="宋体" w:cs="Times New Roman"/>
      <w:color w:val="0076BE"/>
      <w:u w:val="none"/>
    </w:rPr>
  </w:style>
  <w:style w:type="character" w:styleId="51">
    <w:name w:val="HTML Code"/>
    <w:basedOn w:val="43"/>
    <w:qFormat/>
    <w:uiPriority w:val="0"/>
    <w:rPr>
      <w:rFonts w:hint="default" w:ascii="monospace" w:hAnsi="monospace" w:eastAsia="monospace" w:cs="monospace"/>
      <w:sz w:val="20"/>
    </w:rPr>
  </w:style>
  <w:style w:type="character" w:styleId="52">
    <w:name w:val="annotation reference"/>
    <w:qFormat/>
    <w:uiPriority w:val="0"/>
    <w:rPr>
      <w:rFonts w:cs="Times New Roman"/>
      <w:sz w:val="21"/>
      <w:szCs w:val="21"/>
    </w:rPr>
  </w:style>
  <w:style w:type="character" w:styleId="53">
    <w:name w:val="footnote reference"/>
    <w:unhideWhenUsed/>
    <w:qFormat/>
    <w:uiPriority w:val="0"/>
    <w:rPr>
      <w:vertAlign w:val="superscript"/>
    </w:rPr>
  </w:style>
  <w:style w:type="character" w:styleId="54">
    <w:name w:val="HTML Keyboard"/>
    <w:basedOn w:val="43"/>
    <w:qFormat/>
    <w:uiPriority w:val="0"/>
    <w:rPr>
      <w:rFonts w:hint="default" w:ascii="monospace" w:hAnsi="monospace" w:eastAsia="monospace" w:cs="monospace"/>
      <w:sz w:val="20"/>
    </w:rPr>
  </w:style>
  <w:style w:type="character" w:styleId="55">
    <w:name w:val="HTML Sample"/>
    <w:basedOn w:val="43"/>
    <w:qFormat/>
    <w:uiPriority w:val="0"/>
    <w:rPr>
      <w:rFonts w:hint="default" w:ascii="monospace" w:hAnsi="monospace" w:eastAsia="monospace" w:cs="monospace"/>
    </w:rPr>
  </w:style>
  <w:style w:type="paragraph" w:customStyle="1" w:styleId="56">
    <w:name w:val="首行缩进"/>
    <w:basedOn w:val="1"/>
    <w:qFormat/>
    <w:uiPriority w:val="0"/>
    <w:pPr>
      <w:ind w:firstLine="480" w:firstLineChars="200"/>
    </w:pPr>
    <w:rPr>
      <w:rFonts w:eastAsia="Calibri" w:cs="宋体"/>
      <w:kern w:val="0"/>
      <w:sz w:val="20"/>
      <w:szCs w:val="20"/>
      <w:lang w:val="zh-CN"/>
    </w:rPr>
  </w:style>
  <w:style w:type="paragraph" w:customStyle="1" w:styleId="57">
    <w:name w:val="BodyText"/>
    <w:basedOn w:val="1"/>
    <w:qFormat/>
    <w:uiPriority w:val="0"/>
    <w:pPr>
      <w:spacing w:after="120"/>
      <w:textAlignment w:val="baseline"/>
    </w:pPr>
    <w:rPr>
      <w:kern w:val="0"/>
      <w:sz w:val="20"/>
      <w:szCs w:val="24"/>
    </w:rPr>
  </w:style>
  <w:style w:type="character" w:customStyle="1" w:styleId="58">
    <w:name w:val="正文缩进 字符"/>
    <w:link w:val="5"/>
    <w:qFormat/>
    <w:uiPriority w:val="0"/>
    <w:rPr>
      <w:rFonts w:ascii="Calibri" w:hAnsi="Calibri" w:eastAsia="宋体" w:cs="Times New Roman"/>
      <w:kern w:val="2"/>
      <w:sz w:val="21"/>
      <w:szCs w:val="21"/>
    </w:rPr>
  </w:style>
  <w:style w:type="character" w:customStyle="1" w:styleId="59">
    <w:name w:val="页脚 字符"/>
    <w:link w:val="27"/>
    <w:qFormat/>
    <w:uiPriority w:val="0"/>
    <w:rPr>
      <w:rFonts w:ascii="Calibri" w:hAnsi="Calibri" w:eastAsia="宋体" w:cs="Times New Roman"/>
      <w:kern w:val="2"/>
      <w:sz w:val="18"/>
      <w:szCs w:val="18"/>
    </w:rPr>
  </w:style>
  <w:style w:type="character" w:customStyle="1" w:styleId="60">
    <w:name w:val="页眉 字符"/>
    <w:link w:val="28"/>
    <w:qFormat/>
    <w:uiPriority w:val="0"/>
    <w:rPr>
      <w:rFonts w:ascii="Calibri" w:hAnsi="Calibri" w:eastAsia="宋体" w:cs="Times New Roman"/>
      <w:kern w:val="2"/>
      <w:sz w:val="18"/>
      <w:szCs w:val="18"/>
    </w:rPr>
  </w:style>
  <w:style w:type="character" w:customStyle="1" w:styleId="61">
    <w:name w:val="15"/>
    <w:qFormat/>
    <w:uiPriority w:val="0"/>
    <w:rPr>
      <w:rFonts w:hint="default" w:ascii="Times New Roman" w:hAnsi="Times New Roman" w:eastAsia="宋体" w:cs="Times New Roman"/>
      <w:b/>
      <w:bCs/>
    </w:rPr>
  </w:style>
  <w:style w:type="character" w:customStyle="1" w:styleId="62">
    <w:name w:val="16"/>
    <w:qFormat/>
    <w:uiPriority w:val="0"/>
    <w:rPr>
      <w:rFonts w:hint="default" w:ascii="Times New Roman" w:hAnsi="Times New Roman" w:eastAsia="宋体" w:cs="Times New Roman"/>
    </w:rPr>
  </w:style>
  <w:style w:type="character" w:customStyle="1" w:styleId="63">
    <w:name w:val="批注框文本 字符"/>
    <w:link w:val="26"/>
    <w:qFormat/>
    <w:uiPriority w:val="0"/>
    <w:rPr>
      <w:rFonts w:ascii="Calibri" w:hAnsi="Calibri" w:eastAsia="宋体" w:cs="Times New Roman"/>
      <w:kern w:val="2"/>
      <w:sz w:val="18"/>
      <w:szCs w:val="18"/>
    </w:rPr>
  </w:style>
  <w:style w:type="paragraph" w:customStyle="1" w:styleId="64">
    <w:name w:val="修订1"/>
    <w:qFormat/>
    <w:uiPriority w:val="0"/>
    <w:rPr>
      <w:rFonts w:ascii="Calibri" w:hAnsi="Calibri" w:eastAsia="宋体" w:cs="Times New Roman"/>
      <w:kern w:val="2"/>
      <w:sz w:val="21"/>
      <w:szCs w:val="21"/>
      <w:lang w:val="en-US" w:eastAsia="zh-CN" w:bidi="ar-SA"/>
    </w:rPr>
  </w:style>
  <w:style w:type="paragraph" w:customStyle="1" w:styleId="65">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66">
    <w:name w:val="样式 样式 首行缩进:  2 字符 + 行距: 1.5 倍行距"/>
    <w:basedOn w:val="1"/>
    <w:qFormat/>
    <w:uiPriority w:val="0"/>
    <w:pPr>
      <w:spacing w:line="360" w:lineRule="auto"/>
      <w:ind w:firstLine="470" w:firstLineChars="196"/>
    </w:pPr>
    <w:rPr>
      <w:rFonts w:ascii="Times New Roman" w:hAnsi="Times New Roman"/>
      <w:sz w:val="24"/>
      <w:szCs w:val="24"/>
    </w:rPr>
  </w:style>
  <w:style w:type="paragraph" w:customStyle="1" w:styleId="6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列出段落1"/>
    <w:basedOn w:val="1"/>
    <w:qFormat/>
    <w:uiPriority w:val="0"/>
    <w:pPr>
      <w:ind w:firstLine="420" w:firstLineChars="200"/>
    </w:pPr>
    <w:rPr>
      <w:rFonts w:ascii="Tahoma" w:hAnsi="Tahoma"/>
      <w:szCs w:val="22"/>
    </w:rPr>
  </w:style>
  <w:style w:type="paragraph" w:customStyle="1" w:styleId="69">
    <w:name w:val="WG标题2"/>
    <w:basedOn w:val="70"/>
    <w:qFormat/>
    <w:uiPriority w:val="99"/>
    <w:pPr>
      <w:ind w:firstLine="0" w:firstLineChars="0"/>
      <w:outlineLvl w:val="1"/>
    </w:pPr>
    <w:rPr>
      <w:rFonts w:eastAsia="宋体"/>
      <w:b/>
    </w:rPr>
  </w:style>
  <w:style w:type="paragraph" w:customStyle="1" w:styleId="70">
    <w:name w:val="样式 正文小四wg + 首行缩进:  2 字符"/>
    <w:basedOn w:val="1"/>
    <w:qFormat/>
    <w:uiPriority w:val="99"/>
    <w:pPr>
      <w:autoSpaceDE w:val="0"/>
      <w:autoSpaceDN w:val="0"/>
      <w:adjustRightInd w:val="0"/>
      <w:ind w:firstLine="200" w:firstLineChars="200"/>
    </w:pPr>
    <w:rPr>
      <w:rFonts w:ascii="仿宋_GB2312" w:hAnsi="宋体" w:eastAsia="仿宋_GB2312" w:cs="宋体"/>
      <w:color w:val="000000"/>
      <w:kern w:val="20"/>
      <w:sz w:val="24"/>
      <w:szCs w:val="20"/>
    </w:rPr>
  </w:style>
  <w:style w:type="character" w:customStyle="1" w:styleId="71">
    <w:name w:val="纯文本 Char"/>
    <w:qFormat/>
    <w:locked/>
    <w:uiPriority w:val="0"/>
    <w:rPr>
      <w:rFonts w:ascii="宋体" w:hAnsi="Courier New"/>
      <w:kern w:val="2"/>
      <w:sz w:val="21"/>
    </w:rPr>
  </w:style>
  <w:style w:type="character" w:customStyle="1" w:styleId="72">
    <w:name w:val="纯文本 字符"/>
    <w:basedOn w:val="43"/>
    <w:link w:val="22"/>
    <w:qFormat/>
    <w:uiPriority w:val="99"/>
    <w:rPr>
      <w:rFonts w:ascii="宋体" w:hAnsi="Courier New" w:cs="Courier New"/>
      <w:kern w:val="2"/>
      <w:sz w:val="21"/>
      <w:szCs w:val="21"/>
    </w:rPr>
  </w:style>
  <w:style w:type="paragraph" w:customStyle="1" w:styleId="73">
    <w:name w:val="正文文字缩进"/>
    <w:basedOn w:val="1"/>
    <w:qFormat/>
    <w:uiPriority w:val="0"/>
    <w:pPr>
      <w:adjustRightInd w:val="0"/>
      <w:ind w:left="180" w:firstLine="360"/>
      <w:jc w:val="left"/>
      <w:textAlignment w:val="baseline"/>
    </w:pPr>
    <w:rPr>
      <w:rFonts w:ascii="Times New Roman" w:hAnsi="Times New Roman"/>
      <w:sz w:val="24"/>
      <w:szCs w:val="20"/>
    </w:rPr>
  </w:style>
  <w:style w:type="character" w:customStyle="1" w:styleId="74">
    <w:name w:val="标题 5 字符"/>
    <w:basedOn w:val="43"/>
    <w:link w:val="8"/>
    <w:qFormat/>
    <w:uiPriority w:val="0"/>
    <w:rPr>
      <w:rFonts w:ascii="Calibri" w:hAnsi="Calibri"/>
      <w:b/>
      <w:bCs/>
      <w:kern w:val="2"/>
      <w:sz w:val="28"/>
      <w:szCs w:val="28"/>
    </w:rPr>
  </w:style>
  <w:style w:type="character" w:customStyle="1" w:styleId="75">
    <w:name w:val="标题 3 字符"/>
    <w:basedOn w:val="43"/>
    <w:link w:val="6"/>
    <w:qFormat/>
    <w:uiPriority w:val="0"/>
    <w:rPr>
      <w:rFonts w:ascii="Calibri" w:hAnsi="Calibri"/>
      <w:b/>
      <w:bCs/>
      <w:kern w:val="2"/>
      <w:sz w:val="32"/>
      <w:szCs w:val="32"/>
    </w:rPr>
  </w:style>
  <w:style w:type="character" w:customStyle="1" w:styleId="76">
    <w:name w:val="标题 6 字符"/>
    <w:basedOn w:val="43"/>
    <w:link w:val="9"/>
    <w:qFormat/>
    <w:uiPriority w:val="0"/>
    <w:rPr>
      <w:rFonts w:ascii="Cambria" w:hAnsi="Cambria"/>
      <w:b/>
      <w:bCs/>
      <w:kern w:val="2"/>
      <w:sz w:val="24"/>
      <w:szCs w:val="24"/>
    </w:rPr>
  </w:style>
  <w:style w:type="character" w:customStyle="1" w:styleId="77">
    <w:name w:val="标题 7 字符"/>
    <w:basedOn w:val="43"/>
    <w:link w:val="10"/>
    <w:qFormat/>
    <w:uiPriority w:val="0"/>
    <w:rPr>
      <w:rFonts w:ascii="Calibri" w:hAnsi="Calibri"/>
      <w:b/>
      <w:bCs/>
      <w:kern w:val="2"/>
      <w:sz w:val="24"/>
      <w:szCs w:val="24"/>
    </w:rPr>
  </w:style>
  <w:style w:type="character" w:customStyle="1" w:styleId="78">
    <w:name w:val="标题 8 字符"/>
    <w:basedOn w:val="43"/>
    <w:link w:val="11"/>
    <w:qFormat/>
    <w:uiPriority w:val="0"/>
    <w:rPr>
      <w:rFonts w:ascii="Cambria" w:hAnsi="Cambria"/>
      <w:kern w:val="2"/>
      <w:sz w:val="24"/>
      <w:szCs w:val="24"/>
    </w:rPr>
  </w:style>
  <w:style w:type="character" w:customStyle="1" w:styleId="79">
    <w:name w:val="标题 9 字符"/>
    <w:basedOn w:val="43"/>
    <w:link w:val="12"/>
    <w:qFormat/>
    <w:uiPriority w:val="0"/>
    <w:rPr>
      <w:rFonts w:ascii="Cambria" w:hAnsi="Cambria"/>
      <w:kern w:val="2"/>
      <w:sz w:val="21"/>
      <w:szCs w:val="21"/>
    </w:rPr>
  </w:style>
  <w:style w:type="character" w:customStyle="1" w:styleId="80">
    <w:name w:val="文档结构图 字符"/>
    <w:basedOn w:val="43"/>
    <w:link w:val="15"/>
    <w:qFormat/>
    <w:uiPriority w:val="0"/>
    <w:rPr>
      <w:shd w:val="clear" w:color="auto" w:fill="000080"/>
    </w:rPr>
  </w:style>
  <w:style w:type="character" w:customStyle="1" w:styleId="81">
    <w:name w:val="正文文本缩进 3 字符"/>
    <w:basedOn w:val="43"/>
    <w:link w:val="34"/>
    <w:qFormat/>
    <w:uiPriority w:val="0"/>
    <w:rPr>
      <w:rFonts w:ascii="仿宋_GB2312" w:eastAsia="仿宋_GB2312"/>
      <w:sz w:val="28"/>
    </w:rPr>
  </w:style>
  <w:style w:type="character" w:customStyle="1" w:styleId="82">
    <w:name w:val="日期 字符"/>
    <w:basedOn w:val="43"/>
    <w:link w:val="24"/>
    <w:qFormat/>
    <w:uiPriority w:val="0"/>
    <w:rPr>
      <w:rFonts w:ascii="宋体"/>
      <w:kern w:val="2"/>
      <w:sz w:val="21"/>
    </w:rPr>
  </w:style>
  <w:style w:type="character" w:customStyle="1" w:styleId="83">
    <w:name w:val="正文文本缩进 2 字符"/>
    <w:basedOn w:val="43"/>
    <w:link w:val="25"/>
    <w:qFormat/>
    <w:uiPriority w:val="0"/>
    <w:rPr>
      <w:rFonts w:ascii="楷体_GB2312" w:eastAsia="楷体_GB2312"/>
      <w:b/>
      <w:spacing w:val="-24"/>
      <w:sz w:val="28"/>
    </w:rPr>
  </w:style>
  <w:style w:type="character" w:customStyle="1" w:styleId="84">
    <w:name w:val="正文文本 2 字符"/>
    <w:basedOn w:val="43"/>
    <w:link w:val="37"/>
    <w:qFormat/>
    <w:uiPriority w:val="0"/>
    <w:rPr>
      <w:rFonts w:ascii="楷体_GB2312" w:eastAsia="楷体_GB2312"/>
      <w:sz w:val="18"/>
    </w:rPr>
  </w:style>
  <w:style w:type="paragraph" w:customStyle="1" w:styleId="85">
    <w:name w:val="Char"/>
    <w:basedOn w:val="1"/>
    <w:qFormat/>
    <w:uiPriority w:val="0"/>
    <w:rPr>
      <w:rFonts w:ascii="Times New Roman" w:hAnsi="Times New Roman"/>
      <w:szCs w:val="24"/>
    </w:rPr>
  </w:style>
  <w:style w:type="paragraph" w:customStyle="1" w:styleId="86">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b w:val="0"/>
      <w:bCs w:val="0"/>
      <w:szCs w:val="20"/>
    </w:rPr>
  </w:style>
  <w:style w:type="paragraph" w:customStyle="1" w:styleId="8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0">
    <w:name w:val="Char1"/>
    <w:basedOn w:val="1"/>
    <w:qFormat/>
    <w:uiPriority w:val="0"/>
    <w:rPr>
      <w:rFonts w:ascii="Times New Roman" w:hAnsi="Times New Roman"/>
      <w:szCs w:val="24"/>
    </w:rPr>
  </w:style>
  <w:style w:type="character" w:customStyle="1" w:styleId="91">
    <w:name w:val="正文文本 Char1"/>
    <w:qFormat/>
    <w:uiPriority w:val="0"/>
    <w:rPr>
      <w:kern w:val="2"/>
      <w:sz w:val="21"/>
      <w:szCs w:val="22"/>
    </w:rPr>
  </w:style>
  <w:style w:type="character" w:customStyle="1" w:styleId="92">
    <w:name w:val="明显引用 字符"/>
    <w:link w:val="93"/>
    <w:qFormat/>
    <w:uiPriority w:val="0"/>
    <w:rPr>
      <w:b/>
      <w:bCs/>
      <w:i/>
      <w:iCs/>
      <w:color w:val="4F81BD"/>
      <w:kern w:val="2"/>
      <w:sz w:val="21"/>
      <w:szCs w:val="22"/>
    </w:rPr>
  </w:style>
  <w:style w:type="paragraph" w:styleId="93">
    <w:name w:val="Intense Quote"/>
    <w:basedOn w:val="1"/>
    <w:next w:val="1"/>
    <w:link w:val="92"/>
    <w:qFormat/>
    <w:uiPriority w:val="0"/>
    <w:pPr>
      <w:pBdr>
        <w:bottom w:val="single" w:color="4F81BD" w:sz="4" w:space="4"/>
      </w:pBdr>
      <w:spacing w:before="200" w:after="280"/>
      <w:ind w:left="936" w:right="936"/>
    </w:pPr>
    <w:rPr>
      <w:rFonts w:ascii="Times New Roman" w:hAnsi="Times New Roman"/>
      <w:b/>
      <w:bCs/>
      <w:i/>
      <w:iCs/>
      <w:color w:val="4F81BD"/>
      <w:szCs w:val="22"/>
    </w:rPr>
  </w:style>
  <w:style w:type="character" w:customStyle="1" w:styleId="94">
    <w:name w:val="不明显强调1"/>
    <w:qFormat/>
    <w:uiPriority w:val="0"/>
    <w:rPr>
      <w:i/>
      <w:iCs/>
      <w:color w:val="808080"/>
    </w:rPr>
  </w:style>
  <w:style w:type="character" w:customStyle="1" w:styleId="95">
    <w:name w:val="标题4 Char Char"/>
    <w:link w:val="96"/>
    <w:qFormat/>
    <w:uiPriority w:val="0"/>
    <w:rPr>
      <w:rFonts w:ascii="Arial" w:hAnsi="Arial"/>
      <w:b/>
      <w:bCs/>
      <w:sz w:val="24"/>
      <w:szCs w:val="32"/>
    </w:rPr>
  </w:style>
  <w:style w:type="paragraph" w:customStyle="1" w:styleId="96">
    <w:name w:val="标题4"/>
    <w:basedOn w:val="4"/>
    <w:next w:val="19"/>
    <w:link w:val="95"/>
    <w:qFormat/>
    <w:uiPriority w:val="0"/>
    <w:pPr>
      <w:spacing w:before="260" w:after="260" w:line="413" w:lineRule="auto"/>
      <w:jc w:val="both"/>
    </w:pPr>
    <w:rPr>
      <w:rFonts w:ascii="Arial" w:hAnsi="Arial"/>
      <w:kern w:val="0"/>
      <w:sz w:val="24"/>
      <w:szCs w:val="32"/>
    </w:rPr>
  </w:style>
  <w:style w:type="character" w:customStyle="1" w:styleId="97">
    <w:name w:val="标题 1 字符"/>
    <w:link w:val="3"/>
    <w:qFormat/>
    <w:uiPriority w:val="0"/>
    <w:rPr>
      <w:b/>
      <w:bCs/>
      <w:kern w:val="44"/>
      <w:sz w:val="44"/>
      <w:szCs w:val="44"/>
    </w:rPr>
  </w:style>
  <w:style w:type="character" w:customStyle="1" w:styleId="98">
    <w:name w:val="标题5 Char Char"/>
    <w:link w:val="99"/>
    <w:qFormat/>
    <w:uiPriority w:val="0"/>
    <w:rPr>
      <w:rFonts w:ascii="Arial" w:hAnsi="Arial"/>
      <w:b/>
      <w:bCs/>
      <w:sz w:val="24"/>
      <w:szCs w:val="32"/>
    </w:rPr>
  </w:style>
  <w:style w:type="paragraph" w:customStyle="1" w:styleId="99">
    <w:name w:val="标题5"/>
    <w:basedOn w:val="6"/>
    <w:link w:val="98"/>
    <w:qFormat/>
    <w:uiPriority w:val="0"/>
    <w:pPr>
      <w:spacing w:line="413" w:lineRule="auto"/>
    </w:pPr>
    <w:rPr>
      <w:rFonts w:ascii="Arial" w:hAnsi="Arial"/>
      <w:kern w:val="0"/>
      <w:sz w:val="24"/>
    </w:rPr>
  </w:style>
  <w:style w:type="character" w:customStyle="1" w:styleId="100">
    <w:name w:val="明显参考1"/>
    <w:qFormat/>
    <w:uiPriority w:val="0"/>
    <w:rPr>
      <w:b/>
      <w:bCs/>
      <w:smallCaps/>
      <w:color w:val="C0504D"/>
      <w:spacing w:val="5"/>
      <w:u w:val="single"/>
    </w:rPr>
  </w:style>
  <w:style w:type="character" w:customStyle="1" w:styleId="101">
    <w:name w:val="书籍标题1"/>
    <w:qFormat/>
    <w:uiPriority w:val="0"/>
    <w:rPr>
      <w:b/>
      <w:bCs/>
      <w:smallCaps/>
      <w:spacing w:val="5"/>
    </w:rPr>
  </w:style>
  <w:style w:type="character" w:customStyle="1" w:styleId="102">
    <w:name w:val="批注框文本 Char1"/>
    <w:qFormat/>
    <w:uiPriority w:val="0"/>
    <w:rPr>
      <w:kern w:val="2"/>
      <w:sz w:val="18"/>
      <w:szCs w:val="18"/>
    </w:rPr>
  </w:style>
  <w:style w:type="character" w:customStyle="1" w:styleId="103">
    <w:name w:val="引用 字符"/>
    <w:link w:val="104"/>
    <w:qFormat/>
    <w:uiPriority w:val="0"/>
    <w:rPr>
      <w:i/>
      <w:iCs/>
      <w:color w:val="000000"/>
      <w:kern w:val="2"/>
      <w:sz w:val="21"/>
      <w:szCs w:val="22"/>
    </w:rPr>
  </w:style>
  <w:style w:type="paragraph" w:styleId="104">
    <w:name w:val="Quote"/>
    <w:basedOn w:val="1"/>
    <w:next w:val="1"/>
    <w:link w:val="103"/>
    <w:qFormat/>
    <w:uiPriority w:val="0"/>
    <w:rPr>
      <w:rFonts w:ascii="Times New Roman" w:hAnsi="Times New Roman"/>
      <w:i/>
      <w:iCs/>
      <w:color w:val="000000"/>
      <w:szCs w:val="22"/>
    </w:rPr>
  </w:style>
  <w:style w:type="character" w:customStyle="1" w:styleId="105">
    <w:name w:val="批注主题 Char1"/>
    <w:qFormat/>
    <w:uiPriority w:val="0"/>
    <w:rPr>
      <w:b/>
      <w:bCs/>
      <w:kern w:val="2"/>
      <w:sz w:val="21"/>
      <w:szCs w:val="22"/>
    </w:rPr>
  </w:style>
  <w:style w:type="character" w:customStyle="1" w:styleId="106">
    <w:name w:val="正文文本 字符"/>
    <w:link w:val="17"/>
    <w:qFormat/>
    <w:uiPriority w:val="0"/>
    <w:rPr>
      <w:rFonts w:ascii="楷体_GB2312" w:hAnsi="Arial"/>
      <w:kern w:val="2"/>
      <w:sz w:val="28"/>
      <w:szCs w:val="28"/>
    </w:rPr>
  </w:style>
  <w:style w:type="character" w:customStyle="1" w:styleId="107">
    <w:name w:val="批注主题 字符"/>
    <w:link w:val="40"/>
    <w:qFormat/>
    <w:uiPriority w:val="0"/>
    <w:rPr>
      <w:rFonts w:ascii="宋体"/>
      <w:b/>
      <w:bCs/>
      <w:sz w:val="28"/>
    </w:rPr>
  </w:style>
  <w:style w:type="character" w:customStyle="1" w:styleId="108">
    <w:name w:val="标题 4 字符"/>
    <w:link w:val="7"/>
    <w:qFormat/>
    <w:uiPriority w:val="0"/>
    <w:rPr>
      <w:rFonts w:ascii="Cambria" w:hAnsi="Cambria" w:eastAsia="华文细黑"/>
      <w:b/>
      <w:kern w:val="2"/>
      <w:sz w:val="28"/>
    </w:rPr>
  </w:style>
  <w:style w:type="character" w:customStyle="1" w:styleId="109">
    <w:name w:val="日期 Char1"/>
    <w:qFormat/>
    <w:uiPriority w:val="0"/>
    <w:rPr>
      <w:kern w:val="2"/>
      <w:sz w:val="21"/>
      <w:szCs w:val="22"/>
    </w:rPr>
  </w:style>
  <w:style w:type="character" w:customStyle="1" w:styleId="110">
    <w:name w:val="明显强调1"/>
    <w:qFormat/>
    <w:uiPriority w:val="0"/>
    <w:rPr>
      <w:b/>
      <w:bCs/>
      <w:i/>
      <w:iCs/>
      <w:color w:val="4F81BD"/>
    </w:rPr>
  </w:style>
  <w:style w:type="character" w:customStyle="1" w:styleId="111">
    <w:name w:val="textcontents"/>
    <w:qFormat/>
    <w:uiPriority w:val="0"/>
    <w:rPr>
      <w:rFonts w:cs="Times New Roman"/>
    </w:rPr>
  </w:style>
  <w:style w:type="character" w:customStyle="1" w:styleId="112">
    <w:name w:val="不明显参考1"/>
    <w:qFormat/>
    <w:uiPriority w:val="0"/>
    <w:rPr>
      <w:smallCaps/>
      <w:color w:val="C0504D"/>
      <w:u w:val="single"/>
    </w:rPr>
  </w:style>
  <w:style w:type="character" w:customStyle="1" w:styleId="113">
    <w:name w:val="批注文字 Char Char"/>
    <w:qFormat/>
    <w:uiPriority w:val="0"/>
    <w:rPr>
      <w:rFonts w:ascii="宋体" w:hAnsi="Times New Roman" w:eastAsia="宋体" w:cs="Times New Roman"/>
      <w:sz w:val="28"/>
      <w:szCs w:val="20"/>
    </w:rPr>
  </w:style>
  <w:style w:type="character" w:customStyle="1" w:styleId="114">
    <w:name w:val="标题 2 字符"/>
    <w:link w:val="4"/>
    <w:qFormat/>
    <w:uiPriority w:val="0"/>
    <w:rPr>
      <w:rFonts w:ascii="宋体" w:hAnsi="宋体"/>
      <w:b/>
      <w:bCs/>
      <w:kern w:val="2"/>
      <w:sz w:val="28"/>
      <w:szCs w:val="28"/>
    </w:rPr>
  </w:style>
  <w:style w:type="character" w:customStyle="1" w:styleId="115">
    <w:name w:val="标题 字符"/>
    <w:link w:val="39"/>
    <w:qFormat/>
    <w:uiPriority w:val="0"/>
    <w:rPr>
      <w:rFonts w:ascii="Cambria" w:hAnsi="Cambria"/>
      <w:b/>
      <w:bCs/>
      <w:kern w:val="2"/>
      <w:sz w:val="32"/>
      <w:szCs w:val="32"/>
    </w:rPr>
  </w:style>
  <w:style w:type="character" w:customStyle="1" w:styleId="116">
    <w:name w:val="批注文字 Char"/>
    <w:qFormat/>
    <w:uiPriority w:val="0"/>
    <w:rPr>
      <w:kern w:val="2"/>
      <w:sz w:val="21"/>
      <w:szCs w:val="22"/>
    </w:rPr>
  </w:style>
  <w:style w:type="character" w:customStyle="1" w:styleId="117">
    <w:name w:val="副标题 字符"/>
    <w:link w:val="31"/>
    <w:qFormat/>
    <w:uiPriority w:val="0"/>
    <w:rPr>
      <w:rFonts w:ascii="Cambria" w:hAnsi="Cambria"/>
      <w:b/>
      <w:bCs/>
      <w:kern w:val="28"/>
      <w:sz w:val="32"/>
      <w:szCs w:val="32"/>
    </w:rPr>
  </w:style>
  <w:style w:type="character" w:customStyle="1" w:styleId="118">
    <w:name w:val="文档结构图 Char1"/>
    <w:qFormat/>
    <w:uiPriority w:val="0"/>
    <w:rPr>
      <w:rFonts w:ascii="宋体"/>
      <w:kern w:val="2"/>
      <w:sz w:val="18"/>
      <w:szCs w:val="18"/>
    </w:rPr>
  </w:style>
  <w:style w:type="paragraph" w:customStyle="1" w:styleId="119">
    <w:name w:val="修订2"/>
    <w:qFormat/>
    <w:uiPriority w:val="0"/>
    <w:rPr>
      <w:rFonts w:ascii="Times New Roman" w:hAnsi="Times New Roman" w:eastAsia="宋体" w:cs="Times New Roman"/>
      <w:kern w:val="2"/>
      <w:sz w:val="21"/>
      <w:szCs w:val="24"/>
      <w:lang w:val="en-US" w:eastAsia="zh-CN" w:bidi="ar-SA"/>
    </w:rPr>
  </w:style>
  <w:style w:type="character" w:customStyle="1" w:styleId="120">
    <w:name w:val="批注文字 Char1"/>
    <w:basedOn w:val="43"/>
    <w:qFormat/>
    <w:uiPriority w:val="0"/>
    <w:rPr>
      <w:kern w:val="2"/>
      <w:sz w:val="21"/>
      <w:szCs w:val="24"/>
    </w:rPr>
  </w:style>
  <w:style w:type="character" w:customStyle="1" w:styleId="121">
    <w:name w:val="批注文字 字符"/>
    <w:basedOn w:val="43"/>
    <w:link w:val="16"/>
    <w:qFormat/>
    <w:uiPriority w:val="0"/>
    <w:rPr>
      <w:kern w:val="2"/>
      <w:sz w:val="21"/>
      <w:szCs w:val="21"/>
    </w:rPr>
  </w:style>
  <w:style w:type="character" w:customStyle="1" w:styleId="122">
    <w:name w:val="批注主题 Char2"/>
    <w:basedOn w:val="121"/>
    <w:qFormat/>
    <w:uiPriority w:val="0"/>
    <w:rPr>
      <w:rFonts w:ascii="Calibri" w:hAnsi="Calibri"/>
      <w:b/>
      <w:bCs/>
      <w:kern w:val="2"/>
      <w:sz w:val="21"/>
      <w:szCs w:val="21"/>
    </w:rPr>
  </w:style>
  <w:style w:type="character" w:customStyle="1" w:styleId="123">
    <w:name w:val="标题 Char1"/>
    <w:basedOn w:val="43"/>
    <w:qFormat/>
    <w:uiPriority w:val="0"/>
    <w:rPr>
      <w:rFonts w:asciiTheme="majorHAnsi" w:hAnsiTheme="majorHAnsi" w:cstheme="majorBidi"/>
      <w:b/>
      <w:bCs/>
      <w:kern w:val="2"/>
      <w:sz w:val="32"/>
      <w:szCs w:val="32"/>
    </w:rPr>
  </w:style>
  <w:style w:type="paragraph" w:customStyle="1" w:styleId="124">
    <w:name w:val="TOC 标题1"/>
    <w:basedOn w:val="3"/>
    <w:next w:val="1"/>
    <w:qFormat/>
    <w:uiPriority w:val="0"/>
    <w:pPr>
      <w:outlineLvl w:val="9"/>
    </w:pPr>
    <w:rPr>
      <w:rFonts w:ascii="Calibri" w:hAnsi="Calibri"/>
    </w:rPr>
  </w:style>
  <w:style w:type="character" w:customStyle="1" w:styleId="125">
    <w:name w:val="副标题 Char1"/>
    <w:basedOn w:val="43"/>
    <w:qFormat/>
    <w:uiPriority w:val="0"/>
    <w:rPr>
      <w:rFonts w:asciiTheme="majorHAnsi" w:hAnsiTheme="majorHAnsi" w:cstheme="majorBidi"/>
      <w:b/>
      <w:bCs/>
      <w:kern w:val="28"/>
      <w:sz w:val="32"/>
      <w:szCs w:val="32"/>
    </w:rPr>
  </w:style>
  <w:style w:type="character" w:customStyle="1" w:styleId="126">
    <w:name w:val="明显引用 Char1"/>
    <w:basedOn w:val="43"/>
    <w:qFormat/>
    <w:uiPriority w:val="99"/>
    <w:rPr>
      <w:rFonts w:ascii="Calibri" w:hAnsi="Calibri"/>
      <w:b/>
      <w:bCs/>
      <w:i/>
      <w:iCs/>
      <w:color w:val="4F81BD" w:themeColor="accent1"/>
      <w:kern w:val="2"/>
      <w:sz w:val="21"/>
      <w:szCs w:val="21"/>
    </w:rPr>
  </w:style>
  <w:style w:type="paragraph" w:customStyle="1" w:styleId="127">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 w:val="0"/>
      <w:bCs w:val="0"/>
      <w:sz w:val="24"/>
      <w:szCs w:val="20"/>
    </w:rPr>
  </w:style>
  <w:style w:type="paragraph" w:customStyle="1" w:styleId="128">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styleId="129">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0">
    <w:name w:val="引用 Char1"/>
    <w:basedOn w:val="43"/>
    <w:qFormat/>
    <w:uiPriority w:val="99"/>
    <w:rPr>
      <w:rFonts w:ascii="Calibri" w:hAnsi="Calibri"/>
      <w:i/>
      <w:iCs/>
      <w:color w:val="000000" w:themeColor="text1"/>
      <w:kern w:val="2"/>
      <w:sz w:val="21"/>
      <w:szCs w:val="21"/>
    </w:rPr>
  </w:style>
  <w:style w:type="paragraph" w:styleId="131">
    <w:name w:val="List Paragraph"/>
    <w:basedOn w:val="1"/>
    <w:qFormat/>
    <w:uiPriority w:val="0"/>
    <w:pPr>
      <w:ind w:firstLine="420" w:firstLineChars="200"/>
    </w:pPr>
    <w:rPr>
      <w:szCs w:val="22"/>
    </w:rPr>
  </w:style>
  <w:style w:type="paragraph" w:customStyle="1" w:styleId="132">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133">
    <w:name w:val="正文_0"/>
    <w:qFormat/>
    <w:uiPriority w:val="0"/>
    <w:pPr>
      <w:widowControl w:val="0"/>
      <w:jc w:val="both"/>
    </w:pPr>
    <w:rPr>
      <w:rFonts w:ascii="Calibri" w:hAnsi="Calibri" w:eastAsia="宋体" w:cs="Times New Roman"/>
      <w:kern w:val="2"/>
      <w:sz w:val="21"/>
      <w:lang w:val="en-US" w:eastAsia="zh-CN" w:bidi="ar-SA"/>
    </w:rPr>
  </w:style>
  <w:style w:type="paragraph" w:customStyle="1" w:styleId="13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_Style 5"/>
    <w:basedOn w:val="3"/>
    <w:next w:val="1"/>
    <w:qFormat/>
    <w:uiPriority w:val="0"/>
    <w:pPr>
      <w:spacing w:line="578" w:lineRule="atLeast"/>
      <w:outlineLvl w:val="9"/>
    </w:pPr>
  </w:style>
  <w:style w:type="paragraph" w:customStyle="1" w:styleId="136">
    <w:name w:val="p0"/>
    <w:basedOn w:val="1"/>
    <w:qFormat/>
    <w:uiPriority w:val="0"/>
    <w:pPr>
      <w:widowControl/>
    </w:pPr>
    <w:rPr>
      <w:rFonts w:ascii="Times New Roman" w:hAnsi="Times New Roman" w:cs="Times New Roman"/>
      <w:szCs w:val="21"/>
    </w:rPr>
  </w:style>
  <w:style w:type="character" w:customStyle="1" w:styleId="137">
    <w:name w:val="ql-font-arial"/>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42391</Words>
  <Characters>44443</Characters>
  <Lines>323</Lines>
  <Paragraphs>91</Paragraphs>
  <TotalTime>46</TotalTime>
  <ScaleCrop>false</ScaleCrop>
  <LinksUpToDate>false</LinksUpToDate>
  <CharactersWithSpaces>47761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2019-03-24T12:41:00Z</dcterms:created>
  <dc:creator>AutoBVT</dc:creator>
  <cp:lastModifiedBy>C</cp:lastModifiedBy>
  <cp:lastPrinted>2023-06-25T08:27:00Z</cp:lastPrinted>
  <dcterms:modified xsi:type="dcterms:W3CDTF">2024-07-04T01:48:28Z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7E15318CA4A64094A3FD8BAD15BE5BD3</vt:lpwstr>
  </property>
</Properties>
</file>