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840"/>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竞争性磋商文件</w:t>
      </w:r>
      <w:r/>
    </w:p>
    <w:p>
      <w:pPr>
        <w:jc w:val="left"/>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jc w:val="left"/>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ind w:left="1606" w:hanging="2209"/>
        <w:jc w:val="left"/>
        <w:spacing w:before="120" w:after="120" w:line="360" w:lineRule="auto"/>
        <w:rPr>
          <w:rFonts w:hint="eastAsia" w:ascii="宋体" w:hAnsi="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t xml:space="preserve">项目名称：</w:t>
      </w:r>
      <w:r>
        <w:rPr>
          <w:rFonts w:hint="eastAsia" w:ascii="宋体" w:hAnsi="宋体" w:cs="宋体"/>
          <w:b/>
          <w:bCs/>
          <w:color w:val="000000"/>
          <w:sz w:val="44"/>
          <w:szCs w:val="44"/>
          <w:highlight w:val="none"/>
          <w:lang w:eastAsia="zh-CN"/>
        </w:rPr>
        <w:t xml:space="preserve">南京市浦口区桥林街道社区卫生服务中心物业管理服务</w:t>
      </w:r>
      <w:r/>
    </w:p>
    <w:p>
      <w:pPr>
        <w:ind w:left="1606" w:hanging="2209"/>
        <w:jc w:val="left"/>
        <w:spacing w:before="120" w:after="120" w:line="360" w:lineRule="auto"/>
        <w:rPr>
          <w:rFonts w:hint="eastAsia" w:ascii="宋体" w:hAnsi="宋体" w:eastAsia="宋体" w:cs="宋体"/>
          <w:b/>
          <w:bCs/>
          <w:color w:val="c00000"/>
          <w:sz w:val="44"/>
          <w:szCs w:val="44"/>
          <w:highlight w:val="none"/>
          <w:lang w:eastAsia="zh-CN"/>
        </w:rPr>
      </w:pPr>
      <w:r>
        <w:rPr>
          <w:rFonts w:hint="eastAsia" w:ascii="宋体" w:hAnsi="宋体" w:eastAsia="宋体" w:cs="宋体"/>
          <w:b/>
          <w:bCs/>
          <w:color w:val="000000"/>
          <w:sz w:val="44"/>
          <w:szCs w:val="44"/>
          <w:highlight w:val="none"/>
          <w:lang w:eastAsia="zh-CN"/>
        </w:rPr>
        <w:t xml:space="preserve">项目编号：JSZC-320111-JZCG-C2026-0042</w:t>
      </w:r>
      <w:r>
        <w:rPr>
          <w:rFonts w:hint="eastAsia" w:ascii="宋体" w:hAnsi="宋体" w:cs="宋体"/>
          <w:b/>
          <w:bCs/>
          <w:color w:val="c00000"/>
          <w:sz w:val="44"/>
          <w:szCs w:val="44"/>
          <w:highlight w:val="none"/>
          <w:lang w:val="en-US" w:eastAsia="zh-CN"/>
        </w:rPr>
        <w:t xml:space="preserve"> </w:t>
      </w:r>
      <w:r/>
    </w:p>
    <w:p>
      <w:pPr>
        <w:jc w:val="center"/>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jc w:val="center"/>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t xml:space="preserve">（</w:t>
      </w:r>
      <w:r>
        <w:rPr>
          <w:rFonts w:hint="eastAsia" w:ascii="宋体" w:hAnsi="宋体" w:cs="宋体"/>
          <w:b/>
          <w:color w:val="000000"/>
          <w:sz w:val="44"/>
          <w:szCs w:val="44"/>
          <w:highlight w:val="none"/>
          <w:lang w:eastAsia="zh-CN"/>
        </w:rPr>
        <w:t xml:space="preserve">服务类，</w:t>
      </w:r>
      <w:r>
        <w:rPr>
          <w:rFonts w:hint="eastAsia" w:ascii="宋体" w:hAnsi="宋体" w:eastAsia="宋体" w:cs="宋体"/>
          <w:b/>
          <w:color w:val="000000"/>
          <w:sz w:val="44"/>
          <w:szCs w:val="44"/>
          <w:highlight w:val="none"/>
          <w:lang w:eastAsia="zh-CN"/>
        </w:rPr>
        <w:t xml:space="preserve">专门面向中小企业）</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ind w:firstLine="0"/>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eastAsia="zh-CN"/>
        </w:rPr>
        <w:t xml:space="preserve">南京市公共资源交易中心浦口分中心</w:t>
      </w:r>
      <w:r/>
    </w:p>
    <w:p>
      <w:pPr>
        <w:pStyle w:val="840"/>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44"/>
          <w:szCs w:val="44"/>
          <w:highlight w:val="none"/>
          <w:u w:val="single"/>
          <w:lang w:val="en-US" w:eastAsia="zh-CN"/>
        </w:rPr>
        <w:t xml:space="preserve"> 202</w:t>
      </w:r>
      <w:r>
        <w:rPr>
          <w:rFonts w:hint="eastAsia" w:ascii="宋体" w:hAnsi="宋体" w:cs="宋体"/>
          <w:b/>
          <w:bCs/>
          <w:color w:val="000000"/>
          <w:sz w:val="44"/>
          <w:szCs w:val="44"/>
          <w:highlight w:val="none"/>
          <w:u w:val="single"/>
          <w:lang w:val="en-US" w:eastAsia="zh-CN"/>
        </w:rPr>
        <w:t xml:space="preserve">6</w:t>
      </w:r>
      <w:r>
        <w:rPr>
          <w:rFonts w:hint="eastAsia" w:ascii="宋体" w:hAnsi="宋体" w:eastAsia="宋体" w:cs="宋体"/>
          <w:b/>
          <w:bCs/>
          <w:color w:val="000000"/>
          <w:sz w:val="44"/>
          <w:szCs w:val="44"/>
          <w:highlight w:val="none"/>
          <w:u w:val="single"/>
          <w:lang w:val="en-US" w:eastAsia="zh-CN"/>
        </w:rPr>
        <w:t xml:space="preserve"> </w:t>
      </w:r>
      <w:r>
        <w:rPr>
          <w:rFonts w:hint="eastAsia" w:ascii="宋体" w:hAnsi="宋体" w:eastAsia="宋体" w:cs="宋体"/>
          <w:b/>
          <w:bCs/>
          <w:color w:val="000000"/>
          <w:sz w:val="44"/>
          <w:szCs w:val="44"/>
          <w:highlight w:val="none"/>
          <w:lang w:eastAsia="zh-CN"/>
        </w:rPr>
        <w:t xml:space="preserve">年</w:t>
      </w:r>
      <w:r>
        <w:rPr>
          <w:rFonts w:hint="eastAsia" w:ascii="宋体" w:hAnsi="宋体" w:eastAsia="宋体" w:cs="宋体"/>
          <w:b/>
          <w:bCs/>
          <w:color w:val="000000"/>
          <w:sz w:val="44"/>
          <w:szCs w:val="44"/>
          <w:highlight w:val="none"/>
          <w:u w:val="single"/>
          <w:lang w:val="en-US" w:eastAsia="zh-CN"/>
        </w:rPr>
        <w:t xml:space="preserve"> </w:t>
      </w:r>
      <w:r>
        <w:rPr>
          <w:rFonts w:hint="eastAsia" w:ascii="宋体" w:hAnsi="宋体" w:cs="宋体"/>
          <w:b/>
          <w:bCs/>
          <w:color w:val="000000"/>
          <w:sz w:val="44"/>
          <w:szCs w:val="44"/>
          <w:highlight w:val="none"/>
          <w:u w:val="single"/>
          <w:lang w:val="en-US" w:eastAsia="zh-CN"/>
        </w:rPr>
        <w:t xml:space="preserve">7</w:t>
      </w:r>
      <w:r>
        <w:rPr>
          <w:rFonts w:hint="eastAsia" w:ascii="宋体" w:hAnsi="宋体" w:eastAsia="宋体" w:cs="宋体"/>
          <w:b/>
          <w:bCs/>
          <w:color w:val="000000"/>
          <w:sz w:val="44"/>
          <w:szCs w:val="44"/>
          <w:highlight w:val="none"/>
          <w:u w:val="single"/>
          <w:lang w:val="en-US" w:eastAsia="zh-CN"/>
        </w:rPr>
        <w:t xml:space="preserve"> </w:t>
      </w:r>
      <w:r>
        <w:rPr>
          <w:rFonts w:hint="eastAsia" w:ascii="宋体" w:hAnsi="宋体" w:eastAsia="宋体" w:cs="宋体"/>
          <w:b/>
          <w:bCs/>
          <w:color w:val="000000"/>
          <w:sz w:val="44"/>
          <w:szCs w:val="44"/>
          <w:highlight w:val="none"/>
        </w:rPr>
        <w:t xml:space="preserve">月</w:t>
      </w:r>
      <w:r/>
    </w:p>
    <w:p>
      <w:pPr>
        <w:pStyle w:val="840"/>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jc w:val="center"/>
        <w:spacing w:line="480" w:lineRule="auto"/>
        <w:rPr>
          <w:rFonts w:hint="eastAsia" w:ascii="宋体" w:hAnsi="宋体" w:eastAsia="宋体" w:cs="宋体"/>
          <w:b/>
          <w:sz w:val="36"/>
          <w:szCs w:val="36"/>
          <w:highlight w:val="none"/>
        </w:rPr>
        <w:outlineLvl w:val="0"/>
      </w:pPr>
      <w:r>
        <w:rPr>
          <w:rFonts w:hint="eastAsia" w:ascii="宋体" w:hAnsi="宋体" w:eastAsia="宋体" w:cs="宋体"/>
          <w:b/>
          <w:color w:val="000000"/>
          <w:sz w:val="36"/>
          <w:szCs w:val="36"/>
          <w:highlight w:val="none"/>
        </w:rPr>
        <w:t xml:space="preserve">总  目  录</w:t>
      </w:r>
      <w:r/>
    </w:p>
    <w:p>
      <w:pPr>
        <w:spacing w:line="48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numPr>
          <w:ilvl w:val="0"/>
          <w:numId w:val="2"/>
        </w:numPr>
        <w:jc w:val="center"/>
        <w:keepLines w:val="0"/>
        <w:keepNext w:val="0"/>
        <w:pageBreakBefore w:val="0"/>
        <w:spacing w:line="960" w:lineRule="auto"/>
        <w:widowControl w:val="off"/>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磋商邀请…………………………………… </w:t>
      </w:r>
      <w:r>
        <w:rPr>
          <w:rFonts w:hint="eastAsia" w:ascii="宋体" w:hAnsi="宋体" w:cs="宋体"/>
          <w:color w:val="000000"/>
          <w:sz w:val="30"/>
          <w:szCs w:val="30"/>
          <w:highlight w:val="none"/>
          <w:lang w:val="en-US" w:eastAsia="zh-CN"/>
        </w:rPr>
        <w:t xml:space="preserve">1</w:t>
      </w:r>
      <w:r/>
    </w:p>
    <w:p>
      <w:pPr>
        <w:numPr>
          <w:ilvl w:val="0"/>
          <w:numId w:val="2"/>
        </w:numPr>
        <w:jc w:val="center"/>
        <w:keepLines w:val="0"/>
        <w:keepNext w:val="0"/>
        <w:pageBreakBefore w:val="0"/>
        <w:spacing w:line="960" w:lineRule="auto"/>
        <w:widowControl w:val="off"/>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供应商须知………………………………… </w:t>
      </w:r>
      <w:r>
        <w:rPr>
          <w:rFonts w:hint="eastAsia" w:ascii="宋体" w:hAnsi="宋体" w:eastAsia="宋体" w:cs="宋体"/>
          <w:color w:val="000000"/>
          <w:sz w:val="30"/>
          <w:szCs w:val="30"/>
          <w:highlight w:val="none"/>
          <w:lang w:val="en-US" w:eastAsia="zh-CN"/>
        </w:rPr>
        <w:t xml:space="preserve">4</w:t>
      </w:r>
      <w:r/>
    </w:p>
    <w:p>
      <w:pPr>
        <w:numPr>
          <w:ilvl w:val="0"/>
          <w:numId w:val="2"/>
        </w:numPr>
        <w:jc w:val="center"/>
        <w:keepLines w:val="0"/>
        <w:keepNext w:val="0"/>
        <w:pageBreakBefore w:val="0"/>
        <w:spacing w:line="960" w:lineRule="auto"/>
        <w:widowControl w:val="off"/>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合同文本……………………………………</w:t>
      </w:r>
      <w:r>
        <w:rPr>
          <w:rFonts w:hint="eastAsia" w:ascii="宋体" w:hAnsi="宋体" w:eastAsia="宋体" w:cs="宋体"/>
          <w:color w:val="000000"/>
          <w:sz w:val="30"/>
          <w:szCs w:val="30"/>
          <w:highlight w:val="none"/>
          <w:lang w:val="en-US" w:eastAsia="zh-CN"/>
        </w:rPr>
        <w:t xml:space="preserve">1</w:t>
      </w:r>
      <w:r>
        <w:rPr>
          <w:rFonts w:hint="eastAsia" w:ascii="宋体" w:hAnsi="宋体" w:cs="宋体"/>
          <w:color w:val="000000"/>
          <w:sz w:val="30"/>
          <w:szCs w:val="30"/>
          <w:highlight w:val="none"/>
          <w:lang w:val="en-US" w:eastAsia="zh-CN"/>
        </w:rPr>
        <w:t xml:space="preserve">5</w:t>
      </w:r>
      <w:r/>
    </w:p>
    <w:p>
      <w:pPr>
        <w:numPr>
          <w:ilvl w:val="0"/>
          <w:numId w:val="2"/>
        </w:numPr>
        <w:jc w:val="center"/>
        <w:keepLines w:val="0"/>
        <w:keepNext w:val="0"/>
        <w:pageBreakBefore w:val="0"/>
        <w:spacing w:line="960" w:lineRule="auto"/>
        <w:widowControl w:val="off"/>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采购需求……………………………………</w:t>
      </w:r>
      <w:r>
        <w:rPr>
          <w:rFonts w:hint="eastAsia" w:ascii="宋体" w:hAnsi="宋体" w:cs="宋体"/>
          <w:color w:val="000000"/>
          <w:sz w:val="30"/>
          <w:szCs w:val="30"/>
          <w:highlight w:val="none"/>
          <w:lang w:val="en-US" w:eastAsia="zh-CN"/>
        </w:rPr>
        <w:t xml:space="preserve">20</w:t>
      </w:r>
      <w:r/>
    </w:p>
    <w:p>
      <w:pPr>
        <w:numPr>
          <w:ilvl w:val="0"/>
          <w:numId w:val="2"/>
        </w:numPr>
        <w:jc w:val="center"/>
        <w:keepLines w:val="0"/>
        <w:keepNext w:val="0"/>
        <w:pageBreakBefore w:val="0"/>
        <w:spacing w:line="960" w:lineRule="auto"/>
        <w:widowControl w:val="off"/>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评审方法与评审标准………………………</w:t>
      </w:r>
      <w:r>
        <w:rPr>
          <w:rFonts w:hint="eastAsia" w:ascii="宋体" w:hAnsi="宋体" w:cs="宋体"/>
          <w:color w:val="000000"/>
          <w:sz w:val="30"/>
          <w:szCs w:val="30"/>
          <w:highlight w:val="none"/>
          <w:lang w:val="en-US" w:eastAsia="zh-CN"/>
        </w:rPr>
        <w:t xml:space="preserve">35</w:t>
      </w:r>
      <w:r/>
    </w:p>
    <w:p>
      <w:pPr>
        <w:numPr>
          <w:ilvl w:val="0"/>
          <w:numId w:val="2"/>
        </w:numPr>
        <w:jc w:val="center"/>
        <w:keepLines w:val="0"/>
        <w:keepNext w:val="0"/>
        <w:pageBreakBefore w:val="0"/>
        <w:spacing w:line="960" w:lineRule="auto"/>
        <w:widowControl w:val="off"/>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响应文件格式………………………………</w:t>
      </w:r>
      <w:r>
        <w:rPr>
          <w:rFonts w:hint="eastAsia" w:ascii="宋体" w:hAnsi="宋体" w:cs="宋体"/>
          <w:color w:val="000000"/>
          <w:sz w:val="30"/>
          <w:szCs w:val="30"/>
          <w:highlight w:val="none"/>
          <w:lang w:val="en-US" w:eastAsia="zh-CN"/>
        </w:rPr>
        <w:t xml:space="preserve">38</w:t>
      </w:r>
      <w:r/>
    </w:p>
    <w:p>
      <w:pPr>
        <w:pStyle w:val="839"/>
        <w:ind w:left="0" w:firstLine="0"/>
        <w:rPr>
          <w:highlight w:val="none"/>
        </w:rPr>
      </w:pPr>
      <w:r>
        <w:rPr>
          <w:highlight w:val="none"/>
        </w:rPr>
      </w:r>
      <w:r/>
    </w:p>
    <w:p>
      <w:pPr>
        <w:pStyle w:val="841"/>
        <w:ind w:left="0" w:firstLine="0"/>
        <w:jc w:val="left"/>
        <w:tabs>
          <w:tab w:val="left" w:pos="463" w:leader="none"/>
        </w:tabs>
        <w:rPr>
          <w:rFonts w:hint="eastAsia" w:ascii="宋体" w:hAnsi="宋体" w:eastAsia="宋体" w:cs="宋体"/>
          <w:b/>
          <w:bCs/>
          <w:color w:val="000000"/>
          <w:sz w:val="44"/>
          <w:szCs w:val="44"/>
          <w:highlight w:val="none"/>
          <w:lang w:val="en-US"/>
        </w:rPr>
      </w:pPr>
      <w:r>
        <w:rPr>
          <w:rFonts w:hint="eastAsia" w:ascii="宋体" w:hAnsi="宋体" w:eastAsia="宋体" w:cs="宋体"/>
          <w:b/>
          <w:bCs/>
          <w:color w:val="000000"/>
          <w:sz w:val="44"/>
          <w:szCs w:val="44"/>
          <w:highlight w:val="none"/>
          <w:lang w:val="en-US"/>
        </w:rPr>
      </w:r>
      <w:r/>
    </w:p>
    <w:p>
      <w:pPr>
        <w:pStyle w:val="841"/>
        <w:ind w:left="0" w:firstLine="0"/>
        <w:jc w:val="center"/>
        <w:tabs>
          <w:tab w:val="left" w:pos="463" w:leader="none"/>
        </w:tabs>
        <w:rPr>
          <w:rFonts w:hint="eastAsia" w:ascii="宋体" w:hAnsi="宋体" w:eastAsia="宋体" w:cs="宋体"/>
          <w:b/>
          <w:bCs/>
          <w:color w:val="000000"/>
          <w:sz w:val="36"/>
          <w:szCs w:val="36"/>
          <w:highlight w:val="none"/>
          <w:lang w:val="en-US"/>
        </w:rPr>
        <w:sectPr>
          <w:headerReference w:type="default" r:id="rId9"/>
          <w:footnotePr/>
          <w:endnotePr/>
          <w:type w:val="nextPage"/>
          <w:pgSz w:w="11906" w:h="16838" w:orient="portrait"/>
          <w:pgMar w:top="1440" w:right="1286" w:bottom="1440" w:left="1380" w:header="851" w:footer="992" w:gutter="0"/>
          <w:cols w:num="1" w:sep="0" w:space="425" w:equalWidth="1"/>
          <w:docGrid w:linePitch="360"/>
        </w:sectPr>
      </w:pPr>
      <w:r>
        <w:rPr>
          <w:rFonts w:hint="eastAsia" w:ascii="宋体" w:hAnsi="宋体" w:eastAsia="宋体" w:cs="宋体"/>
          <w:b/>
          <w:bCs/>
          <w:color w:val="000000"/>
          <w:sz w:val="36"/>
          <w:szCs w:val="36"/>
          <w:highlight w:val="none"/>
          <w:lang w:val="en-US"/>
        </w:rPr>
      </w:r>
      <w:r/>
    </w:p>
    <w:p>
      <w:pPr>
        <w:pStyle w:val="841"/>
        <w:ind w:left="0" w:firstLine="0"/>
        <w:jc w:val="center"/>
        <w:tabs>
          <w:tab w:val="left" w:pos="463" w:leader="none"/>
        </w:tabs>
        <w:rPr>
          <w:rFonts w:hint="eastAsia" w:ascii="宋体" w:hAnsi="宋体" w:eastAsia="宋体" w:cs="宋体"/>
          <w:b/>
          <w:bCs/>
          <w:color w:val="000000"/>
          <w:sz w:val="36"/>
          <w:szCs w:val="36"/>
          <w:highlight w:val="none"/>
          <w:lang w:val="en-US"/>
        </w:rPr>
      </w:pPr>
      <w:r>
        <w:rPr>
          <w:rFonts w:hint="eastAsia" w:ascii="宋体" w:hAnsi="宋体" w:eastAsia="宋体" w:cs="宋体"/>
          <w:b/>
          <w:bCs/>
          <w:color w:val="000000"/>
          <w:sz w:val="36"/>
          <w:szCs w:val="36"/>
          <w:highlight w:val="none"/>
          <w:lang w:val="en-US"/>
        </w:rPr>
        <w:t xml:space="preserve">第一章  磋商邀请</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受南京市浦口区桥林街道社区卫生服务中心委</w:t>
      </w:r>
      <w:r>
        <w:rPr>
          <w:rFonts w:hint="eastAsia"/>
          <w:color w:val="auto"/>
          <w:sz w:val="24"/>
          <w:szCs w:val="24"/>
          <w:highlight w:val="none"/>
          <w:lang w:val="en-US" w:eastAsia="zh-CN"/>
        </w:rPr>
        <w:t xml:space="preserve">托，南京市公共资源交易中心浦口分中心就南京市浦口区桥林街道社区卫生服务中心物业管理服务</w:t>
      </w:r>
      <w:r>
        <w:rPr>
          <w:rFonts w:hint="eastAsia"/>
          <w:sz w:val="24"/>
          <w:szCs w:val="24"/>
          <w:highlight w:val="none"/>
          <w:lang w:val="en-US" w:eastAsia="zh-CN"/>
        </w:rPr>
        <w:t xml:space="preserve">进行竞争性磋商采购，欢迎符合条件的供应商参加磋商。</w:t>
      </w:r>
      <w:r/>
    </w:p>
    <w:p>
      <w:pPr>
        <w:ind w:firstLine="480"/>
        <w:keepLines w:val="0"/>
        <w:keepNext w:val="0"/>
        <w:pageBreakBefore w:val="0"/>
        <w:spacing w:line="360" w:lineRule="auto"/>
        <w:widowControl w:val="off"/>
        <w:rPr>
          <w:rFonts w:hint="eastAsia"/>
          <w:sz w:val="24"/>
          <w:szCs w:val="24"/>
          <w:highlight w:val="none"/>
        </w:rPr>
      </w:pPr>
      <w:r/>
      <w:bookmarkStart w:id="0" w:name="_Toc28359002"/>
      <w:r/>
      <w:bookmarkStart w:id="1" w:name="_Toc35393790"/>
      <w:r/>
      <w:bookmarkStart w:id="2" w:name="_Toc38985263"/>
      <w:r/>
      <w:bookmarkStart w:id="3" w:name="_Toc35393621"/>
      <w:r/>
      <w:bookmarkStart w:id="4" w:name="_Toc28359079"/>
      <w:r/>
      <w:bookmarkStart w:id="5" w:name="_Hlk24379207"/>
      <w:r>
        <w:rPr>
          <w:rFonts w:hint="eastAsia"/>
          <w:sz w:val="24"/>
          <w:szCs w:val="24"/>
          <w:highlight w:val="none"/>
        </w:rPr>
        <w:t xml:space="preserve">一、项目基本情况</w:t>
      </w:r>
      <w:bookmarkEnd w:id="0"/>
      <w:r/>
      <w:bookmarkEnd w:id="1"/>
      <w:r/>
      <w:bookmarkEnd w:id="2"/>
      <w:r/>
      <w:bookmarkEnd w:id="3"/>
      <w:r/>
      <w:bookmarkEnd w:id="4"/>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rPr>
        <w:t xml:space="preserve">1.项目编号：JSZC-320111-JZCG-C2026-0042</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rPr>
        <w:t xml:space="preserve">2.项目名称：</w:t>
      </w:r>
      <w:bookmarkEnd w:id="5"/>
      <w:r>
        <w:rPr>
          <w:rFonts w:hint="eastAsia"/>
          <w:sz w:val="24"/>
          <w:szCs w:val="24"/>
          <w:highlight w:val="none"/>
          <w:lang w:eastAsia="zh-CN"/>
        </w:rPr>
        <w:t xml:space="preserve">南京市浦口区桥林街道社区卫生服务中心物业管理服务</w:t>
      </w:r>
      <w:r/>
    </w:p>
    <w:p>
      <w:pPr>
        <w:ind w:firstLine="480"/>
        <w:keepLines w:val="0"/>
        <w:keepNext w:val="0"/>
        <w:pageBreakBefore w:val="0"/>
        <w:spacing w:line="360" w:lineRule="auto"/>
        <w:widowControl w:val="off"/>
        <w:rPr>
          <w:rFonts w:hint="default" w:eastAsia="宋体"/>
          <w:sz w:val="24"/>
          <w:szCs w:val="24"/>
          <w:highlight w:val="none"/>
          <w:lang w:val="en-US" w:eastAsia="zh-CN"/>
        </w:rPr>
      </w:pPr>
      <w:r>
        <w:rPr>
          <w:rFonts w:hint="eastAsia"/>
          <w:sz w:val="24"/>
          <w:szCs w:val="24"/>
          <w:highlight w:val="none"/>
        </w:rPr>
        <w:t xml:space="preserve">3.预算金额：</w:t>
      </w:r>
      <w:r>
        <w:rPr>
          <w:rFonts w:hint="eastAsia"/>
          <w:sz w:val="24"/>
          <w:szCs w:val="24"/>
          <w:highlight w:val="none"/>
          <w:lang w:val="en-US" w:eastAsia="zh-CN"/>
        </w:rPr>
        <w:t xml:space="preserve">170万/年</w:t>
      </w:r>
      <w:r/>
    </w:p>
    <w:p>
      <w:pPr>
        <w:ind w:firstLine="480"/>
        <w:keepLines w:val="0"/>
        <w:keepNext w:val="0"/>
        <w:pageBreakBefore w:val="0"/>
        <w:spacing w:line="360" w:lineRule="auto"/>
        <w:widowControl w:val="off"/>
        <w:rPr>
          <w:rFonts w:hint="eastAsia"/>
          <w:sz w:val="24"/>
          <w:szCs w:val="24"/>
          <w:highlight w:val="none"/>
          <w:lang w:val="en-US" w:eastAsia="zh-CN"/>
        </w:rPr>
      </w:pPr>
      <w:r/>
      <w:bookmarkStart w:id="6" w:name="_Toc28359003"/>
      <w:r/>
      <w:bookmarkStart w:id="7" w:name="_Toc28359080"/>
      <w:r/>
      <w:bookmarkStart w:id="8" w:name="_Toc35393622"/>
      <w:r/>
      <w:bookmarkStart w:id="9" w:name="_Toc35393791"/>
      <w:r/>
      <w:bookmarkStart w:id="10" w:name="_Toc38985264"/>
      <w:r>
        <w:rPr>
          <w:rFonts w:hint="eastAsia"/>
          <w:sz w:val="24"/>
          <w:szCs w:val="24"/>
          <w:highlight w:val="none"/>
          <w:lang w:val="en-US" w:eastAsia="zh-CN"/>
        </w:rPr>
        <w:t xml:space="preserve">4.本项目最高限价：170万/年，报价超过最高投标限价的为无效报价，按照无效响应处理。</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5.采购需求：南京市浦口区桥林街道社区卫生服务中心物业管理服务采购，包括安保服务、保洁服务、工程维修服务、消控服务（详细内容见本磋商文件第四章）</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rPr>
        <w:t xml:space="preserve">6.合同履行期限：</w:t>
      </w:r>
      <w:r>
        <w:rPr>
          <w:rFonts w:hint="eastAsia"/>
          <w:sz w:val="24"/>
          <w:szCs w:val="24"/>
          <w:highlight w:val="none"/>
          <w:lang w:eastAsia="zh-CN"/>
        </w:rPr>
        <w:t xml:space="preserve">自合同签订之日起</w:t>
      </w:r>
      <w:r>
        <w:rPr>
          <w:rFonts w:hint="eastAsia"/>
          <w:sz w:val="24"/>
          <w:szCs w:val="24"/>
          <w:highlight w:val="none"/>
          <w:lang w:val="en-US" w:eastAsia="zh-CN"/>
        </w:rPr>
        <w:t xml:space="preserve">一</w:t>
      </w:r>
      <w:r>
        <w:rPr>
          <w:rFonts w:hint="eastAsia"/>
          <w:sz w:val="24"/>
          <w:szCs w:val="24"/>
          <w:highlight w:val="none"/>
          <w:lang w:eastAsia="zh-CN"/>
        </w:rPr>
        <w:t xml:space="preserve">年。</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7.本项目不接受联合体参与磋商。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二、申请人的资格要求</w:t>
      </w:r>
      <w:bookmarkEnd w:id="6"/>
      <w:r/>
      <w:bookmarkEnd w:id="7"/>
      <w:r/>
      <w:bookmarkEnd w:id="8"/>
      <w:r/>
      <w:bookmarkEnd w:id="9"/>
      <w:r/>
      <w:bookmarkEnd w:id="10"/>
      <w:r/>
      <w:r/>
    </w:p>
    <w:p>
      <w:pPr>
        <w:ind w:firstLine="480"/>
        <w:keepLines w:val="0"/>
        <w:keepNext w:val="0"/>
        <w:pageBreakBefore w:val="0"/>
        <w:spacing w:line="360" w:lineRule="auto"/>
        <w:widowControl w:val="off"/>
        <w:rPr>
          <w:rFonts w:hint="eastAsia"/>
          <w:sz w:val="24"/>
          <w:szCs w:val="24"/>
          <w:highlight w:val="none"/>
        </w:rPr>
      </w:pPr>
      <w:r/>
      <w:bookmarkStart w:id="11" w:name="_Toc38985265"/>
      <w:r/>
      <w:bookmarkStart w:id="12" w:name="_Toc28359081"/>
      <w:r/>
      <w:bookmarkStart w:id="13" w:name="_Toc35393623"/>
      <w:r/>
      <w:bookmarkStart w:id="14" w:name="_Toc28359004"/>
      <w:r/>
      <w:bookmarkStart w:id="15" w:name="_Toc35393792"/>
      <w:r>
        <w:rPr>
          <w:rFonts w:hint="eastAsia"/>
          <w:sz w:val="24"/>
          <w:szCs w:val="24"/>
          <w:highlight w:val="none"/>
        </w:rPr>
        <w:t xml:space="preserve">（一）通用资格要求</w:t>
      </w:r>
      <w:r/>
    </w:p>
    <w:p>
      <w:pPr>
        <w:ind w:firstLine="480"/>
        <w:keepLines w:val="0"/>
        <w:keepNext w:val="0"/>
        <w:pageBreakBefore w:val="0"/>
        <w:spacing w:line="360" w:lineRule="auto"/>
        <w:widowControl w:val="off"/>
        <w:rPr>
          <w:rFonts w:hint="eastAsia"/>
          <w:sz w:val="24"/>
          <w:szCs w:val="24"/>
          <w:highlight w:val="none"/>
          <w:lang w:val="zh-CN"/>
        </w:rPr>
      </w:pPr>
      <w:r>
        <w:rPr>
          <w:rFonts w:hint="eastAsia"/>
          <w:sz w:val="24"/>
          <w:szCs w:val="24"/>
          <w:highlight w:val="none"/>
          <w:lang w:val="zh-CN"/>
        </w:rPr>
        <w:t xml:space="preserve">1.满足《中华人民共和国政府采购法》第二十二条规定，并提供下列材料：</w:t>
      </w:r>
      <w:r/>
    </w:p>
    <w:p>
      <w:pPr>
        <w:ind w:firstLine="480"/>
        <w:keepLines w:val="0"/>
        <w:keepNext w:val="0"/>
        <w:pageBreakBefore w:val="0"/>
        <w:spacing w:line="360" w:lineRule="auto"/>
        <w:widowControl w:val="off"/>
        <w:rPr>
          <w:rFonts w:hint="eastAsia"/>
          <w:sz w:val="24"/>
          <w:szCs w:val="24"/>
          <w:highlight w:val="none"/>
          <w:lang w:val="zh-CN" w:eastAsia="zh-CN"/>
        </w:rPr>
      </w:pPr>
      <w:r>
        <w:rPr>
          <w:rFonts w:hint="eastAsia"/>
          <w:sz w:val="24"/>
          <w:szCs w:val="24"/>
          <w:highlight w:val="none"/>
          <w:lang w:val="en-US" w:eastAsia="zh-CN"/>
        </w:rPr>
        <w:t xml:space="preserve">1.1</w:t>
      </w:r>
      <w:r>
        <w:rPr>
          <w:rFonts w:hint="eastAsia"/>
          <w:sz w:val="24"/>
          <w:szCs w:val="24"/>
          <w:highlight w:val="none"/>
          <w:lang w:val="zh-CN"/>
        </w:rPr>
        <w:t xml:space="preserve">供应商信用承诺函</w:t>
      </w:r>
      <w:r>
        <w:rPr>
          <w:rFonts w:hint="eastAsia"/>
          <w:b/>
          <w:bCs/>
          <w:sz w:val="24"/>
          <w:szCs w:val="24"/>
          <w:highlight w:val="none"/>
          <w:lang w:val="zh-CN"/>
        </w:rPr>
        <w:t xml:space="preserve">（</w:t>
      </w:r>
      <w:r>
        <w:rPr>
          <w:rFonts w:hint="eastAsia"/>
          <w:b/>
          <w:bCs/>
          <w:sz w:val="24"/>
          <w:szCs w:val="24"/>
          <w:highlight w:val="none"/>
          <w:lang w:val="zh-CN" w:eastAsia="zh-CN"/>
        </w:rPr>
        <w:t xml:space="preserve">格式见第六章</w:t>
      </w:r>
      <w:r>
        <w:rPr>
          <w:rFonts w:hint="eastAsia"/>
          <w:b/>
          <w:bCs/>
          <w:sz w:val="24"/>
          <w:szCs w:val="24"/>
          <w:highlight w:val="none"/>
          <w:lang w:val="zh-CN"/>
        </w:rPr>
        <w:t xml:space="preserve">）</w:t>
      </w:r>
      <w:r>
        <w:rPr>
          <w:rFonts w:hint="eastAsia"/>
          <w:sz w:val="24"/>
          <w:szCs w:val="24"/>
          <w:highlight w:val="none"/>
          <w:lang w:val="zh-CN" w:eastAsia="zh-CN"/>
        </w:rPr>
        <w:t xml:space="preserve">。</w:t>
      </w:r>
      <w:r/>
    </w:p>
    <w:p>
      <w:pPr>
        <w:ind w:firstLine="480"/>
        <w:keepLines w:val="0"/>
        <w:keepNext w:val="0"/>
        <w:pageBreakBefore w:val="0"/>
        <w:spacing w:line="360" w:lineRule="auto"/>
        <w:widowControl w:val="off"/>
        <w:rPr>
          <w:rFonts w:hint="eastAsia"/>
          <w:sz w:val="24"/>
          <w:szCs w:val="24"/>
          <w:highlight w:val="none"/>
          <w:lang w:val="zh-CN"/>
        </w:rPr>
      </w:pPr>
      <w:r>
        <w:rPr>
          <w:rFonts w:hint="eastAsia"/>
          <w:sz w:val="24"/>
          <w:szCs w:val="24"/>
          <w:highlight w:val="none"/>
          <w:lang w:val="zh-CN"/>
        </w:rPr>
        <w:t xml:space="preserve">2.落实政府采购政策需满足的资格要求：</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本项目专门面向中小企业采购，</w:t>
      </w:r>
      <w:r>
        <w:rPr>
          <w:rFonts w:hint="eastAsia"/>
          <w:sz w:val="24"/>
          <w:szCs w:val="24"/>
          <w:highlight w:val="none"/>
          <w:lang w:eastAsia="zh-CN"/>
        </w:rPr>
        <w:t xml:space="preserve">不</w:t>
      </w:r>
      <w:r>
        <w:rPr>
          <w:rFonts w:hint="eastAsia"/>
          <w:sz w:val="24"/>
          <w:szCs w:val="24"/>
          <w:highlight w:val="none"/>
        </w:rPr>
        <w:t xml:space="preserve">执行价格扣除优惠政策，供应商应为中小微企业、监狱企业、残疾人福利性单位</w:t>
      </w:r>
      <w:r>
        <w:rPr>
          <w:rFonts w:hint="eastAsia"/>
          <w:sz w:val="24"/>
          <w:szCs w:val="24"/>
          <w:highlight w:val="none"/>
          <w:lang w:val="en-US" w:eastAsia="zh-CN"/>
        </w:rPr>
        <w:t xml:space="preserve">，</w:t>
      </w:r>
      <w:r>
        <w:rPr>
          <w:rFonts w:hint="eastAsia"/>
          <w:sz w:val="24"/>
          <w:szCs w:val="24"/>
          <w:highlight w:val="none"/>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zh-CN"/>
        </w:rPr>
        <w:t xml:space="preserve">本项目采购标的对应的中小企业划分标准所属行业为：</w:t>
      </w:r>
      <w:r>
        <w:rPr>
          <w:rFonts w:hint="eastAsia"/>
          <w:sz w:val="24"/>
          <w:szCs w:val="24"/>
          <w:highlight w:val="none"/>
          <w:u w:val="single"/>
          <w:lang w:val="zh-CN"/>
        </w:rPr>
        <w:t xml:space="preserve">物业服务管理</w:t>
      </w:r>
      <w:r>
        <w:rPr>
          <w:rFonts w:hint="eastAsia"/>
          <w:sz w:val="24"/>
          <w:szCs w:val="24"/>
          <w:highlight w:val="none"/>
          <w:lang w:val="en-US" w:eastAsia="zh-CN"/>
        </w:rPr>
        <w:t xml:space="preserve">。</w:t>
      </w:r>
      <w:r>
        <w:rPr>
          <w:rFonts w:hint="eastAsia"/>
          <w:sz w:val="24"/>
          <w:szCs w:val="24"/>
          <w:highlight w:val="none"/>
        </w:rPr>
        <w:t xml:space="preserve">根据《中小企业划型标准规定》工信部联企业[2011]300号规定，从业人员1000人以下或营业收入</w:t>
      </w:r>
      <w:r>
        <w:rPr>
          <w:rFonts w:hint="eastAsia"/>
          <w:sz w:val="24"/>
          <w:szCs w:val="24"/>
          <w:highlight w:val="none"/>
          <w:lang w:val="en-US" w:eastAsia="zh-CN"/>
        </w:rPr>
        <w:t xml:space="preserve">5</w:t>
      </w:r>
      <w:r>
        <w:rPr>
          <w:rFonts w:hint="eastAsia"/>
          <w:sz w:val="24"/>
          <w:szCs w:val="24"/>
          <w:highlight w:val="none"/>
        </w:rPr>
        <w:t xml:space="preserve">000万元以下的为中小微型企业。其中，从业人员300人及以上，且营业收入</w:t>
      </w:r>
      <w:r>
        <w:rPr>
          <w:rFonts w:hint="eastAsia"/>
          <w:sz w:val="24"/>
          <w:szCs w:val="24"/>
          <w:highlight w:val="none"/>
          <w:lang w:val="en-US" w:eastAsia="zh-CN"/>
        </w:rPr>
        <w:t xml:space="preserve">1</w:t>
      </w:r>
      <w:r>
        <w:rPr>
          <w:rFonts w:hint="eastAsia"/>
          <w:sz w:val="24"/>
          <w:szCs w:val="24"/>
          <w:highlight w:val="none"/>
        </w:rPr>
        <w:t xml:space="preserve">000万元及以上的为中型企业；从业人员</w:t>
      </w:r>
      <w:r>
        <w:rPr>
          <w:rFonts w:hint="eastAsia"/>
          <w:sz w:val="24"/>
          <w:szCs w:val="24"/>
          <w:highlight w:val="none"/>
          <w:lang w:val="en-US" w:eastAsia="zh-CN"/>
        </w:rPr>
        <w:t xml:space="preserve">100</w:t>
      </w:r>
      <w:r>
        <w:rPr>
          <w:rFonts w:hint="eastAsia"/>
          <w:sz w:val="24"/>
          <w:szCs w:val="24"/>
          <w:highlight w:val="none"/>
        </w:rPr>
        <w:t xml:space="preserve">人及以上，且营业收入</w:t>
      </w:r>
      <w:r>
        <w:rPr>
          <w:rFonts w:hint="eastAsia"/>
          <w:sz w:val="24"/>
          <w:szCs w:val="24"/>
          <w:highlight w:val="none"/>
          <w:lang w:val="en-US" w:eastAsia="zh-CN"/>
        </w:rPr>
        <w:t xml:space="preserve">500</w:t>
      </w:r>
      <w:r>
        <w:rPr>
          <w:rFonts w:hint="eastAsia"/>
          <w:sz w:val="24"/>
          <w:szCs w:val="24"/>
          <w:highlight w:val="none"/>
        </w:rPr>
        <w:t xml:space="preserve">万元及以上的为小型企业；从业人员</w:t>
      </w:r>
      <w:r>
        <w:rPr>
          <w:rFonts w:hint="eastAsia"/>
          <w:sz w:val="24"/>
          <w:szCs w:val="24"/>
          <w:highlight w:val="none"/>
          <w:lang w:val="en-US" w:eastAsia="zh-CN"/>
        </w:rPr>
        <w:t xml:space="preserve">100</w:t>
      </w:r>
      <w:r>
        <w:rPr>
          <w:rFonts w:hint="eastAsia"/>
          <w:sz w:val="24"/>
          <w:szCs w:val="24"/>
          <w:highlight w:val="none"/>
        </w:rPr>
        <w:t xml:space="preserve">人以下或营业收入</w:t>
      </w:r>
      <w:r>
        <w:rPr>
          <w:rFonts w:hint="eastAsia"/>
          <w:sz w:val="24"/>
          <w:szCs w:val="24"/>
          <w:highlight w:val="none"/>
          <w:lang w:val="en-US" w:eastAsia="zh-CN"/>
        </w:rPr>
        <w:t xml:space="preserve">5</w:t>
      </w:r>
      <w:r>
        <w:rPr>
          <w:rFonts w:hint="eastAsia"/>
          <w:sz w:val="24"/>
          <w:szCs w:val="24"/>
          <w:highlight w:val="none"/>
        </w:rPr>
        <w:t xml:space="preserve">00万元以下的为微型企业。</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rPr>
        <w:t xml:space="preserve">（二）本项目的特定资格要求</w:t>
      </w:r>
      <w:r>
        <w:rPr>
          <w:rFonts w:hint="eastAsia"/>
          <w:sz w:val="24"/>
          <w:szCs w:val="24"/>
          <w:highlight w:val="none"/>
          <w:lang w:val="zh-CN" w:eastAsia="zh-CN"/>
        </w:rPr>
        <w:t xml:space="preserve">：</w:t>
      </w:r>
      <w:r>
        <w:rPr>
          <w:rFonts w:hint="eastAsia"/>
          <w:sz w:val="24"/>
          <w:szCs w:val="24"/>
          <w:highlight w:val="none"/>
          <w:lang w:val="en-US" w:eastAsia="zh-CN"/>
        </w:rPr>
        <w:t xml:space="preserve">无。</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eastAsia="zh-CN"/>
        </w:rPr>
        <w:t xml:space="preserve">（</w:t>
      </w:r>
      <w:r>
        <w:rPr>
          <w:rFonts w:hint="eastAsia"/>
          <w:sz w:val="24"/>
          <w:szCs w:val="24"/>
          <w:highlight w:val="none"/>
          <w:lang w:val="en-US" w:eastAsia="zh-CN"/>
        </w:rPr>
        <w:t xml:space="preserve">三</w:t>
      </w:r>
      <w:r>
        <w:rPr>
          <w:rFonts w:hint="eastAsia"/>
          <w:sz w:val="24"/>
          <w:szCs w:val="24"/>
          <w:highlight w:val="none"/>
          <w:lang w:eastAsia="zh-CN"/>
        </w:rPr>
        <w:t xml:space="preserve">）</w:t>
      </w:r>
      <w:r>
        <w:rPr>
          <w:rFonts w:hint="eastAsia"/>
          <w:sz w:val="24"/>
          <w:szCs w:val="24"/>
          <w:highlight w:val="none"/>
        </w:rPr>
        <w:t xml:space="preserve">拒绝下述供应商参加本次采购活动</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1.</w:t>
      </w:r>
      <w:r>
        <w:rPr>
          <w:rFonts w:hint="eastAsia"/>
          <w:sz w:val="24"/>
          <w:szCs w:val="24"/>
          <w:highlight w:val="none"/>
        </w:rPr>
        <w:t xml:space="preserve">单位负责人为同一人或者存在直接控股、管理关系的不同供应商，不得参加同一合同项下的政府采购活动</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为采购项目提供整体设计、规范编制或者项目管理、监理、检测等服务的供应商，不得参加本项目的采购活动</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3.</w:t>
      </w:r>
      <w:r>
        <w:rPr>
          <w:rFonts w:hint="eastAsia"/>
          <w:sz w:val="24"/>
          <w:szCs w:val="24"/>
          <w:highlight w:val="none"/>
        </w:rPr>
        <w:t xml:space="preserve">供应商被“信用中国”网站（www.creditchina.gov.cn）列入失信被执行人、重大税收违法案件当事人名单、政府采购严重违法失信行为记录名单</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三、获取</w:t>
      </w:r>
      <w:bookmarkEnd w:id="11"/>
      <w:r/>
      <w:bookmarkEnd w:id="12"/>
      <w:r/>
      <w:bookmarkEnd w:id="13"/>
      <w:r/>
      <w:bookmarkEnd w:id="14"/>
      <w:r/>
      <w:bookmarkEnd w:id="15"/>
      <w:r>
        <w:rPr>
          <w:rFonts w:hint="eastAsia"/>
          <w:sz w:val="24"/>
          <w:szCs w:val="24"/>
          <w:highlight w:val="none"/>
        </w:rPr>
        <w:t xml:space="preserve">磋商文件</w:t>
      </w:r>
      <w:r/>
    </w:p>
    <w:p>
      <w:pPr>
        <w:ind w:firstLine="480"/>
        <w:keepLines w:val="0"/>
        <w:keepNext w:val="0"/>
        <w:pageBreakBefore w:val="0"/>
        <w:spacing w:line="360" w:lineRule="auto"/>
        <w:widowControl w:val="off"/>
        <w:rPr>
          <w:rFonts w:hint="eastAsia"/>
          <w:sz w:val="24"/>
          <w:szCs w:val="24"/>
          <w:highlight w:val="none"/>
        </w:rPr>
      </w:pPr>
      <w:r/>
      <w:bookmarkStart w:id="16" w:name="_Toc28359082"/>
      <w:r/>
      <w:bookmarkStart w:id="17" w:name="_Toc28359005"/>
      <w:r/>
      <w:bookmarkStart w:id="18" w:name="_Toc38985266"/>
      <w:r/>
      <w:bookmarkStart w:id="19" w:name="_Toc35393793"/>
      <w:r/>
      <w:bookmarkStart w:id="20" w:name="_Toc35393624"/>
      <w:r>
        <w:rPr>
          <w:rFonts w:hint="eastAsia"/>
          <w:sz w:val="24"/>
          <w:szCs w:val="24"/>
          <w:highlight w:val="none"/>
        </w:rPr>
        <w:t xml:space="preserve">1.时间：自磋商文件公告发布之日起</w:t>
      </w:r>
      <w:r>
        <w:rPr>
          <w:rFonts w:hint="eastAsia"/>
          <w:sz w:val="24"/>
          <w:szCs w:val="24"/>
          <w:highlight w:val="none"/>
          <w:lang w:val="en-US" w:eastAsia="zh-CN"/>
        </w:rPr>
        <w:t xml:space="preserve">5个工作日</w:t>
      </w:r>
      <w:r>
        <w:rPr>
          <w:rFonts w:hint="eastAsia"/>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2.方式：</w:t>
      </w:r>
      <w:r>
        <w:rPr>
          <w:rFonts w:hint="eastAsia"/>
          <w:sz w:val="24"/>
          <w:szCs w:val="24"/>
          <w:highlight w:val="none"/>
          <w:lang w:eastAsia="zh-CN"/>
        </w:rPr>
        <w:t xml:space="preserve">网上免费下载</w:t>
      </w:r>
      <w:r>
        <w:rPr>
          <w:rFonts w:hint="eastAsia"/>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四、提交</w:t>
      </w:r>
      <w:bookmarkEnd w:id="16"/>
      <w:r/>
      <w:bookmarkEnd w:id="17"/>
      <w:r>
        <w:rPr>
          <w:rFonts w:hint="eastAsia"/>
          <w:sz w:val="24"/>
          <w:szCs w:val="24"/>
          <w:highlight w:val="none"/>
        </w:rPr>
        <w:t xml:space="preserve">响应文件截止时间</w:t>
      </w:r>
      <w:bookmarkEnd w:id="18"/>
      <w:r/>
      <w:bookmarkEnd w:id="19"/>
      <w:r/>
      <w:bookmarkEnd w:id="20"/>
      <w:r/>
      <w:r/>
    </w:p>
    <w:p>
      <w:pPr>
        <w:ind w:firstLine="480"/>
        <w:keepLines w:val="0"/>
        <w:keepNext w:val="0"/>
        <w:pageBreakBefore w:val="0"/>
        <w:spacing w:line="360" w:lineRule="auto"/>
        <w:widowControl w:val="off"/>
        <w:rPr>
          <w:rFonts w:hint="eastAsia"/>
          <w:sz w:val="24"/>
          <w:szCs w:val="24"/>
          <w:highlight w:val="none"/>
        </w:rPr>
      </w:pPr>
      <w:r>
        <w:rPr>
          <w:rFonts w:hint="eastAsia"/>
          <w:color w:val="auto"/>
          <w:sz w:val="24"/>
          <w:szCs w:val="24"/>
          <w:highlight w:val="none"/>
        </w:rPr>
        <w:t xml:space="preserve"> </w:t>
      </w:r>
      <w:r>
        <w:rPr>
          <w:rFonts w:hint="eastAsia"/>
          <w:color w:val="auto"/>
          <w:sz w:val="24"/>
          <w:szCs w:val="24"/>
          <w:highlight w:val="none"/>
          <w:lang w:val="en-US" w:eastAsia="zh-CN"/>
        </w:rPr>
        <w:t xml:space="preserve">2026</w:t>
      </w:r>
      <w:r>
        <w:rPr>
          <w:rFonts w:hint="eastAsia"/>
          <w:color w:val="auto"/>
          <w:sz w:val="24"/>
          <w:szCs w:val="24"/>
          <w:highlight w:val="none"/>
        </w:rPr>
        <w:t xml:space="preserve">年</w:t>
      </w:r>
      <w:r>
        <w:rPr>
          <w:rFonts w:hint="eastAsia"/>
          <w:color w:val="auto"/>
          <w:sz w:val="24"/>
          <w:szCs w:val="24"/>
          <w:highlight w:val="none"/>
          <w:lang w:val="en-US" w:eastAsia="zh-CN"/>
        </w:rPr>
        <w:t xml:space="preserve">07</w:t>
      </w:r>
      <w:r>
        <w:rPr>
          <w:rFonts w:hint="eastAsia"/>
          <w:color w:val="auto"/>
          <w:sz w:val="24"/>
          <w:szCs w:val="24"/>
          <w:highlight w:val="none"/>
        </w:rPr>
        <w:t xml:space="preserve">月</w:t>
      </w:r>
      <w:r>
        <w:rPr>
          <w:rFonts w:hint="eastAsia"/>
          <w:color w:val="auto"/>
          <w:sz w:val="24"/>
          <w:szCs w:val="24"/>
          <w:highlight w:val="none"/>
          <w:lang w:val="en-US" w:eastAsia="zh-CN"/>
        </w:rPr>
        <w:t xml:space="preserve">20</w:t>
      </w:r>
      <w:r>
        <w:rPr>
          <w:rFonts w:hint="eastAsia"/>
          <w:color w:val="auto"/>
          <w:sz w:val="24"/>
          <w:szCs w:val="24"/>
          <w:highlight w:val="none"/>
        </w:rPr>
        <w:t xml:space="preserve">日09点30分（北京时间）</w:t>
      </w:r>
      <w:r>
        <w:rPr>
          <w:rFonts w:hint="eastAsia"/>
          <w:sz w:val="24"/>
          <w:szCs w:val="24"/>
          <w:highlight w:val="none"/>
        </w:rPr>
        <w:t xml:space="preserve">。</w:t>
      </w:r>
      <w:r>
        <w:rPr>
          <w:highlight w:val="none"/>
        </w:rPr>
      </w:r>
    </w:p>
    <w:p>
      <w:pPr>
        <w:ind w:firstLine="480"/>
        <w:keepLines w:val="0"/>
        <w:keepNext w:val="0"/>
        <w:pageBreakBefore w:val="0"/>
        <w:spacing w:line="360" w:lineRule="auto"/>
        <w:widowControl w:val="off"/>
        <w:rPr>
          <w:rFonts w:hint="eastAsia"/>
          <w:sz w:val="24"/>
          <w:szCs w:val="24"/>
          <w:highlight w:val="none"/>
        </w:rPr>
      </w:pPr>
      <w:r/>
      <w:bookmarkStart w:id="21" w:name="_Toc35393794"/>
      <w:r/>
      <w:bookmarkStart w:id="22" w:name="_Toc28359084"/>
      <w:r/>
      <w:bookmarkStart w:id="23" w:name="_Toc35393625"/>
      <w:r/>
      <w:bookmarkStart w:id="24" w:name="_Toc28359007"/>
      <w:r/>
      <w:bookmarkStart w:id="25" w:name="_Toc38985267"/>
      <w:r>
        <w:rPr>
          <w:rFonts w:hint="eastAsia"/>
          <w:sz w:val="24"/>
          <w:szCs w:val="24"/>
          <w:highlight w:val="none"/>
        </w:rPr>
        <w:t xml:space="preserve">五、公告期限</w:t>
      </w:r>
      <w:bookmarkEnd w:id="21"/>
      <w:r/>
      <w:bookmarkEnd w:id="22"/>
      <w:r/>
      <w:bookmarkEnd w:id="23"/>
      <w:r/>
      <w:bookmarkEnd w:id="24"/>
      <w:r/>
      <w:bookmarkEnd w:id="25"/>
      <w:r/>
      <w:r/>
    </w:p>
    <w:p>
      <w:pPr>
        <w:ind w:firstLine="480"/>
        <w:keepLines w:val="0"/>
        <w:keepNext w:val="0"/>
        <w:pageBreakBefore w:val="0"/>
        <w:spacing w:line="360" w:lineRule="auto"/>
        <w:widowControl w:val="off"/>
        <w:rPr>
          <w:rFonts w:hint="eastAsia"/>
          <w:sz w:val="24"/>
          <w:szCs w:val="24"/>
          <w:highlight w:val="none"/>
        </w:rPr>
      </w:pPr>
      <w:r/>
      <w:bookmarkStart w:id="26" w:name="_Toc38985268"/>
      <w:r/>
      <w:bookmarkStart w:id="27" w:name="_Toc35393795"/>
      <w:r/>
      <w:bookmarkStart w:id="28" w:name="_Toc35393626"/>
      <w:r>
        <w:rPr>
          <w:rFonts w:hint="eastAsia"/>
          <w:sz w:val="24"/>
          <w:szCs w:val="24"/>
          <w:highlight w:val="none"/>
        </w:rPr>
        <w:t xml:space="preserve">磋商公告及磋商文件公告期限为自本公告发布之日起</w:t>
      </w:r>
      <w:r>
        <w:rPr>
          <w:rFonts w:hint="eastAsia"/>
          <w:sz w:val="24"/>
          <w:szCs w:val="24"/>
          <w:highlight w:val="none"/>
          <w:lang w:val="en-US" w:eastAsia="zh-CN"/>
        </w:rPr>
        <w:t xml:space="preserve">5</w:t>
      </w:r>
      <w:r>
        <w:rPr>
          <w:rFonts w:hint="eastAsia"/>
          <w:sz w:val="24"/>
          <w:szCs w:val="24"/>
          <w:highlight w:val="none"/>
        </w:rPr>
        <w:t xml:space="preserve">个工作日。</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六、其他补充事宜</w:t>
      </w:r>
      <w:bookmarkEnd w:id="26"/>
      <w:r/>
      <w:bookmarkEnd w:id="27"/>
      <w:r/>
      <w:bookmarkEnd w:id="28"/>
      <w:r/>
      <w:r/>
    </w:p>
    <w:p>
      <w:pPr>
        <w:ind w:firstLine="480"/>
        <w:keepLines w:val="0"/>
        <w:keepNext w:val="0"/>
        <w:pageBreakBefore w:val="0"/>
        <w:spacing w:line="360" w:lineRule="auto"/>
        <w:widowControl w:val="off"/>
        <w:rPr>
          <w:rFonts w:hint="eastAsia"/>
          <w:sz w:val="24"/>
          <w:szCs w:val="24"/>
          <w:highlight w:val="none"/>
        </w:rPr>
      </w:pPr>
      <w:r/>
      <w:bookmarkStart w:id="29" w:name="_Toc28359085"/>
      <w:r/>
      <w:bookmarkStart w:id="30" w:name="_Toc35393796"/>
      <w:r/>
      <w:bookmarkStart w:id="31" w:name="_Toc38985269"/>
      <w:r/>
      <w:bookmarkStart w:id="32" w:name="_Toc28359008"/>
      <w:r/>
      <w:bookmarkStart w:id="33" w:name="_Toc35393627"/>
      <w:r>
        <w:rPr>
          <w:rFonts w:hint="eastAsia"/>
          <w:sz w:val="24"/>
          <w:szCs w:val="24"/>
          <w:highlight w:val="none"/>
        </w:rPr>
        <w:t xml:space="preserve">1.本次</w:t>
      </w:r>
      <w:r>
        <w:rPr>
          <w:rFonts w:hint="eastAsia"/>
          <w:sz w:val="24"/>
          <w:szCs w:val="24"/>
          <w:highlight w:val="none"/>
          <w:lang w:val="en-US" w:eastAsia="zh-CN"/>
        </w:rPr>
        <w:t xml:space="preserve">磋商</w:t>
      </w:r>
      <w:r>
        <w:rPr>
          <w:rFonts w:hint="eastAsia"/>
          <w:sz w:val="24"/>
          <w:szCs w:val="24"/>
          <w:highlight w:val="none"/>
        </w:rPr>
        <w:t xml:space="preserve">不收取</w:t>
      </w:r>
      <w:r>
        <w:rPr>
          <w:rFonts w:hint="eastAsia"/>
          <w:sz w:val="24"/>
          <w:szCs w:val="24"/>
          <w:highlight w:val="none"/>
          <w:lang w:val="en-US" w:eastAsia="zh-CN"/>
        </w:rPr>
        <w:t xml:space="preserve">磋商</w:t>
      </w:r>
      <w:r>
        <w:rPr>
          <w:rFonts w:hint="eastAsia"/>
          <w:sz w:val="24"/>
          <w:szCs w:val="24"/>
          <w:highlight w:val="none"/>
        </w:rPr>
        <w:t xml:space="preserve">保证金。</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rPr>
        <w:t xml:space="preserve">2.</w:t>
      </w:r>
      <w:r>
        <w:rPr>
          <w:rFonts w:hint="eastAsia"/>
          <w:sz w:val="24"/>
          <w:szCs w:val="24"/>
          <w:highlight w:val="none"/>
          <w:lang w:eastAsia="zh-CN"/>
        </w:rPr>
        <w:t xml:space="preserve">现场勘察及答疑</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本项目不组织集中</w:t>
      </w:r>
      <w:r>
        <w:rPr>
          <w:rFonts w:hint="eastAsia"/>
          <w:sz w:val="24"/>
          <w:szCs w:val="24"/>
          <w:highlight w:val="none"/>
          <w:lang w:eastAsia="zh-CN"/>
        </w:rPr>
        <w:t xml:space="preserve">勘察及答疑</w:t>
      </w:r>
      <w:r>
        <w:rPr>
          <w:rFonts w:hint="eastAsia"/>
          <w:sz w:val="24"/>
          <w:szCs w:val="24"/>
          <w:highlight w:val="none"/>
          <w:lang w:val="en-US" w:eastAsia="zh-CN"/>
        </w:rPr>
        <w:t xml:space="preserve">，供应商如对采购需求有疑问，请咨询采购单位联系人。</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lang w:eastAsia="zh-CN"/>
        </w:rPr>
        <w:t xml:space="preserve">.</w:t>
      </w:r>
      <w:r>
        <w:rPr>
          <w:rFonts w:hint="eastAsia"/>
          <w:sz w:val="24"/>
          <w:szCs w:val="24"/>
          <w:highlight w:val="none"/>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w:t>
      </w:r>
      <w:r>
        <w:rPr>
          <w:rFonts w:hint="eastAsia"/>
          <w:sz w:val="24"/>
          <w:szCs w:val="24"/>
          <w:highlight w:val="none"/>
          <w:lang w:eastAsia="zh-CN"/>
        </w:rPr>
        <w:t xml:space="preserve">南京市公共资源交易中心浦口分中心</w:t>
      </w:r>
      <w:r>
        <w:rPr>
          <w:rFonts w:hint="eastAsia"/>
          <w:sz w:val="24"/>
          <w:szCs w:val="24"/>
          <w:highlight w:val="none"/>
        </w:rPr>
        <w:t xml:space="preserve">北门外1255室（025-68505941）办理）。具体联系方式见《苏采云系统供应商操作手册》（以下简称《操作手册》）。</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供应商按《苏采云系统供应商操作手册》要求进行注册，并制作上传电子投标文件（“苏采云”南京地区客服热线025-83633744、025-83633743）。江苏省政府采购管理交易系统供应商操作指南，下载地址：</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eastAsia="zh-CN"/>
        </w:rPr>
        <w:t xml:space="preserve">有关本次磋商的事项若存在变动或修改，请及时关注“江苏政府采购网”（www.ccgp-jiangsu.gov.cn）更正公告。</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七、本次磋商联系方式</w:t>
      </w:r>
      <w:bookmarkEnd w:id="29"/>
      <w:r/>
      <w:bookmarkEnd w:id="30"/>
      <w:r/>
      <w:bookmarkEnd w:id="31"/>
      <w:r/>
      <w:bookmarkEnd w:id="32"/>
      <w:r/>
      <w:bookmarkEnd w:id="33"/>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1.采购人信息</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名  称：南京市浦口区桥林街道社区卫生服务中心　</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eastAsia="zh-CN"/>
        </w:rPr>
        <w:t xml:space="preserve">地</w:t>
      </w:r>
      <w:r>
        <w:rPr>
          <w:rFonts w:hint="eastAsia"/>
          <w:sz w:val="24"/>
          <w:szCs w:val="24"/>
          <w:highlight w:val="none"/>
          <w:lang w:val="en-US" w:eastAsia="zh-CN"/>
        </w:rPr>
        <w:t xml:space="preserve">  </w:t>
      </w:r>
      <w:r>
        <w:rPr>
          <w:rFonts w:hint="eastAsia"/>
          <w:sz w:val="24"/>
          <w:szCs w:val="24"/>
          <w:highlight w:val="none"/>
        </w:rPr>
        <w:t xml:space="preserve">址：</w:t>
      </w:r>
      <w:bookmarkStart w:id="34" w:name="_Toc28359086"/>
      <w:r/>
      <w:bookmarkStart w:id="35" w:name="_Toc28359009"/>
      <w:r>
        <w:rPr>
          <w:rFonts w:hint="eastAsia"/>
          <w:sz w:val="24"/>
          <w:szCs w:val="24"/>
          <w:highlight w:val="none"/>
          <w:lang w:val="en-US" w:eastAsia="zh-CN"/>
        </w:rPr>
        <w:t xml:space="preserve">南京市浦口区延寿路28号</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联系方式：周科</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联系人：025-58220381</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2.南京市公共资源交易中心浦口分中心信息</w:t>
      </w:r>
      <w:bookmarkEnd w:id="34"/>
      <w:r/>
      <w:bookmarkEnd w:id="35"/>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地　址：</w:t>
      </w:r>
      <w:r>
        <w:rPr>
          <w:rFonts w:hint="eastAsia"/>
          <w:sz w:val="24"/>
          <w:szCs w:val="24"/>
          <w:highlight w:val="none"/>
          <w:lang w:eastAsia="zh-CN"/>
        </w:rPr>
        <w:t xml:space="preserve">南京市浦口区江浦街道象山路4号浦口市民中心B幢五楼受理大厅</w:t>
      </w:r>
      <w:r>
        <w:rPr>
          <w:rFonts w:hint="eastAsia"/>
          <w:sz w:val="24"/>
          <w:szCs w:val="24"/>
          <w:highlight w:val="none"/>
          <w:lang w:val="en-US" w:eastAsia="zh-CN"/>
        </w:rPr>
        <w:t xml:space="preserve"> </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联系人：杨工、张工</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联系电话：15150649722</w:t>
      </w:r>
      <w:r/>
    </w:p>
    <w:p>
      <w:pPr>
        <w:jc w:val="center"/>
        <w:keepLines/>
        <w:keepNext/>
        <w:spacing w:before="260" w:after="260"/>
        <w:rPr>
          <w:rFonts w:hint="eastAsia" w:ascii="宋体" w:hAnsi="宋体" w:eastAsia="宋体" w:cs="宋体"/>
          <w:b/>
          <w:bCs/>
          <w:color w:val="auto"/>
          <w:sz w:val="44"/>
          <w:szCs w:val="44"/>
          <w:highlight w:val="none"/>
        </w:rPr>
        <w:outlineLvl w:val="0"/>
      </w:pPr>
      <w:r/>
      <w:bookmarkStart w:id="36" w:name="_Toc27944"/>
      <w:r/>
      <w:r/>
    </w:p>
    <w:p>
      <w:pPr>
        <w:jc w:val="both"/>
        <w:keepLines/>
        <w:keepNext/>
        <w:spacing w:before="260" w:after="260"/>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jc w:val="center"/>
        <w:keepLines/>
        <w:keepNext/>
        <w:spacing w:before="260" w:after="260"/>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jc w:val="center"/>
        <w:keepLines/>
        <w:keepNext/>
        <w:spacing w:before="260" w:after="260"/>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pStyle w:val="839"/>
        <w:ind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ind w:left="0"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ind w:left="0"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ind w:left="0"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ind w:left="0"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highlight w:val="none"/>
        </w:rPr>
      </w:pPr>
      <w:r>
        <w:rPr>
          <w:rFonts w:hint="eastAsia"/>
          <w:highlight w:val="none"/>
        </w:rPr>
      </w:r>
      <w:r/>
    </w:p>
    <w:p>
      <w:pPr>
        <w:jc w:val="center"/>
        <w:rPr>
          <w:rFonts w:hint="eastAsia"/>
          <w:b/>
          <w:bCs/>
          <w:sz w:val="44"/>
          <w:szCs w:val="44"/>
          <w:highlight w:val="none"/>
        </w:rPr>
      </w:pPr>
      <w:r>
        <w:rPr>
          <w:rFonts w:hint="eastAsia"/>
          <w:b/>
          <w:bCs/>
          <w:sz w:val="36"/>
          <w:szCs w:val="36"/>
          <w:highlight w:val="none"/>
        </w:rPr>
        <w:t xml:space="preserve">第二章  供应商须知</w:t>
      </w:r>
      <w:bookmarkEnd w:id="36"/>
      <w:r/>
      <w:r/>
    </w:p>
    <w:p>
      <w:pPr>
        <w:ind w:firstLine="480"/>
        <w:keepLines w:val="0"/>
        <w:keepNext w:val="0"/>
        <w:pageBreakBefore w:val="0"/>
        <w:spacing w:line="360" w:lineRule="auto"/>
        <w:widowControl w:val="off"/>
        <w:rPr>
          <w:rFonts w:hint="eastAsia"/>
          <w:sz w:val="24"/>
          <w:szCs w:val="24"/>
          <w:highlight w:val="none"/>
        </w:rPr>
      </w:pPr>
      <w:r/>
      <w:bookmarkStart w:id="37" w:name="_Toc20823275"/>
      <w:r/>
      <w:bookmarkStart w:id="38" w:name="_Toc513029203"/>
      <w:r/>
      <w:bookmarkStart w:id="39" w:name="_Toc16938519"/>
      <w:r/>
      <w:bookmarkStart w:id="40" w:name="_Toc120614214"/>
      <w:r>
        <w:rPr>
          <w:rFonts w:hint="eastAsia"/>
          <w:sz w:val="24"/>
          <w:szCs w:val="24"/>
          <w:highlight w:val="none"/>
        </w:rPr>
        <w:t xml:space="preserve">一、总则</w:t>
      </w:r>
      <w:bookmarkEnd w:id="37"/>
      <w:r/>
      <w:bookmarkEnd w:id="38"/>
      <w:r/>
      <w:bookmarkEnd w:id="39"/>
      <w:r/>
      <w:bookmarkEnd w:id="40"/>
      <w:r/>
      <w:r/>
    </w:p>
    <w:p>
      <w:pPr>
        <w:ind w:firstLine="480"/>
        <w:keepLines w:val="0"/>
        <w:keepNext w:val="0"/>
        <w:pageBreakBefore w:val="0"/>
        <w:spacing w:line="360" w:lineRule="auto"/>
        <w:widowControl w:val="off"/>
        <w:rPr>
          <w:rFonts w:hint="eastAsia"/>
          <w:sz w:val="24"/>
          <w:szCs w:val="24"/>
          <w:highlight w:val="none"/>
        </w:rPr>
      </w:pPr>
      <w:r/>
      <w:bookmarkStart w:id="41" w:name="_Hlt16619475"/>
      <w:r/>
      <w:bookmarkEnd w:id="41"/>
      <w:r/>
      <w:bookmarkStart w:id="42" w:name="_Toc458694821"/>
      <w:r/>
      <w:bookmarkStart w:id="43" w:name="_Toc16938520"/>
      <w:r/>
      <w:bookmarkStart w:id="44" w:name="_Toc20823276"/>
      <w:r/>
      <w:bookmarkStart w:id="45" w:name="_Toc513029204"/>
      <w:r>
        <w:rPr>
          <w:rFonts w:hint="eastAsia"/>
          <w:sz w:val="24"/>
          <w:szCs w:val="24"/>
          <w:highlight w:val="none"/>
        </w:rPr>
        <w:t xml:space="preserve">1</w:t>
      </w:r>
      <w:bookmarkEnd w:id="42"/>
      <w:r>
        <w:rPr>
          <w:rFonts w:hint="eastAsia"/>
          <w:sz w:val="24"/>
          <w:szCs w:val="24"/>
          <w:highlight w:val="none"/>
        </w:rPr>
        <w:t xml:space="preserve">.采购方式</w:t>
      </w:r>
      <w:bookmarkEnd w:id="43"/>
      <w:r/>
      <w:bookmarkEnd w:id="44"/>
      <w:r/>
      <w:bookmarkEnd w:id="45"/>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1.1本次政府采购活动采取竞争性磋商(以下简称“磋商”)方式，本磋商文件仅适用于磋商公告中所述项目。</w:t>
      </w:r>
      <w:r/>
    </w:p>
    <w:p>
      <w:pPr>
        <w:ind w:firstLine="480"/>
        <w:keepLines w:val="0"/>
        <w:keepNext w:val="0"/>
        <w:pageBreakBefore w:val="0"/>
        <w:spacing w:line="360" w:lineRule="auto"/>
        <w:widowControl w:val="off"/>
        <w:rPr>
          <w:rFonts w:hint="eastAsia"/>
          <w:sz w:val="24"/>
          <w:szCs w:val="24"/>
          <w:highlight w:val="none"/>
        </w:rPr>
      </w:pPr>
      <w:r/>
      <w:bookmarkStart w:id="46" w:name="_Toc16938521"/>
      <w:r/>
      <w:bookmarkStart w:id="47" w:name="_Toc20823277"/>
      <w:r/>
      <w:bookmarkStart w:id="48" w:name="_Toc513029205"/>
      <w:r>
        <w:rPr>
          <w:rFonts w:hint="eastAsia"/>
          <w:sz w:val="24"/>
          <w:szCs w:val="24"/>
          <w:highlight w:val="none"/>
        </w:rPr>
        <w:t xml:space="preserve">2.合格的</w:t>
      </w:r>
      <w:bookmarkEnd w:id="46"/>
      <w:r/>
      <w:bookmarkEnd w:id="47"/>
      <w:r/>
      <w:bookmarkEnd w:id="48"/>
      <w:r>
        <w:rPr>
          <w:rFonts w:hint="eastAsia"/>
          <w:sz w:val="24"/>
          <w:szCs w:val="24"/>
          <w:highlight w:val="none"/>
        </w:rPr>
        <w:t xml:space="preserve">供应商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2.1满足磋商公告对供应商资格要求的规定。</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2.2 满足本磋商文件规定的实质性要求和条件。</w:t>
      </w:r>
      <w:r/>
    </w:p>
    <w:p>
      <w:pPr>
        <w:ind w:firstLine="480"/>
        <w:keepLines w:val="0"/>
        <w:keepNext w:val="0"/>
        <w:pageBreakBefore w:val="0"/>
        <w:spacing w:line="360" w:lineRule="auto"/>
        <w:widowControl w:val="off"/>
        <w:rPr>
          <w:rFonts w:hint="eastAsia"/>
          <w:sz w:val="24"/>
          <w:szCs w:val="24"/>
          <w:highlight w:val="none"/>
        </w:rPr>
      </w:pPr>
      <w:r/>
      <w:bookmarkStart w:id="49" w:name="_Toc16938522"/>
      <w:r/>
      <w:bookmarkStart w:id="50" w:name="_Toc513029206"/>
      <w:r/>
      <w:bookmarkStart w:id="51" w:name="_Toc20823278"/>
      <w:r>
        <w:rPr>
          <w:rFonts w:hint="eastAsia"/>
          <w:sz w:val="24"/>
          <w:szCs w:val="24"/>
          <w:highlight w:val="none"/>
        </w:rPr>
        <w:t xml:space="preserve">3.适用法律</w:t>
      </w:r>
      <w:bookmarkEnd w:id="49"/>
      <w:r/>
      <w:bookmarkEnd w:id="50"/>
      <w:r/>
      <w:bookmarkEnd w:id="51"/>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3.1 本次磋商及由此产生的合同受中华人民共和国有关的法律法规制约和保护。</w:t>
      </w:r>
      <w:r/>
    </w:p>
    <w:p>
      <w:pPr>
        <w:ind w:firstLine="480"/>
        <w:keepLines w:val="0"/>
        <w:keepNext w:val="0"/>
        <w:pageBreakBefore w:val="0"/>
        <w:spacing w:line="360" w:lineRule="auto"/>
        <w:widowControl w:val="off"/>
        <w:rPr>
          <w:rFonts w:hint="eastAsia"/>
          <w:sz w:val="24"/>
          <w:szCs w:val="24"/>
          <w:highlight w:val="none"/>
        </w:rPr>
      </w:pPr>
      <w:r/>
      <w:bookmarkStart w:id="52" w:name="_Toc462564067"/>
      <w:r/>
      <w:bookmarkStart w:id="53" w:name="_Toc513029207"/>
      <w:r/>
      <w:bookmarkStart w:id="54" w:name="_Toc20823279"/>
      <w:r/>
      <w:bookmarkStart w:id="55" w:name="_Toc16938523"/>
      <w:r>
        <w:rPr>
          <w:rFonts w:hint="eastAsia"/>
          <w:sz w:val="24"/>
          <w:szCs w:val="24"/>
          <w:highlight w:val="none"/>
        </w:rPr>
        <w:t xml:space="preserve">4.磋商费用</w:t>
      </w:r>
      <w:bookmarkEnd w:id="52"/>
      <w:r/>
      <w:bookmarkEnd w:id="53"/>
      <w:r/>
      <w:bookmarkEnd w:id="54"/>
      <w:r/>
      <w:bookmarkEnd w:id="55"/>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4.1供应商应自行承担所有与参加磋商有关的费用，无论磋商过程中的做法和结果如何，交易中心在任何情况下均无义务和责任承担这些费用。</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4.2本次磋商交易中心和采购人不收取采购文件工本费与成交服务费。</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5.磋商文件的约束力</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5.1供应商一旦参加本项目采购活动，即被认为接受了本磋商文件的规定和约束。</w:t>
      </w:r>
      <w:r/>
    </w:p>
    <w:p>
      <w:pPr>
        <w:ind w:firstLine="480"/>
        <w:keepLines w:val="0"/>
        <w:keepNext w:val="0"/>
        <w:pageBreakBefore w:val="0"/>
        <w:spacing w:line="360" w:lineRule="auto"/>
        <w:widowControl w:val="off"/>
        <w:rPr>
          <w:rFonts w:hint="eastAsia"/>
          <w:sz w:val="24"/>
          <w:szCs w:val="24"/>
          <w:highlight w:val="none"/>
        </w:rPr>
      </w:pPr>
      <w:r/>
      <w:bookmarkStart w:id="56" w:name="_Toc513029209"/>
      <w:r/>
      <w:bookmarkStart w:id="57" w:name="_Toc20823281"/>
      <w:r/>
      <w:bookmarkStart w:id="58" w:name="_Toc120614215"/>
      <w:r/>
      <w:bookmarkStart w:id="59" w:name="_Toc16938525"/>
      <w:r>
        <w:rPr>
          <w:rFonts w:hint="eastAsia"/>
          <w:sz w:val="24"/>
          <w:szCs w:val="24"/>
          <w:highlight w:val="none"/>
        </w:rPr>
        <w:t xml:space="preserve">二、</w:t>
      </w:r>
      <w:bookmarkEnd w:id="56"/>
      <w:r/>
      <w:bookmarkEnd w:id="57"/>
      <w:r/>
      <w:bookmarkEnd w:id="58"/>
      <w:r/>
      <w:bookmarkEnd w:id="59"/>
      <w:r>
        <w:rPr>
          <w:rFonts w:hint="eastAsia"/>
          <w:sz w:val="24"/>
          <w:szCs w:val="24"/>
          <w:highlight w:val="none"/>
        </w:rPr>
        <w:t xml:space="preserve">磋商文件</w:t>
      </w:r>
      <w:r/>
    </w:p>
    <w:p>
      <w:pPr>
        <w:ind w:firstLine="480"/>
        <w:keepLines w:val="0"/>
        <w:keepNext w:val="0"/>
        <w:pageBreakBefore w:val="0"/>
        <w:spacing w:line="360" w:lineRule="auto"/>
        <w:widowControl w:val="off"/>
        <w:rPr>
          <w:rFonts w:hint="eastAsia"/>
          <w:sz w:val="24"/>
          <w:szCs w:val="24"/>
          <w:highlight w:val="none"/>
        </w:rPr>
      </w:pPr>
      <w:r/>
      <w:bookmarkStart w:id="60" w:name="_Toc16938526"/>
      <w:r/>
      <w:bookmarkStart w:id="61" w:name="_Toc513029210"/>
      <w:r/>
      <w:bookmarkStart w:id="62" w:name="_Toc20823282"/>
      <w:r>
        <w:rPr>
          <w:rFonts w:hint="eastAsia"/>
          <w:sz w:val="24"/>
          <w:szCs w:val="24"/>
          <w:highlight w:val="none"/>
        </w:rPr>
        <w:t xml:space="preserve">6.磋商文件构成</w:t>
      </w:r>
      <w:bookmarkEnd w:id="60"/>
      <w:r/>
      <w:bookmarkEnd w:id="61"/>
      <w:r/>
      <w:bookmarkEnd w:id="62"/>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6.1磋商文件由以下部分组成：</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（1）磋商邀请</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（2）供应商须知</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（3）合同文本</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（4）采购需求</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（5）评审方法与评审标准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（6）响应文件格式</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供应商应仔细检查磋商文件是否齐全，如有缺漏请立即与交易中心联系解决。</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val="0"/>
        <w:keepNext w:val="0"/>
        <w:pageBreakBefore w:val="0"/>
        <w:spacing w:line="360" w:lineRule="auto"/>
        <w:widowControl w:val="off"/>
        <w:rPr>
          <w:rFonts w:hint="eastAsia"/>
          <w:sz w:val="24"/>
          <w:szCs w:val="24"/>
          <w:highlight w:val="none"/>
        </w:rPr>
      </w:pPr>
      <w:r/>
      <w:bookmarkStart w:id="63" w:name="_Toc513029211"/>
      <w:r/>
      <w:bookmarkStart w:id="64" w:name="_Toc20823283"/>
      <w:r/>
      <w:bookmarkStart w:id="65" w:name="_Toc16938527"/>
      <w:r/>
      <w:bookmarkStart w:id="66" w:name="_Toc462564070"/>
      <w:r>
        <w:rPr>
          <w:rFonts w:hint="eastAsia"/>
          <w:sz w:val="24"/>
          <w:szCs w:val="24"/>
          <w:highlight w:val="none"/>
        </w:rPr>
        <w:t xml:space="preserve">7.磋商文件的澄清</w:t>
      </w:r>
      <w:bookmarkEnd w:id="63"/>
      <w:r/>
      <w:bookmarkEnd w:id="64"/>
      <w:r/>
      <w:bookmarkEnd w:id="65"/>
      <w:r/>
      <w:bookmarkEnd w:id="66"/>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7.1 任何要求对磋商文件进行澄清的供应商，应在磋商截止期五日前按磋商公告中的通讯地址，以书面形式通知交易中心。</w:t>
      </w:r>
      <w:r/>
    </w:p>
    <w:p>
      <w:pPr>
        <w:ind w:firstLine="480"/>
        <w:keepLines w:val="0"/>
        <w:keepNext w:val="0"/>
        <w:pageBreakBefore w:val="0"/>
        <w:spacing w:line="360" w:lineRule="auto"/>
        <w:widowControl w:val="off"/>
        <w:rPr>
          <w:rFonts w:hint="eastAsia"/>
          <w:sz w:val="24"/>
          <w:szCs w:val="24"/>
          <w:highlight w:val="none"/>
        </w:rPr>
      </w:pPr>
      <w:r/>
      <w:bookmarkStart w:id="67" w:name="_Toc16938528"/>
      <w:r/>
      <w:bookmarkStart w:id="68" w:name="_Toc462564071"/>
      <w:r/>
      <w:bookmarkStart w:id="69" w:name="_Toc20823284"/>
      <w:r/>
      <w:bookmarkStart w:id="70" w:name="_Toc513029212"/>
      <w:r>
        <w:rPr>
          <w:rFonts w:hint="eastAsia"/>
          <w:sz w:val="24"/>
          <w:szCs w:val="24"/>
          <w:highlight w:val="none"/>
        </w:rPr>
        <w:t xml:space="preserve">8.磋商文件的澄清和修改</w:t>
      </w:r>
      <w:bookmarkEnd w:id="67"/>
      <w:r/>
      <w:bookmarkEnd w:id="68"/>
      <w:r/>
      <w:bookmarkEnd w:id="69"/>
      <w:r/>
      <w:bookmarkEnd w:id="70"/>
      <w:r/>
      <w:r/>
    </w:p>
    <w:p>
      <w:pPr>
        <w:ind w:firstLine="480"/>
        <w:keepLines w:val="0"/>
        <w:keepNext w:val="0"/>
        <w:pageBreakBefore w:val="0"/>
        <w:spacing w:line="360" w:lineRule="auto"/>
        <w:widowControl w:val="off"/>
        <w:rPr>
          <w:rFonts w:hint="eastAsia"/>
          <w:sz w:val="24"/>
          <w:szCs w:val="24"/>
          <w:highlight w:val="none"/>
        </w:rPr>
      </w:pPr>
      <w:r/>
      <w:bookmarkStart w:id="71" w:name="_Toc462564072"/>
      <w:r/>
      <w:bookmarkStart w:id="72" w:name="_Toc16938529"/>
      <w:r/>
      <w:bookmarkStart w:id="73" w:name="_Toc120614216"/>
      <w:r/>
      <w:bookmarkStart w:id="74" w:name="_Toc20823285"/>
      <w:r/>
      <w:bookmarkStart w:id="75" w:name="_Toc513029213"/>
      <w:r>
        <w:rPr>
          <w:rFonts w:hint="eastAsia"/>
          <w:sz w:val="24"/>
          <w:szCs w:val="24"/>
          <w:highlight w:val="none"/>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8.3交易中心有权按照法定的要求推迟提交响应文件截止时间，并在原公告媒体发布更正公告。</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三、响应文件的编制</w:t>
      </w:r>
      <w:bookmarkEnd w:id="71"/>
      <w:r/>
      <w:bookmarkEnd w:id="72"/>
      <w:r/>
      <w:bookmarkEnd w:id="73"/>
      <w:r/>
      <w:bookmarkEnd w:id="74"/>
      <w:r/>
      <w:bookmarkEnd w:id="75"/>
      <w:r/>
      <w:r/>
    </w:p>
    <w:p>
      <w:pPr>
        <w:ind w:firstLine="480"/>
        <w:keepLines w:val="0"/>
        <w:keepNext w:val="0"/>
        <w:pageBreakBefore w:val="0"/>
        <w:spacing w:line="360" w:lineRule="auto"/>
        <w:widowControl w:val="off"/>
        <w:rPr>
          <w:rFonts w:hint="eastAsia"/>
          <w:sz w:val="24"/>
          <w:szCs w:val="24"/>
          <w:highlight w:val="none"/>
        </w:rPr>
      </w:pPr>
      <w:r/>
      <w:bookmarkStart w:id="76" w:name="_Toc20823286"/>
      <w:r/>
      <w:bookmarkStart w:id="77" w:name="_Toc16938530"/>
      <w:r/>
      <w:bookmarkStart w:id="78" w:name="_Toc513029214"/>
      <w:r/>
      <w:bookmarkStart w:id="79" w:name="_Toc462564073"/>
      <w:r>
        <w:rPr>
          <w:rFonts w:hint="eastAsia"/>
          <w:sz w:val="24"/>
          <w:szCs w:val="24"/>
          <w:highlight w:val="none"/>
        </w:rPr>
        <w:t xml:space="preserve">9.响应文件的语言及度量衡单位</w:t>
      </w:r>
      <w:bookmarkEnd w:id="76"/>
      <w:r/>
      <w:bookmarkEnd w:id="77"/>
      <w:r/>
      <w:bookmarkEnd w:id="78"/>
      <w:r/>
      <w:bookmarkEnd w:id="79"/>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9.1供应商提交的响应文件以及供应商与交易中心就有关磋商的所有来往通知、函件和文件均应使用简体中文。</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9.2 除技术性能另有规定外，响应文件所使用的度量衡单位，均须采用国家法定计量单位。</w:t>
      </w:r>
      <w:r/>
    </w:p>
    <w:p>
      <w:pPr>
        <w:ind w:firstLine="480"/>
        <w:keepLines w:val="0"/>
        <w:keepNext w:val="0"/>
        <w:pageBreakBefore w:val="0"/>
        <w:spacing w:line="360" w:lineRule="auto"/>
        <w:widowControl w:val="off"/>
        <w:rPr>
          <w:rFonts w:hint="eastAsia"/>
          <w:sz w:val="24"/>
          <w:szCs w:val="24"/>
          <w:highlight w:val="none"/>
        </w:rPr>
      </w:pPr>
      <w:r/>
      <w:bookmarkStart w:id="80" w:name="_Toc462564074"/>
      <w:r/>
      <w:bookmarkStart w:id="81" w:name="_Toc20823287"/>
      <w:r/>
      <w:bookmarkStart w:id="82" w:name="_Toc16938531"/>
      <w:r/>
      <w:bookmarkStart w:id="83" w:name="_Toc513029215"/>
      <w:r>
        <w:rPr>
          <w:rFonts w:hint="eastAsia"/>
          <w:sz w:val="24"/>
          <w:szCs w:val="24"/>
          <w:highlight w:val="none"/>
        </w:rPr>
        <w:t xml:space="preserve">10.响应文件构成</w:t>
      </w:r>
      <w:bookmarkEnd w:id="80"/>
      <w:r/>
      <w:bookmarkEnd w:id="81"/>
      <w:r/>
      <w:bookmarkEnd w:id="82"/>
      <w:r/>
      <w:bookmarkEnd w:id="83"/>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10.1供应商编写的响应文件应包括资格证明文件、符合性证明文件、磋商报价明细表、响应及偏离表、其他证明文件、磋商响应函等部分。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10.2 如标书制作工具</w:t>
      </w:r>
      <w:r>
        <w:rPr>
          <w:rFonts w:hint="eastAsia"/>
          <w:sz w:val="24"/>
          <w:szCs w:val="24"/>
          <w:highlight w:val="none"/>
          <w:lang w:eastAsia="zh-CN"/>
        </w:rPr>
        <w:t xml:space="preserve">中的</w:t>
      </w:r>
      <w:r>
        <w:rPr>
          <w:rFonts w:hint="eastAsia"/>
          <w:sz w:val="24"/>
          <w:szCs w:val="24"/>
          <w:highlight w:val="none"/>
        </w:rPr>
        <w:t xml:space="preserve">格式和内容与“江苏政府采购网”发布的磋商文件不一致，以“江苏政府采购网”发布的磋商文件为准。</w:t>
      </w:r>
      <w:r/>
    </w:p>
    <w:p>
      <w:pPr>
        <w:ind w:firstLine="480"/>
        <w:keepLines w:val="0"/>
        <w:keepNext w:val="0"/>
        <w:pageBreakBefore w:val="0"/>
        <w:spacing w:line="360" w:lineRule="auto"/>
        <w:widowControl w:val="off"/>
        <w:rPr>
          <w:rFonts w:hint="eastAsia"/>
          <w:sz w:val="24"/>
          <w:szCs w:val="24"/>
          <w:highlight w:val="none"/>
        </w:rPr>
      </w:pPr>
      <w:r/>
      <w:bookmarkStart w:id="84" w:name="_Hlt26954838"/>
      <w:r/>
      <w:bookmarkEnd w:id="84"/>
      <w:r/>
      <w:bookmarkStart w:id="85" w:name="_Hlt26670360"/>
      <w:r/>
      <w:bookmarkEnd w:id="85"/>
      <w:r/>
      <w:bookmarkStart w:id="86" w:name="_Hlt26668975"/>
      <w:r/>
      <w:bookmarkEnd w:id="86"/>
      <w:r/>
      <w:bookmarkStart w:id="87" w:name="_Toc513029216"/>
      <w:r/>
      <w:bookmarkStart w:id="88" w:name="_Toc14577354"/>
      <w:r/>
      <w:bookmarkStart w:id="89" w:name="_Toc49090509"/>
      <w:r/>
      <w:bookmarkStart w:id="90" w:name="_Toc513029219"/>
      <w:r/>
      <w:bookmarkStart w:id="91" w:name="_Toc49090507"/>
      <w:r/>
      <w:bookmarkStart w:id="92" w:name="_Toc14577357"/>
      <w:r/>
      <w:bookmarkStart w:id="93" w:name="_Toc14577355"/>
      <w:r/>
      <w:bookmarkStart w:id="94" w:name="_Toc49090508"/>
      <w:r>
        <w:rPr>
          <w:rFonts w:hint="eastAsia"/>
          <w:sz w:val="24"/>
          <w:szCs w:val="24"/>
          <w:highlight w:val="none"/>
        </w:rPr>
        <w:t xml:space="preserve">11.证明磋商响应标的符合磋商文件规定的文件</w:t>
      </w:r>
      <w:bookmarkEnd w:id="87"/>
      <w:r/>
      <w:bookmarkEnd w:id="88"/>
      <w:r/>
      <w:bookmarkEnd w:id="89"/>
      <w:r/>
      <w:bookmarkEnd w:id="90"/>
      <w:r/>
      <w:bookmarkEnd w:id="91"/>
      <w:r/>
      <w:bookmarkEnd w:id="92"/>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11.1供应商应按照法律、法规、规章和规范性文件以及磋商文件要求提交证明文件，证明其响应标的符合磋商文件规定。</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11.2磋商文件对证明文件无明确形式要求的，证明文件可以以文字资料、图纸和数据等形式提交。</w:t>
      </w:r>
      <w:bookmarkEnd w:id="93"/>
      <w:r/>
      <w:bookmarkEnd w:id="94"/>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12.磋商报价明细表</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12.1供应商应按照磋商文件规定格式填报磋商报价明细表。</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12.2磋商货币。响应文件中的单价和总价无特殊规定的采用人民币报价，以元为单位标注。磋商文件中另有规定的按规定执行。</w:t>
      </w:r>
      <w:r/>
    </w:p>
    <w:p>
      <w:pPr>
        <w:ind w:firstLine="480"/>
        <w:keepLines w:val="0"/>
        <w:keepNext w:val="0"/>
        <w:pageBreakBefore w:val="0"/>
        <w:spacing w:line="360" w:lineRule="auto"/>
        <w:widowControl w:val="off"/>
        <w:rPr>
          <w:rFonts w:hint="eastAsia"/>
          <w:sz w:val="24"/>
          <w:szCs w:val="24"/>
          <w:highlight w:val="none"/>
        </w:rPr>
      </w:pPr>
      <w:r/>
      <w:bookmarkStart w:id="95" w:name="_Hlt26670482"/>
      <w:r/>
      <w:bookmarkEnd w:id="95"/>
      <w:r/>
      <w:bookmarkStart w:id="96" w:name="_Hlt26954848"/>
      <w:r/>
      <w:bookmarkEnd w:id="96"/>
      <w:r/>
      <w:bookmarkStart w:id="97" w:name="_Hlt26670486"/>
      <w:r/>
      <w:bookmarkEnd w:id="97"/>
      <w:r/>
      <w:bookmarkStart w:id="98" w:name="_Hlt26954731"/>
      <w:r/>
      <w:bookmarkEnd w:id="98"/>
      <w:r/>
      <w:bookmarkStart w:id="99" w:name="_Hlt26954846"/>
      <w:r/>
      <w:bookmarkEnd w:id="99"/>
      <w:r>
        <w:rPr>
          <w:rFonts w:hint="eastAsia"/>
          <w:sz w:val="24"/>
          <w:szCs w:val="24"/>
          <w:highlight w:val="none"/>
        </w:rPr>
        <w:t xml:space="preserve">13.响应及偏离表</w:t>
      </w:r>
      <w:r/>
    </w:p>
    <w:p>
      <w:pPr>
        <w:ind w:firstLine="480"/>
        <w:keepLines w:val="0"/>
        <w:keepNext w:val="0"/>
        <w:pageBreakBefore w:val="0"/>
        <w:spacing w:line="360" w:lineRule="auto"/>
        <w:widowControl w:val="off"/>
        <w:rPr>
          <w:rFonts w:hint="eastAsia"/>
          <w:sz w:val="24"/>
          <w:szCs w:val="24"/>
          <w:highlight w:val="none"/>
          <w:lang w:val="zh-CN"/>
        </w:rPr>
      </w:pPr>
      <w:r>
        <w:rPr>
          <w:rFonts w:hint="eastAsia"/>
          <w:sz w:val="24"/>
          <w:szCs w:val="24"/>
          <w:highlight w:val="none"/>
          <w:lang w:val="zh-CN"/>
        </w:rPr>
        <w:t xml:space="preserve">13.1供应商需对磋商文件中的技术要求与商务要求逐项作出响应或偏离说明。</w:t>
      </w:r>
      <w:r/>
    </w:p>
    <w:p>
      <w:pPr>
        <w:ind w:firstLine="480"/>
        <w:keepLines w:val="0"/>
        <w:keepNext w:val="0"/>
        <w:pageBreakBefore w:val="0"/>
        <w:spacing w:line="360" w:lineRule="auto"/>
        <w:widowControl w:val="off"/>
        <w:rPr>
          <w:rFonts w:hint="eastAsia"/>
          <w:sz w:val="24"/>
          <w:szCs w:val="24"/>
          <w:highlight w:val="none"/>
          <w:lang w:val="zh-CN"/>
        </w:rPr>
      </w:pPr>
      <w:r>
        <w:rPr>
          <w:rFonts w:hint="eastAsia"/>
          <w:sz w:val="24"/>
          <w:szCs w:val="24"/>
          <w:highlight w:val="none"/>
          <w:lang w:val="zh-CN"/>
        </w:rPr>
        <w:t xml:space="preserve">13.2供应商可在响应文件中提供认为需要的其他技术文件或说明。</w:t>
      </w:r>
      <w:r/>
    </w:p>
    <w:p>
      <w:pPr>
        <w:ind w:firstLine="480"/>
        <w:keepLines w:val="0"/>
        <w:keepNext w:val="0"/>
        <w:pageBreakBefore w:val="0"/>
        <w:spacing w:line="360" w:lineRule="auto"/>
        <w:widowControl w:val="off"/>
        <w:rPr>
          <w:rFonts w:hint="eastAsia"/>
          <w:sz w:val="24"/>
          <w:szCs w:val="24"/>
          <w:highlight w:val="none"/>
        </w:rPr>
      </w:pPr>
      <w:r/>
      <w:bookmarkStart w:id="100" w:name="_Toc49090510"/>
      <w:r/>
      <w:bookmarkStart w:id="101" w:name="_Toc14577359"/>
      <w:r>
        <w:rPr>
          <w:rFonts w:hint="eastAsia"/>
          <w:sz w:val="24"/>
          <w:szCs w:val="24"/>
          <w:highlight w:val="none"/>
        </w:rPr>
        <w:t xml:space="preserve">14.磋商响应函</w:t>
      </w:r>
      <w:r/>
    </w:p>
    <w:p>
      <w:pPr>
        <w:ind w:firstLine="480"/>
        <w:keepLines w:val="0"/>
        <w:keepNext w:val="0"/>
        <w:pageBreakBefore w:val="0"/>
        <w:spacing w:line="360" w:lineRule="auto"/>
        <w:widowControl w:val="off"/>
        <w:rPr>
          <w:rFonts w:hint="eastAsia"/>
          <w:sz w:val="24"/>
          <w:szCs w:val="24"/>
          <w:highlight w:val="none"/>
          <w:lang w:val="zh-CN"/>
        </w:rPr>
      </w:pPr>
      <w:r>
        <w:rPr>
          <w:rFonts w:hint="eastAsia"/>
          <w:sz w:val="24"/>
          <w:szCs w:val="24"/>
          <w:highlight w:val="none"/>
          <w:lang w:val="zh-CN"/>
        </w:rPr>
        <w:t xml:space="preserve">1</w:t>
      </w:r>
      <w:r>
        <w:rPr>
          <w:rFonts w:hint="eastAsia"/>
          <w:sz w:val="24"/>
          <w:szCs w:val="24"/>
          <w:highlight w:val="none"/>
        </w:rPr>
        <w:t xml:space="preserve">4</w:t>
      </w:r>
      <w:r>
        <w:rPr>
          <w:rFonts w:hint="eastAsia"/>
          <w:sz w:val="24"/>
          <w:szCs w:val="24"/>
          <w:highlight w:val="none"/>
          <w:lang w:val="zh-CN"/>
        </w:rPr>
        <w:t xml:space="preserve">.1供应商应按照磋商文件规定格式完整、正确填报磋商响应函。</w:t>
      </w:r>
      <w:bookmarkEnd w:id="100"/>
      <w:r/>
      <w:bookmarkEnd w:id="101"/>
      <w:r/>
      <w:r/>
    </w:p>
    <w:p>
      <w:pPr>
        <w:ind w:firstLine="480"/>
        <w:keepLines w:val="0"/>
        <w:keepNext w:val="0"/>
        <w:pageBreakBefore w:val="0"/>
        <w:spacing w:line="360" w:lineRule="auto"/>
        <w:widowControl w:val="off"/>
        <w:rPr>
          <w:rFonts w:hint="eastAsia"/>
          <w:sz w:val="24"/>
          <w:szCs w:val="24"/>
          <w:highlight w:val="none"/>
        </w:rPr>
      </w:pPr>
      <w:r/>
      <w:bookmarkStart w:id="102" w:name="_Toc49090511"/>
      <w:r/>
      <w:bookmarkStart w:id="103" w:name="_Toc14577360"/>
      <w:r>
        <w:rPr>
          <w:rFonts w:hint="eastAsia"/>
          <w:sz w:val="24"/>
          <w:szCs w:val="24"/>
          <w:highlight w:val="none"/>
        </w:rPr>
        <w:t xml:space="preserve">15.磋商有效期</w:t>
      </w:r>
      <w:bookmarkEnd w:id="102"/>
      <w:r/>
      <w:bookmarkEnd w:id="103"/>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15.1磋商有效期为采购公告规定的提交响应文件截止之日起</w:t>
      </w:r>
      <w:r>
        <w:rPr>
          <w:rFonts w:hint="eastAsia"/>
          <w:sz w:val="24"/>
          <w:szCs w:val="24"/>
          <w:highlight w:val="none"/>
          <w:lang w:val="zh-CN"/>
        </w:rPr>
        <w:t xml:space="preserve">六十天</w:t>
      </w:r>
      <w:r>
        <w:rPr>
          <w:rFonts w:hint="eastAsia"/>
          <w:sz w:val="24"/>
          <w:szCs w:val="24"/>
          <w:highlight w:val="none"/>
        </w:rPr>
        <w:t xml:space="preserve">。磋商有效期比规定短的将被视为非实质性响应磋商文件而被拒绝。</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16.磋商有效期的延长</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keepLines w:val="0"/>
        <w:keepNext w:val="0"/>
        <w:pageBreakBefore w:val="0"/>
        <w:spacing w:line="360" w:lineRule="auto"/>
        <w:widowControl w:val="off"/>
        <w:rPr>
          <w:rFonts w:hint="eastAsia"/>
          <w:sz w:val="24"/>
          <w:szCs w:val="24"/>
          <w:highlight w:val="none"/>
        </w:rPr>
      </w:pPr>
      <w:r/>
      <w:bookmarkStart w:id="104" w:name="_Toc120614217"/>
      <w:r/>
      <w:bookmarkStart w:id="105" w:name="_Toc20823296"/>
      <w:r/>
      <w:bookmarkStart w:id="106" w:name="_Toc513029224"/>
      <w:r/>
      <w:bookmarkStart w:id="107" w:name="_Toc16938540"/>
      <w:r>
        <w:rPr>
          <w:rFonts w:hint="eastAsia"/>
          <w:sz w:val="24"/>
          <w:szCs w:val="24"/>
          <w:highlight w:val="none"/>
        </w:rPr>
        <w:t xml:space="preserve">四、响应文件的递交</w:t>
      </w:r>
      <w:bookmarkEnd w:id="104"/>
      <w:r/>
      <w:bookmarkEnd w:id="105"/>
      <w:r/>
      <w:bookmarkEnd w:id="106"/>
      <w:r/>
      <w:bookmarkEnd w:id="107"/>
      <w:r/>
      <w:r/>
    </w:p>
    <w:p>
      <w:pPr>
        <w:ind w:firstLine="480"/>
        <w:keepLines w:val="0"/>
        <w:keepNext w:val="0"/>
        <w:pageBreakBefore w:val="0"/>
        <w:spacing w:line="360" w:lineRule="auto"/>
        <w:widowControl w:val="off"/>
        <w:rPr>
          <w:rFonts w:hint="eastAsia"/>
          <w:sz w:val="24"/>
          <w:szCs w:val="24"/>
          <w:highlight w:val="none"/>
        </w:rPr>
      </w:pPr>
      <w:r/>
      <w:bookmarkStart w:id="108" w:name="_Toc462564084"/>
      <w:r/>
      <w:bookmarkStart w:id="109" w:name="_Toc20823297"/>
      <w:r/>
      <w:bookmarkStart w:id="110" w:name="_Toc16938541"/>
      <w:r/>
      <w:bookmarkStart w:id="111" w:name="_Toc513029225"/>
      <w:r>
        <w:rPr>
          <w:rFonts w:hint="eastAsia"/>
          <w:sz w:val="24"/>
          <w:szCs w:val="24"/>
          <w:highlight w:val="none"/>
        </w:rPr>
        <w:t xml:space="preserve">17.磋商</w:t>
      </w:r>
      <w:bookmarkEnd w:id="108"/>
      <w:r/>
      <w:bookmarkEnd w:id="109"/>
      <w:r/>
      <w:bookmarkEnd w:id="110"/>
      <w:r/>
      <w:bookmarkEnd w:id="111"/>
      <w:r>
        <w:rPr>
          <w:rFonts w:hint="eastAsia"/>
          <w:sz w:val="24"/>
          <w:szCs w:val="24"/>
          <w:highlight w:val="none"/>
        </w:rPr>
        <w:t xml:space="preserve">响应文件的递交</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17.1供应商应当按照《操作手册》规定，在提交响应文件截止时间前制作并上传电子响应文件。</w:t>
      </w:r>
      <w:bookmarkStart w:id="112" w:name="_Toc513029226"/>
      <w:r/>
      <w:bookmarkEnd w:id="112"/>
      <w:r/>
      <w:bookmarkStart w:id="113" w:name="_Toc20823298"/>
      <w:r/>
      <w:bookmarkEnd w:id="113"/>
      <w:r/>
      <w:bookmarkStart w:id="114" w:name="_Toc16938542"/>
      <w:r/>
      <w:bookmarkEnd w:id="114"/>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17.3交易中心可以按照规定，通过修改磋商文件酌情延长提交响应文件截止日期，在此情况下，供应商的所有权利和义务均以延长后新的截止日期为准。</w:t>
      </w:r>
      <w:r/>
    </w:p>
    <w:p>
      <w:pPr>
        <w:ind w:firstLine="480"/>
        <w:keepLines w:val="0"/>
        <w:keepNext w:val="0"/>
        <w:pageBreakBefore w:val="0"/>
        <w:spacing w:line="360" w:lineRule="auto"/>
        <w:widowControl w:val="off"/>
        <w:rPr>
          <w:rFonts w:hint="eastAsia"/>
          <w:sz w:val="24"/>
          <w:szCs w:val="24"/>
          <w:highlight w:val="none"/>
        </w:rPr>
      </w:pPr>
      <w:r/>
      <w:bookmarkStart w:id="115" w:name="_Toc513029227"/>
      <w:r/>
      <w:bookmarkStart w:id="116" w:name="_Toc16938543"/>
      <w:r/>
      <w:bookmarkStart w:id="117" w:name="_Toc20823299"/>
      <w:r>
        <w:rPr>
          <w:rFonts w:hint="eastAsia"/>
          <w:sz w:val="24"/>
          <w:szCs w:val="24"/>
          <w:highlight w:val="none"/>
        </w:rPr>
        <w:t xml:space="preserve">18.响应文件</w:t>
      </w:r>
      <w:bookmarkEnd w:id="115"/>
      <w:r/>
      <w:bookmarkEnd w:id="116"/>
      <w:r/>
      <w:bookmarkEnd w:id="117"/>
      <w:r>
        <w:rPr>
          <w:rFonts w:hint="eastAsia"/>
          <w:sz w:val="24"/>
          <w:szCs w:val="24"/>
          <w:highlight w:val="none"/>
        </w:rPr>
        <w:t xml:space="preserve">的拒收</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18.1 交易中心拒绝接收提交响应文件截止时间后上传的任何电子响应文件。</w:t>
      </w:r>
      <w:r/>
    </w:p>
    <w:p>
      <w:pPr>
        <w:ind w:firstLine="480"/>
        <w:keepLines w:val="0"/>
        <w:keepNext w:val="0"/>
        <w:pageBreakBefore w:val="0"/>
        <w:spacing w:line="360" w:lineRule="auto"/>
        <w:widowControl w:val="off"/>
        <w:rPr>
          <w:rFonts w:hint="eastAsia"/>
          <w:sz w:val="24"/>
          <w:szCs w:val="24"/>
          <w:highlight w:val="none"/>
        </w:rPr>
      </w:pPr>
      <w:r/>
      <w:bookmarkStart w:id="118" w:name="_Toc16938544"/>
      <w:r/>
      <w:bookmarkStart w:id="119" w:name="_Toc513029228"/>
      <w:r/>
      <w:bookmarkStart w:id="120" w:name="_Toc20823300"/>
      <w:r>
        <w:rPr>
          <w:rFonts w:hint="eastAsia"/>
          <w:sz w:val="24"/>
          <w:szCs w:val="24"/>
          <w:highlight w:val="none"/>
        </w:rPr>
        <w:t xml:space="preserve">19.响应文件的撤回和修改</w:t>
      </w:r>
      <w:bookmarkEnd w:id="118"/>
      <w:r/>
      <w:bookmarkEnd w:id="119"/>
      <w:r/>
      <w:bookmarkEnd w:id="120"/>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19.1响应文件的撤回</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19.1.1供应商可在提交响应文件截止时间前，撤回其电子响应文件，具体操作方法见《操作手册》。</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19.1.2供应商撤回电子响应文件，则认为其不再参与本项目磋商活动。</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19.2响应文件的修改</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19.2.1 供应商可在提交响应文件截止时间前，对其电子响应文件进行修改，具体操作方法见《操作手册》。</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19.2.2 在提交响应文件截止时间之后，供应商不得对其电子响应文件作任何修改。</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19.3 在提交响应文件截止时间至磋商文件中规定的磋商有效期满之间的这段时间内，供应商不得撤回其响应文件。</w:t>
      </w:r>
      <w:r/>
    </w:p>
    <w:p>
      <w:pPr>
        <w:ind w:firstLine="480"/>
        <w:keepLines w:val="0"/>
        <w:keepNext w:val="0"/>
        <w:pageBreakBefore w:val="0"/>
        <w:spacing w:line="360" w:lineRule="auto"/>
        <w:widowControl w:val="off"/>
        <w:rPr>
          <w:rFonts w:hint="eastAsia"/>
          <w:sz w:val="24"/>
          <w:szCs w:val="24"/>
          <w:highlight w:val="none"/>
        </w:rPr>
      </w:pPr>
      <w:r/>
      <w:bookmarkStart w:id="121" w:name="_Toc120614218"/>
      <w:r/>
      <w:bookmarkStart w:id="122" w:name="_Toc20823301"/>
      <w:r/>
      <w:bookmarkStart w:id="123" w:name="_Toc16938545"/>
      <w:r/>
      <w:bookmarkStart w:id="124" w:name="_Toc513029229"/>
      <w:r>
        <w:rPr>
          <w:rFonts w:hint="eastAsia"/>
          <w:sz w:val="24"/>
          <w:szCs w:val="24"/>
          <w:highlight w:val="none"/>
        </w:rPr>
        <w:t xml:space="preserve">五、响应文件的解密与评审</w:t>
      </w:r>
      <w:bookmarkEnd w:id="121"/>
      <w:r/>
      <w:bookmarkEnd w:id="122"/>
      <w:r/>
      <w:bookmarkEnd w:id="123"/>
      <w:r/>
      <w:bookmarkEnd w:id="124"/>
      <w:r/>
      <w:r/>
    </w:p>
    <w:p>
      <w:pPr>
        <w:ind w:firstLine="480"/>
        <w:keepLines w:val="0"/>
        <w:keepNext w:val="0"/>
        <w:pageBreakBefore w:val="0"/>
        <w:spacing w:line="360" w:lineRule="auto"/>
        <w:widowControl w:val="off"/>
        <w:rPr>
          <w:rFonts w:hint="eastAsia"/>
          <w:sz w:val="24"/>
          <w:szCs w:val="24"/>
          <w:highlight w:val="none"/>
        </w:rPr>
      </w:pPr>
      <w:r/>
      <w:bookmarkStart w:id="125" w:name="_Toc16938546"/>
      <w:r/>
      <w:bookmarkStart w:id="126" w:name="_Toc20823302"/>
      <w:r/>
      <w:bookmarkStart w:id="127" w:name="_Toc513029230"/>
      <w:r>
        <w:rPr>
          <w:rFonts w:hint="eastAsia"/>
          <w:sz w:val="24"/>
          <w:szCs w:val="24"/>
          <w:highlight w:val="none"/>
        </w:rPr>
        <w:t xml:space="preserve">2</w:t>
      </w:r>
      <w:bookmarkEnd w:id="125"/>
      <w:r/>
      <w:bookmarkEnd w:id="126"/>
      <w:r/>
      <w:bookmarkEnd w:id="127"/>
      <w:r>
        <w:rPr>
          <w:rFonts w:hint="eastAsia"/>
          <w:sz w:val="24"/>
          <w:szCs w:val="24"/>
          <w:highlight w:val="none"/>
        </w:rPr>
        <w:t xml:space="preserve">0.响应文件解密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20.1 供应商应当按照《操作手册》规定，在苏采云系统规定的时间内对磋商响应文件进行解密。</w:t>
      </w:r>
      <w:r/>
    </w:p>
    <w:p>
      <w:pPr>
        <w:ind w:firstLine="480"/>
        <w:keepLines w:val="0"/>
        <w:keepNext w:val="0"/>
        <w:pageBreakBefore w:val="0"/>
        <w:spacing w:line="360" w:lineRule="auto"/>
        <w:widowControl w:val="off"/>
        <w:rPr>
          <w:rFonts w:hint="eastAsia"/>
          <w:sz w:val="24"/>
          <w:szCs w:val="24"/>
          <w:highlight w:val="none"/>
        </w:rPr>
      </w:pPr>
      <w:r/>
      <w:bookmarkStart w:id="128" w:name="_Toc16938547"/>
      <w:r/>
      <w:bookmarkStart w:id="129" w:name="_Toc20823303"/>
      <w:r/>
      <w:bookmarkStart w:id="130" w:name="_Toc513029231"/>
      <w:r>
        <w:rPr>
          <w:rFonts w:hint="eastAsia"/>
          <w:sz w:val="24"/>
          <w:szCs w:val="24"/>
          <w:highlight w:val="none"/>
        </w:rPr>
        <w:t xml:space="preserve">21.磋商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21.1 交易中心将组织磋商小组对响应文件进行评审。</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21.2 磋商小组由采购人代表和有关技术、经济等方面的专家组成，且人员构成符合政府采购有关规定。</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21.3 磋商小组独立工作，负责评审所有响应文件并推荐成交侯选人，或根据采购人授权直接确定成交供应商。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22.评审过程的保密与公正</w:t>
      </w:r>
      <w:bookmarkEnd w:id="128"/>
      <w:r/>
      <w:bookmarkEnd w:id="129"/>
      <w:r/>
      <w:bookmarkEnd w:id="130"/>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22.1 磋商小组、采购人和交易中心工作人员、相关监督人员等与评审工作有关的人员，对评审情况以及在评审过程中获悉的国家秘密、商业秘密负有保密责任。</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22.2 在评审过程中，供应商不得以任何行为影响磋商评审过程，否则其响应文件将被作为无效响应文件。</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22.3 交易中心和磋商小组不向未成交的供应商解释未成交原因，也不公布评审过程中的相关细节。</w:t>
      </w:r>
      <w:r/>
    </w:p>
    <w:p>
      <w:pPr>
        <w:ind w:firstLine="480"/>
        <w:keepLines w:val="0"/>
        <w:keepNext w:val="0"/>
        <w:pageBreakBefore w:val="0"/>
        <w:spacing w:line="360" w:lineRule="auto"/>
        <w:widowControl w:val="off"/>
        <w:rPr>
          <w:rFonts w:hint="eastAsia"/>
          <w:sz w:val="24"/>
          <w:szCs w:val="24"/>
          <w:highlight w:val="none"/>
        </w:rPr>
      </w:pPr>
      <w:r/>
      <w:bookmarkStart w:id="131" w:name="_Toc16938548"/>
      <w:r/>
      <w:bookmarkStart w:id="132" w:name="_Toc513029232"/>
      <w:r/>
      <w:bookmarkStart w:id="133" w:name="_Toc20823304"/>
      <w:r>
        <w:rPr>
          <w:rFonts w:hint="eastAsia"/>
          <w:sz w:val="24"/>
          <w:szCs w:val="24"/>
          <w:highlight w:val="none"/>
        </w:rPr>
        <w:t xml:space="preserve">23.评审过程中的澄清</w:t>
      </w:r>
      <w:bookmarkEnd w:id="131"/>
      <w:r/>
      <w:bookmarkEnd w:id="132"/>
      <w:r/>
      <w:bookmarkEnd w:id="133"/>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供应商的澄清、说明或者更正不得超出响应文件的范围或者改变响应文件的实质性内容。</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磋商小组并非对每个供应商都作澄清要求。</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23.2 需要供应商进行澄清、说明和补正的，磋商小组将通过苏采云系统向供应商发布</w:t>
      </w:r>
      <w:r>
        <w:rPr>
          <w:rFonts w:hint="eastAsia"/>
          <w:sz w:val="24"/>
          <w:szCs w:val="24"/>
          <w:highlight w:val="none"/>
          <w:lang w:val="zh-CN"/>
        </w:rPr>
        <w:t xml:space="preserve">《澄清要求函》</w:t>
      </w:r>
      <w:r>
        <w:rPr>
          <w:rFonts w:hint="eastAsia"/>
          <w:sz w:val="24"/>
          <w:szCs w:val="24"/>
          <w:highlight w:val="none"/>
        </w:rPr>
        <w:t xml:space="preserve">，接到</w:t>
      </w:r>
      <w:r>
        <w:rPr>
          <w:rFonts w:hint="eastAsia"/>
          <w:sz w:val="24"/>
          <w:szCs w:val="24"/>
          <w:highlight w:val="none"/>
          <w:lang w:val="zh-CN"/>
        </w:rPr>
        <w:t xml:space="preserve">《澄清要求函》</w:t>
      </w:r>
      <w:r>
        <w:rPr>
          <w:rFonts w:hint="eastAsia"/>
          <w:sz w:val="24"/>
          <w:szCs w:val="24"/>
          <w:highlight w:val="none"/>
        </w:rPr>
        <w:t xml:space="preserve">的供应商应当按照要求在苏采云系统中提交</w:t>
      </w:r>
      <w:r>
        <w:rPr>
          <w:rFonts w:hint="eastAsia"/>
          <w:sz w:val="24"/>
          <w:szCs w:val="24"/>
          <w:highlight w:val="none"/>
          <w:lang w:val="zh-CN"/>
        </w:rPr>
        <w:t xml:space="preserve">《澄清要求函》</w:t>
      </w:r>
      <w:r>
        <w:rPr>
          <w:rFonts w:hint="eastAsia"/>
          <w:sz w:val="24"/>
          <w:szCs w:val="24"/>
          <w:highlight w:val="none"/>
        </w:rPr>
        <w:t xml:space="preserve">并加盖电子公章。澄清、说明和更正的内容作为响应文件的补充部分，具体操作方式见《操作手册》。</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23.3 接到磋商小组澄清、说明和更正要求的供应商如未按规定做出澄清、说明和更正，其风险由供应商自行承担。</w:t>
      </w:r>
      <w:r/>
    </w:p>
    <w:p>
      <w:pPr>
        <w:ind w:firstLine="480"/>
        <w:keepLines w:val="0"/>
        <w:keepNext w:val="0"/>
        <w:pageBreakBefore w:val="0"/>
        <w:spacing w:line="360" w:lineRule="auto"/>
        <w:widowControl w:val="off"/>
        <w:rPr>
          <w:rFonts w:hint="eastAsia"/>
          <w:sz w:val="24"/>
          <w:szCs w:val="24"/>
          <w:highlight w:val="none"/>
        </w:rPr>
      </w:pPr>
      <w:r/>
      <w:bookmarkStart w:id="134" w:name="_Toc16938549"/>
      <w:r/>
      <w:bookmarkStart w:id="135" w:name="_Toc513029233"/>
      <w:r/>
      <w:bookmarkStart w:id="136" w:name="_Toc20823305"/>
      <w:r>
        <w:rPr>
          <w:rFonts w:hint="eastAsia"/>
          <w:sz w:val="24"/>
          <w:szCs w:val="24"/>
          <w:highlight w:val="none"/>
        </w:rPr>
        <w:t xml:space="preserve">24.响应文件的审</w:t>
      </w:r>
      <w:bookmarkEnd w:id="134"/>
      <w:r/>
      <w:bookmarkEnd w:id="135"/>
      <w:r/>
      <w:bookmarkEnd w:id="136"/>
      <w:r>
        <w:rPr>
          <w:rFonts w:hint="eastAsia"/>
          <w:sz w:val="24"/>
          <w:szCs w:val="24"/>
          <w:highlight w:val="none"/>
        </w:rPr>
        <w:t xml:space="preserve">查</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24.1 响应文件审查分为资格审查和符合性审查。</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24.1.1 资格审查。依据法律法规和磋商文件的规定，对响应文件中的资格证明文件进行审查，以确定供应商是否具备参加磋商的资格。</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24.1.2 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24.1.3 未通过资格审查或符合性审查的供应商，磋商小组将在苏采云系统中告知具体原因，评审结束后磋商小组将不再告知未通过资格审查或符合性审查的原因。</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24.3 未实质性响应磋商文件的情形</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24.3.1 供应商在苏采云系统规定的时间内未成功解密电子响应文件的。</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24.3.2 供应商未按照磋商文件要求上传电子响应文件的。</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24.3.3 同一供应商提交两个（含两个）以上不同的响应文件或者最后报价的。</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24.3.4 供应商不具备磋商文件中规定资格要求的。</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24.3.5 供应商的最后报价超过了采购预算或最高限价的。</w:t>
      </w:r>
      <w:r/>
    </w:p>
    <w:p>
      <w:pPr>
        <w:ind w:firstLine="480"/>
        <w:jc w:val="left"/>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24.3.6 不符合磋商文件中规定的实质性要求和条件的</w:t>
      </w:r>
      <w:r>
        <w:rPr>
          <w:rFonts w:hint="eastAsia" w:ascii="宋体" w:hAnsi="宋体" w:eastAsia="宋体" w:cs="宋体"/>
          <w:b/>
          <w:bCs/>
          <w:color w:val="auto"/>
          <w:sz w:val="24"/>
          <w:szCs w:val="24"/>
          <w:highlight w:val="none"/>
        </w:rPr>
        <w:t xml:space="preserve">（本磋商文件中斜体且有下划线部分</w:t>
      </w:r>
      <w:r>
        <w:rPr>
          <w:rFonts w:hint="eastAsia" w:ascii="宋体" w:hAnsi="宋体" w:eastAsia="宋体" w:cs="宋体"/>
          <w:b/>
          <w:bCs/>
          <w:color w:val="auto"/>
          <w:sz w:val="24"/>
          <w:szCs w:val="24"/>
          <w:highlight w:val="none"/>
          <w:lang w:val="zh-CN"/>
        </w:rPr>
        <w:t xml:space="preserve">或者打“</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”内容，</w:t>
      </w:r>
      <w:r>
        <w:rPr>
          <w:rFonts w:hint="eastAsia" w:ascii="宋体" w:hAnsi="宋体" w:eastAsia="宋体" w:cs="宋体"/>
          <w:b/>
          <w:bCs/>
          <w:color w:val="auto"/>
          <w:sz w:val="24"/>
          <w:szCs w:val="24"/>
          <w:highlight w:val="none"/>
        </w:rPr>
        <w:t xml:space="preserve">为实质性要求和条件）。</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24.3.8 响应文件含有采购人不能接受的附加条件的。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24.3.9 磋商小组认为供应商的报价明显低于其他通过符合性审查供应商的报价，有可能影响服务质量或者不能诚信履约的，将通过苏采云系统要求其在30分钟内提供说明，必要时提交相关证明材料。供应商不能证明其报价合理性的，磋商小组应当将其作为无效响应处理。根据《关于推动解决政府采购异常低价问题的通知》（财库〔2026〕2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（1）采购人应当在采购文件中明确，政府采购评审中出现下列情形之一的，评审委员会应当启动异常低价投标（响应）审查程序：</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采购人可以结合具体项目实际情况，提高上述第①项至第③项中启动异常低价投标（响应）审查的数值标准，但是最高不得超过65%。</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江苏省财政厅关于推动解决政府采购异常低价问题相关工作的通知》（苏财购〔2025〕62号），出现竞争性磋商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24.3.10 响应文件未按照磋商文件要求加盖电子公章的。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24.3.11 法律法规及本磋商文件规定的其他无效响应的情形。</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未实质性响应磋商文件的响应文件按无效响应处理。</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24.5 如果响应文件实质上没有响应磋商文件的要求，磋商小组将予以拒绝，供应商不得通过修改或撤销不合要求的偏离或保留而使其成为实质性响应的文件。</w:t>
      </w:r>
      <w:r/>
    </w:p>
    <w:p>
      <w:pPr>
        <w:ind w:firstLine="480"/>
        <w:jc w:val="left"/>
        <w:spacing w:line="500" w:lineRule="exact"/>
        <w:widowControl/>
        <w:rPr>
          <w:rFonts w:hint="eastAsia" w:ascii="宋体" w:hAnsi="宋体" w:eastAsia="宋体" w:cs="宋体"/>
          <w:color w:val="auto"/>
          <w:sz w:val="24"/>
          <w:szCs w:val="24"/>
          <w:highlight w:val="none"/>
        </w:rPr>
      </w:pPr>
      <w:r/>
      <w:bookmarkStart w:id="137" w:name="_Toc513029234"/>
      <w:r/>
      <w:bookmarkStart w:id="138" w:name="_Toc20823306"/>
      <w:r/>
      <w:bookmarkStart w:id="139" w:name="_Toc16938550"/>
      <w:r>
        <w:rPr>
          <w:rFonts w:hint="eastAsia" w:ascii="宋体" w:hAnsi="宋体" w:eastAsia="宋体" w:cs="宋体"/>
          <w:color w:val="auto"/>
          <w:sz w:val="24"/>
          <w:szCs w:val="24"/>
          <w:highlight w:val="none"/>
        </w:rPr>
        <w:t xml:space="preserve">24.6 供应商在项目评审全过程中应保持通讯畅通，并安排专人与交易中心及磋商小组联系。</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137"/>
      <w:r/>
      <w:bookmarkEnd w:id="138"/>
      <w:r/>
      <w:bookmarkEnd w:id="139"/>
      <w:r>
        <w:rPr>
          <w:rFonts w:hint="eastAsia" w:ascii="宋体" w:hAnsi="宋体" w:eastAsia="宋体" w:cs="宋体"/>
          <w:color w:val="auto"/>
          <w:sz w:val="24"/>
          <w:szCs w:val="24"/>
          <w:highlight w:val="none"/>
        </w:rPr>
        <w:t xml:space="preserve">5.磋商程序及评审方法和评审标准</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磋商程序</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评审方法和评审标准</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25.2.2 评审标准</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采购活动终止的情况</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25.3.1 因情况变化，不再符合规定的竞争性磋商采购方式适用情形的。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25.3.2 出现影响采购公正的违法、违规行为的。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25.3.3 除本磋商文件第二章第25.1.2条第三款规定的情形外，在采购过程中符合要求的供应商或者最后报价未超过采购预算的供应商不足3家的。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25.3.4 在苏采云系统规定时间内成功解密电子响应文件的供应商不足3家的。</w:t>
      </w:r>
      <w:r/>
    </w:p>
    <w:p>
      <w:pPr>
        <w:ind w:firstLine="480"/>
        <w:jc w:val="left"/>
        <w:spacing w:line="500" w:lineRule="exact"/>
        <w:widowControl/>
        <w:rPr>
          <w:rFonts w:hint="eastAsia" w:ascii="宋体" w:hAnsi="宋体" w:eastAsia="宋体" w:cs="宋体"/>
          <w:color w:val="auto"/>
          <w:sz w:val="24"/>
          <w:szCs w:val="24"/>
          <w:highlight w:val="none"/>
        </w:rPr>
      </w:pPr>
      <w:r/>
      <w:bookmarkStart w:id="140" w:name="_Toc120614219"/>
      <w:r/>
      <w:bookmarkStart w:id="141" w:name="_Toc20823307"/>
      <w:r/>
      <w:bookmarkStart w:id="142" w:name="_Toc16938551"/>
      <w:r/>
      <w:bookmarkStart w:id="143" w:name="_Toc513029235"/>
      <w:r>
        <w:rPr>
          <w:rFonts w:hint="eastAsia" w:ascii="宋体" w:hAnsi="宋体" w:eastAsia="宋体" w:cs="宋体"/>
          <w:color w:val="auto"/>
          <w:sz w:val="24"/>
          <w:szCs w:val="24"/>
          <w:highlight w:val="none"/>
        </w:rPr>
        <w:t xml:space="preserve">六、</w:t>
      </w:r>
      <w:bookmarkEnd w:id="140"/>
      <w:r/>
      <w:bookmarkEnd w:id="141"/>
      <w:r/>
      <w:bookmarkEnd w:id="142"/>
      <w:r/>
      <w:bookmarkEnd w:id="143"/>
      <w:r>
        <w:rPr>
          <w:rFonts w:hint="eastAsia" w:ascii="宋体" w:hAnsi="宋体" w:eastAsia="宋体" w:cs="宋体"/>
          <w:color w:val="auto"/>
          <w:sz w:val="24"/>
          <w:szCs w:val="24"/>
          <w:highlight w:val="none"/>
        </w:rPr>
        <w:t xml:space="preserve">成交</w:t>
      </w:r>
      <w:r/>
    </w:p>
    <w:p>
      <w:pPr>
        <w:ind w:firstLine="480"/>
        <w:jc w:val="left"/>
        <w:spacing w:line="500" w:lineRule="exact"/>
        <w:widowControl/>
        <w:rPr>
          <w:rFonts w:hint="eastAsia" w:ascii="宋体" w:hAnsi="宋体" w:eastAsia="宋体" w:cs="宋体"/>
          <w:color w:val="auto"/>
          <w:sz w:val="24"/>
          <w:szCs w:val="24"/>
          <w:highlight w:val="none"/>
        </w:rPr>
      </w:pPr>
      <w:r/>
      <w:bookmarkStart w:id="144" w:name="_Toc513029238"/>
      <w:r/>
      <w:bookmarkStart w:id="145" w:name="_Toc20823310"/>
      <w:r/>
      <w:bookmarkStart w:id="146" w:name="_Toc16938554"/>
      <w:r>
        <w:rPr>
          <w:rFonts w:hint="eastAsia" w:ascii="宋体" w:hAnsi="宋体" w:eastAsia="宋体" w:cs="宋体"/>
          <w:color w:val="auto"/>
          <w:sz w:val="24"/>
          <w:szCs w:val="24"/>
          <w:highlight w:val="none"/>
        </w:rPr>
        <w:t xml:space="preserve">2</w:t>
      </w:r>
      <w:bookmarkEnd w:id="144"/>
      <w:r>
        <w:rPr>
          <w:rFonts w:hint="eastAsia" w:ascii="宋体" w:hAnsi="宋体" w:eastAsia="宋体" w:cs="宋体"/>
          <w:color w:val="auto"/>
          <w:sz w:val="24"/>
          <w:szCs w:val="24"/>
          <w:highlight w:val="none"/>
        </w:rPr>
        <w:t xml:space="preserve">6.确定</w:t>
      </w:r>
      <w:bookmarkEnd w:id="145"/>
      <w:r/>
      <w:bookmarkEnd w:id="146"/>
      <w:r>
        <w:rPr>
          <w:rFonts w:hint="eastAsia" w:ascii="宋体" w:hAnsi="宋体" w:eastAsia="宋体" w:cs="宋体"/>
          <w:color w:val="auto"/>
          <w:sz w:val="24"/>
          <w:szCs w:val="24"/>
          <w:highlight w:val="none"/>
        </w:rPr>
        <w:t xml:space="preserve">成交单位</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w:t>
      </w:r>
      <w:r>
        <w:rPr>
          <w:rFonts w:hint="eastAsia" w:ascii="宋体" w:hAnsi="宋体" w:eastAsia="宋体" w:cs="宋体"/>
          <w:color w:val="auto"/>
          <w:sz w:val="24"/>
          <w:szCs w:val="24"/>
          <w:highlight w:val="none"/>
          <w:lang w:val="zh-CN"/>
        </w:rPr>
        <w:t xml:space="preserve">按以下第（</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）种方式确定</w:t>
      </w:r>
      <w:r>
        <w:rPr>
          <w:rFonts w:hint="eastAsia" w:ascii="宋体" w:hAnsi="宋体" w:eastAsia="宋体" w:cs="宋体"/>
          <w:color w:val="auto"/>
          <w:sz w:val="24"/>
          <w:szCs w:val="24"/>
          <w:highlight w:val="none"/>
        </w:rPr>
        <w:t xml:space="preserve">成交供应商</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直接确定排名第一的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为</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（2）采购人在</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推荐的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中按顺序确定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按第二种方式确定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的，交易中心自评审结束之日起两个工作日内将评审报告送交采购人，采购人自收到评审报告之日起五个工作日内，在评审报告推荐的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中按顺序确定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交易中心将在“江苏政府采购网”发布成交结果公告，公告期限为1个工作日。</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若有充分证据证明，成交供应商出现下列情况之一的，一经查实，将被取消成交资格：</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 提供虚假材料谋取成交的。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 与评审专家、采购人、其他供应商或者交易中心工作人员恶意串通的。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26.4.3 向评审专家、采购人或交易中心工作人员行贿或者提供其他不正当利益的。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26.4.4 恶意竞争，最后报价明显低于其自身合理成本且又无法提供证明的。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26.4.5 不满足本磋商文件规定的实质性要求，但在评审过程中未被磋商小组发现的。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26.4.6 成交后无正当理由拒不与采购人签订政府采购合同或者未按照磋商文件确定的事项签订政府采购合同的。</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 将政府采购合同转包的。</w:t>
      </w:r>
      <w:r/>
    </w:p>
    <w:p>
      <w:pPr>
        <w:ind w:firstLine="480"/>
        <w:jc w:val="left"/>
        <w:spacing w:line="500" w:lineRule="exact"/>
        <w:widowControl/>
        <w:rPr>
          <w:rFonts w:hint="eastAsia" w:ascii="宋体" w:hAnsi="宋体" w:eastAsia="宋体" w:cs="宋体"/>
          <w:color w:val="auto"/>
          <w:sz w:val="24"/>
          <w:szCs w:val="24"/>
          <w:highlight w:val="none"/>
        </w:rPr>
      </w:pPr>
      <w:r/>
      <w:bookmarkStart w:id="147" w:name="_Toc200451960"/>
      <w:r>
        <w:rPr>
          <w:rFonts w:hint="eastAsia" w:ascii="宋体" w:hAnsi="宋体" w:eastAsia="宋体" w:cs="宋体"/>
          <w:color w:val="auto"/>
          <w:sz w:val="24"/>
          <w:szCs w:val="24"/>
          <w:highlight w:val="none"/>
        </w:rPr>
        <w:t xml:space="preserve">27.质疑处理</w:t>
      </w:r>
      <w:bookmarkEnd w:id="147"/>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.2供应商认为采购文件、采购过程和采购结果使自己的权益受到损害的，可以在知道或应知其权益受到损害之日起七个工作日内，根据2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.4条的规定以书面形式向交易中心或采购人提出质疑。上述应知其权益受到损害之日是指：</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.2.1对采购文件提出质疑的，为收到采购文件之日或者采购文件公告期限届满之日。</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.2.2对采购过程提出质疑的，为各采购程序环节结束之日。</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.2.3对成交结果提出质疑的，为成交结果公告期限届满之日。</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采购人将只对供应商第一次质疑作出答复。</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格式和内容填写。</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供应商如组成联合体参加磋商，《质疑函范本》中要求加盖公章之处，联合体各方均须按要求加盖公章。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5 </w:t>
      </w:r>
      <w:r>
        <w:rPr>
          <w:rFonts w:hint="eastAsia" w:ascii="宋体" w:hAnsi="宋体" w:eastAsia="宋体" w:cs="宋体"/>
          <w:b/>
          <w:bCs/>
          <w:color w:val="auto"/>
          <w:sz w:val="24"/>
          <w:szCs w:val="24"/>
          <w:highlight w:val="none"/>
          <w:lang w:val="zh-CN"/>
        </w:rPr>
        <w:t xml:space="preserve">供应商（含潜在供应商）对采购方式、采购需求、供应商资格条件及审查结果、评标方法和评标标准、合同文本的询问、质疑向采购人提出，由采购人负责答复。供应商对除上述事项以外其他事项的询问、质疑向交易中心提出，由交易中心负责答复。</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交易中心和采购人只接收以纸质原件形式送达的质疑,建议供应商尽量通过邮寄方式提交质疑（交易中心和采购人不接受未填写快递运单的快件）。</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采购人《质疑</w:t>
      </w:r>
      <w:r>
        <w:rPr>
          <w:rFonts w:hint="eastAsia" w:ascii="宋体" w:hAnsi="宋体" w:eastAsia="宋体" w:cs="宋体"/>
          <w:color w:val="auto"/>
          <w:sz w:val="24"/>
          <w:szCs w:val="24"/>
          <w:highlight w:val="none"/>
        </w:rPr>
        <w:t xml:space="preserve">函</w:t>
      </w:r>
      <w:r>
        <w:rPr>
          <w:rFonts w:hint="eastAsia" w:ascii="宋体" w:hAnsi="宋体" w:eastAsia="宋体" w:cs="宋体"/>
          <w:color w:val="auto"/>
          <w:sz w:val="24"/>
          <w:szCs w:val="24"/>
          <w:highlight w:val="none"/>
          <w:lang w:val="zh-CN"/>
        </w:rPr>
        <w:t xml:space="preserve">》接收人及联系方式见采购文件第一章。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地址：南京市公共资源交易中心浦口分中心，联系电话：025-6965905</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 以下情形的质疑不予受理：</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.1内容不符合《政府采购质疑和投诉办法》第十二条规定的质疑。</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.2超出政府采购法定期限的质疑。</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.3以传真、电子邮件等方式递交的非原件形式的质疑。</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.4未参加磋商活动的供应商或在磋商活动中自身权益未受到损害的供应商所提出的质疑。</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.5供应商组成联合体参加磋商，联合体中任何一方或多方未按要求签字、盖章、加盖公章的质疑。</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 </w:t>
      </w:r>
      <w:r>
        <w:rPr>
          <w:rFonts w:hint="eastAsia" w:ascii="宋体" w:hAnsi="宋体" w:eastAsia="宋体" w:cs="宋体"/>
          <w:color w:val="auto"/>
          <w:sz w:val="24"/>
          <w:szCs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28.成交通知书</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成交结果确定后，交易中心将向成交供应商发出《成交通知书》。</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供应商可在成交结果公告届满之日起三十日内，登录苏采云系统下载。    </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因系统存储空间有限，自成交结果公告届满之日起三十日后，苏采云系统不再保证提供下载《成交通知书》服务,因未及时下载而造成的不利后果由成交供应商自行承担。</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widowControl/>
        <w:rPr>
          <w:rFonts w:hint="eastAsia" w:ascii="宋体" w:hAnsi="宋体" w:eastAsia="宋体" w:cs="宋体"/>
          <w:color w:val="auto"/>
          <w:sz w:val="24"/>
          <w:szCs w:val="24"/>
          <w:highlight w:val="none"/>
        </w:rPr>
      </w:pPr>
      <w:r/>
      <w:bookmarkStart w:id="148" w:name="_Toc16938552"/>
      <w:r/>
      <w:bookmarkStart w:id="149" w:name="_Toc20823308"/>
      <w:r/>
      <w:bookmarkStart w:id="150" w:name="_Toc120614220"/>
      <w:r/>
      <w:bookmarkStart w:id="151" w:name="_Toc513029236"/>
      <w:r>
        <w:rPr>
          <w:rFonts w:hint="eastAsia" w:ascii="宋体" w:hAnsi="宋体" w:eastAsia="宋体" w:cs="宋体"/>
          <w:color w:val="auto"/>
          <w:sz w:val="24"/>
          <w:szCs w:val="24"/>
          <w:highlight w:val="none"/>
        </w:rPr>
        <w:t xml:space="preserve">七、授予合同</w:t>
      </w:r>
      <w:bookmarkEnd w:id="148"/>
      <w:r/>
      <w:bookmarkEnd w:id="149"/>
      <w:r/>
      <w:bookmarkEnd w:id="150"/>
      <w:r/>
      <w:bookmarkEnd w:id="151"/>
      <w:r/>
      <w:r/>
    </w:p>
    <w:p>
      <w:pPr>
        <w:ind w:firstLine="480"/>
        <w:jc w:val="left"/>
        <w:spacing w:line="500" w:lineRule="exact"/>
        <w:widowControl/>
        <w:rPr>
          <w:rFonts w:hint="eastAsia" w:ascii="宋体" w:hAnsi="宋体" w:eastAsia="宋体" w:cs="宋体"/>
          <w:color w:val="auto"/>
          <w:sz w:val="24"/>
          <w:szCs w:val="24"/>
          <w:highlight w:val="none"/>
        </w:rPr>
      </w:pPr>
      <w:r/>
      <w:bookmarkStart w:id="152" w:name="_Toc513029237"/>
      <w:r/>
      <w:bookmarkStart w:id="153" w:name="_Toc20823309"/>
      <w:r/>
      <w:bookmarkStart w:id="154" w:name="_Toc16938553"/>
      <w:r>
        <w:rPr>
          <w:rFonts w:hint="eastAsia" w:ascii="宋体" w:hAnsi="宋体" w:eastAsia="宋体" w:cs="宋体"/>
          <w:color w:val="auto"/>
          <w:sz w:val="24"/>
          <w:szCs w:val="24"/>
          <w:highlight w:val="none"/>
        </w:rPr>
        <w:t xml:space="preserve">29.签订合同</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 成交供应商应当在《成交通知书》发出之日起三十日内，按照磋商文件确定的事项与采购人签订政府采购合同。</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磋商文件、成交供应商的响应文件及磋商过程中有关澄清、承诺文件均作为合同附件。</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成交供应商因自身原因拒绝与采购人签订合同的，不得参加</w:t>
      </w:r>
      <w:r>
        <w:rPr>
          <w:rFonts w:hint="eastAsia" w:ascii="宋体" w:hAnsi="宋体" w:eastAsia="宋体" w:cs="宋体"/>
          <w:color w:val="auto"/>
          <w:sz w:val="24"/>
          <w:szCs w:val="24"/>
          <w:highlight w:val="none"/>
          <w:lang w:val="zh-CN"/>
        </w:rPr>
        <w:t xml:space="preserve">采购人</w:t>
      </w:r>
      <w:r>
        <w:rPr>
          <w:rFonts w:hint="eastAsia" w:ascii="宋体" w:hAnsi="宋体" w:eastAsia="宋体" w:cs="宋体"/>
          <w:color w:val="auto"/>
          <w:sz w:val="24"/>
          <w:szCs w:val="24"/>
          <w:highlight w:val="none"/>
        </w:rPr>
        <w:t xml:space="preserve">重新组织的采购活动</w:t>
      </w:r>
      <w:r>
        <w:rPr>
          <w:rFonts w:hint="eastAsia" w:ascii="宋体" w:hAnsi="宋体" w:eastAsia="宋体" w:cs="宋体"/>
          <w:color w:val="auto"/>
          <w:sz w:val="24"/>
          <w:szCs w:val="24"/>
          <w:highlight w:val="none"/>
          <w:lang w:val="zh-CN"/>
        </w:rPr>
        <w:t xml:space="preserve">。</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30.标的物的追加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政府采购合同履行中，采购人需追加与合同标的相同的服务（包含与服务相关的货物），在不改变合同其他条款的前提下，可以与成交供应商协商签订补充合同，但所有补充合同的采购金额不超过原合同金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bookmarkEnd w:id="152"/>
      <w:r/>
      <w:bookmarkEnd w:id="153"/>
      <w:r/>
      <w:bookmarkEnd w:id="154"/>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31.政府采购履约资金扶持政策</w:t>
      </w:r>
      <w:r/>
    </w:p>
    <w:p>
      <w:pPr>
        <w:ind w:firstLine="480"/>
        <w:jc w:val="left"/>
        <w:spacing w:line="5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31.1 成交供应商通过</w:t>
      </w:r>
      <w:r>
        <w:rPr>
          <w:rFonts w:hint="eastAsia" w:ascii="宋体" w:hAnsi="宋体" w:eastAsia="宋体" w:cs="宋体"/>
          <w:color w:val="auto"/>
          <w:sz w:val="24"/>
          <w:szCs w:val="24"/>
          <w:highlight w:val="none"/>
          <w:lang w:val="zh-CN"/>
        </w:rPr>
        <w:t xml:space="preserve">南京市公共资源交易中心网站“小企业融资平台”，</w:t>
      </w:r>
      <w:r>
        <w:rPr>
          <w:rFonts w:hint="eastAsia" w:ascii="宋体" w:hAnsi="宋体" w:eastAsia="宋体" w:cs="宋体"/>
          <w:color w:val="auto"/>
          <w:sz w:val="24"/>
          <w:szCs w:val="24"/>
          <w:highlight w:val="none"/>
        </w:rPr>
        <w:t xml:space="preserve">选择相应的金融机构</w:t>
      </w:r>
      <w:r>
        <w:rPr>
          <w:rFonts w:hint="eastAsia" w:ascii="宋体" w:hAnsi="宋体" w:eastAsia="宋体" w:cs="宋体"/>
          <w:color w:val="auto"/>
          <w:sz w:val="24"/>
          <w:szCs w:val="24"/>
          <w:highlight w:val="none"/>
          <w:lang w:val="zh-CN"/>
        </w:rPr>
        <w:t xml:space="preserve">办理融资贷款。</w:t>
      </w:r>
      <w:r/>
    </w:p>
    <w:p>
      <w:pPr>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br w:type="page" w:clear="all"/>
      </w:r>
      <w:r/>
    </w:p>
    <w:p>
      <w:pPr>
        <w:pStyle w:val="841"/>
        <w:ind w:left="0" w:firstLine="0"/>
        <w:jc w:val="center"/>
        <w:tabs>
          <w:tab w:val="left" w:pos="463" w:leader="none"/>
        </w:tabs>
        <w:rPr>
          <w:rFonts w:hint="eastAsia" w:ascii="宋体" w:hAnsi="宋体" w:eastAsia="宋体" w:cs="宋体"/>
          <w:b/>
          <w:bCs/>
          <w:color w:val="000000"/>
          <w:sz w:val="36"/>
          <w:szCs w:val="36"/>
          <w:highlight w:val="none"/>
          <w:lang w:val="en-US"/>
        </w:rPr>
      </w:pPr>
      <w:r>
        <w:rPr>
          <w:rFonts w:hint="eastAsia" w:ascii="宋体" w:hAnsi="宋体" w:eastAsia="宋体" w:cs="宋体"/>
          <w:b/>
          <w:bCs/>
          <w:color w:val="000000"/>
          <w:sz w:val="36"/>
          <w:szCs w:val="36"/>
          <w:highlight w:val="none"/>
          <w:lang w:val="en-US"/>
        </w:rPr>
        <w:t xml:space="preserve">第三章  合同文本</w:t>
      </w:r>
      <w:r/>
    </w:p>
    <w:p>
      <w:pPr>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0"/>
      </w:pPr>
      <w:r/>
      <w:bookmarkStart w:id="155" w:name="_Hlt16619369"/>
      <w:r/>
      <w:bookmarkEnd w:id="155"/>
      <w:r/>
      <w:bookmarkStart w:id="156" w:name="_Toc20823315"/>
      <w:r/>
      <w:bookmarkStart w:id="157" w:name="_Toc16938559"/>
      <w:r/>
      <w:bookmarkStart w:id="158"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p>
    <w:p>
      <w:pPr>
        <w:pStyle w:val="841"/>
        <w:ind w:left="0" w:firstLine="0"/>
        <w:keepLines w:val="0"/>
        <w:keepNext w:val="0"/>
        <w:pageBreakBefore w:val="0"/>
        <w:spacing w:line="264" w:lineRule="auto"/>
        <w:widowControl w:val="off"/>
        <w:rPr>
          <w:rFonts w:hint="eastAsia"/>
          <w:highlight w:val="none"/>
          <w:lang w:eastAsia="zh-CN"/>
        </w:rPr>
      </w:pPr>
      <w:r>
        <w:rPr>
          <w:rFonts w:hint="eastAsia"/>
          <w:highlight w:val="none"/>
          <w:lang w:eastAsia="zh-CN"/>
        </w:rPr>
      </w:r>
      <w:r/>
    </w:p>
    <w:p>
      <w:pPr>
        <w:jc w:val="center"/>
        <w:keepLines w:val="0"/>
        <w:keepNext w:val="0"/>
        <w:pageBreakBefore w:val="0"/>
        <w:spacing w:before="145" w:after="145" w:line="264" w:lineRule="auto"/>
        <w:widowControl w:val="off"/>
        <w:rPr>
          <w:rFonts w:hint="eastAsia" w:ascii="宋体" w:hAnsi="宋体" w:eastAsia="宋体" w:cs="宋体"/>
          <w:b/>
          <w:bCs w:val="0"/>
          <w:color w:val="000000"/>
          <w:sz w:val="32"/>
          <w:szCs w:val="32"/>
          <w:highlight w:val="none"/>
        </w:rPr>
        <w:outlineLvl w:val="0"/>
      </w:pPr>
      <w:r>
        <w:rPr>
          <w:rFonts w:hint="eastAsia" w:ascii="宋体" w:hAnsi="宋体" w:eastAsia="宋体" w:cs="宋体"/>
          <w:b/>
          <w:bCs w:val="0"/>
          <w:color w:val="000000"/>
          <w:sz w:val="32"/>
          <w:szCs w:val="32"/>
          <w:highlight w:val="none"/>
          <w:lang w:eastAsia="zh-CN"/>
        </w:rPr>
        <w:t xml:space="preserve">南京市</w:t>
      </w:r>
      <w:r>
        <w:rPr>
          <w:rFonts w:hint="eastAsia" w:ascii="宋体" w:hAnsi="宋体" w:eastAsia="宋体" w:cs="宋体"/>
          <w:b/>
          <w:bCs w:val="0"/>
          <w:color w:val="000000"/>
          <w:sz w:val="32"/>
          <w:szCs w:val="32"/>
          <w:highlight w:val="none"/>
        </w:rPr>
        <w:t xml:space="preserve">政府采购合同（服务）</w:t>
      </w:r>
      <w:r/>
    </w:p>
    <w:p>
      <w:pPr>
        <w:jc w:val="left"/>
        <w:keepLines w:val="0"/>
        <w:keepNext w:val="0"/>
        <w:pageBreakBefore w:val="0"/>
        <w:spacing w:before="145" w:after="145" w:line="360" w:lineRule="auto"/>
        <w:widowControl w:val="off"/>
        <w:rPr>
          <w:rFonts w:ascii="宋体" w:hAnsi="宋体" w:eastAsia="宋体" w:cs="Courier New"/>
          <w:b w:val="0"/>
          <w:bCs w:val="0"/>
          <w:color w:val="000000"/>
          <w:sz w:val="24"/>
          <w:szCs w:val="24"/>
          <w:highlight w:val="none"/>
        </w:rPr>
        <w:outlineLvl w:val="0"/>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36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360" w:lineRule="auto"/>
        <w:widowControl w:val="off"/>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南京市公共资源交易中心浦口分中心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p>
    <w:p>
      <w:pPr>
        <w:keepLines w:val="0"/>
        <w:keepNext w:val="0"/>
        <w:pageBreakBefore w:val="0"/>
        <w:spacing w:before="0" w:after="0" w:line="360" w:lineRule="auto"/>
        <w:widowControl w:val="off"/>
        <w:rPr>
          <w:rFonts w:hint="eastAsia"/>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sz w:val="24"/>
          <w:szCs w:val="24"/>
          <w:highlight w:val="none"/>
          <w:lang w:eastAsia="zh-CN"/>
        </w:rPr>
        <w:t xml:space="preserve">自合同签订之日起</w:t>
      </w:r>
      <w:r>
        <w:rPr>
          <w:rFonts w:hint="eastAsia"/>
          <w:sz w:val="24"/>
          <w:szCs w:val="24"/>
          <w:highlight w:val="none"/>
          <w:lang w:val="en-US" w:eastAsia="zh-CN"/>
        </w:rPr>
        <w:t xml:space="preserve">一</w:t>
      </w:r>
      <w:r>
        <w:rPr>
          <w:rFonts w:hint="eastAsia"/>
          <w:sz w:val="24"/>
          <w:szCs w:val="24"/>
          <w:highlight w:val="none"/>
          <w:lang w:eastAsia="zh-CN"/>
        </w:rPr>
        <w:t xml:space="preserve">年。</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848"/>
        <w:keepLines w:val="0"/>
        <w:keepNext w:val="0"/>
        <w:pageBreakBefore w:val="0"/>
        <w:spacing w:before="0" w:after="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sz w:val="24"/>
          <w:szCs w:val="24"/>
          <w:highlight w:val="none"/>
        </w:rPr>
        <w:t xml:space="preserve">本合同金额为（大写）：________________圆（____________________元）人民币。</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360" w:lineRule="auto"/>
        <w:widowControl w:val="off"/>
        <w:rPr>
          <w:rFonts w:hint="eastAsia" w:ascii="宋体" w:hAnsi="宋体" w:eastAsia="宋体" w:cs="Courier New"/>
          <w:b w:val="0"/>
          <w:bCs w:val="0"/>
          <w:color w:val="0000ff"/>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848"/>
        <w:keepLines w:val="0"/>
        <w:keepNext w:val="0"/>
        <w:pageBreakBefore w:val="0"/>
        <w:spacing w:before="0" w:after="0" w:line="36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p>
    <w:p>
      <w:pPr>
        <w:pStyle w:val="847"/>
        <w:keepLines w:val="0"/>
        <w:keepNext w:val="0"/>
        <w:pageBreakBefore w:val="0"/>
        <w:spacing w:line="360" w:lineRule="auto"/>
        <w:widowControl w:val="off"/>
        <w:rPr>
          <w:rFonts w:hint="eastAsia" w:hAnsi="宋体"/>
          <w:color w:val="auto"/>
          <w:sz w:val="24"/>
          <w:szCs w:val="24"/>
          <w:highlight w:val="none"/>
        </w:rPr>
      </w:pPr>
      <w:r>
        <w:rPr>
          <w:rFonts w:hint="eastAsia" w:ascii="宋体" w:hAnsi="宋体" w:eastAsia="宋体" w:cs="Courier New"/>
          <w:color w:val="000000"/>
          <w:sz w:val="24"/>
          <w:szCs w:val="24"/>
          <w:highlight w:val="none"/>
          <w:lang w:val="en-US" w:eastAsia="zh-CN"/>
        </w:rPr>
        <w:t xml:space="preserve">8.1.1</w:t>
      </w:r>
      <w:r>
        <w:rPr>
          <w:rFonts w:hint="eastAsia" w:hAnsi="宋体"/>
          <w:color w:val="auto"/>
          <w:sz w:val="24"/>
          <w:szCs w:val="24"/>
          <w:highlight w:val="none"/>
        </w:rPr>
        <w:t xml:space="preserve">服务费用由</w:t>
      </w:r>
      <w:r>
        <w:rPr>
          <w:rFonts w:hint="eastAsia" w:hAnsi="宋体"/>
          <w:color w:val="auto"/>
          <w:sz w:val="24"/>
          <w:szCs w:val="24"/>
          <w:highlight w:val="none"/>
          <w:lang w:eastAsia="zh-CN"/>
        </w:rPr>
        <w:t xml:space="preserve">采购人</w:t>
      </w:r>
      <w:r>
        <w:rPr>
          <w:rFonts w:hint="eastAsia" w:hAnsi="宋体"/>
          <w:color w:val="auto"/>
          <w:sz w:val="24"/>
          <w:szCs w:val="24"/>
          <w:highlight w:val="none"/>
        </w:rPr>
        <w:t xml:space="preserve">按月支付。</w:t>
      </w:r>
      <w:r>
        <w:rPr>
          <w:rFonts w:hint="eastAsia" w:hAnsi="宋体"/>
          <w:color w:val="auto"/>
          <w:sz w:val="24"/>
          <w:szCs w:val="24"/>
          <w:highlight w:val="none"/>
          <w:lang w:eastAsia="zh-CN"/>
        </w:rPr>
        <w:t xml:space="preserve">成交供应商</w:t>
      </w:r>
      <w:r>
        <w:rPr>
          <w:rFonts w:hint="eastAsia" w:hAnsi="宋体"/>
          <w:color w:val="auto"/>
          <w:sz w:val="24"/>
          <w:szCs w:val="24"/>
          <w:highlight w:val="none"/>
        </w:rPr>
        <w:t xml:space="preserve">按月根据实际发生的所有物业管理（考核后的）费用开据合法票据，</w:t>
      </w:r>
      <w:r>
        <w:rPr>
          <w:rFonts w:hint="eastAsia" w:hAnsi="宋体"/>
          <w:color w:val="auto"/>
          <w:sz w:val="24"/>
          <w:szCs w:val="24"/>
          <w:highlight w:val="none"/>
          <w:lang w:eastAsia="zh-CN"/>
        </w:rPr>
        <w:t xml:space="preserve">采购人</w:t>
      </w:r>
      <w:r>
        <w:rPr>
          <w:rFonts w:hint="eastAsia" w:hAnsi="宋体"/>
          <w:color w:val="auto"/>
          <w:sz w:val="24"/>
          <w:szCs w:val="24"/>
          <w:highlight w:val="none"/>
        </w:rPr>
        <w:t xml:space="preserve">在接受</w:t>
      </w:r>
      <w:bookmarkStart w:id="159" w:name="OLE_LINK1"/>
      <w:r>
        <w:rPr>
          <w:rFonts w:hint="eastAsia" w:hAnsi="宋体"/>
          <w:color w:val="auto"/>
          <w:sz w:val="24"/>
          <w:szCs w:val="24"/>
          <w:highlight w:val="none"/>
          <w:lang w:eastAsia="zh-CN"/>
        </w:rPr>
        <w:t xml:space="preserve">成交</w:t>
      </w:r>
      <w:bookmarkEnd w:id="159"/>
      <w:r>
        <w:rPr>
          <w:rFonts w:hint="eastAsia" w:hAnsi="宋体"/>
          <w:color w:val="auto"/>
          <w:sz w:val="24"/>
          <w:szCs w:val="24"/>
          <w:highlight w:val="none"/>
          <w:lang w:eastAsia="zh-CN"/>
        </w:rPr>
        <w:t xml:space="preserve">供应商</w:t>
      </w:r>
      <w:r>
        <w:rPr>
          <w:rFonts w:hint="eastAsia" w:hAnsi="宋体"/>
          <w:color w:val="auto"/>
          <w:sz w:val="24"/>
          <w:szCs w:val="24"/>
          <w:highlight w:val="none"/>
        </w:rPr>
        <w:t xml:space="preserve">票据后的20个工作日内将上月实际发生的所有后勤物业管理（考核后的）费用支付给</w:t>
      </w:r>
      <w:r>
        <w:rPr>
          <w:rFonts w:hint="eastAsia" w:hAnsi="宋体"/>
          <w:color w:val="auto"/>
          <w:sz w:val="24"/>
          <w:szCs w:val="24"/>
          <w:highlight w:val="none"/>
          <w:lang w:eastAsia="zh-CN"/>
        </w:rPr>
        <w:t xml:space="preserve">成交供应商</w:t>
      </w:r>
      <w:r>
        <w:rPr>
          <w:rFonts w:hint="eastAsia" w:hAnsi="宋体"/>
          <w:color w:val="auto"/>
          <w:sz w:val="24"/>
          <w:szCs w:val="24"/>
          <w:highlight w:val="none"/>
        </w:rPr>
        <w:t xml:space="preserve">。</w:t>
      </w:r>
      <w:r/>
    </w:p>
    <w:p>
      <w:pPr>
        <w:pStyle w:val="847"/>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8.1.2 合同期间，如增减科室、增减服务范围，按实际增减的人员和单项人均单价调整服务价款。</w:t>
      </w:r>
      <w:r/>
    </w:p>
    <w:p>
      <w:pPr>
        <w:pStyle w:val="848"/>
        <w:keepLines w:val="0"/>
        <w:keepNext w:val="0"/>
        <w:pageBreakBefore w:val="0"/>
        <w:spacing w:before="0" w:after="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p>
    <w:p>
      <w:pPr>
        <w:keepLines w:val="0"/>
        <w:keepNext w:val="0"/>
        <w:pageBreakBefore w:val="0"/>
        <w:spacing w:before="0" w:after="0" w:line="36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p>
    <w:p>
      <w:pPr>
        <w:keepLines w:val="0"/>
        <w:keepNext w:val="0"/>
        <w:pageBreakBefore w:val="0"/>
        <w:spacing w:before="0" w:after="0" w:line="36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p>
    <w:p>
      <w:pPr>
        <w:keepLines w:val="0"/>
        <w:keepNext w:val="0"/>
        <w:pageBreakBefore w:val="0"/>
        <w:spacing w:before="0" w:after="0" w:line="360" w:lineRule="auto"/>
        <w:widowControl w:val="off"/>
        <w:rPr>
          <w:rFonts w:hint="eastAsia"/>
          <w:sz w:val="24"/>
          <w:szCs w:val="24"/>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p>
    <w:p>
      <w:pPr>
        <w:pStyle w:val="848"/>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bookmarkEnd w:id="156"/>
      <w:r/>
      <w:bookmarkEnd w:id="157"/>
      <w:r/>
      <w:bookmarkEnd w:id="158"/>
      <w:r/>
      <w:r/>
    </w:p>
    <w:p>
      <w:pPr>
        <w:pStyle w:val="848"/>
        <w:ind w:firstLine="240"/>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848"/>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p>
    <w:p>
      <w:pPr>
        <w:pStyle w:val="848"/>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848"/>
        <w:ind w:firstLine="240"/>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848"/>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848"/>
        <w:ind w:firstLine="5280"/>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年    月   日</w:t>
      </w:r>
      <w:r/>
    </w:p>
    <w:p>
      <w:pPr>
        <w:pStyle w:val="848"/>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48"/>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48"/>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48"/>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48"/>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jc w:val="center"/>
        <w:keepLines w:val="0"/>
        <w:keepNext w:val="0"/>
        <w:pageBreakBefore w:val="0"/>
        <w:spacing w:before="145" w:after="145" w:line="264" w:lineRule="auto"/>
        <w:widowControl w:val="off"/>
        <w:rPr>
          <w:rFonts w:hint="eastAsia" w:ascii="宋体" w:hAnsi="宋体" w:eastAsia="宋体" w:cs="Times New Roman"/>
          <w:b/>
          <w:bCs w:val="0"/>
          <w:sz w:val="32"/>
          <w:szCs w:val="32"/>
          <w:highlight w:val="none"/>
        </w:rPr>
        <w:outlineLvl w:val="0"/>
      </w:pPr>
      <w:r>
        <w:rPr>
          <w:rFonts w:hint="eastAsia" w:ascii="宋体" w:hAnsi="宋体" w:eastAsia="宋体" w:cs="Times New Roman"/>
          <w:b/>
          <w:bCs w:val="0"/>
          <w:sz w:val="32"/>
          <w:szCs w:val="32"/>
          <w:highlight w:val="none"/>
        </w:rPr>
        <w:t xml:space="preserve">《*******合同》补充协议（合同附件）</w:t>
      </w:r>
      <w:r/>
    </w:p>
    <w:p>
      <w:pPr>
        <w:pStyle w:val="848"/>
        <w:jc w:val="left"/>
        <w:keepLines w:val="0"/>
        <w:keepNext w:val="0"/>
        <w:pageBreakBefore w:val="0"/>
        <w:spacing w:before="120" w:after="120" w:line="264" w:lineRule="auto"/>
        <w:widowControl w:val="off"/>
        <w:rPr>
          <w:rFonts w:hAnsi="宋体"/>
          <w:color w:val="000000"/>
          <w:sz w:val="28"/>
          <w:szCs w:val="28"/>
          <w:highlight w:val="none"/>
        </w:rPr>
      </w:pPr>
      <w:r>
        <w:rPr>
          <w:rFonts w:hint="eastAsia" w:hAnsi="宋体"/>
          <w:color w:val="000000"/>
          <w:sz w:val="28"/>
          <w:szCs w:val="28"/>
          <w:highlight w:val="none"/>
        </w:rPr>
        <w:t xml:space="preserve">    如遇</w:t>
      </w:r>
      <w:r>
        <w:rPr>
          <w:rFonts w:hint="eastAsia" w:hAnsi="宋体"/>
          <w:color w:val="000000"/>
          <w:sz w:val="28"/>
          <w:szCs w:val="28"/>
          <w:highlight w:val="none"/>
          <w:lang w:eastAsia="zh-CN"/>
        </w:rPr>
        <w:t xml:space="preserve">磋商文件</w:t>
      </w:r>
      <w:r>
        <w:rPr>
          <w:rFonts w:hint="eastAsia" w:hAnsi="宋体"/>
          <w:color w:val="000000"/>
          <w:sz w:val="28"/>
          <w:szCs w:val="28"/>
          <w:highlight w:val="none"/>
        </w:rPr>
        <w:t xml:space="preserve">及合同未约定事项，双方可友好协商签订补充协议。</w:t>
      </w:r>
      <w:r/>
    </w:p>
    <w:p>
      <w:pPr>
        <w:pStyle w:val="839"/>
        <w:numPr>
          <w:ilvl w:val="0"/>
          <w:numId w:val="0"/>
        </w:numPr>
        <w:jc w:val="center"/>
        <w:rPr>
          <w:rFonts w:hint="eastAsia" w:ascii="宋体" w:hAnsi="宋体" w:eastAsia="宋体" w:cs="宋体"/>
          <w:b/>
          <w:bCs/>
          <w:color w:val="auto"/>
          <w:sz w:val="44"/>
          <w:szCs w:val="44"/>
          <w:highlight w:val="none"/>
        </w:rPr>
      </w:pPr>
      <w:r>
        <w:rPr>
          <w:rFonts w:ascii="黑体" w:eastAsia="黑体"/>
          <w:bCs/>
          <w:color w:val="auto"/>
          <w:sz w:val="44"/>
          <w:highlight w:val="none"/>
        </w:rPr>
        <w:br w:type="page" w:clear="all"/>
      </w:r>
      <w:r>
        <w:rPr>
          <w:rFonts w:hint="eastAsia" w:ascii="宋体" w:hAnsi="宋体" w:eastAsia="宋体" w:cs="宋体"/>
          <w:b/>
          <w:bCs w:val="0"/>
          <w:color w:val="auto"/>
          <w:sz w:val="36"/>
          <w:szCs w:val="36"/>
          <w:highlight w:val="none"/>
          <w:lang w:eastAsia="zh-CN"/>
        </w:rPr>
        <w:t xml:space="preserve">第四章</w:t>
      </w:r>
      <w:r>
        <w:rPr>
          <w:rFonts w:hint="eastAsia" w:ascii="宋体" w:hAnsi="宋体" w:eastAsia="宋体" w:cs="宋体"/>
          <w:b/>
          <w:bCs w:val="0"/>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采购需求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一、项目名称：</w:t>
      </w:r>
      <w:r>
        <w:rPr>
          <w:rFonts w:hint="eastAsia" w:ascii="宋体" w:hAnsi="宋体" w:eastAsia="宋体" w:cs="宋体"/>
          <w:sz w:val="24"/>
          <w:szCs w:val="24"/>
          <w:highlight w:val="none"/>
          <w:lang w:eastAsia="zh-CN"/>
        </w:rPr>
        <w:t xml:space="preserve">南京市浦口区桥林街道社区卫生服务中心物业管理服务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60" w:name="_Toc392168495"/>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、项目概况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坐落位置：</w:t>
      </w:r>
      <w:r>
        <w:rPr>
          <w:rFonts w:hint="eastAsia" w:ascii="宋体" w:hAnsi="宋体" w:eastAsia="宋体" w:cs="宋体"/>
          <w:sz w:val="24"/>
          <w:szCs w:val="24"/>
          <w:highlight w:val="none"/>
          <w:lang w:val="en-US" w:eastAsia="zh-CN"/>
        </w:rPr>
        <w:t xml:space="preserve">南京市浦口区桥林街道社区卫生服务中心；位于南京市浦口区桥林街道延寿路28号。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）使用面积：</w:t>
      </w:r>
      <w:r>
        <w:rPr>
          <w:rFonts w:hint="eastAsia" w:ascii="宋体" w:hAnsi="宋体" w:eastAsia="宋体" w:cs="宋体"/>
          <w:sz w:val="24"/>
          <w:szCs w:val="24"/>
          <w:highlight w:val="none"/>
          <w:lang w:val="en-US" w:eastAsia="zh-CN"/>
        </w:rPr>
        <w:t xml:space="preserve">南京市浦口区桥林街道社区卫生服务中心：占地面积8579.94 ㎡，建筑面积24464.89 ㎡，对社会车辆收费停车场 2207.46㎡。</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配套设施：</w:t>
      </w:r>
      <w:r>
        <w:rPr>
          <w:rFonts w:hint="eastAsia" w:ascii="宋体" w:hAnsi="宋体" w:eastAsia="宋体" w:cs="宋体"/>
          <w:sz w:val="24"/>
          <w:szCs w:val="24"/>
          <w:highlight w:val="none"/>
          <w:lang w:val="en-US" w:eastAsia="zh-CN"/>
        </w:rPr>
        <w:t xml:space="preserve">南京市浦口区桥林街道社区卫生服务中心门诊楼、住院部、急诊、公共楼、地下室、室外附属物等</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办公用房：</w:t>
      </w:r>
      <w:r>
        <w:rPr>
          <w:rFonts w:hint="eastAsia" w:ascii="宋体" w:hAnsi="宋体" w:eastAsia="宋体" w:cs="宋体"/>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服务类别：</w:t>
      </w:r>
      <w:r>
        <w:rPr>
          <w:rFonts w:hint="eastAsia" w:ascii="宋体" w:hAnsi="宋体" w:eastAsia="宋体" w:cs="宋体"/>
          <w:sz w:val="24"/>
          <w:szCs w:val="24"/>
          <w:highlight w:val="none"/>
        </w:rPr>
        <w:t xml:space="preserve">安保、保洁、工程</w:t>
      </w:r>
      <w:r>
        <w:rPr>
          <w:rFonts w:hint="eastAsia" w:ascii="宋体" w:hAnsi="宋体" w:eastAsia="宋体" w:cs="宋体"/>
          <w:sz w:val="24"/>
          <w:szCs w:val="24"/>
          <w:highlight w:val="none"/>
          <w:lang w:eastAsia="zh-CN"/>
        </w:rPr>
        <w:t xml:space="preserve">维修</w:t>
      </w:r>
      <w:r>
        <w:rPr>
          <w:rFonts w:hint="eastAsia" w:ascii="宋体" w:hAnsi="宋体" w:cs="宋体"/>
          <w:sz w:val="24"/>
          <w:szCs w:val="24"/>
          <w:highlight w:val="none"/>
          <w:lang w:val="en-US" w:eastAsia="zh-CN"/>
        </w:rPr>
        <w:t xml:space="preserve">、消控服务、运送服务</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（六）服务标准：</w:t>
      </w:r>
      <w:r>
        <w:rPr>
          <w:rFonts w:hint="eastAsia" w:ascii="宋体" w:hAnsi="宋体" w:eastAsia="宋体" w:cs="宋体"/>
          <w:sz w:val="24"/>
          <w:szCs w:val="24"/>
          <w:highlight w:val="none"/>
          <w:lang w:val="en-US" w:eastAsia="zh-CN"/>
        </w:rPr>
        <w:t xml:space="preserve">遵循国家、行业及地方现行的规范和标准。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★三、服务清单</w:t>
      </w:r>
      <w:r/>
    </w:p>
    <w:tbl>
      <w:tblPr>
        <w:tblStyle w:val="858"/>
        <w:tblW w:w="4762" w:type="pct"/>
        <w:tblInd w:w="4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4"/>
        <w:gridCol w:w="2038"/>
        <w:gridCol w:w="773"/>
        <w:gridCol w:w="783"/>
        <w:gridCol w:w="1973"/>
        <w:gridCol w:w="1052"/>
        <w:gridCol w:w="1322"/>
      </w:tblGrid>
      <w:tr>
        <w:trPr>
          <w:trHeight w:val="470"/>
        </w:trPr>
        <w:tc>
          <w:tcPr>
            <w:tcBorders>
              <w:top w:val="single" w:color="000000" w:sz="2" w:space="0"/>
              <w:bottom w:val="single" w:color="000000" w:sz="2" w:space="0"/>
            </w:tcBorders>
            <w:tcW w:w="49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序号</w:t>
            </w:r>
            <w:r/>
          </w:p>
        </w:tc>
        <w:tc>
          <w:tcPr>
            <w:tcBorders>
              <w:top w:val="single" w:color="000000" w:sz="2" w:space="0"/>
              <w:bottom w:val="single" w:color="000000" w:sz="2" w:space="0"/>
            </w:tcBorders>
            <w:tcW w:w="1155" w:type="pct"/>
            <w:vAlign w:val="center"/>
            <w:textDirection w:val="lrTb"/>
            <w:noWrap w:val="false"/>
          </w:tcPr>
          <w:p>
            <w:pPr>
              <w:ind w:firstLine="72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名称</w:t>
            </w:r>
            <w:r/>
          </w:p>
        </w:tc>
        <w:tc>
          <w:tcPr>
            <w:tcBorders>
              <w:top w:val="single" w:color="000000" w:sz="2" w:space="0"/>
              <w:bottom w:val="single" w:color="000000" w:sz="2" w:space="0"/>
            </w:tcBorders>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数量</w:t>
            </w:r>
            <w:r/>
          </w:p>
        </w:tc>
        <w:tc>
          <w:tcPr>
            <w:tcBorders>
              <w:top w:val="single" w:color="000000" w:sz="2" w:space="0"/>
              <w:bottom w:val="single" w:color="000000" w:sz="2" w:space="0"/>
            </w:tcBorders>
            <w:tcW w:w="44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单位</w:t>
            </w:r>
            <w:r/>
          </w:p>
        </w:tc>
        <w:tc>
          <w:tcPr>
            <w:tcBorders>
              <w:top w:val="single" w:color="000000" w:sz="2" w:space="0"/>
              <w:bottom w:val="single" w:color="000000" w:sz="2" w:space="0"/>
            </w:tcBorders>
            <w:tcW w:w="111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所属行业类型</w:t>
            </w:r>
            <w:r/>
          </w:p>
        </w:tc>
        <w:tc>
          <w:tcPr>
            <w:tcBorders>
              <w:top w:val="single" w:color="000000" w:sz="2" w:space="0"/>
              <w:bottom w:val="single" w:color="000000" w:sz="2" w:space="0"/>
            </w:tcBorders>
            <w:tcW w:w="59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属性</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备注</w:t>
            </w:r>
            <w:r/>
          </w:p>
        </w:tc>
      </w:tr>
      <w:tr>
        <w:trPr>
          <w:trHeight w:val="597"/>
        </w:trPr>
        <w:tc>
          <w:tcPr>
            <w:tcBorders>
              <w:top w:val="single" w:color="000000" w:sz="2" w:space="0"/>
              <w:bottom w:val="single" w:color="000000" w:sz="2" w:space="0"/>
            </w:tcBorders>
            <w:tcW w:w="49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000000" w:sz="2" w:space="0"/>
              <w:bottom w:val="single" w:color="000000" w:sz="2" w:space="0"/>
            </w:tcBorders>
            <w:tcW w:w="115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物业管理服务</w:t>
            </w:r>
            <w:r/>
          </w:p>
        </w:tc>
        <w:tc>
          <w:tcPr>
            <w:tcBorders>
              <w:top w:val="single" w:color="000000" w:sz="2" w:space="0"/>
              <w:bottom w:val="single" w:color="000000" w:sz="2" w:space="0"/>
            </w:tcBorders>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000000" w:sz="2" w:space="0"/>
              <w:bottom w:val="single" w:color="000000" w:sz="2" w:space="0"/>
            </w:tcBorders>
            <w:tcW w:w="444" w:type="pct"/>
            <w:vAlign w:val="center"/>
            <w:textDirection w:val="lrTb"/>
            <w:noWrap w:val="false"/>
          </w:tcPr>
          <w:p>
            <w:pPr>
              <w:ind w:firstLine="24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w:t>
            </w:r>
            <w:r/>
          </w:p>
        </w:tc>
        <w:tc>
          <w:tcPr>
            <w:tcBorders>
              <w:top w:val="single" w:color="000000" w:sz="2" w:space="0"/>
              <w:bottom w:val="single" w:color="000000" w:sz="2" w:space="0"/>
            </w:tcBorders>
            <w:tcW w:w="1118" w:type="pct"/>
            <w:vAlign w:val="center"/>
            <w:textDirection w:val="lrTb"/>
            <w:noWrap w:val="false"/>
          </w:tcPr>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物业管理</w:t>
            </w:r>
            <w:r/>
          </w:p>
        </w:tc>
        <w:tc>
          <w:tcPr>
            <w:tcBorders>
              <w:top w:val="single" w:color="000000" w:sz="2" w:space="0"/>
              <w:bottom w:val="single" w:color="000000" w:sz="2" w:space="0"/>
            </w:tcBorders>
            <w:tcW w:w="59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服务</w:t>
            </w:r>
            <w:r/>
          </w:p>
        </w:tc>
        <w:tc>
          <w:tcPr>
            <w:tcBorders>
              <w:top w:val="single" w:color="000000" w:sz="2" w:space="0"/>
              <w:bottom w:val="single" w:color="000000" w:sz="2" w:space="0"/>
            </w:tcBorders>
            <w:tcW w:w="749" w:type="pct"/>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rFonts w:hint="eastAsia"/>
          <w:highlight w:val="none"/>
          <w:lang w:val="en-US" w:eastAsia="zh-CN"/>
        </w:rPr>
      </w:pPr>
      <w:r>
        <w:rPr>
          <w:rFonts w:hint="eastAsia"/>
          <w:highlight w:val="none"/>
          <w:lang w:val="en-US" w:eastAsia="zh-CN"/>
        </w:rPr>
      </w:r>
      <w:r/>
    </w:p>
    <w:p>
      <w:pPr>
        <w:ind w:firstLine="480"/>
        <w:keepLines w:val="0"/>
        <w:keepNext w:val="0"/>
        <w:pageBreakBefore w:val="0"/>
        <w:spacing w:line="360" w:lineRule="auto"/>
        <w:widowControl w:val="off"/>
        <w:rPr>
          <w:rFonts w:hint="eastAsia"/>
          <w:sz w:val="24"/>
          <w:szCs w:val="24"/>
          <w:highlight w:val="none"/>
          <w:lang w:eastAsia="zh-CN"/>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合同履行期限：</w:t>
      </w:r>
      <w:r>
        <w:rPr>
          <w:rFonts w:hint="eastAsia"/>
          <w:sz w:val="24"/>
          <w:szCs w:val="24"/>
          <w:highlight w:val="none"/>
          <w:lang w:eastAsia="zh-CN"/>
        </w:rPr>
        <w:t xml:space="preserve">自合同签订之日起</w:t>
      </w:r>
      <w:r>
        <w:rPr>
          <w:rFonts w:hint="eastAsia"/>
          <w:sz w:val="24"/>
          <w:szCs w:val="24"/>
          <w:highlight w:val="none"/>
          <w:lang w:val="en-US" w:eastAsia="zh-CN"/>
        </w:rPr>
        <w:t xml:space="preserve">一</w:t>
      </w:r>
      <w:r>
        <w:rPr>
          <w:rFonts w:hint="eastAsia"/>
          <w:sz w:val="24"/>
          <w:szCs w:val="24"/>
          <w:highlight w:val="none"/>
          <w:lang w:eastAsia="zh-CN"/>
        </w:rPr>
        <w:t xml:space="preserve">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、服务费结算方式：按月支付。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总体</w:t>
      </w:r>
      <w:r>
        <w:rPr>
          <w:rFonts w:hint="eastAsia" w:ascii="宋体" w:hAnsi="宋体" w:eastAsia="宋体" w:cs="宋体"/>
          <w:sz w:val="24"/>
          <w:szCs w:val="24"/>
          <w:highlight w:val="none"/>
        </w:rPr>
        <w:t xml:space="preserve">内容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1、项目实施要求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供应商为本项目配置的所有人员必须遵守国家的法律、法规及采购人的各项规章制度，所有物业服务人员须与物业公司签订劳动合同，所有物业服务人员身体健康，无传染性疾病，上岗前必须取得健康证，同时须提供无犯罪记录证明。拟派驻的项目负责人、部门主管及其他人员不得同时在项目中兼任多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1.3.供应商不得利用服务区域内的采购人房产、物业、水电等资源从事经营活动，不能改变其使用性质。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1.5.供应商工作人员的岗位职责、操作规范、人身安全、医疗、工资、各项保险、劳动工具</w:t>
      </w:r>
      <w:r>
        <w:rPr>
          <w:rFonts w:hint="eastAsia" w:ascii="宋体" w:hAnsi="宋体" w:cs="宋体"/>
          <w:sz w:val="24"/>
          <w:szCs w:val="24"/>
          <w:highlight w:val="none"/>
          <w:lang w:val="en-US" w:eastAsia="zh-CN"/>
        </w:rPr>
        <w:t xml:space="preserve">、垃圾袋、</w:t>
      </w:r>
      <w:r>
        <w:rPr>
          <w:rFonts w:hint="eastAsia" w:ascii="宋体" w:hAnsi="宋体" w:eastAsia="宋体" w:cs="宋体"/>
          <w:sz w:val="24"/>
          <w:szCs w:val="24"/>
          <w:highlight w:val="none"/>
          <w:lang w:val="en-US" w:eastAsia="zh-CN"/>
        </w:rPr>
        <w:t xml:space="preserve">劳保用品、内部管理、各类纠纷等事宜及所涉及经费均由供应商自行负责。 </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1.6.供应商负责配备用于物业管理服务的设备、机具、用具、易耗品（包括办公用品、安保器械、清洁耗材、工程维修用具）等，需满足服务实际需要以及采购人规定要求。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人员要求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保洁人员服务要求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包括门诊大厅、挂号、药房、诊室、肠道门诊、心电图、输液大厅、发热诊室、</w:t>
      </w:r>
      <w:r>
        <w:rPr>
          <w:rFonts w:hint="eastAsia" w:ascii="宋体" w:hAnsi="宋体" w:cs="宋体"/>
          <w:sz w:val="24"/>
          <w:szCs w:val="24"/>
          <w:highlight w:val="none"/>
          <w:lang w:eastAsia="zh-CN"/>
        </w:rPr>
        <w:t xml:space="preserve">急诊挂号室、急诊大厅、</w:t>
      </w:r>
      <w:r>
        <w:rPr>
          <w:rFonts w:hint="eastAsia" w:ascii="宋体" w:hAnsi="宋体" w:eastAsia="宋体" w:cs="宋体"/>
          <w:sz w:val="24"/>
          <w:szCs w:val="24"/>
          <w:highlight w:val="none"/>
        </w:rPr>
        <w:t xml:space="preserve">急诊输液大厅、</w:t>
      </w:r>
      <w:r>
        <w:rPr>
          <w:rFonts w:hint="eastAsia" w:ascii="宋体" w:hAnsi="宋体" w:cs="宋体"/>
          <w:sz w:val="24"/>
          <w:szCs w:val="24"/>
          <w:highlight w:val="none"/>
          <w:lang w:eastAsia="zh-CN"/>
        </w:rPr>
        <w:t xml:space="preserve">抢救室、</w:t>
      </w:r>
      <w:r>
        <w:rPr>
          <w:rFonts w:hint="eastAsia" w:ascii="宋体" w:hAnsi="宋体" w:eastAsia="宋体" w:cs="宋体"/>
          <w:sz w:val="24"/>
          <w:szCs w:val="24"/>
          <w:highlight w:val="none"/>
        </w:rPr>
        <w:t xml:space="preserve">急诊诊室、</w:t>
      </w:r>
      <w:r>
        <w:rPr>
          <w:rFonts w:hint="eastAsia" w:ascii="宋体" w:hAnsi="宋体" w:cs="宋体"/>
          <w:sz w:val="24"/>
          <w:szCs w:val="24"/>
          <w:highlight w:val="none"/>
          <w:lang w:eastAsia="zh-CN"/>
        </w:rPr>
        <w:t xml:space="preserve">煎药室、检验科、放射科、</w:t>
      </w:r>
      <w:r>
        <w:rPr>
          <w:rFonts w:hint="eastAsia" w:ascii="宋体" w:hAnsi="宋体" w:eastAsia="宋体" w:cs="宋体"/>
          <w:sz w:val="24"/>
          <w:szCs w:val="24"/>
          <w:highlight w:val="none"/>
        </w:rPr>
        <w:t xml:space="preserve">胃镜室、口腔科、计免科、儿保、</w:t>
      </w:r>
      <w:r>
        <w:rPr>
          <w:rFonts w:hint="eastAsia" w:ascii="宋体" w:hAnsi="宋体" w:cs="宋体"/>
          <w:sz w:val="24"/>
          <w:szCs w:val="24"/>
          <w:highlight w:val="none"/>
          <w:lang w:eastAsia="zh-CN"/>
        </w:rPr>
        <w:t xml:space="preserve">中药房、中医骨伤科诊室、</w:t>
      </w:r>
      <w:r>
        <w:rPr>
          <w:rFonts w:hint="eastAsia" w:ascii="宋体" w:hAnsi="宋体" w:eastAsia="宋体" w:cs="宋体"/>
          <w:sz w:val="24"/>
          <w:szCs w:val="24"/>
          <w:highlight w:val="none"/>
        </w:rPr>
        <w:t xml:space="preserve">中医诊室、康复</w:t>
      </w:r>
      <w:r>
        <w:rPr>
          <w:rFonts w:hint="eastAsia" w:ascii="宋体" w:hAnsi="宋体" w:cs="宋体"/>
          <w:sz w:val="24"/>
          <w:szCs w:val="24"/>
          <w:highlight w:val="none"/>
          <w:lang w:eastAsia="zh-CN"/>
        </w:rPr>
        <w:t xml:space="preserve">大厅</w:t>
      </w:r>
      <w:r>
        <w:rPr>
          <w:rFonts w:hint="eastAsia" w:ascii="宋体" w:hAnsi="宋体" w:eastAsia="宋体" w:cs="宋体"/>
          <w:sz w:val="24"/>
          <w:szCs w:val="24"/>
          <w:highlight w:val="none"/>
        </w:rPr>
        <w:t xml:space="preserve">、B 超</w:t>
      </w:r>
      <w:r>
        <w:rPr>
          <w:rFonts w:hint="eastAsia" w:ascii="宋体" w:hAnsi="宋体" w:cs="宋体"/>
          <w:sz w:val="24"/>
          <w:szCs w:val="24"/>
          <w:highlight w:val="none"/>
          <w:lang w:eastAsia="zh-CN"/>
        </w:rPr>
        <w:t xml:space="preserve">室、</w:t>
      </w:r>
      <w:r>
        <w:rPr>
          <w:rFonts w:hint="eastAsia" w:ascii="宋体" w:hAnsi="宋体" w:eastAsia="宋体" w:cs="宋体"/>
          <w:sz w:val="24"/>
          <w:szCs w:val="24"/>
          <w:highlight w:val="none"/>
        </w:rPr>
        <w:t xml:space="preserve">妇科门诊、计划生育门诊、妇女保健、健康教育活动室（会议室）、手术室、</w:t>
      </w:r>
      <w:r>
        <w:rPr>
          <w:rFonts w:hint="eastAsia" w:ascii="宋体" w:hAnsi="宋体" w:cs="宋体"/>
          <w:sz w:val="24"/>
          <w:szCs w:val="24"/>
          <w:highlight w:val="none"/>
          <w:lang w:eastAsia="zh-CN"/>
        </w:rPr>
        <w:t xml:space="preserve">血透室、慢病筛防中心、综合</w:t>
      </w:r>
      <w:r>
        <w:rPr>
          <w:rFonts w:hint="eastAsia" w:ascii="宋体" w:hAnsi="宋体" w:eastAsia="宋体" w:cs="宋体"/>
          <w:sz w:val="24"/>
          <w:szCs w:val="24"/>
          <w:highlight w:val="none"/>
        </w:rPr>
        <w:t xml:space="preserve">病区、</w:t>
      </w:r>
      <w:r>
        <w:rPr>
          <w:rFonts w:hint="eastAsia" w:ascii="宋体" w:hAnsi="宋体" w:cs="宋体"/>
          <w:sz w:val="24"/>
          <w:szCs w:val="24"/>
          <w:highlight w:val="none"/>
          <w:lang w:eastAsia="zh-CN"/>
        </w:rPr>
        <w:t xml:space="preserve">健康管理</w:t>
      </w:r>
      <w:r>
        <w:rPr>
          <w:rFonts w:hint="eastAsia" w:ascii="宋体" w:hAnsi="宋体" w:eastAsia="宋体" w:cs="宋体"/>
          <w:sz w:val="24"/>
          <w:szCs w:val="24"/>
          <w:highlight w:val="none"/>
        </w:rPr>
        <w:t xml:space="preserve">中心、</w:t>
      </w:r>
      <w:r>
        <w:rPr>
          <w:rFonts w:hint="eastAsia" w:ascii="宋体" w:hAnsi="宋体" w:cs="宋体"/>
          <w:sz w:val="24"/>
          <w:szCs w:val="24"/>
          <w:highlight w:val="none"/>
          <w:lang w:eastAsia="zh-CN"/>
        </w:rPr>
        <w:t xml:space="preserve">药库、盆底康复室、供应室、实训基地、病房楼</w:t>
      </w:r>
      <w:r>
        <w:rPr>
          <w:rFonts w:hint="eastAsia" w:ascii="宋体" w:hAnsi="宋体" w:cs="宋体"/>
          <w:sz w:val="24"/>
          <w:szCs w:val="24"/>
          <w:highlight w:val="none"/>
          <w:lang w:val="en-US" w:eastAsia="zh-CN"/>
        </w:rPr>
        <w:t xml:space="preserve">5楼、6楼、7楼、8楼、公卫楼5楼、6楼行政</w:t>
      </w:r>
      <w:r>
        <w:rPr>
          <w:rFonts w:hint="eastAsia" w:ascii="宋体" w:hAnsi="宋体" w:eastAsia="宋体" w:cs="宋体"/>
          <w:sz w:val="24"/>
          <w:szCs w:val="24"/>
          <w:highlight w:val="none"/>
        </w:rPr>
        <w:t xml:space="preserve">办公区域、楼道、</w:t>
      </w:r>
      <w:r>
        <w:rPr>
          <w:rFonts w:hint="eastAsia" w:ascii="宋体" w:hAnsi="宋体" w:cs="宋体"/>
          <w:sz w:val="24"/>
          <w:szCs w:val="24"/>
          <w:highlight w:val="none"/>
          <w:lang w:eastAsia="zh-CN"/>
        </w:rPr>
        <w:t xml:space="preserve">楼顶、</w:t>
      </w:r>
      <w:r>
        <w:rPr>
          <w:rFonts w:hint="eastAsia" w:ascii="宋体" w:hAnsi="宋体" w:eastAsia="宋体" w:cs="宋体"/>
          <w:sz w:val="24"/>
          <w:szCs w:val="24"/>
          <w:highlight w:val="none"/>
        </w:rPr>
        <w:t xml:space="preserve">地下室、</w:t>
      </w:r>
      <w:r>
        <w:rPr>
          <w:rFonts w:hint="eastAsia" w:ascii="宋体" w:hAnsi="宋体" w:cs="宋体"/>
          <w:sz w:val="24"/>
          <w:szCs w:val="24"/>
          <w:highlight w:val="none"/>
          <w:lang w:eastAsia="zh-CN"/>
        </w:rPr>
        <w:t xml:space="preserve">一楼花园、三楼室外花园、</w:t>
      </w:r>
      <w:r>
        <w:rPr>
          <w:rFonts w:hint="eastAsia" w:ascii="宋体" w:hAnsi="宋体" w:eastAsia="宋体" w:cs="宋体"/>
          <w:sz w:val="24"/>
          <w:szCs w:val="24"/>
          <w:highlight w:val="none"/>
        </w:rPr>
        <w:t xml:space="preserve">外围、 专项保洁（玻璃工、高处除尘、洗地工、不锈钢保养、垃圾运送）等。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公共区域日常服务内容：地面、扶手、门窗玻璃、门及门框、玻璃幕墙及有关附体，沙发、桌子、候诊椅、各类宣传牌、橱窗及有关附体，天花板、栏杆、消防楼梯区域等，及时清除各种垃圾等杂物，无积灰、印迹、污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诊疗、</w:t>
      </w:r>
      <w:r>
        <w:rPr>
          <w:rFonts w:hint="eastAsia" w:ascii="宋体" w:hAnsi="宋体" w:eastAsia="宋体" w:cs="宋体"/>
          <w:sz w:val="24"/>
          <w:szCs w:val="24"/>
          <w:highlight w:val="none"/>
        </w:rPr>
        <w:t xml:space="preserve">办公区域、会议室等特定区域保洁服务内容：</w:t>
      </w:r>
      <w:r>
        <w:rPr>
          <w:rFonts w:hint="eastAsia" w:ascii="宋体" w:hAnsi="宋体" w:cs="宋体"/>
          <w:sz w:val="24"/>
          <w:szCs w:val="24"/>
          <w:highlight w:val="none"/>
          <w:lang w:eastAsia="zh-CN"/>
        </w:rPr>
        <w:t xml:space="preserve">医生诊疗办公桌每天用含氯消毒液擦拭</w:t>
      </w:r>
      <w:r>
        <w:rPr>
          <w:rFonts w:hint="eastAsia" w:ascii="宋体" w:hAnsi="宋体" w:cs="宋体"/>
          <w:sz w:val="24"/>
          <w:szCs w:val="24"/>
          <w:highlight w:val="none"/>
          <w:lang w:val="en-US" w:eastAsia="zh-CN"/>
        </w:rPr>
        <w:t xml:space="preserve">2次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地面、自动扶梯扶手、大厅石材墙面、天花板、门窗玻璃、门及门窗框、墙壁附体，灯具、音响、垃圾桶等公用设施表面，电梯及卫生间，办公室内储衣柜和桌椅表面等严格按要求做好清洁、清运及日常消杀工作，无积灰、印迹、污渍。桌面简单整理等，随时 保持清洁。石材、灯具每季度进行一次清洁；确保地面、桌面、玻璃面整洁干净。白色墙面及顶面如有污渍等应及时清除。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（3）顶篷等边缘区域服务内容：屋顶屋面、沟槽、地面、雨篷及边角区域，各种附体的表面清洁。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（4）水电和设备等设施类服务内容：一般机器表面清洁（有特殊规定的设备除外），消防设施、空调的过滤网</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外壳洗尘与保洁</w:t>
      </w:r>
      <w:r>
        <w:rPr>
          <w:rFonts w:hint="eastAsia" w:ascii="宋体" w:hAnsi="宋体" w:cs="宋体"/>
          <w:sz w:val="24"/>
          <w:szCs w:val="24"/>
          <w:highlight w:val="none"/>
          <w:lang w:eastAsia="zh-CN"/>
        </w:rPr>
        <w:t xml:space="preserve">、手术室空气过滤网清洗</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（5）窗/床帘服务内容：保持窗帘表面清洁，普通窗/床帘配合医院清洗、更换进行拆装，百叶窗、卷帘等擦拭消毒。窗/床帘一年至少清洗 2 次、值班室窗帘、被服定期清洗。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不锈钢保洁服务内容：包括所有不锈钢制品、设施、设备，除有明确规定的保洁要求外，至少每二个月用不锈钢油保养一次。哑光不锈钢表面无污渍、无灰尘；镜面不锈钢表面光亮，三米内能清晰映出人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医疗/生活垃圾清运服务内容：及时(每日至少早晚各一次,垃圾多时及时收集）收集垃圾，符合院感要求。医疗废物运送时间、路线合理；使用专用转运工具并按规定消毒。转运站工具摆放整齐，垃圾存量不超过三分之二且做到日产</w:t>
      </w:r>
      <w:r>
        <w:rPr>
          <w:rFonts w:hint="eastAsia" w:ascii="宋体" w:hAnsi="宋体" w:eastAsia="宋体" w:cs="宋体"/>
          <w:spacing w:val="2"/>
          <w:sz w:val="24"/>
          <w:szCs w:val="24"/>
          <w:highlight w:val="none"/>
        </w:rPr>
        <w:t xml:space="preserve">日清，定期清洗，医疗废</w:t>
      </w:r>
      <w:r>
        <w:rPr>
          <w:rFonts w:hint="eastAsia" w:ascii="宋体" w:hAnsi="宋体" w:eastAsia="宋体" w:cs="宋体"/>
          <w:sz w:val="24"/>
          <w:szCs w:val="24"/>
          <w:highlight w:val="none"/>
        </w:rPr>
        <w:t xml:space="preserve">物转运站：每次运出后，均要对地面和物体表面进行消毒，并应无积水。垃圾清运工具应保持清洁无破损，清运过程中不得产生二次污染。各类垃圾运到规定的地方，再将垃圾运到垃圾转运站，其中公共区、卫生间无堆积垃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（8）电梯服务内容：保持电梯轿厢内外无果壳、纸屑等杂物，无污渍、无灰尘、 手印、鞋印，表面光亮可映出人影。每天对轿厢内外用油布擦拭二次，每周用不锈钢油对轿厢内外进行轻抹保养一次。每天消毒3次，早、中、晚各</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次（有污染时及时消毒）。</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（9）地上区域每日清扫不少于3次；主干道路、广场、人行道每季度清洗一次，迎接检查时按需清洗，常态保持干净整洁。</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10）公共设施设备每日检查清扫保洁1次；围墙内的道路、停车场和门前及所有公共区域的地面，无有形垃圾和建筑垃圾、无堆积杂物、无积灰、无积水和淤泥、无阻塞等。做到每日清扫两次，巡回保洁。遇雷雨天气，按需清理；公共卫生间每日清洗保洁不少于2次，迎接检查时，按需清洗保洁；垃圾桶上下午各擦拭1次，实时保洁。所有设备设施常态保持干净整洁。</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（11）夏季（6</w:t>
      </w:r>
      <w:r>
        <w:rPr>
          <w:rFonts w:hint="eastAsia"/>
          <w:sz w:val="24"/>
          <w:szCs w:val="24"/>
          <w:highlight w:val="none"/>
          <w:lang w:val="en-US" w:eastAsia="zh-CN"/>
        </w:rPr>
        <w:t xml:space="preserve">~</w:t>
      </w:r>
      <w:r>
        <w:rPr>
          <w:sz w:val="24"/>
          <w:szCs w:val="24"/>
          <w:highlight w:val="none"/>
        </w:rPr>
        <w:t xml:space="preserve">9 月份）每天对所有化粪池、卫生间、病房周围进行蚊蝇消杀。</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2.2</w:t>
      </w:r>
      <w:r>
        <w:rPr>
          <w:sz w:val="24"/>
          <w:szCs w:val="24"/>
          <w:highlight w:val="none"/>
        </w:rPr>
        <w:t xml:space="preserve">安保人员服务要求</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2.2.1</w:t>
      </w:r>
      <w:r>
        <w:rPr>
          <w:sz w:val="24"/>
          <w:szCs w:val="24"/>
          <w:highlight w:val="none"/>
        </w:rPr>
        <w:t xml:space="preserve">素质要求：安保人员应当政治立场坚定，服从命令，听从指挥。</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2.2.2</w:t>
      </w:r>
      <w:r>
        <w:rPr>
          <w:sz w:val="24"/>
          <w:szCs w:val="24"/>
          <w:highlight w:val="none"/>
        </w:rPr>
        <w:t xml:space="preserve">着装：工作时间必须着保安制服，要按规定佩带保安标志。保安制服不准与便服混穿，不同季节的保安制服不准混穿。着保安制服应干净整洁，不准披衣、敞怀、挽袖、卷裤腿、歪戴帽子、穿拖鞋或赤足。</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2.3.3</w:t>
      </w:r>
      <w:r>
        <w:rPr>
          <w:sz w:val="24"/>
          <w:szCs w:val="24"/>
          <w:highlight w:val="none"/>
        </w:rPr>
        <w:t xml:space="preserve">仪容仪表：值勤时要仪表端正，精神饱满。不准留长头发、大鬓角和胡须。</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2.2.4</w:t>
      </w:r>
      <w:r>
        <w:rPr>
          <w:sz w:val="24"/>
          <w:szCs w:val="24"/>
          <w:highlight w:val="none"/>
        </w:rPr>
        <w:t xml:space="preserve">举止：精神饱满，姿态端正，动作规范，举止文明。工作时，不准袖手或将手插入衣袋，不准搭肩、挽臂，边走边吸烟、吃东西，嘻笑打闹，不准随地 吐痰、乱扔废弃物。</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2.2.5</w:t>
      </w:r>
      <w:r>
        <w:rPr>
          <w:sz w:val="24"/>
          <w:szCs w:val="24"/>
          <w:highlight w:val="none"/>
        </w:rPr>
        <w:t xml:space="preserve">语言：在工作中及接待来访人员时，使用语言要简洁准确，文明规范，并讲普通话。</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2.2.6</w:t>
      </w:r>
      <w:r>
        <w:rPr>
          <w:sz w:val="24"/>
          <w:szCs w:val="24"/>
          <w:highlight w:val="none"/>
        </w:rPr>
        <w:t xml:space="preserve">岗位纪律：严格按照法律的规定范围开展安保服务工作，严格履行岗位职责，不准做与保安服务无关的事情。不准脱岗、空岗、睡岗。遵守服务单位内部的各项规章制度，对服务单位内部的机密事项，不准随意打听、记录、传播。有重要情况要妥善处理并及时上报，不准迟报、漏报、隐瞒不报。禁止私自带无关人员及车辆进入</w:t>
      </w:r>
      <w:r>
        <w:rPr>
          <w:rFonts w:hint="eastAsia"/>
          <w:sz w:val="24"/>
          <w:szCs w:val="24"/>
          <w:highlight w:val="none"/>
          <w:lang w:eastAsia="zh-CN"/>
        </w:rPr>
        <w:t xml:space="preserve">院内</w:t>
      </w:r>
      <w:r>
        <w:rPr>
          <w:sz w:val="24"/>
          <w:szCs w:val="24"/>
          <w:highlight w:val="none"/>
        </w:rPr>
        <w:t xml:space="preserve">。</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2.3</w:t>
      </w:r>
      <w:r>
        <w:rPr>
          <w:sz w:val="24"/>
          <w:szCs w:val="24"/>
          <w:highlight w:val="none"/>
        </w:rPr>
        <w:t xml:space="preserve">、</w:t>
      </w:r>
      <w:r>
        <w:rPr>
          <w:rFonts w:hint="eastAsia"/>
          <w:sz w:val="24"/>
          <w:szCs w:val="24"/>
          <w:highlight w:val="none"/>
          <w:lang w:val="en-US" w:eastAsia="zh-CN"/>
        </w:rPr>
        <w:t xml:space="preserve">工程</w:t>
      </w:r>
      <w:r>
        <w:rPr>
          <w:sz w:val="24"/>
          <w:szCs w:val="24"/>
          <w:highlight w:val="none"/>
        </w:rPr>
        <w:t xml:space="preserve">维修人员服务要求</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2.3.</w:t>
      </w:r>
      <w:r>
        <w:rPr>
          <w:sz w:val="24"/>
          <w:szCs w:val="24"/>
          <w:highlight w:val="none"/>
        </w:rPr>
        <w:t xml:space="preserve">1、主要包括水、电维修+巡查，空调巡查报修，电梯清洁、巡检，配电房值班。</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2.3.</w:t>
      </w:r>
      <w:r>
        <w:rPr>
          <w:sz w:val="24"/>
          <w:szCs w:val="24"/>
          <w:highlight w:val="none"/>
        </w:rPr>
        <w:t xml:space="preserve">2、服务标准</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（1）负责公用设施正常运行及应急抢修与维护的岗位,必须全年24小时不间断服务。</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2）对所有的设备、设施进行编号和登记，对其型号、规格、主要的技术参数，使用寿命、供应商信息等进行登记并造册列表。对所有的管线和设备、设施放置地点进行图纸标绘，从而建立完整的设备档案，以计算机和纸质文档两种方式保存；对所有设备和节点建立标识卡和识别铭牌，并与纸质和计算机文档确保一一对应，并要求</w:t>
      </w:r>
      <w:r>
        <w:rPr>
          <w:sz w:val="24"/>
          <w:szCs w:val="24"/>
          <w:highlight w:val="none"/>
        </w:rPr>
        <w:t xml:space="preserve">员工在工作前进行确认。建立完善的技术资料，对于设备的原始说明书和供应商移交资料对应于设备进行编号和登记，并加以妥善保存，公司还将根据国家相关规定、产品说明书和公司的技术手册编制对每项业务操 作的具体业务流程，以规范员工操作。建立员工工作日志和运行维护日志，对于设备的每日运行状况、检查情况和维修情况进行登记，并作为设备档案长期保存。项目将定期根据运行维护相关记录对设备和设施的运行状况进行分析， 同时将统计数据进行分析，并根据分析结果确定管理关键节点、修订设备运行 和维护计划、工作整改计划、预警信息等加以执行。</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3）建立起以每日巡检、计划性定期保养和维保公司的联合维护管理。对于在日常巡检过程中发现的设备和设施在运行过程中的事故苗头将及时通过自身和联系维保公司提前解决。如技术性运行中断（如检修），应提前向采购人管理部门提出预报和应急方案。事故和险情出现时第一时间告知客户。每月向采购人报送运行及维护情况月报，并提出工作建议。</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（4）水电系统：</w:t>
      </w:r>
      <w:r/>
    </w:p>
    <w:p>
      <w:pPr>
        <w:ind w:firstLine="480"/>
        <w:keepLines w:val="0"/>
        <w:keepNext w:val="0"/>
        <w:pageBreakBefore w:val="0"/>
        <w:spacing w:line="360" w:lineRule="auto"/>
        <w:widowControl w:val="off"/>
        <w:rPr>
          <w:rFonts w:hint="eastAsia"/>
          <w:sz w:val="24"/>
          <w:szCs w:val="24"/>
          <w:highlight w:val="none"/>
        </w:rPr>
      </w:pPr>
      <w:r>
        <w:rPr>
          <w:sz w:val="24"/>
          <w:szCs w:val="24"/>
          <w:highlight w:val="none"/>
        </w:rPr>
        <w:t xml:space="preserve">1）</w:t>
      </w:r>
      <w:r>
        <w:rPr>
          <w:rFonts w:hint="eastAsia"/>
          <w:sz w:val="24"/>
          <w:szCs w:val="24"/>
          <w:highlight w:val="none"/>
          <w:lang w:val="en-US" w:eastAsia="zh-CN"/>
        </w:rPr>
        <w:t xml:space="preserve">单位</w:t>
      </w:r>
      <w:r>
        <w:rPr>
          <w:rFonts w:hint="eastAsia"/>
          <w:sz w:val="24"/>
          <w:szCs w:val="24"/>
          <w:highlight w:val="none"/>
        </w:rPr>
        <w:t xml:space="preserve">内</w:t>
      </w:r>
      <w:r>
        <w:rPr>
          <w:rFonts w:hint="eastAsia"/>
          <w:sz w:val="24"/>
          <w:szCs w:val="24"/>
          <w:highlight w:val="none"/>
          <w:lang w:eastAsia="zh-TW"/>
        </w:rPr>
        <w:t xml:space="preserve">照明设备外观整洁、无脱落、无蜘蛛网、无积尘</w:t>
      </w:r>
      <w:r>
        <w:rPr>
          <w:rFonts w:hint="eastAsia"/>
          <w:sz w:val="24"/>
          <w:szCs w:val="24"/>
          <w:highlight w:val="none"/>
        </w:rPr>
        <w:t xml:space="preserve">，</w:t>
      </w:r>
      <w:r>
        <w:rPr>
          <w:rFonts w:hint="eastAsia"/>
          <w:sz w:val="24"/>
          <w:szCs w:val="24"/>
          <w:highlight w:val="none"/>
          <w:lang w:eastAsia="zh-TW"/>
        </w:rPr>
        <w:t xml:space="preserve">完好率及维修更换率</w:t>
      </w:r>
      <w:r>
        <w:rPr>
          <w:rFonts w:hint="eastAsia"/>
          <w:sz w:val="24"/>
          <w:szCs w:val="24"/>
          <w:highlight w:val="none"/>
        </w:rPr>
        <w:t xml:space="preserve">100%，</w:t>
      </w:r>
      <w:r>
        <w:rPr>
          <w:rFonts w:hint="eastAsia"/>
          <w:sz w:val="24"/>
          <w:szCs w:val="24"/>
          <w:highlight w:val="none"/>
          <w:lang w:eastAsia="zh-TW"/>
        </w:rPr>
        <w:t xml:space="preserve">并按规定时间定时开关</w:t>
      </w:r>
      <w:r>
        <w:rPr>
          <w:rFonts w:hint="eastAsia"/>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lang w:eastAsia="zh-TW"/>
        </w:rPr>
        <w:t xml:space="preserve">供水、供电设备严格按国家规范管理</w:t>
      </w:r>
      <w:r>
        <w:rPr>
          <w:rFonts w:hint="eastAsia"/>
          <w:sz w:val="24"/>
          <w:szCs w:val="24"/>
          <w:highlight w:val="none"/>
        </w:rPr>
        <w:t xml:space="preserve">，</w:t>
      </w:r>
      <w:r>
        <w:rPr>
          <w:rFonts w:hint="eastAsia"/>
          <w:sz w:val="24"/>
          <w:szCs w:val="24"/>
          <w:highlight w:val="none"/>
          <w:lang w:eastAsia="zh-TW"/>
        </w:rPr>
        <w:t xml:space="preserve">符合国家标准</w:t>
      </w:r>
      <w:r>
        <w:rPr>
          <w:rFonts w:hint="eastAsia"/>
          <w:sz w:val="24"/>
          <w:szCs w:val="24"/>
          <w:highlight w:val="none"/>
        </w:rPr>
        <w:t xml:space="preserve">，</w:t>
      </w:r>
      <w:r>
        <w:rPr>
          <w:rFonts w:hint="eastAsia"/>
          <w:sz w:val="24"/>
          <w:szCs w:val="24"/>
          <w:highlight w:val="none"/>
          <w:lang w:eastAsia="zh-TW"/>
        </w:rPr>
        <w:t xml:space="preserve">运行状况良好</w:t>
      </w:r>
      <w:r>
        <w:rPr>
          <w:rFonts w:hint="eastAsia"/>
          <w:sz w:val="24"/>
          <w:szCs w:val="24"/>
          <w:highlight w:val="none"/>
        </w:rPr>
        <w:t xml:space="preserve">，</w:t>
      </w:r>
      <w:r>
        <w:rPr>
          <w:rFonts w:hint="eastAsia"/>
          <w:sz w:val="24"/>
          <w:szCs w:val="24"/>
          <w:highlight w:val="none"/>
          <w:lang w:eastAsia="zh-TW"/>
        </w:rPr>
        <w:t xml:space="preserve">有可行的应急方案</w:t>
      </w:r>
      <w:r>
        <w:rPr>
          <w:rFonts w:hint="eastAsia"/>
          <w:sz w:val="24"/>
          <w:szCs w:val="24"/>
          <w:highlight w:val="none"/>
        </w:rPr>
        <w:t xml:space="preserve">，</w:t>
      </w:r>
      <w:r>
        <w:rPr>
          <w:rFonts w:hint="eastAsia"/>
          <w:sz w:val="24"/>
          <w:szCs w:val="24"/>
          <w:highlight w:val="none"/>
          <w:lang w:eastAsia="zh-TW"/>
        </w:rPr>
        <w:t xml:space="preserve">确保供水、供电系统的正常运行</w:t>
      </w:r>
      <w:r>
        <w:rPr>
          <w:rFonts w:hint="eastAsia"/>
          <w:sz w:val="24"/>
          <w:szCs w:val="24"/>
          <w:highlight w:val="none"/>
        </w:rPr>
        <w:t xml:space="preserve">。</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3）</w:t>
      </w:r>
      <w:r>
        <w:rPr>
          <w:sz w:val="24"/>
          <w:szCs w:val="24"/>
          <w:highlight w:val="none"/>
        </w:rPr>
        <w:t xml:space="preserve">所有维修人员应经过安全方面的培训，包括：水电安全操作规程的培训。持证上岗，坚持每日对楼内的水电系统进行安全巡查，及时发现问题并及时检修。对于照明、给排水一般性维修，接报后10分钟内赶到现场，维修率及质量应达到90%以上，确保临床医疗工作的正常开展；</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4</w:t>
      </w:r>
      <w:r>
        <w:rPr>
          <w:sz w:val="24"/>
          <w:szCs w:val="24"/>
          <w:highlight w:val="none"/>
        </w:rPr>
        <w:t xml:space="preserve">）节假日及夜间应确保维修值班电话的畅通，并安排有专人职守。对所有的请修电话或报警电话必须及时做出反映，在10分钟内维修人员必须赶到现场，迅速查明事故原因并解决和排除故障。对不能解决的问题必须立即报告上级及相关部门，确保医疗秩序的正常运行，防止医疗事故或其他事故的发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总体配置概况：</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3.1人员数量</w:t>
      </w:r>
      <w:r/>
    </w:p>
    <w:p>
      <w:pPr>
        <w:spacing w:line="66" w:lineRule="exact"/>
        <w:rPr>
          <w:highlight w:val="none"/>
        </w:rPr>
      </w:pPr>
      <w:r>
        <w:rPr>
          <w:highlight w:val="none"/>
        </w:rPr>
      </w:r>
      <w:r/>
    </w:p>
    <w:tbl>
      <w:tblPr>
        <w:tblStyle w:val="857"/>
        <w:tblW w:w="85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4"/>
        <w:gridCol w:w="3658"/>
        <w:gridCol w:w="3758"/>
      </w:tblGrid>
      <w:tr>
        <w:trPr>
          <w:trHeight w:val="553"/>
        </w:trPr>
        <w:tc>
          <w:tcPr>
            <w:tcW w:w="1144"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3658"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岗位</w:t>
            </w:r>
            <w:r/>
          </w:p>
        </w:tc>
        <w:tc>
          <w:tcPr>
            <w:tcW w:w="3758"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人数</w:t>
            </w:r>
            <w:r/>
          </w:p>
        </w:tc>
      </w:tr>
      <w:tr>
        <w:trPr>
          <w:trHeight w:val="426"/>
        </w:trPr>
        <w:tc>
          <w:tcPr>
            <w:tcW w:w="1144"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3658" w:type="dxa"/>
            <w:vAlign w:val="center"/>
            <w:textDirection w:val="lrTb"/>
            <w:noWrap w:val="false"/>
          </w:tcPr>
          <w:p>
            <w:pPr>
              <w:jc w:val="center"/>
              <w:rPr>
                <w:rFonts w:hint="default"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tcW w:w="3758"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p>
        </w:tc>
      </w:tr>
      <w:tr>
        <w:trPr>
          <w:trHeight w:val="533"/>
        </w:trPr>
        <w:tc>
          <w:tcPr>
            <w:tcW w:w="1144"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shd w:val="clear" w:color="auto" w:fill="auto"/>
            <w:tcW w:w="36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保洁员（含保洁负责人）</w:t>
            </w:r>
            <w:r/>
          </w:p>
        </w:tc>
        <w:tc>
          <w:tcPr>
            <w:shd w:val="clear" w:color="auto" w:fill="auto"/>
            <w:tcW w:w="3758" w:type="dxa"/>
            <w:vAlign w:val="center"/>
            <w:textDirection w:val="lrTb"/>
            <w:noWrap w:val="false"/>
          </w:tcPr>
          <w:p>
            <w:pPr>
              <w:jc w:val="center"/>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12</w:t>
            </w:r>
            <w:r/>
          </w:p>
        </w:tc>
      </w:tr>
      <w:tr>
        <w:trPr>
          <w:trHeight w:val="485"/>
        </w:trPr>
        <w:tc>
          <w:tcPr>
            <w:tcW w:w="1144"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shd w:val="clear" w:color="auto" w:fill="auto"/>
            <w:tcW w:w="36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安保人员（持保安证上岗）</w:t>
            </w:r>
            <w:r/>
          </w:p>
        </w:tc>
        <w:tc>
          <w:tcPr>
            <w:shd w:val="clear" w:color="auto" w:fill="auto"/>
            <w:tcW w:w="37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8</w:t>
            </w:r>
            <w:r/>
          </w:p>
        </w:tc>
      </w:tr>
      <w:tr>
        <w:trPr>
          <w:trHeight w:val="446"/>
        </w:trPr>
        <w:tc>
          <w:tcPr>
            <w:tcW w:w="1144"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shd w:val="clear" w:color="auto" w:fill="auto"/>
            <w:tcW w:w="36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消控室人员（持证上岗）</w:t>
            </w:r>
            <w:r/>
          </w:p>
        </w:tc>
        <w:tc>
          <w:tcPr>
            <w:shd w:val="clear" w:color="auto" w:fill="auto"/>
            <w:tcW w:w="37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6</w:t>
            </w:r>
            <w:r/>
          </w:p>
        </w:tc>
      </w:tr>
      <w:tr>
        <w:trPr>
          <w:trHeight w:val="481"/>
        </w:trPr>
        <w:tc>
          <w:tcPr>
            <w:tcW w:w="1144"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shd w:val="clear" w:color="auto" w:fill="auto"/>
            <w:tcW w:w="36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工程维修人员（含工程主管）</w:t>
            </w:r>
            <w:r/>
          </w:p>
        </w:tc>
        <w:tc>
          <w:tcPr>
            <w:shd w:val="clear" w:color="auto" w:fill="auto"/>
            <w:tcW w:w="37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3</w:t>
            </w:r>
            <w:r/>
          </w:p>
        </w:tc>
      </w:tr>
      <w:tr>
        <w:trPr>
          <w:trHeight w:val="481"/>
        </w:trPr>
        <w:tc>
          <w:tcPr>
            <w:tcW w:w="1144" w:type="dxa"/>
            <w:vAlign w:val="center"/>
            <w:textDirection w:val="lrTb"/>
            <w:noWrap w:val="false"/>
          </w:tcPr>
          <w:p>
            <w:pPr>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shd w:val="clear" w:color="auto" w:fill="auto"/>
            <w:tcW w:w="36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其他</w:t>
            </w:r>
            <w:r/>
          </w:p>
        </w:tc>
        <w:tc>
          <w:tcPr>
            <w:shd w:val="clear" w:color="auto" w:fill="auto"/>
            <w:tcW w:w="375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r>
      <w:tr>
        <w:trPr>
          <w:trHeight w:val="615"/>
        </w:trPr>
        <w:tc>
          <w:tcPr>
            <w:gridSpan w:val="2"/>
            <w:tcW w:w="4802" w:type="dxa"/>
            <w:vAlign w:val="center"/>
            <w:textDirection w:val="lrTb"/>
            <w:noWrap w:val="false"/>
          </w:tcPr>
          <w:p>
            <w:pPr>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合计</w:t>
            </w:r>
            <w:r/>
          </w:p>
        </w:tc>
        <w:tc>
          <w:tcPr>
            <w:tcW w:w="3758" w:type="dxa"/>
            <w:vAlign w:val="center"/>
            <w:textDirection w:val="lrTb"/>
            <w:noWrap w:val="false"/>
          </w:tcPr>
          <w:p>
            <w:pPr>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36</w:t>
            </w:r>
            <w:r>
              <w:rPr>
                <w:rFonts w:hint="eastAsia" w:asciiTheme="minorEastAsia" w:hAnsiTheme="minorEastAsia" w:eastAsiaTheme="minorEastAsia" w:cstheme="minorEastAsia"/>
                <w:b/>
                <w:bCs/>
                <w:sz w:val="21"/>
                <w:szCs w:val="21"/>
                <w:highlight w:val="none"/>
              </w:rPr>
              <w:t xml:space="preserve">人</w:t>
            </w:r>
            <w:r/>
          </w:p>
        </w:tc>
      </w:tr>
    </w:tbl>
    <w:p>
      <w:pPr>
        <w:pStyle w:val="839"/>
        <w:ind w:left="0" w:firstLine="0"/>
        <w:rPr>
          <w:rFonts w:hint="eastAsia"/>
          <w:highlight w:val="none"/>
          <w:lang w:val="en-US" w:eastAsia="zh-CN"/>
        </w:rPr>
      </w:pPr>
      <w:r>
        <w:rPr>
          <w:rFonts w:hint="eastAsia"/>
          <w:highlight w:val="none"/>
          <w:lang w:val="en-US" w:eastAsia="zh-CN"/>
        </w:rPr>
      </w:r>
      <w:r/>
    </w:p>
    <w:p>
      <w:pPr>
        <w:pStyle w:val="839"/>
        <w:ind w:left="0" w:firstLine="0"/>
        <w:rPr>
          <w:rFonts w:hint="eastAsia"/>
          <w:highlight w:val="none"/>
          <w:lang w:val="en-US" w:eastAsia="zh-CN"/>
        </w:rPr>
      </w:pPr>
      <w:r>
        <w:rPr>
          <w:rFonts w:hint="eastAsia"/>
          <w:highlight w:val="none"/>
          <w:lang w:val="en-US" w:eastAsia="zh-CN"/>
        </w:rPr>
      </w:r>
      <w:r/>
    </w:p>
    <w:p>
      <w:pPr>
        <w:pStyle w:val="839"/>
        <w:ind w:left="0" w:firstLine="0"/>
        <w:rPr>
          <w:rFonts w:hint="eastAsia"/>
          <w:highlight w:val="none"/>
          <w:lang w:val="en-US" w:eastAsia="zh-CN"/>
        </w:rPr>
      </w:pPr>
      <w:r>
        <w:rPr>
          <w:rFonts w:hint="eastAsia"/>
          <w:highlight w:val="none"/>
          <w:lang w:val="en-US" w:eastAsia="zh-CN"/>
        </w:rPr>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3.2</w:t>
      </w:r>
      <w:r>
        <w:rPr>
          <w:sz w:val="24"/>
          <w:szCs w:val="24"/>
          <w:highlight w:val="none"/>
        </w:rPr>
        <w:t xml:space="preserve">岗位配置明细：</w:t>
      </w:r>
      <w:r/>
    </w:p>
    <w:p>
      <w:pPr>
        <w:ind w:firstLine="480"/>
        <w:keepLines w:val="0"/>
        <w:keepNext w:val="0"/>
        <w:pageBreakBefore w:val="0"/>
        <w:spacing w:line="360" w:lineRule="auto"/>
        <w:widowControl w:val="off"/>
        <w:rPr>
          <w:sz w:val="24"/>
          <w:szCs w:val="24"/>
          <w:highlight w:val="none"/>
        </w:rPr>
      </w:pPr>
      <w:r>
        <w:rPr>
          <w:sz w:val="24"/>
          <w:szCs w:val="24"/>
          <w:highlight w:val="none"/>
        </w:rPr>
      </w:r>
      <w:r/>
    </w:p>
    <w:tbl>
      <w:tblPr>
        <w:tblStyle w:val="857"/>
        <w:tblW w:w="92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9"/>
        <w:gridCol w:w="1432"/>
        <w:gridCol w:w="3420"/>
        <w:gridCol w:w="599"/>
        <w:gridCol w:w="44"/>
        <w:gridCol w:w="3137"/>
      </w:tblGrid>
      <w:tr>
        <w:trPr>
          <w:trHeight w:val="785"/>
        </w:trPr>
        <w:tc>
          <w:tcPr>
            <w:tcW w:w="619" w:type="dxa"/>
            <w:vAlign w:val="center"/>
            <w:textDirection w:val="tbRlV"/>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岗 位</w:t>
            </w:r>
            <w:r/>
          </w:p>
        </w:tc>
        <w:tc>
          <w:tcPr>
            <w:tcW w:w="1432"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具体岗位</w:t>
            </w:r>
            <w:r/>
          </w:p>
        </w:tc>
        <w:tc>
          <w:tcPr>
            <w:tcW w:w="3420"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区域</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人员</w:t>
            </w:r>
            <w:r/>
          </w:p>
        </w:tc>
        <w:tc>
          <w:tcPr>
            <w:tcW w:w="3137"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备注</w:t>
            </w:r>
            <w:r/>
          </w:p>
        </w:tc>
      </w:tr>
      <w:tr>
        <w:trPr>
          <w:trHeight w:val="772"/>
        </w:trPr>
        <w:tc>
          <w:tcPr>
            <w:tcBorders>
              <w:bottom w:val="none" w:color="000000" w:sz="4" w:space="0"/>
            </w:tcBorders>
            <w:tcW w:w="619" w:type="dxa"/>
            <w:vAlign w:val="center"/>
            <w:vMerge w:val="restart"/>
            <w:textDirection w:val="tbRlV"/>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highlight w:val="none"/>
              </w:rPr>
              <w:t xml:space="preserve">管 理 人 员</w:t>
            </w:r>
            <w:r/>
          </w:p>
        </w:tc>
        <w:tc>
          <w:tcPr>
            <w:tcW w:w="1432" w:type="dxa"/>
            <w:vAlign w:val="center"/>
            <w:textDirection w:val="lrTb"/>
            <w:noWrap w:val="false"/>
          </w:tcPr>
          <w:p>
            <w:pPr>
              <w:jc w:val="center"/>
              <w:rPr>
                <w:rFonts w:hint="default"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highlight w:val="none"/>
              </w:rPr>
              <w:t xml:space="preserve">项目负责人</w:t>
            </w:r>
            <w:r/>
          </w:p>
        </w:tc>
        <w:tc>
          <w:tcPr>
            <w:tcW w:w="3420" w:type="dxa"/>
            <w:vAlign w:val="center"/>
            <w:textDirection w:val="lrTb"/>
            <w:noWrap w:val="false"/>
          </w:tcPr>
          <w:p>
            <w:pPr>
              <w:jc w:val="center"/>
              <w:rPr>
                <w:rFonts w:hint="default"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highlight w:val="none"/>
                <w:lang w:val="en-US" w:eastAsia="zh-CN"/>
              </w:rPr>
              <w:t xml:space="preserve">负责综合事务</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每周工作</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天，每天7.5 小时</w:t>
            </w:r>
            <w:r/>
          </w:p>
        </w:tc>
      </w:tr>
      <w:tr>
        <w:trPr>
          <w:trHeight w:val="608"/>
        </w:trPr>
        <w:tc>
          <w:tcPr>
            <w:tcBorders>
              <w:top w:val="none" w:color="000000" w:sz="4" w:space="0"/>
            </w:tcBorders>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gridSpan w:val="2"/>
            <w:tcW w:w="4852"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合计</w:t>
            </w:r>
            <w:r/>
          </w:p>
        </w:tc>
        <w:tc>
          <w:tcPr>
            <w:gridSpan w:val="3"/>
            <w:tcW w:w="3780"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cstheme="minorEastAsia"/>
                <w:b/>
                <w:bCs/>
                <w:highlight w:val="none"/>
                <w:lang w:val="en-US" w:eastAsia="zh-CN"/>
              </w:rPr>
              <w:t xml:space="preserve">1</w:t>
            </w:r>
            <w:r>
              <w:rPr>
                <w:rFonts w:hint="eastAsia" w:asciiTheme="minorEastAsia" w:hAnsiTheme="minorEastAsia" w:eastAsiaTheme="minorEastAsia" w:cstheme="minorEastAsia"/>
                <w:b/>
                <w:bCs/>
                <w:highlight w:val="none"/>
              </w:rPr>
              <w:t xml:space="preserve"> 人</w:t>
            </w:r>
            <w:r/>
          </w:p>
        </w:tc>
      </w:tr>
      <w:tr>
        <w:trPr>
          <w:trHeight w:val="1671"/>
        </w:trPr>
        <w:tc>
          <w:tcPr>
            <w:tcW w:w="619" w:type="dxa"/>
            <w:vAlign w:val="center"/>
            <w:vMerge w:val="restart"/>
            <w:textDirection w:val="tbRlV"/>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保 洁</w:t>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 楼</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门诊大厅、挂号</w:t>
            </w:r>
            <w:r>
              <w:rPr>
                <w:rFonts w:hint="eastAsia" w:asciiTheme="minorEastAsia" w:hAnsiTheme="minorEastAsia" w:cstheme="minorEastAsia"/>
                <w:highlight w:val="none"/>
                <w:lang w:eastAsia="zh-CN"/>
              </w:rPr>
              <w:t xml:space="preserve">室</w:t>
            </w:r>
            <w:r>
              <w:rPr>
                <w:rFonts w:hint="eastAsia" w:asciiTheme="minorEastAsia" w:hAnsiTheme="minorEastAsia" w:eastAsiaTheme="minorEastAsia" w:cstheme="minorEastAsia"/>
                <w:highlight w:val="none"/>
              </w:rPr>
              <w:t xml:space="preserve">、药房、</w:t>
            </w:r>
            <w:r>
              <w:rPr>
                <w:rFonts w:hint="eastAsia" w:asciiTheme="minorEastAsia" w:hAnsiTheme="minorEastAsia" w:cstheme="minorEastAsia"/>
                <w:highlight w:val="none"/>
                <w:lang w:eastAsia="zh-CN"/>
              </w:rPr>
              <w:t xml:space="preserve">内科</w:t>
            </w:r>
            <w:r>
              <w:rPr>
                <w:rFonts w:hint="eastAsia" w:asciiTheme="minorEastAsia" w:hAnsiTheme="minorEastAsia" w:eastAsiaTheme="minorEastAsia" w:cstheme="minorEastAsia"/>
                <w:highlight w:val="none"/>
              </w:rPr>
              <w:t xml:space="preserve">诊室、</w:t>
            </w:r>
            <w:r>
              <w:rPr>
                <w:rFonts w:hint="eastAsia" w:asciiTheme="minorEastAsia" w:hAnsiTheme="minorEastAsia" w:cstheme="minorEastAsia"/>
                <w:highlight w:val="none"/>
                <w:lang w:eastAsia="zh-CN"/>
              </w:rPr>
              <w:t xml:space="preserve">儿科诊室、狂苗室、</w:t>
            </w:r>
            <w:r>
              <w:rPr>
                <w:rFonts w:hint="eastAsia" w:asciiTheme="minorEastAsia" w:hAnsiTheme="minorEastAsia" w:eastAsiaTheme="minorEastAsia" w:cstheme="minorEastAsia"/>
                <w:highlight w:val="none"/>
              </w:rPr>
              <w:t xml:space="preserve">肠道门诊、发热诊室</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120急救中心、放射科、检验科、中药煎药室、</w:t>
            </w:r>
            <w:r>
              <w:rPr>
                <w:rFonts w:hint="eastAsia" w:asciiTheme="minorEastAsia" w:hAnsiTheme="minorEastAsia" w:eastAsiaTheme="minorEastAsia" w:cstheme="minorEastAsia"/>
                <w:highlight w:val="none"/>
              </w:rPr>
              <w:t xml:space="preserve">心电图、输液大厅、急诊输液大厅、急诊</w:t>
            </w:r>
            <w:r>
              <w:rPr>
                <w:rFonts w:hint="eastAsia" w:asciiTheme="minorEastAsia" w:hAnsiTheme="minorEastAsia" w:eastAsiaTheme="minorEastAsia" w:cstheme="minorEastAsia"/>
                <w:highlight w:val="none"/>
                <w:lang w:eastAsia="zh-CN"/>
              </w:rPr>
              <w:t xml:space="preserve">抢救室、男女值班室、门急诊区域公共区域、室外花园</w:t>
            </w:r>
            <w:r/>
          </w:p>
        </w:tc>
        <w:tc>
          <w:tcPr>
            <w:gridSpan w:val="2"/>
            <w:tcW w:w="643" w:type="dxa"/>
            <w:vAlign w:val="center"/>
            <w:textDirection w:val="lrTb"/>
            <w:noWrap w:val="false"/>
          </w:tcPr>
          <w:p>
            <w:pPr>
              <w:jc w:val="center"/>
              <w:rPr>
                <w:rFonts w:hint="eastAsia" w:eastAsia="宋体" w:asciiTheme="minorEastAsia" w:hAnsiTheme="minorEastAsia" w:cstheme="minorEastAsia"/>
                <w:highlight w:val="none"/>
                <w:lang w:eastAsia="zh-CN"/>
              </w:rPr>
            </w:pPr>
            <w:r>
              <w:rPr>
                <w:rFonts w:hint="eastAsia" w:asciiTheme="minorEastAsia" w:hAnsiTheme="minorEastAsia" w:cstheme="minorEastAsia"/>
                <w:highlight w:val="none"/>
                <w:lang w:val="en-US" w:eastAsia="zh-CN"/>
              </w:rPr>
              <w:t xml:space="preserve">2</w:t>
            </w:r>
            <w:r/>
          </w:p>
        </w:tc>
        <w:tc>
          <w:tcPr>
            <w:tcW w:w="3137" w:type="dxa"/>
            <w:vAlign w:val="center"/>
            <w:textDirection w:val="lrTb"/>
            <w:noWrap w:val="false"/>
          </w:tcPr>
          <w:p>
            <w:pPr>
              <w:jc w:val="both"/>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每周工作6天，白班；</w:t>
            </w:r>
            <w:r/>
          </w:p>
        </w:tc>
      </w:tr>
      <w:tr>
        <w:trPr>
          <w:trHeight w:val="924"/>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 楼</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B超</w:t>
            </w:r>
            <w:r>
              <w:rPr>
                <w:rFonts w:hint="eastAsia" w:asciiTheme="minorEastAsia" w:hAnsiTheme="minorEastAsia" w:cstheme="minorEastAsia"/>
                <w:highlight w:val="none"/>
                <w:lang w:eastAsia="zh-CN"/>
              </w:rPr>
              <w:t xml:space="preserve">室</w:t>
            </w:r>
            <w:r>
              <w:rPr>
                <w:rFonts w:hint="eastAsia" w:asciiTheme="minorEastAsia" w:hAnsiTheme="minorEastAsia" w:eastAsiaTheme="minorEastAsia" w:cstheme="minorEastAsia"/>
                <w:highlight w:val="none"/>
                <w:lang w:val="en-US" w:eastAsia="zh-CN"/>
              </w:rPr>
              <w:t xml:space="preserve">、中医脾胃科</w:t>
            </w:r>
            <w:r>
              <w:rPr>
                <w:rFonts w:hint="eastAsia" w:asciiTheme="minorEastAsia" w:hAnsiTheme="minorEastAsia" w:eastAsiaTheme="minorEastAsia" w:cstheme="minorEastAsia"/>
                <w:highlight w:val="none"/>
              </w:rPr>
              <w:t xml:space="preserve">诊、口腔科、</w:t>
            </w:r>
            <w:r>
              <w:rPr>
                <w:rFonts w:hint="eastAsia" w:asciiTheme="minorEastAsia" w:hAnsiTheme="minorEastAsia" w:eastAsiaTheme="minorEastAsia" w:cstheme="minorEastAsia"/>
                <w:highlight w:val="none"/>
                <w:lang w:eastAsia="zh-CN"/>
              </w:rPr>
              <w:t xml:space="preserve">眼科、耳鼻喉科、</w:t>
            </w:r>
            <w:r>
              <w:rPr>
                <w:rFonts w:hint="eastAsia" w:asciiTheme="minorEastAsia" w:hAnsiTheme="minorEastAsia" w:eastAsiaTheme="minorEastAsia" w:cstheme="minorEastAsia"/>
                <w:highlight w:val="none"/>
              </w:rPr>
              <w:t xml:space="preserve">计免科、儿保、中医诊室、</w:t>
            </w:r>
            <w:r>
              <w:rPr>
                <w:rFonts w:hint="eastAsia" w:asciiTheme="minorEastAsia" w:hAnsiTheme="minorEastAsia" w:cstheme="minorEastAsia"/>
                <w:highlight w:val="none"/>
                <w:lang w:eastAsia="zh-CN"/>
              </w:rPr>
              <w:t xml:space="preserve">中药房、</w:t>
            </w:r>
            <w:r>
              <w:rPr>
                <w:rFonts w:hint="eastAsia" w:asciiTheme="minorEastAsia" w:hAnsiTheme="minorEastAsia" w:eastAsiaTheme="minorEastAsia" w:cstheme="minorEastAsia"/>
                <w:highlight w:val="none"/>
              </w:rPr>
              <w:t xml:space="preserve">中</w:t>
            </w:r>
            <w:r>
              <w:rPr>
                <w:rFonts w:hint="eastAsia" w:asciiTheme="minorEastAsia" w:hAnsiTheme="minorEastAsia" w:eastAsiaTheme="minorEastAsia" w:cstheme="minorEastAsia"/>
                <w:highlight w:val="none"/>
                <w:lang w:eastAsia="zh-CN"/>
              </w:rPr>
              <w:t xml:space="preserve">医骨伤科诊室、康复大厅、中药房、公共区域</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每周工作6天，白班；</w:t>
            </w:r>
            <w:r/>
          </w:p>
        </w:tc>
      </w:tr>
      <w:tr>
        <w:trPr>
          <w:trHeight w:val="417"/>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eastAsia="宋体" w:asciiTheme="minorEastAsia" w:hAnsiTheme="minorEastAsia" w:cstheme="minorEastAsia"/>
                <w:highlight w:val="none"/>
                <w:lang w:val="en-US" w:eastAsia="zh-CN"/>
              </w:rPr>
            </w:pPr>
            <w:r>
              <w:rPr>
                <w:rFonts w:hint="eastAsia" w:asciiTheme="minorEastAsia" w:hAnsiTheme="minorEastAsia" w:cstheme="minorEastAsia"/>
                <w:highlight w:val="none"/>
                <w:lang w:val="en-US" w:eastAsia="zh-CN"/>
              </w:rPr>
              <w:t xml:space="preserve">2楼</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内镜诊疗中心</w:t>
            </w:r>
            <w:r/>
          </w:p>
        </w:tc>
        <w:tc>
          <w:tcPr>
            <w:gridSpan w:val="2"/>
            <w:tcW w:w="643" w:type="dxa"/>
            <w:vAlign w:val="center"/>
            <w:textDirection w:val="lrTb"/>
            <w:noWrap w:val="false"/>
          </w:tcPr>
          <w:p>
            <w:pPr>
              <w:jc w:val="center"/>
              <w:rPr>
                <w:rFonts w:hint="default" w:asciiTheme="minorEastAsia" w:hAnsiTheme="minorEastAsia" w:cstheme="minorEastAsia"/>
                <w:highlight w:val="none"/>
                <w:lang w:val="en-US" w:eastAsia="zh-CN"/>
              </w:rPr>
            </w:pPr>
            <w:r>
              <w:rPr>
                <w:rFonts w:hint="eastAsia" w:asciiTheme="minorEastAsia" w:hAnsi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eastAsia="宋体" w:asciiTheme="minorEastAsia" w:hAnsiTheme="minorEastAsia" w:cstheme="minorEastAsia"/>
                <w:highlight w:val="none"/>
                <w:lang w:eastAsia="zh-CN"/>
              </w:rPr>
            </w:pPr>
            <w:r>
              <w:rPr>
                <w:rFonts w:hint="eastAsia" w:asciiTheme="minorEastAsia" w:hAnsiTheme="minorEastAsia" w:cstheme="minorEastAsia"/>
                <w:highlight w:val="none"/>
                <w:lang w:eastAsia="zh-CN"/>
              </w:rPr>
              <w:t xml:space="preserve">每周三、周四上午</w:t>
            </w:r>
            <w:r/>
          </w:p>
        </w:tc>
      </w:tr>
      <w:tr>
        <w:trPr>
          <w:trHeight w:val="417"/>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 楼</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血液透析中心</w:t>
            </w:r>
            <w:r/>
          </w:p>
        </w:tc>
        <w:tc>
          <w:tcPr>
            <w:gridSpan w:val="2"/>
            <w:tcW w:w="643" w:type="dxa"/>
            <w:vAlign w:val="center"/>
            <w:textDirection w:val="lrTb"/>
            <w:noWrap w:val="false"/>
          </w:tcPr>
          <w:p>
            <w:pPr>
              <w:jc w:val="center"/>
              <w:rPr>
                <w:rFonts w:hint="eastAsia" w:eastAsia="宋体" w:asciiTheme="minorEastAsia" w:hAnsiTheme="minorEastAsia" w:cstheme="minorEastAsia"/>
                <w:highlight w:val="none"/>
                <w:lang w:val="en-US" w:eastAsia="zh-CN"/>
              </w:rPr>
            </w:pPr>
            <w:r>
              <w:rPr>
                <w:rFonts w:hint="eastAsia" w:asciiTheme="minorEastAsia" w:hAnsi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每周工作6天，白班；</w:t>
            </w:r>
            <w:r/>
          </w:p>
        </w:tc>
      </w:tr>
      <w:tr>
        <w:trPr>
          <w:trHeight w:val="417"/>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 楼</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妇科门诊、计划生育门诊、 妇女保健、健康教育活动室</w:t>
            </w:r>
            <w:r>
              <w:rPr>
                <w:rFonts w:hint="eastAsia" w:asciiTheme="minorEastAsia" w:hAnsiTheme="minorEastAsia" w:cstheme="minorEastAsia"/>
                <w:highlight w:val="none"/>
                <w:lang w:eastAsia="zh-CN"/>
              </w:rPr>
              <w:t xml:space="preserve">、</w:t>
            </w:r>
            <w:r>
              <w:rPr>
                <w:rFonts w:hint="eastAsia" w:asciiTheme="minorEastAsia" w:hAnsiTheme="minorEastAsia" w:eastAsiaTheme="minorEastAsia" w:cstheme="minorEastAsia"/>
                <w:highlight w:val="none"/>
                <w:lang w:eastAsia="zh-CN"/>
              </w:rPr>
              <w:t xml:space="preserve">手术室、三楼花园</w:t>
            </w:r>
            <w:r/>
          </w:p>
        </w:tc>
        <w:tc>
          <w:tcPr>
            <w:gridSpan w:val="2"/>
            <w:tcW w:w="643" w:type="dxa"/>
            <w:vAlign w:val="center"/>
            <w:textDirection w:val="lrTb"/>
            <w:noWrap w:val="false"/>
          </w:tcPr>
          <w:p>
            <w:pPr>
              <w:jc w:val="center"/>
              <w:rPr>
                <w:rFonts w:hint="eastAsia" w:eastAsia="宋体" w:asciiTheme="minorEastAsia" w:hAnsiTheme="minorEastAsia" w:cstheme="minorEastAsia"/>
                <w:highlight w:val="none"/>
                <w:lang w:eastAsia="zh-CN"/>
              </w:rPr>
            </w:pPr>
            <w:r>
              <w:rPr>
                <w:rFonts w:hint="eastAsia" w:asciiTheme="minorEastAsia" w:hAnsi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每周工作6天，白班；</w:t>
            </w:r>
            <w:r/>
          </w:p>
        </w:tc>
      </w:tr>
      <w:tr>
        <w:trPr>
          <w:trHeight w:val="496"/>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4楼</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慢筛中心、一</w:t>
            </w:r>
            <w:r>
              <w:rPr>
                <w:rFonts w:hint="eastAsia" w:asciiTheme="minorEastAsia" w:hAnsiTheme="minorEastAsia" w:eastAsiaTheme="minorEastAsia" w:cstheme="minorEastAsia"/>
                <w:highlight w:val="none"/>
              </w:rPr>
              <w:t xml:space="preserve">病区</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2</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每周工作6天，白班；</w:t>
            </w:r>
            <w:r/>
          </w:p>
        </w:tc>
      </w:tr>
      <w:tr>
        <w:trPr>
          <w:trHeight w:val="496"/>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5楼、</w:t>
            </w:r>
            <w:r>
              <w:rPr>
                <w:rFonts w:hint="eastAsia" w:asciiTheme="minorEastAsia" w:hAnsiTheme="minorEastAsia" w:eastAsiaTheme="minorEastAsia" w:cstheme="minorEastAsia"/>
                <w:highlight w:val="none"/>
              </w:rPr>
              <w:t xml:space="preserve">6 楼</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 xml:space="preserve">公卫楼5楼、6楼</w:t>
            </w:r>
            <w:r>
              <w:rPr>
                <w:rFonts w:hint="eastAsia" w:asciiTheme="minorEastAsia" w:hAnsiTheme="minorEastAsia" w:eastAsiaTheme="minorEastAsia" w:cstheme="minorEastAsia"/>
                <w:highlight w:val="none"/>
                <w:lang w:eastAsia="zh-CN"/>
              </w:rPr>
              <w:t xml:space="preserve">办公区域、健康管理中心（体检中心）、盆底康复室</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每周工作6天，白班；</w:t>
            </w:r>
            <w:r/>
          </w:p>
        </w:tc>
      </w:tr>
      <w:tr>
        <w:trPr>
          <w:trHeight w:val="566"/>
        </w:trPr>
        <w:tc>
          <w:tcPr>
            <w:tcW w:w="619" w:type="dxa"/>
            <w:vAlign w:val="top"/>
            <w:vMerge w:val="continue"/>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7楼、8楼、</w:t>
            </w:r>
            <w:r>
              <w:rPr>
                <w:rFonts w:hint="eastAsia" w:asciiTheme="minorEastAsia" w:hAnsiTheme="minorEastAsia" w:eastAsiaTheme="minorEastAsia" w:cstheme="minorEastAsia"/>
                <w:highlight w:val="none"/>
                <w:lang w:eastAsia="zh-CN"/>
              </w:rPr>
              <w:t xml:space="preserve">地库</w:t>
            </w:r>
            <w:r/>
          </w:p>
        </w:tc>
        <w:tc>
          <w:tcPr>
            <w:tcW w:w="3420" w:type="dxa"/>
            <w:vAlign w:val="center"/>
            <w:textDirection w:val="lrTb"/>
            <w:noWrap w:val="false"/>
          </w:tcPr>
          <w:p>
            <w:pPr>
              <w:jc w:val="center"/>
              <w:rPr>
                <w:rFonts w:hint="eastAsia" w:eastAsia="宋体" w:asciiTheme="minorEastAsia" w:hAnsi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7层仓库、药库办公室、供应室、8楼实训基地、</w:t>
            </w:r>
            <w:r>
              <w:rPr>
                <w:rFonts w:hint="eastAsia" w:asciiTheme="minorEastAsia" w:hAnsiTheme="minorEastAsia" w:eastAsiaTheme="minorEastAsia" w:cstheme="minorEastAsia"/>
                <w:highlight w:val="none"/>
                <w:lang w:eastAsia="zh-CN"/>
              </w:rPr>
              <w:t xml:space="preserve">地下停车场、一楼地面、</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每周工作6天，白班；</w:t>
            </w:r>
            <w:r/>
          </w:p>
        </w:tc>
      </w:tr>
      <w:tr>
        <w:trPr>
          <w:trHeight w:val="566"/>
        </w:trPr>
        <w:tc>
          <w:tcPr>
            <w:tcW w:w="619" w:type="dxa"/>
            <w:vAlign w:val="top"/>
            <w:vMerge w:val="continue"/>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全院</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夜间保洁</w:t>
            </w:r>
            <w:r/>
          </w:p>
        </w:tc>
        <w:tc>
          <w:tcPr>
            <w:gridSpan w:val="2"/>
            <w:tcW w:w="643" w:type="dxa"/>
            <w:vAlign w:val="center"/>
            <w:textDirection w:val="lrTb"/>
            <w:noWrap w:val="false"/>
          </w:tcPr>
          <w:p>
            <w:pPr>
              <w:jc w:val="center"/>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负责晚夜间全院保洁；</w:t>
            </w:r>
            <w:r/>
          </w:p>
        </w:tc>
      </w:tr>
      <w:tr>
        <w:trPr>
          <w:trHeight w:val="562"/>
        </w:trPr>
        <w:tc>
          <w:tcPr>
            <w:tcW w:w="619" w:type="dxa"/>
            <w:vAlign w:val="top"/>
            <w:vMerge w:val="continue"/>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bottom w:val="single" w:color="000000" w:sz="2" w:space="0"/>
            </w:tcBorders>
            <w:tcW w:w="1432"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 xml:space="preserve">保洁主管</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整个区域、医疗废物暂存点、</w:t>
            </w:r>
            <w:r>
              <w:rPr>
                <w:rFonts w:hint="eastAsia" w:asciiTheme="minorEastAsia" w:hAnsiTheme="minorEastAsia" w:eastAsiaTheme="minorEastAsia" w:cstheme="minorEastAsia"/>
                <w:highlight w:val="none"/>
                <w:lang w:eastAsia="zh-CN"/>
              </w:rPr>
              <w:t xml:space="preserve">运送、医疗垃圾分类、保存运输</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每周工作6天，白班；</w:t>
            </w:r>
            <w:r/>
          </w:p>
        </w:tc>
      </w:tr>
      <w:tr>
        <w:trPr>
          <w:trHeight w:val="566"/>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gridSpan w:val="2"/>
            <w:tcW w:w="4852"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合计</w:t>
            </w:r>
            <w:r/>
          </w:p>
        </w:tc>
        <w:tc>
          <w:tcPr>
            <w:gridSpan w:val="3"/>
            <w:tcW w:w="3780"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w:t>
            </w:r>
            <w:r>
              <w:rPr>
                <w:rFonts w:hint="eastAsia" w:asciiTheme="minorEastAsia" w:hAnsiTheme="minorEastAsia" w:eastAsiaTheme="minorEastAsia" w:cstheme="minorEastAsia"/>
                <w:b/>
                <w:bCs/>
                <w:highlight w:val="none"/>
              </w:rPr>
              <w:t xml:space="preserve">人</w:t>
            </w:r>
            <w:r/>
          </w:p>
        </w:tc>
      </w:tr>
      <w:tr>
        <w:trPr>
          <w:trHeight w:val="561"/>
        </w:trPr>
        <w:tc>
          <w:tcPr>
            <w:tcBorders>
              <w:bottom w:val="none" w:color="000000" w:sz="4" w:space="0"/>
            </w:tcBorders>
            <w:tcW w:w="619" w:type="dxa"/>
            <w:vAlign w:val="center"/>
            <w:vMerge w:val="restart"/>
            <w:textDirection w:val="tbRlV"/>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安 保</w:t>
            </w:r>
            <w:r/>
          </w:p>
        </w:tc>
        <w:tc>
          <w:tcPr>
            <w:tcBorders>
              <w:bottom w:val="none" w:color="000000" w:sz="4" w:space="0"/>
            </w:tcBorders>
            <w:tcW w:w="1432" w:type="dxa"/>
            <w:vAlign w:val="center"/>
            <w:vMerge w:val="restart"/>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门岗+巡逻</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入口岗亭+外围</w:t>
            </w:r>
            <w:r/>
          </w:p>
        </w:tc>
        <w:tc>
          <w:tcPr>
            <w:gridSpan w:val="2"/>
            <w:tcW w:w="643" w:type="dxa"/>
            <w:vAlign w:val="center"/>
            <w:textDirection w:val="lrTb"/>
            <w:noWrap w:val="false"/>
          </w:tcPr>
          <w:p>
            <w:pPr>
              <w:jc w:val="center"/>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3</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负责主出入口门岗值班 24 小时</w:t>
            </w:r>
            <w:r/>
          </w:p>
        </w:tc>
      </w:tr>
      <w:tr>
        <w:trPr>
          <w:trHeight w:val="542"/>
        </w:trPr>
        <w:tc>
          <w:tcPr>
            <w:tcBorders>
              <w:top w:val="none" w:color="000000" w:sz="4" w:space="0"/>
              <w:bottom w:val="none" w:color="000000" w:sz="4" w:space="0"/>
            </w:tcBorders>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top w:val="none" w:color="000000" w:sz="4" w:space="0"/>
            </w:tcBorders>
            <w:tcW w:w="1432" w:type="dxa"/>
            <w:vAlign w:val="center"/>
            <w:vMerge w:val="continue"/>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门诊、急诊</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2</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24 小时（急诊晚</w:t>
            </w:r>
            <w:r>
              <w:rPr>
                <w:rFonts w:hint="eastAsia" w:asciiTheme="minorEastAsia" w:hAnsiTheme="minorEastAsia" w:eastAsiaTheme="minorEastAsia" w:cstheme="minorEastAsia"/>
                <w:highlight w:val="none"/>
                <w:lang w:eastAsia="zh-CN"/>
              </w:rPr>
              <w:t xml:space="preserve">班）；</w:t>
            </w:r>
            <w:r/>
          </w:p>
        </w:tc>
      </w:tr>
      <w:tr>
        <w:trPr>
          <w:trHeight w:val="464"/>
        </w:trPr>
        <w:tc>
          <w:tcPr>
            <w:tcBorders>
              <w:top w:val="none" w:color="000000" w:sz="4" w:space="0"/>
              <w:bottom w:val="none" w:color="000000" w:sz="4" w:space="0"/>
            </w:tcBorders>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地下停车场</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停车场</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每周工作 6 天，白班；</w:t>
            </w:r>
            <w:r/>
          </w:p>
        </w:tc>
      </w:tr>
      <w:tr>
        <w:trPr>
          <w:trHeight w:val="464"/>
        </w:trPr>
        <w:tc>
          <w:tcPr>
            <w:tcBorders>
              <w:top w:val="none" w:color="000000" w:sz="4" w:space="0"/>
              <w:bottom w:val="none" w:color="000000" w:sz="4" w:space="0"/>
            </w:tcBorders>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非机动停车场</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电动车</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每周工作 6 天，白班；</w:t>
            </w:r>
            <w:r/>
          </w:p>
        </w:tc>
      </w:tr>
      <w:tr>
        <w:trPr>
          <w:trHeight w:val="445"/>
        </w:trPr>
        <w:tc>
          <w:tcPr>
            <w:tcBorders>
              <w:top w:val="none" w:color="000000" w:sz="4" w:space="0"/>
              <w:bottom w:val="none" w:color="000000" w:sz="4" w:space="0"/>
            </w:tcBorders>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保安队长</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 xml:space="preserve">配合主管人员，完成分配工作</w:t>
            </w:r>
            <w:r/>
          </w:p>
        </w:tc>
        <w:tc>
          <w:tcPr>
            <w:gridSpan w:val="2"/>
            <w:tcW w:w="643"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w:t>
            </w:r>
            <w:r/>
          </w:p>
        </w:tc>
        <w:tc>
          <w:tcPr>
            <w:tcW w:w="3137"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每周工作 6 天，白班；</w:t>
            </w:r>
            <w:r/>
          </w:p>
        </w:tc>
      </w:tr>
      <w:tr>
        <w:trPr>
          <w:trHeight w:val="537"/>
        </w:trPr>
        <w:tc>
          <w:tcPr>
            <w:tcBorders>
              <w:top w:val="none" w:color="000000" w:sz="4" w:space="0"/>
            </w:tcBorders>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gridSpan w:val="2"/>
            <w:tcW w:w="4852"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合计</w:t>
            </w:r>
            <w:r/>
          </w:p>
        </w:tc>
        <w:tc>
          <w:tcPr>
            <w:gridSpan w:val="3"/>
            <w:tcW w:w="3780"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cstheme="minorEastAsia"/>
                <w:b/>
                <w:bCs/>
                <w:highlight w:val="none"/>
                <w:lang w:val="en-US" w:eastAsia="zh-CN"/>
              </w:rPr>
              <w:t xml:space="preserve">8</w:t>
            </w:r>
            <w:r>
              <w:rPr>
                <w:rFonts w:hint="eastAsia" w:asciiTheme="minorEastAsia" w:hAnsiTheme="minorEastAsia" w:eastAsiaTheme="minorEastAsia" w:cstheme="minorEastAsia"/>
                <w:b/>
                <w:bCs/>
                <w:highlight w:val="none"/>
              </w:rPr>
              <w:t xml:space="preserve">人</w:t>
            </w:r>
            <w:r/>
          </w:p>
        </w:tc>
      </w:tr>
      <w:tr>
        <w:trPr>
          <w:trHeight w:val="546"/>
        </w:trPr>
        <w:tc>
          <w:tcPr>
            <w:tcBorders>
              <w:top w:val="single" w:color="000000" w:sz="2" w:space="0"/>
            </w:tcBorders>
            <w:tcW w:w="619" w:type="dxa"/>
            <w:vAlign w:val="center"/>
            <w:vMerge w:val="restart"/>
            <w:textDirection w:val="tbRlV"/>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消控</w:t>
            </w:r>
            <w:r/>
          </w:p>
        </w:tc>
        <w:tc>
          <w:tcPr>
            <w:shd w:val="clear" w:color="auto" w:fill="auto"/>
            <w:tcW w:w="1432"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消防监控</w:t>
            </w:r>
            <w:r/>
          </w:p>
        </w:tc>
        <w:tc>
          <w:tcPr>
            <w:shd w:val="clear" w:color="auto" w:fill="auto"/>
            <w:tcW w:w="3420"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eastAsia="zh-CN"/>
              </w:rPr>
              <w:t xml:space="preserve">消防监控人员</w:t>
            </w:r>
            <w:r/>
          </w:p>
        </w:tc>
        <w:tc>
          <w:tcPr>
            <w:shd w:val="clear" w:color="auto" w:fill="auto"/>
            <w:tcW w:w="599"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6</w:t>
            </w:r>
            <w:r/>
          </w:p>
        </w:tc>
        <w:tc>
          <w:tcPr>
            <w:gridSpan w:val="2"/>
            <w:shd w:val="clear" w:color="auto" w:fill="auto"/>
            <w:tcW w:w="3181"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24小时，持证上岗</w:t>
            </w:r>
            <w:r/>
          </w:p>
        </w:tc>
      </w:tr>
      <w:tr>
        <w:trPr>
          <w:trHeight w:val="507"/>
        </w:trPr>
        <w:tc>
          <w:tcPr>
            <w:tcW w:w="619" w:type="dxa"/>
            <w:vAlign w:val="center"/>
            <w:vMerge w:val="continue"/>
            <w:textDirection w:val="tbRlV"/>
            <w:noWrap w:val="false"/>
          </w:tcPr>
          <w:p>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r>
            <w:r/>
          </w:p>
        </w:tc>
        <w:tc>
          <w:tcPr>
            <w:gridSpan w:val="2"/>
            <w:shd w:val="clear" w:color="auto" w:fill="auto"/>
            <w:tcW w:w="4852" w:type="dxa"/>
            <w:vAlign w:val="center"/>
            <w:textDirection w:val="lrTb"/>
            <w:noWrap w:val="false"/>
          </w:tcPr>
          <w:p>
            <w:pPr>
              <w:jc w:val="center"/>
              <w:rPr>
                <w:rFonts w:hint="eastAsia" w:asciiTheme="minorEastAsia" w:hAnsiTheme="minorEastAsia" w:eastAsiaTheme="minorEastAsia" w:cstheme="minorEastAsia"/>
                <w:b/>
                <w:bCs/>
                <w:highlight w:val="none"/>
                <w:lang w:eastAsia="zh-CN"/>
              </w:rPr>
            </w:pPr>
            <w:r>
              <w:rPr>
                <w:rFonts w:hint="eastAsia" w:asciiTheme="minorEastAsia" w:hAnsiTheme="minorEastAsia" w:eastAsiaTheme="minorEastAsia" w:cstheme="minorEastAsia"/>
                <w:b/>
                <w:bCs/>
                <w:highlight w:val="none"/>
              </w:rPr>
              <w:t xml:space="preserve">合计</w:t>
            </w:r>
            <w:r/>
          </w:p>
        </w:tc>
        <w:tc>
          <w:tcPr>
            <w:gridSpan w:val="3"/>
            <w:shd w:val="clear" w:color="auto" w:fill="auto"/>
            <w:tcW w:w="3780" w:type="dxa"/>
            <w:vAlign w:val="center"/>
            <w:textDirection w:val="lrTb"/>
            <w:noWrap w:val="false"/>
          </w:tcPr>
          <w:p>
            <w:pPr>
              <w:jc w:val="center"/>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6</w:t>
            </w:r>
            <w:r>
              <w:rPr>
                <w:rFonts w:hint="eastAsia" w:asciiTheme="minorEastAsia" w:hAnsiTheme="minorEastAsia" w:eastAsiaTheme="minorEastAsia" w:cstheme="minorEastAsia"/>
                <w:b/>
                <w:bCs/>
                <w:highlight w:val="none"/>
              </w:rPr>
              <w:t xml:space="preserve">人</w:t>
            </w:r>
            <w:r/>
          </w:p>
        </w:tc>
      </w:tr>
      <w:tr>
        <w:trPr>
          <w:trHeight w:val="597"/>
        </w:trPr>
        <w:tc>
          <w:tcPr>
            <w:tcBorders>
              <w:top w:val="single" w:color="000000" w:sz="2" w:space="0"/>
            </w:tcBorders>
            <w:tcW w:w="619" w:type="dxa"/>
            <w:vAlign w:val="center"/>
            <w:vMerge w:val="restart"/>
            <w:textDirection w:val="tbRlV"/>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工 程</w:t>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工程主管</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分配工作</w:t>
            </w:r>
            <w:r/>
          </w:p>
        </w:tc>
        <w:tc>
          <w:tcPr>
            <w:tcW w:w="599"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w:t>
            </w:r>
            <w:r/>
          </w:p>
        </w:tc>
        <w:tc>
          <w:tcPr>
            <w:gridSpan w:val="2"/>
            <w:tcW w:w="3181"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每周工作6天，白班</w:t>
            </w:r>
            <w:r/>
          </w:p>
        </w:tc>
      </w:tr>
      <w:tr>
        <w:trPr>
          <w:trHeight w:val="597"/>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综合维修</w:t>
            </w:r>
            <w:r/>
          </w:p>
        </w:tc>
        <w:tc>
          <w:tcPr>
            <w:tcW w:w="3420" w:type="dxa"/>
            <w:vAlign w:val="center"/>
            <w:textDirection w:val="lrTb"/>
            <w:noWrap w:val="false"/>
          </w:tcPr>
          <w:p>
            <w:pPr>
              <w:jc w:val="center"/>
              <w:rPr>
                <w:rFonts w:hint="eastAsia" w:eastAsia="宋体" w:asciiTheme="minorEastAsia" w:hAnsiTheme="minorEastAsia" w:cstheme="minorEastAsia"/>
                <w:highlight w:val="none"/>
                <w:lang w:eastAsia="zh-CN"/>
              </w:rPr>
            </w:pPr>
            <w:r>
              <w:rPr>
                <w:rFonts w:hint="eastAsia" w:asciiTheme="minorEastAsia" w:hAnsiTheme="minorEastAsia" w:eastAsiaTheme="minorEastAsia" w:cstheme="minorEastAsia"/>
                <w:highlight w:val="none"/>
              </w:rPr>
              <w:t xml:space="preserve">水、电维修+巡查</w:t>
            </w:r>
            <w:r>
              <w:rPr>
                <w:rFonts w:hint="eastAsia" w:asciiTheme="minorEastAsia" w:hAnsiTheme="minorEastAsia" w:cstheme="minorEastAsia"/>
                <w:highlight w:val="none"/>
                <w:lang w:eastAsia="zh-CN"/>
              </w:rPr>
              <w:t xml:space="preserve">（</w:t>
            </w:r>
            <w:r>
              <w:rPr>
                <w:rFonts w:hint="eastAsia" w:asciiTheme="minorEastAsia" w:hAnsiTheme="minorEastAsia" w:eastAsiaTheme="minorEastAsia" w:cstheme="minorEastAsia"/>
                <w:highlight w:val="none"/>
                <w:lang w:eastAsia="zh-CN"/>
              </w:rPr>
              <w:t xml:space="preserve">电梯清洁、巡查、空调巡查报修</w:t>
            </w:r>
            <w:r>
              <w:rPr>
                <w:rFonts w:hint="eastAsia" w:asciiTheme="minorEastAsia" w:hAnsiTheme="minorEastAsia" w:cstheme="minorEastAsia"/>
                <w:highlight w:val="none"/>
                <w:lang w:eastAsia="zh-CN"/>
              </w:rPr>
              <w:t xml:space="preserve">）</w:t>
            </w:r>
            <w:r/>
          </w:p>
        </w:tc>
        <w:tc>
          <w:tcPr>
            <w:tcW w:w="599"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w:t>
            </w:r>
            <w:r/>
          </w:p>
        </w:tc>
        <w:tc>
          <w:tcPr>
            <w:gridSpan w:val="2"/>
            <w:tcW w:w="3181"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每周工作6天，白班</w:t>
            </w:r>
            <w:r/>
          </w:p>
        </w:tc>
      </w:tr>
      <w:tr>
        <w:trPr>
          <w:trHeight w:val="598"/>
        </w:trPr>
        <w:tc>
          <w:tcPr>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W w:w="1432"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配电值班</w:t>
            </w:r>
            <w:r/>
          </w:p>
        </w:tc>
        <w:tc>
          <w:tcPr>
            <w:tcW w:w="3420" w:type="dxa"/>
            <w:vAlign w:val="center"/>
            <w:textDirection w:val="lrTb"/>
            <w:noWrap w:val="false"/>
          </w:tcPr>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配电房值班</w:t>
            </w:r>
            <w:r/>
          </w:p>
        </w:tc>
        <w:tc>
          <w:tcPr>
            <w:tcW w:w="599" w:type="dxa"/>
            <w:vAlign w:val="center"/>
            <w:textDirection w:val="lrTb"/>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 xml:space="preserve">1</w:t>
            </w:r>
            <w:r/>
          </w:p>
        </w:tc>
        <w:tc>
          <w:tcPr>
            <w:gridSpan w:val="2"/>
            <w:tcW w:w="3181" w:type="dxa"/>
            <w:vAlign w:val="center"/>
            <w:textDirection w:val="lrTb"/>
            <w:noWrap w:val="false"/>
          </w:tcPr>
          <w:p>
            <w:pPr>
              <w:jc w:val="center"/>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24小时，持证上岗</w:t>
            </w:r>
            <w:r/>
          </w:p>
        </w:tc>
      </w:tr>
      <w:tr>
        <w:trPr>
          <w:trHeight w:val="380"/>
        </w:trPr>
        <w:tc>
          <w:tcPr>
            <w:tcBorders>
              <w:bottom w:val="single" w:color="000000" w:sz="2" w:space="0"/>
            </w:tcBorders>
            <w:tcW w:w="619" w:type="dxa"/>
            <w:vAlign w:val="top"/>
            <w:vMerge w:val="continue"/>
            <w:textDirection w:val="tbRlV"/>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gridSpan w:val="2"/>
            <w:tcW w:w="4852"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合计</w:t>
            </w:r>
            <w:r/>
          </w:p>
        </w:tc>
        <w:tc>
          <w:tcPr>
            <w:gridSpan w:val="3"/>
            <w:tcW w:w="3780" w:type="dxa"/>
            <w:vAlign w:val="center"/>
            <w:textDirection w:val="lrTb"/>
            <w:noWrap w:val="false"/>
          </w:tcPr>
          <w:p>
            <w:pPr>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3</w:t>
            </w:r>
            <w:r>
              <w:rPr>
                <w:rFonts w:hint="eastAsia" w:asciiTheme="minorEastAsia" w:hAnsiTheme="minorEastAsia" w:eastAsiaTheme="minorEastAsia" w:cstheme="minorEastAsia"/>
                <w:b/>
                <w:bCs/>
                <w:highlight w:val="none"/>
              </w:rPr>
              <w:t xml:space="preserve">人</w:t>
            </w:r>
            <w:r/>
          </w:p>
        </w:tc>
      </w:tr>
      <w:tr>
        <w:trPr>
          <w:trHeight w:val="546"/>
        </w:trPr>
        <w:tc>
          <w:tcPr>
            <w:tcBorders>
              <w:top w:val="single" w:color="000000" w:sz="2" w:space="0"/>
            </w:tcBorders>
            <w:tcW w:w="619" w:type="dxa"/>
            <w:vAlign w:val="center"/>
            <w:vMerge w:val="restart"/>
            <w:textDirection w:val="tbRlV"/>
            <w:noWrap w:val="false"/>
          </w:tcPr>
          <w:p>
            <w:pPr>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消控</w:t>
            </w:r>
            <w:r/>
          </w:p>
        </w:tc>
        <w:tc>
          <w:tcPr>
            <w:shd w:val="clear" w:color="auto" w:fill="auto"/>
            <w:tcW w:w="1432"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消防监控</w:t>
            </w:r>
            <w:r/>
          </w:p>
        </w:tc>
        <w:tc>
          <w:tcPr>
            <w:shd w:val="clear" w:color="auto" w:fill="auto"/>
            <w:tcW w:w="3420"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eastAsia="zh-CN"/>
              </w:rPr>
              <w:t xml:space="preserve">消防监控人员</w:t>
            </w:r>
            <w:r/>
          </w:p>
        </w:tc>
        <w:tc>
          <w:tcPr>
            <w:shd w:val="clear" w:color="auto" w:fill="auto"/>
            <w:tcW w:w="599"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6</w:t>
            </w:r>
            <w:r/>
          </w:p>
        </w:tc>
        <w:tc>
          <w:tcPr>
            <w:gridSpan w:val="2"/>
            <w:shd w:val="clear" w:color="auto" w:fill="auto"/>
            <w:tcW w:w="3181" w:type="dxa"/>
            <w:vAlign w:val="center"/>
            <w:textDirection w:val="lrTb"/>
            <w:noWrap w:val="false"/>
          </w:tcPr>
          <w:p>
            <w:pPr>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24小时，持证上岗</w:t>
            </w:r>
            <w:r/>
          </w:p>
        </w:tc>
      </w:tr>
      <w:tr>
        <w:trPr>
          <w:trHeight w:val="507"/>
        </w:trPr>
        <w:tc>
          <w:tcPr>
            <w:tcW w:w="619" w:type="dxa"/>
            <w:vAlign w:val="center"/>
            <w:vMerge w:val="continue"/>
            <w:textDirection w:val="tbRlV"/>
            <w:noWrap w:val="false"/>
          </w:tcPr>
          <w:p>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r>
            <w:r/>
          </w:p>
        </w:tc>
        <w:tc>
          <w:tcPr>
            <w:gridSpan w:val="2"/>
            <w:shd w:val="clear" w:color="auto" w:fill="auto"/>
            <w:tcW w:w="4852" w:type="dxa"/>
            <w:vAlign w:val="center"/>
            <w:textDirection w:val="lrTb"/>
            <w:noWrap w:val="false"/>
          </w:tcPr>
          <w:p>
            <w:pPr>
              <w:jc w:val="center"/>
              <w:rPr>
                <w:rFonts w:hint="eastAsia" w:asciiTheme="minorEastAsia" w:hAnsiTheme="minorEastAsia" w:eastAsiaTheme="minorEastAsia" w:cstheme="minorEastAsia"/>
                <w:b/>
                <w:bCs/>
                <w:highlight w:val="none"/>
                <w:lang w:eastAsia="zh-CN"/>
              </w:rPr>
            </w:pPr>
            <w:r>
              <w:rPr>
                <w:rFonts w:hint="eastAsia" w:asciiTheme="minorEastAsia" w:hAnsiTheme="minorEastAsia" w:eastAsiaTheme="minorEastAsia" w:cstheme="minorEastAsia"/>
                <w:b/>
                <w:bCs/>
                <w:highlight w:val="none"/>
              </w:rPr>
              <w:t xml:space="preserve">合计</w:t>
            </w:r>
            <w:r/>
          </w:p>
        </w:tc>
        <w:tc>
          <w:tcPr>
            <w:gridSpan w:val="3"/>
            <w:shd w:val="clear" w:color="auto" w:fill="auto"/>
            <w:tcW w:w="3780" w:type="dxa"/>
            <w:vAlign w:val="center"/>
            <w:textDirection w:val="lrTb"/>
            <w:noWrap w:val="false"/>
          </w:tcPr>
          <w:p>
            <w:pPr>
              <w:jc w:val="center"/>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6</w:t>
            </w:r>
            <w:r>
              <w:rPr>
                <w:rFonts w:hint="eastAsia" w:asciiTheme="minorEastAsia" w:hAnsiTheme="minorEastAsia" w:eastAsiaTheme="minorEastAsia" w:cstheme="minorEastAsia"/>
                <w:b/>
                <w:bCs/>
                <w:highlight w:val="none"/>
              </w:rPr>
              <w:t xml:space="preserve">人</w:t>
            </w:r>
            <w:r/>
          </w:p>
        </w:tc>
      </w:tr>
      <w:tr>
        <w:trPr>
          <w:trHeight w:val="371"/>
        </w:trPr>
        <w:tc>
          <w:tcPr>
            <w:gridSpan w:val="3"/>
            <w:tcW w:w="5471" w:type="dxa"/>
            <w:vAlign w:val="center"/>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总计</w:t>
            </w:r>
            <w:r/>
          </w:p>
        </w:tc>
        <w:tc>
          <w:tcPr>
            <w:gridSpan w:val="3"/>
            <w:tcW w:w="3780" w:type="dxa"/>
            <w:vAlign w:val="center"/>
            <w:textDirection w:val="lrTb"/>
            <w:noWrap w:val="false"/>
          </w:tcPr>
          <w:p>
            <w:pPr>
              <w:jc w:val="center"/>
              <w:rPr>
                <w:rFonts w:hint="eastAsia" w:eastAsia="宋体" w:asciiTheme="minorEastAsia" w:hAnsi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36</w:t>
            </w:r>
            <w:r>
              <w:rPr>
                <w:rFonts w:hint="eastAsia" w:asciiTheme="minorEastAsia" w:hAnsiTheme="minorEastAsia" w:cstheme="minorEastAsia"/>
                <w:b/>
                <w:bCs/>
                <w:color w:val="auto"/>
                <w:highlight w:val="none"/>
                <w:lang w:val="en-US" w:eastAsia="zh-CN"/>
              </w:rPr>
              <w:t xml:space="preserve">人</w:t>
            </w:r>
            <w:r/>
          </w:p>
        </w:tc>
      </w:tr>
    </w:tbl>
    <w:p>
      <w:pPr>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3.3人员岗位要求</w:t>
      </w:r>
      <w:r/>
    </w:p>
    <w:tbl>
      <w:tblPr>
        <w:tblStyle w:val="662"/>
        <w:tblpPr w:horzAnchor="page" w:tblpX="1590" w:vertAnchor="text" w:tblpY="40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647"/>
        <w:gridCol w:w="7586"/>
      </w:tblGrid>
      <w:tr>
        <w:trPr/>
        <w:tc>
          <w:tcPr>
            <w:tcW w:w="1000" w:type="dxa"/>
            <w:vAlign w:val="center"/>
            <w:textDirection w:val="lrTb"/>
            <w:noWrap w:val="false"/>
          </w:tcPr>
          <w:p>
            <w:pPr>
              <w:rPr>
                <w:rFonts w:hint="eastAsia"/>
                <w:highlight w:val="none"/>
                <w:lang w:val="en-US" w:eastAsia="zh-CN"/>
              </w:rPr>
            </w:pPr>
            <w:r>
              <w:rPr>
                <w:rFonts w:hint="eastAsia"/>
                <w:highlight w:val="none"/>
                <w:lang w:val="en-US" w:eastAsia="zh-CN"/>
              </w:rPr>
              <w:t xml:space="preserve">岗位</w:t>
            </w:r>
            <w:r/>
          </w:p>
        </w:tc>
        <w:tc>
          <w:tcPr>
            <w:tcW w:w="647" w:type="dxa"/>
            <w:vAlign w:val="center"/>
            <w:textDirection w:val="lrTb"/>
            <w:noWrap w:val="false"/>
          </w:tcPr>
          <w:p>
            <w:pPr>
              <w:rPr>
                <w:rFonts w:hint="eastAsia"/>
                <w:highlight w:val="none"/>
                <w:lang w:val="en-US" w:eastAsia="zh-CN"/>
              </w:rPr>
            </w:pPr>
            <w:r>
              <w:rPr>
                <w:rFonts w:hint="eastAsia"/>
                <w:highlight w:val="none"/>
                <w:lang w:val="en-US" w:eastAsia="zh-CN"/>
              </w:rPr>
              <w:t xml:space="preserve">人数</w:t>
            </w:r>
            <w:r/>
          </w:p>
        </w:tc>
        <w:tc>
          <w:tcPr>
            <w:tcW w:w="7586" w:type="dxa"/>
            <w:vAlign w:val="center"/>
            <w:textDirection w:val="lrTb"/>
            <w:noWrap w:val="false"/>
          </w:tcPr>
          <w:p>
            <w:pPr>
              <w:rPr>
                <w:rFonts w:hint="eastAsia"/>
                <w:highlight w:val="none"/>
                <w:lang w:val="en-US" w:eastAsia="zh-CN"/>
              </w:rPr>
            </w:pPr>
            <w:r>
              <w:rPr>
                <w:rFonts w:hint="eastAsia"/>
                <w:highlight w:val="none"/>
                <w:lang w:val="en-US" w:eastAsia="zh-CN"/>
              </w:rPr>
              <w:t xml:space="preserve">具体岗位要求</w:t>
            </w:r>
            <w:r/>
          </w:p>
        </w:tc>
      </w:tr>
      <w:tr>
        <w:trPr/>
        <w:tc>
          <w:tcPr>
            <w:tcW w:w="1000"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项目负责人</w:t>
            </w:r>
            <w:r/>
          </w:p>
        </w:tc>
        <w:tc>
          <w:tcPr>
            <w:tcW w:w="647" w:type="dxa"/>
            <w:vAlign w:val="center"/>
            <w:textDirection w:val="lrTb"/>
            <w:noWrap w:val="false"/>
          </w:tcPr>
          <w:p>
            <w:pPr>
              <w:jc w:val="center"/>
              <w:rPr>
                <w:rFonts w:hint="default"/>
                <w:highlight w:val="none"/>
                <w:lang w:val="en-US" w:eastAsia="zh-CN"/>
              </w:rPr>
            </w:pPr>
            <w:r>
              <w:rPr>
                <w:rFonts w:hint="eastAsia"/>
                <w:highlight w:val="none"/>
                <w:lang w:val="en-US" w:eastAsia="zh-CN"/>
              </w:rPr>
              <w:t xml:space="preserve">1</w:t>
            </w:r>
            <w:r/>
          </w:p>
        </w:tc>
        <w:tc>
          <w:tcPr>
            <w:tcW w:w="7586" w:type="dxa"/>
            <w:vAlign w:val="center"/>
            <w:textDirection w:val="lrTb"/>
            <w:noWrap w:val="false"/>
          </w:tcPr>
          <w:p>
            <w:pPr>
              <w:rPr>
                <w:rFonts w:hint="eastAsia"/>
                <w:highlight w:val="none"/>
                <w:lang w:val="en-US" w:eastAsia="zh-CN"/>
              </w:rPr>
            </w:pPr>
            <w:r>
              <w:rPr>
                <w:rFonts w:hint="eastAsia"/>
                <w:highlight w:val="none"/>
                <w:lang w:val="en-US" w:eastAsia="zh-CN"/>
              </w:rPr>
              <w:t xml:space="preserve">1.依据物业委托合同的要求，负责医院物业管理和各项服务的实施。对质量安全进行全面控制并承担第一责任。</w:t>
            </w:r>
            <w:r/>
          </w:p>
          <w:p>
            <w:pPr>
              <w:rPr>
                <w:rFonts w:hint="eastAsia"/>
                <w:highlight w:val="none"/>
                <w:lang w:val="en-US" w:eastAsia="zh-CN"/>
              </w:rPr>
            </w:pPr>
            <w:r>
              <w:rPr>
                <w:rFonts w:hint="eastAsia"/>
                <w:highlight w:val="none"/>
                <w:lang w:val="en-US" w:eastAsia="zh-CN"/>
              </w:rPr>
              <w:t xml:space="preserve">2.在医院后勤部门的指导和监督下，带领全体员工完成各项物业管理任务。加强与社会各单位沟通与协调，形成良好的合作关系。</w:t>
            </w:r>
            <w:r/>
          </w:p>
          <w:p>
            <w:pPr>
              <w:rPr>
                <w:rFonts w:hint="eastAsia"/>
                <w:highlight w:val="none"/>
                <w:lang w:val="en-US" w:eastAsia="zh-CN"/>
              </w:rPr>
            </w:pPr>
            <w:r>
              <w:rPr>
                <w:rFonts w:hint="eastAsia"/>
                <w:highlight w:val="none"/>
                <w:lang w:val="en-US" w:eastAsia="zh-CN"/>
              </w:rPr>
              <w:t xml:space="preserve">3.负责制定项目的管理目标、管理制度、操作规程和各项费用标准等工作，确保按计划完成各项工作目标。</w:t>
            </w:r>
            <w:r/>
          </w:p>
          <w:p>
            <w:pPr>
              <w:rPr>
                <w:rFonts w:hint="eastAsia"/>
                <w:highlight w:val="none"/>
                <w:lang w:val="en-US" w:eastAsia="zh-CN"/>
              </w:rPr>
            </w:pPr>
            <w:r>
              <w:rPr>
                <w:rFonts w:hint="eastAsia"/>
                <w:highlight w:val="none"/>
                <w:lang w:val="en-US" w:eastAsia="zh-CN"/>
              </w:rPr>
              <w:t xml:space="preserve">4.严格执行考勤制度，每月负责与医院核对。</w:t>
            </w:r>
            <w:r/>
          </w:p>
          <w:p>
            <w:pPr>
              <w:rPr>
                <w:rFonts w:hint="eastAsia"/>
                <w:highlight w:val="none"/>
                <w:lang w:val="en-US" w:eastAsia="zh-CN"/>
              </w:rPr>
            </w:pPr>
            <w:r>
              <w:rPr>
                <w:rFonts w:hint="eastAsia"/>
                <w:highlight w:val="none"/>
                <w:lang w:val="en-US" w:eastAsia="zh-CN"/>
              </w:rPr>
              <w:t xml:space="preserve">5.定期向供应商报告项目管理处的工作情况，提交有关物业管理计划，后勤部门进行通报。</w:t>
            </w:r>
            <w:r/>
          </w:p>
          <w:p>
            <w:pPr>
              <w:rPr>
                <w:rFonts w:hint="eastAsia"/>
                <w:highlight w:val="none"/>
                <w:lang w:val="en-US" w:eastAsia="zh-CN"/>
              </w:rPr>
            </w:pPr>
            <w:r>
              <w:rPr>
                <w:rFonts w:hint="eastAsia"/>
                <w:highlight w:val="none"/>
                <w:lang w:val="en-US" w:eastAsia="zh-CN"/>
              </w:rPr>
              <w:t xml:space="preserve">6.建立物业工作群，后勤人员参与。及时反馈医院工作需求、完成情况，以及各岗位员工工作状态，和任务完成情况。</w:t>
            </w:r>
            <w:r/>
          </w:p>
          <w:p>
            <w:pPr>
              <w:rPr>
                <w:rFonts w:hint="eastAsia"/>
                <w:highlight w:val="none"/>
                <w:lang w:val="en-US" w:eastAsia="zh-CN"/>
              </w:rPr>
            </w:pPr>
            <w:r>
              <w:rPr>
                <w:rFonts w:hint="eastAsia"/>
                <w:highlight w:val="none"/>
                <w:lang w:val="en-US" w:eastAsia="zh-CN"/>
              </w:rPr>
              <w:t xml:space="preserve">7.定期进行项目的服务品质检查，发现问题及时要求员工整改。重大问题必须向医院领导汇报。</w:t>
            </w:r>
            <w:r/>
          </w:p>
          <w:p>
            <w:pPr>
              <w:rPr>
                <w:rFonts w:hint="eastAsia"/>
                <w:highlight w:val="none"/>
                <w:lang w:val="en-US" w:eastAsia="zh-CN"/>
              </w:rPr>
            </w:pPr>
            <w:r>
              <w:rPr>
                <w:rFonts w:hint="eastAsia"/>
                <w:highlight w:val="none"/>
                <w:lang w:val="en-US" w:eastAsia="zh-CN"/>
              </w:rPr>
              <w:t xml:space="preserve">8.身体健康，五官端正，心理健康，无不良行为记录，具有吃苦耐劳的精神，服从管理。</w:t>
            </w:r>
            <w:r/>
          </w:p>
          <w:p>
            <w:pPr>
              <w:rPr>
                <w:rFonts w:hint="default"/>
                <w:highlight w:val="none"/>
                <w:lang w:val="en-US" w:eastAsia="zh-CN"/>
              </w:rPr>
            </w:pPr>
            <w:r>
              <w:rPr>
                <w:rFonts w:hint="eastAsia"/>
                <w:highlight w:val="none"/>
                <w:lang w:val="en-US" w:eastAsia="zh-CN"/>
              </w:rPr>
              <w:t xml:space="preserve">9.熟悉医院物业服务运营管理，具有良好的沟通技巧，表达能力、协调能力，能够独立处理突发状况。</w:t>
            </w:r>
            <w:r/>
          </w:p>
        </w:tc>
      </w:tr>
      <w:tr>
        <w:trPr/>
        <w:tc>
          <w:tcPr>
            <w:tcW w:w="1000"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保洁人员</w:t>
            </w:r>
            <w:r/>
          </w:p>
        </w:tc>
        <w:tc>
          <w:tcPr>
            <w:tcW w:w="647" w:type="dxa"/>
            <w:vAlign w:val="center"/>
            <w:textDirection w:val="lrTb"/>
            <w:noWrap w:val="false"/>
          </w:tcPr>
          <w:p>
            <w:pPr>
              <w:jc w:val="center"/>
              <w:rPr>
                <w:rFonts w:hint="default"/>
                <w:highlight w:val="none"/>
                <w:lang w:val="en-US" w:eastAsia="zh-CN"/>
              </w:rPr>
            </w:pPr>
            <w:r>
              <w:rPr>
                <w:rFonts w:hint="eastAsia"/>
                <w:highlight w:val="none"/>
                <w:lang w:val="en-US" w:eastAsia="zh-CN"/>
              </w:rPr>
              <w:t xml:space="preserve">12</w:t>
            </w:r>
            <w:r/>
          </w:p>
        </w:tc>
        <w:tc>
          <w:tcPr>
            <w:tcW w:w="7586" w:type="dxa"/>
            <w:vAlign w:val="center"/>
            <w:textDirection w:val="lrTb"/>
            <w:noWrap w:val="false"/>
          </w:tcPr>
          <w:p>
            <w:pPr>
              <w:rPr>
                <w:rFonts w:hint="eastAsia"/>
                <w:highlight w:val="none"/>
                <w:lang w:val="en-US" w:eastAsia="zh-CN"/>
              </w:rPr>
            </w:pPr>
            <w:r>
              <w:rPr>
                <w:rFonts w:hint="eastAsia"/>
                <w:highlight w:val="none"/>
                <w:lang w:val="en-US" w:eastAsia="zh-CN"/>
              </w:rPr>
              <w:t xml:space="preserve">身体健康，五官端正，心理健康，无不良行为记录，具有吃苦耐劳的精神，服从管理。</w:t>
            </w:r>
            <w:r/>
          </w:p>
        </w:tc>
      </w:tr>
      <w:tr>
        <w:trPr/>
        <w:tc>
          <w:tcPr>
            <w:tcW w:w="1000"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工程维修人员</w:t>
            </w:r>
            <w:r/>
          </w:p>
        </w:tc>
        <w:tc>
          <w:tcPr>
            <w:tcW w:w="647" w:type="dxa"/>
            <w:vAlign w:val="center"/>
            <w:textDirection w:val="lrTb"/>
            <w:noWrap w:val="false"/>
          </w:tcPr>
          <w:p>
            <w:pPr>
              <w:jc w:val="center"/>
              <w:rPr>
                <w:rFonts w:hint="default"/>
                <w:highlight w:val="none"/>
                <w:lang w:val="en-US" w:eastAsia="zh-CN"/>
              </w:rPr>
            </w:pPr>
            <w:r>
              <w:rPr>
                <w:rFonts w:hint="eastAsia"/>
                <w:highlight w:val="none"/>
                <w:lang w:val="en-US" w:eastAsia="zh-CN"/>
              </w:rPr>
              <w:t xml:space="preserve">3</w:t>
            </w:r>
            <w:r/>
          </w:p>
        </w:tc>
        <w:tc>
          <w:tcPr>
            <w:tcW w:w="7586" w:type="dxa"/>
            <w:vAlign w:val="center"/>
            <w:textDirection w:val="lrTb"/>
            <w:noWrap w:val="false"/>
          </w:tcPr>
          <w:p>
            <w:pPr>
              <w:rPr>
                <w:rFonts w:hint="default"/>
                <w:highlight w:val="none"/>
                <w:lang w:val="en-US" w:eastAsia="zh-CN"/>
              </w:rPr>
            </w:pPr>
            <w:r>
              <w:rPr>
                <w:rFonts w:hint="eastAsia"/>
                <w:highlight w:val="none"/>
                <w:lang w:val="en-US" w:eastAsia="zh-CN"/>
              </w:rPr>
              <w:t xml:space="preserve">遵纪守法，服从管理，无不良行为记录。持高低压电工证，能够进行水电路维修。</w:t>
            </w:r>
            <w:r/>
          </w:p>
        </w:tc>
      </w:tr>
      <w:tr>
        <w:trPr/>
        <w:tc>
          <w:tcPr>
            <w:tcW w:w="1000"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安保人员</w:t>
            </w:r>
            <w:r/>
          </w:p>
        </w:tc>
        <w:tc>
          <w:tcPr>
            <w:tcW w:w="647" w:type="dxa"/>
            <w:vAlign w:val="center"/>
            <w:textDirection w:val="lrTb"/>
            <w:noWrap w:val="false"/>
          </w:tcPr>
          <w:p>
            <w:pPr>
              <w:jc w:val="center"/>
              <w:rPr>
                <w:rFonts w:hint="default"/>
                <w:highlight w:val="none"/>
                <w:lang w:val="en-US" w:eastAsia="zh-CN"/>
              </w:rPr>
            </w:pPr>
            <w:r>
              <w:rPr>
                <w:rFonts w:hint="eastAsia"/>
                <w:highlight w:val="none"/>
                <w:lang w:val="en-US" w:eastAsia="zh-CN"/>
              </w:rPr>
              <w:t xml:space="preserve">8</w:t>
            </w:r>
            <w:r/>
          </w:p>
        </w:tc>
        <w:tc>
          <w:tcPr>
            <w:tcW w:w="7586" w:type="dxa"/>
            <w:vAlign w:val="center"/>
            <w:textDirection w:val="lrTb"/>
            <w:noWrap w:val="false"/>
          </w:tcPr>
          <w:p>
            <w:pPr>
              <w:rPr>
                <w:rFonts w:hint="eastAsia"/>
                <w:highlight w:val="none"/>
                <w:lang w:val="en-US" w:eastAsia="zh-CN"/>
              </w:rPr>
            </w:pPr>
            <w:r>
              <w:rPr>
                <w:rFonts w:hint="eastAsia"/>
                <w:highlight w:val="none"/>
                <w:lang w:val="en-US" w:eastAsia="zh-CN"/>
              </w:rPr>
              <w:t xml:space="preserve">具有保安员证书，身体健康，年龄小于60周岁，五官端正，心理健康，无不良行为记录，具有吃苦耐劳的精神，服从管理，具备一定的语言表达能力和沟通能力，接受过安保培训。负责医院内公共秩序，能承担医院内物品的转移搬运工作。</w:t>
            </w:r>
            <w:r/>
          </w:p>
        </w:tc>
      </w:tr>
      <w:tr>
        <w:trPr>
          <w:trHeight w:val="649"/>
        </w:trPr>
        <w:tc>
          <w:tcPr>
            <w:tcW w:w="1000"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消防监控人员</w:t>
            </w:r>
            <w:r/>
          </w:p>
        </w:tc>
        <w:tc>
          <w:tcPr>
            <w:tcW w:w="647"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6</w:t>
            </w:r>
            <w:r/>
          </w:p>
        </w:tc>
        <w:tc>
          <w:tcPr>
            <w:tcW w:w="7586" w:type="dxa"/>
            <w:vAlign w:val="center"/>
            <w:textDirection w:val="lrTb"/>
            <w:noWrap w:val="false"/>
          </w:tcPr>
          <w:p>
            <w:pPr>
              <w:rPr>
                <w:rFonts w:hint="eastAsia"/>
                <w:highlight w:val="none"/>
                <w:lang w:val="en-US" w:eastAsia="zh-CN"/>
              </w:rPr>
            </w:pPr>
            <w:r>
              <w:rPr>
                <w:rFonts w:hint="eastAsia"/>
                <w:highlight w:val="none"/>
                <w:lang w:val="en-US" w:eastAsia="zh-CN"/>
              </w:rPr>
              <w:t xml:space="preserve">持中级消防证书，身体健康，五官端正，心理健康，无不良行为记录，具有吃苦耐劳的精神，服从管理。     </w:t>
            </w:r>
            <w:r/>
          </w:p>
        </w:tc>
      </w:tr>
      <w:tr>
        <w:trPr>
          <w:trHeight w:val="649"/>
        </w:trPr>
        <w:tc>
          <w:tcPr>
            <w:tcW w:w="1000"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其他人员</w:t>
            </w:r>
            <w:r/>
          </w:p>
        </w:tc>
        <w:tc>
          <w:tcPr>
            <w:tcW w:w="647" w:type="dxa"/>
            <w:vAlign w:val="center"/>
            <w:textDirection w:val="lrTb"/>
            <w:noWrap w:val="false"/>
          </w:tcPr>
          <w:p>
            <w:pPr>
              <w:jc w:val="center"/>
              <w:rPr>
                <w:rFonts w:hint="default"/>
                <w:highlight w:val="none"/>
                <w:lang w:val="en-US" w:eastAsia="zh-CN"/>
              </w:rPr>
            </w:pPr>
            <w:r>
              <w:rPr>
                <w:rFonts w:hint="eastAsia"/>
                <w:highlight w:val="none"/>
                <w:lang w:val="en-US" w:eastAsia="zh-CN"/>
              </w:rPr>
              <w:t xml:space="preserve">6</w:t>
            </w:r>
            <w:r/>
          </w:p>
        </w:tc>
        <w:tc>
          <w:tcPr>
            <w:tcW w:w="7586" w:type="dxa"/>
            <w:vAlign w:val="center"/>
            <w:textDirection w:val="lrTb"/>
            <w:noWrap w:val="false"/>
          </w:tcPr>
          <w:p>
            <w:pPr>
              <w:rPr>
                <w:rFonts w:hint="default"/>
                <w:highlight w:val="none"/>
                <w:lang w:val="en-US" w:eastAsia="zh-CN"/>
              </w:rPr>
            </w:pPr>
            <w:r>
              <w:rPr>
                <w:rFonts w:hint="eastAsia"/>
                <w:highlight w:val="none"/>
                <w:lang w:val="en-US" w:eastAsia="zh-CN"/>
              </w:rPr>
              <w:t xml:space="preserve">其他工作</w:t>
            </w:r>
            <w:r/>
          </w:p>
        </w:tc>
      </w:tr>
      <w:tr>
        <w:trPr>
          <w:trHeight w:val="2200"/>
        </w:trPr>
        <w:tc>
          <w:tcPr>
            <w:tcW w:w="1000" w:type="dxa"/>
            <w:vAlign w:val="center"/>
            <w:textDirection w:val="lrTb"/>
            <w:noWrap w:val="false"/>
          </w:tcPr>
          <w:p>
            <w:pPr>
              <w:rPr>
                <w:rFonts w:hint="eastAsia"/>
                <w:highlight w:val="none"/>
                <w:lang w:val="en-US" w:eastAsia="zh-CN"/>
              </w:rPr>
            </w:pPr>
            <w:r>
              <w:rPr>
                <w:rFonts w:hint="eastAsia"/>
                <w:highlight w:val="none"/>
                <w:lang w:val="en-US" w:eastAsia="zh-CN"/>
              </w:rPr>
              <w:t xml:space="preserve">其他要求</w:t>
            </w:r>
            <w:r/>
          </w:p>
        </w:tc>
        <w:tc>
          <w:tcPr>
            <w:gridSpan w:val="2"/>
            <w:tcW w:w="8233" w:type="dxa"/>
            <w:vAlign w:val="center"/>
            <w:textDirection w:val="lrTb"/>
            <w:noWrap w:val="false"/>
          </w:tcPr>
          <w:p>
            <w:pPr>
              <w:rPr>
                <w:rFonts w:hint="eastAsia"/>
                <w:highlight w:val="none"/>
                <w:lang w:val="en-US" w:eastAsia="zh-CN"/>
              </w:rPr>
            </w:pPr>
            <w:r>
              <w:rPr>
                <w:rFonts w:hint="eastAsia"/>
                <w:highlight w:val="none"/>
                <w:lang w:val="en-US" w:eastAsia="zh-CN"/>
              </w:rPr>
              <w:t xml:space="preserve">（1）签订合同时，供应商须向采购人提供以上人员的身份证复印件、学历证明及相关证书等原件</w:t>
            </w:r>
            <w:r>
              <w:rPr>
                <w:rFonts w:hint="eastAsia"/>
                <w:sz w:val="24"/>
                <w:szCs w:val="24"/>
                <w:highlight w:val="none"/>
                <w:lang w:val="en-US" w:eastAsia="zh-CN"/>
              </w:rPr>
              <w:t xml:space="preserve">供采购人核验。同时进行岗前培训10天，所有上岗人员必须与向采购人提供的身份资料相吻合，</w:t>
            </w:r>
            <w:r>
              <w:rPr>
                <w:rFonts w:hint="eastAsia"/>
                <w:highlight w:val="none"/>
                <w:lang w:val="en-US" w:eastAsia="zh-CN"/>
              </w:rPr>
              <w:t xml:space="preserve">否则采购人有权拒绝签订合同。在员工包干区醒目位置贴本人照片、工号上墙，所提供的人员不得轻易更换，更换必须书面向采购人提交申请并提供说明，经采购人书面同意后才可以更换，否则其他人员不得接岗。</w:t>
            </w:r>
            <w:r/>
          </w:p>
          <w:p>
            <w:pPr>
              <w:rPr>
                <w:rFonts w:hint="eastAsia"/>
                <w:highlight w:val="none"/>
                <w:lang w:val="en-US" w:eastAsia="zh-CN"/>
              </w:rPr>
            </w:pPr>
            <w:r>
              <w:rPr>
                <w:rFonts w:hint="eastAsia"/>
                <w:highlight w:val="none"/>
                <w:lang w:val="en-US" w:eastAsia="zh-CN"/>
              </w:rPr>
              <w:t xml:space="preserve">（2）供应商需为适龄员工缴纳社保，无社保人员须为其购买意外保险。</w:t>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ind w:firstLine="480"/>
        <w:keepLines w:val="0"/>
        <w:keepNext w:val="0"/>
        <w:pageBreakBefore w:val="0"/>
        <w:spacing w:line="360" w:lineRule="auto"/>
        <w:widowControl w:val="off"/>
        <w:rPr>
          <w:sz w:val="24"/>
          <w:szCs w:val="24"/>
          <w:highlight w:val="none"/>
          <w:lang w:val="en-US" w:eastAsia="zh-CN"/>
        </w:rPr>
      </w:pPr>
      <w:r>
        <w:rPr>
          <w:rFonts w:hint="eastAsia"/>
          <w:sz w:val="24"/>
          <w:szCs w:val="24"/>
          <w:highlight w:val="none"/>
          <w:lang w:val="en-US" w:eastAsia="zh-CN"/>
        </w:rPr>
        <w:t xml:space="preserve">★七、</w:t>
      </w:r>
      <w:r>
        <w:rPr>
          <w:rFonts w:hint="eastAsia"/>
          <w:sz w:val="24"/>
          <w:szCs w:val="24"/>
          <w:highlight w:val="none"/>
        </w:rPr>
        <w:t xml:space="preserve">商务要求</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7.1</w:t>
      </w:r>
      <w:r>
        <w:rPr>
          <w:rFonts w:hint="eastAsia"/>
          <w:sz w:val="24"/>
          <w:szCs w:val="24"/>
          <w:highlight w:val="none"/>
        </w:rPr>
        <w:t xml:space="preserve">报价要求</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7.1.1</w:t>
      </w:r>
      <w:r>
        <w:rPr>
          <w:rFonts w:hint="eastAsia"/>
          <w:sz w:val="24"/>
          <w:szCs w:val="24"/>
          <w:highlight w:val="none"/>
        </w:rPr>
        <w:t xml:space="preserve">供应商应按要求填报《</w:t>
      </w:r>
      <w:r>
        <w:rPr>
          <w:rFonts w:hint="eastAsia"/>
          <w:sz w:val="24"/>
          <w:szCs w:val="24"/>
          <w:highlight w:val="none"/>
          <w:lang w:eastAsia="zh-CN"/>
        </w:rPr>
        <w:t xml:space="preserve">磋商</w:t>
      </w:r>
      <w:r>
        <w:rPr>
          <w:rFonts w:hint="eastAsia"/>
          <w:sz w:val="24"/>
          <w:szCs w:val="24"/>
          <w:highlight w:val="none"/>
        </w:rPr>
        <w:t xml:space="preserve">报价明细表》（格式见第六章），报价应包括但不限于以下内容：</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①员工工资：根据省级人社部门现行文件，报价中的员工月最低工资不得低于南京市最低标准，供应商须在《</w:t>
      </w:r>
      <w:r>
        <w:rPr>
          <w:rFonts w:hint="eastAsia"/>
          <w:sz w:val="24"/>
          <w:szCs w:val="24"/>
          <w:highlight w:val="none"/>
          <w:lang w:eastAsia="zh-CN"/>
        </w:rPr>
        <w:t xml:space="preserve">磋商</w:t>
      </w:r>
      <w:r>
        <w:rPr>
          <w:rFonts w:hint="eastAsia"/>
          <w:sz w:val="24"/>
          <w:szCs w:val="24"/>
          <w:highlight w:val="none"/>
        </w:rPr>
        <w:t xml:space="preserve">报价明细表》中按照采购需求中物业服务人员岗位分别填报员工工资，否则做无效投标处理。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供应商须按此要求在《</w:t>
      </w:r>
      <w:r>
        <w:rPr>
          <w:rFonts w:hint="eastAsia"/>
          <w:sz w:val="24"/>
          <w:szCs w:val="24"/>
          <w:highlight w:val="none"/>
          <w:lang w:eastAsia="zh-CN"/>
        </w:rPr>
        <w:t xml:space="preserve">磋商</w:t>
      </w:r>
      <w:r>
        <w:rPr>
          <w:rFonts w:hint="eastAsia"/>
          <w:sz w:val="24"/>
          <w:szCs w:val="24"/>
          <w:highlight w:val="none"/>
        </w:rPr>
        <w:t xml:space="preserve">报价明细表》中测算，否则视为无效报价。如供应商拟投入本项目人员中有依法享受社保、住房公积金等减免政策的，须在《</w:t>
      </w:r>
      <w:r>
        <w:rPr>
          <w:rFonts w:hint="eastAsia"/>
          <w:sz w:val="24"/>
          <w:szCs w:val="24"/>
          <w:highlight w:val="none"/>
          <w:lang w:eastAsia="zh-CN"/>
        </w:rPr>
        <w:t xml:space="preserve">磋商</w:t>
      </w:r>
      <w:r>
        <w:rPr>
          <w:rFonts w:hint="eastAsia"/>
          <w:sz w:val="24"/>
          <w:szCs w:val="24"/>
          <w:highlight w:val="none"/>
        </w:rPr>
        <w:t xml:space="preserve">报价明细表》后附相应说明，未说明且报价中社保、公积金等不符合现行规定的将被视为未实质性响应招标文件。中标结果发布后签订合同前中标供应商应向采购人提供符合减免政策的证明材料，无法提供或证明材料与该表后所附说明不符的将被视为虚假应标，取消中标资格。</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④法定税费：供应商应依法缴纳税费，如享受税费优惠政策的，须在《</w:t>
      </w:r>
      <w:r>
        <w:rPr>
          <w:rFonts w:hint="eastAsia"/>
          <w:sz w:val="24"/>
          <w:szCs w:val="24"/>
          <w:highlight w:val="none"/>
          <w:lang w:eastAsia="zh-CN"/>
        </w:rPr>
        <w:t xml:space="preserve">磋商</w:t>
      </w:r>
      <w:r>
        <w:rPr>
          <w:rFonts w:hint="eastAsia"/>
          <w:sz w:val="24"/>
          <w:szCs w:val="24"/>
          <w:highlight w:val="none"/>
        </w:rPr>
        <w:t xml:space="preserve">报价明细表》后附证明材料，否则做无效投标处理。</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⑤其他费用：《投标报价明细表》中供应商认为完成本项目物业管理服务可能产生的其他相关费用。</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7.1.2</w:t>
      </w:r>
      <w:r>
        <w:rPr>
          <w:rFonts w:hint="eastAsia"/>
          <w:sz w:val="24"/>
          <w:szCs w:val="24"/>
          <w:highlight w:val="none"/>
        </w:rPr>
        <w:t xml:space="preserve">供应商未按政策规定报价、未依法缴纳税费，或者《</w:t>
      </w:r>
      <w:r>
        <w:rPr>
          <w:rFonts w:hint="eastAsia"/>
          <w:sz w:val="24"/>
          <w:szCs w:val="24"/>
          <w:highlight w:val="none"/>
          <w:lang w:eastAsia="zh-CN"/>
        </w:rPr>
        <w:t xml:space="preserve">磋商</w:t>
      </w:r>
      <w:r>
        <w:rPr>
          <w:rFonts w:hint="eastAsia"/>
          <w:sz w:val="24"/>
          <w:szCs w:val="24"/>
          <w:highlight w:val="none"/>
        </w:rPr>
        <w:t xml:space="preserve">报价明细表》中列明的分项报价为“零”或负数的（其他费用可以为“零”但不得为负数），按无效投标处理。因供应商疏忽、计算错误，导致报价表中数据错误或缺漏的，自行承担相应责任。</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7.1.3供应商</w:t>
      </w:r>
      <w:r>
        <w:rPr>
          <w:rFonts w:hint="eastAsia"/>
          <w:sz w:val="24"/>
          <w:szCs w:val="24"/>
          <w:highlight w:val="none"/>
        </w:rPr>
        <w:t xml:space="preserve">应充分考虑所有可能影响到报价的价格及</w:t>
      </w:r>
      <w:r>
        <w:rPr>
          <w:rFonts w:hint="eastAsia"/>
          <w:sz w:val="24"/>
          <w:szCs w:val="24"/>
          <w:highlight w:val="none"/>
          <w:lang w:val="en-US" w:eastAsia="zh-CN"/>
        </w:rPr>
        <w:t xml:space="preserve">市场</w:t>
      </w:r>
      <w:r>
        <w:rPr>
          <w:rFonts w:hint="eastAsia"/>
          <w:sz w:val="24"/>
          <w:szCs w:val="24"/>
          <w:highlight w:val="none"/>
        </w:rPr>
        <w:t xml:space="preserve">风险因素，一旦中标，总价将包定，一律不予调整</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7.2</w:t>
      </w:r>
      <w:r>
        <w:rPr>
          <w:rFonts w:hint="eastAsia"/>
          <w:sz w:val="24"/>
          <w:szCs w:val="24"/>
          <w:highlight w:val="none"/>
        </w:rPr>
        <w:t xml:space="preserve">报价须知</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7.2.1</w:t>
      </w:r>
      <w:r>
        <w:rPr>
          <w:rFonts w:hint="eastAsia"/>
          <w:sz w:val="24"/>
          <w:szCs w:val="24"/>
          <w:highlight w:val="none"/>
        </w:rPr>
        <w:t xml:space="preserve">供应商针对本项目所投物业服务人数不得低于招标文件要求，合同期内该部分成本支出不计入本项目人员成本计算，请各投标供应商认真调研测算相关费用。</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7.2.2</w:t>
      </w:r>
      <w:r>
        <w:rPr>
          <w:rFonts w:hint="eastAsia"/>
          <w:sz w:val="24"/>
          <w:szCs w:val="24"/>
          <w:highlight w:val="none"/>
        </w:rPr>
        <w:t xml:space="preserve">合同执行期内，除新增病区或新增服务范围外，供应商必须按招标及投标文件岗位配置配足员工，不得擅自减少，变更项目</w:t>
      </w:r>
      <w:r>
        <w:rPr>
          <w:rFonts w:hint="eastAsia"/>
          <w:sz w:val="24"/>
          <w:szCs w:val="24"/>
          <w:highlight w:val="none"/>
          <w:lang w:val="en-US" w:eastAsia="zh-CN"/>
        </w:rPr>
        <w:t xml:space="preserve">经理</w:t>
      </w:r>
      <w:r>
        <w:rPr>
          <w:rFonts w:hint="eastAsia"/>
          <w:sz w:val="24"/>
          <w:szCs w:val="24"/>
          <w:highlight w:val="none"/>
        </w:rPr>
        <w:t xml:space="preserve">和其他管理人员；如遇采购人根据实际情况需要增/减岗的，供应商应无条件配合采购人增加或减少相应岗位及相关岗位人员。采购人将依据中标供应商实际上岗人数按实结算，结算以方式为：合同总价除以招标文件中规定的总人数的月均价乘以实际在岗人数进行结算。</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7.2.3</w:t>
      </w:r>
      <w:r>
        <w:rPr>
          <w:rFonts w:hint="eastAsia"/>
          <w:sz w:val="24"/>
          <w:szCs w:val="24"/>
          <w:highlight w:val="none"/>
        </w:rPr>
        <w:t xml:space="preserve">在履行合同的过程中，</w:t>
      </w:r>
      <w:r>
        <w:rPr>
          <w:rFonts w:hint="eastAsia"/>
          <w:sz w:val="24"/>
          <w:szCs w:val="24"/>
          <w:highlight w:val="none"/>
          <w:lang w:eastAsia="zh-CN"/>
        </w:rPr>
        <w:t xml:space="preserve">成交</w:t>
      </w:r>
      <w:r>
        <w:rPr>
          <w:rFonts w:hint="eastAsia"/>
          <w:sz w:val="24"/>
          <w:szCs w:val="24"/>
          <w:highlight w:val="none"/>
        </w:rPr>
        <w:t xml:space="preserve">供应商不得以任何名目或理由向采购人提出其他费用的要求。 </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7.2.4</w:t>
      </w:r>
      <w:r>
        <w:rPr>
          <w:rFonts w:hint="eastAsia"/>
          <w:sz w:val="24"/>
          <w:szCs w:val="24"/>
          <w:highlight w:val="none"/>
        </w:rPr>
        <w:t xml:space="preserve">采购人有对供应商物业费用的审核权：采购人有权审核供应商就本服务项目招录员工的工资性收入发放及员工社保费用缴纳的情况，包括但不限于员工工资性收入、按国家规定上缴的员工“五险一金”等，供应商须予以配合。 </w:t>
      </w:r>
      <w:r/>
    </w:p>
    <w:p>
      <w:pPr>
        <w:ind w:firstLine="480"/>
        <w:keepLines w:val="0"/>
        <w:keepNext w:val="0"/>
        <w:pageBreakBefore w:val="0"/>
        <w:spacing w:line="360" w:lineRule="auto"/>
        <w:widowControl w:val="off"/>
        <w:rPr>
          <w:rFonts w:hint="default"/>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sz w:val="24"/>
          <w:szCs w:val="24"/>
          <w:highlight w:val="none"/>
          <w:lang w:val="en-US" w:eastAsia="zh-CN"/>
        </w:rPr>
        <w:t xml:space="preserve">八、</w:t>
      </w:r>
      <w:r>
        <w:rPr>
          <w:rFonts w:hint="default"/>
          <w:sz w:val="24"/>
          <w:szCs w:val="24"/>
          <w:highlight w:val="none"/>
        </w:rPr>
        <w:t xml:space="preserve">付款条件</w:t>
      </w:r>
      <w:r/>
    </w:p>
    <w:p>
      <w:pPr>
        <w:ind w:firstLine="480"/>
        <w:keepLines w:val="0"/>
        <w:keepNext w:val="0"/>
        <w:pageBreakBefore w:val="0"/>
        <w:spacing w:line="360" w:lineRule="auto"/>
        <w:widowControl w:val="off"/>
        <w:rPr>
          <w:rFonts w:hint="default"/>
          <w:sz w:val="24"/>
          <w:szCs w:val="24"/>
          <w:highlight w:val="none"/>
        </w:rPr>
      </w:pPr>
      <w:r>
        <w:rPr>
          <w:rFonts w:hint="eastAsia"/>
          <w:sz w:val="24"/>
          <w:szCs w:val="24"/>
          <w:highlight w:val="none"/>
          <w:lang w:val="en-US" w:eastAsia="zh-CN"/>
        </w:rPr>
        <w:t xml:space="preserve">8.1</w:t>
      </w:r>
      <w:r>
        <w:rPr>
          <w:rFonts w:hint="default"/>
          <w:sz w:val="24"/>
          <w:szCs w:val="24"/>
          <w:highlight w:val="none"/>
        </w:rPr>
        <w:t xml:space="preserve">服务费用由</w:t>
      </w:r>
      <w:r>
        <w:rPr>
          <w:rFonts w:hint="eastAsia"/>
          <w:sz w:val="24"/>
          <w:szCs w:val="24"/>
          <w:highlight w:val="none"/>
          <w:lang w:eastAsia="zh-CN"/>
        </w:rPr>
        <w:t xml:space="preserve">采购人</w:t>
      </w:r>
      <w:r>
        <w:rPr>
          <w:rFonts w:hint="default"/>
          <w:sz w:val="24"/>
          <w:szCs w:val="24"/>
          <w:highlight w:val="none"/>
        </w:rPr>
        <w:t xml:space="preserve">按月支付。</w:t>
      </w:r>
      <w:r>
        <w:rPr>
          <w:rFonts w:hint="eastAsia"/>
          <w:sz w:val="24"/>
          <w:szCs w:val="24"/>
          <w:highlight w:val="none"/>
          <w:lang w:eastAsia="zh-CN"/>
        </w:rPr>
        <w:t xml:space="preserve">成交供应商</w:t>
      </w:r>
      <w:r>
        <w:rPr>
          <w:rFonts w:hint="default"/>
          <w:sz w:val="24"/>
          <w:szCs w:val="24"/>
          <w:highlight w:val="none"/>
        </w:rPr>
        <w:t xml:space="preserve">按月根据实际发生的所有物业管理（考核后的）费用开据合法票据，</w:t>
      </w:r>
      <w:r>
        <w:rPr>
          <w:rFonts w:hint="eastAsia"/>
          <w:sz w:val="24"/>
          <w:szCs w:val="24"/>
          <w:highlight w:val="none"/>
          <w:lang w:eastAsia="zh-CN"/>
        </w:rPr>
        <w:t xml:space="preserve">采购人</w:t>
      </w:r>
      <w:r>
        <w:rPr>
          <w:rFonts w:hint="default"/>
          <w:sz w:val="24"/>
          <w:szCs w:val="24"/>
          <w:highlight w:val="none"/>
        </w:rPr>
        <w:t xml:space="preserve">在接受</w:t>
      </w:r>
      <w:r>
        <w:rPr>
          <w:rFonts w:hint="eastAsia"/>
          <w:sz w:val="24"/>
          <w:szCs w:val="24"/>
          <w:highlight w:val="none"/>
          <w:lang w:eastAsia="zh-CN"/>
        </w:rPr>
        <w:t xml:space="preserve">成交供应商</w:t>
      </w:r>
      <w:r>
        <w:rPr>
          <w:rFonts w:hint="default"/>
          <w:sz w:val="24"/>
          <w:szCs w:val="24"/>
          <w:highlight w:val="none"/>
        </w:rPr>
        <w:t xml:space="preserve">票据后的20个工作日内将上月实际发生的所有后勤物业管理（考核后的）费用支付给</w:t>
      </w:r>
      <w:r>
        <w:rPr>
          <w:rFonts w:hint="eastAsia"/>
          <w:sz w:val="24"/>
          <w:szCs w:val="24"/>
          <w:highlight w:val="none"/>
          <w:lang w:eastAsia="zh-CN"/>
        </w:rPr>
        <w:t xml:space="preserve">成交供应商</w:t>
      </w:r>
      <w:r>
        <w:rPr>
          <w:rFonts w:hint="default"/>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8.2</w:t>
      </w:r>
      <w:r>
        <w:rPr>
          <w:rFonts w:hint="default"/>
          <w:sz w:val="24"/>
          <w:szCs w:val="24"/>
          <w:highlight w:val="none"/>
        </w:rPr>
        <w:t xml:space="preserve">合同期间，如增减科室、增减服务范围，按实际增减的人员和单项人均单</w:t>
      </w:r>
      <w:r>
        <w:rPr>
          <w:rFonts w:hint="eastAsia"/>
          <w:sz w:val="24"/>
          <w:szCs w:val="24"/>
          <w:highlight w:val="none"/>
          <w:lang w:eastAsia="zh-CN"/>
        </w:rPr>
        <w:t xml:space="preserve">价</w:t>
      </w:r>
      <w:r>
        <w:rPr>
          <w:rFonts w:hint="default"/>
          <w:sz w:val="24"/>
          <w:szCs w:val="24"/>
          <w:highlight w:val="none"/>
        </w:rPr>
        <w:t xml:space="preserve">调整服务价款</w:t>
      </w:r>
      <w:r>
        <w:rPr>
          <w:rFonts w:hint="eastAsia"/>
          <w:sz w:val="24"/>
          <w:szCs w:val="24"/>
          <w:highlight w:val="none"/>
          <w:lang w:eastAsia="zh-CN"/>
        </w:rPr>
        <w:t xml:space="preserve">。</w:t>
      </w:r>
      <w:r/>
    </w:p>
    <w:p>
      <w:pPr>
        <w:ind w:firstLine="480"/>
        <w:keepLines w:val="0"/>
        <w:keepNext w:val="0"/>
        <w:pageBreakBefore w:val="0"/>
        <w:spacing w:line="360" w:lineRule="auto"/>
        <w:widowControl w:val="off"/>
        <w:rPr>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sz w:val="24"/>
          <w:szCs w:val="24"/>
          <w:highlight w:val="none"/>
          <w:lang w:val="en-US" w:eastAsia="zh-CN"/>
        </w:rPr>
        <w:t xml:space="preserve">九、其他要求</w:t>
      </w:r>
      <w:r/>
    </w:p>
    <w:p>
      <w:pPr>
        <w:ind w:firstLine="480"/>
        <w:keepLines w:val="0"/>
        <w:keepNext w:val="0"/>
        <w:pageBreakBefore w:val="0"/>
        <w:spacing w:line="360" w:lineRule="auto"/>
        <w:widowControl w:val="off"/>
        <w:rPr>
          <w:sz w:val="24"/>
          <w:szCs w:val="24"/>
          <w:highlight w:val="none"/>
          <w:lang w:val="en-US" w:eastAsia="zh-CN"/>
        </w:rPr>
      </w:pPr>
      <w:r>
        <w:rPr>
          <w:rFonts w:hint="eastAsia"/>
          <w:sz w:val="24"/>
          <w:szCs w:val="24"/>
          <w:highlight w:val="none"/>
          <w:lang w:val="en-US" w:eastAsia="zh-CN"/>
        </w:rPr>
        <w:t xml:space="preserve">9.1</w:t>
      </w:r>
      <w:r>
        <w:rPr>
          <w:sz w:val="24"/>
          <w:szCs w:val="24"/>
          <w:highlight w:val="none"/>
          <w:lang w:val="en-US" w:eastAsia="zh-CN"/>
        </w:rPr>
        <w:t xml:space="preserve">采购文件中要求提供证明材料的，供应商签订合同时应按采购文件要求和响应文件响应内容向采购人提供相应证明材料核验。供应商未按采购文件要求和响应文件响应内容提供相应证明材料或者提供的证明材料不符合采购文件要求的，视为提供虚假材料谋取成交，采购人将取消其成交资格。</w:t>
      </w:r>
      <w:r/>
    </w:p>
    <w:p>
      <w:pPr>
        <w:ind w:firstLine="480"/>
        <w:keepLines w:val="0"/>
        <w:keepNext w:val="0"/>
        <w:pageBreakBefore w:val="0"/>
        <w:spacing w:line="360" w:lineRule="auto"/>
        <w:widowControl w:val="off"/>
        <w:rPr>
          <w:sz w:val="24"/>
          <w:szCs w:val="24"/>
          <w:highlight w:val="none"/>
          <w:lang w:val="en-US" w:eastAsia="zh-CN"/>
        </w:rPr>
      </w:pPr>
      <w:r>
        <w:rPr>
          <w:rFonts w:hint="eastAsia"/>
          <w:sz w:val="24"/>
          <w:szCs w:val="24"/>
          <w:highlight w:val="none"/>
          <w:lang w:val="en-US" w:eastAsia="zh-CN"/>
        </w:rPr>
        <w:t xml:space="preserve">9.2</w:t>
      </w:r>
      <w:r>
        <w:rPr>
          <w:sz w:val="24"/>
          <w:szCs w:val="24"/>
          <w:highlight w:val="none"/>
          <w:lang w:val="en-US" w:eastAsia="zh-CN"/>
        </w:rPr>
        <w:t xml:space="preserve">采购文件评审方法与评审标准中涉及的相关证明材料，应在响应文件中提供，并由评审小组在评审现场予以确认，否则无法得到相应分值。</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sz w:val="24"/>
          <w:szCs w:val="24"/>
          <w:highlight w:val="none"/>
          <w:lang w:val="en-US" w:eastAsia="zh-CN"/>
        </w:rPr>
        <w:t xml:space="preserve">十、考核方案</w:t>
      </w:r>
      <w:r/>
    </w:p>
    <w:p>
      <w:pPr>
        <w:ind w:firstLine="480"/>
        <w:keepLines w:val="0"/>
        <w:keepNext w:val="0"/>
        <w:pageBreakBefore w:val="0"/>
        <w:spacing w:line="360" w:lineRule="auto"/>
        <w:widowControl w:val="off"/>
        <w:rPr>
          <w:rFonts w:hint="default"/>
          <w:sz w:val="24"/>
          <w:szCs w:val="24"/>
          <w:highlight w:val="none"/>
        </w:rPr>
      </w:pPr>
      <w:r>
        <w:rPr>
          <w:rFonts w:hint="eastAsia"/>
          <w:sz w:val="24"/>
          <w:szCs w:val="24"/>
          <w:highlight w:val="none"/>
          <w:lang w:val="en-US" w:eastAsia="zh-CN"/>
        </w:rPr>
        <w:t xml:space="preserve">10.1</w:t>
      </w:r>
      <w:r>
        <w:rPr>
          <w:rFonts w:hint="eastAsia"/>
          <w:sz w:val="24"/>
          <w:szCs w:val="24"/>
          <w:highlight w:val="none"/>
        </w:rPr>
        <w:t xml:space="preserve">考核组织机构</w:t>
      </w:r>
      <w:r>
        <w:rPr>
          <w:rFonts w:hint="eastAsia"/>
          <w:sz w:val="24"/>
          <w:szCs w:val="24"/>
          <w:highlight w:val="none"/>
          <w:lang w:eastAsia="zh-CN"/>
        </w:rPr>
        <w:t xml:space="preserve">：</w:t>
      </w:r>
      <w:r>
        <w:rPr>
          <w:rFonts w:hint="default"/>
          <w:sz w:val="24"/>
          <w:szCs w:val="24"/>
          <w:highlight w:val="none"/>
        </w:rPr>
        <w:t xml:space="preserve">每月由</w:t>
      </w:r>
      <w:r>
        <w:rPr>
          <w:rFonts w:hint="eastAsia"/>
          <w:sz w:val="24"/>
          <w:szCs w:val="24"/>
          <w:highlight w:val="none"/>
          <w:lang w:eastAsia="zh-CN"/>
        </w:rPr>
        <w:t xml:space="preserve">总务科</w:t>
      </w:r>
      <w:r>
        <w:rPr>
          <w:rFonts w:hint="default"/>
          <w:sz w:val="24"/>
          <w:szCs w:val="24"/>
          <w:highlight w:val="none"/>
        </w:rPr>
        <w:t xml:space="preserve">牵头，组织相关职能科室对全院保洁、安保服务、</w:t>
      </w:r>
      <w:r>
        <w:rPr>
          <w:rFonts w:hint="eastAsia"/>
          <w:sz w:val="24"/>
          <w:szCs w:val="24"/>
          <w:highlight w:val="none"/>
          <w:lang w:eastAsia="zh-CN"/>
        </w:rPr>
        <w:t xml:space="preserve">工程维修</w:t>
      </w:r>
      <w:r>
        <w:rPr>
          <w:rFonts w:hint="default"/>
          <w:sz w:val="24"/>
          <w:szCs w:val="24"/>
          <w:highlight w:val="none"/>
        </w:rPr>
        <w:t xml:space="preserve">、</w:t>
      </w:r>
      <w:r>
        <w:rPr>
          <w:rFonts w:hint="eastAsia"/>
          <w:sz w:val="24"/>
          <w:szCs w:val="24"/>
          <w:highlight w:val="none"/>
          <w:lang w:eastAsia="zh-CN"/>
        </w:rPr>
        <w:t xml:space="preserve">安全生产</w:t>
      </w:r>
      <w:r>
        <w:rPr>
          <w:rFonts w:hint="default"/>
          <w:sz w:val="24"/>
          <w:szCs w:val="24"/>
          <w:highlight w:val="none"/>
        </w:rPr>
        <w:t xml:space="preserve">等工作情况进行考核。</w:t>
      </w:r>
      <w:r/>
    </w:p>
    <w:p>
      <w:pPr>
        <w:ind w:firstLine="480"/>
        <w:keepLines w:val="0"/>
        <w:keepNext w:val="0"/>
        <w:pageBreakBefore w:val="0"/>
        <w:spacing w:line="360" w:lineRule="auto"/>
        <w:widowControl w:val="off"/>
        <w:rPr>
          <w:rFonts w:hint="default"/>
          <w:sz w:val="24"/>
          <w:szCs w:val="24"/>
          <w:highlight w:val="none"/>
        </w:rPr>
      </w:pPr>
      <w:r>
        <w:rPr>
          <w:rFonts w:hint="eastAsia"/>
          <w:sz w:val="24"/>
          <w:szCs w:val="24"/>
          <w:highlight w:val="none"/>
          <w:lang w:val="en-US" w:eastAsia="zh-CN"/>
        </w:rPr>
        <w:t xml:space="preserve">10.2</w:t>
      </w:r>
      <w:r>
        <w:rPr>
          <w:rFonts w:hint="default"/>
          <w:sz w:val="24"/>
          <w:szCs w:val="24"/>
          <w:highlight w:val="none"/>
          <w:lang w:val="en-US" w:eastAsia="zh-CN"/>
        </w:rPr>
        <w:t xml:space="preserve">考核办法</w:t>
      </w:r>
      <w:r>
        <w:rPr>
          <w:rFonts w:hint="eastAsia"/>
          <w:sz w:val="24"/>
          <w:szCs w:val="24"/>
          <w:highlight w:val="none"/>
          <w:lang w:val="en-US" w:eastAsia="zh-CN"/>
        </w:rPr>
        <w:t xml:space="preserve">：</w:t>
      </w:r>
      <w:r>
        <w:rPr>
          <w:rFonts w:hint="eastAsia"/>
          <w:sz w:val="24"/>
          <w:szCs w:val="24"/>
          <w:highlight w:val="none"/>
          <w:lang w:eastAsia="zh-CN"/>
        </w:rPr>
        <w:t xml:space="preserve">物业公司</w:t>
      </w:r>
      <w:r>
        <w:rPr>
          <w:rFonts w:hint="default"/>
          <w:sz w:val="24"/>
          <w:szCs w:val="24"/>
          <w:highlight w:val="none"/>
        </w:rPr>
        <w:t xml:space="preserve">每月</w:t>
      </w:r>
      <w:r>
        <w:rPr>
          <w:rFonts w:hint="eastAsia"/>
          <w:sz w:val="24"/>
          <w:szCs w:val="24"/>
          <w:highlight w:val="none"/>
          <w:lang w:eastAsia="zh-CN"/>
        </w:rPr>
        <w:t xml:space="preserve">开展</w:t>
      </w:r>
      <w:r>
        <w:rPr>
          <w:rFonts w:hint="default"/>
          <w:sz w:val="24"/>
          <w:szCs w:val="24"/>
          <w:highlight w:val="none"/>
        </w:rPr>
        <w:t xml:space="preserve">自查，并在每个月末</w:t>
      </w:r>
      <w:r>
        <w:rPr>
          <w:rFonts w:hint="eastAsia"/>
          <w:sz w:val="24"/>
          <w:szCs w:val="24"/>
          <w:highlight w:val="none"/>
          <w:lang w:val="en-US" w:eastAsia="zh-CN"/>
        </w:rPr>
        <w:t xml:space="preserve">20</w:t>
      </w:r>
      <w:r>
        <w:rPr>
          <w:rFonts w:hint="default"/>
          <w:sz w:val="24"/>
          <w:szCs w:val="24"/>
          <w:highlight w:val="none"/>
        </w:rPr>
        <w:t xml:space="preserve">日前完成当月自查评分，并将自查评分书面报告和下月工作计划上报</w:t>
      </w:r>
      <w:r>
        <w:rPr>
          <w:rFonts w:hint="eastAsia"/>
          <w:sz w:val="24"/>
          <w:szCs w:val="24"/>
          <w:highlight w:val="none"/>
          <w:lang w:eastAsia="zh-CN"/>
        </w:rPr>
        <w:t xml:space="preserve">中心</w:t>
      </w:r>
      <w:r>
        <w:rPr>
          <w:rFonts w:hint="default"/>
          <w:sz w:val="24"/>
          <w:szCs w:val="24"/>
          <w:highlight w:val="none"/>
        </w:rPr>
        <w:t xml:space="preserve">主管部门。同时，医院管理部门将组织定期考核和随时抽查。</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default"/>
          <w:sz w:val="24"/>
          <w:szCs w:val="24"/>
          <w:highlight w:val="none"/>
        </w:rPr>
        <w:t xml:space="preserve">定期组织考核：每月一次，由医院</w:t>
      </w:r>
      <w:r>
        <w:rPr>
          <w:rFonts w:hint="eastAsia"/>
          <w:sz w:val="24"/>
          <w:szCs w:val="24"/>
          <w:highlight w:val="none"/>
          <w:lang w:eastAsia="zh-CN"/>
        </w:rPr>
        <w:t xml:space="preserve">后勤保障科</w:t>
      </w:r>
      <w:r>
        <w:rPr>
          <w:rFonts w:hint="default"/>
          <w:sz w:val="24"/>
          <w:szCs w:val="24"/>
          <w:highlight w:val="none"/>
        </w:rPr>
        <w:t xml:space="preserve">组织</w:t>
      </w:r>
      <w:r>
        <w:rPr>
          <w:rFonts w:hint="eastAsia"/>
          <w:sz w:val="24"/>
          <w:szCs w:val="24"/>
          <w:highlight w:val="none"/>
          <w:lang w:eastAsia="zh-CN"/>
        </w:rPr>
        <w:t xml:space="preserve">院感科、安全生产办公室、医务科等相关部门</w:t>
      </w:r>
      <w:r>
        <w:rPr>
          <w:rFonts w:hint="default"/>
          <w:sz w:val="24"/>
          <w:szCs w:val="24"/>
          <w:highlight w:val="none"/>
        </w:rPr>
        <w:t xml:space="preserve">定期到现场实地检查和查阅记录档案资料后，按考核评分标准规定评分。</w:t>
      </w:r>
      <w:r/>
    </w:p>
    <w:p>
      <w:pPr>
        <w:ind w:firstLine="480"/>
        <w:keepLines w:val="0"/>
        <w:keepNext w:val="0"/>
        <w:pageBreakBefore w:val="0"/>
        <w:spacing w:line="360" w:lineRule="auto"/>
        <w:widowControl w:val="off"/>
        <w:rPr>
          <w:rFonts w:hint="default"/>
          <w:sz w:val="24"/>
          <w:szCs w:val="24"/>
          <w:highlight w:val="none"/>
        </w:rPr>
      </w:pPr>
      <w:r>
        <w:rPr>
          <w:rFonts w:hint="default"/>
          <w:sz w:val="24"/>
          <w:szCs w:val="24"/>
          <w:highlight w:val="none"/>
        </w:rPr>
        <w:t xml:space="preserve">医院</w:t>
      </w:r>
      <w:r>
        <w:rPr>
          <w:rFonts w:hint="eastAsia"/>
          <w:sz w:val="24"/>
          <w:szCs w:val="24"/>
          <w:highlight w:val="none"/>
          <w:lang w:eastAsia="zh-CN"/>
        </w:rPr>
        <w:t xml:space="preserve">后勤保障科不定期抽查</w:t>
      </w:r>
      <w:r>
        <w:rPr>
          <w:rFonts w:hint="default"/>
          <w:sz w:val="24"/>
          <w:szCs w:val="24"/>
          <w:highlight w:val="none"/>
        </w:rPr>
        <w:t xml:space="preserve">，凡查出问题，管理人员将记录在案。按考核评分标准规定进行扣分。</w:t>
      </w:r>
      <w:r/>
    </w:p>
    <w:p>
      <w:pPr>
        <w:ind w:firstLine="480"/>
        <w:keepLines w:val="0"/>
        <w:keepNext w:val="0"/>
        <w:pageBreakBefore w:val="0"/>
        <w:spacing w:line="360" w:lineRule="auto"/>
        <w:widowControl w:val="off"/>
        <w:rPr>
          <w:rFonts w:hint="default"/>
          <w:sz w:val="24"/>
          <w:szCs w:val="24"/>
          <w:highlight w:val="none"/>
        </w:rPr>
      </w:pPr>
      <w:r>
        <w:rPr>
          <w:rFonts w:hint="default"/>
          <w:sz w:val="24"/>
          <w:szCs w:val="24"/>
          <w:highlight w:val="none"/>
        </w:rPr>
        <w:t xml:space="preserve">每个月末由医院通报上月考核得分情况和提出整改要求</w:t>
      </w:r>
      <w:r>
        <w:rPr>
          <w:rFonts w:hint="eastAsia"/>
          <w:sz w:val="24"/>
          <w:szCs w:val="24"/>
          <w:highlight w:val="none"/>
          <w:lang w:eastAsia="zh-CN"/>
        </w:rPr>
        <w:t xml:space="preserve">，</w:t>
      </w:r>
      <w:r>
        <w:rPr>
          <w:rFonts w:hint="default"/>
          <w:sz w:val="24"/>
          <w:szCs w:val="24"/>
          <w:highlight w:val="none"/>
        </w:rPr>
        <w:t xml:space="preserve">并报送相关领导审核。</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10.3</w:t>
      </w:r>
      <w:r>
        <w:rPr>
          <w:rFonts w:hint="default"/>
          <w:sz w:val="24"/>
          <w:szCs w:val="24"/>
          <w:highlight w:val="none"/>
          <w:lang w:val="en-US" w:eastAsia="zh-CN"/>
        </w:rPr>
        <w:t xml:space="preserve">考核等级设定及支付办法(以下各项服务板块分值分别为100分，各占总分1/3）</w:t>
      </w:r>
      <w:r/>
    </w:p>
    <w:p>
      <w:pPr>
        <w:ind w:firstLine="480"/>
        <w:keepLines w:val="0"/>
        <w:keepNext w:val="0"/>
        <w:pageBreakBefore w:val="0"/>
        <w:spacing w:line="360" w:lineRule="auto"/>
        <w:widowControl w:val="off"/>
        <w:rPr>
          <w:rFonts w:hint="default"/>
          <w:sz w:val="24"/>
          <w:szCs w:val="24"/>
          <w:highlight w:val="none"/>
        </w:rPr>
      </w:pPr>
      <w:r>
        <w:rPr>
          <w:rFonts w:hint="default"/>
          <w:sz w:val="24"/>
          <w:szCs w:val="24"/>
          <w:highlight w:val="none"/>
        </w:rPr>
        <w:t xml:space="preserve">医院依据每月考核结果，作为支付服务费的依据。医院将在通报考核结果</w:t>
      </w:r>
      <w:r>
        <w:rPr>
          <w:rFonts w:hint="eastAsia"/>
          <w:sz w:val="24"/>
          <w:szCs w:val="24"/>
          <w:highlight w:val="none"/>
          <w:lang w:eastAsia="zh-CN"/>
        </w:rPr>
        <w:t xml:space="preserve">后支付</w:t>
      </w:r>
      <w:r>
        <w:rPr>
          <w:rFonts w:hint="default"/>
          <w:sz w:val="24"/>
          <w:szCs w:val="24"/>
          <w:highlight w:val="none"/>
        </w:rPr>
        <w:t xml:space="preserve">当月服务费，扣减费用均不再返还。</w:t>
      </w:r>
      <w:r/>
    </w:p>
    <w:p>
      <w:pPr>
        <w:ind w:firstLine="480"/>
        <w:keepLines w:val="0"/>
        <w:keepNext w:val="0"/>
        <w:pageBreakBefore w:val="0"/>
        <w:spacing w:line="360" w:lineRule="auto"/>
        <w:widowControl w:val="off"/>
        <w:rPr>
          <w:rFonts w:hint="default"/>
          <w:sz w:val="24"/>
          <w:szCs w:val="24"/>
          <w:highlight w:val="none"/>
        </w:rPr>
      </w:pPr>
      <w:r>
        <w:rPr>
          <w:rFonts w:hint="eastAsia"/>
          <w:sz w:val="24"/>
          <w:szCs w:val="24"/>
          <w:highlight w:val="none"/>
          <w:lang w:val="en-US" w:eastAsia="zh-CN"/>
        </w:rPr>
        <w:t xml:space="preserve">1.</w:t>
      </w:r>
      <w:r>
        <w:rPr>
          <w:rFonts w:hint="default"/>
          <w:sz w:val="24"/>
          <w:szCs w:val="24"/>
          <w:highlight w:val="none"/>
        </w:rPr>
        <w:t xml:space="preserve">考核分数90分（含90分）及以上则全额支付当月服务费，考核结果为优；</w:t>
      </w:r>
      <w:r/>
    </w:p>
    <w:p>
      <w:pPr>
        <w:ind w:firstLine="480"/>
        <w:keepLines w:val="0"/>
        <w:keepNext w:val="0"/>
        <w:pageBreakBefore w:val="0"/>
        <w:spacing w:line="360" w:lineRule="auto"/>
        <w:widowControl w:val="off"/>
        <w:rPr>
          <w:rFonts w:hint="default"/>
          <w:sz w:val="24"/>
          <w:szCs w:val="24"/>
          <w:highlight w:val="none"/>
        </w:rPr>
      </w:pPr>
      <w:r>
        <w:rPr>
          <w:rFonts w:hint="eastAsia"/>
          <w:sz w:val="24"/>
          <w:szCs w:val="24"/>
          <w:highlight w:val="none"/>
          <w:lang w:val="en-US" w:eastAsia="zh-CN"/>
        </w:rPr>
        <w:t xml:space="preserve">2.</w:t>
      </w:r>
      <w:r>
        <w:rPr>
          <w:rFonts w:hint="default"/>
          <w:sz w:val="24"/>
          <w:szCs w:val="24"/>
          <w:highlight w:val="none"/>
        </w:rPr>
        <w:t xml:space="preserve">考核分数为 8</w:t>
      </w:r>
      <w:r>
        <w:rPr>
          <w:rFonts w:hint="eastAsia"/>
          <w:sz w:val="24"/>
          <w:szCs w:val="24"/>
          <w:highlight w:val="none"/>
          <w:lang w:val="en-US" w:eastAsia="zh-CN"/>
        </w:rPr>
        <w:t xml:space="preserve">5</w:t>
      </w:r>
      <w:r>
        <w:rPr>
          <w:rFonts w:hint="default"/>
          <w:sz w:val="24"/>
          <w:szCs w:val="24"/>
          <w:highlight w:val="none"/>
        </w:rPr>
        <w:t xml:space="preserve"> 分</w:t>
      </w:r>
      <w:r>
        <w:rPr>
          <w:rFonts w:hint="eastAsia"/>
          <w:sz w:val="24"/>
          <w:szCs w:val="24"/>
          <w:highlight w:val="none"/>
          <w:lang w:val="en-US" w:eastAsia="zh-CN"/>
        </w:rPr>
        <w:t xml:space="preserve">~</w:t>
      </w:r>
      <w:r>
        <w:rPr>
          <w:rFonts w:hint="default"/>
          <w:sz w:val="24"/>
          <w:szCs w:val="24"/>
          <w:highlight w:val="none"/>
        </w:rPr>
        <w:t xml:space="preserve">89 分（含89分），</w:t>
      </w:r>
      <w:r>
        <w:rPr>
          <w:rFonts w:hint="eastAsia"/>
          <w:sz w:val="24"/>
          <w:szCs w:val="24"/>
          <w:highlight w:val="none"/>
          <w:lang w:eastAsia="zh-CN"/>
        </w:rPr>
        <w:t xml:space="preserve">付费比例为</w:t>
      </w:r>
      <w:r>
        <w:rPr>
          <w:rFonts w:hint="eastAsia"/>
          <w:sz w:val="24"/>
          <w:szCs w:val="24"/>
          <w:highlight w:val="none"/>
          <w:lang w:val="en-US" w:eastAsia="zh-CN"/>
        </w:rPr>
        <w:t xml:space="preserve">90%</w:t>
      </w:r>
      <w:r>
        <w:rPr>
          <w:rFonts w:hint="default"/>
          <w:sz w:val="24"/>
          <w:szCs w:val="24"/>
          <w:highlight w:val="none"/>
        </w:rPr>
        <w:t xml:space="preserve">，考核结果为良</w:t>
      </w:r>
      <w:r>
        <w:rPr>
          <w:rFonts w:hint="eastAsia"/>
          <w:sz w:val="24"/>
          <w:szCs w:val="24"/>
          <w:highlight w:val="none"/>
          <w:lang w:eastAsia="zh-CN"/>
        </w:rPr>
        <w:t xml:space="preserve">好</w:t>
      </w:r>
      <w:r>
        <w:rPr>
          <w:rFonts w:hint="default"/>
          <w:sz w:val="24"/>
          <w:szCs w:val="24"/>
          <w:highlight w:val="none"/>
        </w:rPr>
        <w:t xml:space="preserve">；</w:t>
      </w:r>
      <w:r/>
    </w:p>
    <w:p>
      <w:pPr>
        <w:ind w:firstLine="480"/>
        <w:keepLines w:val="0"/>
        <w:keepNext w:val="0"/>
        <w:pageBreakBefore w:val="0"/>
        <w:spacing w:line="360" w:lineRule="auto"/>
        <w:widowControl w:val="off"/>
        <w:rPr>
          <w:rFonts w:hint="default"/>
          <w:sz w:val="24"/>
          <w:szCs w:val="24"/>
          <w:highlight w:val="none"/>
        </w:rPr>
      </w:pPr>
      <w:r>
        <w:rPr>
          <w:rFonts w:hint="eastAsia"/>
          <w:sz w:val="24"/>
          <w:szCs w:val="24"/>
          <w:highlight w:val="none"/>
          <w:lang w:val="en-US" w:eastAsia="zh-CN"/>
        </w:rPr>
        <w:t xml:space="preserve">3.</w:t>
      </w:r>
      <w:r>
        <w:rPr>
          <w:rFonts w:hint="default"/>
          <w:sz w:val="24"/>
          <w:szCs w:val="24"/>
          <w:highlight w:val="none"/>
        </w:rPr>
        <w:t xml:space="preserve">考核分数为</w:t>
      </w:r>
      <w:r>
        <w:rPr>
          <w:rFonts w:hint="eastAsia"/>
          <w:sz w:val="24"/>
          <w:szCs w:val="24"/>
          <w:highlight w:val="none"/>
          <w:lang w:val="en-US" w:eastAsia="zh-CN"/>
        </w:rPr>
        <w:t xml:space="preserve">80</w:t>
      </w:r>
      <w:r>
        <w:rPr>
          <w:rFonts w:hint="default"/>
          <w:sz w:val="24"/>
          <w:szCs w:val="24"/>
          <w:highlight w:val="none"/>
        </w:rPr>
        <w:t xml:space="preserve"> 分</w:t>
      </w:r>
      <w:r>
        <w:rPr>
          <w:rFonts w:hint="eastAsia"/>
          <w:sz w:val="24"/>
          <w:szCs w:val="24"/>
          <w:highlight w:val="none"/>
          <w:lang w:val="en-US" w:eastAsia="zh-CN"/>
        </w:rPr>
        <w:t xml:space="preserve">~85</w:t>
      </w:r>
      <w:r>
        <w:rPr>
          <w:rFonts w:hint="default"/>
          <w:sz w:val="24"/>
          <w:szCs w:val="24"/>
          <w:highlight w:val="none"/>
        </w:rPr>
        <w:t xml:space="preserve">分（</w:t>
      </w:r>
      <w:r>
        <w:rPr>
          <w:rFonts w:hint="eastAsia"/>
          <w:sz w:val="24"/>
          <w:szCs w:val="24"/>
          <w:highlight w:val="none"/>
          <w:lang w:eastAsia="zh-CN"/>
        </w:rPr>
        <w:t xml:space="preserve">不</w:t>
      </w:r>
      <w:r>
        <w:rPr>
          <w:rFonts w:hint="default"/>
          <w:sz w:val="24"/>
          <w:szCs w:val="24"/>
          <w:highlight w:val="none"/>
        </w:rPr>
        <w:t xml:space="preserve">含</w:t>
      </w:r>
      <w:r>
        <w:rPr>
          <w:rFonts w:hint="eastAsia"/>
          <w:sz w:val="24"/>
          <w:szCs w:val="24"/>
          <w:highlight w:val="none"/>
          <w:lang w:val="en-US" w:eastAsia="zh-CN"/>
        </w:rPr>
        <w:t xml:space="preserve">85</w:t>
      </w:r>
      <w:r>
        <w:rPr>
          <w:rFonts w:hint="default"/>
          <w:sz w:val="24"/>
          <w:szCs w:val="24"/>
          <w:highlight w:val="none"/>
        </w:rPr>
        <w:t xml:space="preserve">分），</w:t>
      </w:r>
      <w:r>
        <w:rPr>
          <w:rFonts w:hint="eastAsia"/>
          <w:sz w:val="24"/>
          <w:szCs w:val="24"/>
          <w:highlight w:val="none"/>
          <w:lang w:eastAsia="zh-CN"/>
        </w:rPr>
        <w:t xml:space="preserve">付费比例为</w:t>
      </w:r>
      <w:r>
        <w:rPr>
          <w:rFonts w:hint="eastAsia"/>
          <w:sz w:val="24"/>
          <w:szCs w:val="24"/>
          <w:highlight w:val="none"/>
          <w:lang w:val="en-US" w:eastAsia="zh-CN"/>
        </w:rPr>
        <w:t xml:space="preserve">80%</w:t>
      </w:r>
      <w:r>
        <w:rPr>
          <w:rFonts w:hint="default"/>
          <w:sz w:val="24"/>
          <w:szCs w:val="24"/>
          <w:highlight w:val="none"/>
        </w:rPr>
        <w:t xml:space="preserve">，考核结果为合格；</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4.</w:t>
      </w:r>
      <w:r>
        <w:rPr>
          <w:rFonts w:hint="eastAsia"/>
          <w:sz w:val="24"/>
          <w:szCs w:val="24"/>
          <w:highlight w:val="none"/>
          <w:lang w:eastAsia="zh-CN"/>
        </w:rPr>
        <w:t xml:space="preserve">连续三个月考核分数为</w:t>
      </w:r>
      <w:r>
        <w:rPr>
          <w:rFonts w:hint="eastAsia"/>
          <w:sz w:val="24"/>
          <w:szCs w:val="24"/>
          <w:highlight w:val="none"/>
          <w:lang w:val="en-US" w:eastAsia="zh-CN"/>
        </w:rPr>
        <w:t xml:space="preserve">80分以下，采购人有权中止协议。</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10.4</w:t>
      </w:r>
      <w:r>
        <w:rPr>
          <w:rFonts w:hint="default"/>
          <w:sz w:val="24"/>
          <w:szCs w:val="24"/>
          <w:highlight w:val="none"/>
          <w:lang w:val="en-US" w:eastAsia="zh-CN"/>
        </w:rPr>
        <w:t xml:space="preserve">考核评分标准</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附件1.保洁质量考核要求（考核总分值100分）</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附件2.工程维修服务质量考核要求（考核总分值100分）</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附件3.安保服务质量考核要求（考核总分值100分）</w:t>
      </w:r>
      <w:r/>
    </w:p>
    <w:p>
      <w:pPr>
        <w:pStyle w:val="839"/>
        <w:ind w:left="0" w:firstLine="0"/>
        <w:rPr>
          <w:rFonts w:hint="eastAsia" w:cs="宋体"/>
          <w:b/>
          <w:color w:val="000000"/>
          <w:sz w:val="28"/>
          <w:szCs w:val="28"/>
          <w:highlight w:val="none"/>
          <w:lang w:val="en-US" w:eastAsia="zh-CN"/>
        </w:rPr>
      </w:pPr>
      <w:r>
        <w:rPr>
          <w:rFonts w:hint="eastAsia" w:cs="宋体"/>
          <w:b/>
          <w:color w:val="000000"/>
          <w:sz w:val="28"/>
          <w:szCs w:val="28"/>
          <w:highlight w:val="none"/>
          <w:lang w:val="en-US" w:eastAsia="zh-CN"/>
        </w:rPr>
      </w:r>
      <w:r/>
    </w:p>
    <w:p>
      <w:pPr>
        <w:pStyle w:val="839"/>
        <w:ind w:left="0" w:firstLine="0"/>
        <w:rPr>
          <w:rFonts w:hint="eastAsia" w:cs="宋体"/>
          <w:b/>
          <w:color w:val="000000"/>
          <w:sz w:val="28"/>
          <w:szCs w:val="28"/>
          <w:highlight w:val="none"/>
          <w:lang w:val="en-US" w:eastAsia="zh-CN"/>
        </w:rPr>
      </w:pPr>
      <w:r>
        <w:rPr>
          <w:rFonts w:hint="eastAsia" w:cs="宋体"/>
          <w:b/>
          <w:color w:val="000000"/>
          <w:sz w:val="28"/>
          <w:szCs w:val="28"/>
          <w:highlight w:val="none"/>
          <w:lang w:val="en-US" w:eastAsia="zh-CN"/>
        </w:rPr>
      </w:r>
      <w:r/>
    </w:p>
    <w:p>
      <w:pPr>
        <w:pStyle w:val="839"/>
        <w:ind w:left="0" w:firstLine="0"/>
        <w:rPr>
          <w:rFonts w:hint="eastAsia" w:cs="宋体"/>
          <w:b/>
          <w:color w:val="000000"/>
          <w:sz w:val="28"/>
          <w:szCs w:val="28"/>
          <w:highlight w:val="none"/>
          <w:lang w:val="en-US" w:eastAsia="zh-CN"/>
        </w:rPr>
      </w:pPr>
      <w:r>
        <w:rPr>
          <w:rFonts w:hint="eastAsia" w:cs="宋体"/>
          <w:b/>
          <w:color w:val="000000"/>
          <w:sz w:val="28"/>
          <w:szCs w:val="28"/>
          <w:highlight w:val="none"/>
          <w:lang w:val="en-US" w:eastAsia="zh-CN"/>
        </w:rPr>
      </w:r>
      <w:r/>
    </w:p>
    <w:p>
      <w:pPr>
        <w:pStyle w:val="839"/>
        <w:ind w:left="0" w:firstLine="0"/>
        <w:rPr>
          <w:rFonts w:hint="default" w:cs="宋体"/>
          <w:b/>
          <w:color w:val="000000"/>
          <w:sz w:val="28"/>
          <w:szCs w:val="28"/>
          <w:highlight w:val="none"/>
          <w:lang w:val="en-US" w:eastAsia="zh-CN"/>
        </w:rPr>
      </w:pPr>
      <w:r>
        <w:rPr>
          <w:rFonts w:hint="eastAsia" w:cs="宋体"/>
          <w:b/>
          <w:color w:val="000000"/>
          <w:sz w:val="28"/>
          <w:szCs w:val="28"/>
          <w:highlight w:val="none"/>
          <w:lang w:val="en-US" w:eastAsia="zh-CN"/>
        </w:rPr>
        <w:t xml:space="preserve">附件1：</w:t>
      </w:r>
      <w:r/>
    </w:p>
    <w:p>
      <w:pPr>
        <w:pStyle w:val="861"/>
        <w:ind w:firstLine="0"/>
        <w:jc w:val="center"/>
        <w:spacing w:line="520" w:lineRule="exact"/>
        <w:rPr>
          <w:rFonts w:hint="eastAsia" w:ascii="方正黑体_GBK" w:hAnsi="方正黑体_GBK" w:eastAsia="方正黑体_GBK" w:cs="方正黑体_GBK"/>
          <w:b w:val="0"/>
          <w:bCs/>
          <w:color w:val="000000"/>
          <w:sz w:val="32"/>
          <w:szCs w:val="32"/>
          <w:highlight w:val="none"/>
          <w:shd w:val="clear" w:color="auto" w:fill="ffffff"/>
        </w:rPr>
      </w:pPr>
      <w:r>
        <w:rPr>
          <w:rFonts w:hint="eastAsia" w:asciiTheme="minorEastAsia" w:hAnsiTheme="minorEastAsia" w:eastAsiaTheme="minorEastAsia" w:cstheme="minorEastAsia"/>
          <w:b/>
          <w:bCs w:val="0"/>
          <w:color w:val="000000"/>
          <w:sz w:val="32"/>
          <w:szCs w:val="32"/>
          <w:highlight w:val="none"/>
          <w:u w:val="single"/>
          <w:shd w:val="clear" w:color="auto" w:fill="ffffff"/>
          <w:lang w:val="en-US" w:eastAsia="zh-CN"/>
        </w:rPr>
        <w:t xml:space="preserve">     月</w:t>
      </w:r>
      <w:r>
        <w:rPr>
          <w:rFonts w:hint="eastAsia" w:asciiTheme="minorEastAsia" w:hAnsiTheme="minorEastAsia" w:eastAsiaTheme="minorEastAsia" w:cstheme="minorEastAsia"/>
          <w:b/>
          <w:bCs w:val="0"/>
          <w:color w:val="000000"/>
          <w:sz w:val="32"/>
          <w:szCs w:val="32"/>
          <w:highlight w:val="none"/>
          <w:shd w:val="clear" w:color="auto" w:fill="ffffff"/>
        </w:rPr>
        <w:t xml:space="preserve">保洁质量考核要求（考核总分值100分）</w:t>
      </w:r>
      <w:r/>
    </w:p>
    <w:tbl>
      <w:tblPr>
        <w:tblStyle w:val="66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037"/>
        <w:gridCol w:w="3537"/>
        <w:gridCol w:w="639"/>
        <w:gridCol w:w="1448"/>
        <w:gridCol w:w="1316"/>
      </w:tblGrid>
      <w:tr>
        <w:trPr>
          <w:jc w:val="center"/>
          <w:trHeight w:val="495"/>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序号</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项目</w:t>
            </w:r>
            <w:r/>
          </w:p>
        </w:tc>
        <w:tc>
          <w:tcPr>
            <w:tcW w:w="35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考核标准</w:t>
            </w:r>
            <w:r/>
          </w:p>
        </w:tc>
        <w:tc>
          <w:tcPr>
            <w:tcW w:w="639"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分值</w:t>
            </w:r>
            <w:r/>
          </w:p>
        </w:tc>
        <w:tc>
          <w:tcPr>
            <w:tcW w:w="1448"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评分细则</w:t>
            </w:r>
            <w:r/>
          </w:p>
        </w:tc>
        <w:tc>
          <w:tcPr>
            <w:tcW w:w="1316"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eastAsia="zh-CN"/>
              </w:rPr>
            </w:pPr>
            <w:r>
              <w:rPr>
                <w:rFonts w:hint="eastAsia" w:asciiTheme="minorEastAsia" w:hAnsiTheme="minorEastAsia" w:eastAsiaTheme="minorEastAsia" w:cstheme="minorEastAsia"/>
                <w:b/>
                <w:color w:val="000000"/>
                <w:sz w:val="18"/>
                <w:szCs w:val="18"/>
                <w:highlight w:val="none"/>
                <w:lang w:eastAsia="zh-CN"/>
              </w:rPr>
              <w:t xml:space="preserve">扣分内容</w:t>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1</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现场服务满意度</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现场品质服务满意度调研整体分值达到90%。</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10</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低于90%，一个百分点扣除1分。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2</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服务流程有效性</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现场各业务服务流程保持动态维护优化，定期完善院内流程，保障现场服务流程充分满足现场要求。</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如果不符合，每发现一处扣 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3</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保洁作业要求</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使用专业保洁工具、专业保洁洗涤用品进行保洁作业，用专项保洁设备进行专项保洁；并且必须有专项保洁队伍，专业人员，具备专业素质，以保证做好医院设备、设施的清洁保养。</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如果不符合，每项扣 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1183"/>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4</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清洁责任制</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清洁卫生实行清洁责任制，区域划分清晰、严防卫生死角出现、实行符合医疗感染管理要求的标准化清洁服务。</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如果不符合，每发现一处无工单执行或责任人扣罚0.5分。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5</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规范化作业</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按规定要求配置不同区域的保洁工具，按消毒、隔离的要求清洗和放置保洁工具，对不同区域使用的抹布、拖布做明确的标识，使用后的抹布、拖布等清洁用具、用品用按规定比例配制的洗涤液进行清洗消毒。</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如果不符合，每发现一次扣0.5分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6</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保洁任务计划性</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结合数据中心任务工单反馈，现场周期工作（含专项）计划性完成程度保持90%。</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如果不符合，低于90%，每下降1%，扣 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7</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保洁覆盖要求</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保洁作业要有效实施无打扰式服务，诊室、医务办公室，上班前必须完成清洁作业。楼道、走廊、卫生间、会议室等公共区域每日全面清洁；日常对各区域巡回保洁、对大厅地面、柱面、墙面污渍污物及时清除。</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如果不符合，每发现一处扣 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restart"/>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eastAsia="zh-CN"/>
              </w:rPr>
            </w:pPr>
            <w:r>
              <w:rPr>
                <w:rFonts w:hint="eastAsia" w:asciiTheme="minorEastAsia" w:hAnsiTheme="minorEastAsia" w:eastAsiaTheme="minorEastAsia" w:cstheme="minorEastAsia"/>
                <w:b/>
                <w:color w:val="000000"/>
                <w:sz w:val="18"/>
                <w:szCs w:val="18"/>
                <w:highlight w:val="none"/>
                <w:lang w:val="en-US" w:eastAsia="zh-CN"/>
              </w:rPr>
              <w:t xml:space="preserve">8</w:t>
            </w:r>
            <w:r/>
          </w:p>
        </w:tc>
        <w:tc>
          <w:tcPr>
            <w:tcW w:w="1037" w:type="dxa"/>
            <w:vAlign w:val="center"/>
            <w:vMerge w:val="restart"/>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lang w:eastAsia="zh-CN"/>
              </w:rPr>
              <w:t xml:space="preserve">医疗垃圾、</w:t>
            </w:r>
            <w:r>
              <w:rPr>
                <w:rFonts w:hint="eastAsia" w:asciiTheme="minorEastAsia" w:hAnsiTheme="minorEastAsia" w:eastAsiaTheme="minorEastAsia" w:cstheme="minorEastAsia"/>
                <w:b/>
                <w:color w:val="000000"/>
                <w:sz w:val="18"/>
                <w:szCs w:val="18"/>
                <w:highlight w:val="none"/>
              </w:rPr>
              <w:t xml:space="preserve">生活垃圾运送规范</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（1）每日按照医院规定垃圾收集时间及频率到达所有部门、科室暂存点回收。</w:t>
            </w:r>
            <w:r/>
          </w:p>
        </w:tc>
        <w:tc>
          <w:tcPr>
            <w:tcW w:w="639" w:type="dxa"/>
            <w:vAlign w:val="center"/>
            <w:vMerge w:val="restart"/>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vMerge w:val="restart"/>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不符合标准一处扣0.5分。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1037"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lang w:eastAsia="zh-CN"/>
              </w:rPr>
            </w:pPr>
            <w:r>
              <w:rPr>
                <w:rFonts w:hint="eastAsia" w:asciiTheme="minorEastAsia" w:hAnsiTheme="minorEastAsia" w:eastAsiaTheme="minorEastAsia" w:cstheme="minorEastAsia"/>
                <w:color w:val="000000"/>
                <w:sz w:val="18"/>
                <w:szCs w:val="18"/>
                <w:highlight w:val="none"/>
              </w:rPr>
              <w:t xml:space="preserve">（2）按指定或专用路线运输，车辆不得与物体、墙壁、行人发生碰撞。</w:t>
            </w:r>
            <w:r>
              <w:rPr>
                <w:rFonts w:hint="eastAsia" w:asciiTheme="minorEastAsia" w:hAnsiTheme="minorEastAsia" w:eastAsiaTheme="minorEastAsia" w:cstheme="minorEastAsia"/>
                <w:color w:val="000000"/>
                <w:sz w:val="18"/>
                <w:szCs w:val="18"/>
                <w:highlight w:val="none"/>
                <w:lang w:eastAsia="zh-CN"/>
              </w:rPr>
              <w:t xml:space="preserve">使用专用转运工具并按规定消毒。</w:t>
            </w:r>
            <w:r/>
          </w:p>
        </w:tc>
        <w:tc>
          <w:tcPr>
            <w:tcW w:w="639" w:type="dxa"/>
            <w:vAlign w:val="center"/>
            <w:vMerge w:val="continue"/>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1448" w:type="dxa"/>
            <w:vAlign w:val="center"/>
            <w:vMerge w:val="continue"/>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1037"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（3）运输车辆须加盖，张贴生活垃圾标识，垃圾不得高出车箱体，运输途中无污物污水撒漏、丢弃等。</w:t>
            </w:r>
            <w:r/>
          </w:p>
        </w:tc>
        <w:tc>
          <w:tcPr>
            <w:tcW w:w="639" w:type="dxa"/>
            <w:vAlign w:val="center"/>
            <w:vMerge w:val="continue"/>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1448" w:type="dxa"/>
            <w:vAlign w:val="center"/>
            <w:vMerge w:val="continue"/>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bidi="ar-SA"/>
              </w:rPr>
            </w:pPr>
            <w:r>
              <w:rPr>
                <w:rFonts w:hint="eastAsia" w:asciiTheme="minorEastAsia" w:hAnsiTheme="minorEastAsia" w:eastAsiaTheme="minorEastAsia" w:cstheme="minorEastAsia"/>
                <w:b/>
                <w:color w:val="000000"/>
                <w:sz w:val="18"/>
                <w:szCs w:val="18"/>
                <w:highlight w:val="none"/>
              </w:rPr>
              <w:t xml:space="preserve">9</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垃圾处理</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院内各区域环卫设施完备，设有垃圾桶、垃圾篓、垃圾中转站，医用垃圾及生活垃圾袋有明显区别，并有明确的标识，垃圾移交填写“移交单”在运输中保持完整。</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如果不符合，每发现一处扣 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rPr>
            </w:pPr>
            <w:r>
              <w:rPr>
                <w:rFonts w:hint="eastAsia" w:asciiTheme="minorEastAsia" w:hAnsiTheme="minorEastAsia" w:eastAsiaTheme="minorEastAsia" w:cstheme="minorEastAsia"/>
                <w:b/>
                <w:color w:val="000000"/>
                <w:sz w:val="18"/>
                <w:szCs w:val="18"/>
                <w:highlight w:val="none"/>
                <w:lang w:val="en-US" w:eastAsia="zh-CN"/>
              </w:rPr>
              <w:t xml:space="preserve">10</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劳动纪律</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保洁员必须准时上岗、必须要用文明用语、工作时间不许聚堆唠家常、坚守岗位，不允许有迟到、早退、脱岗、窜层、漏岗现象。</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eastAsia="zh-CN"/>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如果有不符</w:t>
            </w:r>
            <w:r>
              <w:rPr>
                <w:rFonts w:hint="eastAsia" w:asciiTheme="minorEastAsia" w:hAnsiTheme="minorEastAsia" w:eastAsiaTheme="minorEastAsia" w:cstheme="minorEastAsia"/>
                <w:color w:val="000000"/>
                <w:sz w:val="18"/>
                <w:szCs w:val="18"/>
                <w:highlight w:val="none"/>
                <w:lang w:eastAsia="zh-CN"/>
              </w:rPr>
              <w:t xml:space="preserve">合要求</w:t>
            </w:r>
            <w:r>
              <w:rPr>
                <w:rFonts w:hint="eastAsia" w:asciiTheme="minorEastAsia" w:hAnsiTheme="minorEastAsia" w:eastAsiaTheme="minorEastAsia" w:cstheme="minorEastAsia"/>
                <w:color w:val="000000"/>
                <w:sz w:val="18"/>
                <w:szCs w:val="18"/>
                <w:highlight w:val="none"/>
              </w:rPr>
              <w:t xml:space="preserve">发现一次扣</w:t>
            </w:r>
            <w:r>
              <w:rPr>
                <w:rFonts w:hint="eastAsia" w:asciiTheme="minorEastAsia" w:hAnsiTheme="minorEastAsia" w:eastAsiaTheme="minorEastAsia" w:cstheme="minorEastAsia"/>
                <w:color w:val="000000"/>
                <w:sz w:val="18"/>
                <w:szCs w:val="18"/>
                <w:highlight w:val="none"/>
                <w:lang w:val="en-US" w:eastAsia="zh-CN"/>
              </w:rPr>
              <w:t xml:space="preserve">0.5</w:t>
            </w:r>
            <w:r>
              <w:rPr>
                <w:rFonts w:hint="eastAsia" w:asciiTheme="minorEastAsia" w:hAnsiTheme="minorEastAsia" w:eastAsiaTheme="minorEastAsia" w:cstheme="minorEastAsia"/>
                <w:color w:val="000000"/>
                <w:sz w:val="18"/>
                <w:szCs w:val="18"/>
                <w:highlight w:val="none"/>
              </w:rPr>
              <w:t xml:space="preserve">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restart"/>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eastAsia="zh-CN"/>
              </w:rPr>
            </w:pPr>
            <w:r>
              <w:rPr>
                <w:rFonts w:hint="eastAsia" w:asciiTheme="minorEastAsia" w:hAnsiTheme="minorEastAsia" w:eastAsiaTheme="minorEastAsia" w:cstheme="minorEastAsia"/>
                <w:b/>
                <w:color w:val="000000"/>
                <w:sz w:val="18"/>
                <w:szCs w:val="18"/>
                <w:highlight w:val="none"/>
              </w:rPr>
              <w:t xml:space="preserve">1</w:t>
            </w:r>
            <w:r>
              <w:rPr>
                <w:rFonts w:hint="eastAsia" w:asciiTheme="minorEastAsia" w:hAnsiTheme="minorEastAsia" w:eastAsiaTheme="minorEastAsia" w:cstheme="minorEastAsia"/>
                <w:b/>
                <w:color w:val="000000"/>
                <w:sz w:val="18"/>
                <w:szCs w:val="18"/>
                <w:highlight w:val="none"/>
                <w:lang w:val="en-US" w:eastAsia="zh-CN"/>
              </w:rPr>
              <w:t xml:space="preserve">1</w:t>
            </w:r>
            <w:r/>
          </w:p>
        </w:tc>
        <w:tc>
          <w:tcPr>
            <w:tcW w:w="1037" w:type="dxa"/>
            <w:vAlign w:val="center"/>
            <w:vMerge w:val="restart"/>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节约用水用电</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（1）保洁活动时避免耗水量大的冲洗法，如必须使用冲洗时，应采用间断冲洗，并使用节水型喷头，做到人走水关，杜绝长流水。</w:t>
            </w:r>
            <w:r/>
          </w:p>
        </w:tc>
        <w:tc>
          <w:tcPr>
            <w:tcW w:w="639" w:type="dxa"/>
            <w:vAlign w:val="center"/>
            <w:vMerge w:val="restart"/>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eastAsia="zh-CN"/>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vMerge w:val="restart"/>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不符合要求一次扣0.5分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bidi="ar-SA"/>
              </w:rPr>
            </w:pPr>
            <w:r>
              <w:rPr>
                <w:rFonts w:hint="eastAsia" w:asciiTheme="minorEastAsia" w:hAnsiTheme="minorEastAsia" w:eastAsiaTheme="minorEastAsia" w:cstheme="minorEastAsia"/>
                <w:b/>
                <w:color w:val="000000"/>
                <w:sz w:val="18"/>
                <w:szCs w:val="18"/>
                <w:highlight w:val="none"/>
                <w:lang w:val="en-US" w:eastAsia="zh-CN" w:bidi="ar-SA"/>
              </w:rPr>
            </w:r>
            <w:r/>
          </w:p>
        </w:tc>
        <w:tc>
          <w:tcPr>
            <w:tcW w:w="1037"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（2）做好病区、科室公共区域照明灯管理，无长明灯现象。</w:t>
            </w:r>
            <w:r/>
          </w:p>
        </w:tc>
        <w:tc>
          <w:tcPr>
            <w:tcW w:w="639" w:type="dxa"/>
            <w:vAlign w:val="center"/>
            <w:vMerge w:val="continue"/>
            <w:textDirection w:val="lrTb"/>
            <w:noWrap w:val="false"/>
          </w:tcPr>
          <w:p>
            <w:pPr>
              <w:jc w:val="cente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1448" w:type="dxa"/>
            <w:vAlign w:val="center"/>
            <w:vMerge w:val="continue"/>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bidi="ar-SA"/>
              </w:rPr>
            </w:pPr>
            <w:r>
              <w:rPr>
                <w:rFonts w:hint="eastAsia" w:asciiTheme="minorEastAsia" w:hAnsiTheme="minorEastAsia" w:eastAsiaTheme="minorEastAsia" w:cstheme="minorEastAsia"/>
                <w:b/>
                <w:color w:val="000000"/>
                <w:sz w:val="18"/>
                <w:szCs w:val="18"/>
                <w:highlight w:val="none"/>
              </w:rPr>
              <w:t xml:space="preserve">1</w:t>
            </w:r>
            <w:r>
              <w:rPr>
                <w:rFonts w:hint="eastAsia" w:asciiTheme="minorEastAsia" w:hAnsiTheme="minorEastAsia" w:eastAsiaTheme="minorEastAsia" w:cstheme="minorEastAsia"/>
                <w:b/>
                <w:color w:val="000000"/>
                <w:sz w:val="18"/>
                <w:szCs w:val="18"/>
                <w:highlight w:val="none"/>
                <w:lang w:val="en-US" w:eastAsia="zh-CN"/>
              </w:rPr>
              <w:t xml:space="preserve">2</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现场管理</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现场管理人员必须制定业务管理计划，针对重点区域及次重点区域分别制定检查计划并按期出具管理检查记录，管理中体现管理痕迹。</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eastAsia="zh-CN"/>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如发现无规划、无整改，无管理痕迹，发现一处扣0.5分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bidi="ar-SA"/>
              </w:rPr>
            </w:pPr>
            <w:r>
              <w:rPr>
                <w:rFonts w:hint="eastAsia" w:asciiTheme="minorEastAsia" w:hAnsiTheme="minorEastAsia" w:eastAsiaTheme="minorEastAsia" w:cstheme="minorEastAsia"/>
                <w:b/>
                <w:color w:val="000000"/>
                <w:sz w:val="18"/>
                <w:szCs w:val="18"/>
                <w:highlight w:val="none"/>
              </w:rPr>
              <w:t xml:space="preserve">1</w:t>
            </w:r>
            <w:r>
              <w:rPr>
                <w:rFonts w:hint="eastAsia" w:asciiTheme="minorEastAsia" w:hAnsiTheme="minorEastAsia" w:eastAsiaTheme="minorEastAsia" w:cstheme="minorEastAsia"/>
                <w:b/>
                <w:color w:val="000000"/>
                <w:sz w:val="18"/>
                <w:szCs w:val="18"/>
                <w:highlight w:val="none"/>
                <w:lang w:val="en-US" w:eastAsia="zh-CN"/>
              </w:rPr>
              <w:t xml:space="preserve">3</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数据管理</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现场管理数据保障随时备查，各区域巡视记录、消毒记录及满意度调研记录、人员入职及培训相关记录，随时可查。</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eastAsia="zh-CN"/>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不符合要求一次扣0.5分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rPr>
            </w:pPr>
            <w:r>
              <w:rPr>
                <w:rFonts w:hint="eastAsia" w:asciiTheme="minorEastAsia" w:hAnsiTheme="minorEastAsia" w:eastAsiaTheme="minorEastAsia" w:cstheme="minorEastAsia"/>
                <w:b/>
                <w:color w:val="000000"/>
                <w:sz w:val="18"/>
                <w:szCs w:val="18"/>
                <w:highlight w:val="none"/>
                <w:lang w:val="en-US" w:eastAsia="zh-CN"/>
              </w:rPr>
              <w:t xml:space="preserve">14</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应急响应</w:t>
            </w:r>
            <w:r/>
          </w:p>
        </w:tc>
        <w:tc>
          <w:tcPr>
            <w:tcW w:w="3537"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突发院内事件必须保障相关管理人员15分钟内到场开展应急处置工作，作业人员及设备20分钟内到达现场。</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eastAsia="zh-CN"/>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不符合要求一次扣0.5分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restart"/>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rPr>
            </w:pPr>
            <w:r>
              <w:rPr>
                <w:rFonts w:hint="eastAsia" w:asciiTheme="minorEastAsia" w:hAnsiTheme="minorEastAsia" w:eastAsiaTheme="minorEastAsia" w:cstheme="minorEastAsia"/>
                <w:b/>
                <w:color w:val="000000"/>
                <w:sz w:val="18"/>
                <w:szCs w:val="18"/>
                <w:highlight w:val="none"/>
                <w:lang w:val="en-US" w:eastAsia="zh-CN"/>
              </w:rPr>
              <w:t xml:space="preserve">15</w:t>
            </w:r>
            <w:r/>
          </w:p>
        </w:tc>
        <w:tc>
          <w:tcPr>
            <w:tcW w:w="1037" w:type="dxa"/>
            <w:vAlign w:val="center"/>
            <w:vMerge w:val="restart"/>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运送质量</w:t>
            </w:r>
            <w:r/>
          </w:p>
        </w:tc>
        <w:tc>
          <w:tcPr>
            <w:tcW w:w="3537" w:type="dxa"/>
            <w:vAlign w:val="center"/>
            <w:textDirection w:val="lrTb"/>
            <w:noWrap w:val="false"/>
          </w:tcPr>
          <w:p>
            <w:pPr>
              <w:spacing w:line="280" w:lineRule="exact"/>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rPr>
              <w:t xml:space="preserve">各项作业符合规范要求，建立应急预案。</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rPr>
              <w:t xml:space="preserve">不符合要求一次扣0.5分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1037"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3537" w:type="dxa"/>
            <w:vAlign w:val="center"/>
            <w:textDirection w:val="lrTb"/>
            <w:noWrap w:val="false"/>
          </w:tcPr>
          <w:p>
            <w:pPr>
              <w:spacing w:line="280" w:lineRule="exact"/>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rPr>
              <w:t xml:space="preserve">服从调度，满足应急需要，有效率100%。</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rPr>
              <w:t xml:space="preserve">不符合要求一次扣0.5分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20"/>
        </w:trPr>
        <w:tc>
          <w:tcPr>
            <w:tcW w:w="543"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1037" w:type="dxa"/>
            <w:vAlign w:val="center"/>
            <w:vMerge w:val="continue"/>
            <w:textDirection w:val="lrTb"/>
            <w:noWrap w:val="false"/>
          </w:tcPr>
          <w:p>
            <w:pPr>
              <w:jc w:val="center"/>
              <w:widowControl/>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3537" w:type="dxa"/>
            <w:vAlign w:val="center"/>
            <w:textDirection w:val="lrTb"/>
            <w:noWrap w:val="false"/>
          </w:tcPr>
          <w:p>
            <w:pPr>
              <w:spacing w:line="280" w:lineRule="exact"/>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rPr>
              <w:t xml:space="preserve">运送服务准确、及时，安全快捷，准确率100%，及时率98%（指接通知后15分钟内到位）紧急运送5分钟内到位。</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lang w:val="en-US" w:eastAsia="zh-CN"/>
              </w:rPr>
              <w:t xml:space="preserve">5</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lang w:val="en-US" w:eastAsia="zh-CN" w:bidi="ar-SA"/>
              </w:rPr>
            </w:pPr>
            <w:r>
              <w:rPr>
                <w:rFonts w:hint="eastAsia" w:asciiTheme="minorEastAsia" w:hAnsiTheme="minorEastAsia" w:eastAsiaTheme="minorEastAsia" w:cstheme="minorEastAsia"/>
                <w:color w:val="000000"/>
                <w:sz w:val="18"/>
                <w:szCs w:val="18"/>
                <w:highlight w:val="none"/>
              </w:rPr>
              <w:t xml:space="preserve">不符合要求一次扣0.5分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449"/>
        </w:trPr>
        <w:tc>
          <w:tcPr>
            <w:tcW w:w="543"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val="en-US" w:eastAsia="zh-CN"/>
              </w:rPr>
            </w:pPr>
            <w:r>
              <w:rPr>
                <w:rFonts w:hint="eastAsia" w:asciiTheme="minorEastAsia" w:hAnsiTheme="minorEastAsia" w:eastAsiaTheme="minorEastAsia" w:cstheme="minorEastAsia"/>
                <w:b/>
                <w:color w:val="000000"/>
                <w:sz w:val="18"/>
                <w:szCs w:val="18"/>
                <w:highlight w:val="none"/>
                <w:lang w:val="en-US" w:eastAsia="zh-CN"/>
              </w:rPr>
              <w:t xml:space="preserve">16</w:t>
            </w:r>
            <w:r/>
          </w:p>
        </w:tc>
        <w:tc>
          <w:tcPr>
            <w:tcW w:w="1037" w:type="dxa"/>
            <w:vAlign w:val="center"/>
            <w:textDirection w:val="lrTb"/>
            <w:noWrap w:val="false"/>
          </w:tcPr>
          <w:p>
            <w:pPr>
              <w:jc w:val="center"/>
              <w:widowControl/>
              <w:rPr>
                <w:rFonts w:hint="eastAsia" w:asciiTheme="minorEastAsia" w:hAnsiTheme="minorEastAsia" w:eastAsiaTheme="minorEastAsia" w:cstheme="minorEastAsia"/>
                <w:b/>
                <w:color w:val="000000"/>
                <w:sz w:val="18"/>
                <w:szCs w:val="18"/>
                <w:highlight w:val="none"/>
                <w:lang w:eastAsia="zh-CN"/>
              </w:rPr>
            </w:pPr>
            <w:r>
              <w:rPr>
                <w:rFonts w:hint="eastAsia" w:asciiTheme="minorEastAsia" w:hAnsiTheme="minorEastAsia" w:eastAsiaTheme="minorEastAsia" w:cstheme="minorEastAsia"/>
                <w:b/>
                <w:color w:val="000000"/>
                <w:sz w:val="18"/>
                <w:szCs w:val="18"/>
                <w:highlight w:val="none"/>
                <w:lang w:eastAsia="zh-CN"/>
              </w:rPr>
              <w:t xml:space="preserve">临时任务</w:t>
            </w:r>
            <w:r/>
          </w:p>
        </w:tc>
        <w:tc>
          <w:tcPr>
            <w:tcW w:w="3537" w:type="dxa"/>
            <w:vAlign w:val="center"/>
            <w:textDirection w:val="lrTb"/>
            <w:noWrap w:val="false"/>
          </w:tcPr>
          <w:p>
            <w:pPr>
              <w:spacing w:line="280" w:lineRule="exact"/>
              <w:rPr>
                <w:rFonts w:hint="eastAsia" w:asciiTheme="minorEastAsia" w:hAnsiTheme="minorEastAsia" w:eastAsiaTheme="minorEastAsia" w:cstheme="minorEastAsia"/>
                <w:color w:val="000000"/>
                <w:sz w:val="18"/>
                <w:szCs w:val="18"/>
                <w:highlight w:val="none"/>
                <w:lang w:eastAsia="zh-CN"/>
              </w:rPr>
            </w:pPr>
            <w:r>
              <w:rPr>
                <w:rFonts w:hint="eastAsia" w:asciiTheme="minorEastAsia" w:hAnsiTheme="minorEastAsia" w:eastAsiaTheme="minorEastAsia" w:cstheme="minorEastAsia"/>
                <w:color w:val="000000"/>
                <w:sz w:val="18"/>
                <w:szCs w:val="18"/>
                <w:highlight w:val="none"/>
                <w:lang w:eastAsia="zh-CN"/>
              </w:rPr>
              <w:t xml:space="preserve">临时性工作任务服从分配</w:t>
            </w:r>
            <w:r/>
          </w:p>
        </w:tc>
        <w:tc>
          <w:tcPr>
            <w:tcW w:w="639" w:type="dxa"/>
            <w:vAlign w:val="center"/>
            <w:textDirection w:val="lrTb"/>
            <w:noWrap w:val="false"/>
          </w:tcPr>
          <w:p>
            <w:pPr>
              <w:jc w:val="center"/>
              <w:widowControl/>
              <w:rPr>
                <w:rFonts w:hint="eastAsia" w:asciiTheme="minorEastAsia" w:hAnsiTheme="minorEastAsia" w:eastAsiaTheme="minorEastAsia" w:cstheme="minorEastAsia"/>
                <w:color w:val="000000"/>
                <w:sz w:val="18"/>
                <w:szCs w:val="18"/>
                <w:highlight w:val="none"/>
                <w:lang w:val="en-US" w:eastAsia="zh-CN"/>
              </w:rPr>
            </w:pPr>
            <w:r>
              <w:rPr>
                <w:rFonts w:hint="eastAsia" w:asciiTheme="minorEastAsia" w:hAnsiTheme="minorEastAsia" w:eastAsiaTheme="minorEastAsia" w:cstheme="minorEastAsia"/>
                <w:color w:val="000000"/>
                <w:sz w:val="18"/>
                <w:szCs w:val="18"/>
                <w:highlight w:val="none"/>
                <w:lang w:val="en-US" w:eastAsia="zh-CN"/>
              </w:rPr>
              <w:t xml:space="preserve">10</w:t>
            </w:r>
            <w:r/>
          </w:p>
        </w:tc>
        <w:tc>
          <w:tcPr>
            <w:tcW w:w="1448"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不符合要求一次扣0.5分</w:t>
            </w:r>
            <w:r/>
          </w:p>
        </w:tc>
        <w:tc>
          <w:tcPr>
            <w:tcW w:w="1316" w:type="dxa"/>
            <w:vAlign w:val="center"/>
            <w:textDirection w:val="lrTb"/>
            <w:noWrap w:val="false"/>
          </w:tcPr>
          <w:p>
            <w:pPr>
              <w:widowControl/>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449"/>
        </w:trPr>
        <w:tc>
          <w:tcPr>
            <w:tcW w:w="543"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17</w:t>
            </w:r>
            <w:r/>
          </w:p>
        </w:tc>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合计（100分）</w:t>
            </w:r>
            <w:r/>
          </w:p>
        </w:tc>
        <w:tc>
          <w:tcPr>
            <w:tcW w:w="35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639"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lang w:val="en-US" w:eastAsia="zh-CN"/>
              </w:rPr>
            </w:pPr>
            <w:r>
              <w:rPr>
                <w:rFonts w:hint="eastAsia" w:asciiTheme="minorEastAsia" w:hAnsiTheme="minorEastAsia" w:eastAsiaTheme="minorEastAsia" w:cstheme="minorEastAsia"/>
                <w:b/>
                <w:bCs/>
                <w:color w:val="000000"/>
                <w:sz w:val="18"/>
                <w:szCs w:val="18"/>
                <w:highlight w:val="none"/>
                <w:lang w:val="en-US" w:eastAsia="zh-CN"/>
              </w:rPr>
            </w:r>
            <w:r/>
          </w:p>
        </w:tc>
        <w:tc>
          <w:tcPr>
            <w:tcW w:w="1448"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1316"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r>
    </w:tbl>
    <w:p>
      <w:pPr>
        <w:pStyle w:val="861"/>
        <w:ind w:firstLine="320"/>
        <w:spacing w:line="520" w:lineRule="exact"/>
        <w:rPr>
          <w:rFonts w:hint="eastAsia" w:ascii="方正仿宋_GB18030" w:hAnsi="方正仿宋_GB18030" w:eastAsia="方正仿宋_GB18030" w:cs="方正仿宋_GB18030"/>
          <w:b w:val="0"/>
          <w:bCs/>
          <w:color w:val="000000"/>
          <w:sz w:val="32"/>
          <w:szCs w:val="32"/>
          <w:highlight w:val="none"/>
          <w:shd w:val="clear" w:color="auto" w:fill="ffffff"/>
          <w:lang w:val="en-US" w:eastAsia="zh-CN"/>
        </w:rPr>
      </w:pPr>
      <w:r>
        <w:rPr>
          <w:rFonts w:hint="eastAsia" w:ascii="方正仿宋_GB18030" w:hAnsi="方正仿宋_GB18030" w:eastAsia="方正仿宋_GB18030" w:cs="方正仿宋_GB18030"/>
          <w:b w:val="0"/>
          <w:bCs/>
          <w:color w:val="000000"/>
          <w:sz w:val="32"/>
          <w:szCs w:val="32"/>
          <w:highlight w:val="none"/>
          <w:shd w:val="clear" w:color="auto" w:fill="ffffff"/>
          <w:lang w:eastAsia="zh-CN"/>
        </w:rPr>
        <w:t xml:space="preserve">考核时间：</w:t>
      </w:r>
      <w:r>
        <w:rPr>
          <w:rFonts w:hint="eastAsia" w:ascii="方正仿宋_GB18030" w:hAnsi="方正仿宋_GB18030" w:eastAsia="方正仿宋_GB18030" w:cs="方正仿宋_GB18030"/>
          <w:b w:val="0"/>
          <w:bCs/>
          <w:color w:val="000000"/>
          <w:sz w:val="32"/>
          <w:szCs w:val="32"/>
          <w:highlight w:val="none"/>
          <w:shd w:val="clear" w:color="auto" w:fill="ffffff"/>
          <w:lang w:val="en-US" w:eastAsia="zh-CN"/>
        </w:rPr>
        <w:t xml:space="preserve">                考核人员：</w:t>
      </w:r>
      <w:r/>
    </w:p>
    <w:p>
      <w:pPr>
        <w:pStyle w:val="861"/>
        <w:ind w:firstLine="0"/>
        <w:jc w:val="center"/>
        <w:spacing w:line="520" w:lineRule="exact"/>
        <w:rPr>
          <w:rFonts w:hint="eastAsia" w:ascii="微软雅黑" w:hAnsi="微软雅黑" w:eastAsia="微软雅黑" w:cs="微软雅黑"/>
          <w:b/>
          <w:color w:val="000000"/>
          <w:sz w:val="18"/>
          <w:szCs w:val="18"/>
          <w:highlight w:val="none"/>
          <w:shd w:val="clear" w:color="auto" w:fill="ffffff"/>
          <w:lang w:eastAsia="zh-CN"/>
        </w:rPr>
      </w:pPr>
      <w:r>
        <w:rPr>
          <w:rFonts w:hint="eastAsia" w:ascii="微软雅黑" w:hAnsi="微软雅黑" w:eastAsia="微软雅黑" w:cs="微软雅黑"/>
          <w:b/>
          <w:color w:val="000000"/>
          <w:sz w:val="18"/>
          <w:szCs w:val="18"/>
          <w:highlight w:val="none"/>
          <w:shd w:val="clear" w:color="auto" w:fill="ffffff"/>
          <w:lang w:eastAsia="zh-CN"/>
        </w:rPr>
      </w:r>
      <w:r/>
    </w:p>
    <w:p>
      <w:pPr>
        <w:pStyle w:val="861"/>
        <w:ind w:left="0" w:firstLine="0"/>
        <w:rPr>
          <w:rFonts w:hint="eastAsia" w:ascii="Times New Roman" w:hAnsi="Times New Roman" w:eastAsia="方正仿宋_GBK" w:cs="Times New Roman"/>
          <w:color w:val="000000"/>
          <w:sz w:val="32"/>
          <w:szCs w:val="32"/>
          <w:highlight w:val="none"/>
          <w:lang w:eastAsia="zh-CN"/>
        </w:rPr>
      </w:pPr>
      <w:r>
        <w:rPr>
          <w:rFonts w:hint="eastAsia" w:ascii="Times New Roman" w:hAnsi="Times New Roman" w:eastAsia="方正仿宋_GBK" w:cs="Times New Roman"/>
          <w:color w:val="000000"/>
          <w:sz w:val="32"/>
          <w:szCs w:val="32"/>
          <w:highlight w:val="none"/>
          <w:lang w:eastAsia="zh-CN"/>
        </w:rPr>
      </w:r>
      <w:r/>
    </w:p>
    <w:p>
      <w:pPr>
        <w:pStyle w:val="861"/>
        <w:ind w:left="0" w:firstLine="0"/>
        <w:rPr>
          <w:rFonts w:hint="eastAsia" w:ascii="Times New Roman" w:hAnsi="Times New Roman" w:eastAsia="方正仿宋_GBK" w:cs="Times New Roman"/>
          <w:color w:val="000000"/>
          <w:sz w:val="32"/>
          <w:szCs w:val="32"/>
          <w:highlight w:val="none"/>
          <w:lang w:eastAsia="zh-CN"/>
        </w:rPr>
      </w:pPr>
      <w:r>
        <w:rPr>
          <w:rFonts w:hint="eastAsia" w:ascii="Times New Roman" w:hAnsi="Times New Roman" w:eastAsia="方正仿宋_GBK" w:cs="Times New Roman"/>
          <w:color w:val="000000"/>
          <w:sz w:val="32"/>
          <w:szCs w:val="32"/>
          <w:highlight w:val="none"/>
          <w:lang w:eastAsia="zh-CN"/>
        </w:rPr>
      </w:r>
      <w:r/>
    </w:p>
    <w:p>
      <w:pPr>
        <w:pStyle w:val="861"/>
        <w:ind w:left="0" w:firstLine="0"/>
        <w:rPr>
          <w:rFonts w:hint="eastAsia" w:ascii="Times New Roman" w:hAnsi="Times New Roman" w:eastAsia="方正仿宋_GBK" w:cs="Times New Roman"/>
          <w:color w:val="000000"/>
          <w:sz w:val="32"/>
          <w:szCs w:val="32"/>
          <w:highlight w:val="none"/>
          <w:lang w:eastAsia="zh-CN"/>
        </w:rPr>
      </w:pPr>
      <w:r>
        <w:rPr>
          <w:rFonts w:hint="eastAsia" w:ascii="Times New Roman" w:hAnsi="Times New Roman" w:eastAsia="方正仿宋_GBK" w:cs="Times New Roman"/>
          <w:color w:val="000000"/>
          <w:sz w:val="32"/>
          <w:szCs w:val="32"/>
          <w:highlight w:val="none"/>
          <w:lang w:eastAsia="zh-CN"/>
        </w:rPr>
      </w:r>
      <w:r/>
    </w:p>
    <w:p>
      <w:pPr>
        <w:pStyle w:val="861"/>
        <w:ind w:left="0" w:firstLine="0"/>
        <w:rPr>
          <w:rFonts w:hint="eastAsia" w:ascii="Times New Roman" w:hAnsi="Times New Roman" w:eastAsia="方正仿宋_GBK" w:cs="Times New Roman"/>
          <w:color w:val="000000"/>
          <w:sz w:val="32"/>
          <w:szCs w:val="32"/>
          <w:highlight w:val="none"/>
          <w:lang w:eastAsia="zh-CN"/>
        </w:rPr>
      </w:pPr>
      <w:r>
        <w:rPr>
          <w:rFonts w:hint="eastAsia" w:ascii="Times New Roman" w:hAnsi="Times New Roman" w:eastAsia="方正仿宋_GBK" w:cs="Times New Roman"/>
          <w:color w:val="000000"/>
          <w:sz w:val="32"/>
          <w:szCs w:val="32"/>
          <w:highlight w:val="none"/>
          <w:lang w:eastAsia="zh-CN"/>
        </w:rPr>
      </w:r>
      <w:r/>
    </w:p>
    <w:p>
      <w:pPr>
        <w:pStyle w:val="861"/>
        <w:ind w:left="0" w:firstLine="0"/>
        <w:rPr>
          <w:rFonts w:hint="eastAsia" w:ascii="Times New Roman" w:hAnsi="Times New Roman" w:eastAsia="方正仿宋_GBK" w:cs="Times New Roman"/>
          <w:color w:val="000000"/>
          <w:sz w:val="32"/>
          <w:szCs w:val="32"/>
          <w:highlight w:val="none"/>
          <w:lang w:eastAsia="zh-CN"/>
        </w:rPr>
      </w:pPr>
      <w:r>
        <w:rPr>
          <w:rFonts w:hint="eastAsia" w:ascii="Times New Roman" w:hAnsi="Times New Roman" w:eastAsia="方正仿宋_GBK" w:cs="Times New Roman"/>
          <w:color w:val="000000"/>
          <w:sz w:val="32"/>
          <w:szCs w:val="32"/>
          <w:highlight w:val="none"/>
          <w:lang w:eastAsia="zh-CN"/>
        </w:rPr>
      </w:r>
      <w:r/>
    </w:p>
    <w:p>
      <w:pPr>
        <w:pStyle w:val="861"/>
        <w:ind w:left="0" w:firstLine="0"/>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r>
      <w:r/>
    </w:p>
    <w:p>
      <w:pPr>
        <w:pStyle w:val="861"/>
        <w:ind w:left="0" w:firstLine="0"/>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r>
      <w:r/>
    </w:p>
    <w:p>
      <w:pPr>
        <w:pStyle w:val="861"/>
        <w:ind w:left="0" w:firstLine="0"/>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r>
      <w:r/>
    </w:p>
    <w:p>
      <w:pPr>
        <w:pStyle w:val="861"/>
        <w:ind w:left="0" w:firstLine="0"/>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r>
      <w:r/>
    </w:p>
    <w:p>
      <w:pPr>
        <w:pStyle w:val="861"/>
        <w:ind w:left="0" w:firstLine="0"/>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r>
      <w:r/>
    </w:p>
    <w:p>
      <w:pPr>
        <w:pStyle w:val="861"/>
        <w:ind w:left="0" w:firstLine="0"/>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r>
      <w:r/>
    </w:p>
    <w:p>
      <w:pPr>
        <w:pStyle w:val="861"/>
        <w:ind w:left="0" w:firstLine="0"/>
        <w:rPr>
          <w:rFonts w:hint="default" w:ascii="Times New Roman" w:hAnsi="Times New Roman" w:eastAsia="方正仿宋_GBK" w:cs="Times New Roman"/>
          <w:b/>
          <w:bCs/>
          <w:color w:val="000000"/>
          <w:sz w:val="32"/>
          <w:szCs w:val="32"/>
          <w:highlight w:val="none"/>
          <w:lang w:val="en-US" w:eastAsia="zh-CN"/>
        </w:rPr>
      </w:pPr>
      <w:r>
        <w:rPr>
          <w:rFonts w:hint="eastAsia" w:ascii="Times New Roman" w:hAnsi="Times New Roman" w:eastAsia="方正仿宋_GBK" w:cs="Times New Roman"/>
          <w:b/>
          <w:bCs/>
          <w:color w:val="000000"/>
          <w:sz w:val="32"/>
          <w:szCs w:val="32"/>
          <w:highlight w:val="none"/>
          <w:lang w:eastAsia="zh-CN"/>
        </w:rPr>
        <w:t xml:space="preserve">附件</w:t>
      </w:r>
      <w:r>
        <w:rPr>
          <w:rFonts w:hint="eastAsia" w:ascii="Times New Roman" w:hAnsi="Times New Roman" w:eastAsia="方正仿宋_GBK" w:cs="Times New Roman"/>
          <w:b/>
          <w:bCs/>
          <w:color w:val="000000"/>
          <w:sz w:val="32"/>
          <w:szCs w:val="32"/>
          <w:highlight w:val="none"/>
          <w:lang w:val="en-US" w:eastAsia="zh-CN"/>
        </w:rPr>
        <w:t xml:space="preserve">2：</w:t>
      </w:r>
      <w:r/>
    </w:p>
    <w:p>
      <w:pPr>
        <w:pStyle w:val="861"/>
        <w:ind w:firstLine="0"/>
        <w:jc w:val="center"/>
        <w:spacing w:line="520" w:lineRule="exact"/>
        <w:rPr>
          <w:rFonts w:hint="eastAsia" w:asciiTheme="minorEastAsia" w:hAnsiTheme="minorEastAsia" w:eastAsiaTheme="minorEastAsia" w:cstheme="minorEastAsia"/>
          <w:b/>
          <w:bCs w:val="0"/>
          <w:color w:val="000000"/>
          <w:sz w:val="32"/>
          <w:szCs w:val="32"/>
          <w:highlight w:val="none"/>
          <w:shd w:val="clear" w:color="auto" w:fill="ffffff"/>
        </w:rPr>
      </w:pPr>
      <w:r>
        <w:rPr>
          <w:rFonts w:hint="eastAsia" w:ascii="方正黑体_GBK" w:hAnsi="方正黑体_GBK" w:eastAsia="方正黑体_GBK" w:cs="方正黑体_GBK"/>
          <w:b w:val="0"/>
          <w:bCs/>
          <w:color w:val="000000"/>
          <w:sz w:val="32"/>
          <w:szCs w:val="32"/>
          <w:highlight w:val="none"/>
          <w:u w:val="single"/>
          <w:shd w:val="clear" w:color="auto" w:fill="ffffff"/>
          <w:lang w:val="en-US" w:eastAsia="zh-CN"/>
        </w:rPr>
        <w:t xml:space="preserve"> </w:t>
      </w:r>
      <w:r>
        <w:rPr>
          <w:rFonts w:hint="eastAsia" w:asciiTheme="minorEastAsia" w:hAnsiTheme="minorEastAsia" w:eastAsiaTheme="minorEastAsia" w:cstheme="minorEastAsia"/>
          <w:b/>
          <w:bCs w:val="0"/>
          <w:color w:val="000000"/>
          <w:sz w:val="32"/>
          <w:szCs w:val="32"/>
          <w:highlight w:val="none"/>
          <w:u w:val="single"/>
          <w:shd w:val="clear" w:color="auto" w:fill="ffffff"/>
          <w:lang w:val="en-US" w:eastAsia="zh-CN"/>
        </w:rPr>
        <w:t xml:space="preserve">    月</w:t>
      </w:r>
      <w:r>
        <w:rPr>
          <w:rFonts w:hint="eastAsia" w:asciiTheme="minorEastAsia" w:hAnsiTheme="minorEastAsia" w:eastAsiaTheme="minorEastAsia" w:cstheme="minorEastAsia"/>
          <w:b/>
          <w:bCs w:val="0"/>
          <w:color w:val="000000"/>
          <w:sz w:val="32"/>
          <w:szCs w:val="32"/>
          <w:highlight w:val="none"/>
          <w:shd w:val="clear" w:color="auto" w:fill="ffffff"/>
          <w:lang w:eastAsia="zh-CN"/>
        </w:rPr>
        <w:t xml:space="preserve">工程维修</w:t>
      </w:r>
      <w:r>
        <w:rPr>
          <w:rFonts w:hint="eastAsia" w:asciiTheme="minorEastAsia" w:hAnsiTheme="minorEastAsia" w:eastAsiaTheme="minorEastAsia" w:cstheme="minorEastAsia"/>
          <w:b/>
          <w:bCs w:val="0"/>
          <w:color w:val="000000"/>
          <w:sz w:val="32"/>
          <w:szCs w:val="32"/>
          <w:highlight w:val="none"/>
          <w:shd w:val="clear" w:color="auto" w:fill="ffffff"/>
        </w:rPr>
        <w:t xml:space="preserve">服务质量考核要求（考核总分值100分）</w:t>
      </w:r>
      <w:r/>
    </w:p>
    <w:tbl>
      <w:tblPr>
        <w:tblStyle w:val="662"/>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959"/>
        <w:gridCol w:w="2923"/>
        <w:gridCol w:w="810"/>
        <w:gridCol w:w="2580"/>
        <w:gridCol w:w="1025"/>
      </w:tblGrid>
      <w:tr>
        <w:trPr>
          <w:jc w:val="center"/>
        </w:trPr>
        <w:tc>
          <w:tcPr>
            <w:tcW w:w="634" w:type="dxa"/>
            <w:vAlign w:val="top"/>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序号</w:t>
            </w:r>
            <w:r/>
          </w:p>
        </w:tc>
        <w:tc>
          <w:tcPr>
            <w:tcW w:w="959" w:type="dxa"/>
            <w:vAlign w:val="top"/>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项目</w:t>
            </w:r>
            <w:r/>
          </w:p>
        </w:tc>
        <w:tc>
          <w:tcPr>
            <w:tcW w:w="2923" w:type="dxa"/>
            <w:vAlign w:val="top"/>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考核标准</w:t>
            </w:r>
            <w:r/>
          </w:p>
        </w:tc>
        <w:tc>
          <w:tcPr>
            <w:tcW w:w="810" w:type="dxa"/>
            <w:vAlign w:val="top"/>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分值</w:t>
            </w:r>
            <w:r/>
          </w:p>
        </w:tc>
        <w:tc>
          <w:tcPr>
            <w:tcW w:w="2580" w:type="dxa"/>
            <w:vAlign w:val="top"/>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评分细则</w:t>
            </w:r>
            <w:r/>
          </w:p>
        </w:tc>
        <w:tc>
          <w:tcPr>
            <w:tcW w:w="1025" w:type="dxa"/>
            <w:vAlign w:val="top"/>
            <w:textDirection w:val="lrTb"/>
            <w:noWrap w:val="false"/>
          </w:tcPr>
          <w:p>
            <w:pPr>
              <w:jc w:val="center"/>
              <w:spacing w:line="360" w:lineRule="auto"/>
              <w:rPr>
                <w:rFonts w:hint="eastAsia" w:asciiTheme="minorEastAsia" w:hAnsiTheme="minorEastAsia" w:eastAsiaTheme="minorEastAsia" w:cstheme="minorEastAsia"/>
                <w:b/>
                <w:bCs/>
                <w:color w:val="000000"/>
                <w:sz w:val="18"/>
                <w:szCs w:val="18"/>
                <w:highlight w:val="none"/>
                <w:lang w:eastAsia="zh-CN"/>
              </w:rPr>
            </w:pPr>
            <w:r>
              <w:rPr>
                <w:rFonts w:hint="eastAsia" w:asciiTheme="minorEastAsia" w:hAnsiTheme="minorEastAsia" w:eastAsiaTheme="minorEastAsia" w:cstheme="minorEastAsia"/>
                <w:b/>
                <w:bCs/>
                <w:color w:val="000000"/>
                <w:sz w:val="18"/>
                <w:szCs w:val="18"/>
                <w:highlight w:val="none"/>
                <w:lang w:eastAsia="zh-CN"/>
              </w:rPr>
              <w:t xml:space="preserve">扣分内容</w:t>
            </w:r>
            <w:r/>
          </w:p>
        </w:tc>
      </w:tr>
      <w:tr>
        <w:trPr>
          <w:jc w:val="center"/>
        </w:trPr>
        <w:tc>
          <w:tcPr>
            <w:tcW w:w="634" w:type="dxa"/>
            <w:vAlign w:val="center"/>
            <w:vMerge w:val="restart"/>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1</w:t>
            </w:r>
            <w:r/>
          </w:p>
        </w:tc>
        <w:tc>
          <w:tcPr>
            <w:tcW w:w="959" w:type="dxa"/>
            <w:vAlign w:val="center"/>
            <w:vMerge w:val="restart"/>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机电运维安全管理</w:t>
            </w:r>
            <w:r/>
          </w:p>
        </w:tc>
        <w:tc>
          <w:tcPr>
            <w:tcW w:w="2923"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机电运维管理不当造成人身伤亡责任事故数量＞0时该项得分为0（总分值为10分）</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每发生一次不得分</w:t>
            </w:r>
            <w:r/>
          </w:p>
        </w:tc>
        <w:tc>
          <w:tcPr>
            <w:tcW w:w="1025" w:type="dxa"/>
            <w:vAlign w:val="center"/>
            <w:textDirection w:val="lrTb"/>
            <w:noWrap w:val="false"/>
          </w:tcPr>
          <w:p>
            <w:pP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r>
            <w:r/>
          </w:p>
        </w:tc>
      </w:tr>
      <w:tr>
        <w:trPr>
          <w:jc w:val="center"/>
        </w:trPr>
        <w:tc>
          <w:tcPr>
            <w:tcW w:w="634"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959"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2923"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机电运维管理不当造成生产设备责任事故数量＞0时该项得分为0（总分值为10分）</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每发生一次不得分</w:t>
            </w:r>
            <w:r/>
          </w:p>
        </w:tc>
        <w:tc>
          <w:tcPr>
            <w:tcW w:w="1025" w:type="dxa"/>
            <w:vAlign w:val="center"/>
            <w:textDirection w:val="lrTb"/>
            <w:noWrap w:val="false"/>
          </w:tcPr>
          <w:p>
            <w:pP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r>
            <w:r/>
          </w:p>
        </w:tc>
      </w:tr>
      <w:tr>
        <w:trPr>
          <w:jc w:val="center"/>
        </w:trPr>
        <w:tc>
          <w:tcPr>
            <w:tcW w:w="634"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959"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2923"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机电运维管理不当造成火灾责任事故数量＞0时该项得分为0（总分值为10分）。</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每发生一次不得分</w:t>
            </w:r>
            <w:r/>
          </w:p>
        </w:tc>
        <w:tc>
          <w:tcPr>
            <w:tcW w:w="1025" w:type="dxa"/>
            <w:vAlign w:val="center"/>
            <w:textDirection w:val="lrTb"/>
            <w:noWrap w:val="false"/>
          </w:tcPr>
          <w:p>
            <w:pP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r>
            <w:r/>
          </w:p>
        </w:tc>
      </w:tr>
      <w:tr>
        <w:trPr>
          <w:jc w:val="center"/>
        </w:trPr>
        <w:tc>
          <w:tcPr>
            <w:tcW w:w="634"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959"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2923"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管理责任停电事故数量＞0时该项得分为0（总分值为10分）。</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每发生一次不得分</w:t>
            </w:r>
            <w:r/>
          </w:p>
        </w:tc>
        <w:tc>
          <w:tcPr>
            <w:tcW w:w="1025" w:type="dxa"/>
            <w:vAlign w:val="center"/>
            <w:textDirection w:val="lrTb"/>
            <w:noWrap w:val="false"/>
          </w:tcPr>
          <w:p>
            <w:pP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r>
            <w:r/>
          </w:p>
        </w:tc>
      </w:tr>
      <w:tr>
        <w:trPr>
          <w:jc w:val="center"/>
        </w:trPr>
        <w:tc>
          <w:tcPr>
            <w:tcW w:w="634"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959"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2923"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机电运维管理不当造成重大环保责任事故数量＞0时该项得分为0（总分值为10分）。</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每发生一次不得分</w:t>
            </w:r>
            <w:r/>
          </w:p>
        </w:tc>
        <w:tc>
          <w:tcPr>
            <w:tcW w:w="1025" w:type="dxa"/>
            <w:vAlign w:val="center"/>
            <w:textDirection w:val="lrTb"/>
            <w:noWrap w:val="false"/>
          </w:tcPr>
          <w:p>
            <w:pP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r>
            <w:r/>
          </w:p>
        </w:tc>
      </w:tr>
      <w:tr>
        <w:trPr>
          <w:jc w:val="center"/>
        </w:trPr>
        <w:tc>
          <w:tcPr>
            <w:tcW w:w="634"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2</w:t>
            </w:r>
            <w:r/>
          </w:p>
        </w:tc>
        <w:tc>
          <w:tcPr>
            <w:tcW w:w="959"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设备完好率</w:t>
            </w:r>
            <w:r/>
          </w:p>
        </w:tc>
        <w:tc>
          <w:tcPr>
            <w:tcW w:w="2923" w:type="dxa"/>
            <w:vAlign w:val="center"/>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设备完好率=（总设备数-无法使用设备数）/总设备数。</w:t>
            </w:r>
            <w:r/>
          </w:p>
        </w:tc>
        <w:tc>
          <w:tcPr>
            <w:tcW w:w="810"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设备完好率≥95％得10分，95%＞设备完好率≥90%得5分，设备完好率＜90%不得分</w:t>
            </w:r>
            <w:r/>
          </w:p>
        </w:tc>
        <w:tc>
          <w:tcPr>
            <w:tcW w:w="1025"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Pr>
        <w:tc>
          <w:tcPr>
            <w:tcW w:w="634"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3</w:t>
            </w:r>
            <w:r/>
          </w:p>
        </w:tc>
        <w:tc>
          <w:tcPr>
            <w:tcW w:w="959"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维修及时率</w:t>
            </w:r>
            <w:r/>
          </w:p>
        </w:tc>
        <w:tc>
          <w:tcPr>
            <w:tcW w:w="2923"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维修及时率=及时完成工单数/总工单数。</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维修及时率≥95％得10分，95%＞维修及时率≥90%得5分，维修及时率＜90%不得分</w:t>
            </w:r>
            <w:r/>
          </w:p>
        </w:tc>
        <w:tc>
          <w:tcPr>
            <w:tcW w:w="1025"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Pr>
        <w:tc>
          <w:tcPr>
            <w:tcW w:w="634"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4</w:t>
            </w:r>
            <w:r/>
          </w:p>
        </w:tc>
        <w:tc>
          <w:tcPr>
            <w:tcW w:w="959"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维修工程质量合格率</w:t>
            </w:r>
            <w:r/>
          </w:p>
        </w:tc>
        <w:tc>
          <w:tcPr>
            <w:tcW w:w="2923" w:type="dxa"/>
            <w:vAlign w:val="center"/>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维修工程质量合格率=合格工单数/总工单数。</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维修工程质量合格率≥99％得10分，99%＞维修工程质量合格率≥90%得5分，维修工程质量合格率＜90%不得分</w:t>
            </w:r>
            <w:r/>
          </w:p>
        </w:tc>
        <w:tc>
          <w:tcPr>
            <w:tcW w:w="1025"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Pr>
        <w:tc>
          <w:tcPr>
            <w:tcW w:w="634"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5</w:t>
            </w:r>
            <w:r/>
          </w:p>
        </w:tc>
        <w:tc>
          <w:tcPr>
            <w:tcW w:w="959"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人员培训合格率</w:t>
            </w:r>
            <w:r/>
          </w:p>
        </w:tc>
        <w:tc>
          <w:tcPr>
            <w:tcW w:w="2923" w:type="dxa"/>
            <w:vAlign w:val="center"/>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人员培训合格率=参与培训人员合格数/参与培训人员总数。</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5</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人员培训合格率≥99％得5分，99%＞人员培训合格率≥90%得3分，人员培训合格率＜90%不得分</w:t>
            </w:r>
            <w:r/>
          </w:p>
        </w:tc>
        <w:tc>
          <w:tcPr>
            <w:tcW w:w="1025"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944"/>
        </w:trPr>
        <w:tc>
          <w:tcPr>
            <w:tcW w:w="634"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6</w:t>
            </w:r>
            <w:r/>
          </w:p>
        </w:tc>
        <w:tc>
          <w:tcPr>
            <w:tcW w:w="959"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特殊工种持证上岗率</w:t>
            </w:r>
            <w:r/>
          </w:p>
        </w:tc>
        <w:tc>
          <w:tcPr>
            <w:tcW w:w="2923" w:type="dxa"/>
            <w:vAlign w:val="center"/>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持证上岗率=持证人数/需求特殊工种人员总数。</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5</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持证上岗率=100％得5分，100%＞持证上岗率≥90%得3分，持证上岗率＜90%不得分</w:t>
            </w:r>
            <w:r/>
          </w:p>
        </w:tc>
        <w:tc>
          <w:tcPr>
            <w:tcW w:w="1025"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Height w:val="1293"/>
        </w:trPr>
        <w:tc>
          <w:tcPr>
            <w:tcW w:w="634"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7</w:t>
            </w:r>
            <w:r/>
          </w:p>
        </w:tc>
        <w:tc>
          <w:tcPr>
            <w:tcW w:w="959"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工程服务满意度</w:t>
            </w:r>
            <w:r/>
          </w:p>
        </w:tc>
        <w:tc>
          <w:tcPr>
            <w:tcW w:w="2923" w:type="dxa"/>
            <w:vAlign w:val="center"/>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工程服务满意度=满意工单数/工单总数。</w:t>
            </w:r>
            <w:r/>
          </w:p>
        </w:tc>
        <w:tc>
          <w:tcPr>
            <w:tcW w:w="810" w:type="dxa"/>
            <w:vAlign w:val="center"/>
            <w:textDirection w:val="lrTb"/>
            <w:noWrap w:val="false"/>
          </w:tcPr>
          <w:p>
            <w:pPr>
              <w:jc w:val="center"/>
              <w:rPr>
                <w:rFonts w:hint="eastAsia" w:asciiTheme="minorEastAsia" w:hAnsiTheme="minorEastAsia" w:eastAsiaTheme="minorEastAsia" w:cstheme="minorEastAsia"/>
                <w:bCs/>
                <w:color w:val="000000"/>
                <w:sz w:val="18"/>
                <w:szCs w:val="18"/>
                <w:highlight w:val="none"/>
              </w:rPr>
            </w:pPr>
            <w:r>
              <w:rPr>
                <w:rFonts w:hint="eastAsia" w:asciiTheme="minorEastAsia" w:hAnsiTheme="minorEastAsia" w:eastAsiaTheme="minorEastAsia" w:cstheme="minorEastAsia"/>
                <w:bCs/>
                <w:color w:val="000000"/>
                <w:sz w:val="18"/>
                <w:szCs w:val="18"/>
                <w:highlight w:val="none"/>
              </w:rPr>
              <w:t xml:space="preserve">10</w:t>
            </w:r>
            <w:r/>
          </w:p>
        </w:tc>
        <w:tc>
          <w:tcPr>
            <w:tcW w:w="2580" w:type="dxa"/>
            <w:vAlign w:val="center"/>
            <w:textDirection w:val="lrTb"/>
            <w:noWrap w:val="false"/>
          </w:tcPr>
          <w:p>
            <w:pP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工程服务满意度≥90％得10分，90%＞工程服务满意度≥85%得5分，工程服务满意度＜85%不得分</w:t>
            </w:r>
            <w:r/>
          </w:p>
        </w:tc>
        <w:tc>
          <w:tcPr>
            <w:tcW w:w="1025"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jc w:val="center"/>
        </w:trPr>
        <w:tc>
          <w:tcPr>
            <w:tcW w:w="634"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8</w:t>
            </w:r>
            <w:r/>
          </w:p>
        </w:tc>
        <w:tc>
          <w:tcPr>
            <w:tcW w:w="959"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合计（）</w:t>
            </w:r>
            <w:r/>
          </w:p>
        </w:tc>
        <w:tc>
          <w:tcPr>
            <w:tcW w:w="2923" w:type="dxa"/>
            <w:vAlign w:val="center"/>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c>
          <w:tcPr>
            <w:tcW w:w="810"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t xml:space="preserve">100</w:t>
            </w:r>
            <w:r/>
          </w:p>
        </w:tc>
        <w:tc>
          <w:tcPr>
            <w:tcW w:w="2580"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c>
          <w:tcPr>
            <w:tcW w:w="1025" w:type="dxa"/>
            <w:vAlign w:val="center"/>
            <w:textDirection w:val="lrTb"/>
            <w:noWrap w:val="false"/>
          </w:tcPr>
          <w:p>
            <w:pPr>
              <w:jc w:val="center"/>
              <w:rPr>
                <w:rFonts w:hint="eastAsia" w:asciiTheme="minorEastAsia" w:hAnsiTheme="minorEastAsia" w:eastAsiaTheme="minorEastAsia" w:cstheme="minorEastAsia"/>
                <w:b/>
                <w:bCs/>
                <w:color w:val="000000"/>
                <w:sz w:val="18"/>
                <w:szCs w:val="18"/>
                <w:highlight w:val="none"/>
              </w:rPr>
            </w:pPr>
            <w:r>
              <w:rPr>
                <w:rFonts w:hint="eastAsia" w:asciiTheme="minorEastAsia" w:hAnsiTheme="minorEastAsia" w:eastAsiaTheme="minorEastAsia" w:cstheme="minorEastAsia"/>
                <w:b/>
                <w:bCs/>
                <w:color w:val="000000"/>
                <w:sz w:val="18"/>
                <w:szCs w:val="18"/>
                <w:highlight w:val="none"/>
              </w:rPr>
            </w:r>
            <w:r/>
          </w:p>
        </w:tc>
      </w:tr>
    </w:tbl>
    <w:p>
      <w:pPr>
        <w:pStyle w:val="861"/>
        <w:ind w:firstLine="320"/>
        <w:spacing w:line="520" w:lineRule="exact"/>
        <w:rPr>
          <w:rFonts w:hint="eastAsia" w:ascii="方正仿宋_GB18030" w:hAnsi="方正仿宋_GB18030" w:eastAsia="方正仿宋_GB18030" w:cs="方正仿宋_GB18030"/>
          <w:b w:val="0"/>
          <w:bCs/>
          <w:color w:val="000000"/>
          <w:sz w:val="32"/>
          <w:szCs w:val="32"/>
          <w:highlight w:val="none"/>
          <w:shd w:val="clear" w:color="auto" w:fill="ffffff"/>
          <w:lang w:val="en-US" w:eastAsia="zh-CN"/>
        </w:rPr>
      </w:pPr>
      <w:r>
        <w:rPr>
          <w:rFonts w:hint="eastAsia" w:ascii="方正仿宋_GB18030" w:hAnsi="方正仿宋_GB18030" w:eastAsia="方正仿宋_GB18030" w:cs="方正仿宋_GB18030"/>
          <w:b w:val="0"/>
          <w:bCs/>
          <w:color w:val="000000"/>
          <w:sz w:val="32"/>
          <w:szCs w:val="32"/>
          <w:highlight w:val="none"/>
          <w:shd w:val="clear" w:color="auto" w:fill="ffffff"/>
          <w:lang w:eastAsia="zh-CN"/>
        </w:rPr>
        <w:t xml:space="preserve">考核时间：</w:t>
      </w:r>
      <w:r>
        <w:rPr>
          <w:rFonts w:hint="eastAsia" w:ascii="方正仿宋_GB18030" w:hAnsi="方正仿宋_GB18030" w:eastAsia="方正仿宋_GB18030" w:cs="方正仿宋_GB18030"/>
          <w:b w:val="0"/>
          <w:bCs/>
          <w:color w:val="000000"/>
          <w:sz w:val="32"/>
          <w:szCs w:val="32"/>
          <w:highlight w:val="none"/>
          <w:shd w:val="clear" w:color="auto" w:fill="ffffff"/>
          <w:lang w:val="en-US" w:eastAsia="zh-CN"/>
        </w:rPr>
        <w:t xml:space="preserve">                考核人员：</w:t>
      </w:r>
      <w:r/>
    </w:p>
    <w:p>
      <w:pPr>
        <w:pStyle w:val="861"/>
        <w:ind w:left="0" w:firstLine="0"/>
        <w:rPr>
          <w:rFonts w:hint="eastAsia" w:ascii="Times New Roman" w:hAnsi="Times New Roman" w:eastAsia="方正仿宋_GBK" w:cs="Times New Roman"/>
          <w:b/>
          <w:bCs/>
          <w:color w:val="000000"/>
          <w:sz w:val="32"/>
          <w:szCs w:val="32"/>
          <w:highlight w:val="none"/>
          <w:lang w:eastAsia="zh-CN"/>
        </w:rPr>
      </w:pPr>
      <w:r>
        <w:rPr>
          <w:rFonts w:hint="eastAsia" w:ascii="Times New Roman" w:hAnsi="Times New Roman" w:eastAsia="方正仿宋_GBK" w:cs="Times New Roman"/>
          <w:b/>
          <w:bCs/>
          <w:color w:val="000000"/>
          <w:sz w:val="32"/>
          <w:szCs w:val="32"/>
          <w:highlight w:val="none"/>
          <w:lang w:eastAsia="zh-CN"/>
        </w:rPr>
      </w:r>
      <w:r/>
    </w:p>
    <w:p>
      <w:pPr>
        <w:pStyle w:val="861"/>
        <w:ind w:left="0" w:firstLine="0"/>
        <w:rPr>
          <w:rFonts w:hint="eastAsia" w:ascii="Times New Roman" w:hAnsi="Times New Roman" w:eastAsia="方正仿宋_GBK" w:cs="Times New Roman"/>
          <w:b/>
          <w:bCs/>
          <w:color w:val="000000"/>
          <w:sz w:val="32"/>
          <w:szCs w:val="32"/>
          <w:highlight w:val="none"/>
          <w:lang w:eastAsia="zh-CN"/>
        </w:rPr>
      </w:pPr>
      <w:r>
        <w:rPr>
          <w:rFonts w:hint="eastAsia" w:ascii="Times New Roman" w:hAnsi="Times New Roman" w:eastAsia="方正仿宋_GBK" w:cs="Times New Roman"/>
          <w:b/>
          <w:bCs/>
          <w:color w:val="000000"/>
          <w:sz w:val="32"/>
          <w:szCs w:val="32"/>
          <w:highlight w:val="none"/>
          <w:lang w:eastAsia="zh-CN"/>
        </w:rPr>
      </w:r>
      <w:r/>
    </w:p>
    <w:p>
      <w:pPr>
        <w:pStyle w:val="861"/>
        <w:ind w:left="0" w:firstLine="0"/>
        <w:rPr>
          <w:rFonts w:hint="eastAsia" w:ascii="Times New Roman" w:hAnsi="Times New Roman" w:eastAsia="方正仿宋_GBK" w:cs="Times New Roman"/>
          <w:b/>
          <w:bCs/>
          <w:color w:val="000000"/>
          <w:sz w:val="32"/>
          <w:szCs w:val="32"/>
          <w:highlight w:val="none"/>
          <w:lang w:eastAsia="zh-CN"/>
        </w:rPr>
      </w:pPr>
      <w:r>
        <w:rPr>
          <w:rFonts w:hint="eastAsia" w:ascii="Times New Roman" w:hAnsi="Times New Roman" w:eastAsia="方正仿宋_GBK" w:cs="Times New Roman"/>
          <w:b/>
          <w:bCs/>
          <w:color w:val="000000"/>
          <w:sz w:val="32"/>
          <w:szCs w:val="32"/>
          <w:highlight w:val="none"/>
          <w:lang w:eastAsia="zh-CN"/>
        </w:rPr>
      </w:r>
      <w:r/>
    </w:p>
    <w:p>
      <w:pPr>
        <w:pStyle w:val="861"/>
        <w:ind w:left="0" w:firstLine="0"/>
        <w:rPr>
          <w:rFonts w:hint="eastAsia" w:ascii="Times New Roman" w:hAnsi="Times New Roman" w:eastAsia="方正仿宋_GBK" w:cs="Times New Roman"/>
          <w:b/>
          <w:bCs/>
          <w:color w:val="000000"/>
          <w:sz w:val="32"/>
          <w:szCs w:val="32"/>
          <w:highlight w:val="none"/>
          <w:lang w:eastAsia="zh-CN"/>
        </w:rPr>
      </w:pPr>
      <w:r>
        <w:rPr>
          <w:rFonts w:hint="eastAsia" w:ascii="Times New Roman" w:hAnsi="Times New Roman" w:eastAsia="方正仿宋_GBK" w:cs="Times New Roman"/>
          <w:b/>
          <w:bCs/>
          <w:color w:val="000000"/>
          <w:sz w:val="32"/>
          <w:szCs w:val="32"/>
          <w:highlight w:val="none"/>
          <w:lang w:eastAsia="zh-CN"/>
        </w:rPr>
      </w:r>
      <w:r/>
    </w:p>
    <w:p>
      <w:pPr>
        <w:pStyle w:val="861"/>
        <w:ind w:left="0" w:firstLine="0"/>
        <w:rPr>
          <w:rFonts w:hint="eastAsia" w:ascii="Times New Roman" w:hAnsi="Times New Roman" w:eastAsia="方正仿宋_GBK" w:cs="Times New Roman"/>
          <w:b/>
          <w:bCs/>
          <w:color w:val="000000"/>
          <w:sz w:val="32"/>
          <w:szCs w:val="32"/>
          <w:highlight w:val="none"/>
          <w:lang w:eastAsia="zh-CN"/>
        </w:rPr>
      </w:pPr>
      <w:r>
        <w:rPr>
          <w:rFonts w:hint="eastAsia" w:ascii="Times New Roman" w:hAnsi="Times New Roman" w:eastAsia="方正仿宋_GBK" w:cs="Times New Roman"/>
          <w:b/>
          <w:bCs/>
          <w:color w:val="000000"/>
          <w:sz w:val="32"/>
          <w:szCs w:val="32"/>
          <w:highlight w:val="none"/>
          <w:lang w:eastAsia="zh-CN"/>
        </w:rPr>
      </w:r>
      <w:r/>
    </w:p>
    <w:p>
      <w:pPr>
        <w:pStyle w:val="861"/>
        <w:ind w:left="0" w:firstLine="0"/>
        <w:rPr>
          <w:rFonts w:hint="default" w:ascii="Times New Roman" w:hAnsi="Times New Roman" w:eastAsia="方正仿宋_GBK" w:cs="Times New Roman"/>
          <w:b/>
          <w:bCs/>
          <w:color w:val="000000"/>
          <w:sz w:val="32"/>
          <w:szCs w:val="32"/>
          <w:highlight w:val="none"/>
          <w:lang w:val="en-US" w:eastAsia="zh-CN"/>
        </w:rPr>
      </w:pPr>
      <w:r>
        <w:rPr>
          <w:rFonts w:hint="eastAsia" w:ascii="Times New Roman" w:hAnsi="Times New Roman" w:eastAsia="方正仿宋_GBK" w:cs="Times New Roman"/>
          <w:b/>
          <w:bCs/>
          <w:color w:val="000000"/>
          <w:sz w:val="32"/>
          <w:szCs w:val="32"/>
          <w:highlight w:val="none"/>
          <w:lang w:eastAsia="zh-CN"/>
        </w:rPr>
        <w:t xml:space="preserve">附件</w:t>
      </w:r>
      <w:r>
        <w:rPr>
          <w:rFonts w:hint="eastAsia" w:ascii="Times New Roman" w:hAnsi="Times New Roman" w:eastAsia="方正仿宋_GBK" w:cs="Times New Roman"/>
          <w:b/>
          <w:bCs/>
          <w:color w:val="000000"/>
          <w:sz w:val="32"/>
          <w:szCs w:val="32"/>
          <w:highlight w:val="none"/>
          <w:lang w:val="en-US" w:eastAsia="zh-CN"/>
        </w:rPr>
        <w:t xml:space="preserve">3：</w:t>
      </w:r>
      <w:r/>
    </w:p>
    <w:p>
      <w:pPr>
        <w:pStyle w:val="861"/>
        <w:ind w:firstLine="0"/>
        <w:jc w:val="center"/>
        <w:spacing w:line="520" w:lineRule="exact"/>
        <w:rPr>
          <w:rFonts w:hint="eastAsia" w:ascii="方正黑体_GBK" w:hAnsi="方正黑体_GBK" w:eastAsia="方正黑体_GBK" w:cs="方正黑体_GBK"/>
          <w:b w:val="0"/>
          <w:bCs/>
          <w:color w:val="000000"/>
          <w:sz w:val="32"/>
          <w:szCs w:val="32"/>
          <w:highlight w:val="none"/>
          <w:shd w:val="clear" w:color="auto" w:fill="ffffff"/>
          <w:lang w:eastAsia="zh-CN"/>
        </w:rPr>
      </w:pPr>
      <w:r>
        <w:rPr>
          <w:rFonts w:hint="eastAsia" w:asciiTheme="minorEastAsia" w:hAnsiTheme="minorEastAsia" w:eastAsiaTheme="minorEastAsia" w:cstheme="minorEastAsia"/>
          <w:b/>
          <w:bCs w:val="0"/>
          <w:color w:val="000000"/>
          <w:sz w:val="32"/>
          <w:szCs w:val="32"/>
          <w:highlight w:val="none"/>
          <w:u w:val="single"/>
          <w:shd w:val="clear" w:color="auto" w:fill="ffffff"/>
          <w:lang w:val="en-US" w:eastAsia="zh-CN"/>
        </w:rPr>
        <w:t xml:space="preserve">     月</w:t>
      </w:r>
      <w:r>
        <w:rPr>
          <w:rFonts w:hint="eastAsia" w:asciiTheme="minorEastAsia" w:hAnsiTheme="minorEastAsia" w:eastAsiaTheme="minorEastAsia" w:cstheme="minorEastAsia"/>
          <w:b/>
          <w:bCs w:val="0"/>
          <w:color w:val="000000"/>
          <w:sz w:val="32"/>
          <w:szCs w:val="32"/>
          <w:highlight w:val="none"/>
          <w:shd w:val="clear" w:color="auto" w:fill="ffffff"/>
          <w:lang w:eastAsia="zh-CN"/>
        </w:rPr>
        <w:t xml:space="preserve">安保服务质量考核要求（考核总分值100分</w:t>
      </w:r>
      <w:r>
        <w:rPr>
          <w:rFonts w:hint="eastAsia" w:ascii="方正黑体_GBK" w:hAnsi="方正黑体_GBK" w:eastAsia="方正黑体_GBK" w:cs="方正黑体_GBK"/>
          <w:b w:val="0"/>
          <w:bCs/>
          <w:color w:val="000000"/>
          <w:sz w:val="32"/>
          <w:szCs w:val="32"/>
          <w:highlight w:val="none"/>
          <w:shd w:val="clear" w:color="auto" w:fill="ffffff"/>
          <w:lang w:eastAsia="zh-CN"/>
        </w:rPr>
        <w:t xml:space="preserve">）</w:t>
      </w:r>
      <w:r/>
    </w:p>
    <w:tbl>
      <w:tblPr>
        <w:tblStyle w:val="662"/>
        <w:tblW w:w="10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53"/>
        <w:gridCol w:w="501"/>
        <w:gridCol w:w="3699"/>
        <w:gridCol w:w="425"/>
        <w:gridCol w:w="3960"/>
        <w:gridCol w:w="1476"/>
      </w:tblGrid>
      <w:tr>
        <w:trPr>
          <w:jc w:val="center"/>
          <w:trHeight w:val="97"/>
        </w:trPr>
        <w:tc>
          <w:tcPr>
            <w:tcMar>
              <w:left w:w="108" w:type="dxa"/>
              <w:right w:w="108" w:type="dxa"/>
            </w:tcMar>
            <w:tcW w:w="353" w:type="dxa"/>
            <w:vAlign w:val="center"/>
            <w:textDirection w:val="lrTb"/>
            <w:noWrap w:val="false"/>
          </w:tcPr>
          <w:p>
            <w:pPr>
              <w:ind w:right="-199"/>
              <w:jc w:val="both"/>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序号</w:t>
            </w:r>
            <w:r/>
          </w:p>
        </w:tc>
        <w:tc>
          <w:tcPr>
            <w:tcMar>
              <w:left w:w="108" w:type="dxa"/>
              <w:right w:w="108" w:type="dxa"/>
            </w:tcMar>
            <w:tcW w:w="501" w:type="dxa"/>
            <w:vAlign w:val="center"/>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项目</w:t>
            </w:r>
            <w:r/>
          </w:p>
        </w:tc>
        <w:tc>
          <w:tcPr>
            <w:tcMar>
              <w:left w:w="108" w:type="dxa"/>
              <w:right w:w="108" w:type="dxa"/>
            </w:tcMar>
            <w:tcW w:w="3699" w:type="dxa"/>
            <w:vAlign w:val="center"/>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考评标准</w:t>
            </w:r>
            <w:r/>
          </w:p>
        </w:tc>
        <w:tc>
          <w:tcPr>
            <w:tcW w:w="425" w:type="dxa"/>
            <w:vAlign w:val="top"/>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分值</w:t>
            </w:r>
            <w:r/>
          </w:p>
        </w:tc>
        <w:tc>
          <w:tcPr>
            <w:tcMar>
              <w:left w:w="108" w:type="dxa"/>
              <w:right w:w="108" w:type="dxa"/>
            </w:tcMar>
            <w:tcW w:w="3960" w:type="dxa"/>
            <w:vAlign w:val="center"/>
            <w:textDirection w:val="lrTb"/>
            <w:noWrap w:val="false"/>
          </w:tcPr>
          <w:p>
            <w:pPr>
              <w:ind w:right="-113"/>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t xml:space="preserve">评分细则</w:t>
            </w:r>
            <w:r/>
          </w:p>
        </w:tc>
        <w:tc>
          <w:tcPr>
            <w:tcMar>
              <w:left w:w="108" w:type="dxa"/>
              <w:right w:w="108" w:type="dxa"/>
            </w:tcMar>
            <w:tcW w:w="1476" w:type="dxa"/>
            <w:vAlign w:val="center"/>
            <w:textDirection w:val="lrTb"/>
            <w:noWrap w:val="false"/>
          </w:tcPr>
          <w:p>
            <w:pPr>
              <w:ind w:right="-113"/>
              <w:jc w:val="center"/>
              <w:rPr>
                <w:rFonts w:hint="eastAsia" w:asciiTheme="minorEastAsia" w:hAnsiTheme="minorEastAsia" w:eastAsiaTheme="minorEastAsia" w:cstheme="minorEastAsia"/>
                <w:b/>
                <w:color w:val="000000"/>
                <w:sz w:val="18"/>
                <w:szCs w:val="18"/>
                <w:highlight w:val="none"/>
                <w:lang w:eastAsia="zh-CN"/>
              </w:rPr>
            </w:pPr>
            <w:r>
              <w:rPr>
                <w:rFonts w:hint="eastAsia" w:asciiTheme="minorEastAsia" w:hAnsiTheme="minorEastAsia" w:eastAsiaTheme="minorEastAsia" w:cstheme="minorEastAsia"/>
                <w:b/>
                <w:color w:val="000000"/>
                <w:sz w:val="18"/>
                <w:szCs w:val="18"/>
                <w:highlight w:val="none"/>
                <w:lang w:eastAsia="zh-CN"/>
              </w:rPr>
              <w:t xml:space="preserve">考核内容</w:t>
            </w:r>
            <w:r/>
          </w:p>
        </w:tc>
      </w:tr>
      <w:tr>
        <w:trPr>
          <w:cantSplit/>
          <w:jc w:val="center"/>
          <w:trHeight w:val="97"/>
        </w:trPr>
        <w:tc>
          <w:tcPr>
            <w:tcMar>
              <w:left w:w="108" w:type="dxa"/>
              <w:right w:w="108" w:type="dxa"/>
            </w:tcMar>
            <w:tcW w:w="353" w:type="dxa"/>
            <w:vAlign w:val="center"/>
            <w:vMerge w:val="restart"/>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1</w:t>
            </w:r>
            <w:r/>
          </w:p>
        </w:tc>
        <w:tc>
          <w:tcPr>
            <w:tcMar>
              <w:left w:w="108" w:type="dxa"/>
              <w:right w:w="108" w:type="dxa"/>
            </w:tcMar>
            <w:tcW w:w="501" w:type="dxa"/>
            <w:vAlign w:val="center"/>
            <w:vMerge w:val="restart"/>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治安管理</w:t>
            </w:r>
            <w:r/>
          </w:p>
        </w:tc>
        <w:tc>
          <w:tcPr>
            <w:tcMar>
              <w:left w:w="108" w:type="dxa"/>
              <w:right w:w="108" w:type="dxa"/>
            </w:tcMar>
            <w:tcW w:w="3699"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⑴结合</w:t>
            </w:r>
            <w:r>
              <w:rPr>
                <w:rFonts w:hint="eastAsia" w:asciiTheme="minorEastAsia" w:hAnsiTheme="minorEastAsia" w:cstheme="minorEastAsia"/>
                <w:color w:val="000000"/>
                <w:sz w:val="18"/>
                <w:szCs w:val="18"/>
                <w:highlight w:val="none"/>
                <w:lang w:eastAsia="zh-CN"/>
              </w:rPr>
              <w:t xml:space="preserve">中心</w:t>
            </w:r>
            <w:r>
              <w:rPr>
                <w:rFonts w:hint="eastAsia" w:asciiTheme="minorEastAsia" w:hAnsiTheme="minorEastAsia" w:eastAsiaTheme="minorEastAsia" w:cstheme="minorEastAsia"/>
                <w:color w:val="000000"/>
                <w:sz w:val="18"/>
                <w:szCs w:val="18"/>
                <w:highlight w:val="none"/>
              </w:rPr>
              <w:t xml:space="preserve">特点制订安全防范措施及各项管理制度、规定、突发事件的应急措施、方案，并不断完善。医院无重大治安刑事案件发生，保持良好的医疗秩序。</w:t>
            </w:r>
            <w:r/>
          </w:p>
        </w:tc>
        <w:tc>
          <w:tcPr>
            <w:tcW w:w="425" w:type="dxa"/>
            <w:vAlign w:val="top"/>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10</w:t>
            </w:r>
            <w:r/>
          </w:p>
        </w:tc>
        <w:tc>
          <w:tcPr>
            <w:tcMar>
              <w:left w:w="108" w:type="dxa"/>
              <w:right w:w="108" w:type="dxa"/>
            </w:tcMar>
            <w:tcW w:w="3960"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制度、措施、方案不健全，每项扣0.1分，岗位管理不到位每次扣0.1分。最高扣分不超过该项目和内容的标准分值。</w:t>
            </w:r>
            <w:r/>
          </w:p>
        </w:tc>
        <w:tc>
          <w:tcPr>
            <w:tcMar>
              <w:left w:w="108" w:type="dxa"/>
              <w:right w:w="108" w:type="dxa"/>
            </w:tcMar>
            <w:tcW w:w="1476"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cantSplit/>
          <w:jc w:val="center"/>
          <w:trHeight w:val="2200"/>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⑵有专业保安队伍，实行24小时值班及巡逻制度；保安人员熟悉医院的环境，按规定着装和佩带装备，文明值勤，训练有素，机动灵活，言语规范，认真履行职责，不</w:t>
            </w:r>
            <w:r>
              <w:rPr>
                <w:rFonts w:hint="eastAsia" w:asciiTheme="minorEastAsia" w:hAnsiTheme="minorEastAsia" w:eastAsiaTheme="minorEastAsia" w:cstheme="minorEastAsia"/>
                <w:color w:val="000000"/>
                <w:sz w:val="18"/>
                <w:szCs w:val="18"/>
                <w:highlight w:val="none"/>
                <w:lang w:eastAsia="zh-CN"/>
              </w:rPr>
              <w:t xml:space="preserve">主动</w:t>
            </w:r>
            <w:r>
              <w:rPr>
                <w:rFonts w:hint="eastAsia" w:asciiTheme="minorEastAsia" w:hAnsiTheme="minorEastAsia" w:eastAsiaTheme="minorEastAsia" w:cstheme="minorEastAsia"/>
                <w:color w:val="000000"/>
                <w:sz w:val="18"/>
                <w:szCs w:val="18"/>
                <w:highlight w:val="none"/>
              </w:rPr>
              <w:t xml:space="preserve">与医院职工、患者及外来人员发生冲突。(包括车管员)。保安人数应按标书要求配备充足。</w:t>
            </w:r>
            <w:r/>
          </w:p>
        </w:tc>
        <w:tc>
          <w:tcPr>
            <w:tcW w:w="425" w:type="dxa"/>
            <w:vAlign w:val="top"/>
            <w:textDirection w:val="lrTb"/>
            <w:noWrap w:val="false"/>
          </w:tcPr>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p>
            <w:pPr>
              <w:jc w:val="cente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10</w:t>
            </w:r>
            <w:r/>
          </w:p>
        </w:tc>
        <w:tc>
          <w:tcPr>
            <w:tcMar>
              <w:left w:w="108" w:type="dxa"/>
              <w:right w:w="108" w:type="dxa"/>
            </w:tcMar>
            <w:tcW w:w="3960"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t xml:space="preserve">值班及巡逻记录不规范，每次扣0.1分，着装不整、不礼貌扣0.1分。对保安员投诉经查属实，每次扣0.1分，与他人发生冲突，扣0.1分，并追究责任。凡因为现场无人管理或管理不当，造成设施及建筑物(地面)损坏或人身伤害，一次扣0.1分。最高扣分不超过该项目和内容的标准分值。</w:t>
            </w:r>
            <w:r/>
          </w:p>
        </w:tc>
        <w:tc>
          <w:tcPr>
            <w:tcMar>
              <w:left w:w="108" w:type="dxa"/>
              <w:right w:w="108" w:type="dxa"/>
            </w:tcMar>
            <w:tcW w:w="1476" w:type="dxa"/>
            <w:vAlign w:val="center"/>
            <w:textDirection w:val="lrTb"/>
            <w:noWrap w:val="false"/>
          </w:tcPr>
          <w:p>
            <w:pPr>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rPr>
            </w:r>
            <w:r/>
          </w:p>
        </w:tc>
      </w:tr>
      <w:tr>
        <w:trPr>
          <w:cantSplit/>
          <w:jc w:val="center"/>
          <w:trHeight w:val="1157"/>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（3）做好重大活动、会议、接待的保卫工作，建立各级安全警戒方案确保安全稳定，并能圆满完成院方交代的其它任务。</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10</w:t>
            </w:r>
            <w:r/>
          </w:p>
        </w:tc>
        <w:tc>
          <w:tcPr>
            <w:tcMar>
              <w:left w:w="108" w:type="dxa"/>
              <w:right w:w="108" w:type="dxa"/>
            </w:tcMar>
            <w:tcW w:w="3960" w:type="dxa"/>
            <w:vAlign w:val="center"/>
            <w:textDirection w:val="lrTb"/>
            <w:noWrap w:val="false"/>
          </w:tcPr>
          <w:p>
            <w:pP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达不到安全要求，无安全工作方案每次(项)，扣0.1分，造成不良影响扣0.2分，最高扣分不超过该项目和内容的标准分值。</w:t>
            </w:r>
            <w:r/>
          </w:p>
        </w:tc>
        <w:tc>
          <w:tcPr>
            <w:tcMar>
              <w:left w:w="108" w:type="dxa"/>
              <w:right w:w="108" w:type="dxa"/>
            </w:tcMar>
            <w:tcW w:w="1476" w:type="dxa"/>
            <w:vAlign w:val="center"/>
            <w:textDirection w:val="lrTb"/>
            <w:noWrap w:val="false"/>
          </w:tcPr>
          <w:p>
            <w:pP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1879"/>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（4）定期组织安全教育，整改各类隐患，保护医院和病人财产安全和人身安全，及时制止和平息纠纷，并</w:t>
            </w:r>
            <w:r>
              <w:rPr>
                <w:rFonts w:hint="eastAsia" w:asciiTheme="minorEastAsia" w:hAnsiTheme="minorEastAsia" w:eastAsiaTheme="minorEastAsia" w:cstheme="minorEastAsia"/>
                <w:b w:val="0"/>
                <w:bCs w:val="0"/>
                <w:color w:val="000000"/>
                <w:sz w:val="18"/>
                <w:szCs w:val="18"/>
                <w:highlight w:val="none"/>
                <w:lang w:eastAsia="zh-CN"/>
              </w:rPr>
              <w:t xml:space="preserve">协助</w:t>
            </w:r>
            <w:r>
              <w:rPr>
                <w:rFonts w:hint="eastAsia" w:asciiTheme="minorEastAsia" w:hAnsiTheme="minorEastAsia" w:eastAsiaTheme="minorEastAsia" w:cstheme="minorEastAsia"/>
                <w:b w:val="0"/>
                <w:bCs w:val="0"/>
                <w:color w:val="000000"/>
                <w:sz w:val="18"/>
                <w:szCs w:val="18"/>
                <w:highlight w:val="none"/>
              </w:rPr>
              <w:t xml:space="preserve">做好打击“医托”工作。</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10</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保安员没有及时制止打劫、偷盗、辱骂、殴打医护人员及“医托”事件时，每次扣0.1分，接到与保安责任相关投诉属实，每次扣0.1分，情况严重的追究责任。发生内部人员自盗、扣0.5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929"/>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（5）无重大治安案件。</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10</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发生重大案件扣1分，一般案件超过一起扣0.2分。最高扣分不超过该项目和内容的标准分值。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1570"/>
        </w:trPr>
        <w:tc>
          <w:tcPr>
            <w:tcMar>
              <w:left w:w="108" w:type="dxa"/>
              <w:right w:w="108" w:type="dxa"/>
            </w:tcMar>
            <w:tcW w:w="353" w:type="dxa"/>
            <w:vAlign w:val="center"/>
            <w:vMerge w:val="restart"/>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2</w:t>
            </w:r>
            <w:r/>
          </w:p>
        </w:tc>
        <w:tc>
          <w:tcPr>
            <w:tcMar>
              <w:left w:w="108" w:type="dxa"/>
              <w:right w:w="108" w:type="dxa"/>
            </w:tcMar>
            <w:tcW w:w="501" w:type="dxa"/>
            <w:vAlign w:val="center"/>
            <w:vMerge w:val="restart"/>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交通管理</w:t>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(1)院停车场(地面、地下库)有专人管理，维护好停车秩序。</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10</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一项不符合，扣0.1分，不按标准收费、收费不给正规票据每发现一次扣0.1分，被客户投诉到</w:t>
            </w:r>
            <w:r>
              <w:rPr>
                <w:rFonts w:hint="eastAsia" w:asciiTheme="minorEastAsia" w:hAnsiTheme="minorEastAsia" w:eastAsiaTheme="minorEastAsia" w:cstheme="minorEastAsia"/>
                <w:b w:val="0"/>
                <w:bCs w:val="0"/>
                <w:color w:val="000000"/>
                <w:sz w:val="18"/>
                <w:szCs w:val="18"/>
                <w:highlight w:val="none"/>
                <w:lang w:eastAsia="zh-CN"/>
              </w:rPr>
              <w:t xml:space="preserve">上级相关部门</w:t>
            </w:r>
            <w:r>
              <w:rPr>
                <w:rFonts w:hint="eastAsia" w:asciiTheme="minorEastAsia" w:hAnsiTheme="minorEastAsia" w:eastAsiaTheme="minorEastAsia" w:cstheme="minorEastAsia"/>
                <w:b w:val="0"/>
                <w:bCs w:val="0"/>
                <w:color w:val="000000"/>
                <w:sz w:val="18"/>
                <w:szCs w:val="18"/>
                <w:highlight w:val="none"/>
              </w:rPr>
              <w:t xml:space="preserve">或媒体，扣0.2分，并追究相关人员责任。最高扣分不超过该项目和内容的标准分值。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97"/>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⑵非机动车辆集中停放，管理制度落实，停放整齐，场地整洁，确保安全，严防损坏丢失。</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5</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一项不符合，扣0.1分。最高扣分不超过该项目和内容的标准分值。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557"/>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⑶正确疏导进出医院各种车辆，泊车安全整齐，巡查提醒车主关好车窗、锁好车门防止发生车辆碰撞、被盗、堵塞通道，确保院内停车安全。</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5</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消防通道、及严禁停车的区段发现停车，每辆次扣0.1分，因指挥不利车辆逆行造成堵车，每次扣0.1分，发生车辆被碰、刮、撞及被盗等，扣0.1分。最高扣分不超过该项目和内容的标准分值。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97"/>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⑷严格执勤，维护收费秩序，无插队等不文明行为，机动灵活处理纠纷。</w:t>
            </w:r>
            <w:r>
              <w:rPr>
                <w:rFonts w:hint="eastAsia" w:asciiTheme="minorEastAsia" w:hAnsiTheme="minorEastAsia" w:eastAsiaTheme="minorEastAsia" w:cstheme="minorEastAsia"/>
                <w:b w:val="0"/>
                <w:bCs w:val="0"/>
                <w:color w:val="000000"/>
                <w:sz w:val="18"/>
                <w:szCs w:val="18"/>
                <w:highlight w:val="none"/>
                <w:lang w:eastAsia="zh-CN"/>
              </w:rPr>
              <w:t xml:space="preserve">避免</w:t>
            </w:r>
            <w:r>
              <w:rPr>
                <w:rFonts w:hint="eastAsia" w:asciiTheme="minorEastAsia" w:hAnsiTheme="minorEastAsia" w:eastAsiaTheme="minorEastAsia" w:cstheme="minorEastAsia"/>
                <w:b w:val="0"/>
                <w:bCs w:val="0"/>
                <w:color w:val="000000"/>
                <w:sz w:val="18"/>
                <w:szCs w:val="18"/>
                <w:highlight w:val="none"/>
              </w:rPr>
              <w:t xml:space="preserve">发生病人钱财及其他物品被盗。</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5</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因管理不力，收费、挂号处人员丢失物品。挂号秩序混乱，或因插队等不文明现象引发病人之间发生冲突，得不到及时制止(医患之间发生冲突)，影响正常秩序，均扣0.1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97"/>
        </w:trPr>
        <w:tc>
          <w:tcPr>
            <w:tcMar>
              <w:left w:w="108" w:type="dxa"/>
              <w:right w:w="108" w:type="dxa"/>
            </w:tcMar>
            <w:tcW w:w="353" w:type="dxa"/>
            <w:vAlign w:val="center"/>
            <w:vMerge w:val="restart"/>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3</w:t>
            </w:r>
            <w:r/>
          </w:p>
        </w:tc>
        <w:tc>
          <w:tcPr>
            <w:tcMar>
              <w:left w:w="108" w:type="dxa"/>
              <w:right w:w="108" w:type="dxa"/>
            </w:tcMar>
            <w:tcW w:w="501" w:type="dxa"/>
            <w:vAlign w:val="center"/>
            <w:vMerge w:val="restart"/>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消防管理</w:t>
            </w:r>
            <w:r/>
          </w:p>
        </w:tc>
        <w:tc>
          <w:tcPr>
            <w:tcMar>
              <w:left w:w="108" w:type="dxa"/>
              <w:right w:w="108" w:type="dxa"/>
            </w:tcMar>
            <w:tcW w:w="3699"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⑴组织开展消防法规及消防知识的宣传教育，明确各区域防火责任人。年度有消防培训计划、演练方案，有落实措施，并建立健全消防档案。</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3</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责任人不明确，一处扣0.1分，员工不了解安全防火应知应会，每人次扣0.1分。消防培训计划、方案、措施不全，扣0.1分。最高扣分不超过该项目和内容的标准分值。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2040"/>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⑵对全院的消防系统、器材，严格按规定进行检查，如实填写工作记录，工作制度、规定、程序健全、有各种险情应急方案，确保系统状态良好。消防控制中心24小时值班，消防系统技术状态符合安全要求。设施设备齐全，完好无损，可随时启用。</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5</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制度、应急方案不健全每项扣0.1分，记录不准确、检查不准时，均扣0.1分，值班人员不按规定履行职责，每次扣0.1分，因值班人员责任心不强导致故障点的产生、未发现故障点或不能排除故障点而产生消防隐患、损坏的器材没有及时向医院有关部门汇报并进行更换，每项扣0.1分，并追究责任。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97"/>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⑶管理人员必须持证上岗，掌握消防设施设备的使用方法并能及时处理各种问题。消防主管人员能正确果断处理各种火险、火灾以及协调指挥、救护、调度。</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3</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不符合每处扣0.1分，因人为原因发生火警(火险隐患)每处扣0.1分，发现无证上岗每人次，扣0.2分。消防管理员和主管人员不能正确履行职责的，扣0.2分。最高扣分不超过该项目和内容的标准分值。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97"/>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⑷有突发火灾的应急方案，有消防疏散示意图，确保照明设施、引路标志完好，紧急疏散通道畅通。</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3</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无应急方案，扣0.2分，违反各种消防设施不规范每项，扣0.1分。最高扣分不超过该项目和内容的标准分值。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cantSplit/>
          <w:jc w:val="center"/>
          <w:trHeight w:val="97"/>
        </w:trPr>
        <w:tc>
          <w:tcPr>
            <w:tcW w:w="353"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501" w:type="dxa"/>
            <w:vAlign w:val="center"/>
            <w:vMerge w:val="continue"/>
            <w:textDirection w:val="lrTb"/>
            <w:noWrap w:val="false"/>
          </w:tcPr>
          <w:p>
            <w:pPr>
              <w:jc w:val="center"/>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⑸严格执行消防工作管理制度，积极巡查，及时正确处理出现的问题。确保安全生产无事故、无火灾。</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6</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每发现一处安全隐患，扣0.1分。发生火灾，扣1分，并追究责任。最高扣分不超过该项目和内容的标准分值。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jc w:val="center"/>
          <w:trHeight w:val="1628"/>
        </w:trPr>
        <w:tc>
          <w:tcPr>
            <w:tcMar>
              <w:left w:w="108" w:type="dxa"/>
              <w:right w:w="108" w:type="dxa"/>
            </w:tcMar>
            <w:tcW w:w="353" w:type="dxa"/>
            <w:vAlign w:val="center"/>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4</w:t>
            </w:r>
            <w:r/>
          </w:p>
        </w:tc>
        <w:tc>
          <w:tcPr>
            <w:tcMar>
              <w:left w:w="108" w:type="dxa"/>
              <w:right w:w="108" w:type="dxa"/>
            </w:tcMar>
            <w:tcW w:w="501" w:type="dxa"/>
            <w:vAlign w:val="center"/>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满意度</w:t>
            </w:r>
            <w:r/>
          </w:p>
        </w:tc>
        <w:tc>
          <w:tcPr>
            <w:tcMar>
              <w:left w:w="108" w:type="dxa"/>
              <w:right w:w="108" w:type="dxa"/>
            </w:tcMar>
            <w:tcW w:w="3699" w:type="dxa"/>
            <w:vAlign w:val="center"/>
            <w:textDirection w:val="lrTb"/>
            <w:noWrap w:val="false"/>
          </w:tcPr>
          <w:p>
            <w:pPr>
              <w:jc w:val="left"/>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整体服务月平均满意度不得低于90%。</w:t>
            </w:r>
            <w:r/>
          </w:p>
        </w:tc>
        <w:tc>
          <w:tcPr>
            <w:tcW w:w="425" w:type="dxa"/>
            <w:vAlign w:val="top"/>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5</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t xml:space="preserve">每低于85%一个点,扣0.5分。最高扣分不超过该项目和内容的标准分值。</w:t>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r>
        <w:trPr>
          <w:jc w:val="center"/>
          <w:trHeight w:val="831"/>
        </w:trPr>
        <w:tc>
          <w:tcPr>
            <w:tcMar>
              <w:left w:w="108" w:type="dxa"/>
              <w:right w:w="108" w:type="dxa"/>
            </w:tcMar>
            <w:tcW w:w="353" w:type="dxa"/>
            <w:vAlign w:val="center"/>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5</w:t>
            </w:r>
            <w:r/>
          </w:p>
        </w:tc>
        <w:tc>
          <w:tcPr>
            <w:tcMar>
              <w:left w:w="108" w:type="dxa"/>
              <w:right w:w="108" w:type="dxa"/>
            </w:tcMar>
            <w:tcW w:w="501" w:type="dxa"/>
            <w:vAlign w:val="center"/>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合计</w:t>
            </w:r>
            <w:r/>
          </w:p>
        </w:tc>
        <w:tc>
          <w:tcPr>
            <w:tcMar>
              <w:left w:w="108" w:type="dxa"/>
              <w:right w:w="108" w:type="dxa"/>
            </w:tcMar>
            <w:tcW w:w="3699"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c>
          <w:tcPr>
            <w:tcW w:w="425" w:type="dxa"/>
            <w:vAlign w:val="top"/>
            <w:textDirection w:val="lrTb"/>
            <w:noWrap w:val="false"/>
          </w:tcPr>
          <w:p>
            <w:pPr>
              <w:jc w:val="center"/>
              <w:rPr>
                <w:rFonts w:hint="eastAsia" w:asciiTheme="minorEastAsia" w:hAnsiTheme="minorEastAsia" w:eastAsiaTheme="minorEastAsia" w:cstheme="minorEastAsia"/>
                <w:b/>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r>
            <w:r/>
          </w:p>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bCs w:val="0"/>
                <w:color w:val="000000"/>
                <w:sz w:val="18"/>
                <w:szCs w:val="18"/>
                <w:highlight w:val="none"/>
              </w:rPr>
              <w:t xml:space="preserve">100</w:t>
            </w:r>
            <w:r/>
          </w:p>
        </w:tc>
        <w:tc>
          <w:tcPr>
            <w:tcMar>
              <w:left w:w="108" w:type="dxa"/>
              <w:right w:w="108" w:type="dxa"/>
            </w:tcMar>
            <w:tcW w:w="3960"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c>
          <w:tcPr>
            <w:tcMar>
              <w:left w:w="108" w:type="dxa"/>
              <w:right w:w="108" w:type="dxa"/>
            </w:tcMar>
            <w:tcW w:w="1476" w:type="dxa"/>
            <w:vAlign w:val="center"/>
            <w:textDirection w:val="lrTb"/>
            <w:noWrap w:val="false"/>
          </w:tcPr>
          <w:p>
            <w:pPr>
              <w:jc w:val="center"/>
              <w:rPr>
                <w:rFonts w:hint="eastAsia" w:asciiTheme="minorEastAsia" w:hAnsiTheme="minorEastAsia" w:eastAsiaTheme="minorEastAsia" w:cstheme="minorEastAsia"/>
                <w:b w:val="0"/>
                <w:bCs w:val="0"/>
                <w:color w:val="000000"/>
                <w:sz w:val="18"/>
                <w:szCs w:val="18"/>
                <w:highlight w:val="none"/>
              </w:rPr>
            </w:pPr>
            <w:r>
              <w:rPr>
                <w:rFonts w:hint="eastAsia" w:asciiTheme="minorEastAsia" w:hAnsiTheme="minorEastAsia" w:eastAsiaTheme="minorEastAsia" w:cstheme="minorEastAsia"/>
                <w:b w:val="0"/>
                <w:bCs w:val="0"/>
                <w:color w:val="000000"/>
                <w:sz w:val="18"/>
                <w:szCs w:val="18"/>
                <w:highlight w:val="none"/>
              </w:rPr>
            </w:r>
            <w:r/>
          </w:p>
        </w:tc>
      </w:tr>
    </w:tbl>
    <w:p>
      <w:pPr>
        <w:jc w:val="center"/>
        <w:rPr>
          <w:rFonts w:hint="eastAsia" w:ascii="微软雅黑" w:hAnsi="微软雅黑" w:eastAsia="微软雅黑" w:cs="微软雅黑"/>
          <w:b/>
          <w:color w:val="000000"/>
          <w:sz w:val="18"/>
          <w:szCs w:val="18"/>
          <w:highlight w:val="none"/>
        </w:rPr>
      </w:pPr>
      <w:r>
        <w:rPr>
          <w:rFonts w:hint="eastAsia" w:ascii="微软雅黑" w:hAnsi="微软雅黑" w:eastAsia="微软雅黑" w:cs="微软雅黑"/>
          <w:b/>
          <w:color w:val="000000"/>
          <w:sz w:val="18"/>
          <w:szCs w:val="18"/>
          <w:highlight w:val="none"/>
        </w:rPr>
      </w:r>
      <w:r/>
    </w:p>
    <w:p>
      <w:pPr>
        <w:pStyle w:val="861"/>
        <w:ind w:firstLine="0"/>
        <w:spacing w:line="520" w:lineRule="exact"/>
        <w:rPr>
          <w:rFonts w:hint="eastAsia" w:ascii="方正仿宋_GB18030" w:hAnsi="方正仿宋_GB18030" w:eastAsia="方正仿宋_GB18030" w:cs="方正仿宋_GB18030"/>
          <w:b w:val="0"/>
          <w:bCs/>
          <w:color w:val="000000"/>
          <w:sz w:val="32"/>
          <w:szCs w:val="32"/>
          <w:highlight w:val="none"/>
          <w:shd w:val="clear" w:color="auto" w:fill="ffffff"/>
          <w:lang w:val="en-US" w:eastAsia="zh-CN"/>
        </w:rPr>
      </w:pPr>
      <w:r>
        <w:rPr>
          <w:rFonts w:hint="eastAsia" w:ascii="方正仿宋_GB18030" w:hAnsi="方正仿宋_GB18030" w:eastAsia="方正仿宋_GB18030" w:cs="方正仿宋_GB18030"/>
          <w:b w:val="0"/>
          <w:bCs/>
          <w:color w:val="000000"/>
          <w:sz w:val="32"/>
          <w:szCs w:val="32"/>
          <w:highlight w:val="none"/>
          <w:shd w:val="clear" w:color="auto" w:fill="ffffff"/>
          <w:lang w:eastAsia="zh-CN"/>
        </w:rPr>
        <w:t xml:space="preserve">考核时间：</w:t>
      </w:r>
      <w:r>
        <w:rPr>
          <w:rFonts w:hint="eastAsia" w:ascii="方正仿宋_GB18030" w:hAnsi="方正仿宋_GB18030" w:eastAsia="方正仿宋_GB18030" w:cs="方正仿宋_GB18030"/>
          <w:b w:val="0"/>
          <w:bCs/>
          <w:color w:val="000000"/>
          <w:sz w:val="32"/>
          <w:szCs w:val="32"/>
          <w:highlight w:val="none"/>
          <w:shd w:val="clear" w:color="auto" w:fill="ffffff"/>
          <w:lang w:val="en-US" w:eastAsia="zh-CN"/>
        </w:rPr>
        <w:t xml:space="preserve">                考核人员：</w:t>
      </w:r>
      <w:r/>
    </w:p>
    <w:p>
      <w:pPr>
        <w:pStyle w:val="839"/>
        <w:ind w:left="0" w:firstLine="0"/>
        <w:jc w:val="center"/>
        <w:rPr>
          <w:rFonts w:hint="eastAsia" w:cs="宋体"/>
          <w:b/>
          <w:color w:val="000000"/>
          <w:sz w:val="36"/>
          <w:szCs w:val="36"/>
          <w:highlight w:val="none"/>
          <w:lang w:val="en-US" w:eastAsia="zh-CN"/>
        </w:rPr>
      </w:pPr>
      <w:r>
        <w:rPr>
          <w:rFonts w:hint="eastAsia" w:cs="宋体"/>
          <w:b/>
          <w:color w:val="000000"/>
          <w:sz w:val="36"/>
          <w:szCs w:val="36"/>
          <w:highlight w:val="none"/>
          <w:lang w:val="en-US" w:eastAsia="zh-CN"/>
        </w:rPr>
      </w:r>
      <w:r/>
    </w:p>
    <w:p>
      <w:pPr>
        <w:pStyle w:val="839"/>
        <w:ind w:left="0" w:firstLine="0"/>
        <w:jc w:val="center"/>
        <w:rPr>
          <w:rFonts w:hint="eastAsia" w:cs="宋体"/>
          <w:b/>
          <w:color w:val="000000"/>
          <w:sz w:val="36"/>
          <w:szCs w:val="36"/>
          <w:highlight w:val="none"/>
          <w:lang w:val="en-US" w:eastAsia="zh-CN"/>
        </w:rPr>
      </w:pPr>
      <w:r>
        <w:rPr>
          <w:rFonts w:hint="eastAsia" w:cs="宋体"/>
          <w:b/>
          <w:color w:val="000000"/>
          <w:sz w:val="36"/>
          <w:szCs w:val="36"/>
          <w:highlight w:val="none"/>
          <w:lang w:val="en-US" w:eastAsia="zh-CN"/>
        </w:rPr>
      </w:r>
      <w:r/>
    </w:p>
    <w:p>
      <w:pPr>
        <w:pStyle w:val="839"/>
        <w:ind w:left="0" w:firstLine="0"/>
        <w:jc w:val="center"/>
        <w:rPr>
          <w:rFonts w:hint="eastAsia" w:cs="宋体"/>
          <w:b/>
          <w:color w:val="000000"/>
          <w:sz w:val="36"/>
          <w:szCs w:val="36"/>
          <w:highlight w:val="none"/>
          <w:lang w:val="en-US" w:eastAsia="zh-CN"/>
        </w:rPr>
      </w:pPr>
      <w:r>
        <w:rPr>
          <w:rFonts w:hint="eastAsia" w:cs="宋体"/>
          <w:b/>
          <w:color w:val="000000"/>
          <w:sz w:val="36"/>
          <w:szCs w:val="36"/>
          <w:highlight w:val="none"/>
          <w:lang w:val="en-US" w:eastAsia="zh-CN"/>
        </w:rPr>
      </w:r>
      <w:r/>
    </w:p>
    <w:p>
      <w:pPr>
        <w:pStyle w:val="839"/>
        <w:ind w:left="0" w:firstLine="0"/>
        <w:jc w:val="center"/>
        <w:rPr>
          <w:rFonts w:hint="eastAsia" w:cs="宋体"/>
          <w:b/>
          <w:color w:val="000000"/>
          <w:sz w:val="36"/>
          <w:szCs w:val="36"/>
          <w:highlight w:val="none"/>
          <w:lang w:val="en-US" w:eastAsia="zh-CN"/>
        </w:rPr>
      </w:pPr>
      <w:r>
        <w:rPr>
          <w:rFonts w:hint="eastAsia" w:cs="宋体"/>
          <w:b/>
          <w:color w:val="000000"/>
          <w:sz w:val="36"/>
          <w:szCs w:val="36"/>
          <w:highlight w:val="none"/>
          <w:lang w:val="en-US" w:eastAsia="zh-CN"/>
        </w:rPr>
      </w:r>
      <w:r/>
    </w:p>
    <w:p>
      <w:pPr>
        <w:pStyle w:val="839"/>
        <w:ind w:left="0" w:firstLine="0"/>
        <w:jc w:val="center"/>
        <w:rPr>
          <w:rFonts w:hint="eastAsia" w:cs="宋体"/>
          <w:b/>
          <w:color w:val="000000"/>
          <w:sz w:val="36"/>
          <w:szCs w:val="36"/>
          <w:highlight w:val="none"/>
          <w:lang w:val="en-US" w:eastAsia="zh-CN"/>
        </w:rPr>
      </w:pPr>
      <w:r>
        <w:rPr>
          <w:rFonts w:hint="eastAsia" w:cs="宋体"/>
          <w:b/>
          <w:color w:val="000000"/>
          <w:sz w:val="36"/>
          <w:szCs w:val="36"/>
          <w:highlight w:val="none"/>
          <w:lang w:val="en-US" w:eastAsia="zh-CN"/>
        </w:rPr>
      </w:r>
      <w:r/>
    </w:p>
    <w:p>
      <w:pPr>
        <w:pStyle w:val="839"/>
        <w:ind w:left="0" w:firstLine="0"/>
        <w:jc w:val="center"/>
        <w:rPr>
          <w:rFonts w:hint="eastAsia" w:cs="宋体"/>
          <w:b/>
          <w:color w:val="000000"/>
          <w:sz w:val="36"/>
          <w:szCs w:val="36"/>
          <w:highlight w:val="none"/>
          <w:lang w:val="en-US" w:eastAsia="zh-CN"/>
        </w:rPr>
      </w:pPr>
      <w:r>
        <w:rPr>
          <w:rFonts w:hint="eastAsia" w:cs="宋体"/>
          <w:b/>
          <w:color w:val="000000"/>
          <w:sz w:val="36"/>
          <w:szCs w:val="36"/>
          <w:highlight w:val="none"/>
          <w:lang w:val="en-US" w:eastAsia="zh-CN"/>
        </w:rPr>
      </w:r>
      <w:r/>
    </w:p>
    <w:p>
      <w:pPr>
        <w:pStyle w:val="839"/>
        <w:ind w:left="0" w:firstLine="0"/>
        <w:jc w:val="center"/>
        <w:rPr>
          <w:rFonts w:hint="eastAsia" w:cs="宋体"/>
          <w:b/>
          <w:color w:val="000000"/>
          <w:sz w:val="36"/>
          <w:szCs w:val="36"/>
          <w:highlight w:val="none"/>
          <w:lang w:val="en-US" w:eastAsia="zh-CN"/>
        </w:rPr>
      </w:pPr>
      <w:r>
        <w:rPr>
          <w:rFonts w:hint="eastAsia" w:cs="宋体"/>
          <w:b/>
          <w:color w:val="000000"/>
          <w:sz w:val="36"/>
          <w:szCs w:val="36"/>
          <w:highlight w:val="none"/>
          <w:lang w:val="en-US" w:eastAsia="zh-CN"/>
        </w:rPr>
      </w:r>
      <w:r/>
    </w:p>
    <w:p>
      <w:pPr>
        <w:pStyle w:val="839"/>
        <w:numPr>
          <w:ilvl w:val="0"/>
          <w:numId w:val="0"/>
        </w:numPr>
        <w:jc w:val="center"/>
        <w:rPr>
          <w:rFonts w:hint="default"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t xml:space="preserve">第五章 评标标准</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eastAsia="zh-CN"/>
        </w:rPr>
        <w:t xml:space="preserve">一、</w:t>
      </w:r>
      <w:r>
        <w:rPr>
          <w:rFonts w:hint="eastAsia"/>
          <w:sz w:val="24"/>
          <w:szCs w:val="24"/>
          <w:highlight w:val="none"/>
        </w:rPr>
        <w:t xml:space="preserve">评</w:t>
      </w:r>
      <w:r>
        <w:rPr>
          <w:rFonts w:hint="eastAsia"/>
          <w:sz w:val="24"/>
          <w:szCs w:val="24"/>
          <w:highlight w:val="none"/>
          <w:lang w:val="en-US" w:eastAsia="zh-CN"/>
        </w:rPr>
        <w:t xml:space="preserve">审</w:t>
      </w:r>
      <w:r>
        <w:rPr>
          <w:rFonts w:hint="eastAsia"/>
          <w:sz w:val="24"/>
          <w:szCs w:val="24"/>
          <w:highlight w:val="none"/>
          <w:lang w:eastAsia="zh-CN"/>
        </w:rPr>
        <w:t xml:space="preserve">方法</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eastAsia="zh-CN"/>
        </w:rPr>
        <w:t xml:space="preserve">采用</w:t>
      </w:r>
      <w:r>
        <w:rPr>
          <w:rFonts w:hint="eastAsia"/>
          <w:sz w:val="24"/>
          <w:szCs w:val="24"/>
          <w:highlight w:val="none"/>
        </w:rPr>
        <w:t xml:space="preserve">综合评分法，对满足磋商文件全部实质性要求的响应文件按评审因素的量化指标评审总分对供应商进行排序。</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经磋商确定最终采购需求和提交最后报价的供应商后</w:t>
      </w:r>
      <w:r>
        <w:rPr>
          <w:rFonts w:hint="eastAsia"/>
          <w:sz w:val="24"/>
          <w:szCs w:val="24"/>
          <w:highlight w:val="none"/>
          <w:lang w:eastAsia="zh-CN"/>
        </w:rPr>
        <w:t xml:space="preserve">，</w:t>
      </w:r>
      <w:r>
        <w:rPr>
          <w:rFonts w:hint="eastAsia"/>
          <w:sz w:val="24"/>
          <w:szCs w:val="24"/>
          <w:highlight w:val="none"/>
        </w:rPr>
        <w:t xml:space="preserve">磋商小组</w:t>
      </w:r>
      <w:r>
        <w:rPr>
          <w:rFonts w:hint="eastAsia"/>
          <w:sz w:val="24"/>
          <w:szCs w:val="24"/>
          <w:highlight w:val="none"/>
          <w:lang w:eastAsia="zh-CN"/>
        </w:rPr>
        <w:t xml:space="preserve">成员</w:t>
      </w:r>
      <w:r>
        <w:rPr>
          <w:rFonts w:hint="eastAsia"/>
          <w:sz w:val="24"/>
          <w:szCs w:val="24"/>
          <w:highlight w:val="none"/>
        </w:rPr>
        <w:t xml:space="preserve">采用综合评分法</w:t>
      </w:r>
      <w:r>
        <w:rPr>
          <w:rFonts w:hint="eastAsia"/>
          <w:sz w:val="24"/>
          <w:szCs w:val="24"/>
          <w:highlight w:val="none"/>
          <w:lang w:eastAsia="zh-CN"/>
        </w:rPr>
        <w:t xml:space="preserve">独立</w:t>
      </w:r>
      <w:r>
        <w:rPr>
          <w:rFonts w:hint="eastAsia"/>
          <w:sz w:val="24"/>
          <w:szCs w:val="24"/>
          <w:highlight w:val="none"/>
        </w:rPr>
        <w:t xml:space="preserve">对提交最后报价的供应商的响应文件和最后报价进行</w:t>
      </w:r>
      <w:r>
        <w:rPr>
          <w:rFonts w:hint="eastAsia"/>
          <w:sz w:val="24"/>
          <w:szCs w:val="24"/>
          <w:highlight w:val="none"/>
          <w:lang w:eastAsia="zh-CN"/>
        </w:rPr>
        <w:t xml:space="preserve">综合</w:t>
      </w:r>
      <w:r>
        <w:rPr>
          <w:rFonts w:hint="eastAsia"/>
          <w:sz w:val="24"/>
          <w:szCs w:val="24"/>
          <w:highlight w:val="none"/>
        </w:rPr>
        <w:t xml:space="preserve">评分。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磋商小组按照评审</w:t>
      </w:r>
      <w:r>
        <w:rPr>
          <w:rFonts w:hint="eastAsia"/>
          <w:sz w:val="24"/>
          <w:szCs w:val="24"/>
          <w:highlight w:val="none"/>
          <w:lang w:val="en-US" w:eastAsia="zh-CN"/>
        </w:rPr>
        <w:t xml:space="preserve">总</w:t>
      </w:r>
      <w:r>
        <w:rPr>
          <w:rFonts w:hint="eastAsia"/>
          <w:sz w:val="24"/>
          <w:szCs w:val="24"/>
          <w:highlight w:val="none"/>
        </w:rPr>
        <w:t xml:space="preserve">分由高到低顺序推荐</w:t>
      </w:r>
      <w:r>
        <w:rPr>
          <w:rFonts w:hint="eastAsia"/>
          <w:sz w:val="24"/>
          <w:szCs w:val="24"/>
          <w:highlight w:val="none"/>
          <w:lang w:val="en-US" w:eastAsia="zh-CN"/>
        </w:rPr>
        <w:t xml:space="preserve">3名</w:t>
      </w:r>
      <w:r>
        <w:rPr>
          <w:rFonts w:hint="eastAsia"/>
          <w:sz w:val="24"/>
          <w:szCs w:val="24"/>
          <w:highlight w:val="none"/>
          <w:lang w:eastAsia="zh-CN"/>
        </w:rPr>
        <w:t xml:space="preserve">成交候选供应商，</w:t>
      </w:r>
      <w:r>
        <w:rPr>
          <w:rFonts w:hint="eastAsia"/>
          <w:sz w:val="24"/>
          <w:szCs w:val="24"/>
          <w:highlight w:val="none"/>
        </w:rPr>
        <w:t xml:space="preserve">并编写评审报告。评审得分相同的</w:t>
      </w:r>
      <w:r>
        <w:rPr>
          <w:rFonts w:hint="eastAsia"/>
          <w:sz w:val="24"/>
          <w:szCs w:val="24"/>
          <w:highlight w:val="none"/>
          <w:lang w:eastAsia="zh-CN"/>
        </w:rPr>
        <w:t xml:space="preserve">，</w:t>
      </w:r>
      <w:r>
        <w:rPr>
          <w:rFonts w:hint="eastAsia"/>
          <w:sz w:val="24"/>
          <w:szCs w:val="24"/>
          <w:highlight w:val="none"/>
        </w:rPr>
        <w:t xml:space="preserve">按照最后报价由低到高的顺序推荐。评审得分且最后报价相同的</w:t>
      </w:r>
      <w:r>
        <w:rPr>
          <w:rFonts w:hint="eastAsia"/>
          <w:sz w:val="24"/>
          <w:szCs w:val="24"/>
          <w:highlight w:val="none"/>
          <w:lang w:eastAsia="zh-CN"/>
        </w:rPr>
        <w:t xml:space="preserve">，</w:t>
      </w:r>
      <w:r>
        <w:rPr>
          <w:rFonts w:hint="eastAsia"/>
          <w:sz w:val="24"/>
          <w:szCs w:val="24"/>
          <w:highlight w:val="none"/>
        </w:rPr>
        <w:t xml:space="preserve">按照</w:t>
      </w:r>
      <w:r>
        <w:rPr>
          <w:rFonts w:hint="eastAsia"/>
          <w:sz w:val="24"/>
          <w:szCs w:val="24"/>
          <w:highlight w:val="none"/>
          <w:lang w:eastAsia="zh-CN"/>
        </w:rPr>
        <w:t xml:space="preserve">“三、评审标准中</w:t>
      </w:r>
      <w:r>
        <w:rPr>
          <w:rFonts w:hint="eastAsia"/>
          <w:sz w:val="24"/>
          <w:szCs w:val="24"/>
          <w:highlight w:val="none"/>
          <w:lang w:val="en-US" w:eastAsia="zh-CN"/>
        </w:rPr>
        <w:t xml:space="preserve">2.1-2.5项</w:t>
      </w:r>
      <w:r>
        <w:rPr>
          <w:rFonts w:hint="eastAsia"/>
          <w:sz w:val="24"/>
          <w:szCs w:val="24"/>
          <w:highlight w:val="none"/>
          <w:lang w:eastAsia="zh-CN"/>
        </w:rPr>
        <w:t xml:space="preserve">”得分由高到低顺序</w:t>
      </w:r>
      <w:r>
        <w:rPr>
          <w:rFonts w:hint="eastAsia"/>
          <w:sz w:val="24"/>
          <w:szCs w:val="24"/>
          <w:highlight w:val="none"/>
        </w:rPr>
        <w:t xml:space="preserve">推荐。</w:t>
      </w:r>
      <w:r/>
    </w:p>
    <w:p>
      <w:pPr>
        <w:pStyle w:val="839"/>
        <w:numPr>
          <w:ilvl w:val="0"/>
          <w:numId w:val="3"/>
        </w:numPr>
        <w:ind w:left="0"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eastAsia="zh-CN"/>
        </w:rPr>
        <w:t xml:space="preserve">评标标准</w:t>
      </w:r>
      <w:bookmarkEnd w:id="160"/>
      <w:r/>
      <w:r/>
    </w:p>
    <w:tbl>
      <w:tblPr>
        <w:tblStyle w:val="662"/>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829"/>
        <w:gridCol w:w="7017"/>
        <w:gridCol w:w="801"/>
      </w:tblGrid>
      <w:tr>
        <w:trPr>
          <w:trHeight w:val="590"/>
          <w:tblHeader/>
        </w:trPr>
        <w:tc>
          <w:tcPr>
            <w:tcW w:w="593" w:type="dxa"/>
            <w:vAlign w:val="center"/>
            <w:textDirection w:val="lrTb"/>
            <w:noWrap w:val="false"/>
          </w:tcPr>
          <w:p>
            <w:pPr>
              <w:jc w:val="both"/>
              <w:rPr>
                <w:rFonts w:hint="eastAsia"/>
                <w:sz w:val="21"/>
                <w:szCs w:val="21"/>
                <w:highlight w:val="none"/>
              </w:rPr>
            </w:pPr>
            <w:r>
              <w:rPr>
                <w:rFonts w:hint="eastAsia"/>
                <w:sz w:val="21"/>
                <w:szCs w:val="21"/>
                <w:highlight w:val="none"/>
              </w:rPr>
              <w:t xml:space="preserve">序号</w:t>
            </w:r>
            <w:r/>
          </w:p>
        </w:tc>
        <w:tc>
          <w:tcPr>
            <w:tcW w:w="829" w:type="dxa"/>
            <w:vAlign w:val="center"/>
            <w:textDirection w:val="lrTb"/>
            <w:noWrap w:val="false"/>
          </w:tcPr>
          <w:p>
            <w:pPr>
              <w:jc w:val="center"/>
              <w:rPr>
                <w:rFonts w:hint="eastAsia"/>
                <w:sz w:val="21"/>
                <w:szCs w:val="21"/>
                <w:highlight w:val="none"/>
              </w:rPr>
            </w:pPr>
            <w:r>
              <w:rPr>
                <w:rFonts w:hint="eastAsia"/>
                <w:sz w:val="21"/>
                <w:szCs w:val="21"/>
                <w:highlight w:val="none"/>
              </w:rPr>
              <w:t xml:space="preserve">评分因素</w:t>
            </w:r>
            <w:r/>
          </w:p>
        </w:tc>
        <w:tc>
          <w:tcPr>
            <w:tcW w:w="7017" w:type="dxa"/>
            <w:vAlign w:val="center"/>
            <w:textDirection w:val="lrTb"/>
            <w:noWrap w:val="false"/>
          </w:tcPr>
          <w:p>
            <w:pPr>
              <w:jc w:val="both"/>
              <w:rPr>
                <w:rFonts w:hint="eastAsia"/>
                <w:sz w:val="21"/>
                <w:szCs w:val="21"/>
                <w:highlight w:val="none"/>
              </w:rPr>
            </w:pPr>
            <w:r>
              <w:rPr>
                <w:rFonts w:hint="eastAsia"/>
                <w:sz w:val="21"/>
                <w:szCs w:val="21"/>
                <w:highlight w:val="none"/>
              </w:rPr>
              <w:t xml:space="preserve">评审标准</w:t>
            </w:r>
            <w:r/>
          </w:p>
        </w:tc>
        <w:tc>
          <w:tcPr>
            <w:tcW w:w="801" w:type="dxa"/>
            <w:vAlign w:val="center"/>
            <w:textDirection w:val="lrTb"/>
            <w:noWrap w:val="false"/>
          </w:tcPr>
          <w:p>
            <w:pPr>
              <w:jc w:val="both"/>
              <w:rPr>
                <w:rFonts w:hint="eastAsia"/>
                <w:sz w:val="21"/>
                <w:szCs w:val="21"/>
                <w:highlight w:val="none"/>
              </w:rPr>
            </w:pPr>
            <w:r>
              <w:rPr>
                <w:rFonts w:hint="eastAsia"/>
                <w:sz w:val="21"/>
                <w:szCs w:val="21"/>
                <w:highlight w:val="none"/>
              </w:rPr>
              <w:t xml:space="preserve">分值</w:t>
            </w:r>
            <w:r/>
          </w:p>
        </w:tc>
      </w:tr>
      <w:tr>
        <w:trPr>
          <w:trHeight w:val="344"/>
        </w:trPr>
        <w:tc>
          <w:tcPr>
            <w:gridSpan w:val="4"/>
            <w:tcW w:w="9240"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1.价格</w:t>
            </w:r>
            <w:r/>
          </w:p>
        </w:tc>
      </w:tr>
      <w:tr>
        <w:trPr>
          <w:trHeight w:val="1244"/>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1.1</w:t>
            </w:r>
            <w:r/>
          </w:p>
        </w:tc>
        <w:tc>
          <w:tcPr>
            <w:tcW w:w="829" w:type="dxa"/>
            <w:vAlign w:val="center"/>
            <w:textDirection w:val="lrTb"/>
            <w:noWrap w:val="false"/>
          </w:tcPr>
          <w:p>
            <w:pPr>
              <w:jc w:val="left"/>
              <w:rPr>
                <w:rFonts w:hint="eastAsia"/>
                <w:sz w:val="21"/>
                <w:szCs w:val="21"/>
                <w:highlight w:val="none"/>
              </w:rPr>
            </w:pPr>
            <w:r>
              <w:rPr>
                <w:rFonts w:hint="eastAsia"/>
                <w:sz w:val="21"/>
                <w:szCs w:val="21"/>
                <w:highlight w:val="none"/>
              </w:rPr>
              <w:t xml:space="preserve">价格分</w:t>
            </w:r>
            <w:r/>
          </w:p>
        </w:tc>
        <w:tc>
          <w:tcPr>
            <w:tcW w:w="7017"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采用低价优先法计算，即满足招标文件要求且投标价格最低的投标报价为评标基准价，其价格分为满分。其他供应商的价格分统一按 照下列公式计算：投标报价得分=(评标基准价/投标报价)×50(小数点保留两位)</w:t>
            </w:r>
            <w:r/>
          </w:p>
        </w:tc>
        <w:tc>
          <w:tcPr>
            <w:tcW w:w="801" w:type="dxa"/>
            <w:vAlign w:val="center"/>
            <w:textDirection w:val="lrTb"/>
            <w:noWrap w:val="false"/>
          </w:tcPr>
          <w:p>
            <w:pPr>
              <w:jc w:val="both"/>
              <w:rPr>
                <w:rFonts w:hint="eastAsia"/>
                <w:sz w:val="21"/>
                <w:szCs w:val="21"/>
                <w:highlight w:val="none"/>
              </w:rPr>
            </w:pPr>
            <w:r>
              <w:rPr>
                <w:rFonts w:hint="eastAsia"/>
                <w:sz w:val="21"/>
                <w:szCs w:val="21"/>
                <w:highlight w:val="none"/>
                <w:lang w:eastAsia="zh-CN"/>
              </w:rPr>
              <w:t xml:space="preserve">50</w:t>
            </w:r>
            <w:r>
              <w:rPr>
                <w:rFonts w:hint="eastAsia"/>
                <w:sz w:val="21"/>
                <w:szCs w:val="21"/>
                <w:highlight w:val="none"/>
              </w:rPr>
              <w:t xml:space="preserve">分</w:t>
            </w:r>
            <w:r/>
          </w:p>
        </w:tc>
      </w:tr>
      <w:tr>
        <w:trPr>
          <w:trHeight w:val="299"/>
        </w:trPr>
        <w:tc>
          <w:tcPr>
            <w:gridSpan w:val="4"/>
            <w:tcW w:w="9240"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2.服务</w:t>
            </w:r>
            <w:r/>
          </w:p>
        </w:tc>
      </w:tr>
      <w:tr>
        <w:trPr>
          <w:trHeight w:val="2197"/>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2.1</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整体设想与综合管理服务方案</w:t>
            </w:r>
            <w:r/>
          </w:p>
        </w:tc>
        <w:tc>
          <w:tcPr>
            <w:tcW w:w="7017"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评委根据供应商提供的方案（包括对项目的认识、项目服务实施的整体设想和策划、重点难点分析及措施；物业服务的管理制度及工作流程、物业档案管理方案等）综合评分：</w:t>
            </w:r>
            <w:r/>
          </w:p>
          <w:p>
            <w:pPr>
              <w:jc w:val="both"/>
              <w:rPr>
                <w:rFonts w:hint="eastAsia"/>
                <w:sz w:val="21"/>
                <w:szCs w:val="21"/>
                <w:highlight w:val="none"/>
                <w:lang w:eastAsia="zh-CN"/>
              </w:rPr>
            </w:pPr>
            <w:r>
              <w:rPr>
                <w:rFonts w:hint="eastAsia"/>
                <w:sz w:val="21"/>
                <w:szCs w:val="21"/>
                <w:highlight w:val="none"/>
                <w:lang w:eastAsia="zh-CN"/>
              </w:rPr>
              <w:t xml:space="preserve">（1）方案细致完善，针对性强，工作流程具体且可操作性强，重点、难点把握准确，措施有力的，得4分；</w:t>
            </w:r>
            <w:r/>
          </w:p>
          <w:p>
            <w:pPr>
              <w:jc w:val="both"/>
              <w:rPr>
                <w:rFonts w:hint="eastAsia"/>
                <w:sz w:val="21"/>
                <w:szCs w:val="21"/>
                <w:highlight w:val="none"/>
                <w:lang w:eastAsia="zh-CN"/>
              </w:rPr>
            </w:pPr>
            <w:r>
              <w:rPr>
                <w:rFonts w:hint="eastAsia"/>
                <w:sz w:val="21"/>
                <w:szCs w:val="21"/>
                <w:highlight w:val="none"/>
                <w:lang w:eastAsia="zh-CN"/>
              </w:rPr>
              <w:t xml:space="preserve">（2）方案较完善，针对性较强，工作流程较具体且可操作性较强，重点、难点把握较明确，措施较有力的，得3分；</w:t>
            </w:r>
            <w:r/>
          </w:p>
          <w:p>
            <w:pPr>
              <w:jc w:val="both"/>
              <w:rPr>
                <w:rFonts w:hint="eastAsia"/>
                <w:sz w:val="21"/>
                <w:szCs w:val="21"/>
                <w:highlight w:val="none"/>
                <w:lang w:eastAsia="zh-CN"/>
              </w:rPr>
            </w:pPr>
            <w:r>
              <w:rPr>
                <w:rFonts w:hint="eastAsia"/>
                <w:sz w:val="21"/>
                <w:szCs w:val="21"/>
                <w:highlight w:val="none"/>
                <w:lang w:eastAsia="zh-CN"/>
              </w:rPr>
              <w:t xml:space="preserve">（3）方案基本完善，具备一定的针对性，基本满足需求，具备一定的可操作性，重点、难点把握基本明确，措施基本有力的，得2分；</w:t>
            </w:r>
            <w:r/>
          </w:p>
          <w:p>
            <w:pPr>
              <w:jc w:val="both"/>
              <w:rPr>
                <w:rFonts w:hint="eastAsia"/>
                <w:sz w:val="21"/>
                <w:szCs w:val="21"/>
                <w:highlight w:val="none"/>
                <w:lang w:eastAsia="zh-CN"/>
              </w:rPr>
            </w:pPr>
            <w:r>
              <w:rPr>
                <w:rFonts w:hint="eastAsia"/>
                <w:sz w:val="21"/>
                <w:szCs w:val="21"/>
                <w:highlight w:val="none"/>
                <w:lang w:eastAsia="zh-CN"/>
              </w:rPr>
              <w:t xml:space="preserve">（4）方案不完善，不具备针对性，不能满足需求、不具备可操作性，重点、难点把握不明确，措施不符合要求的，得1分；</w:t>
            </w:r>
            <w:r/>
          </w:p>
          <w:p>
            <w:pPr>
              <w:jc w:val="both"/>
              <w:rPr>
                <w:rFonts w:hint="eastAsia"/>
                <w:sz w:val="21"/>
                <w:szCs w:val="21"/>
                <w:highlight w:val="none"/>
                <w:lang w:eastAsia="zh-CN"/>
              </w:rPr>
            </w:pPr>
            <w:r>
              <w:rPr>
                <w:rFonts w:hint="eastAsia"/>
                <w:sz w:val="21"/>
                <w:szCs w:val="21"/>
                <w:highlight w:val="none"/>
                <w:lang w:eastAsia="zh-CN"/>
              </w:rPr>
              <w:t xml:space="preserve">（5）未提供相关内容不得分。</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4分</w:t>
            </w:r>
            <w:r/>
          </w:p>
        </w:tc>
      </w:tr>
      <w:tr>
        <w:trPr>
          <w:trHeight w:val="942"/>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2.2</w:t>
            </w:r>
            <w:r/>
          </w:p>
        </w:tc>
        <w:tc>
          <w:tcPr>
            <w:tcW w:w="829" w:type="dxa"/>
            <w:vAlign w:val="center"/>
            <w:textDirection w:val="lrTb"/>
            <w:noWrap w:val="false"/>
          </w:tcPr>
          <w:p>
            <w:pPr>
              <w:jc w:val="center"/>
              <w:rPr>
                <w:rFonts w:hint="eastAsia"/>
                <w:sz w:val="21"/>
                <w:szCs w:val="21"/>
                <w:highlight w:val="none"/>
              </w:rPr>
            </w:pPr>
            <w:r>
              <w:rPr>
                <w:rFonts w:hint="eastAsia"/>
                <w:sz w:val="21"/>
                <w:szCs w:val="21"/>
                <w:highlight w:val="none"/>
                <w:lang w:eastAsia="zh-CN"/>
              </w:rPr>
              <w:t xml:space="preserve">实施方案</w:t>
            </w:r>
            <w:r/>
          </w:p>
        </w:tc>
        <w:tc>
          <w:tcPr>
            <w:tcW w:w="7017"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评委根据供应商提供的实施方案（包括保洁、秩序维护、消控、工程维修、运送服务等服务质量标准、实施方案等）综合评分：</w:t>
            </w:r>
            <w:r/>
          </w:p>
          <w:p>
            <w:pPr>
              <w:jc w:val="both"/>
              <w:rPr>
                <w:rFonts w:hint="eastAsia"/>
                <w:sz w:val="21"/>
                <w:szCs w:val="21"/>
                <w:highlight w:val="none"/>
                <w:lang w:eastAsia="zh-CN"/>
              </w:rPr>
            </w:pPr>
            <w:r>
              <w:rPr>
                <w:rFonts w:hint="eastAsia"/>
                <w:sz w:val="21"/>
                <w:szCs w:val="21"/>
                <w:highlight w:val="none"/>
                <w:lang w:eastAsia="zh-CN"/>
              </w:rPr>
              <w:t xml:space="preserve">（1）方案全面，有详细内容，针对性强的，针对性强的得4分；</w:t>
            </w:r>
            <w:r/>
          </w:p>
          <w:p>
            <w:pPr>
              <w:jc w:val="both"/>
              <w:rPr>
                <w:rFonts w:hint="eastAsia"/>
                <w:sz w:val="21"/>
                <w:szCs w:val="21"/>
                <w:highlight w:val="none"/>
                <w:lang w:eastAsia="zh-CN"/>
              </w:rPr>
            </w:pPr>
            <w:r>
              <w:rPr>
                <w:rFonts w:hint="eastAsia"/>
                <w:sz w:val="21"/>
                <w:szCs w:val="21"/>
                <w:highlight w:val="none"/>
                <w:lang w:eastAsia="zh-CN"/>
              </w:rPr>
              <w:t xml:space="preserve">（2）方案基本全面，有较详细的内容，具备一定的针对性，得3分；</w:t>
            </w:r>
            <w:r/>
          </w:p>
          <w:p>
            <w:pPr>
              <w:jc w:val="both"/>
              <w:rPr>
                <w:rFonts w:hint="eastAsia"/>
                <w:sz w:val="21"/>
                <w:szCs w:val="21"/>
                <w:highlight w:val="none"/>
                <w:lang w:eastAsia="zh-CN"/>
              </w:rPr>
            </w:pPr>
            <w:r>
              <w:rPr>
                <w:rFonts w:hint="eastAsia"/>
                <w:sz w:val="21"/>
                <w:szCs w:val="21"/>
                <w:highlight w:val="none"/>
                <w:lang w:eastAsia="zh-CN"/>
              </w:rPr>
              <w:t xml:space="preserve">（3）方案一般、内容一般、针对性一般，得2分；</w:t>
            </w:r>
            <w:r/>
          </w:p>
          <w:p>
            <w:pPr>
              <w:jc w:val="both"/>
              <w:rPr>
                <w:rFonts w:hint="eastAsia"/>
                <w:sz w:val="21"/>
                <w:szCs w:val="21"/>
                <w:highlight w:val="none"/>
                <w:lang w:eastAsia="zh-CN"/>
              </w:rPr>
            </w:pPr>
            <w:r>
              <w:rPr>
                <w:rFonts w:hint="eastAsia"/>
                <w:sz w:val="21"/>
                <w:szCs w:val="21"/>
                <w:highlight w:val="none"/>
                <w:lang w:eastAsia="zh-CN"/>
              </w:rPr>
              <w:t xml:space="preserve">（4）方案不明确，内容缺乏或不科学可行或与项目的实际情况不吻合的，得1分；</w:t>
            </w:r>
            <w:r/>
          </w:p>
          <w:p>
            <w:pPr>
              <w:jc w:val="both"/>
              <w:rPr>
                <w:rFonts w:hint="eastAsia"/>
                <w:sz w:val="21"/>
                <w:szCs w:val="21"/>
                <w:highlight w:val="none"/>
                <w:lang w:eastAsia="zh-CN"/>
              </w:rPr>
            </w:pPr>
            <w:r>
              <w:rPr>
                <w:rFonts w:hint="eastAsia"/>
                <w:sz w:val="21"/>
                <w:szCs w:val="21"/>
                <w:highlight w:val="none"/>
                <w:lang w:eastAsia="zh-CN"/>
              </w:rPr>
              <w:t xml:space="preserve">（5）未提供相关内容不得分。</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4分</w:t>
            </w:r>
            <w:r/>
          </w:p>
        </w:tc>
      </w:tr>
      <w:tr>
        <w:trPr>
          <w:trHeight w:val="2160"/>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2.3</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感染控制方案</w:t>
            </w:r>
            <w:r/>
          </w:p>
        </w:tc>
        <w:tc>
          <w:tcPr>
            <w:tcW w:w="7017"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评委根据供应商提供的感染控制方案（包含防止交叉感染、消毒隔离制度、医疗废物管理及具体落实措施、医疗废物泄露应急处理预案等内容）综合评分：</w:t>
            </w:r>
            <w:r/>
          </w:p>
          <w:p>
            <w:pPr>
              <w:jc w:val="both"/>
              <w:rPr>
                <w:rFonts w:hint="eastAsia"/>
                <w:sz w:val="21"/>
                <w:szCs w:val="21"/>
                <w:highlight w:val="none"/>
                <w:lang w:eastAsia="zh-CN"/>
              </w:rPr>
            </w:pPr>
            <w:r>
              <w:rPr>
                <w:rFonts w:hint="eastAsia"/>
                <w:sz w:val="21"/>
                <w:szCs w:val="21"/>
                <w:highlight w:val="none"/>
                <w:lang w:eastAsia="zh-CN"/>
              </w:rPr>
              <w:t xml:space="preserve">（1）方案全面，有详细内容，针对性强的，针对性强的得4分；</w:t>
            </w:r>
            <w:r/>
          </w:p>
          <w:p>
            <w:pPr>
              <w:jc w:val="both"/>
              <w:rPr>
                <w:rFonts w:hint="eastAsia"/>
                <w:sz w:val="21"/>
                <w:szCs w:val="21"/>
                <w:highlight w:val="none"/>
                <w:lang w:eastAsia="zh-CN"/>
              </w:rPr>
            </w:pPr>
            <w:r>
              <w:rPr>
                <w:rFonts w:hint="eastAsia"/>
                <w:sz w:val="21"/>
                <w:szCs w:val="21"/>
                <w:highlight w:val="none"/>
                <w:lang w:eastAsia="zh-CN"/>
              </w:rPr>
              <w:t xml:space="preserve">（2）方案基本全面，有较详细的内容，具备一定的针对性，得3分；</w:t>
            </w:r>
            <w:r/>
          </w:p>
          <w:p>
            <w:pPr>
              <w:jc w:val="both"/>
              <w:rPr>
                <w:rFonts w:hint="eastAsia"/>
                <w:sz w:val="21"/>
                <w:szCs w:val="21"/>
                <w:highlight w:val="none"/>
                <w:lang w:eastAsia="zh-CN"/>
              </w:rPr>
            </w:pPr>
            <w:r>
              <w:rPr>
                <w:rFonts w:hint="eastAsia"/>
                <w:sz w:val="21"/>
                <w:szCs w:val="21"/>
                <w:highlight w:val="none"/>
                <w:lang w:eastAsia="zh-CN"/>
              </w:rPr>
              <w:t xml:space="preserve">（3）方案一般、内容一般、针对性一般，得2分；</w:t>
            </w:r>
            <w:r/>
          </w:p>
          <w:p>
            <w:pPr>
              <w:jc w:val="both"/>
              <w:rPr>
                <w:rFonts w:hint="eastAsia"/>
                <w:sz w:val="21"/>
                <w:szCs w:val="21"/>
                <w:highlight w:val="none"/>
                <w:lang w:eastAsia="zh-CN"/>
              </w:rPr>
            </w:pPr>
            <w:r>
              <w:rPr>
                <w:rFonts w:hint="eastAsia"/>
                <w:sz w:val="21"/>
                <w:szCs w:val="21"/>
                <w:highlight w:val="none"/>
                <w:lang w:eastAsia="zh-CN"/>
              </w:rPr>
              <w:t xml:space="preserve">（4）方案不明确，内容缺乏或不科学可行或与项目的实际情况不吻合的，得1分；</w:t>
            </w:r>
            <w:r/>
          </w:p>
          <w:p>
            <w:pPr>
              <w:jc w:val="both"/>
              <w:rPr>
                <w:rFonts w:hint="eastAsia"/>
                <w:sz w:val="21"/>
                <w:szCs w:val="21"/>
                <w:highlight w:val="none"/>
                <w:lang w:eastAsia="zh-CN"/>
              </w:rPr>
            </w:pPr>
            <w:r>
              <w:rPr>
                <w:rFonts w:hint="eastAsia"/>
                <w:sz w:val="21"/>
                <w:szCs w:val="21"/>
                <w:highlight w:val="none"/>
                <w:lang w:eastAsia="zh-CN"/>
              </w:rPr>
              <w:t xml:space="preserve">（5）未提供相关内容不得分。</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4分</w:t>
            </w:r>
            <w:r/>
          </w:p>
        </w:tc>
      </w:tr>
      <w:tr>
        <w:trPr>
          <w:trHeight w:val="2653"/>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2.4</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突发事件应急处理预案</w:t>
            </w:r>
            <w:r/>
          </w:p>
        </w:tc>
        <w:tc>
          <w:tcPr>
            <w:tcW w:w="7017"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评委根据供应商提供的针对本项目突发事件应急处理预案（包含各类突发事件应急处理预案如保洁服务中突发情况的应急处理预案、公共安全类突发事件应急处理预案等）综合评分：</w:t>
            </w:r>
            <w:r/>
          </w:p>
          <w:p>
            <w:pPr>
              <w:jc w:val="both"/>
              <w:rPr>
                <w:rFonts w:hint="eastAsia"/>
                <w:sz w:val="21"/>
                <w:szCs w:val="21"/>
                <w:highlight w:val="none"/>
                <w:lang w:eastAsia="zh-CN"/>
              </w:rPr>
            </w:pPr>
            <w:r>
              <w:rPr>
                <w:rFonts w:hint="eastAsia"/>
                <w:sz w:val="21"/>
                <w:szCs w:val="21"/>
                <w:highlight w:val="none"/>
                <w:lang w:eastAsia="zh-CN"/>
              </w:rPr>
              <w:t xml:space="preserve">（1）针对项目的实际情况编制的突发事件应急处理预案全面完善，针对性强，可实施性强的得4 分；</w:t>
            </w:r>
            <w:r/>
          </w:p>
          <w:p>
            <w:pPr>
              <w:jc w:val="both"/>
              <w:rPr>
                <w:rFonts w:hint="eastAsia"/>
                <w:sz w:val="21"/>
                <w:szCs w:val="21"/>
                <w:highlight w:val="none"/>
                <w:lang w:eastAsia="zh-CN"/>
              </w:rPr>
            </w:pPr>
            <w:r>
              <w:rPr>
                <w:rFonts w:hint="eastAsia"/>
                <w:sz w:val="21"/>
                <w:szCs w:val="21"/>
                <w:highlight w:val="none"/>
                <w:lang w:eastAsia="zh-CN"/>
              </w:rPr>
              <w:t xml:space="preserve">（2）针对项目的实际情况编制的突发事件应急处理预案较为全面完善，针对性较强，可实施性较强的得3分；</w:t>
            </w:r>
            <w:r/>
          </w:p>
          <w:p>
            <w:pPr>
              <w:jc w:val="both"/>
              <w:rPr>
                <w:rFonts w:hint="eastAsia"/>
                <w:sz w:val="21"/>
                <w:szCs w:val="21"/>
                <w:highlight w:val="none"/>
                <w:lang w:eastAsia="zh-CN"/>
              </w:rPr>
            </w:pPr>
            <w:r>
              <w:rPr>
                <w:rFonts w:hint="eastAsia"/>
                <w:sz w:val="21"/>
                <w:szCs w:val="21"/>
                <w:highlight w:val="none"/>
                <w:lang w:eastAsia="zh-CN"/>
              </w:rPr>
              <w:t xml:space="preserve">（3）突发事件应急处理预案基本全面，针对性一般，可实施性较弱的得2分；</w:t>
            </w:r>
            <w:r/>
          </w:p>
          <w:p>
            <w:pPr>
              <w:jc w:val="both"/>
              <w:rPr>
                <w:rFonts w:hint="eastAsia"/>
                <w:sz w:val="21"/>
                <w:szCs w:val="21"/>
                <w:highlight w:val="none"/>
                <w:lang w:eastAsia="zh-CN"/>
              </w:rPr>
            </w:pPr>
            <w:r>
              <w:rPr>
                <w:rFonts w:hint="eastAsia"/>
                <w:sz w:val="21"/>
                <w:szCs w:val="21"/>
                <w:highlight w:val="none"/>
                <w:lang w:eastAsia="zh-CN"/>
              </w:rPr>
              <w:t xml:space="preserve">（4）突发事件应急处理预案不够全面，且针对性不强，或和项目的实际需求不吻合的得1分；</w:t>
            </w:r>
            <w:r/>
          </w:p>
          <w:p>
            <w:pPr>
              <w:jc w:val="both"/>
              <w:rPr>
                <w:rFonts w:hint="eastAsia"/>
                <w:sz w:val="21"/>
                <w:szCs w:val="21"/>
                <w:highlight w:val="none"/>
                <w:lang w:eastAsia="zh-CN"/>
              </w:rPr>
            </w:pPr>
            <w:r>
              <w:rPr>
                <w:rFonts w:hint="eastAsia"/>
                <w:sz w:val="21"/>
                <w:szCs w:val="21"/>
                <w:highlight w:val="none"/>
                <w:lang w:eastAsia="zh-CN"/>
              </w:rPr>
              <w:t xml:space="preserve">（5）未提供相关内容不得分。</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4分</w:t>
            </w:r>
            <w:r/>
          </w:p>
        </w:tc>
      </w:tr>
      <w:tr>
        <w:trPr>
          <w:trHeight w:val="843"/>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2.5</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人员管理方案</w:t>
            </w:r>
            <w:r/>
          </w:p>
        </w:tc>
        <w:tc>
          <w:tcPr>
            <w:tcW w:w="7017"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评委根据供应商提供本项目的人员管理方案（包括人员部门设置、人员配备、岗位设置及职责、人员培训及考核等）综合评分：</w:t>
            </w:r>
            <w:r/>
          </w:p>
          <w:p>
            <w:pPr>
              <w:jc w:val="both"/>
              <w:rPr>
                <w:rFonts w:hint="eastAsia"/>
                <w:sz w:val="21"/>
                <w:szCs w:val="21"/>
                <w:highlight w:val="none"/>
                <w:lang w:eastAsia="zh-CN"/>
              </w:rPr>
            </w:pPr>
            <w:r>
              <w:rPr>
                <w:rFonts w:hint="eastAsia"/>
                <w:sz w:val="21"/>
                <w:szCs w:val="21"/>
                <w:highlight w:val="none"/>
                <w:lang w:eastAsia="zh-CN"/>
              </w:rPr>
              <w:t xml:space="preserve">（1）方案全面，有详细内容，针对性强的得4分；</w:t>
            </w:r>
            <w:r/>
          </w:p>
          <w:p>
            <w:pPr>
              <w:jc w:val="both"/>
              <w:rPr>
                <w:rFonts w:hint="eastAsia"/>
                <w:sz w:val="21"/>
                <w:szCs w:val="21"/>
                <w:highlight w:val="none"/>
                <w:lang w:eastAsia="zh-CN"/>
              </w:rPr>
            </w:pPr>
            <w:r>
              <w:rPr>
                <w:rFonts w:hint="eastAsia"/>
                <w:sz w:val="21"/>
                <w:szCs w:val="21"/>
                <w:highlight w:val="none"/>
                <w:lang w:eastAsia="zh-CN"/>
              </w:rPr>
              <w:t xml:space="preserve">（2）方案基本全面，有较详细的内容，具备一定的针对性得3分；</w:t>
            </w:r>
            <w:r/>
          </w:p>
          <w:p>
            <w:pPr>
              <w:jc w:val="both"/>
              <w:rPr>
                <w:rFonts w:hint="eastAsia"/>
                <w:sz w:val="21"/>
                <w:szCs w:val="21"/>
                <w:highlight w:val="none"/>
                <w:lang w:eastAsia="zh-CN"/>
              </w:rPr>
            </w:pPr>
            <w:r>
              <w:rPr>
                <w:rFonts w:hint="eastAsia"/>
                <w:sz w:val="21"/>
                <w:szCs w:val="21"/>
                <w:highlight w:val="none"/>
                <w:lang w:eastAsia="zh-CN"/>
              </w:rPr>
              <w:t xml:space="preserve">（3）方案一般、内容一般、针对性一般得2分；</w:t>
            </w:r>
            <w:r/>
          </w:p>
          <w:p>
            <w:pPr>
              <w:jc w:val="both"/>
              <w:rPr>
                <w:rFonts w:hint="eastAsia"/>
                <w:sz w:val="21"/>
                <w:szCs w:val="21"/>
                <w:highlight w:val="none"/>
                <w:lang w:eastAsia="zh-CN"/>
              </w:rPr>
            </w:pPr>
            <w:r>
              <w:rPr>
                <w:rFonts w:hint="eastAsia"/>
                <w:sz w:val="21"/>
                <w:szCs w:val="21"/>
                <w:highlight w:val="none"/>
                <w:lang w:eastAsia="zh-CN"/>
              </w:rPr>
              <w:t xml:space="preserve">（4）方案不合理，与实际需求完全不吻合的得1分；</w:t>
            </w:r>
            <w:r/>
          </w:p>
          <w:p>
            <w:pPr>
              <w:jc w:val="both"/>
              <w:rPr>
                <w:rFonts w:hint="eastAsia"/>
                <w:sz w:val="21"/>
                <w:szCs w:val="21"/>
                <w:highlight w:val="none"/>
                <w:lang w:eastAsia="zh-CN"/>
              </w:rPr>
            </w:pPr>
            <w:r>
              <w:rPr>
                <w:rFonts w:hint="eastAsia"/>
                <w:sz w:val="21"/>
                <w:szCs w:val="21"/>
                <w:highlight w:val="none"/>
                <w:lang w:eastAsia="zh-CN"/>
              </w:rPr>
              <w:t xml:space="preserve">（5）未提供相关内容的不得分。</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4分</w:t>
            </w:r>
            <w:r/>
          </w:p>
        </w:tc>
      </w:tr>
      <w:tr>
        <w:trPr>
          <w:trHeight w:val="313"/>
        </w:trPr>
        <w:tc>
          <w:tcPr>
            <w:gridSpan w:val="4"/>
            <w:tcW w:w="9240"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3.</w:t>
            </w:r>
            <w:r>
              <w:rPr>
                <w:rFonts w:hint="eastAsia"/>
                <w:sz w:val="21"/>
                <w:szCs w:val="21"/>
                <w:highlight w:val="none"/>
              </w:rPr>
              <w:t xml:space="preserve">业绩</w:t>
            </w:r>
            <w:r/>
          </w:p>
        </w:tc>
      </w:tr>
      <w:tr>
        <w:trPr>
          <w:trHeight w:val="865"/>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3.1</w:t>
            </w:r>
            <w:r/>
          </w:p>
        </w:tc>
        <w:tc>
          <w:tcPr>
            <w:tcW w:w="829"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业绩</w:t>
            </w:r>
            <w:r/>
          </w:p>
        </w:tc>
        <w:tc>
          <w:tcPr>
            <w:tcW w:w="7017"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供应商提供自202</w:t>
            </w:r>
            <w:r>
              <w:rPr>
                <w:rFonts w:hint="eastAsia"/>
                <w:sz w:val="21"/>
                <w:szCs w:val="21"/>
                <w:highlight w:val="none"/>
                <w:lang w:val="en-US" w:eastAsia="zh-CN"/>
              </w:rPr>
              <w:t xml:space="preserve">3</w:t>
            </w:r>
            <w:r>
              <w:rPr>
                <w:rFonts w:hint="eastAsia"/>
                <w:sz w:val="21"/>
                <w:szCs w:val="21"/>
                <w:highlight w:val="none"/>
                <w:lang w:eastAsia="zh-CN"/>
              </w:rPr>
              <w:t xml:space="preserve">年</w:t>
            </w:r>
            <w:r>
              <w:rPr>
                <w:rFonts w:hint="eastAsia"/>
                <w:sz w:val="21"/>
                <w:szCs w:val="21"/>
                <w:highlight w:val="none"/>
                <w:lang w:val="en-US" w:eastAsia="zh-CN"/>
              </w:rPr>
              <w:t xml:space="preserve">7</w:t>
            </w:r>
            <w:r>
              <w:rPr>
                <w:rFonts w:hint="eastAsia"/>
                <w:sz w:val="21"/>
                <w:szCs w:val="21"/>
                <w:highlight w:val="none"/>
                <w:lang w:eastAsia="zh-CN"/>
              </w:rPr>
              <w:t xml:space="preserve">月1日 (以合同签订时间为准)以来承接的</w:t>
            </w:r>
            <w:r>
              <w:rPr>
                <w:rFonts w:hint="eastAsia"/>
                <w:sz w:val="21"/>
                <w:szCs w:val="21"/>
                <w:highlight w:val="none"/>
                <w:lang w:val="en-US" w:eastAsia="zh-CN"/>
              </w:rPr>
              <w:t xml:space="preserve">医院或者卫生院类似</w:t>
            </w:r>
            <w:r>
              <w:rPr>
                <w:rFonts w:hint="eastAsia"/>
                <w:sz w:val="21"/>
                <w:szCs w:val="21"/>
                <w:highlight w:val="none"/>
                <w:lang w:eastAsia="zh-CN"/>
              </w:rPr>
              <w:t xml:space="preserve">物业管理服务项目(服务内容必须</w:t>
            </w:r>
            <w:r>
              <w:rPr>
                <w:rFonts w:hint="eastAsia"/>
                <w:sz w:val="21"/>
                <w:szCs w:val="21"/>
                <w:highlight w:val="none"/>
                <w:lang w:val="en-US" w:eastAsia="zh-CN"/>
              </w:rPr>
              <w:t xml:space="preserve">同时</w:t>
            </w:r>
            <w:r>
              <w:rPr>
                <w:rFonts w:hint="eastAsia"/>
                <w:sz w:val="21"/>
                <w:szCs w:val="21"/>
                <w:highlight w:val="none"/>
                <w:lang w:eastAsia="zh-CN"/>
              </w:rPr>
              <w:t xml:space="preserve">包含保洁服务、保安服务、工程维修服务</w:t>
            </w:r>
            <w:r>
              <w:rPr>
                <w:rFonts w:hint="eastAsia"/>
                <w:sz w:val="21"/>
                <w:szCs w:val="21"/>
                <w:highlight w:val="none"/>
                <w:lang w:val="en-US" w:eastAsia="zh-CN"/>
              </w:rPr>
              <w:t xml:space="preserve">等</w:t>
            </w:r>
            <w:r>
              <w:rPr>
                <w:rFonts w:hint="eastAsia"/>
                <w:sz w:val="21"/>
                <w:szCs w:val="21"/>
                <w:highlight w:val="none"/>
                <w:lang w:eastAsia="zh-CN"/>
              </w:rPr>
              <w:t xml:space="preserve">)成功案例。每提供一个业绩得</w:t>
            </w:r>
            <w:r>
              <w:rPr>
                <w:rFonts w:hint="eastAsia"/>
                <w:sz w:val="21"/>
                <w:szCs w:val="21"/>
                <w:highlight w:val="none"/>
                <w:lang w:val="en-US" w:eastAsia="zh-CN"/>
              </w:rPr>
              <w:t xml:space="preserve">2</w:t>
            </w:r>
            <w:r>
              <w:rPr>
                <w:rFonts w:hint="eastAsia"/>
                <w:sz w:val="21"/>
                <w:szCs w:val="21"/>
                <w:highlight w:val="none"/>
                <w:lang w:eastAsia="zh-CN"/>
              </w:rPr>
              <w:t xml:space="preserve">分，最多得</w:t>
            </w:r>
            <w:r>
              <w:rPr>
                <w:rFonts w:hint="eastAsia"/>
                <w:sz w:val="21"/>
                <w:szCs w:val="21"/>
                <w:highlight w:val="none"/>
                <w:lang w:val="en-US" w:eastAsia="zh-CN"/>
              </w:rPr>
              <w:t xml:space="preserve">6</w:t>
            </w:r>
            <w:r>
              <w:rPr>
                <w:rFonts w:hint="eastAsia"/>
                <w:sz w:val="21"/>
                <w:szCs w:val="21"/>
                <w:highlight w:val="none"/>
                <w:lang w:eastAsia="zh-CN"/>
              </w:rPr>
              <w:t xml:space="preserve">分。</w:t>
            </w:r>
            <w:r/>
          </w:p>
          <w:p>
            <w:pPr>
              <w:jc w:val="both"/>
              <w:rPr>
                <w:rFonts w:hint="eastAsia" w:eastAsia="宋体"/>
                <w:sz w:val="21"/>
                <w:szCs w:val="21"/>
                <w:highlight w:val="none"/>
                <w:lang w:val="en-US" w:eastAsia="zh-CN"/>
              </w:rPr>
            </w:pPr>
            <w:r>
              <w:rPr>
                <w:rFonts w:hint="eastAsia"/>
                <w:sz w:val="21"/>
                <w:szCs w:val="21"/>
                <w:highlight w:val="none"/>
                <w:lang w:val="zh-CN" w:eastAsia="zh-CN"/>
              </w:rPr>
              <w:t xml:space="preserve">（</w:t>
            </w:r>
            <w:r>
              <w:rPr>
                <w:rFonts w:hint="eastAsia"/>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以合同签订时间为准，提供项目合同复印件</w:t>
            </w:r>
            <w:r>
              <w:rPr>
                <w:rFonts w:hint="eastAsia"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任意一期发票及银行收款凭证原件扫描件</w:t>
            </w:r>
            <w:r>
              <w:rPr>
                <w:rFonts w:hint="eastAsia" w:eastAsia="宋体" w:cs="Times New Roman"/>
                <w:color w:val="auto"/>
                <w:sz w:val="21"/>
                <w:szCs w:val="21"/>
                <w:highlight w:val="none"/>
                <w:lang w:val="en-US" w:eastAsia="zh-CN"/>
              </w:rPr>
              <w:t xml:space="preserve">并</w:t>
            </w:r>
            <w:r>
              <w:rPr>
                <w:rFonts w:hint="default" w:ascii="Times New Roman" w:hAnsi="Times New Roman" w:eastAsia="宋体" w:cs="Times New Roman"/>
                <w:color w:val="auto"/>
                <w:sz w:val="21"/>
                <w:szCs w:val="21"/>
                <w:highlight w:val="none"/>
              </w:rPr>
              <w:t xml:space="preserve">加盖投标人公章，三者缺一不可，中标后提供原件备查</w:t>
            </w:r>
            <w:r>
              <w:rPr>
                <w:rFonts w:hint="eastAsia" w:ascii="Times New Roman" w:hAnsi="Times New Roman" w:eastAsia="宋体" w:cs="Times New Roman"/>
                <w:color w:val="auto"/>
                <w:sz w:val="21"/>
                <w:szCs w:val="21"/>
                <w:highlight w:val="none"/>
                <w:lang w:eastAsia="zh-CN"/>
              </w:rPr>
              <w:t xml:space="preserve">。</w:t>
            </w:r>
            <w:r/>
          </w:p>
          <w:p>
            <w:pPr>
              <w:jc w:val="both"/>
              <w:rPr>
                <w:rFonts w:hint="eastAsia"/>
                <w:sz w:val="21"/>
                <w:szCs w:val="21"/>
                <w:highlight w:val="none"/>
                <w:lang w:eastAsia="zh-CN"/>
              </w:rPr>
            </w:pPr>
            <w:r>
              <w:rPr>
                <w:rFonts w:hint="eastAsia"/>
                <w:sz w:val="21"/>
                <w:szCs w:val="21"/>
                <w:highlight w:val="none"/>
                <w:lang w:eastAsia="zh-CN"/>
              </w:rPr>
              <w:t xml:space="preserve">（2）同一业主单位的多个业绩仅作为一个业绩，不累计得分。</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val="en-US" w:eastAsia="zh-CN"/>
              </w:rPr>
              <w:t xml:space="preserve">6</w:t>
            </w:r>
            <w:r>
              <w:rPr>
                <w:rFonts w:hint="eastAsia"/>
                <w:sz w:val="21"/>
                <w:szCs w:val="21"/>
                <w:highlight w:val="none"/>
                <w:lang w:eastAsia="zh-CN"/>
              </w:rPr>
              <w:t xml:space="preserve">分</w:t>
            </w:r>
            <w:r/>
          </w:p>
        </w:tc>
      </w:tr>
      <w:tr>
        <w:trPr>
          <w:trHeight w:val="865"/>
        </w:trPr>
        <w:tc>
          <w:tcPr>
            <w:tcW w:w="593" w:type="dxa"/>
            <w:vAlign w:val="center"/>
            <w:textDirection w:val="lrTb"/>
            <w:noWrap w:val="false"/>
          </w:tcPr>
          <w:p>
            <w:pPr>
              <w:jc w:val="both"/>
              <w:rPr>
                <w:rFonts w:hint="default"/>
                <w:sz w:val="21"/>
                <w:szCs w:val="21"/>
                <w:highlight w:val="none"/>
                <w:lang w:val="en-US" w:eastAsia="zh-CN"/>
              </w:rPr>
            </w:pPr>
            <w:r>
              <w:rPr>
                <w:rFonts w:hint="eastAsia"/>
                <w:sz w:val="21"/>
                <w:szCs w:val="21"/>
                <w:highlight w:val="none"/>
                <w:lang w:val="en-US" w:eastAsia="zh-CN"/>
              </w:rPr>
              <w:t xml:space="preserve">3.2</w:t>
            </w:r>
            <w:r/>
          </w:p>
        </w:tc>
        <w:tc>
          <w:tcPr>
            <w:tcW w:w="829" w:type="dxa"/>
            <w:vAlign w:val="center"/>
            <w:textDirection w:val="lrTb"/>
            <w:noWrap w:val="false"/>
          </w:tcPr>
          <w:p>
            <w:pPr>
              <w:jc w:val="left"/>
              <w:rPr>
                <w:rFonts w:hint="eastAsia"/>
                <w:sz w:val="21"/>
                <w:szCs w:val="21"/>
                <w:highlight w:val="none"/>
                <w:lang w:eastAsia="zh-CN"/>
              </w:rPr>
            </w:pPr>
            <w:r>
              <w:rPr>
                <w:rFonts w:hint="default"/>
                <w:sz w:val="21"/>
                <w:szCs w:val="21"/>
                <w:highlight w:val="none"/>
                <w:lang w:eastAsia="zh-CN"/>
              </w:rPr>
              <w:t xml:space="preserve">履约评价</w:t>
            </w:r>
            <w:r/>
          </w:p>
        </w:tc>
        <w:tc>
          <w:tcPr>
            <w:tcW w:w="7017" w:type="dxa"/>
            <w:vAlign w:val="center"/>
            <w:textDirection w:val="lrTb"/>
            <w:noWrap w:val="false"/>
          </w:tcPr>
          <w:p>
            <w:pPr>
              <w:jc w:val="both"/>
              <w:rPr>
                <w:rFonts w:hint="eastAsia"/>
                <w:sz w:val="21"/>
                <w:szCs w:val="21"/>
                <w:highlight w:val="none"/>
                <w:lang w:eastAsia="zh-CN"/>
              </w:rPr>
            </w:pPr>
            <w:r>
              <w:rPr>
                <w:rFonts w:hint="default" w:ascii="Times New Roman" w:hAnsi="Times New Roman" w:eastAsia="宋体" w:cs="Times New Roman"/>
                <w:color w:val="auto"/>
                <w:sz w:val="21"/>
                <w:szCs w:val="21"/>
                <w:highlight w:val="none"/>
              </w:rPr>
              <w:t xml:space="preserve">在提供</w:t>
            </w:r>
            <w:bookmarkStart w:id="172" w:name="_GoBack"/>
            <w:r/>
            <w:bookmarkEnd w:id="172"/>
            <w:r>
              <w:rPr>
                <w:rFonts w:hint="default" w:ascii="Times New Roman" w:hAnsi="Times New Roman" w:eastAsia="宋体" w:cs="Times New Roman"/>
                <w:color w:val="auto"/>
                <w:sz w:val="21"/>
                <w:szCs w:val="21"/>
                <w:highlight w:val="none"/>
              </w:rPr>
              <w:t xml:space="preserve">业绩的基础上，同时提供业主对业绩履约评价为优秀、满意等同等级评的得2分（履约评价需体现业主单位联系人及联系电话，加盖业主单位公章)，本项最多得</w:t>
            </w:r>
            <w:r>
              <w:rPr>
                <w:rFonts w:hint="eastAsia"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分，同一业主单位的多个业绩仅计分一次，不重复计分。</w:t>
            </w:r>
            <w:r>
              <w:rPr>
                <w:rFonts w:hint="eastAsia" w:eastAsia="宋体" w:cs="Times New Roman"/>
                <w:color w:val="auto"/>
                <w:sz w:val="21"/>
                <w:szCs w:val="21"/>
                <w:highlight w:val="none"/>
                <w:lang w:val="en-US" w:eastAsia="zh-CN"/>
              </w:rPr>
              <w:t xml:space="preserve">提供</w:t>
            </w:r>
            <w:r>
              <w:rPr>
                <w:rFonts w:hint="default" w:ascii="Times New Roman" w:hAnsi="Times New Roman" w:eastAsia="宋体" w:cs="Times New Roman"/>
                <w:color w:val="auto"/>
                <w:sz w:val="21"/>
                <w:szCs w:val="21"/>
                <w:highlight w:val="none"/>
              </w:rPr>
              <w:t xml:space="preserve">履约评价原件扫描件，所提供证明资料需满足上述要求且反应相关情况，否则视为未提供。</w:t>
            </w:r>
            <w:r/>
          </w:p>
        </w:tc>
        <w:tc>
          <w:tcPr>
            <w:tcW w:w="801" w:type="dxa"/>
            <w:vAlign w:val="center"/>
            <w:textDirection w:val="lrTb"/>
            <w:noWrap w:val="false"/>
          </w:tcPr>
          <w:p>
            <w:pPr>
              <w:jc w:val="both"/>
              <w:rPr>
                <w:rFonts w:hint="default"/>
                <w:sz w:val="21"/>
                <w:szCs w:val="21"/>
                <w:highlight w:val="none"/>
                <w:lang w:val="en-US" w:eastAsia="zh-CN"/>
              </w:rPr>
            </w:pPr>
            <w:r>
              <w:rPr>
                <w:rFonts w:hint="eastAsia"/>
                <w:sz w:val="21"/>
                <w:szCs w:val="21"/>
                <w:highlight w:val="none"/>
                <w:lang w:val="en-US" w:eastAsia="zh-CN"/>
              </w:rPr>
              <w:t xml:space="preserve">4分</w:t>
            </w:r>
            <w:r/>
          </w:p>
        </w:tc>
      </w:tr>
      <w:tr>
        <w:trPr>
          <w:trHeight w:val="375"/>
        </w:trPr>
        <w:tc>
          <w:tcPr>
            <w:gridSpan w:val="4"/>
            <w:tcW w:w="9240"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4.履约能力</w:t>
            </w:r>
            <w:r/>
          </w:p>
        </w:tc>
      </w:tr>
      <w:tr>
        <w:trPr>
          <w:trHeight w:val="2483"/>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rPr>
              <w:t xml:space="preserve">4.1</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项目</w:t>
            </w:r>
            <w:r>
              <w:rPr>
                <w:rFonts w:hint="eastAsia"/>
                <w:sz w:val="21"/>
                <w:szCs w:val="21"/>
                <w:highlight w:val="none"/>
                <w:lang w:val="en-US" w:eastAsia="zh-CN"/>
              </w:rPr>
              <w:t xml:space="preserve">负责人</w:t>
            </w:r>
            <w:r/>
          </w:p>
        </w:tc>
        <w:tc>
          <w:tcPr>
            <w:tcW w:w="7017" w:type="dxa"/>
            <w:vAlign w:val="center"/>
            <w:textDirection w:val="lrTb"/>
            <w:noWrap w:val="false"/>
          </w:tcPr>
          <w:p>
            <w:pPr>
              <w:jc w:val="both"/>
              <w:rPr>
                <w:rFonts w:hint="eastAsia"/>
                <w:sz w:val="21"/>
                <w:szCs w:val="21"/>
                <w:highlight w:val="none"/>
                <w:lang w:eastAsia="zh-CN"/>
              </w:rPr>
            </w:pPr>
            <w:r/>
            <w:bookmarkStart w:id="161" w:name="OLE_LINK9"/>
            <w:r/>
            <w:bookmarkStart w:id="162" w:name="OLE_LINK2"/>
            <w:r>
              <w:rPr>
                <w:rFonts w:hint="eastAsia"/>
                <w:sz w:val="21"/>
                <w:szCs w:val="21"/>
                <w:highlight w:val="none"/>
              </w:rPr>
              <w:t xml:space="preserve">供应商</w:t>
            </w:r>
            <w:bookmarkEnd w:id="161"/>
            <w:r>
              <w:rPr>
                <w:rFonts w:hint="eastAsia"/>
                <w:sz w:val="21"/>
                <w:szCs w:val="21"/>
                <w:highlight w:val="none"/>
              </w:rPr>
              <w:t xml:space="preserve">拟派物业</w:t>
            </w:r>
            <w:r>
              <w:rPr>
                <w:rFonts w:hint="eastAsia"/>
                <w:sz w:val="21"/>
                <w:szCs w:val="21"/>
                <w:highlight w:val="none"/>
                <w:lang w:eastAsia="zh-CN"/>
              </w:rPr>
              <w:t xml:space="preserve">项目</w:t>
            </w:r>
            <w:r>
              <w:rPr>
                <w:rFonts w:hint="eastAsia"/>
                <w:sz w:val="21"/>
                <w:szCs w:val="21"/>
                <w:highlight w:val="none"/>
                <w:lang w:val="en-US" w:eastAsia="zh-CN"/>
              </w:rPr>
              <w:t xml:space="preserve">负责人50（含）周岁以下</w:t>
            </w:r>
            <w:r>
              <w:rPr>
                <w:rFonts w:hint="eastAsia"/>
                <w:sz w:val="21"/>
                <w:szCs w:val="21"/>
                <w:highlight w:val="none"/>
                <w:lang w:eastAsia="zh-CN"/>
              </w:rPr>
              <w:t xml:space="preserve">：</w:t>
            </w:r>
            <w:bookmarkEnd w:id="162"/>
            <w:r/>
            <w:r/>
          </w:p>
          <w:p>
            <w:pPr>
              <w:jc w:val="both"/>
              <w:rPr>
                <w:rFonts w:hint="eastAsia"/>
                <w:sz w:val="21"/>
                <w:szCs w:val="21"/>
                <w:highlight w:val="none"/>
                <w:lang w:val="en-US" w:eastAsia="zh-CN"/>
              </w:rPr>
            </w:pPr>
            <w:r>
              <w:rPr>
                <w:rFonts w:hint="eastAsia"/>
                <w:sz w:val="21"/>
                <w:szCs w:val="21"/>
                <w:highlight w:val="none"/>
                <w:lang w:val="en-US" w:eastAsia="zh-CN"/>
              </w:rPr>
              <w:t xml:space="preserve">（1）</w:t>
            </w:r>
            <w:r>
              <w:rPr>
                <w:rFonts w:hint="eastAsia"/>
                <w:sz w:val="21"/>
                <w:szCs w:val="21"/>
                <w:highlight w:val="none"/>
              </w:rPr>
              <w:t xml:space="preserve">具有3年及以上项目负责人或项目经理工作经验的</w:t>
            </w:r>
            <w:r>
              <w:rPr>
                <w:rFonts w:hint="eastAsia"/>
                <w:sz w:val="21"/>
                <w:szCs w:val="21"/>
                <w:highlight w:val="none"/>
                <w:lang w:eastAsia="zh-CN"/>
              </w:rPr>
              <w:t xml:space="preserve">，</w:t>
            </w:r>
            <w:r>
              <w:rPr>
                <w:rFonts w:hint="eastAsia"/>
                <w:sz w:val="21"/>
                <w:szCs w:val="21"/>
                <w:highlight w:val="none"/>
                <w:lang w:val="en-US" w:eastAsia="zh-CN"/>
              </w:rPr>
              <w:t xml:space="preserve">得2分</w:t>
            </w:r>
            <w:r>
              <w:rPr>
                <w:rFonts w:hint="eastAsia"/>
                <w:sz w:val="21"/>
                <w:szCs w:val="21"/>
                <w:highlight w:val="none"/>
              </w:rPr>
              <w:t xml:space="preserve">。</w:t>
            </w:r>
            <w:r>
              <w:rPr>
                <w:rFonts w:hint="eastAsia"/>
                <w:sz w:val="21"/>
                <w:szCs w:val="21"/>
                <w:highlight w:val="none"/>
                <w:lang w:eastAsia="zh-CN"/>
              </w:rPr>
              <w:t xml:space="preserve">（</w:t>
            </w:r>
            <w:r>
              <w:rPr>
                <w:rFonts w:hint="eastAsia"/>
                <w:sz w:val="21"/>
                <w:szCs w:val="21"/>
                <w:highlight w:val="none"/>
              </w:rPr>
              <w:t xml:space="preserve">提供加盖业主单位公章的工作经验证明材料，需体现人员姓名、岗位及工作年限。</w:t>
            </w:r>
            <w:r>
              <w:rPr>
                <w:rFonts w:hint="eastAsia"/>
                <w:sz w:val="21"/>
                <w:szCs w:val="21"/>
                <w:highlight w:val="none"/>
                <w:lang w:eastAsia="zh-CN"/>
              </w:rPr>
              <w:t xml:space="preserve">）</w:t>
            </w:r>
            <w:r/>
          </w:p>
          <w:p>
            <w:pPr>
              <w:jc w:val="both"/>
              <w:rPr>
                <w:rFonts w:hint="eastAsia"/>
                <w:sz w:val="21"/>
                <w:szCs w:val="21"/>
                <w:highlight w:val="none"/>
                <w:lang w:val="en-US" w:eastAsia="zh-CN"/>
              </w:rPr>
            </w:pPr>
            <w:r>
              <w:rPr>
                <w:rFonts w:hint="eastAsia"/>
                <w:sz w:val="21"/>
                <w:szCs w:val="21"/>
                <w:highlight w:val="none"/>
                <w:lang w:val="en-US" w:eastAsia="zh-CN"/>
              </w:rPr>
              <w:t xml:space="preserve">（2）项目经理具备物业管理师或项目经理证得2分</w:t>
            </w:r>
            <w:r>
              <w:rPr>
                <w:rFonts w:hint="eastAsia"/>
                <w:sz w:val="21"/>
                <w:szCs w:val="21"/>
                <w:highlight w:val="none"/>
              </w:rPr>
              <w:t xml:space="preserve">。</w:t>
            </w:r>
            <w:r>
              <w:rPr>
                <w:rFonts w:hint="eastAsia"/>
                <w:sz w:val="21"/>
                <w:szCs w:val="21"/>
                <w:highlight w:val="none"/>
                <w:lang w:eastAsia="zh-CN"/>
              </w:rPr>
              <w:t xml:space="preserve">（</w:t>
            </w:r>
            <w:r>
              <w:rPr>
                <w:rFonts w:hint="eastAsia"/>
                <w:sz w:val="21"/>
                <w:szCs w:val="21"/>
                <w:highlight w:val="none"/>
                <w:lang w:val="en-US" w:eastAsia="zh-CN"/>
              </w:rPr>
              <w:t xml:space="preserve">提供证书）</w:t>
            </w:r>
            <w:r/>
          </w:p>
          <w:p>
            <w:pPr>
              <w:jc w:val="both"/>
              <w:rPr>
                <w:rFonts w:hint="eastAsia"/>
                <w:sz w:val="21"/>
                <w:szCs w:val="21"/>
                <w:highlight w:val="none"/>
                <w:lang w:val="en-US" w:eastAsia="zh-CN"/>
              </w:rPr>
            </w:pPr>
            <w:r>
              <w:rPr>
                <w:rFonts w:hint="eastAsia"/>
                <w:sz w:val="21"/>
                <w:szCs w:val="21"/>
                <w:highlight w:val="none"/>
                <w:lang w:val="en-US" w:eastAsia="zh-CN"/>
              </w:rPr>
              <w:t xml:space="preserve">（3）项目经理具有政府部门颁发的荣誉证书得2分</w:t>
            </w:r>
            <w:r>
              <w:rPr>
                <w:rFonts w:hint="eastAsia"/>
                <w:sz w:val="21"/>
                <w:szCs w:val="21"/>
                <w:highlight w:val="none"/>
              </w:rPr>
              <w:t xml:space="preserve">。（</w:t>
            </w:r>
            <w:r>
              <w:rPr>
                <w:rFonts w:hint="eastAsia"/>
                <w:sz w:val="21"/>
                <w:szCs w:val="21"/>
                <w:highlight w:val="none"/>
                <w:lang w:val="en-US" w:eastAsia="zh-CN"/>
              </w:rPr>
              <w:t xml:space="preserve">提供相关荣誉证书</w:t>
            </w:r>
            <w:r>
              <w:rPr>
                <w:rFonts w:hint="eastAsia"/>
                <w:sz w:val="21"/>
                <w:szCs w:val="21"/>
                <w:highlight w:val="none"/>
              </w:rPr>
              <w:t xml:space="preserve">）</w:t>
            </w:r>
            <w:r/>
          </w:p>
          <w:p>
            <w:pPr>
              <w:jc w:val="both"/>
              <w:rPr>
                <w:rFonts w:hint="eastAsia"/>
                <w:sz w:val="21"/>
                <w:szCs w:val="21"/>
                <w:highlight w:val="none"/>
                <w:lang w:eastAsia="zh-CN"/>
              </w:rPr>
            </w:pPr>
            <w:r>
              <w:rPr>
                <w:rFonts w:hint="eastAsia"/>
                <w:sz w:val="21"/>
                <w:szCs w:val="21"/>
                <w:highlight w:val="none"/>
                <w:lang w:val="en-US" w:eastAsia="zh-CN"/>
              </w:rPr>
              <w:t xml:space="preserve">同时提供身份证复印件、劳动合同及近半年内投标供应商为其缴纳任意一个月的社保证明等材料加盖公章。</w:t>
            </w:r>
            <w:r>
              <w:rPr>
                <w:rFonts w:hint="eastAsia" w:ascii="宋体" w:hAnsi="宋体" w:eastAsia="宋体" w:cs="宋体"/>
                <w:highlight w:val="none"/>
                <w:lang w:val="en-US" w:eastAsia="zh-CN"/>
              </w:rPr>
              <w:t xml:space="preserve">材料缺项或未提供的不得分。</w:t>
            </w:r>
            <w:r/>
          </w:p>
        </w:tc>
        <w:tc>
          <w:tcPr>
            <w:tcW w:w="801" w:type="dxa"/>
            <w:vAlign w:val="center"/>
            <w:textDirection w:val="lrTb"/>
            <w:noWrap w:val="false"/>
          </w:tcPr>
          <w:p>
            <w:pPr>
              <w:jc w:val="both"/>
              <w:rPr>
                <w:rFonts w:hint="eastAsia"/>
                <w:sz w:val="21"/>
                <w:szCs w:val="21"/>
                <w:highlight w:val="none"/>
                <w:lang w:val="en-US" w:eastAsia="zh-CN"/>
              </w:rPr>
            </w:pPr>
            <w:r>
              <w:rPr>
                <w:rFonts w:hint="eastAsia"/>
                <w:sz w:val="21"/>
                <w:szCs w:val="21"/>
                <w:highlight w:val="none"/>
                <w:lang w:val="en-US" w:eastAsia="zh-CN"/>
              </w:rPr>
              <w:t xml:space="preserve">6分</w:t>
            </w:r>
            <w:r/>
          </w:p>
        </w:tc>
      </w:tr>
      <w:tr>
        <w:trPr>
          <w:trHeight w:val="995"/>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4.2</w:t>
            </w:r>
            <w:r/>
          </w:p>
        </w:tc>
        <w:tc>
          <w:tcPr>
            <w:tcW w:w="829" w:type="dxa"/>
            <w:vAlign w:val="center"/>
            <w:textDirection w:val="lrTb"/>
            <w:noWrap w:val="false"/>
          </w:tcPr>
          <w:p>
            <w:pPr>
              <w:jc w:val="center"/>
              <w:rPr>
                <w:rFonts w:hint="eastAsia"/>
                <w:sz w:val="21"/>
                <w:szCs w:val="21"/>
                <w:highlight w:val="none"/>
                <w:lang w:val="en-US" w:eastAsia="zh-CN"/>
              </w:rPr>
            </w:pPr>
            <w:r>
              <w:rPr>
                <w:rFonts w:hint="eastAsia"/>
                <w:sz w:val="21"/>
                <w:szCs w:val="21"/>
                <w:highlight w:val="none"/>
                <w:lang w:eastAsia="zh-CN"/>
              </w:rPr>
              <w:t xml:space="preserve">安保人员</w:t>
            </w:r>
            <w:r/>
          </w:p>
        </w:tc>
        <w:tc>
          <w:tcPr>
            <w:shd w:val="clear" w:color="auto" w:fill="auto"/>
            <w:tcW w:w="7017" w:type="dxa"/>
            <w:vAlign w:val="center"/>
            <w:textDirection w:val="lrTb"/>
            <w:noWrap w:val="false"/>
          </w:tcPr>
          <w:p>
            <w:pPr>
              <w:jc w:val="both"/>
              <w:rPr>
                <w:rFonts w:hint="eastAsia"/>
                <w:color w:val="auto"/>
                <w:sz w:val="21"/>
                <w:szCs w:val="21"/>
                <w:highlight w:val="none"/>
                <w:lang w:val="en-US" w:eastAsia="zh-CN"/>
              </w:rPr>
            </w:pPr>
            <w:r/>
            <w:bookmarkStart w:id="163" w:name="OLE_LINK3"/>
            <w:r>
              <w:rPr>
                <w:rFonts w:hint="eastAsia"/>
                <w:sz w:val="21"/>
                <w:szCs w:val="21"/>
                <w:highlight w:val="none"/>
              </w:rPr>
              <w:t xml:space="preserve">供应商</w:t>
            </w:r>
            <w:r>
              <w:rPr>
                <w:rFonts w:hint="eastAsia"/>
                <w:color w:val="auto"/>
                <w:sz w:val="21"/>
                <w:szCs w:val="21"/>
                <w:highlight w:val="none"/>
                <w:lang w:val="en-US" w:eastAsia="zh-CN"/>
              </w:rPr>
              <w:t xml:space="preserve">拟派的保安员具有应急救援证，每提供1人得1分，最高3分。</w:t>
            </w:r>
            <w:r/>
          </w:p>
          <w:p>
            <w:pPr>
              <w:jc w:val="both"/>
              <w:rPr>
                <w:rFonts w:hint="eastAsia"/>
                <w:color w:val="auto"/>
                <w:sz w:val="21"/>
                <w:szCs w:val="21"/>
                <w:highlight w:val="none"/>
                <w:lang w:val="en-US" w:eastAsia="zh-CN"/>
              </w:rPr>
            </w:pPr>
            <w:r>
              <w:rPr>
                <w:rFonts w:hint="eastAsia"/>
                <w:color w:val="auto"/>
                <w:sz w:val="21"/>
                <w:szCs w:val="21"/>
                <w:highlight w:val="none"/>
                <w:lang w:val="en-US" w:eastAsia="zh-CN"/>
              </w:rPr>
              <w:t xml:space="preserve">拟派的保安员具有三级保安员证书，每提供1人得1分，最高1分。</w:t>
            </w:r>
            <w:r/>
          </w:p>
          <w:p>
            <w:pPr>
              <w:jc w:val="both"/>
              <w:rPr>
                <w:rFonts w:hint="default"/>
                <w:color w:val="auto"/>
                <w:highlight w:val="none"/>
                <w:lang w:val="en-US" w:eastAsia="zh-CN"/>
              </w:rPr>
            </w:pPr>
            <w:r>
              <w:rPr>
                <w:rFonts w:hint="eastAsia"/>
                <w:color w:val="auto"/>
                <w:sz w:val="21"/>
                <w:szCs w:val="21"/>
                <w:highlight w:val="none"/>
                <w:lang w:val="en-US" w:eastAsia="zh-CN"/>
              </w:rPr>
              <w:t xml:space="preserve">（以上提供本人技能人才评价证书或人社部门官网查询截图、保安员证书）。</w:t>
            </w:r>
            <w:bookmarkEnd w:id="163"/>
            <w:r/>
            <w:r/>
          </w:p>
          <w:p>
            <w:pPr>
              <w:jc w:val="both"/>
              <w:rPr>
                <w:rFonts w:hint="eastAsia"/>
                <w:sz w:val="21"/>
                <w:szCs w:val="21"/>
                <w:highlight w:val="none"/>
                <w:lang w:eastAsia="zh-CN"/>
              </w:rPr>
            </w:pPr>
            <w:r>
              <w:rPr>
                <w:rFonts w:hint="eastAsia"/>
                <w:sz w:val="21"/>
                <w:szCs w:val="21"/>
                <w:highlight w:val="none"/>
                <w:lang w:val="en-US" w:eastAsia="zh-CN"/>
              </w:rPr>
              <w:t xml:space="preserve">同时提供身份证复印件、劳动合同及近半年内投标供应商为其缴纳任意一个月的社保证明等材料加盖公章。</w:t>
            </w:r>
            <w:r>
              <w:rPr>
                <w:rFonts w:hint="eastAsia" w:ascii="宋体" w:hAnsi="宋体" w:eastAsia="宋体" w:cs="宋体"/>
                <w:highlight w:val="none"/>
                <w:lang w:val="en-US" w:eastAsia="zh-CN"/>
              </w:rPr>
              <w:t xml:space="preserve">材料缺项或未提供的不得分。</w:t>
            </w:r>
            <w:r/>
          </w:p>
        </w:tc>
        <w:tc>
          <w:tcPr>
            <w:tcW w:w="801" w:type="dxa"/>
            <w:vAlign w:val="center"/>
            <w:textDirection w:val="lrTb"/>
            <w:noWrap w:val="false"/>
          </w:tcPr>
          <w:p>
            <w:pPr>
              <w:jc w:val="both"/>
              <w:rPr>
                <w:rFonts w:hint="eastAsia"/>
                <w:sz w:val="21"/>
                <w:szCs w:val="21"/>
                <w:highlight w:val="none"/>
                <w:lang w:val="en-US" w:eastAsia="zh-CN"/>
              </w:rPr>
            </w:pPr>
            <w:r>
              <w:rPr>
                <w:rFonts w:hint="eastAsia"/>
                <w:sz w:val="21"/>
                <w:szCs w:val="21"/>
                <w:highlight w:val="none"/>
                <w:lang w:val="en-US" w:eastAsia="zh-CN"/>
              </w:rPr>
              <w:t xml:space="preserve">4分</w:t>
            </w:r>
            <w:r/>
          </w:p>
        </w:tc>
      </w:tr>
      <w:tr>
        <w:trPr>
          <w:trHeight w:val="995"/>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rPr>
              <w:t xml:space="preserve">4.</w:t>
            </w:r>
            <w:r>
              <w:rPr>
                <w:rFonts w:hint="eastAsia"/>
                <w:sz w:val="21"/>
                <w:szCs w:val="21"/>
                <w:highlight w:val="none"/>
                <w:lang w:val="en-US" w:eastAsia="zh-CN"/>
              </w:rPr>
              <w:t xml:space="preserve">3</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工程维修人员</w:t>
            </w:r>
            <w:r/>
          </w:p>
        </w:tc>
        <w:tc>
          <w:tcPr>
            <w:tcW w:w="7017" w:type="dxa"/>
            <w:vAlign w:val="center"/>
            <w:textDirection w:val="lrTb"/>
            <w:noWrap w:val="false"/>
          </w:tcPr>
          <w:p>
            <w:pPr>
              <w:jc w:val="both"/>
              <w:rPr>
                <w:rFonts w:hint="eastAsia"/>
                <w:sz w:val="21"/>
                <w:szCs w:val="21"/>
                <w:highlight w:val="none"/>
              </w:rPr>
            </w:pPr>
            <w:r>
              <w:rPr>
                <w:rFonts w:hint="eastAsia"/>
                <w:sz w:val="21"/>
                <w:szCs w:val="21"/>
                <w:highlight w:val="none"/>
              </w:rPr>
              <w:t xml:space="preserve">供</w:t>
            </w:r>
            <w:bookmarkStart w:id="164" w:name="OLE_LINK4"/>
            <w:r>
              <w:rPr>
                <w:rFonts w:hint="eastAsia"/>
                <w:sz w:val="21"/>
                <w:szCs w:val="21"/>
                <w:highlight w:val="none"/>
              </w:rPr>
              <w:t xml:space="preserve">应商拟派的</w:t>
            </w:r>
            <w:r>
              <w:rPr>
                <w:rFonts w:hint="eastAsia"/>
                <w:sz w:val="21"/>
                <w:szCs w:val="21"/>
                <w:highlight w:val="none"/>
                <w:lang w:val="en-US" w:eastAsia="zh-CN"/>
              </w:rPr>
              <w:t xml:space="preserve">工程主管</w:t>
            </w:r>
            <w:r>
              <w:rPr>
                <w:rFonts w:hint="eastAsia"/>
                <w:sz w:val="21"/>
                <w:szCs w:val="21"/>
                <w:highlight w:val="none"/>
              </w:rPr>
              <w:t xml:space="preserve">：</w:t>
            </w:r>
            <w:r/>
          </w:p>
          <w:p>
            <w:pPr>
              <w:jc w:val="both"/>
              <w:rPr>
                <w:rFonts w:hint="eastAsia"/>
                <w:sz w:val="21"/>
                <w:szCs w:val="21"/>
                <w:highlight w:val="none"/>
              </w:rPr>
            </w:pPr>
            <w:r>
              <w:rPr>
                <w:rFonts w:hint="eastAsia"/>
                <w:sz w:val="21"/>
                <w:szCs w:val="21"/>
                <w:highlight w:val="none"/>
                <w:lang w:eastAsia="zh-CN"/>
              </w:rPr>
              <w:t xml:space="preserve">（</w:t>
            </w:r>
            <w:r>
              <w:rPr>
                <w:rFonts w:hint="eastAsia"/>
                <w:sz w:val="21"/>
                <w:szCs w:val="21"/>
                <w:highlight w:val="none"/>
                <w:lang w:val="en-US" w:eastAsia="zh-CN"/>
              </w:rPr>
              <w:t xml:space="preserve">1</w:t>
            </w:r>
            <w:r>
              <w:rPr>
                <w:rFonts w:hint="eastAsia"/>
                <w:sz w:val="21"/>
                <w:szCs w:val="21"/>
                <w:highlight w:val="none"/>
                <w:lang w:eastAsia="zh-CN"/>
              </w:rPr>
              <w:t xml:space="preserve">）</w:t>
            </w:r>
            <w:r>
              <w:rPr>
                <w:rFonts w:hint="eastAsia"/>
                <w:sz w:val="21"/>
                <w:szCs w:val="21"/>
                <w:highlight w:val="none"/>
              </w:rPr>
              <w:t xml:space="preserve">具有3年及以上同岗位履职经验</w:t>
            </w:r>
            <w:r>
              <w:rPr>
                <w:rFonts w:hint="eastAsia"/>
                <w:sz w:val="21"/>
                <w:szCs w:val="21"/>
                <w:highlight w:val="none"/>
                <w:lang w:val="en-US" w:eastAsia="zh-CN"/>
              </w:rPr>
              <w:t xml:space="preserve">得1分</w:t>
            </w:r>
            <w:r>
              <w:rPr>
                <w:rFonts w:hint="eastAsia"/>
                <w:sz w:val="21"/>
                <w:szCs w:val="21"/>
                <w:highlight w:val="none"/>
              </w:rPr>
              <w:t xml:space="preserve">。</w:t>
            </w:r>
            <w:r>
              <w:rPr>
                <w:rFonts w:hint="eastAsia"/>
                <w:sz w:val="21"/>
                <w:szCs w:val="21"/>
                <w:highlight w:val="none"/>
                <w:lang w:eastAsia="zh-CN"/>
              </w:rPr>
              <w:t xml:space="preserve">（</w:t>
            </w:r>
            <w:r>
              <w:rPr>
                <w:rFonts w:hint="eastAsia"/>
                <w:sz w:val="21"/>
                <w:szCs w:val="21"/>
                <w:highlight w:val="none"/>
              </w:rPr>
              <w:t xml:space="preserve">提供加盖业主单位公章的工作经验证明材料，需体现人员姓名、岗位及工作年限。</w:t>
            </w:r>
            <w:r>
              <w:rPr>
                <w:rFonts w:hint="eastAsia"/>
                <w:sz w:val="21"/>
                <w:szCs w:val="21"/>
                <w:highlight w:val="none"/>
                <w:lang w:eastAsia="zh-CN"/>
              </w:rPr>
              <w:t xml:space="preserve">）</w:t>
            </w:r>
            <w:r/>
          </w:p>
          <w:p>
            <w:pPr>
              <w:numPr>
                <w:ilvl w:val="0"/>
                <w:numId w:val="0"/>
              </w:numPr>
              <w:jc w:val="both"/>
              <w:rPr>
                <w:rFonts w:hint="eastAsia"/>
                <w:sz w:val="21"/>
                <w:szCs w:val="21"/>
                <w:highlight w:val="none"/>
                <w:lang w:eastAsia="zh-CN"/>
              </w:rPr>
            </w:pPr>
            <w:r>
              <w:rPr>
                <w:rFonts w:hint="eastAsia"/>
                <w:sz w:val="21"/>
                <w:szCs w:val="21"/>
                <w:highlight w:val="none"/>
                <w:lang w:val="en-US" w:eastAsia="zh-CN"/>
              </w:rPr>
              <w:t xml:space="preserve">（2）具有维修电工证得2分</w:t>
            </w:r>
            <w:r>
              <w:rPr>
                <w:rFonts w:hint="eastAsia"/>
                <w:sz w:val="21"/>
                <w:szCs w:val="21"/>
                <w:highlight w:val="none"/>
              </w:rPr>
              <w:t xml:space="preserve">。</w:t>
            </w:r>
            <w:r>
              <w:rPr>
                <w:rFonts w:hint="eastAsia"/>
                <w:sz w:val="21"/>
                <w:szCs w:val="21"/>
                <w:highlight w:val="none"/>
                <w:lang w:eastAsia="zh-CN"/>
              </w:rPr>
              <w:t xml:space="preserve">（</w:t>
            </w:r>
            <w:r>
              <w:rPr>
                <w:rFonts w:hint="eastAsia"/>
                <w:sz w:val="21"/>
                <w:szCs w:val="21"/>
                <w:highlight w:val="none"/>
                <w:lang w:val="en-US" w:eastAsia="zh-CN"/>
              </w:rPr>
              <w:t xml:space="preserve">提供证书）</w:t>
            </w:r>
            <w:r/>
          </w:p>
          <w:p>
            <w:pPr>
              <w:numPr>
                <w:ilvl w:val="0"/>
                <w:numId w:val="0"/>
              </w:numPr>
              <w:jc w:val="both"/>
              <w:rPr>
                <w:rFonts w:hint="eastAsia"/>
                <w:sz w:val="21"/>
                <w:szCs w:val="21"/>
                <w:highlight w:val="none"/>
                <w:lang w:eastAsia="zh-CN"/>
              </w:rPr>
            </w:pPr>
            <w:r>
              <w:rPr>
                <w:rFonts w:hint="eastAsia"/>
                <w:sz w:val="21"/>
                <w:szCs w:val="21"/>
                <w:highlight w:val="none"/>
                <w:lang w:val="en-US" w:eastAsia="zh-CN"/>
              </w:rPr>
              <w:t xml:space="preserve">（3）同时具备</w:t>
            </w:r>
            <w:r>
              <w:rPr>
                <w:rFonts w:hint="eastAsia"/>
                <w:color w:val="auto"/>
                <w:sz w:val="21"/>
                <w:szCs w:val="21"/>
                <w:highlight w:val="none"/>
                <w:lang w:val="en-US" w:eastAsia="zh-CN"/>
              </w:rPr>
              <w:t xml:space="preserve">高压或低压</w:t>
            </w:r>
            <w:r>
              <w:rPr>
                <w:rFonts w:hint="eastAsia"/>
                <w:sz w:val="21"/>
                <w:szCs w:val="21"/>
                <w:highlight w:val="none"/>
                <w:lang w:val="en-US" w:eastAsia="zh-CN"/>
              </w:rPr>
              <w:t xml:space="preserve">证书得2分</w:t>
            </w:r>
            <w:r>
              <w:rPr>
                <w:rFonts w:hint="eastAsia"/>
                <w:sz w:val="21"/>
                <w:szCs w:val="21"/>
                <w:highlight w:val="none"/>
              </w:rPr>
              <w:t xml:space="preserve">。</w:t>
            </w:r>
            <w:r>
              <w:rPr>
                <w:rFonts w:hint="eastAsia"/>
                <w:sz w:val="21"/>
                <w:szCs w:val="21"/>
                <w:highlight w:val="none"/>
                <w:lang w:eastAsia="zh-CN"/>
              </w:rPr>
              <w:t xml:space="preserve">（</w:t>
            </w:r>
            <w:r>
              <w:rPr>
                <w:rFonts w:hint="eastAsia"/>
                <w:sz w:val="21"/>
                <w:szCs w:val="21"/>
                <w:highlight w:val="none"/>
                <w:lang w:val="en-US" w:eastAsia="zh-CN"/>
              </w:rPr>
              <w:t xml:space="preserve">提供证书）</w:t>
            </w:r>
            <w:bookmarkEnd w:id="164"/>
            <w:r/>
            <w:r/>
          </w:p>
          <w:p>
            <w:pPr>
              <w:numPr>
                <w:ilvl w:val="0"/>
                <w:numId w:val="0"/>
              </w:numPr>
              <w:jc w:val="both"/>
              <w:rPr>
                <w:rFonts w:hint="eastAsia"/>
                <w:sz w:val="21"/>
                <w:szCs w:val="21"/>
                <w:highlight w:val="none"/>
                <w:lang w:eastAsia="zh-CN"/>
              </w:rPr>
            </w:pPr>
            <w:r>
              <w:rPr>
                <w:rFonts w:hint="eastAsia"/>
                <w:sz w:val="21"/>
                <w:szCs w:val="21"/>
                <w:highlight w:val="none"/>
                <w:lang w:val="en-US" w:eastAsia="zh-CN"/>
              </w:rPr>
              <w:t xml:space="preserve">同时提供身份证复印件、劳动合同及近半年内投标供应商为其缴纳任意一个月的社保证明等材料加盖公章。</w:t>
            </w:r>
            <w:r>
              <w:rPr>
                <w:rFonts w:hint="eastAsia" w:ascii="宋体" w:hAnsi="宋体" w:eastAsia="宋体" w:cs="宋体"/>
                <w:highlight w:val="none"/>
                <w:lang w:val="en-US" w:eastAsia="zh-CN"/>
              </w:rPr>
              <w:t xml:space="preserve">材料缺项或未提供的不得分。</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val="en-US" w:eastAsia="zh-CN"/>
              </w:rPr>
              <w:t xml:space="preserve">5</w:t>
            </w:r>
            <w:r>
              <w:rPr>
                <w:rFonts w:hint="eastAsia"/>
                <w:sz w:val="21"/>
                <w:szCs w:val="21"/>
                <w:highlight w:val="none"/>
                <w:lang w:eastAsia="zh-CN"/>
              </w:rPr>
              <w:t xml:space="preserve">分</w:t>
            </w:r>
            <w:r/>
          </w:p>
        </w:tc>
      </w:tr>
      <w:tr>
        <w:trPr>
          <w:trHeight w:val="441"/>
        </w:trPr>
        <w:tc>
          <w:tcPr>
            <w:tcW w:w="593" w:type="dxa"/>
            <w:vAlign w:val="center"/>
            <w:textDirection w:val="lrTb"/>
            <w:noWrap w:val="false"/>
          </w:tcPr>
          <w:p>
            <w:pPr>
              <w:jc w:val="both"/>
              <w:rPr>
                <w:rFonts w:hint="eastAsia"/>
                <w:sz w:val="21"/>
                <w:szCs w:val="21"/>
                <w:highlight w:val="none"/>
                <w:lang w:val="en-US" w:eastAsia="zh-CN"/>
              </w:rPr>
            </w:pPr>
            <w:r>
              <w:rPr>
                <w:rFonts w:hint="eastAsia"/>
                <w:sz w:val="21"/>
                <w:szCs w:val="21"/>
                <w:highlight w:val="none"/>
                <w:lang w:val="en-US" w:eastAsia="zh-CN"/>
              </w:rPr>
              <w:t xml:space="preserve">4.4</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保洁人员</w:t>
            </w:r>
            <w:r/>
          </w:p>
        </w:tc>
        <w:tc>
          <w:tcPr>
            <w:tcW w:w="7017" w:type="dxa"/>
            <w:vAlign w:val="center"/>
            <w:textDirection w:val="lrTb"/>
            <w:noWrap w:val="false"/>
          </w:tcPr>
          <w:p>
            <w:pPr>
              <w:jc w:val="both"/>
              <w:rPr>
                <w:rFonts w:hint="eastAsia"/>
                <w:sz w:val="21"/>
                <w:szCs w:val="21"/>
                <w:highlight w:val="none"/>
                <w:lang w:val="en-US" w:eastAsia="zh-CN"/>
              </w:rPr>
            </w:pPr>
            <w:r/>
            <w:bookmarkStart w:id="165" w:name="OLE_LINK5"/>
            <w:r>
              <w:rPr>
                <w:rFonts w:hint="eastAsia"/>
                <w:sz w:val="21"/>
                <w:szCs w:val="21"/>
                <w:highlight w:val="none"/>
              </w:rPr>
              <w:t xml:space="preserve">供应商拟派的</w:t>
            </w:r>
            <w:r>
              <w:rPr>
                <w:rFonts w:hint="eastAsia"/>
                <w:sz w:val="21"/>
                <w:szCs w:val="21"/>
                <w:highlight w:val="none"/>
                <w:lang w:val="en-US" w:eastAsia="zh-CN"/>
              </w:rPr>
              <w:t xml:space="preserve">保洁负责人：</w:t>
            </w:r>
            <w:r/>
          </w:p>
          <w:p>
            <w:pPr>
              <w:jc w:val="left"/>
              <w:rPr>
                <w:rFonts w:hint="eastAsia"/>
                <w:sz w:val="21"/>
                <w:szCs w:val="21"/>
                <w:highlight w:val="none"/>
              </w:rPr>
            </w:pPr>
            <w:r>
              <w:rPr>
                <w:rFonts w:hint="eastAsia"/>
                <w:sz w:val="21"/>
                <w:szCs w:val="21"/>
                <w:highlight w:val="none"/>
                <w:lang w:eastAsia="zh-CN"/>
              </w:rPr>
              <w:t xml:space="preserve">（</w:t>
            </w:r>
            <w:r>
              <w:rPr>
                <w:rFonts w:hint="eastAsia"/>
                <w:sz w:val="21"/>
                <w:szCs w:val="21"/>
                <w:highlight w:val="none"/>
                <w:lang w:val="en-US" w:eastAsia="zh-CN"/>
              </w:rPr>
              <w:t xml:space="preserve">1</w:t>
            </w:r>
            <w:r>
              <w:rPr>
                <w:rFonts w:hint="eastAsia"/>
                <w:sz w:val="21"/>
                <w:szCs w:val="21"/>
                <w:highlight w:val="none"/>
                <w:lang w:eastAsia="zh-CN"/>
              </w:rPr>
              <w:t xml:space="preserve">）</w:t>
            </w:r>
            <w:r>
              <w:rPr>
                <w:rFonts w:hint="eastAsia"/>
                <w:sz w:val="21"/>
                <w:szCs w:val="21"/>
                <w:highlight w:val="none"/>
              </w:rPr>
              <w:t xml:space="preserve">具有3年及以上同岗位履职经验</w:t>
            </w:r>
            <w:r>
              <w:rPr>
                <w:rFonts w:hint="eastAsia"/>
                <w:sz w:val="21"/>
                <w:szCs w:val="21"/>
                <w:highlight w:val="none"/>
                <w:lang w:val="en-US" w:eastAsia="zh-CN"/>
              </w:rPr>
              <w:t xml:space="preserve">得2分</w:t>
            </w:r>
            <w:r>
              <w:rPr>
                <w:rFonts w:hint="eastAsia"/>
                <w:sz w:val="21"/>
                <w:szCs w:val="21"/>
                <w:highlight w:val="none"/>
              </w:rPr>
              <w:t xml:space="preserve">。</w:t>
            </w:r>
            <w:r>
              <w:rPr>
                <w:rFonts w:hint="eastAsia"/>
                <w:sz w:val="21"/>
                <w:szCs w:val="21"/>
                <w:highlight w:val="none"/>
                <w:lang w:eastAsia="zh-CN"/>
              </w:rPr>
              <w:t xml:space="preserve">（</w:t>
            </w:r>
            <w:r>
              <w:rPr>
                <w:rFonts w:hint="eastAsia"/>
                <w:sz w:val="21"/>
                <w:szCs w:val="21"/>
                <w:highlight w:val="none"/>
              </w:rPr>
              <w:t xml:space="preserve">提供加盖业主单位公章的工作经验证明材料，需体现人员姓名、岗位及工作年限。</w:t>
            </w:r>
            <w:r>
              <w:rPr>
                <w:rFonts w:hint="eastAsia"/>
                <w:sz w:val="21"/>
                <w:szCs w:val="21"/>
                <w:highlight w:val="none"/>
                <w:lang w:eastAsia="zh-CN"/>
              </w:rPr>
              <w:t xml:space="preserve">）</w:t>
            </w:r>
            <w:r/>
          </w:p>
          <w:p>
            <w:pPr>
              <w:numPr>
                <w:ilvl w:val="0"/>
                <w:numId w:val="0"/>
              </w:numPr>
              <w:jc w:val="left"/>
              <w:rPr>
                <w:rFonts w:hint="eastAsia"/>
                <w:sz w:val="21"/>
                <w:szCs w:val="21"/>
                <w:highlight w:val="none"/>
                <w:lang w:val="en-US" w:eastAsia="zh-CN"/>
              </w:rPr>
            </w:pPr>
            <w:r>
              <w:rPr>
                <w:rFonts w:hint="eastAsia"/>
                <w:sz w:val="21"/>
                <w:szCs w:val="21"/>
                <w:highlight w:val="none"/>
                <w:lang w:eastAsia="zh-CN"/>
              </w:rPr>
              <w:t xml:space="preserve">（</w:t>
            </w:r>
            <w:r>
              <w:rPr>
                <w:rFonts w:hint="eastAsia"/>
                <w:sz w:val="21"/>
                <w:szCs w:val="21"/>
                <w:highlight w:val="none"/>
                <w:lang w:val="en-US" w:eastAsia="zh-CN"/>
              </w:rPr>
              <w:t xml:space="preserve">2</w:t>
            </w:r>
            <w:r>
              <w:rPr>
                <w:rFonts w:hint="eastAsia"/>
                <w:sz w:val="21"/>
                <w:szCs w:val="21"/>
                <w:highlight w:val="none"/>
                <w:lang w:eastAsia="zh-CN"/>
              </w:rPr>
              <w:t xml:space="preserve">）</w:t>
            </w:r>
            <w:r>
              <w:rPr>
                <w:rFonts w:hint="eastAsia"/>
                <w:sz w:val="21"/>
                <w:szCs w:val="21"/>
                <w:highlight w:val="none"/>
                <w:lang w:val="en-US" w:eastAsia="zh-CN"/>
              </w:rPr>
              <w:t xml:space="preserve">具有有效期内的垃圾分类管理师证书，得2分</w:t>
            </w:r>
            <w:r>
              <w:rPr>
                <w:rFonts w:hint="eastAsia"/>
                <w:sz w:val="21"/>
                <w:szCs w:val="21"/>
                <w:highlight w:val="none"/>
              </w:rPr>
              <w:t xml:space="preserve">。</w:t>
            </w:r>
            <w:r>
              <w:rPr>
                <w:rFonts w:hint="eastAsia"/>
                <w:sz w:val="21"/>
                <w:szCs w:val="21"/>
                <w:highlight w:val="none"/>
                <w:lang w:eastAsia="zh-CN"/>
              </w:rPr>
              <w:t xml:space="preserve">（</w:t>
            </w:r>
            <w:r>
              <w:rPr>
                <w:rFonts w:hint="eastAsia"/>
                <w:sz w:val="21"/>
                <w:szCs w:val="21"/>
                <w:highlight w:val="none"/>
                <w:lang w:val="en-US" w:eastAsia="zh-CN"/>
              </w:rPr>
              <w:t xml:space="preserve">提供证书）</w:t>
            </w:r>
            <w:bookmarkEnd w:id="165"/>
            <w:r/>
            <w:r/>
          </w:p>
          <w:p>
            <w:pPr>
              <w:jc w:val="both"/>
              <w:rPr>
                <w:rFonts w:hint="eastAsia"/>
                <w:sz w:val="21"/>
                <w:szCs w:val="21"/>
                <w:highlight w:val="none"/>
                <w:lang w:val="en-US"/>
              </w:rPr>
            </w:pPr>
            <w:r>
              <w:rPr>
                <w:rFonts w:hint="eastAsia"/>
                <w:sz w:val="21"/>
                <w:szCs w:val="21"/>
                <w:highlight w:val="none"/>
                <w:lang w:val="en-US" w:eastAsia="zh-CN"/>
              </w:rPr>
              <w:t xml:space="preserve">同时提供身份证复印件、劳动合同及近半年内投标供应商为其缴纳任意一个月的社保证明等材料加盖公章。</w:t>
            </w:r>
            <w:r>
              <w:rPr>
                <w:rFonts w:hint="eastAsia" w:ascii="宋体" w:hAnsi="宋体" w:eastAsia="宋体" w:cs="宋体"/>
                <w:highlight w:val="none"/>
                <w:lang w:val="en-US" w:eastAsia="zh-CN"/>
              </w:rPr>
              <w:t xml:space="preserve">材料缺项或未提供的不得分。</w:t>
            </w:r>
            <w:r/>
          </w:p>
        </w:tc>
        <w:tc>
          <w:tcPr>
            <w:tcW w:w="801" w:type="dxa"/>
            <w:vAlign w:val="center"/>
            <w:textDirection w:val="lrTb"/>
            <w:noWrap w:val="false"/>
          </w:tcPr>
          <w:p>
            <w:pPr>
              <w:jc w:val="both"/>
              <w:rPr>
                <w:rFonts w:hint="eastAsia"/>
                <w:sz w:val="21"/>
                <w:szCs w:val="21"/>
                <w:highlight w:val="none"/>
                <w:lang w:val="en-US" w:eastAsia="zh-CN"/>
              </w:rPr>
            </w:pPr>
            <w:r>
              <w:rPr>
                <w:rFonts w:hint="eastAsia"/>
                <w:sz w:val="21"/>
                <w:szCs w:val="21"/>
                <w:highlight w:val="none"/>
                <w:lang w:val="en-US" w:eastAsia="zh-CN"/>
              </w:rPr>
              <w:t xml:space="preserve">4分</w:t>
            </w:r>
            <w:r/>
          </w:p>
        </w:tc>
      </w:tr>
      <w:tr>
        <w:trPr>
          <w:trHeight w:val="995"/>
        </w:trPr>
        <w:tc>
          <w:tcPr>
            <w:tcW w:w="593"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4.</w:t>
            </w:r>
            <w:r>
              <w:rPr>
                <w:rFonts w:hint="eastAsia"/>
                <w:sz w:val="21"/>
                <w:szCs w:val="21"/>
                <w:highlight w:val="none"/>
                <w:lang w:val="en-US" w:eastAsia="zh-CN"/>
              </w:rPr>
              <w:t xml:space="preserve">5</w:t>
            </w:r>
            <w:r/>
          </w:p>
        </w:tc>
        <w:tc>
          <w:tcPr>
            <w:tcW w:w="829" w:type="dxa"/>
            <w:vAlign w:val="center"/>
            <w:textDirection w:val="lrTb"/>
            <w:noWrap w:val="false"/>
          </w:tcPr>
          <w:p>
            <w:pPr>
              <w:jc w:val="center"/>
              <w:rPr>
                <w:rFonts w:hint="eastAsia"/>
                <w:sz w:val="21"/>
                <w:szCs w:val="21"/>
                <w:highlight w:val="none"/>
                <w:lang w:eastAsia="zh-CN"/>
              </w:rPr>
            </w:pPr>
            <w:r>
              <w:rPr>
                <w:rFonts w:hint="eastAsia"/>
                <w:sz w:val="21"/>
                <w:szCs w:val="21"/>
                <w:highlight w:val="none"/>
                <w:lang w:eastAsia="zh-CN"/>
              </w:rPr>
              <w:t xml:space="preserve">履约能力</w:t>
            </w:r>
            <w:r/>
          </w:p>
        </w:tc>
        <w:tc>
          <w:tcPr>
            <w:tcW w:w="7017" w:type="dxa"/>
            <w:vAlign w:val="center"/>
            <w:textDirection w:val="lrTb"/>
            <w:noWrap w:val="false"/>
          </w:tcPr>
          <w:p>
            <w:pPr>
              <w:jc w:val="both"/>
              <w:rPr>
                <w:rFonts w:hint="default"/>
                <w:sz w:val="21"/>
                <w:szCs w:val="21"/>
                <w:highlight w:val="none"/>
                <w:lang w:val="en-US" w:eastAsia="zh-CN"/>
              </w:rPr>
            </w:pPr>
            <w:r/>
            <w:bookmarkStart w:id="166" w:name="OLE_LINK6"/>
            <w:r>
              <w:rPr>
                <w:rFonts w:hint="eastAsia"/>
                <w:sz w:val="21"/>
                <w:szCs w:val="21"/>
                <w:highlight w:val="none"/>
                <w:lang w:eastAsia="zh-CN"/>
              </w:rPr>
              <w:t xml:space="preserve">供应商承诺成交后购买雇主责任险和公众责任险等商业险，保险条款中明确供应商在从事物业服务过程中，造成第三方人身伤亡或财产损失或其它安全事故，供应商负责处理及赔偿事宜，供应商提供书面承诺书并加盖公章的得</w:t>
            </w:r>
            <w:r>
              <w:rPr>
                <w:rFonts w:hint="eastAsia"/>
                <w:sz w:val="21"/>
                <w:szCs w:val="21"/>
                <w:highlight w:val="none"/>
                <w:lang w:val="en-US" w:eastAsia="zh-CN"/>
              </w:rPr>
              <w:t xml:space="preserve">1</w:t>
            </w:r>
            <w:r>
              <w:rPr>
                <w:rFonts w:hint="eastAsia"/>
                <w:sz w:val="21"/>
                <w:szCs w:val="21"/>
                <w:highlight w:val="none"/>
                <w:lang w:eastAsia="zh-CN"/>
              </w:rPr>
              <w:t xml:space="preserve">分，无承诺不得分。</w:t>
            </w:r>
            <w:bookmarkEnd w:id="166"/>
            <w:r>
              <w:rPr>
                <w:rFonts w:hint="eastAsia"/>
                <w:sz w:val="21"/>
                <w:szCs w:val="21"/>
                <w:highlight w:val="none"/>
                <w:lang w:val="en-US" w:eastAsia="zh-CN"/>
              </w:rPr>
              <w:t xml:space="preserve">格式自拟。</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val="en-US" w:eastAsia="zh-CN"/>
              </w:rPr>
              <w:t xml:space="preserve">1</w:t>
            </w:r>
            <w:r>
              <w:rPr>
                <w:rFonts w:hint="eastAsia"/>
                <w:sz w:val="21"/>
                <w:szCs w:val="21"/>
                <w:highlight w:val="none"/>
                <w:lang w:eastAsia="zh-CN"/>
              </w:rPr>
              <w:t xml:space="preserve">分</w:t>
            </w:r>
            <w:r/>
          </w:p>
        </w:tc>
      </w:tr>
      <w:tr>
        <w:trPr>
          <w:trHeight w:val="489"/>
        </w:trPr>
        <w:tc>
          <w:tcPr>
            <w:gridSpan w:val="3"/>
            <w:tcW w:w="8439"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合计</w:t>
            </w:r>
            <w:r/>
          </w:p>
        </w:tc>
        <w:tc>
          <w:tcPr>
            <w:tcW w:w="801" w:type="dxa"/>
            <w:vAlign w:val="center"/>
            <w:textDirection w:val="lrTb"/>
            <w:noWrap w:val="false"/>
          </w:tcPr>
          <w:p>
            <w:pPr>
              <w:jc w:val="both"/>
              <w:rPr>
                <w:rFonts w:hint="eastAsia"/>
                <w:sz w:val="21"/>
                <w:szCs w:val="21"/>
                <w:highlight w:val="none"/>
                <w:lang w:eastAsia="zh-CN"/>
              </w:rPr>
            </w:pPr>
            <w:r>
              <w:rPr>
                <w:rFonts w:hint="eastAsia"/>
                <w:sz w:val="21"/>
                <w:szCs w:val="21"/>
                <w:highlight w:val="none"/>
                <w:lang w:eastAsia="zh-CN"/>
              </w:rPr>
              <w:t xml:space="preserve">100分</w:t>
            </w:r>
            <w:r/>
          </w:p>
        </w:tc>
      </w:tr>
    </w:tbl>
    <w:p>
      <w:pPr>
        <w:pStyle w:val="839"/>
        <w:numPr>
          <w:ilvl w:val="0"/>
          <w:numId w:val="0"/>
        </w:numPr>
        <w:jc w:val="center"/>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r>
      <w:r/>
    </w:p>
    <w:p>
      <w:pPr>
        <w:pStyle w:val="839"/>
        <w:numPr>
          <w:ilvl w:val="0"/>
          <w:numId w:val="0"/>
        </w:numPr>
        <w:jc w:val="center"/>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r>
      <w:r/>
    </w:p>
    <w:p>
      <w:pPr>
        <w:pStyle w:val="839"/>
        <w:numPr>
          <w:ilvl w:val="0"/>
          <w:numId w:val="0"/>
        </w:numPr>
        <w:jc w:val="center"/>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r>
      <w:r/>
    </w:p>
    <w:p>
      <w:pPr>
        <w:pStyle w:val="839"/>
        <w:numPr>
          <w:ilvl w:val="0"/>
          <w:numId w:val="0"/>
        </w:numPr>
        <w:jc w:val="center"/>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r>
      <w:r/>
    </w:p>
    <w:p>
      <w:pPr>
        <w:pStyle w:val="839"/>
        <w:numPr>
          <w:ilvl w:val="0"/>
          <w:numId w:val="0"/>
        </w:numPr>
        <w:jc w:val="center"/>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r>
      <w:r/>
    </w:p>
    <w:p>
      <w:pPr>
        <w:pStyle w:val="839"/>
        <w:numPr>
          <w:ilvl w:val="0"/>
          <w:numId w:val="0"/>
        </w:numPr>
        <w:jc w:val="center"/>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r>
      <w:r/>
    </w:p>
    <w:p>
      <w:pPr>
        <w:pStyle w:val="839"/>
        <w:numPr>
          <w:ilvl w:val="0"/>
          <w:numId w:val="0"/>
        </w:numPr>
        <w:jc w:val="center"/>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t xml:space="preserve">第六章  响应文件格式</w:t>
      </w:r>
      <w:r/>
    </w:p>
    <w:p>
      <w:pPr>
        <w:pStyle w:val="841"/>
        <w:numPr>
          <w:ilvl w:val="0"/>
          <w:numId w:val="0"/>
        </w:numPr>
        <w:jc w:val="center"/>
        <w:rPr>
          <w:rFonts w:hint="default"/>
          <w:highlight w:val="none"/>
          <w:lang w:val="en-US" w:eastAsia="zh-CN"/>
        </w:rPr>
      </w:pPr>
      <w:r>
        <w:rPr>
          <w:rFonts w:hint="default"/>
          <w:highlight w:val="none"/>
          <w:lang w:val="en-US" w:eastAsia="zh-CN"/>
        </w:rPr>
      </w:r>
      <w:r/>
    </w:p>
    <w:p>
      <w:pPr>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p>
    <w:p>
      <w:pPr>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p>
    <w:p>
      <w:pPr>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p>
    <w:p>
      <w:pPr>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p>
    <w:p>
      <w:pPr>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b/>
          <w:bCs/>
          <w:sz w:val="32"/>
          <w:szCs w:val="32"/>
          <w:highlight w:val="none"/>
        </w:rPr>
      </w:pPr>
      <w:r>
        <w:rPr>
          <w:rFonts w:hint="eastAsia" w:ascii="宋体" w:hAnsi="宋体"/>
          <w:b/>
          <w:bCs/>
          <w:sz w:val="32"/>
          <w:szCs w:val="32"/>
          <w:highlight w:val="none"/>
        </w:rPr>
        <w:t xml:space="preserve">响应文件目录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四、磋商响应函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六、磋商报价明细表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十一、其他材料</w:t>
      </w:r>
      <w:r/>
    </w:p>
    <w:p>
      <w:pPr>
        <w:rPr>
          <w:rFonts w:hint="eastAsia"/>
          <w:highlight w:val="none"/>
        </w:rPr>
      </w:pPr>
      <w:r>
        <w:rPr>
          <w:rFonts w:hint="eastAsia"/>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val="0"/>
          <w:sz w:val="32"/>
          <w:szCs w:val="32"/>
          <w:highlight w:val="none"/>
          <w:u w:val="none"/>
          <w:lang w:val="en-US" w:eastAsia="zh-CN"/>
        </w:rPr>
        <w:t xml:space="preserve">一、供应商信用承诺函</w:t>
      </w:r>
      <w:r/>
    </w:p>
    <w:p>
      <w:pPr>
        <w:jc w:val="center"/>
        <w:spacing w:line="360" w:lineRule="auto"/>
        <w:rPr>
          <w:rFonts w:hint="eastAsia" w:ascii="黑体" w:hAnsi="黑体" w:eastAsia="黑体" w:cs="黑体"/>
          <w:color w:val="000000"/>
          <w:sz w:val="32"/>
          <w:szCs w:val="32"/>
          <w:highlight w:val="none"/>
          <w:lang w:val="en-US"/>
        </w:rPr>
        <w:outlineLvl w:val="0"/>
      </w:pPr>
      <w:r>
        <w:rPr>
          <w:rFonts w:hint="eastAsia" w:ascii="黑体" w:hAnsi="黑体" w:eastAsia="黑体" w:cs="黑体"/>
          <w:color w:val="000000"/>
          <w:sz w:val="32"/>
          <w:szCs w:val="32"/>
          <w:highlight w:val="none"/>
          <w:lang w:val="en-US"/>
        </w:rPr>
        <w:t xml:space="preserve">供应商信用承诺函</w:t>
      </w:r>
      <w:r/>
    </w:p>
    <w:p>
      <w:pPr>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lang w:eastAsia="zh-CN"/>
        </w:rPr>
        <w:t xml:space="preserve">浦口分中心</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864"/>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ind w:firstLine="480"/>
        <w:spacing w:line="440" w:lineRule="exact"/>
        <w:rPr>
          <w:rFonts w:hint="eastAsia"/>
          <w:highlight w:val="none"/>
          <w:lang w:eastAsia="zh-CN"/>
        </w:rPr>
      </w:pPr>
      <w:r>
        <w:rPr>
          <w:rFonts w:hint="eastAsia" w:ascii="宋体" w:hAnsi="宋体"/>
          <w:color w:val="auto"/>
          <w:sz w:val="24"/>
          <w:szCs w:val="24"/>
          <w:highlight w:val="none"/>
        </w:rPr>
        <w:t xml:space="preserve">说明：执行南京市财政局《关于在政府采购活动中推行信用承诺制的通知》（宁财购通</w:t>
      </w:r>
      <w:r>
        <w:rPr>
          <w:rFonts w:hint="eastAsia" w:ascii="宋体" w:hAnsi="宋体"/>
          <w:color w:val="auto"/>
          <w:sz w:val="24"/>
          <w:szCs w:val="24"/>
          <w:highlight w:val="none"/>
          <w:lang w:val="zh-CN"/>
        </w:rPr>
        <w:t xml:space="preserve">〔202</w:t>
      </w:r>
      <w:r>
        <w:rPr>
          <w:rFonts w:hint="eastAsia" w:ascii="宋体" w:hAnsi="宋体"/>
          <w:color w:val="auto"/>
          <w:sz w:val="24"/>
          <w:szCs w:val="24"/>
          <w:highlight w:val="none"/>
        </w:rPr>
        <w:t xml:space="preserve">1</w:t>
      </w:r>
      <w:r>
        <w:rPr>
          <w:rFonts w:hint="eastAsia" w:ascii="宋体" w:hAnsi="宋体"/>
          <w:color w:val="auto"/>
          <w:sz w:val="24"/>
          <w:szCs w:val="24"/>
          <w:highlight w:val="none"/>
          <w:lang w:val="zh-CN"/>
        </w:rPr>
        <w:t xml:space="preserve">〕5号</w:t>
      </w:r>
      <w:r>
        <w:rPr>
          <w:rFonts w:hint="eastAsia" w:ascii="宋体" w:hAnsi="宋体"/>
          <w:color w:val="auto"/>
          <w:sz w:val="24"/>
          <w:szCs w:val="24"/>
          <w:highlight w:val="none"/>
        </w:rPr>
        <w:t xml:space="preserve">）要求。</w:t>
      </w:r>
      <w:r/>
    </w:p>
    <w:p>
      <w:pPr>
        <w:pStyle w:val="8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p>
    <w:p>
      <w:pPr>
        <w:pStyle w:val="865"/>
        <w:spacing w:line="480" w:lineRule="auto"/>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p>
    <w:p>
      <w:pPr>
        <w:spacing w:line="460" w:lineRule="exact"/>
        <w:rPr>
          <w:rFonts w:hint="eastAsia" w:ascii="宋体" w:hAnsi="宋体"/>
          <w:bCs/>
          <w:sz w:val="24"/>
          <w:szCs w:val="21"/>
          <w:highlight w:val="none"/>
        </w:rPr>
      </w:pPr>
      <w:r/>
      <w:bookmarkStart w:id="167" w:name="_Toc120614284"/>
      <w:r/>
      <w:r/>
    </w:p>
    <w:p>
      <w:pPr>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spacing w:line="360" w:lineRule="auto"/>
        <w:rPr>
          <w:rFonts w:hint="eastAsia" w:ascii="黑体" w:hAnsi="黑体" w:eastAsia="黑体" w:cs="黑体"/>
          <w:color w:val="000000"/>
          <w:sz w:val="32"/>
          <w:szCs w:val="32"/>
          <w:highlight w:val="none"/>
          <w:lang w:val="zh-CN" w:eastAsia="zh-CN"/>
        </w:rPr>
        <w:outlineLvl w:val="0"/>
      </w:pPr>
      <w:r>
        <w:rPr>
          <w:rFonts w:hint="eastAsia" w:ascii="黑体" w:hAnsi="黑体" w:eastAsia="黑体" w:cs="黑体"/>
          <w:color w:val="000000"/>
          <w:sz w:val="32"/>
          <w:szCs w:val="32"/>
          <w:highlight w:val="none"/>
          <w:lang w:val="zh-CN" w:eastAsia="zh-CN"/>
        </w:rPr>
        <w:t xml:space="preserve">法人授权书</w:t>
      </w:r>
      <w:r/>
    </w:p>
    <w:p>
      <w:pPr>
        <w:pStyle w:val="865"/>
        <w:ind w:firstLine="480"/>
        <w:keepLines w:val="0"/>
        <w:keepNext w:val="0"/>
        <w:pageBreakBefore w:val="0"/>
        <w:spacing w:line="480" w:lineRule="auto"/>
        <w:widowControl w:val="off"/>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（被授权人的姓名）</w:t>
      </w:r>
      <w:r>
        <w:rPr>
          <w:rFonts w:hint="eastAsia"/>
          <w:sz w:val="24"/>
          <w:szCs w:val="24"/>
          <w:highlight w:val="none"/>
          <w:lang w:val="en-US" w:eastAsia="zh-CN"/>
        </w:rPr>
        <w:t xml:space="preserve">作</w:t>
      </w:r>
      <w:r>
        <w:rPr>
          <w:rFonts w:hint="eastAsia"/>
          <w:sz w:val="24"/>
          <w:szCs w:val="24"/>
          <w:highlight w:val="none"/>
        </w:rPr>
        <w:t xml:space="preserve">为我方就</w:t>
      </w:r>
      <w:r>
        <w:rPr>
          <w:rFonts w:hint="eastAsia"/>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sz w:val="24"/>
          <w:szCs w:val="24"/>
          <w:highlight w:val="none"/>
        </w:rPr>
        <w:t xml:space="preserve">项目采购活动的合法代理人，以本单位名义全权处理一切与该项目采购有关的事务。</w:t>
      </w:r>
      <w:r/>
    </w:p>
    <w:p>
      <w:pPr>
        <w:pStyle w:val="865"/>
        <w:ind w:firstLine="480"/>
        <w:keepLines w:val="0"/>
        <w:keepNext w:val="0"/>
        <w:pageBreakBefore w:val="0"/>
        <w:spacing w:line="480" w:lineRule="auto"/>
        <w:widowControl w:val="off"/>
        <w:rPr>
          <w:rFonts w:hint="eastAsia"/>
          <w:sz w:val="24"/>
          <w:szCs w:val="24"/>
          <w:highlight w:val="none"/>
        </w:rPr>
      </w:pPr>
      <w:r>
        <w:rPr>
          <w:rFonts w:hint="eastAsia"/>
          <w:sz w:val="24"/>
          <w:szCs w:val="24"/>
          <w:highlight w:val="none"/>
        </w:rPr>
        <w:t xml:space="preserve">本授权书于______年____月____日起生效，特此声明。</w:t>
      </w:r>
      <w:r/>
    </w:p>
    <w:p>
      <w:pPr>
        <w:pStyle w:val="865"/>
        <w:ind w:firstLine="0"/>
        <w:keepLines w:val="0"/>
        <w:keepNext w:val="0"/>
        <w:pageBreakBefore w:val="0"/>
        <w:spacing w:line="480" w:lineRule="auto"/>
        <w:widowControl w:val="off"/>
        <w:rPr>
          <w:rFonts w:hint="eastAsia"/>
          <w:sz w:val="24"/>
          <w:szCs w:val="24"/>
          <w:highlight w:val="none"/>
          <w:u w:val="single"/>
        </w:rPr>
      </w:pPr>
      <w:r>
        <w:rPr>
          <w:rFonts w:hint="eastAsia"/>
          <w:sz w:val="24"/>
          <w:szCs w:val="24"/>
          <w:highlight w:val="none"/>
        </w:rPr>
        <w:t xml:space="preserve">    被授权人身份证号码：</w:t>
      </w:r>
      <w:r/>
    </w:p>
    <w:p>
      <w:pPr>
        <w:pStyle w:val="865"/>
        <w:ind w:firstLine="480"/>
        <w:keepLines w:val="0"/>
        <w:keepNext w:val="0"/>
        <w:pageBreakBefore w:val="0"/>
        <w:spacing w:line="480" w:lineRule="auto"/>
        <w:widowControl w:val="off"/>
        <w:rPr>
          <w:rFonts w:hint="eastAsia" w:ascii="宋体" w:hAnsi="宋体" w:eastAsia="宋体" w:cs="宋体"/>
          <w:sz w:val="24"/>
          <w:szCs w:val="24"/>
          <w:highlight w:val="none"/>
          <w:u w:val="single"/>
        </w:rPr>
      </w:pPr>
      <w:r>
        <w:rPr>
          <w:rFonts w:hint="eastAsia"/>
          <w:sz w:val="24"/>
          <w:szCs w:val="24"/>
          <w:highlight w:val="none"/>
        </w:rPr>
        <w:t xml:space="preserve">被授权人联系电话：（手机）</w:t>
      </w:r>
      <w:r/>
    </w:p>
    <w:p>
      <w:pPr>
        <w:pStyle w:val="865"/>
        <w:ind w:firstLine="480"/>
        <w:keepLines w:val="0"/>
        <w:keepNext w:val="0"/>
        <w:pageBreakBefore w:val="0"/>
        <w:spacing w:line="480" w:lineRule="auto"/>
        <w:widowControl w:val="off"/>
        <w:rPr>
          <w:rFonts w:eastAsia="宋体"/>
          <w:sz w:val="24"/>
          <w:szCs w:val="24"/>
          <w:highlight w:val="none"/>
          <w:lang w:val="en-US" w:eastAsia="zh-CN"/>
        </w:rPr>
      </w:pPr>
      <w:r>
        <w:rPr>
          <w:rFonts w:hint="eastAsia"/>
          <w:sz w:val="24"/>
          <w:szCs w:val="24"/>
          <w:highlight w:val="none"/>
          <w:lang w:val="en-US" w:eastAsia="zh-CN"/>
        </w:rPr>
        <w:t xml:space="preserve">授权单位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p>
    <w:p>
      <w:pPr>
        <w:pStyle w:val="865"/>
        <w:ind w:firstLine="480"/>
        <w:keepLines w:val="0"/>
        <w:keepNext w:val="0"/>
        <w:pageBreakBefore w:val="0"/>
        <w:spacing w:line="480" w:lineRule="auto"/>
        <w:widowControl w:val="off"/>
        <w:rPr>
          <w:rFonts w:hint="eastAsia"/>
          <w:sz w:val="24"/>
          <w:szCs w:val="24"/>
          <w:highlight w:val="none"/>
          <w:u w:val="single"/>
        </w:rPr>
      </w:pPr>
      <w:r>
        <w:rPr>
          <w:rFonts w:hint="eastAsia"/>
          <w:sz w:val="24"/>
          <w:szCs w:val="24"/>
          <w:highlight w:val="none"/>
        </w:rPr>
        <w:t xml:space="preserve">单位地址：</w:t>
      </w:r>
      <w:r/>
    </w:p>
    <w:p>
      <w:pPr>
        <w:pStyle w:val="865"/>
        <w:ind w:firstLine="480"/>
        <w:keepLines w:val="0"/>
        <w:keepNext w:val="0"/>
        <w:pageBreakBefore w:val="0"/>
        <w:spacing w:line="480" w:lineRule="auto"/>
        <w:widowControl w:val="off"/>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168" w:name="_格式3__银行出具的资信证明"/>
      <w:r/>
      <w:bookmarkEnd w:id="168"/>
      <w:r/>
      <w:bookmarkStart w:id="169" w:name="_Hlt26955070"/>
      <w:r/>
      <w:bookmarkEnd w:id="169"/>
      <w:r/>
      <w:bookmarkStart w:id="170" w:name="_Hlt26671380"/>
      <w:r/>
      <w:bookmarkEnd w:id="170"/>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default" w:ascii="Times New Roman" w:hAnsi="Times New Roman" w:eastAsia="宋体"/>
          <w:b/>
          <w:bCs/>
          <w:sz w:val="24"/>
          <w:szCs w:val="24"/>
          <w:highlight w:val="none"/>
          <w:u w:val="none"/>
          <w:lang w:val="en-US" w:eastAsia="zh-CN"/>
        </w:rPr>
      </w:pPr>
      <w:r>
        <w:rPr>
          <w:rFonts w:hint="eastAsia" w:ascii="Times New Roman" w:hAnsi="Times New Roman"/>
          <w:b/>
          <w:bCs/>
          <w:sz w:val="24"/>
          <w:szCs w:val="24"/>
          <w:highlight w:val="none"/>
          <w:u w:val="none"/>
          <w:lang w:eastAsia="zh-CN"/>
        </w:rPr>
        <w:t xml:space="preserve">后附</w:t>
      </w:r>
      <w:r>
        <w:rPr>
          <w:rFonts w:hint="eastAsia"/>
          <w:b/>
          <w:bCs/>
          <w:sz w:val="24"/>
          <w:szCs w:val="24"/>
          <w:highlight w:val="none"/>
          <w:u w:val="none"/>
          <w:lang w:val="en-US" w:eastAsia="zh-CN"/>
        </w:rPr>
        <w:t xml:space="preserve">法人身份证、委托人身份证</w:t>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spacing w:line="360" w:lineRule="auto"/>
        <w:rPr>
          <w:rFonts w:hint="eastAsia" w:ascii="黑体" w:hAnsi="黑体" w:eastAsia="黑体" w:cs="黑体"/>
          <w:color w:val="000000"/>
          <w:sz w:val="32"/>
          <w:szCs w:val="32"/>
          <w:highlight w:val="none"/>
          <w:lang w:val="zh-CN"/>
        </w:rPr>
        <w:outlineLvl w:val="0"/>
      </w:pPr>
      <w:r>
        <w:rPr>
          <w:rFonts w:hint="eastAsia" w:ascii="黑体" w:hAnsi="黑体" w:eastAsia="黑体" w:cs="黑体"/>
          <w:color w:val="000000"/>
          <w:sz w:val="32"/>
          <w:szCs w:val="32"/>
          <w:highlight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 w:val="24"/>
          <w:szCs w:val="21"/>
          <w:highlight w:val="none"/>
          <w:lang w:eastAsia="zh-CN"/>
        </w:rPr>
        <w:t xml:space="preserve">南京市公共资源交易中心浦口分中心</w:t>
      </w:r>
      <w:r/>
    </w:p>
    <w:p>
      <w:pPr>
        <w:pStyle w:val="840"/>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8</w:t>
      </w:r>
      <w:r>
        <w:rPr>
          <w:rFonts w:hint="eastAsia" w:ascii="宋体" w:hAnsi="宋体" w:eastAsia="宋体" w:cs="Times New Roman"/>
          <w:sz w:val="24"/>
          <w:szCs w:val="21"/>
          <w:highlight w:val="none"/>
        </w:rPr>
        <w:t xml:space="preserve">.我方与本磋商有关的正式通讯地址为：</w:t>
      </w:r>
      <w:r/>
    </w:p>
    <w:p>
      <w:pPr>
        <w:pStyle w:val="84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p>
    <w:p>
      <w:pPr>
        <w:pStyle w:val="840"/>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84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84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84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84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84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pStyle w:val="841"/>
        <w:rPr>
          <w:rFonts w:hint="eastAsia"/>
          <w:highlight w:val="none"/>
        </w:rPr>
      </w:pPr>
      <w:r>
        <w:rPr>
          <w:rFonts w:hint="eastAsia"/>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五、磋商报价表</w:t>
      </w:r>
      <w:r/>
    </w:p>
    <w:p>
      <w:pPr>
        <w:jc w:val="center"/>
        <w:keepLines w:val="0"/>
        <w:keepNext w:val="0"/>
        <w:pageBreakBefore w:val="0"/>
        <w:spacing w:line="480" w:lineRule="auto"/>
        <w:widowControl w:val="off"/>
        <w:rPr>
          <w:rFonts w:hint="eastAsia" w:ascii="黑体" w:hAnsi="黑体" w:eastAsia="黑体" w:cs="黑体"/>
          <w:color w:val="000000"/>
          <w:sz w:val="32"/>
          <w:szCs w:val="32"/>
          <w:highlight w:val="none"/>
          <w:lang w:val="en-US" w:eastAsia="zh-CN"/>
        </w:rPr>
        <w:outlineLvl w:val="0"/>
      </w:pPr>
      <w:r>
        <w:rPr>
          <w:rFonts w:hint="eastAsia" w:ascii="黑体" w:hAnsi="黑体" w:eastAsia="黑体" w:cs="黑体"/>
          <w:color w:val="000000"/>
          <w:sz w:val="32"/>
          <w:szCs w:val="32"/>
          <w:highlight w:val="none"/>
          <w:lang w:val="en-US" w:eastAsia="zh-CN"/>
        </w:rPr>
        <w:t xml:space="preserve">磋商报价表</w:t>
      </w:r>
      <w:r/>
    </w:p>
    <w:p>
      <w:pPr>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p>
    <w:p>
      <w:pPr>
        <w:ind w:firstLine="0"/>
        <w:keepLines w:val="0"/>
        <w:keepNext w:val="0"/>
        <w:pageBreakBefore w:val="0"/>
        <w:spacing w:line="360"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项目名称：</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p>
    <w:tbl>
      <w:tblPr>
        <w:tblStyle w:val="662"/>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p>
        </w:tc>
      </w:tr>
      <w:tr>
        <w:trPr>
          <w:cantSplit/>
          <w:trHeight w:val="780"/>
        </w:trPr>
        <w:tc>
          <w:tcPr>
            <w:tcW w:w="9748" w:type="dxa"/>
            <w:vAlign w:val="center"/>
            <w:textDirection w:val="lrTb"/>
            <w:noWrap w:val="false"/>
          </w:tcPr>
          <w:p>
            <w:pPr>
              <w:pStyle w:val="840"/>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7200"/>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jc w:val="left"/>
        <w:keepLines w:val="0"/>
        <w:keepNext w:val="0"/>
        <w:pageBreakBefore w:val="0"/>
        <w:spacing w:line="400" w:lineRule="exact"/>
        <w:widowControl w:val="off"/>
        <w:rPr>
          <w:rFonts w:hint="eastAsia" w:ascii="宋体" w:hAnsi="宋体"/>
          <w:b/>
          <w:bCs/>
          <w:sz w:val="24"/>
          <w:szCs w:val="21"/>
          <w:highlight w:val="none"/>
        </w:rPr>
      </w:pPr>
      <w:r>
        <w:rPr>
          <w:rFonts w:hint="eastAsia" w:ascii="宋体" w:hAnsi="宋体"/>
          <w:b/>
          <w:bCs/>
          <w:sz w:val="24"/>
          <w:szCs w:val="21"/>
          <w:highlight w:val="none"/>
        </w:rPr>
        <w:t xml:space="preserve">备注：</w:t>
      </w:r>
      <w:r>
        <w:rPr>
          <w:rFonts w:hint="eastAsia" w:ascii="宋体" w:hAnsi="宋体"/>
          <w:b/>
          <w:bCs/>
          <w:sz w:val="24"/>
          <w:szCs w:val="21"/>
          <w:highlight w:val="none"/>
          <w:lang w:val="en-US" w:eastAsia="zh-CN"/>
        </w:rPr>
        <w:t xml:space="preserve">1、</w:t>
      </w:r>
      <w:r>
        <w:rPr>
          <w:rFonts w:hint="eastAsia" w:ascii="宋体" w:hAnsi="宋体"/>
          <w:b/>
          <w:bCs/>
          <w:sz w:val="24"/>
          <w:szCs w:val="21"/>
          <w:highlight w:val="none"/>
        </w:rPr>
        <w:t xml:space="preserve">报价合理性说明</w:t>
      </w:r>
      <w:r/>
    </w:p>
    <w:p>
      <w:pPr>
        <w:ind w:firstLine="480"/>
        <w:jc w:val="left"/>
        <w:keepLines w:val="0"/>
        <w:keepNext w:val="0"/>
        <w:pageBreakBefore w:val="0"/>
        <w:spacing w:line="400" w:lineRule="exact"/>
        <w:widowControl w:val="off"/>
        <w:rPr>
          <w:rFonts w:hint="eastAsia" w:ascii="宋体" w:hAnsi="宋体"/>
          <w:b/>
          <w:bCs/>
          <w:sz w:val="24"/>
          <w:szCs w:val="21"/>
          <w:highlight w:val="none"/>
        </w:rPr>
      </w:pPr>
      <w:r>
        <w:rPr>
          <w:rFonts w:hint="eastAsia" w:ascii="宋体" w:hAnsi="宋体"/>
          <w:b/>
          <w:bCs/>
          <w:sz w:val="24"/>
          <w:szCs w:val="21"/>
          <w:highlight w:val="none"/>
        </w:rPr>
        <w:t xml:space="preserve">根据《关于推动解决政府采购异常低价问题的通知》（财库〔2026〕2号）：</w:t>
      </w:r>
      <w:r/>
    </w:p>
    <w:p>
      <w:pPr>
        <w:ind w:firstLine="480"/>
        <w:jc w:val="left"/>
        <w:keepLines w:val="0"/>
        <w:keepNext w:val="0"/>
        <w:pageBreakBefore w:val="0"/>
        <w:spacing w:line="400" w:lineRule="exact"/>
        <w:widowControl w:val="off"/>
        <w:rPr>
          <w:rFonts w:hint="eastAsia" w:ascii="宋体" w:hAnsi="宋体"/>
          <w:b/>
          <w:bCs/>
          <w:sz w:val="24"/>
          <w:szCs w:val="21"/>
          <w:highlight w:val="none"/>
        </w:rPr>
      </w:pPr>
      <w:r>
        <w:rPr>
          <w:rFonts w:hint="eastAsia" w:ascii="宋体" w:hAnsi="宋体"/>
          <w:b/>
          <w:bCs/>
          <w:sz w:val="24"/>
          <w:szCs w:val="21"/>
          <w:highlight w:val="none"/>
        </w:rPr>
        <w:t xml:space="preserve">（1）采购人应当在采购文件中明确，政府采购评审中出现下列情形之一的，评审委员会应当启动异常低价投标（响应）审查程序：</w:t>
      </w:r>
      <w:r/>
    </w:p>
    <w:p>
      <w:pPr>
        <w:ind w:firstLine="480"/>
        <w:jc w:val="left"/>
        <w:keepLines w:val="0"/>
        <w:keepNext w:val="0"/>
        <w:pageBreakBefore w:val="0"/>
        <w:spacing w:line="400" w:lineRule="exact"/>
        <w:widowControl w:val="off"/>
        <w:rPr>
          <w:rFonts w:hint="eastAsia" w:ascii="宋体" w:hAnsi="宋体"/>
          <w:b/>
          <w:bCs/>
          <w:sz w:val="24"/>
          <w:szCs w:val="21"/>
          <w:highlight w:val="none"/>
        </w:rPr>
      </w:pPr>
      <w:r>
        <w:rPr>
          <w:rFonts w:hint="eastAsia" w:ascii="宋体" w:hAnsi="宋体"/>
          <w:b/>
          <w:bCs/>
          <w:sz w:val="24"/>
          <w:szCs w:val="21"/>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400" w:lineRule="exact"/>
        <w:widowControl w:val="off"/>
        <w:rPr>
          <w:rFonts w:hint="eastAsia" w:ascii="宋体" w:hAnsi="宋体"/>
          <w:b/>
          <w:bCs/>
          <w:sz w:val="24"/>
          <w:szCs w:val="21"/>
          <w:highlight w:val="none"/>
        </w:rPr>
      </w:pPr>
      <w:r>
        <w:rPr>
          <w:rFonts w:hint="eastAsia" w:ascii="宋体" w:hAnsi="宋体"/>
          <w:b/>
          <w:bCs/>
          <w:sz w:val="24"/>
          <w:szCs w:val="21"/>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400" w:lineRule="exact"/>
        <w:widowControl w:val="off"/>
        <w:rPr>
          <w:rFonts w:hint="eastAsia" w:ascii="宋体" w:hAnsi="宋体"/>
          <w:b/>
          <w:bCs/>
          <w:sz w:val="24"/>
          <w:szCs w:val="21"/>
          <w:highlight w:val="none"/>
        </w:rPr>
      </w:pPr>
      <w:r>
        <w:rPr>
          <w:rFonts w:hint="eastAsia" w:ascii="宋体" w:hAnsi="宋体"/>
          <w:b/>
          <w:bCs/>
          <w:sz w:val="24"/>
          <w:szCs w:val="21"/>
          <w:highlight w:val="none"/>
        </w:rPr>
        <w:t xml:space="preserve">③投标（响应）报价低于采购项目最高限价45%的，即投标（响应）报价&lt;采购项目最高限价×45%；</w:t>
      </w:r>
      <w:r/>
    </w:p>
    <w:p>
      <w:pPr>
        <w:ind w:firstLine="480"/>
        <w:jc w:val="left"/>
        <w:keepLines w:val="0"/>
        <w:keepNext w:val="0"/>
        <w:pageBreakBefore w:val="0"/>
        <w:spacing w:line="400" w:lineRule="exact"/>
        <w:widowControl w:val="off"/>
        <w:rPr>
          <w:rFonts w:hint="eastAsia" w:ascii="宋体" w:hAnsi="宋体"/>
          <w:b/>
          <w:bCs/>
          <w:sz w:val="24"/>
          <w:szCs w:val="21"/>
          <w:highlight w:val="none"/>
        </w:rPr>
      </w:pPr>
      <w:r>
        <w:rPr>
          <w:rFonts w:hint="eastAsia" w:ascii="宋体" w:hAnsi="宋体"/>
          <w:b/>
          <w:bCs/>
          <w:sz w:val="24"/>
          <w:szCs w:val="21"/>
          <w:highlight w:val="none"/>
        </w:rPr>
        <w:t xml:space="preserve">④评审委员会基于专业判断，认为供应商报价过低，有可能影响产品质量或者不能诚信履约的其他情形。</w:t>
      </w:r>
      <w:r/>
    </w:p>
    <w:p>
      <w:pPr>
        <w:ind w:firstLine="480"/>
        <w:jc w:val="left"/>
        <w:keepLines w:val="0"/>
        <w:keepNext w:val="0"/>
        <w:pageBreakBefore w:val="0"/>
        <w:spacing w:line="400" w:lineRule="exact"/>
        <w:widowControl w:val="off"/>
        <w:rPr>
          <w:rFonts w:hint="eastAsia" w:ascii="宋体" w:hAnsi="宋体"/>
          <w:b/>
          <w:bCs/>
          <w:sz w:val="24"/>
          <w:szCs w:val="21"/>
          <w:highlight w:val="none"/>
          <w:lang w:val="zh-CN"/>
        </w:rPr>
      </w:pPr>
      <w:r>
        <w:rPr>
          <w:rFonts w:hint="eastAsia" w:ascii="宋体" w:hAnsi="宋体"/>
          <w:b/>
          <w:bCs/>
          <w:sz w:val="24"/>
          <w:szCs w:val="21"/>
          <w:highlight w:val="none"/>
        </w:rPr>
        <w:t xml:space="preserve">采购人可以结合具体项目实际情况，提高上述第①项至第③项中启动异常低价投标（响应）审查的数值标准，但是最高不得超过65%。</w:t>
      </w:r>
      <w:r>
        <w:rPr>
          <w:rFonts w:hint="eastAsia" w:ascii="宋体" w:hAnsi="宋体"/>
          <w:b/>
          <w:bCs/>
          <w:sz w:val="24"/>
          <w:szCs w:val="21"/>
          <w:highlight w:val="none"/>
          <w:lang w:val="zh-CN"/>
        </w:rPr>
        <w:t xml:space="preserve">，有可能影响</w:t>
      </w:r>
      <w:r>
        <w:rPr>
          <w:rFonts w:hint="eastAsia" w:ascii="宋体" w:hAnsi="宋体"/>
          <w:b/>
          <w:bCs/>
          <w:sz w:val="24"/>
          <w:szCs w:val="21"/>
          <w:highlight w:val="none"/>
        </w:rPr>
        <w:t xml:space="preserve">产品或服务</w:t>
      </w:r>
      <w:r>
        <w:rPr>
          <w:rFonts w:hint="eastAsia" w:ascii="宋体" w:hAnsi="宋体"/>
          <w:b/>
          <w:bCs/>
          <w:sz w:val="24"/>
          <w:szCs w:val="21"/>
          <w:highlight w:val="none"/>
          <w:lang w:val="zh-CN"/>
        </w:rPr>
        <w:t xml:space="preserve">质量或不能诚信履约的，</w:t>
      </w:r>
      <w:r>
        <w:rPr>
          <w:rFonts w:hint="eastAsia" w:ascii="宋体" w:hAnsi="宋体"/>
          <w:b/>
          <w:bCs/>
          <w:sz w:val="24"/>
          <w:szCs w:val="21"/>
          <w:highlight w:val="none"/>
        </w:rPr>
        <w:t xml:space="preserve">磋商小组将启动异常低价响应审查机制，供应商应</w:t>
      </w:r>
      <w:r>
        <w:rPr>
          <w:rFonts w:hint="eastAsia" w:ascii="宋体" w:hAnsi="宋体"/>
          <w:b/>
          <w:bCs/>
          <w:sz w:val="24"/>
          <w:szCs w:val="21"/>
          <w:highlight w:val="none"/>
          <w:lang w:val="zh-CN"/>
        </w:rPr>
        <w:t xml:space="preserve">在</w:t>
      </w:r>
      <w:r>
        <w:rPr>
          <w:rFonts w:hint="eastAsia" w:ascii="宋体" w:hAnsi="宋体"/>
          <w:b/>
          <w:bCs/>
          <w:sz w:val="24"/>
          <w:szCs w:val="21"/>
          <w:highlight w:val="none"/>
        </w:rPr>
        <w:t xml:space="preserve">磋商小组规定的合理</w:t>
      </w:r>
      <w:r>
        <w:rPr>
          <w:rFonts w:hint="eastAsia" w:ascii="宋体" w:hAnsi="宋体"/>
          <w:b/>
          <w:bCs/>
          <w:sz w:val="24"/>
          <w:szCs w:val="21"/>
          <w:highlight w:val="none"/>
          <w:lang w:val="zh-CN"/>
        </w:rPr>
        <w:t xml:space="preserve">时间内</w:t>
      </w:r>
      <w:r>
        <w:rPr>
          <w:rFonts w:hint="eastAsia" w:ascii="宋体" w:hAnsi="宋体"/>
          <w:b/>
          <w:bCs/>
          <w:sz w:val="24"/>
          <w:szCs w:val="21"/>
          <w:highlight w:val="none"/>
        </w:rPr>
        <w:t xml:space="preserve">通过苏采云系统</w:t>
      </w:r>
      <w:r>
        <w:rPr>
          <w:rFonts w:hint="eastAsia" w:ascii="宋体" w:hAnsi="宋体"/>
          <w:b/>
          <w:bCs/>
          <w:sz w:val="24"/>
          <w:szCs w:val="21"/>
          <w:highlight w:val="none"/>
          <w:lang w:val="zh-CN"/>
        </w:rPr>
        <w:t xml:space="preserve">提供</w:t>
      </w:r>
      <w:r>
        <w:rPr>
          <w:rFonts w:hint="eastAsia" w:ascii="宋体" w:hAnsi="宋体"/>
          <w:b/>
          <w:bCs/>
          <w:sz w:val="24"/>
          <w:szCs w:val="21"/>
          <w:highlight w:val="none"/>
        </w:rPr>
        <w:t xml:space="preserve">项目具体成本测算等与报价合理性相关的书面</w:t>
      </w:r>
      <w:r>
        <w:rPr>
          <w:rFonts w:hint="eastAsia" w:ascii="宋体" w:hAnsi="宋体"/>
          <w:b/>
          <w:bCs/>
          <w:sz w:val="24"/>
          <w:szCs w:val="21"/>
          <w:highlight w:val="none"/>
          <w:lang w:val="zh-CN"/>
        </w:rPr>
        <w:t xml:space="preserve">说明</w:t>
      </w:r>
      <w:r>
        <w:rPr>
          <w:rFonts w:hint="eastAsia" w:ascii="宋体" w:hAnsi="宋体"/>
          <w:b/>
          <w:bCs/>
          <w:sz w:val="24"/>
          <w:szCs w:val="21"/>
          <w:highlight w:val="none"/>
        </w:rPr>
        <w:t xml:space="preserve">及相关证明材料</w:t>
      </w:r>
      <w:r>
        <w:rPr>
          <w:rFonts w:hint="eastAsia" w:ascii="宋体" w:hAnsi="宋体"/>
          <w:b/>
          <w:bCs/>
          <w:sz w:val="24"/>
          <w:szCs w:val="21"/>
          <w:highlight w:val="none"/>
          <w:lang w:val="zh-CN"/>
        </w:rPr>
        <w:t xml:space="preserve">。</w:t>
      </w:r>
      <w:r>
        <w:rPr>
          <w:rFonts w:hint="eastAsia" w:ascii="宋体" w:hAnsi="宋体"/>
          <w:b/>
          <w:bCs/>
          <w:sz w:val="24"/>
          <w:szCs w:val="21"/>
          <w:highlight w:val="none"/>
        </w:rPr>
        <w:t xml:space="preserve">供应商不提供书面说明及证明材料，或者书面说明、证明材料</w:t>
      </w:r>
      <w:r>
        <w:rPr>
          <w:rFonts w:hint="eastAsia" w:ascii="宋体" w:hAnsi="宋体"/>
          <w:b/>
          <w:bCs/>
          <w:sz w:val="24"/>
          <w:szCs w:val="21"/>
          <w:highlight w:val="none"/>
          <w:lang w:val="zh-CN"/>
        </w:rPr>
        <w:t xml:space="preserve">不能证明其报价合理性的，将作为无效</w:t>
      </w:r>
      <w:r>
        <w:rPr>
          <w:rFonts w:hint="eastAsia" w:ascii="宋体" w:hAnsi="宋体"/>
          <w:b/>
          <w:bCs/>
          <w:sz w:val="24"/>
          <w:szCs w:val="21"/>
          <w:highlight w:val="none"/>
        </w:rPr>
        <w:t xml:space="preserve">响应</w:t>
      </w:r>
      <w:r>
        <w:rPr>
          <w:rFonts w:hint="eastAsia" w:ascii="宋体" w:hAnsi="宋体"/>
          <w:b/>
          <w:bCs/>
          <w:sz w:val="24"/>
          <w:szCs w:val="21"/>
          <w:highlight w:val="none"/>
          <w:lang w:val="zh-CN"/>
        </w:rPr>
        <w:t xml:space="preserve">处理。</w:t>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ind w:firstLine="480"/>
        <w:keepLines w:val="0"/>
        <w:keepNext w:val="0"/>
        <w:pageBreakBefore w:val="0"/>
        <w:spacing w:line="480" w:lineRule="auto"/>
        <w:widowControl w:val="off"/>
        <w:rPr>
          <w:rFonts w:hint="eastAsia" w:ascii="黑体" w:hAnsi="黑体" w:eastAsia="黑体" w:cs="Times New Roman"/>
          <w:i w:val="0"/>
          <w:color w:val="000000"/>
          <w:sz w:val="32"/>
          <w:szCs w:val="32"/>
          <w:highlight w:val="none"/>
          <w:u w:val="none"/>
          <w:lang w:val="en-US" w:eastAsia="zh-CN"/>
        </w:rPr>
      </w:pPr>
      <w:r>
        <w:rPr>
          <w:rFonts w:hint="eastAsia" w:ascii="宋体" w:hAnsi="宋体"/>
          <w:sz w:val="24"/>
          <w:szCs w:val="24"/>
          <w:highlight w:val="none"/>
        </w:rPr>
        <w:t xml:space="preserve">                                              </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六、磋商报价明细表</w:t>
      </w:r>
      <w:r/>
    </w:p>
    <w:p>
      <w:pPr>
        <w:jc w:val="center"/>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 xml:space="preserve">磋商报价明细表</w:t>
      </w:r>
      <w:r/>
    </w:p>
    <w:p>
      <w:pPr>
        <w:keepLines w:val="0"/>
        <w:keepNext w:val="0"/>
        <w:pageBreakBefore w:val="0"/>
        <w:spacing w:line="240" w:lineRule="auto"/>
        <w:rPr>
          <w:rFonts w:hint="eastAsia"/>
          <w:sz w:val="24"/>
          <w:szCs w:val="24"/>
          <w:highlight w:val="none"/>
          <w:lang w:val="en-US" w:eastAsia="zh-CN"/>
        </w:rPr>
      </w:pPr>
      <w:r>
        <w:rPr>
          <w:rFonts w:hint="eastAsia"/>
          <w:sz w:val="24"/>
          <w:szCs w:val="24"/>
          <w:highlight w:val="none"/>
          <w:lang w:val="en-US" w:eastAsia="zh-CN"/>
        </w:rPr>
        <w:t xml:space="preserve">供应商名称：（加盖电子公章）</w:t>
      </w:r>
      <w:r/>
    </w:p>
    <w:p>
      <w:pPr>
        <w:keepLines w:val="0"/>
        <w:keepNext w:val="0"/>
        <w:pageBreakBefore w:val="0"/>
        <w:spacing w:line="240" w:lineRule="auto"/>
        <w:rPr>
          <w:rFonts w:hint="eastAsia"/>
          <w:sz w:val="24"/>
          <w:szCs w:val="24"/>
          <w:highlight w:val="none"/>
          <w:lang w:val="en-US" w:eastAsia="zh-CN"/>
        </w:rPr>
      </w:pPr>
      <w:r>
        <w:rPr>
          <w:rFonts w:hint="eastAsia"/>
          <w:sz w:val="24"/>
          <w:szCs w:val="24"/>
          <w:highlight w:val="none"/>
          <w:lang w:val="en-US" w:eastAsia="zh-CN"/>
        </w:rPr>
        <w:t xml:space="preserve">项目名称：</w:t>
      </w:r>
      <w:r/>
    </w:p>
    <w:p>
      <w:pPr>
        <w:keepLines w:val="0"/>
        <w:keepNext w:val="0"/>
        <w:pageBreakBefore w:val="0"/>
        <w:spacing w:line="240" w:lineRule="auto"/>
        <w:rPr>
          <w:rFonts w:hint="eastAsia"/>
          <w:sz w:val="24"/>
          <w:szCs w:val="24"/>
          <w:highlight w:val="none"/>
          <w:lang w:val="en-US" w:eastAsia="zh-CN"/>
        </w:rPr>
      </w:pPr>
      <w:r>
        <w:rPr>
          <w:rFonts w:hint="eastAsia"/>
          <w:sz w:val="24"/>
          <w:szCs w:val="24"/>
          <w:highlight w:val="none"/>
          <w:lang w:val="en-US" w:eastAsia="zh-CN"/>
        </w:rPr>
        <w:t xml:space="preserve">项目编号：</w:t>
      </w:r>
      <w:r/>
    </w:p>
    <w:tbl>
      <w:tblPr>
        <w:tblStyle w:val="662"/>
        <w:tblW w:w="4895" w:type="pct"/>
        <w:tblInd w:w="-5" w:type="dxa"/>
        <w:tblLayout w:type="fixed"/>
        <w:tblCellMar>
          <w:left w:w="108" w:type="dxa"/>
          <w:top w:w="0" w:type="dxa"/>
          <w:right w:w="108" w:type="dxa"/>
          <w:bottom w:w="0" w:type="dxa"/>
        </w:tblCellMar>
        <w:tblLook w:val="04A0" w:firstRow="1" w:lastRow="0" w:firstColumn="1" w:lastColumn="0" w:noHBand="0" w:noVBand="1"/>
      </w:tblPr>
      <w:tblGrid>
        <w:gridCol w:w="818"/>
        <w:gridCol w:w="1498"/>
        <w:gridCol w:w="756"/>
        <w:gridCol w:w="1150"/>
        <w:gridCol w:w="1143"/>
        <w:gridCol w:w="3893"/>
      </w:tblGrid>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序号</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分项名称</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数量</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单价</w:t>
            </w:r>
            <w:r>
              <w:rPr>
                <w:rFonts w:hint="eastAsia" w:ascii="宋体" w:hAnsi="宋体" w:cs="宋体"/>
                <w:b/>
                <w:bCs/>
                <w:color w:val="000000"/>
                <w:sz w:val="18"/>
                <w:szCs w:val="18"/>
                <w:highlight w:val="none"/>
                <w:lang w:bidi="en-US"/>
              </w:rPr>
              <w:br w:type="textWrapping" w:clear="all"/>
            </w:r>
            <w:r>
              <w:rPr>
                <w:rFonts w:hint="eastAsia" w:ascii="宋体" w:hAnsi="宋体" w:cs="宋体"/>
                <w:b/>
                <w:bCs/>
                <w:color w:val="000000"/>
                <w:sz w:val="18"/>
                <w:szCs w:val="18"/>
                <w:highlight w:val="none"/>
                <w:lang w:bidi="en-US"/>
              </w:rPr>
              <w:t xml:space="preserve">（元/月）</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分项小计</w:t>
            </w:r>
            <w:r>
              <w:rPr>
                <w:rFonts w:hint="eastAsia" w:ascii="宋体" w:hAnsi="宋体" w:cs="宋体"/>
                <w:b/>
                <w:bCs/>
                <w:color w:val="000000"/>
                <w:sz w:val="18"/>
                <w:szCs w:val="18"/>
                <w:highlight w:val="none"/>
                <w:lang w:bidi="en-US"/>
              </w:rPr>
              <w:br w:type="textWrapping" w:clear="all"/>
            </w:r>
            <w:r>
              <w:rPr>
                <w:rFonts w:hint="eastAsia" w:ascii="宋体" w:hAnsi="宋体" w:cs="宋体"/>
                <w:b/>
                <w:bCs/>
                <w:color w:val="000000"/>
                <w:sz w:val="18"/>
                <w:szCs w:val="18"/>
                <w:highlight w:val="none"/>
                <w:lang w:bidi="en-US"/>
              </w:rPr>
              <w:t xml:space="preserve">（元/年）</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备注</w:t>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人员工资</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left"/>
              <w:widowControl/>
              <w:rPr>
                <w:rFonts w:hint="eastAsia"/>
                <w:color w:val="000000"/>
                <w:highlight w:val="none"/>
              </w:rPr>
            </w:pPr>
            <w:r>
              <w:rPr>
                <w:rFonts w:hint="eastAsia"/>
                <w:color w:val="000000"/>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eastAsia="宋体" w:cs="宋体"/>
                <w:color w:val="000000"/>
                <w:sz w:val="18"/>
                <w:szCs w:val="18"/>
                <w:highlight w:val="none"/>
                <w:lang w:val="en-US" w:eastAsia="zh-CN"/>
              </w:rPr>
            </w:pPr>
            <w:r>
              <w:rPr>
                <w:rFonts w:hint="default"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right w:val="single" w:color="000000" w:sz="4" w:space="0"/>
            </w:tcBorders>
            <w:tcW w:w="3893" w:type="dxa"/>
            <w:vAlign w:val="center"/>
            <w:vMerge w:val="restart"/>
            <w:textDirection w:val="lrTb"/>
            <w:noWrap w:val="false"/>
          </w:tcPr>
          <w:p>
            <w:pPr>
              <w:jc w:val="left"/>
              <w:rPr>
                <w:rFonts w:hint="eastAsia"/>
                <w:color w:val="000000"/>
                <w:highlight w:val="none"/>
              </w:rPr>
            </w:pPr>
            <w:r>
              <w:rPr>
                <w:rFonts w:hint="eastAsia"/>
                <w:sz w:val="18"/>
                <w:szCs w:val="18"/>
                <w:highlight w:val="none"/>
              </w:rPr>
              <w:t xml:space="preserve">拟投入的人员不得低于</w:t>
            </w:r>
            <w:r>
              <w:rPr>
                <w:rFonts w:hint="eastAsia"/>
                <w:sz w:val="18"/>
                <w:szCs w:val="18"/>
                <w:highlight w:val="none"/>
                <w:lang w:val="en-US" w:eastAsia="zh-CN"/>
              </w:rPr>
              <w:t xml:space="preserve">36</w:t>
            </w:r>
            <w:r>
              <w:rPr>
                <w:rFonts w:hint="eastAsia"/>
                <w:sz w:val="18"/>
                <w:szCs w:val="18"/>
                <w:highlight w:val="none"/>
              </w:rPr>
              <w:t xml:space="preserve">人，人员工资不得低于南京市最低工资标准</w:t>
            </w:r>
            <w:r>
              <w:rPr>
                <w:rFonts w:hint="eastAsia"/>
                <w:sz w:val="18"/>
                <w:szCs w:val="18"/>
                <w:highlight w:val="none"/>
                <w:lang w:eastAsia="zh-CN"/>
              </w:rPr>
              <w:t xml:space="preserve">（</w:t>
            </w:r>
            <w:r>
              <w:rPr>
                <w:rFonts w:hint="eastAsia"/>
                <w:sz w:val="18"/>
                <w:szCs w:val="18"/>
                <w:highlight w:val="none"/>
                <w:lang w:val="en-US" w:eastAsia="zh-CN"/>
              </w:rPr>
              <w:t xml:space="preserve">2660元/月</w:t>
            </w:r>
            <w:r>
              <w:rPr>
                <w:rFonts w:hint="eastAsia"/>
                <w:sz w:val="18"/>
                <w:szCs w:val="18"/>
                <w:highlight w:val="none"/>
                <w:lang w:eastAsia="zh-CN"/>
              </w:rPr>
              <w:t xml:space="preserve">）</w:t>
            </w:r>
            <w:r>
              <w:rPr>
                <w:rFonts w:hint="eastAsia"/>
                <w:sz w:val="18"/>
                <w:szCs w:val="18"/>
                <w:highlight w:val="none"/>
              </w:rPr>
              <w:t xml:space="preserve">，供应商须在《</w:t>
            </w:r>
            <w:r>
              <w:rPr>
                <w:rFonts w:hint="eastAsia"/>
                <w:sz w:val="18"/>
                <w:szCs w:val="18"/>
                <w:highlight w:val="none"/>
                <w:lang w:eastAsia="zh-CN"/>
              </w:rPr>
              <w:t xml:space="preserve">磋商</w:t>
            </w:r>
            <w:r>
              <w:rPr>
                <w:rFonts w:hint="eastAsia"/>
                <w:sz w:val="18"/>
                <w:szCs w:val="18"/>
                <w:highlight w:val="none"/>
              </w:rPr>
              <w:t xml:space="preserve">报价明细表》中按照采购需求中物业服务人员岗位分别填报员工工资，否则做无效投标处理</w:t>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lang w:bidi="en-US"/>
              </w:rPr>
            </w:pPr>
            <w:r>
              <w:rPr>
                <w:rFonts w:hint="eastAsia" w:ascii="宋体" w:hAnsi="宋体" w:cs="宋体"/>
                <w:color w:val="000000"/>
                <w:sz w:val="18"/>
                <w:szCs w:val="18"/>
                <w:highlight w:val="none"/>
                <w:lang w:bidi="en-US"/>
              </w:rPr>
              <w:t xml:space="preserve">（2）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default" w:ascii="宋体" w:hAnsi="宋体" w:cs="宋体"/>
                <w:color w:val="auto"/>
                <w:sz w:val="18"/>
                <w:szCs w:val="18"/>
                <w:highlight w:val="none"/>
                <w:lang w:val="en-US" w:eastAsia="zh-CN"/>
              </w:rPr>
            </w:pPr>
            <w:r>
              <w:rPr>
                <w:rFonts w:hint="default" w:ascii="宋体" w:hAnsi="宋体" w:cs="宋体"/>
                <w:color w:val="auto"/>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left w:val="single" w:color="000000" w:sz="4" w:space="0"/>
              <w:right w:val="single" w:color="000000" w:sz="4" w:space="0"/>
            </w:tcBorders>
            <w:tcW w:w="3893" w:type="dxa"/>
            <w:vAlign w:val="center"/>
            <w:vMerge w:val="continue"/>
            <w:textDirection w:val="lrTb"/>
            <w:noWrap w:val="false"/>
          </w:tcPr>
          <w:p>
            <w:pPr>
              <w:jc w:val="left"/>
              <w:rPr>
                <w:rFonts w:hint="eastAsia"/>
                <w:sz w:val="18"/>
                <w:szCs w:val="18"/>
                <w:highlight w:val="none"/>
              </w:rPr>
            </w:pPr>
            <w:r>
              <w:rPr>
                <w:rFonts w:hint="eastAsia"/>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default" w:ascii="宋体" w:hAnsi="宋体" w:eastAsia="宋体" w:cs="宋体"/>
                <w:color w:val="000000"/>
                <w:sz w:val="18"/>
                <w:szCs w:val="18"/>
                <w:highlight w:val="none"/>
                <w:lang w:val="en-US" w:eastAsia="zh-CN"/>
              </w:rPr>
            </w:pPr>
            <w:r>
              <w:rPr>
                <w:rFonts w:hint="default"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left w:val="single" w:color="000000" w:sz="4" w:space="0"/>
              <w:right w:val="single" w:color="000000" w:sz="4" w:space="0"/>
            </w:tcBorders>
            <w:tcW w:w="3893" w:type="dxa"/>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cs="宋体"/>
                <w:color w:val="000000"/>
                <w:sz w:val="18"/>
                <w:szCs w:val="18"/>
                <w:highlight w:val="none"/>
                <w:lang w:val="en-US"/>
              </w:rPr>
            </w:pPr>
            <w:r>
              <w:rPr>
                <w:rFonts w:hint="default" w:ascii="宋体" w:hAnsi="宋体" w:cs="宋体"/>
                <w:color w:val="000000"/>
                <w:sz w:val="18"/>
                <w:szCs w:val="18"/>
                <w:highlight w:val="none"/>
                <w:lang w:val="en-US"/>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left w:val="single" w:color="000000" w:sz="4" w:space="0"/>
              <w:right w:val="single" w:color="000000" w:sz="4" w:space="0"/>
            </w:tcBorders>
            <w:tcW w:w="3893" w:type="dxa"/>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eastAsia="宋体" w:cs="宋体"/>
                <w:color w:val="000000"/>
                <w:sz w:val="18"/>
                <w:szCs w:val="18"/>
                <w:highlight w:val="none"/>
                <w:lang w:val="en-US" w:eastAsia="zh-CN"/>
              </w:rPr>
            </w:pPr>
            <w:r>
              <w:rPr>
                <w:rFonts w:hint="default"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left w:val="single" w:color="000000" w:sz="4" w:space="0"/>
              <w:right w:val="single" w:color="000000" w:sz="4" w:space="0"/>
            </w:tcBorders>
            <w:tcW w:w="3893" w:type="dxa"/>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社保公积金</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auto"/>
                <w:sz w:val="18"/>
                <w:szCs w:val="18"/>
                <w:highlight w:val="none"/>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本项目要求社保公积金人数不少于</w:t>
            </w:r>
            <w:r>
              <w:rPr>
                <w:rFonts w:hint="eastAsia" w:ascii="宋体" w:hAnsi="宋体" w:cs="宋体"/>
                <w:color w:val="auto"/>
                <w:sz w:val="18"/>
                <w:szCs w:val="18"/>
                <w:highlight w:val="none"/>
                <w:lang w:val="en-US" w:eastAsia="zh-CN"/>
              </w:rPr>
              <w:t xml:space="preserve">18</w:t>
            </w:r>
            <w:r>
              <w:rPr>
                <w:rFonts w:hint="eastAsia" w:ascii="宋体" w:hAnsi="宋体" w:cs="宋体"/>
                <w:color w:val="auto"/>
                <w:sz w:val="18"/>
                <w:szCs w:val="18"/>
                <w:highlight w:val="none"/>
              </w:rPr>
              <w:t xml:space="preserve">人，报价中的人员不得低于上述要求，否则做无效投标处理。</w:t>
            </w:r>
            <w:r/>
          </w:p>
        </w:tc>
      </w:tr>
      <w:tr>
        <w:trPr>
          <w:trHeight w:val="261"/>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（1）</w:t>
            </w:r>
            <w:r/>
          </w:p>
        </w:tc>
        <w:tc>
          <w:tcPr>
            <w:tcBorders>
              <w:top w:val="single" w:color="000000" w:sz="4" w:space="0"/>
              <w:left w:val="single" w:color="000000" w:sz="4" w:space="0"/>
              <w:bottom w:val="non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社会保险</w:t>
            </w:r>
            <w:r/>
          </w:p>
        </w:tc>
        <w:tc>
          <w:tcPr>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auto"/>
                <w:sz w:val="18"/>
                <w:szCs w:val="18"/>
                <w:highlight w:val="none"/>
                <w:lang w:bidi="en-US"/>
              </w:rPr>
              <w:t xml:space="preserve">社保费用不得低于南京市最低标准，否则做无效投标处理。</w:t>
            </w:r>
            <w:r/>
          </w:p>
        </w:tc>
      </w:tr>
      <w:tr>
        <w:trPr>
          <w:trHeight w:val="369"/>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lang w:bidi="en-US"/>
              </w:rPr>
            </w:pPr>
            <w:r>
              <w:rPr>
                <w:rFonts w:hint="eastAsia" w:ascii="宋体" w:hAnsi="宋体" w:cs="宋体"/>
                <w:color w:val="000000"/>
                <w:sz w:val="18"/>
                <w:szCs w:val="18"/>
                <w:highlight w:val="none"/>
                <w:lang w:bidi="en-US"/>
              </w:rPr>
              <w:t xml:space="preserve">公积金</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auto"/>
                <w:sz w:val="18"/>
                <w:szCs w:val="18"/>
                <w:highlight w:val="none"/>
                <w:lang w:bidi="en-US"/>
              </w:rPr>
              <w:t xml:space="preserve">公积金不得低于南京市最低标准，且最低工资不包含劳动者按下限缴存的住房公积金，由用人单位按规定另行支付，否则做无效投标处理。</w:t>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b/>
                <w:bCs/>
                <w:color w:val="000000"/>
                <w:sz w:val="18"/>
                <w:szCs w:val="18"/>
                <w:highlight w:val="none"/>
                <w:lang w:bidi="en-US"/>
              </w:rPr>
            </w:pPr>
            <w:r>
              <w:rPr>
                <w:rFonts w:hint="eastAsia" w:ascii="宋体" w:hAnsi="宋体" w:cs="宋体"/>
                <w:b/>
                <w:bCs/>
                <w:color w:val="000000"/>
                <w:sz w:val="18"/>
                <w:szCs w:val="18"/>
                <w:highlight w:val="none"/>
                <w:lang w:bidi="en-US"/>
              </w:rPr>
              <w:t xml:space="preserve">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lang w:bidi="en-US"/>
              </w:rPr>
            </w:pPr>
            <w:r>
              <w:rPr>
                <w:rFonts w:hint="eastAsia" w:ascii="宋体" w:hAnsi="宋体" w:cs="宋体"/>
                <w:b/>
                <w:bCs/>
                <w:color w:val="000000"/>
                <w:sz w:val="18"/>
                <w:szCs w:val="18"/>
                <w:highlight w:val="none"/>
                <w:lang w:bidi="en-US"/>
              </w:rPr>
              <w:t xml:space="preserve">法定节假日工资</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left"/>
              <w:widowControl/>
              <w:rPr>
                <w:rFonts w:hint="eastAsia"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法定节假日安排劳动者工作的，支付不低于正常工资的百分之三百的工资报酬。本项目要求法定节假日在岗人数</w:t>
            </w:r>
            <w:r>
              <w:rPr>
                <w:rFonts w:hint="eastAsia" w:ascii="宋体" w:hAnsi="宋体" w:cs="宋体"/>
                <w:color w:val="auto"/>
                <w:sz w:val="18"/>
                <w:szCs w:val="18"/>
                <w:highlight w:val="none"/>
                <w:lang w:val="en-US" w:eastAsia="zh-CN" w:bidi="en-US"/>
              </w:rPr>
              <w:t xml:space="preserve">不少于10人</w:t>
            </w:r>
            <w:r>
              <w:rPr>
                <w:rFonts w:hint="eastAsia" w:ascii="宋体" w:hAnsi="宋体" w:cs="宋体"/>
                <w:color w:val="auto"/>
                <w:sz w:val="18"/>
                <w:szCs w:val="18"/>
                <w:highlight w:val="none"/>
                <w:lang w:bidi="en-US"/>
              </w:rPr>
              <w:t xml:space="preserve">，报价中的法定节假日人员加班费不得低于上述要求，否则做无效投标处理。</w:t>
            </w:r>
            <w:r/>
          </w:p>
          <w:p>
            <w:pPr>
              <w:jc w:val="left"/>
              <w:widowControl/>
              <w:rPr>
                <w:rFonts w:ascii="宋体" w:hAnsi="宋体" w:cs="宋体"/>
                <w:color w:val="000000"/>
                <w:sz w:val="18"/>
                <w:szCs w:val="18"/>
                <w:highlight w:val="none"/>
                <w:lang w:bidi="en-US"/>
              </w:rPr>
            </w:pPr>
            <w:r>
              <w:rPr>
                <w:rFonts w:hint="eastAsia" w:ascii="宋体" w:hAnsi="宋体" w:cs="宋体"/>
                <w:color w:val="auto"/>
                <w:sz w:val="18"/>
                <w:szCs w:val="18"/>
                <w:highlight w:val="none"/>
                <w:lang w:bidi="en-US"/>
              </w:rPr>
              <w:t xml:space="preserve">参考计算公式：人员工资÷21.75天（平均月计薪天数）×3×人数×</w:t>
            </w:r>
            <w:r>
              <w:rPr>
                <w:rFonts w:hint="eastAsia" w:ascii="宋体" w:hAnsi="宋体" w:cs="宋体"/>
                <w:color w:val="auto"/>
                <w:sz w:val="18"/>
                <w:szCs w:val="18"/>
                <w:highlight w:val="none"/>
                <w:lang w:val="en-US" w:eastAsia="zh-CN" w:bidi="en-US"/>
              </w:rPr>
              <w:t xml:space="preserve">13</w:t>
            </w:r>
            <w:r>
              <w:rPr>
                <w:rFonts w:hint="eastAsia" w:ascii="宋体" w:hAnsi="宋体" w:cs="宋体"/>
                <w:color w:val="auto"/>
                <w:sz w:val="18"/>
                <w:szCs w:val="18"/>
                <w:highlight w:val="none"/>
                <w:lang w:bidi="en-US"/>
              </w:rPr>
              <w:t xml:space="preserve">天</w:t>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eastAsia="宋体" w:cs="宋体"/>
                <w:color w:val="000000"/>
                <w:sz w:val="18"/>
                <w:szCs w:val="18"/>
                <w:highlight w:val="none"/>
                <w:lang w:eastAsia="zh-CN" w:bidi="en-US"/>
              </w:rPr>
            </w:pPr>
            <w:r>
              <w:rPr>
                <w:rFonts w:hint="eastAsia" w:ascii="宋体" w:hAnsi="宋体" w:cs="宋体"/>
                <w:b/>
                <w:bCs/>
                <w:color w:val="000000"/>
                <w:sz w:val="18"/>
                <w:szCs w:val="18"/>
                <w:highlight w:val="none"/>
                <w:lang w:val="en-US" w:eastAsia="zh-CN" w:bidi="en-US"/>
              </w:rPr>
              <w:t xml:space="preserve">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eastAsia="宋体" w:cs="宋体"/>
                <w:color w:val="000000"/>
                <w:sz w:val="18"/>
                <w:szCs w:val="18"/>
                <w:highlight w:val="none"/>
                <w:lang w:eastAsia="zh-CN" w:bidi="en-US"/>
              </w:rPr>
            </w:pPr>
            <w:r>
              <w:rPr>
                <w:rFonts w:hint="eastAsia" w:ascii="宋体" w:hAnsi="宋体" w:cs="宋体"/>
                <w:b/>
                <w:bCs/>
                <w:color w:val="000000"/>
                <w:sz w:val="18"/>
                <w:szCs w:val="18"/>
                <w:highlight w:val="none"/>
                <w:lang w:bidi="en-US"/>
              </w:rPr>
              <w:t xml:space="preserve">其他待遇费用</w:t>
            </w:r>
            <w:r>
              <w:rPr>
                <w:rFonts w:hint="eastAsia" w:ascii="宋体" w:hAnsi="宋体" w:cs="宋体"/>
                <w:b/>
                <w:bCs/>
                <w:color w:val="000000"/>
                <w:sz w:val="18"/>
                <w:szCs w:val="18"/>
                <w:highlight w:val="none"/>
                <w:lang w:eastAsia="zh-CN" w:bidi="en-US"/>
              </w:rPr>
              <w:t xml:space="preserve">（</w:t>
            </w:r>
            <w:r>
              <w:rPr>
                <w:rFonts w:hint="eastAsia" w:ascii="宋体" w:hAnsi="宋体" w:cs="宋体"/>
                <w:b/>
                <w:bCs/>
                <w:color w:val="000000"/>
                <w:sz w:val="18"/>
                <w:szCs w:val="18"/>
                <w:highlight w:val="none"/>
                <w:lang w:val="en-US" w:eastAsia="zh-CN" w:bidi="en-US"/>
              </w:rPr>
              <w:t xml:space="preserve">高温补贴</w:t>
            </w:r>
            <w:r>
              <w:rPr>
                <w:rFonts w:hint="eastAsia" w:ascii="宋体" w:hAnsi="宋体" w:cs="宋体"/>
                <w:b/>
                <w:bCs/>
                <w:color w:val="000000"/>
                <w:sz w:val="18"/>
                <w:szCs w:val="18"/>
                <w:highlight w:val="none"/>
                <w:lang w:eastAsia="zh-CN" w:bidi="en-US"/>
              </w:rPr>
              <w:t xml:space="preserve">）</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left"/>
              <w:widowControl/>
              <w:rPr>
                <w:rFonts w:hint="eastAsia" w:ascii="宋体" w:hAnsi="宋体" w:cs="宋体"/>
                <w:color w:val="000000"/>
                <w:sz w:val="18"/>
                <w:szCs w:val="18"/>
                <w:highlight w:val="none"/>
                <w:lang w:bidi="en-US"/>
              </w:rPr>
            </w:pPr>
            <w:r>
              <w:rPr>
                <w:rFonts w:hint="eastAsia" w:ascii="宋体" w:hAnsi="宋体" w:cs="宋体"/>
                <w:color w:val="000000"/>
                <w:sz w:val="18"/>
                <w:szCs w:val="18"/>
                <w:highlight w:val="none"/>
                <w:lang w:bidi="en-US"/>
              </w:rPr>
              <w:t xml:space="preserve">按照夏季高温四个月发放高温补贴，不得少于</w:t>
            </w:r>
            <w:r>
              <w:rPr>
                <w:rFonts w:hint="eastAsia" w:ascii="宋体" w:hAnsi="宋体" w:cs="宋体"/>
                <w:color w:val="000000"/>
                <w:sz w:val="18"/>
                <w:szCs w:val="18"/>
                <w:highlight w:val="none"/>
                <w:lang w:val="en-US" w:eastAsia="zh-CN" w:bidi="en-US"/>
              </w:rPr>
              <w:t xml:space="preserve">36</w:t>
            </w:r>
            <w:r>
              <w:rPr>
                <w:rFonts w:hint="eastAsia" w:ascii="宋体" w:hAnsi="宋体" w:cs="宋体"/>
                <w:color w:val="000000"/>
                <w:sz w:val="18"/>
                <w:szCs w:val="18"/>
                <w:highlight w:val="none"/>
                <w:lang w:bidi="en-US"/>
              </w:rPr>
              <w:t xml:space="preserve">人</w:t>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hint="eastAsia" w:ascii="宋体" w:hAnsi="宋体" w:cs="宋体"/>
                <w:b/>
                <w:bCs/>
                <w:color w:val="000000"/>
                <w:sz w:val="18"/>
                <w:szCs w:val="18"/>
                <w:highlight w:val="none"/>
                <w:lang w:val="en-US" w:eastAsia="zh-CN" w:bidi="en-US"/>
              </w:rPr>
              <w:t xml:space="preserve">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行政办公费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办公用品费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培训费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交通费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通讯费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服装费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hint="eastAsia" w:ascii="宋体" w:hAnsi="宋体" w:cs="宋体"/>
                <w:b/>
                <w:bCs/>
                <w:color w:val="000000"/>
                <w:sz w:val="18"/>
                <w:szCs w:val="18"/>
                <w:highlight w:val="none"/>
                <w:lang w:val="en-US" w:eastAsia="zh-CN" w:bidi="en-US"/>
              </w:rPr>
              <w:t xml:space="preserve">6</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工具耗材及物资装备折旧费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lang w:bidi="en-US"/>
              </w:rPr>
            </w:pPr>
            <w:r>
              <w:rPr>
                <w:rFonts w:ascii="宋体" w:hAnsi="宋体" w:cs="宋体"/>
                <w:color w:val="000000"/>
                <w:sz w:val="18"/>
                <w:szCs w:val="18"/>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lang w:bidi="en-US"/>
              </w:rPr>
            </w:pPr>
            <w:r>
              <w:rPr>
                <w:rFonts w:hint="eastAsia" w:ascii="宋体" w:hAnsi="宋体" w:cs="宋体"/>
                <w:color w:val="000000"/>
                <w:sz w:val="18"/>
                <w:szCs w:val="18"/>
                <w:highlight w:val="none"/>
                <w:lang w:bidi="en-US"/>
              </w:rPr>
              <w:t xml:space="preserve">清洁耗材费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left"/>
              <w:widowControl/>
              <w:rPr>
                <w:rFonts w:hint="eastAsia" w:ascii="宋体" w:hAnsi="宋体" w:cs="宋体"/>
                <w:color w:val="000000"/>
                <w:sz w:val="18"/>
                <w:szCs w:val="18"/>
                <w:highlight w:val="none"/>
                <w:lang w:bidi="en-US"/>
              </w:rPr>
            </w:pPr>
            <w:r>
              <w:rPr>
                <w:rFonts w:hint="eastAsia" w:ascii="宋体" w:hAnsi="宋体" w:cs="宋体"/>
                <w:color w:val="000000"/>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hint="eastAsia" w:ascii="宋体" w:hAnsi="宋体" w:cs="宋体"/>
                <w:color w:val="000000"/>
                <w:sz w:val="18"/>
                <w:szCs w:val="18"/>
                <w:highlight w:val="none"/>
                <w:lang w:bidi="en-US"/>
              </w:rPr>
            </w:pPr>
            <w:r>
              <w:rPr>
                <w:rFonts w:hint="eastAsia" w:ascii="宋体" w:hAnsi="宋体" w:cs="宋体"/>
                <w:color w:val="000000"/>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color w:val="000000"/>
                <w:sz w:val="18"/>
                <w:szCs w:val="18"/>
                <w:highlight w:val="none"/>
                <w:lang w:bidi="en-US"/>
              </w:rPr>
            </w:pPr>
            <w:r>
              <w:rPr>
                <w:rFonts w:hint="eastAsia" w:ascii="宋体" w:hAnsi="宋体" w:cs="宋体"/>
                <w:color w:val="000000"/>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清洁耗材包括但不限于：扫把、地推、垃圾袋、消毒液、洁厕灵等。</w:t>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物资装备折旧费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bidi="en-US"/>
              </w:rPr>
            </w:pPr>
            <w:r>
              <w:rPr>
                <w:rFonts w:hint="eastAsia" w:ascii="宋体" w:hAnsi="宋体" w:cs="宋体"/>
                <w:b/>
                <w:bCs/>
                <w:color w:val="000000"/>
                <w:sz w:val="18"/>
                <w:szCs w:val="18"/>
                <w:highlight w:val="none"/>
                <w:lang w:val="en-US" w:eastAsia="zh-CN" w:bidi="en-US"/>
              </w:rPr>
              <w:t xml:space="preserve">7</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管理费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hint="eastAsia" w:ascii="宋体" w:hAnsi="宋体" w:cs="宋体"/>
                <w:b/>
                <w:bCs/>
                <w:color w:val="000000"/>
                <w:sz w:val="18"/>
                <w:szCs w:val="18"/>
                <w:highlight w:val="none"/>
                <w:lang w:val="en-US" w:eastAsia="zh-CN" w:bidi="en-US"/>
              </w:rPr>
              <w:t xml:space="preserve">8</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利润</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hint="eastAsia" w:ascii="宋体" w:hAnsi="宋体" w:cs="宋体"/>
                <w:b/>
                <w:bCs/>
                <w:color w:val="000000"/>
                <w:sz w:val="18"/>
                <w:szCs w:val="18"/>
                <w:highlight w:val="none"/>
                <w:lang w:val="en-US" w:eastAsia="zh-CN" w:bidi="en-US"/>
              </w:rPr>
              <w:t xml:space="preserve">9</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en-US"/>
              </w:rPr>
              <w:t xml:space="preserve">法定税费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en-US"/>
              </w:rPr>
              <w:t xml:space="preserve">供应商应依法缴纳税费，如享受税费优惠政策的，须在《</w:t>
            </w:r>
            <w:r>
              <w:rPr>
                <w:rFonts w:hint="eastAsia" w:ascii="宋体" w:hAnsi="宋体" w:cs="宋体"/>
                <w:color w:val="000000"/>
                <w:sz w:val="18"/>
                <w:szCs w:val="18"/>
                <w:highlight w:val="none"/>
                <w:lang w:eastAsia="zh-CN" w:bidi="en-US"/>
              </w:rPr>
              <w:t xml:space="preserve">磋商</w:t>
            </w:r>
            <w:r>
              <w:rPr>
                <w:rFonts w:hint="eastAsia" w:ascii="宋体" w:hAnsi="宋体" w:cs="宋体"/>
                <w:color w:val="000000"/>
                <w:sz w:val="18"/>
                <w:szCs w:val="18"/>
                <w:highlight w:val="none"/>
                <w:lang w:bidi="en-US"/>
              </w:rPr>
              <w:t xml:space="preserve">报价明细表》后附证明材料，否则做无效投标处理。</w:t>
            </w:r>
            <w:r/>
          </w:p>
        </w:tc>
      </w:tr>
      <w:tr>
        <w:trPr>
          <w:trHeight w:val="36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default" w:ascii="宋体" w:hAnsi="宋体" w:eastAsia="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bidi="en-US"/>
              </w:rPr>
              <w:t xml:space="preserve">10</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b/>
                <w:bCs/>
                <w:color w:val="000000"/>
                <w:sz w:val="18"/>
                <w:szCs w:val="18"/>
                <w:highlight w:val="none"/>
                <w:lang w:bidi="en-US"/>
              </w:rPr>
            </w:pPr>
            <w:r>
              <w:rPr>
                <w:rFonts w:hint="eastAsia" w:ascii="宋体" w:hAnsi="宋体" w:cs="宋体"/>
                <w:b/>
                <w:bCs/>
                <w:color w:val="000000"/>
                <w:sz w:val="18"/>
                <w:szCs w:val="18"/>
                <w:highlight w:val="none"/>
                <w:lang w:bidi="en-US"/>
              </w:rPr>
              <w:t xml:space="preserve">其他费用</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tcPr>
          <w:p>
            <w:pPr>
              <w:jc w:val="left"/>
              <w:widowControl/>
              <w:rPr>
                <w:rFonts w:hint="eastAsia" w:ascii="宋体" w:hAnsi="宋体" w:cs="宋体"/>
                <w:b/>
                <w:bCs/>
                <w:color w:val="000000"/>
                <w:sz w:val="18"/>
                <w:szCs w:val="18"/>
                <w:highlight w:val="none"/>
                <w:lang w:bidi="en-US"/>
              </w:rPr>
            </w:pPr>
            <w:r>
              <w:rPr>
                <w:rFonts w:hint="eastAsia" w:ascii="宋体" w:hAnsi="宋体" w:cs="宋体"/>
                <w:color w:val="000000"/>
                <w:sz w:val="18"/>
                <w:szCs w:val="18"/>
                <w:highlight w:val="none"/>
              </w:rPr>
              <w:t xml:space="preserve">供应商认为可能发生的其他费用。</w:t>
            </w:r>
            <w:r/>
          </w:p>
        </w:tc>
      </w:tr>
      <w:tr>
        <w:trPr>
          <w:trHeight w:val="63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default" w:ascii="宋体" w:hAnsi="宋体" w:eastAsia="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val="en-US" w:eastAsia="zh-CN" w:bidi="en-US"/>
              </w:rPr>
              <w:t xml:space="preserve">投标</w:t>
            </w:r>
            <w:r>
              <w:rPr>
                <w:rFonts w:hint="eastAsia" w:ascii="宋体" w:hAnsi="宋体" w:cs="宋体"/>
                <w:b/>
                <w:bCs/>
                <w:color w:val="000000"/>
                <w:sz w:val="18"/>
                <w:szCs w:val="18"/>
                <w:highlight w:val="none"/>
                <w:lang w:bidi="en-US"/>
              </w:rPr>
              <w:t xml:space="preserve">报价合计（元）</w:t>
            </w:r>
            <w:r/>
          </w:p>
        </w:tc>
        <w:tc>
          <w:tcPr>
            <w:gridSpan w:val="4"/>
            <w:tcBorders>
              <w:top w:val="single" w:color="000000" w:sz="4" w:space="0"/>
              <w:left w:val="single" w:color="000000" w:sz="4" w:space="0"/>
              <w:bottom w:val="single" w:color="000000" w:sz="4" w:space="0"/>
              <w:right w:val="single" w:color="000000" w:sz="4" w:space="0"/>
            </w:tcBorders>
            <w:tcW w:w="694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9258" w:type="dxa"/>
            <w:vAlign w:val="center"/>
            <w:textDirection w:val="lrTb"/>
            <w:noWrap w:val="false"/>
          </w:tcPr>
          <w:p>
            <w:pPr>
              <w:jc w:val="left"/>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color w:val="000000"/>
                <w:sz w:val="18"/>
                <w:szCs w:val="18"/>
                <w:highlight w:val="none"/>
                <w:lang w:val="en-US" w:eastAsia="zh-CN"/>
              </w:rPr>
              <w:t xml:space="preserve">投标</w:t>
            </w:r>
            <w:r>
              <w:rPr>
                <w:rFonts w:hint="eastAsia" w:ascii="宋体" w:hAnsi="宋体" w:cs="宋体"/>
                <w:b/>
                <w:bCs/>
                <w:color w:val="000000"/>
                <w:sz w:val="18"/>
                <w:szCs w:val="18"/>
                <w:highlight w:val="none"/>
                <w:lang w:bidi="ar"/>
              </w:rPr>
              <w:t xml:space="preserve">报价合计</w:t>
            </w:r>
            <w:r>
              <w:rPr>
                <w:rFonts w:hint="eastAsia" w:ascii="宋体" w:hAnsi="宋体" w:cs="宋体"/>
                <w:b/>
                <w:bCs/>
                <w:color w:val="000000"/>
                <w:sz w:val="18"/>
                <w:szCs w:val="18"/>
                <w:highlight w:val="none"/>
              </w:rPr>
              <w:t xml:space="preserve">”应当与《</w:t>
            </w:r>
            <w:r>
              <w:rPr>
                <w:rFonts w:hint="eastAsia" w:ascii="宋体" w:hAnsi="宋体" w:cs="宋体"/>
                <w:b/>
                <w:bCs/>
                <w:color w:val="000000"/>
                <w:sz w:val="18"/>
                <w:szCs w:val="18"/>
                <w:highlight w:val="none"/>
                <w:lang w:eastAsia="zh-CN"/>
              </w:rPr>
              <w:t xml:space="preserve">磋商报价表</w:t>
            </w:r>
            <w:r>
              <w:rPr>
                <w:rFonts w:hint="eastAsia" w:ascii="宋体" w:hAnsi="宋体" w:cs="宋体"/>
                <w:b/>
                <w:bCs/>
                <w:color w:val="000000"/>
                <w:sz w:val="18"/>
                <w:szCs w:val="18"/>
                <w:highlight w:val="none"/>
              </w:rPr>
              <w:t xml:space="preserve">》中“总报价”一致。</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highlight w:val="none"/>
          <w:lang w:val="en-US" w:eastAsia="zh-CN"/>
        </w:rPr>
        <w:t xml:space="preserve">法律法规或政策文件</w:t>
      </w:r>
      <w:r>
        <w:rPr>
          <w:rFonts w:hint="eastAsia" w:ascii="宋体" w:hAnsi="宋体" w:cs="宋体"/>
          <w:b/>
          <w:bCs/>
          <w:sz w:val="21"/>
          <w:szCs w:val="21"/>
          <w:highlight w:val="none"/>
          <w:lang w:val="en-US" w:eastAsia="zh-CN"/>
        </w:rPr>
        <w:t xml:space="preserve">有</w:t>
      </w:r>
      <w:r>
        <w:rPr>
          <w:rFonts w:hint="eastAsia" w:ascii="宋体" w:hAnsi="宋体" w:eastAsia="宋体" w:cs="宋体"/>
          <w:b/>
          <w:bCs/>
          <w:sz w:val="21"/>
          <w:szCs w:val="21"/>
          <w:highlight w:val="none"/>
          <w:lang w:val="en-US" w:eastAsia="zh-CN"/>
        </w:rPr>
        <w:t xml:space="preserve">更新或另有规定的，</w:t>
      </w:r>
      <w:r>
        <w:rPr>
          <w:rFonts w:hint="eastAsia" w:ascii="宋体" w:hAnsi="宋体" w:cs="宋体"/>
          <w:b/>
          <w:bCs/>
          <w:sz w:val="21"/>
          <w:szCs w:val="21"/>
          <w:highlight w:val="none"/>
          <w:lang w:val="en-US" w:eastAsia="zh-CN"/>
        </w:rPr>
        <w:t xml:space="preserve">从其规定</w:t>
      </w:r>
      <w:r>
        <w:rPr>
          <w:rFonts w:hint="eastAsia" w:ascii="宋体" w:hAnsi="宋体" w:eastAsia="宋体" w:cs="宋体"/>
          <w:b/>
          <w:bCs/>
          <w:sz w:val="21"/>
          <w:szCs w:val="21"/>
          <w:highlight w:val="none"/>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表1：最低工资标准、社会保险及公积金（参考）</w:t>
      </w:r>
      <w:r/>
    </w:p>
    <w:tbl>
      <w:tblPr>
        <w:tblStyle w:val="662"/>
        <w:tblpPr w:horzAnchor="page" w:tblpX="1178" w:vertAnchor="text" w:tblpY="338" w:leftFromText="180" w:topFromText="0" w:rightFromText="180" w:bottomFromText="0"/>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1748"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425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计算公式</w:t>
            </w:r>
            <w:r/>
          </w:p>
        </w:tc>
        <w:tc>
          <w:tcPr>
            <w:tcW w:w="1371"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金额（元/月）</w:t>
            </w:r>
            <w:r/>
          </w:p>
        </w:tc>
        <w:tc>
          <w:tcPr>
            <w:tcW w:w="1677"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最低工资标准</w:t>
            </w:r>
            <w:r/>
          </w:p>
        </w:tc>
        <w:tc>
          <w:tcPr>
            <w:tcW w:w="4250"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w:t>
            </w:r>
            <w:r/>
          </w:p>
        </w:tc>
        <w:tc>
          <w:tcPr>
            <w:tcW w:w="1371" w:type="dxa"/>
            <w:vAlign w:val="center"/>
            <w:textDirection w:val="lrTb"/>
            <w:noWrap/>
          </w:tcPr>
          <w:p>
            <w:pPr>
              <w:jc w:val="center"/>
              <w:keepLines w:val="0"/>
              <w:keepNext w:val="0"/>
              <w:pageBreakBefore w:val="0"/>
              <w:spacing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2660</w:t>
            </w:r>
            <w:r/>
          </w:p>
        </w:tc>
        <w:tc>
          <w:tcPr>
            <w:tcW w:w="1677"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1247" w:hRule="exact"/>
        </w:trPr>
        <w:tc>
          <w:tcPr>
            <w:tcW w:w="736"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社保单位计提费用</w:t>
            </w:r>
            <w:r/>
          </w:p>
        </w:tc>
        <w:tc>
          <w:tcPr>
            <w:tcW w:w="4250"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缴费基数（≥4952）*缴费比例（≥24.7%）</w:t>
            </w:r>
            <w:r/>
          </w:p>
        </w:tc>
        <w:tc>
          <w:tcPr>
            <w:tcW w:w="1371"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≥1223.144</w:t>
            </w:r>
            <w:r/>
          </w:p>
        </w:tc>
        <w:tc>
          <w:tcPr>
            <w:tcW w:w="1677" w:type="dxa"/>
            <w:vAlign w:val="center"/>
            <w:textDirection w:val="lrTb"/>
            <w:noWrap/>
          </w:tcPr>
          <w:p>
            <w:pPr>
              <w:jc w:val="left"/>
              <w:keepLines w:val="0"/>
              <w:keepNext w:val="0"/>
              <w:pageBreakBefore w:val="0"/>
              <w:spacing w:line="240" w:lineRule="auto"/>
              <w:rPr>
                <w:rFonts w:ascii="宋体" w:hAnsi="宋体" w:eastAsia="宋体" w:cs="宋体"/>
                <w:color w:val="auto"/>
                <w:sz w:val="21"/>
                <w:szCs w:val="21"/>
                <w:highlight w:val="none"/>
                <w:vertAlign w:val="baseline"/>
                <w:lang w:val="en-US" w:eastAsia="zh-CN"/>
              </w:rPr>
            </w:pPr>
            <w:r>
              <w:rPr>
                <w:rFonts w:hint="eastAsia" w:ascii="宋体" w:hAnsi="宋体" w:cs="宋体"/>
                <w:b/>
                <w:bCs/>
                <w:color w:val="auto"/>
                <w:szCs w:val="21"/>
                <w:highlight w:val="none"/>
              </w:rPr>
              <w:t xml:space="preserve">如保留小数点后两位测算，金额≥1223.15</w:t>
            </w:r>
            <w:r/>
          </w:p>
        </w:tc>
      </w:tr>
      <w:tr>
        <w:trPr>
          <w:trHeight w:val="732" w:hRule="exact"/>
        </w:trPr>
        <w:tc>
          <w:tcPr>
            <w:tcW w:w="736"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3</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公积金单位计提费用</w:t>
            </w:r>
            <w:r/>
          </w:p>
        </w:tc>
        <w:tc>
          <w:tcPr>
            <w:tcW w:w="4250"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缴存基数（≥2660）*缴存比例（≥5%）</w:t>
            </w:r>
            <w:r/>
          </w:p>
        </w:tc>
        <w:tc>
          <w:tcPr>
            <w:tcW w:w="1371"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≥133</w:t>
            </w:r>
            <w:r/>
          </w:p>
        </w:tc>
        <w:tc>
          <w:tcPr>
            <w:tcW w:w="167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1936" w:hRule="exact"/>
        </w:trPr>
        <w:tc>
          <w:tcPr>
            <w:tcW w:w="736"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748" w:type="dxa"/>
            <w:vAlign w:val="center"/>
            <w:textDirection w:val="lrTb"/>
            <w:noWrap/>
          </w:tcPr>
          <w:p>
            <w:pPr>
              <w:jc w:val="center"/>
              <w:keepLines w:val="0"/>
              <w:keepNext w:val="0"/>
              <w:pageBreakBefore w:val="0"/>
              <w:spacing w:line="240" w:lineRule="auto"/>
              <w:rPr>
                <w:rFonts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公积金个人计提费用</w:t>
            </w:r>
            <w:r/>
          </w:p>
        </w:tc>
        <w:tc>
          <w:tcPr>
            <w:tcW w:w="4250"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缴存基数（≥2660）*缴存比例（≥5%）</w:t>
            </w:r>
            <w:r/>
          </w:p>
        </w:tc>
        <w:tc>
          <w:tcPr>
            <w:tcW w:w="1371"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≥133</w:t>
            </w:r>
            <w:r/>
          </w:p>
        </w:tc>
        <w:tc>
          <w:tcPr>
            <w:tcW w:w="1677" w:type="dxa"/>
            <w:vAlign w:val="center"/>
            <w:textDirection w:val="lrTb"/>
            <w:noWrap/>
          </w:tcPr>
          <w:p>
            <w:pPr>
              <w:jc w:val="left"/>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最低工资不包含劳动者按下限缴存的住房公积金，由用人单位按规定另行支付。</w:t>
            </w:r>
            <w:r/>
          </w:p>
        </w:tc>
      </w:tr>
      <w:tr>
        <w:trPr>
          <w:trHeight w:val="1179" w:hRule="exact"/>
        </w:trPr>
        <w:tc>
          <w:tcPr>
            <w:tcW w:w="736" w:type="dxa"/>
            <w:vAlign w:val="center"/>
            <w:vMerge w:val="restart"/>
            <w:textDirection w:val="lrTb"/>
            <w:noWrap/>
          </w:tcPr>
          <w:p>
            <w:pPr>
              <w:jc w:val="center"/>
              <w:keepLines w:val="0"/>
              <w:keepNext w:val="0"/>
              <w:pageBreakBefore w:val="0"/>
              <w:spacing w:line="240" w:lineRule="auto"/>
              <w:rPr>
                <w:rFonts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企业用人成本1</w:t>
            </w:r>
            <w:r/>
          </w:p>
        </w:tc>
        <w:tc>
          <w:tcPr>
            <w:tcW w:w="4250" w:type="dxa"/>
            <w:vAlign w:val="center"/>
            <w:textDirection w:val="lrTb"/>
            <w:noWrap/>
          </w:tcPr>
          <w:p>
            <w:pPr>
              <w:jc w:val="center"/>
              <w:keepLines w:val="0"/>
              <w:keepNext w:val="0"/>
              <w:pageBreakBefore w:val="0"/>
              <w:spacing w:line="240" w:lineRule="auto"/>
              <w:rPr>
                <w:rFonts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序号1+2+3+4</w:t>
            </w:r>
            <w:r/>
          </w:p>
        </w:tc>
        <w:tc>
          <w:tcPr>
            <w:tcW w:w="1371" w:type="dxa"/>
            <w:vAlign w:val="center"/>
            <w:textDirection w:val="lrTb"/>
            <w:noWrap/>
          </w:tcPr>
          <w:p>
            <w:pPr>
              <w:jc w:val="center"/>
              <w:keepLines w:val="0"/>
              <w:keepNext w:val="0"/>
              <w:pageBreakBefore w:val="0"/>
              <w:spacing w:line="240" w:lineRule="auto"/>
              <w:rPr>
                <w:rFonts w:ascii="宋体" w:hAnsi="宋体" w:eastAsia="宋体" w:cs="宋体"/>
                <w:color w:val="auto"/>
                <w:sz w:val="21"/>
                <w:szCs w:val="21"/>
                <w:highlight w:val="none"/>
                <w:vertAlign w:val="baseline"/>
                <w:lang w:val="en-US" w:eastAsia="zh-CN"/>
              </w:rPr>
            </w:pPr>
            <w:r>
              <w:rPr>
                <w:rFonts w:hint="eastAsia" w:ascii="宋体" w:hAnsi="宋体" w:cs="宋体"/>
                <w:color w:val="auto"/>
                <w:szCs w:val="21"/>
                <w:highlight w:val="none"/>
              </w:rPr>
              <w:t xml:space="preserve">≥4149.144</w:t>
            </w:r>
            <w:r/>
          </w:p>
        </w:tc>
        <w:tc>
          <w:tcPr>
            <w:tcW w:w="1677" w:type="dxa"/>
            <w:vAlign w:val="center"/>
            <w:textDirection w:val="lrTb"/>
            <w:noWrap/>
          </w:tcPr>
          <w:p>
            <w:pPr>
              <w:jc w:val="left"/>
              <w:keepLines w:val="0"/>
              <w:keepNext w:val="0"/>
              <w:pageBreakBefore w:val="0"/>
              <w:spacing w:line="240" w:lineRule="auto"/>
              <w:rPr>
                <w:rFonts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普通人员</w:t>
            </w:r>
            <w:r/>
          </w:p>
        </w:tc>
      </w:tr>
      <w:tr>
        <w:trPr>
          <w:trHeight w:val="1145"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748" w:type="dxa"/>
            <w:vAlign w:val="center"/>
            <w:textDirection w:val="lrTb"/>
            <w:noWrap/>
          </w:tcPr>
          <w:p>
            <w:pPr>
              <w:jc w:val="center"/>
              <w:keepLines w:val="0"/>
              <w:keepNext w:val="0"/>
              <w:pageBreakBefore w:val="0"/>
              <w:spacing w:line="240" w:lineRule="auto"/>
              <w:rPr>
                <w:rFonts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企业用人成本2</w:t>
            </w:r>
            <w:r/>
          </w:p>
        </w:tc>
        <w:tc>
          <w:tcPr>
            <w:tcW w:w="4250"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序号1</w:t>
            </w:r>
            <w:r/>
          </w:p>
        </w:tc>
        <w:tc>
          <w:tcPr>
            <w:tcW w:w="1371" w:type="dxa"/>
            <w:vAlign w:val="center"/>
            <w:textDirection w:val="lrTb"/>
            <w:noWrap/>
          </w:tcPr>
          <w:p>
            <w:pPr>
              <w:ind w:firstLine="210"/>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Cs w:val="21"/>
                <w:highlight w:val="none"/>
              </w:rPr>
              <w:t xml:space="preserve">≥2660</w:t>
            </w:r>
            <w:r/>
          </w:p>
        </w:tc>
        <w:tc>
          <w:tcPr>
            <w:tcW w:w="1677" w:type="dxa"/>
            <w:vAlign w:val="center"/>
            <w:textDirection w:val="lrTb"/>
            <w:noWrap/>
          </w:tcPr>
          <w:p>
            <w:pPr>
              <w:jc w:val="left"/>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表2：社会保险最低缴费比例（参考）</w:t>
      </w:r>
      <w:r/>
    </w:p>
    <w:p>
      <w:pPr>
        <w:pStyle w:val="837"/>
        <w:rPr>
          <w:rFonts w:hint="eastAsia"/>
          <w:highlight w:val="none"/>
          <w:lang w:val="en-US" w:eastAsia="zh-CN"/>
        </w:rPr>
      </w:pPr>
      <w:r>
        <w:rPr>
          <w:rFonts w:hint="eastAsia"/>
          <w:highlight w:val="none"/>
          <w:lang w:val="en-US" w:eastAsia="zh-CN"/>
        </w:rPr>
      </w:r>
      <w:r/>
    </w:p>
    <w:tbl>
      <w:tblPr>
        <w:tblStyle w:val="85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511"/>
        <w:gridCol w:w="3298"/>
        <w:gridCol w:w="2928"/>
      </w:tblGrid>
      <w:tr>
        <w:trPr/>
        <w:tc>
          <w:tcPr>
            <w:tcW w:w="773"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W w:w="2595"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险种</w:t>
            </w:r>
            <w:r/>
          </w:p>
        </w:tc>
        <w:tc>
          <w:tcPr>
            <w:tcW w:w="3406"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单位缴纳比例</w:t>
            </w:r>
            <w:r/>
          </w:p>
        </w:tc>
        <w:tc>
          <w:tcPr>
            <w:tcW w:w="3021"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个人缴纳比例及金额</w:t>
            </w:r>
            <w:r/>
          </w:p>
        </w:tc>
      </w:tr>
      <w:tr>
        <w:trPr/>
        <w:tc>
          <w:tcPr>
            <w:tcW w:w="773"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2595"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养老保险</w:t>
            </w:r>
            <w:r/>
          </w:p>
        </w:tc>
        <w:tc>
          <w:tcPr>
            <w:tcW w:w="3406"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16%</w:t>
            </w:r>
            <w:r/>
          </w:p>
        </w:tc>
        <w:tc>
          <w:tcPr>
            <w:tcW w:w="3021"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r>
      <w:tr>
        <w:trPr/>
        <w:tc>
          <w:tcPr>
            <w:tcW w:w="773"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2595"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医疗保险</w:t>
            </w:r>
            <w:r/>
          </w:p>
        </w:tc>
        <w:tc>
          <w:tcPr>
            <w:tcW w:w="3406"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   </w:t>
            </w:r>
            <w:r/>
          </w:p>
        </w:tc>
        <w:tc>
          <w:tcPr>
            <w:tcW w:w="3021"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r>
      <w:tr>
        <w:trPr/>
        <w:tc>
          <w:tcPr>
            <w:tcW w:w="773"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2595"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工伤保险</w:t>
            </w:r>
            <w:r/>
          </w:p>
        </w:tc>
        <w:tc>
          <w:tcPr>
            <w:tcW w:w="3406"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0.4%</w:t>
            </w:r>
            <w:r/>
          </w:p>
        </w:tc>
        <w:tc>
          <w:tcPr>
            <w:tcW w:w="3021"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w:t>
            </w:r>
            <w:r/>
          </w:p>
        </w:tc>
      </w:tr>
      <w:tr>
        <w:trPr/>
        <w:tc>
          <w:tcPr>
            <w:tcW w:w="773"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2595"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失业保险</w:t>
            </w:r>
            <w:r/>
          </w:p>
        </w:tc>
        <w:tc>
          <w:tcPr>
            <w:tcW w:w="3406"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0.5%</w:t>
            </w:r>
            <w:r/>
          </w:p>
        </w:tc>
        <w:tc>
          <w:tcPr>
            <w:tcW w:w="3021"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0.5%</w:t>
            </w:r>
            <w:r/>
          </w:p>
        </w:tc>
      </w:tr>
      <w:tr>
        <w:trPr/>
        <w:tc>
          <w:tcPr>
            <w:tcW w:w="773"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w:t>
            </w:r>
            <w:r/>
          </w:p>
        </w:tc>
        <w:tc>
          <w:tcPr>
            <w:tcW w:w="2595"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生育保险</w:t>
            </w:r>
            <w:r/>
          </w:p>
        </w:tc>
        <w:tc>
          <w:tcPr>
            <w:tcW w:w="3406"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0.8%</w:t>
            </w:r>
            <w:r/>
          </w:p>
        </w:tc>
        <w:tc>
          <w:tcPr>
            <w:tcW w:w="3021"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w:t>
            </w:r>
            <w:r/>
          </w:p>
        </w:tc>
      </w:tr>
      <w:tr>
        <w:trPr/>
        <w:tc>
          <w:tcPr>
            <w:tcW w:w="773"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2595"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大病医疗救助</w:t>
            </w:r>
            <w:r/>
          </w:p>
        </w:tc>
        <w:tc>
          <w:tcPr>
            <w:tcW w:w="3406"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w:t>
            </w:r>
            <w:r/>
          </w:p>
        </w:tc>
        <w:tc>
          <w:tcPr>
            <w:tcW w:w="3021" w:type="dxa"/>
            <w:vAlign w:val="top"/>
            <w:textDirection w:val="lrTb"/>
            <w:noWrap w:val="false"/>
          </w:tcPr>
          <w:p>
            <w:pPr>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10元/月</w:t>
            </w:r>
            <w:r/>
          </w:p>
        </w:tc>
      </w:tr>
    </w:tbl>
    <w:p>
      <w:pPr>
        <w:pStyle w:val="837"/>
        <w:ind w:left="0" w:firstLine="0"/>
        <w:rPr>
          <w:highlight w:val="none"/>
          <w:lang w:val="en-US" w:eastAsia="zh-CN"/>
        </w:rPr>
      </w:pPr>
      <w:r>
        <w:rPr>
          <w:highlight w:val="none"/>
          <w:lang w:val="en-US" w:eastAsia="zh-CN"/>
        </w:rPr>
      </w:r>
      <w:r/>
    </w:p>
    <w:p>
      <w:pPr>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8"/>
          <w:szCs w:val="28"/>
          <w:highlight w:val="none"/>
          <w:lang w:val="en-US" w:eastAsia="zh-CN"/>
        </w:rPr>
        <w:outlineLvl w:val="0"/>
      </w:pPr>
      <w:r>
        <w:rPr>
          <w:rFonts w:hint="eastAsia" w:asciiTheme="minorEastAsia" w:hAnsiTheme="minorEastAsia" w:eastAsiaTheme="minorEastAsia" w:cstheme="minorEastAsia"/>
          <w:b/>
          <w:bCs/>
          <w:color w:val="000000"/>
          <w:sz w:val="28"/>
          <w:szCs w:val="28"/>
          <w:highlight w:val="none"/>
          <w:lang w:val="en-US" w:eastAsia="zh-CN"/>
        </w:rPr>
        <w:t xml:space="preserve">相关说明、证明材料（供应商自行提供）</w:t>
      </w:r>
      <w:bookmarkEnd w:id="167"/>
      <w:r/>
      <w:r/>
    </w:p>
    <w:p>
      <w:pPr>
        <w:spacing w:line="480" w:lineRule="exact"/>
        <w:rPr>
          <w:rFonts w:hint="eastAsia" w:ascii="宋体" w:hAnsi="宋体"/>
          <w:color w:val="auto"/>
          <w:sz w:val="24"/>
          <w:highlight w:val="none"/>
        </w:rPr>
      </w:pPr>
      <w:r>
        <w:rPr>
          <w:rFonts w:hint="eastAsia" w:ascii="宋体" w:hAnsi="宋体"/>
          <w:color w:val="auto"/>
          <w:sz w:val="24"/>
          <w:highlight w:val="none"/>
        </w:rPr>
        <w:t xml:space="preserve">1.供应商拟投入本项目的服务人员中，依法享受社保、住房公积金等缴纳减免政策的说明材料。</w:t>
      </w:r>
      <w:r/>
    </w:p>
    <w:p>
      <w:pPr>
        <w:spacing w:line="480" w:lineRule="exact"/>
        <w:rPr>
          <w:rFonts w:hint="eastAsia" w:ascii="黑体" w:hAnsi="黑体" w:eastAsia="黑体" w:cs="Times New Roman"/>
          <w:i w:val="0"/>
          <w:iCs/>
          <w:color w:val="000000"/>
          <w:sz w:val="32"/>
          <w:szCs w:val="32"/>
          <w:highlight w:val="none"/>
          <w:u w:val="none"/>
          <w:lang w:val="en-US" w:eastAsia="zh-CN"/>
        </w:rPr>
      </w:pPr>
      <w:r>
        <w:rPr>
          <w:rFonts w:hint="eastAsia" w:ascii="宋体" w:hAnsi="宋体"/>
          <w:color w:val="auto"/>
          <w:sz w:val="24"/>
          <w:highlight w:val="none"/>
        </w:rPr>
        <w:t xml:space="preserve">2.供应商享受税费优惠政策的证明材料。</w:t>
      </w: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p>
    <w:p>
      <w:pPr>
        <w:jc w:val="center"/>
        <w:spacing w:line="360" w:lineRule="auto"/>
        <w:rPr>
          <w:rFonts w:hint="eastAsia" w:ascii="黑体" w:hAnsi="黑体" w:eastAsia="黑体" w:cs="黑体"/>
          <w:color w:val="000000"/>
          <w:sz w:val="32"/>
          <w:szCs w:val="32"/>
          <w:highlight w:val="none"/>
          <w:lang w:val="en-US" w:eastAsia="zh-CN"/>
        </w:rPr>
        <w:outlineLvl w:val="0"/>
      </w:pPr>
      <w:r>
        <w:rPr>
          <w:rFonts w:hint="eastAsia" w:ascii="黑体" w:hAnsi="黑体" w:eastAsia="黑体" w:cs="黑体"/>
          <w:color w:val="000000"/>
          <w:sz w:val="32"/>
          <w:szCs w:val="32"/>
          <w:highlight w:val="none"/>
          <w:lang w:val="en-US" w:eastAsia="zh-CN"/>
        </w:rPr>
        <w:t xml:space="preserve">技术要求响应及偏离表</w:t>
      </w:r>
      <w:r/>
    </w:p>
    <w:tbl>
      <w:tblPr>
        <w:tblStyle w:val="6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86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1.供应商须对磋商文件技术要求中的实质性要求（斜体下划线内容或打“★”内容）做出明确响应，否则视为无效响应。</w:t>
      </w:r>
      <w:r/>
    </w:p>
    <w:p>
      <w:pPr>
        <w:pStyle w:val="86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jc w:val="center"/>
        <w:rPr>
          <w:rFonts w:hint="eastAsia" w:ascii="黑体" w:hAnsi="Arial" w:eastAsia="黑体"/>
          <w:b/>
          <w:color w:val="0000ff"/>
          <w:sz w:val="36"/>
          <w:szCs w:val="21"/>
          <w:highlight w:val="none"/>
        </w:rPr>
      </w:pPr>
      <w:r>
        <w:rPr>
          <w:rFonts w:hint="eastAsia" w:ascii="黑体" w:hAnsi="Arial" w:eastAsia="黑体"/>
          <w:b/>
          <w:color w:val="0000ff"/>
          <w:sz w:val="36"/>
          <w:szCs w:val="21"/>
          <w:highlight w:val="none"/>
        </w:rPr>
      </w:r>
      <w:r/>
    </w:p>
    <w:p>
      <w:pPr>
        <w:rPr>
          <w:rFonts w:hint="eastAsia" w:ascii="黑体" w:hAnsi="黑体" w:eastAsia="黑体" w:cs="Times New Roman"/>
          <w:i w:val="0"/>
          <w:iCs/>
          <w:color w:val="0000ff"/>
          <w:sz w:val="32"/>
          <w:szCs w:val="32"/>
          <w:highlight w:val="none"/>
          <w:u w:val="none"/>
          <w:lang w:val="en-US" w:eastAsia="zh-CN"/>
        </w:rPr>
      </w:pPr>
      <w:r/>
      <w:bookmarkStart w:id="171" w:name="_Hlt26955054"/>
      <w:r/>
      <w:bookmarkEnd w:id="171"/>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39"/>
        <w:rPr>
          <w:rFonts w:hint="eastAsia"/>
          <w:highlight w:val="none"/>
          <w:lang w:val="en-US" w:eastAsia="zh-CN"/>
        </w:rPr>
      </w:pPr>
      <w:r>
        <w:rPr>
          <w:rFonts w:hint="eastAsia"/>
          <w:highlight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p>
    <w:p>
      <w:pPr>
        <w:jc w:val="center"/>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 xml:space="preserve">商务要求响应及偏离表</w:t>
      </w:r>
      <w:r/>
    </w:p>
    <w:tbl>
      <w:tblPr>
        <w:tblStyle w:val="6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6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6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p>
    <w:p>
      <w:pPr>
        <w:pStyle w:val="86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41"/>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839"/>
        <w:rPr>
          <w:rFonts w:hint="eastAsia"/>
          <w:highlight w:val="none"/>
          <w:lang w:val="en-US" w:eastAsia="zh-CN"/>
        </w:rPr>
      </w:pPr>
      <w:r>
        <w:rPr>
          <w:rFonts w:hint="eastAsia"/>
          <w:highlight w:val="none"/>
          <w:lang w:val="en-US" w:eastAsia="zh-CN"/>
        </w:rPr>
      </w:r>
      <w:r/>
    </w:p>
    <w:p>
      <w:pPr>
        <w:pStyle w:val="839"/>
        <w:rPr>
          <w:rFonts w:hint="eastAsia"/>
          <w:highlight w:val="none"/>
          <w:lang w:val="en-US" w:eastAsia="zh-CN"/>
        </w:rPr>
      </w:pPr>
      <w:r>
        <w:rPr>
          <w:rFonts w:hint="eastAsia"/>
          <w:highlight w:val="none"/>
          <w:lang w:val="en-US" w:eastAsia="zh-CN"/>
        </w:rPr>
      </w:r>
      <w:r/>
    </w:p>
    <w:p>
      <w:pPr>
        <w:pStyle w:val="839"/>
        <w:rPr>
          <w:rFonts w:hint="eastAsia"/>
          <w:highlight w:val="none"/>
          <w:lang w:val="en-US" w:eastAsia="zh-CN"/>
        </w:rPr>
      </w:pPr>
      <w:r>
        <w:rPr>
          <w:rFonts w:hint="eastAsia"/>
          <w:highlight w:val="none"/>
          <w:lang w:val="en-US" w:eastAsia="zh-CN"/>
        </w:rPr>
      </w:r>
      <w:r/>
    </w:p>
    <w:p>
      <w:pPr>
        <w:pStyle w:val="839"/>
        <w:rPr>
          <w:rFonts w:hint="eastAsia"/>
          <w:highlight w:val="none"/>
          <w:lang w:val="en-US" w:eastAsia="zh-CN"/>
        </w:rPr>
      </w:pPr>
      <w:r>
        <w:rPr>
          <w:rFonts w:hint="eastAsia"/>
          <w:highlight w:val="none"/>
          <w:lang w:val="en-US" w:eastAsia="zh-CN"/>
        </w:rPr>
      </w:r>
      <w:r/>
    </w:p>
    <w:p>
      <w:pPr>
        <w:pStyle w:val="839"/>
        <w:rPr>
          <w:rFonts w:hint="eastAsia"/>
          <w:highlight w:val="none"/>
          <w:lang w:val="en-US" w:eastAsia="zh-CN"/>
        </w:rPr>
      </w:pPr>
      <w:r>
        <w:rPr>
          <w:rFonts w:hint="eastAsia"/>
          <w:highlight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九、中小企业声明函</w:t>
      </w:r>
      <w:r/>
    </w:p>
    <w:p>
      <w:pPr>
        <w:jc w:val="center"/>
        <w:keepLines w:val="0"/>
        <w:keepNext w:val="0"/>
        <w:pageBreakBefore w:val="0"/>
        <w:spacing w:line="360" w:lineRule="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szCs w:val="24"/>
          <w:highlight w:val="none"/>
        </w:rPr>
        <w:t xml:space="preserve">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eastAsia="宋体" w:cs="Times New Roman"/>
          <w:sz w:val="24"/>
          <w:szCs w:val="24"/>
          <w:highlight w:val="none"/>
          <w:lang w:val="en-US" w:eastAsia="zh-CN"/>
        </w:rPr>
        <w:t xml:space="preserve">3.供应商</w:t>
      </w:r>
      <w:r>
        <w:rPr>
          <w:rFonts w:hint="eastAsia" w:ascii="宋体" w:hAnsi="宋体" w:eastAsia="宋体" w:cs="Times New Roman"/>
          <w:sz w:val="24"/>
          <w:szCs w:val="24"/>
          <w:highlight w:val="none"/>
          <w:lang w:eastAsia="zh-CN"/>
        </w:rPr>
        <w:t xml:space="preserve">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highlight w:val="none"/>
          <w:lang w:val="en-US" w:eastAsia="zh-CN"/>
        </w:rPr>
        <w:t xml:space="preserve">4.服务</w:t>
      </w:r>
      <w:r>
        <w:rPr>
          <w:rFonts w:hint="eastAsia" w:ascii="宋体" w:hAnsi="宋体" w:eastAsia="宋体" w:cs="Times New Roman"/>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sz w:val="32"/>
          <w:szCs w:val="32"/>
          <w:highlight w:val="none"/>
          <w:u w:val="none"/>
          <w:lang w:val="en-US" w:eastAsia="zh-CN"/>
        </w:rPr>
        <w:t xml:space="preserve">十、</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41"/>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供应商</w:t>
      </w:r>
      <w:r>
        <w:rPr>
          <w:rFonts w:hint="eastAsia" w:ascii="宋体" w:hAnsi="宋体"/>
          <w:sz w:val="24"/>
          <w:highlight w:val="none"/>
        </w:rPr>
        <w:t xml:space="preserve">如不提供此声明函，价格将不做相应扣除。</w:t>
      </w:r>
      <w:r/>
    </w:p>
    <w:p>
      <w:pPr>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单位的，此声明函将随</w:t>
      </w:r>
      <w:r>
        <w:rPr>
          <w:rFonts w:hint="eastAsia" w:ascii="宋体" w:hAnsi="宋体"/>
          <w:sz w:val="24"/>
          <w:highlight w:val="none"/>
          <w:lang w:eastAsia="zh-CN"/>
        </w:rPr>
        <w:t xml:space="preserve">成交</w:t>
      </w:r>
      <w:r>
        <w:rPr>
          <w:rFonts w:hint="eastAsia" w:ascii="宋体" w:hAnsi="宋体"/>
          <w:sz w:val="24"/>
          <w:highlight w:val="none"/>
        </w:rPr>
        <w:t xml:space="preserve">结果同时公告，接受社会监督</w:t>
      </w:r>
      <w:r>
        <w:rPr>
          <w:rFonts w:hint="eastAsia" w:ascii="宋体" w:hAnsi="宋体"/>
          <w:sz w:val="24"/>
          <w:highlight w:val="none"/>
          <w:lang w:eastAsia="zh-CN"/>
        </w:rPr>
        <w:t xml:space="preserve">。</w:t>
      </w:r>
      <w:r/>
    </w:p>
    <w:p>
      <w:pPr>
        <w:ind w:firstLine="480"/>
        <w:spacing w:line="480" w:lineRule="exact"/>
        <w:rPr>
          <w:rFonts w:ascii="宋体" w:hAnsi="宋体"/>
          <w:sz w:val="24"/>
          <w:highlight w:val="none"/>
        </w:rPr>
      </w:pPr>
      <w:r>
        <w:rPr>
          <w:rFonts w:ascii="宋体" w:hAnsi="宋体"/>
          <w:sz w:val="24"/>
          <w:highlight w:val="none"/>
        </w:rPr>
      </w:r>
      <w:r/>
    </w:p>
    <w:p>
      <w:pPr>
        <w:numPr>
          <w:ilvl w:val="0"/>
          <w:numId w:val="4"/>
        </w:numPr>
        <w:ind w:firstLine="0"/>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其他材料（如有）</w:t>
      </w:r>
      <w:r/>
    </w:p>
    <w:p>
      <w:pPr>
        <w:numPr>
          <w:ilvl w:val="0"/>
          <w:numId w:val="0"/>
        </w:numPr>
        <w:jc w:val="left"/>
        <w:spacing w:line="360" w:lineRule="auto"/>
        <w:rPr>
          <w:rFonts w:hint="default" w:ascii="黑体" w:hAnsi="黑体" w:eastAsia="黑体"/>
          <w:b w:val="0"/>
          <w:sz w:val="32"/>
          <w:szCs w:val="32"/>
          <w:highlight w:val="none"/>
          <w:lang w:val="en-US"/>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中所要求提供的承诺书以及供应商认为需要提供的其他材料</w:t>
      </w:r>
      <w:r>
        <w:rPr>
          <w:rFonts w:hint="eastAsia" w:ascii="宋体" w:hAnsi="宋体" w:cs="宋体"/>
          <w:color w:val="auto"/>
          <w:sz w:val="24"/>
          <w:szCs w:val="24"/>
          <w:highlight w:val="none"/>
          <w:lang w:eastAsia="zh-CN"/>
        </w:rPr>
        <w:t xml:space="preserve">）</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 xml:space="preserve">质疑函</w:t>
      </w:r>
      <w:r>
        <w:rPr>
          <w:rFonts w:hint="eastAsia" w:ascii="黑体" w:hAnsi="黑体" w:eastAsia="黑体" w:cs="黑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分</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rFonts w:ascii="Times New Roman" w:hAnsi="Times New Roman"/>
          <w:sz w:val="24"/>
          <w:szCs w:val="24"/>
          <w:highlight w:val="none"/>
        </w:rPr>
      </w:pPr>
      <w:r>
        <w:rPr>
          <w:rFonts w:ascii="Times New Roman" w:hAnsi="Times New Roman"/>
          <w:sz w:val="24"/>
          <w:szCs w:val="24"/>
          <w:highlight w:val="none"/>
        </w:rPr>
      </w:r>
      <w:r/>
    </w:p>
    <w:p>
      <w:pPr>
        <w:pStyle w:val="839"/>
        <w:numPr>
          <w:ilvl w:val="0"/>
          <w:numId w:val="0"/>
        </w:numPr>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sectPr>
      <w:footerReference w:type="default" r:id="rId10"/>
      <w:footnotePr/>
      <w:endnotePr/>
      <w:type w:val="nextPage"/>
      <w:pgSz w:w="11906" w:h="16838" w:orient="portrait"/>
      <w:pgMar w:top="1440" w:right="1286" w:bottom="1440" w:left="13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黑体_GBK">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rPr>
        <w:rFonts w:hint="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rFonts w:ascii="微软雅黑" w:hAnsi="微软雅黑" w:eastAsia="微软雅黑" w:cs="微软雅黑"/>
        <w:sz w:val="20"/>
        <w:szCs w:val="20"/>
      </w:rPr>
      <w:pBdr>
        <w:bottom w:val="none" w:color="auto" w:sz="0" w:space="0"/>
      </w:pBdr>
    </w:pPr>
    <w:r>
      <w:rPr>
        <w:rFonts w:ascii="微软雅黑" w:hAnsi="微软雅黑" w:eastAsia="微软雅黑" w:cs="微软雅黑"/>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bCs/>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687"/>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link w:val="8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2">
    <w:name w:val="Heading 1"/>
    <w:basedOn w:val="651"/>
    <w:next w:val="651"/>
    <w:link w:val="689"/>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link w:val="690"/>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91"/>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2"/>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3"/>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4"/>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6"/>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697"/>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0"/>
    <w:semiHidden/>
    <w:qFormat/>
  </w:style>
  <w:style w:type="table" w:styleId="662" w:default="1">
    <w:name w:val="Normal Table"/>
    <w:uiPriority w:val="0"/>
    <w:semiHidden/>
    <w:qFormat/>
    <w:tblPr>
      <w:tblCellMar>
        <w:left w:w="108" w:type="dxa"/>
        <w:top w:w="0" w:type="dxa"/>
        <w:right w:w="108" w:type="dxa"/>
        <w:bottom w:w="0" w:type="dxa"/>
      </w:tblCellMar>
    </w:tblPr>
  </w:style>
  <w:style w:type="paragraph" w:styleId="663">
    <w:name w:val="toc 7"/>
    <w:basedOn w:val="651"/>
    <w:next w:val="651"/>
    <w:uiPriority w:val="39"/>
    <w:unhideWhenUsed/>
    <w:qFormat/>
    <w:pPr>
      <w:ind w:left="1701" w:right="0" w:firstLine="0"/>
      <w:spacing w:after="57"/>
    </w:pPr>
  </w:style>
  <w:style w:type="paragraph" w:styleId="664">
    <w:name w:val="Normal Indent"/>
    <w:basedOn w:val="651"/>
    <w:uiPriority w:val="99"/>
    <w:unhideWhenUsed/>
    <w:qFormat/>
    <w:pPr>
      <w:ind w:firstLine="420"/>
      <w:spacing w:line="360" w:lineRule="atLeast"/>
      <w:widowControl w:val="off"/>
    </w:pPr>
    <w:rPr>
      <w:rFonts w:ascii="Times New Roman" w:hAnsi="Times New Roman" w:eastAsia="Times New Roman" w:cs="Times New Roman"/>
      <w:sz w:val="34"/>
      <w:szCs w:val="20"/>
      <w:lang w:val="en-US" w:eastAsia="zh-CN" w:bidi="ar-SA"/>
    </w:rPr>
  </w:style>
  <w:style w:type="paragraph" w:styleId="665">
    <w:name w:val="Caption"/>
    <w:basedOn w:val="651"/>
    <w:next w:val="6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6">
    <w:name w:val="Body Text"/>
    <w:basedOn w:val="651"/>
    <w:uiPriority w:val="0"/>
    <w:semiHidden/>
    <w:qFormat/>
    <w:rPr>
      <w:rFonts w:ascii="Arial" w:hAnsi="Arial" w:eastAsia="Arial" w:cs="Arial"/>
      <w:sz w:val="21"/>
      <w:szCs w:val="21"/>
      <w:lang w:val="en-US" w:eastAsia="en-US" w:bidi="ar-SA"/>
    </w:rPr>
  </w:style>
  <w:style w:type="paragraph" w:styleId="667">
    <w:name w:val="Body Text Indent"/>
    <w:basedOn w:val="651"/>
    <w:uiPriority w:val="0"/>
    <w:unhideWhenUsed/>
    <w:qFormat/>
    <w:pPr>
      <w:ind w:left="420"/>
      <w:spacing w:after="120"/>
    </w:pPr>
  </w:style>
  <w:style w:type="paragraph" w:styleId="668">
    <w:name w:val="toc 5"/>
    <w:basedOn w:val="651"/>
    <w:next w:val="651"/>
    <w:uiPriority w:val="39"/>
    <w:unhideWhenUsed/>
    <w:qFormat/>
    <w:pPr>
      <w:ind w:left="1134" w:right="0" w:firstLine="0"/>
      <w:spacing w:after="57"/>
    </w:pPr>
  </w:style>
  <w:style w:type="paragraph" w:styleId="669">
    <w:name w:val="toc 3"/>
    <w:basedOn w:val="651"/>
    <w:next w:val="651"/>
    <w:uiPriority w:val="39"/>
    <w:unhideWhenUsed/>
    <w:qFormat/>
    <w:pPr>
      <w:ind w:left="567" w:right="0" w:firstLine="0"/>
      <w:spacing w:after="57"/>
    </w:pPr>
  </w:style>
  <w:style w:type="paragraph" w:styleId="670">
    <w:name w:val="toc 8"/>
    <w:basedOn w:val="651"/>
    <w:next w:val="651"/>
    <w:uiPriority w:val="39"/>
    <w:unhideWhenUsed/>
    <w:qFormat/>
    <w:pPr>
      <w:ind w:left="1984" w:right="0" w:firstLine="0"/>
      <w:spacing w:after="57"/>
    </w:pPr>
  </w:style>
  <w:style w:type="paragraph" w:styleId="671">
    <w:name w:val="endnote text"/>
    <w:basedOn w:val="651"/>
    <w:link w:val="834"/>
    <w:uiPriority w:val="99"/>
    <w:semiHidden/>
    <w:unhideWhenUsed/>
    <w:qFormat/>
    <w:pPr>
      <w:spacing w:after="0" w:line="240" w:lineRule="auto"/>
    </w:pPr>
    <w:rPr>
      <w:sz w:val="20"/>
    </w:rPr>
  </w:style>
  <w:style w:type="paragraph" w:styleId="672">
    <w:name w:val="Footer"/>
    <w:basedOn w:val="651"/>
    <w:uiPriority w:val="0"/>
    <w:qFormat/>
    <w:pPr>
      <w:jc w:val="left"/>
      <w:tabs>
        <w:tab w:val="center" w:pos="4153" w:leader="none"/>
        <w:tab w:val="right" w:pos="8306" w:leader="none"/>
      </w:tabs>
    </w:pPr>
    <w:rPr>
      <w:sz w:val="18"/>
    </w:rPr>
  </w:style>
  <w:style w:type="paragraph" w:styleId="673">
    <w:name w:val="Header"/>
    <w:basedOn w:val="651"/>
    <w:link w:val="705"/>
    <w:uiPriority w:val="99"/>
    <w:unhideWhenUsed/>
    <w:qFormat/>
    <w:pPr>
      <w:spacing w:after="0" w:line="240" w:lineRule="auto"/>
      <w:tabs>
        <w:tab w:val="center" w:pos="7143" w:leader="none"/>
        <w:tab w:val="right" w:pos="14287" w:leader="none"/>
      </w:tabs>
    </w:pPr>
  </w:style>
  <w:style w:type="paragraph" w:styleId="674">
    <w:name w:val="toc 1"/>
    <w:basedOn w:val="651"/>
    <w:next w:val="651"/>
    <w:uiPriority w:val="39"/>
    <w:unhideWhenUsed/>
    <w:qFormat/>
    <w:pPr>
      <w:ind w:left="0" w:right="0" w:firstLine="0"/>
      <w:spacing w:after="57"/>
    </w:pPr>
  </w:style>
  <w:style w:type="paragraph" w:styleId="675">
    <w:name w:val="toc 4"/>
    <w:basedOn w:val="651"/>
    <w:next w:val="651"/>
    <w:uiPriority w:val="39"/>
    <w:unhideWhenUsed/>
    <w:qFormat/>
    <w:pPr>
      <w:ind w:left="850" w:right="0" w:firstLine="0"/>
      <w:spacing w:after="57"/>
    </w:pPr>
  </w:style>
  <w:style w:type="paragraph" w:styleId="676">
    <w:name w:val="Subtitle"/>
    <w:basedOn w:val="651"/>
    <w:next w:val="651"/>
    <w:link w:val="700"/>
    <w:uiPriority w:val="11"/>
    <w:qFormat/>
    <w:pPr>
      <w:spacing w:before="200" w:after="200"/>
    </w:pPr>
    <w:rPr>
      <w:sz w:val="24"/>
      <w:szCs w:val="24"/>
    </w:rPr>
  </w:style>
  <w:style w:type="paragraph" w:styleId="677">
    <w:name w:val="footnote text"/>
    <w:basedOn w:val="651"/>
    <w:link w:val="833"/>
    <w:uiPriority w:val="99"/>
    <w:semiHidden/>
    <w:unhideWhenUsed/>
    <w:qFormat/>
    <w:pPr>
      <w:spacing w:after="40" w:line="240" w:lineRule="auto"/>
    </w:pPr>
    <w:rPr>
      <w:sz w:val="18"/>
    </w:rPr>
  </w:style>
  <w:style w:type="paragraph" w:styleId="678">
    <w:name w:val="toc 6"/>
    <w:basedOn w:val="651"/>
    <w:next w:val="651"/>
    <w:uiPriority w:val="39"/>
    <w:unhideWhenUsed/>
    <w:qFormat/>
    <w:pPr>
      <w:ind w:left="1417" w:right="0" w:firstLine="0"/>
      <w:spacing w:after="57"/>
    </w:pPr>
  </w:style>
  <w:style w:type="paragraph" w:styleId="679">
    <w:name w:val="table of figures"/>
    <w:basedOn w:val="651"/>
    <w:next w:val="651"/>
    <w:uiPriority w:val="99"/>
    <w:unhideWhenUsed/>
    <w:qFormat/>
    <w:pPr>
      <w:spacing w:after="0" w:afterAutospacing="0"/>
    </w:pPr>
  </w:style>
  <w:style w:type="paragraph" w:styleId="680">
    <w:name w:val="toc 2"/>
    <w:basedOn w:val="651"/>
    <w:next w:val="651"/>
    <w:uiPriority w:val="39"/>
    <w:unhideWhenUsed/>
    <w:qFormat/>
    <w:pPr>
      <w:ind w:left="283" w:right="0" w:firstLine="0"/>
      <w:spacing w:after="57"/>
    </w:pPr>
  </w:style>
  <w:style w:type="paragraph" w:styleId="681">
    <w:name w:val="toc 9"/>
    <w:basedOn w:val="651"/>
    <w:next w:val="651"/>
    <w:uiPriority w:val="39"/>
    <w:unhideWhenUsed/>
    <w:qFormat/>
    <w:pPr>
      <w:ind w:left="2268" w:right="0" w:firstLine="0"/>
      <w:spacing w:after="57"/>
    </w:pPr>
  </w:style>
  <w:style w:type="paragraph" w:styleId="682">
    <w:name w:val="Title"/>
    <w:basedOn w:val="651"/>
    <w:next w:val="651"/>
    <w:link w:val="699"/>
    <w:uiPriority w:val="10"/>
    <w:qFormat/>
    <w:pPr>
      <w:contextualSpacing/>
      <w:spacing w:before="300" w:after="200"/>
    </w:pPr>
    <w:rPr>
      <w:sz w:val="48"/>
      <w:szCs w:val="48"/>
    </w:rPr>
  </w:style>
  <w:style w:type="table" w:styleId="683">
    <w:name w:val="Table Grid"/>
    <w:basedOn w:val="66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endnote reference"/>
    <w:basedOn w:val="661"/>
    <w:uiPriority w:val="99"/>
    <w:semiHidden/>
    <w:unhideWhenUsed/>
    <w:qFormat/>
    <w:rPr>
      <w:vertAlign w:val="superscript"/>
    </w:rPr>
  </w:style>
  <w:style w:type="character" w:styleId="685">
    <w:name w:val="Hyperlink"/>
    <w:uiPriority w:val="99"/>
    <w:unhideWhenUsed/>
    <w:qFormat/>
    <w:rPr>
      <w:color w:val="0563c1" w:themeColor="hyperlink"/>
      <w:u w:val="single"/>
      <w14:textFill>
        <w14:solidFill>
          <w14:schemeClr w14:val="hlink"/>
        </w14:solidFill>
      </w14:textFill>
    </w:rPr>
  </w:style>
  <w:style w:type="character" w:styleId="686">
    <w:name w:val="footnote reference"/>
    <w:basedOn w:val="661"/>
    <w:uiPriority w:val="99"/>
    <w:unhideWhenUsed/>
    <w:qFormat/>
    <w:rPr>
      <w:vertAlign w:val="superscript"/>
    </w:rPr>
  </w:style>
  <w:style w:type="paragraph" w:styleId="687" w:customStyle="1">
    <w:name w:val="标题 5（有编号）（绿盟科技）"/>
    <w:basedOn w:val="651"/>
    <w:next w:val="688"/>
    <w:uiPriority w:val="0"/>
    <w:qFormat/>
    <w:pPr>
      <w:numPr>
        <w:ilvl w:val="4"/>
        <w:numId w:val="1"/>
      </w:numPr>
      <w:keepLines/>
      <w:keepNext/>
      <w:spacing w:before="280" w:after="156" w:line="377" w:lineRule="auto"/>
      <w:outlineLvl w:val="4"/>
    </w:pPr>
    <w:rPr>
      <w:rFonts w:eastAsia="黑体"/>
      <w:b/>
      <w:sz w:val="24"/>
      <w:szCs w:val="28"/>
    </w:rPr>
  </w:style>
  <w:style w:type="paragraph" w:styleId="688"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689" w:customStyle="1">
    <w:name w:val="Heading 1 Char"/>
    <w:basedOn w:val="661"/>
    <w:link w:val="652"/>
    <w:uiPriority w:val="9"/>
    <w:qFormat/>
    <w:rPr>
      <w:rFonts w:ascii="Arial" w:hAnsi="Arial" w:eastAsia="Arial" w:cs="Arial"/>
      <w:sz w:val="40"/>
      <w:szCs w:val="40"/>
    </w:rPr>
  </w:style>
  <w:style w:type="character" w:styleId="690" w:customStyle="1">
    <w:name w:val="Heading 2 Char"/>
    <w:basedOn w:val="661"/>
    <w:link w:val="653"/>
    <w:uiPriority w:val="9"/>
    <w:qFormat/>
    <w:rPr>
      <w:rFonts w:ascii="Arial" w:hAnsi="Arial" w:eastAsia="Arial" w:cs="Arial"/>
      <w:sz w:val="34"/>
    </w:rPr>
  </w:style>
  <w:style w:type="character" w:styleId="691" w:customStyle="1">
    <w:name w:val="Heading 3 Char"/>
    <w:basedOn w:val="661"/>
    <w:link w:val="654"/>
    <w:uiPriority w:val="9"/>
    <w:qFormat/>
    <w:rPr>
      <w:rFonts w:ascii="Arial" w:hAnsi="Arial" w:eastAsia="Arial" w:cs="Arial"/>
      <w:sz w:val="30"/>
      <w:szCs w:val="30"/>
    </w:rPr>
  </w:style>
  <w:style w:type="character" w:styleId="692" w:customStyle="1">
    <w:name w:val="Heading 4 Char"/>
    <w:basedOn w:val="661"/>
    <w:link w:val="655"/>
    <w:uiPriority w:val="9"/>
    <w:qFormat/>
    <w:rPr>
      <w:rFonts w:ascii="Arial" w:hAnsi="Arial" w:eastAsia="Arial" w:cs="Arial"/>
      <w:b/>
      <w:bCs/>
      <w:sz w:val="26"/>
      <w:szCs w:val="26"/>
    </w:rPr>
  </w:style>
  <w:style w:type="character" w:styleId="693" w:customStyle="1">
    <w:name w:val="Heading 5 Char"/>
    <w:basedOn w:val="661"/>
    <w:link w:val="656"/>
    <w:uiPriority w:val="9"/>
    <w:qFormat/>
    <w:rPr>
      <w:rFonts w:ascii="Arial" w:hAnsi="Arial" w:eastAsia="Arial" w:cs="Arial"/>
      <w:b/>
      <w:bCs/>
      <w:sz w:val="24"/>
      <w:szCs w:val="24"/>
    </w:rPr>
  </w:style>
  <w:style w:type="character" w:styleId="694" w:customStyle="1">
    <w:name w:val="Heading 6 Char"/>
    <w:basedOn w:val="661"/>
    <w:link w:val="657"/>
    <w:uiPriority w:val="9"/>
    <w:qFormat/>
    <w:rPr>
      <w:rFonts w:ascii="Arial" w:hAnsi="Arial" w:eastAsia="Arial" w:cs="Arial"/>
      <w:b/>
      <w:bCs/>
      <w:sz w:val="22"/>
      <w:szCs w:val="22"/>
    </w:rPr>
  </w:style>
  <w:style w:type="character" w:styleId="695" w:customStyle="1">
    <w:name w:val="Heading 7 Char"/>
    <w:basedOn w:val="661"/>
    <w:link w:val="658"/>
    <w:uiPriority w:val="9"/>
    <w:qFormat/>
    <w:rPr>
      <w:rFonts w:ascii="Arial" w:hAnsi="Arial" w:eastAsia="Arial" w:cs="Arial"/>
      <w:b/>
      <w:bCs/>
      <w:i/>
      <w:iCs/>
      <w:sz w:val="22"/>
      <w:szCs w:val="22"/>
    </w:rPr>
  </w:style>
  <w:style w:type="character" w:styleId="696" w:customStyle="1">
    <w:name w:val="Heading 8 Char"/>
    <w:basedOn w:val="661"/>
    <w:link w:val="659"/>
    <w:uiPriority w:val="9"/>
    <w:qFormat/>
    <w:rPr>
      <w:rFonts w:ascii="Arial" w:hAnsi="Arial" w:eastAsia="Arial" w:cs="Arial"/>
      <w:i/>
      <w:iCs/>
      <w:sz w:val="22"/>
      <w:szCs w:val="22"/>
    </w:rPr>
  </w:style>
  <w:style w:type="character" w:styleId="697" w:customStyle="1">
    <w:name w:val="Heading 9 Char"/>
    <w:basedOn w:val="661"/>
    <w:link w:val="660"/>
    <w:uiPriority w:val="9"/>
    <w:qFormat/>
    <w:rPr>
      <w:rFonts w:ascii="Arial" w:hAnsi="Arial" w:eastAsia="Arial" w:cs="Arial"/>
      <w:i/>
      <w:iCs/>
      <w:sz w:val="21"/>
      <w:szCs w:val="21"/>
    </w:r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61"/>
    <w:link w:val="682"/>
    <w:uiPriority w:val="10"/>
    <w:qFormat/>
    <w:rPr>
      <w:sz w:val="48"/>
      <w:szCs w:val="48"/>
    </w:rPr>
  </w:style>
  <w:style w:type="character" w:styleId="700" w:customStyle="1">
    <w:name w:val="Subtitle Char"/>
    <w:basedOn w:val="661"/>
    <w:link w:val="676"/>
    <w:uiPriority w:val="11"/>
    <w:qFormat/>
    <w:rPr>
      <w:sz w:val="24"/>
      <w:szCs w:val="24"/>
    </w:rPr>
  </w:style>
  <w:style w:type="paragraph" w:styleId="701">
    <w:name w:val="Quote"/>
    <w:basedOn w:val="651"/>
    <w:next w:val="651"/>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51"/>
    <w:next w:val="6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basedOn w:val="661"/>
    <w:link w:val="673"/>
    <w:uiPriority w:val="99"/>
    <w:qFormat/>
  </w:style>
  <w:style w:type="character" w:styleId="706" w:customStyle="1">
    <w:name w:val="Footer Char"/>
    <w:basedOn w:val="661"/>
    <w:uiPriority w:val="99"/>
    <w:qFormat/>
  </w:style>
  <w:style w:type="character" w:styleId="707" w:customStyle="1">
    <w:name w:val="Caption Char"/>
    <w:uiPriority w:val="99"/>
    <w:qFormat/>
  </w:style>
  <w:style w:type="table" w:styleId="708" w:customStyle="1">
    <w:name w:val="Table Grid Light"/>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8" w:customStyle="1">
    <w:name w:val="Grid Table 3"/>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6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7" w:customStyle="1">
    <w:name w:val="Grid Table 4 - Accent 2"/>
    <w:basedOn w:val="6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8" w:customStyle="1">
    <w:name w:val="Grid Table 4 - Accent 3"/>
    <w:basedOn w:val="6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9" w:customStyle="1">
    <w:name w:val="Grid Table 4 - Accent 4"/>
    <w:basedOn w:val="6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0" w:customStyle="1">
    <w:name w:val="Grid Table 4 - Accent 5"/>
    <w:basedOn w:val="66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1" w:customStyle="1">
    <w:name w:val="Grid Table 4 - Accent 6"/>
    <w:basedOn w:val="6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2" w:customStyle="1">
    <w:name w:val="Grid Table 5 Dark"/>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4" w:customStyle="1">
    <w:name w:val="Grid Table 5 Dark - Accent 2"/>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5" w:customStyle="1">
    <w:name w:val="Grid Table 5 Dark - Accent 3"/>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6" w:customStyle="1">
    <w:name w:val="Grid Table 5 Dark- Accent 4"/>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7" w:customStyle="1">
    <w:name w:val="Grid Table 5 Dark - Accent 5"/>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8" w:customStyle="1">
    <w:name w:val="Grid Table 5 Dark - Accent 6"/>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9" w:customStyle="1">
    <w:name w:val="Grid Table 6 Colorful"/>
    <w:basedOn w:val="6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6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6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5" w:customStyle="1">
    <w:name w:val="Grid Table 6 Colorful - Accent 6"/>
    <w:basedOn w:val="6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6" w:customStyle="1">
    <w:name w:val="Grid Table 7 Colorful"/>
    <w:basedOn w:val="6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6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6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6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6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0" w:customStyle="1">
    <w:name w:val="List Table 2"/>
    <w:basedOn w:val="6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6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2" w:customStyle="1">
    <w:name w:val="List Table 2 - Accent 2"/>
    <w:basedOn w:val="6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3" w:customStyle="1">
    <w:name w:val="List Table 2 - Accent 3"/>
    <w:basedOn w:val="6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4" w:customStyle="1">
    <w:name w:val="List Table 2 - Accent 4"/>
    <w:basedOn w:val="6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5" w:customStyle="1">
    <w:name w:val="List Table 2 - Accent 5"/>
    <w:basedOn w:val="66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6" w:customStyle="1">
    <w:name w:val="List Table 2 - Accent 6"/>
    <w:basedOn w:val="6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7" w:customStyle="1">
    <w:name w:val="List Table 3"/>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6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9" w:customStyle="1">
    <w:name w:val="List Table 3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6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4" w:customStyle="1">
    <w:name w:val="List Table 4"/>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6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6" w:customStyle="1">
    <w:name w:val="List Table 4 - Accent 2"/>
    <w:basedOn w:val="6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7" w:customStyle="1">
    <w:name w:val="List Table 4 - Accent 3"/>
    <w:basedOn w:val="6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8" w:customStyle="1">
    <w:name w:val="List Table 4 - Accent 4"/>
    <w:basedOn w:val="6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9" w:customStyle="1">
    <w:name w:val="List Table 4 - Accent 5"/>
    <w:basedOn w:val="66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0" w:customStyle="1">
    <w:name w:val="List Table 4 - Accent 6"/>
    <w:basedOn w:val="6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1" w:customStyle="1">
    <w:name w:val="List Table 5 Dark"/>
    <w:basedOn w:val="6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6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6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6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0" w:customStyle="1">
    <w:name w:val="List Table 6 Colorful - Accent 2"/>
    <w:basedOn w:val="66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1" w:customStyle="1">
    <w:name w:val="List Table 6 Colorful - Accent 3"/>
    <w:basedOn w:val="66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2" w:customStyle="1">
    <w:name w:val="List Table 6 Colorful - Accent 4"/>
    <w:basedOn w:val="6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3" w:customStyle="1">
    <w:name w:val="List Table 6 Colorful - Accent 5"/>
    <w:basedOn w:val="66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4" w:customStyle="1">
    <w:name w:val="List Table 6 Colorful - Accent 6"/>
    <w:basedOn w:val="6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5" w:customStyle="1">
    <w:name w:val="List Table 7 Colorful"/>
    <w:basedOn w:val="6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6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6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6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4" w:customStyle="1">
    <w:name w:val="Lined - Accent 2"/>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5" w:customStyle="1">
    <w:name w:val="Lined - Accent 3"/>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6" w:customStyle="1">
    <w:name w:val="Lined - Accent 4"/>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7" w:customStyle="1">
    <w:name w:val="Lined - Accent 5"/>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8" w:customStyle="1">
    <w:name w:val="Lined - Accent 6"/>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9" w:customStyle="1">
    <w:name w:val="Bordered &amp; Lined - Accent"/>
    <w:basedOn w:val="6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6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1" w:customStyle="1">
    <w:name w:val="Bordered &amp; Lined - Accent 2"/>
    <w:basedOn w:val="6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2" w:customStyle="1">
    <w:name w:val="Bordered &amp; Lined - Accent 3"/>
    <w:basedOn w:val="6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3" w:customStyle="1">
    <w:name w:val="Bordered &amp; Lined - Accent 4"/>
    <w:basedOn w:val="6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4" w:customStyle="1">
    <w:name w:val="Bordered &amp; Lined - Accent 5"/>
    <w:basedOn w:val="66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5" w:customStyle="1">
    <w:name w:val="Bordered &amp; Lined - Accent 6"/>
    <w:basedOn w:val="6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6" w:customStyle="1">
    <w:name w:val="Bordered"/>
    <w:basedOn w:val="6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8" w:customStyle="1">
    <w:name w:val="Bordered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9" w:customStyle="1">
    <w:name w:val="Bordered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0" w:customStyle="1">
    <w:name w:val="Bordered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1" w:customStyle="1">
    <w:name w:val="Bordered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2" w:customStyle="1">
    <w:name w:val="Bordered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3" w:customStyle="1">
    <w:name w:val="Footnote Text Char"/>
    <w:link w:val="677"/>
    <w:uiPriority w:val="99"/>
    <w:qFormat/>
    <w:rPr>
      <w:sz w:val="18"/>
    </w:rPr>
  </w:style>
  <w:style w:type="character" w:styleId="834" w:customStyle="1">
    <w:name w:val="Endnote Text Char"/>
    <w:link w:val="671"/>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正文首行缩进 211"/>
    <w:basedOn w:val="837"/>
    <w:next w:val="651"/>
    <w:uiPriority w:val="0"/>
    <w:qFormat/>
    <w:pPr>
      <w:ind w:left="0" w:firstLine="420"/>
      <w:spacing w:after="0" w:line="360" w:lineRule="auto"/>
    </w:pPr>
    <w:rPr>
      <w:rFonts w:ascii="宋体" w:hAnsi="宋体" w:eastAsia="宋体" w:cs="Times New Roman"/>
      <w:szCs w:val="20"/>
    </w:rPr>
  </w:style>
  <w:style w:type="paragraph" w:styleId="837" w:customStyle="1">
    <w:name w:val="正文文本缩进11"/>
    <w:basedOn w:val="651"/>
    <w:next w:val="838"/>
    <w:uiPriority w:val="0"/>
    <w:unhideWhenUsed/>
    <w:qFormat/>
    <w:pPr>
      <w:ind w:left="420"/>
      <w:spacing w:after="120"/>
    </w:pPr>
  </w:style>
  <w:style w:type="paragraph" w:styleId="838" w:customStyle="1">
    <w:name w:val="寄信人地址1"/>
    <w:basedOn w:val="651"/>
    <w:uiPriority w:val="0"/>
    <w:qFormat/>
    <w:rPr>
      <w:rFonts w:ascii="Arial" w:hAnsi="Arial" w:eastAsia="宋体" w:cs="宋体"/>
    </w:rPr>
  </w:style>
  <w:style w:type="paragraph" w:styleId="839" w:customStyle="1">
    <w:name w:val="正文首行缩进 21"/>
    <w:basedOn w:val="837"/>
    <w:uiPriority w:val="0"/>
    <w:qFormat/>
    <w:pPr>
      <w:ind w:left="0" w:firstLine="420"/>
      <w:spacing w:after="0" w:line="360" w:lineRule="auto"/>
    </w:pPr>
    <w:rPr>
      <w:rFonts w:ascii="宋体" w:hAnsi="宋体" w:eastAsia="宋体" w:cs="Times New Roman"/>
      <w:szCs w:val="20"/>
    </w:rPr>
  </w:style>
  <w:style w:type="paragraph" w:styleId="840" w:customStyle="1">
    <w:name w:val="普通正文"/>
    <w:basedOn w:val="651"/>
    <w:uiPriority w:val="0"/>
    <w:qFormat/>
    <w:pPr>
      <w:ind w:firstLine="480"/>
      <w:jc w:val="left"/>
      <w:spacing w:before="120" w:after="120" w:line="360" w:lineRule="auto"/>
    </w:pPr>
    <w:rPr>
      <w:rFonts w:ascii="Arial" w:hAnsi="Arial" w:eastAsia="宋体" w:cs="Times New Roman"/>
      <w:sz w:val="24"/>
      <w:szCs w:val="24"/>
    </w:rPr>
  </w:style>
  <w:style w:type="paragraph" w:styleId="841" w:customStyle="1">
    <w:name w:val="索引 41"/>
    <w:basedOn w:val="651"/>
    <w:next w:val="651"/>
    <w:uiPriority w:val="0"/>
    <w:semiHidden/>
    <w:qFormat/>
    <w:pPr>
      <w:ind w:left="1260"/>
    </w:pPr>
    <w:rPr>
      <w:rFonts w:ascii="Calibri" w:hAnsi="Calibri" w:eastAsia="Calibri" w:cs="宋体"/>
      <w:sz w:val="20"/>
      <w:lang w:val="zh-CN"/>
    </w:rPr>
  </w:style>
  <w:style w:type="paragraph" w:styleId="842" w:customStyle="1">
    <w:name w:val="标题 31"/>
    <w:basedOn w:val="651"/>
    <w:next w:val="84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3" w:customStyle="1">
    <w:name w:val="正文缩进1"/>
    <w:basedOn w:val="651"/>
    <w:uiPriority w:val="0"/>
    <w:qFormat/>
    <w:pPr>
      <w:ind w:firstLine="420"/>
    </w:pPr>
    <w:rPr>
      <w:szCs w:val="21"/>
    </w:rPr>
  </w:style>
  <w:style w:type="paragraph" w:styleId="844" w:customStyle="1">
    <w:name w:val="页眉1"/>
    <w:basedOn w:val="65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45" w:customStyle="1">
    <w:name w:val="页脚1"/>
    <w:basedOn w:val="65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46" w:customStyle="1">
    <w:name w:val="页码1"/>
    <w:link w:val="651"/>
    <w:uiPriority w:val="0"/>
    <w:qFormat/>
    <w:rPr>
      <w:rFonts w:hint="default" w:ascii="Times New Roman" w:hAnsi="Times New Roman" w:eastAsia="宋体" w:cs="Times New Roman"/>
      <w:sz w:val="21"/>
      <w:szCs w:val="22"/>
      <w:lang w:val="en-US" w:eastAsia="zh-CN" w:bidi="ar-SA"/>
    </w:rPr>
  </w:style>
  <w:style w:type="paragraph" w:styleId="847" w:customStyle="1">
    <w:name w:val="纯文本11"/>
    <w:basedOn w:val="651"/>
    <w:uiPriority w:val="0"/>
    <w:qFormat/>
    <w:rPr>
      <w:rFonts w:ascii="宋体" w:hAnsi="Courier New" w:cs="Courier New"/>
    </w:rPr>
  </w:style>
  <w:style w:type="paragraph" w:styleId="848" w:customStyle="1">
    <w:name w:val="纯文本1"/>
    <w:basedOn w:val="651"/>
    <w:uiPriority w:val="0"/>
    <w:qFormat/>
    <w:rPr>
      <w:rFonts w:ascii="宋体" w:hAnsi="Courier New" w:cs="Courier New"/>
    </w:rPr>
  </w:style>
  <w:style w:type="paragraph" w:styleId="849" w:customStyle="1">
    <w:name w:val="正文2"/>
    <w:basedOn w:val="651"/>
    <w:uiPriority w:val="0"/>
    <w:qFormat/>
    <w:pPr>
      <w:ind w:firstLine="510"/>
      <w:spacing w:before="156" w:line="360" w:lineRule="auto"/>
    </w:pPr>
    <w:rPr>
      <w:sz w:val="24"/>
    </w:rPr>
  </w:style>
  <w:style w:type="paragraph" w:styleId="850" w:customStyle="1">
    <w:name w:val="正文首行缩进 22"/>
    <w:basedOn w:val="851"/>
    <w:uiPriority w:val="99"/>
    <w:qFormat/>
    <w:pPr>
      <w:ind w:firstLine="420"/>
      <w:spacing w:line="360" w:lineRule="auto"/>
    </w:pPr>
    <w:rPr>
      <w:rFonts w:ascii="宋体" w:hAnsi="宋体" w:eastAsia="宋体"/>
      <w:sz w:val="20"/>
    </w:rPr>
  </w:style>
  <w:style w:type="paragraph" w:styleId="851" w:customStyle="1">
    <w:name w:val="正文文本缩进2"/>
    <w:basedOn w:val="651"/>
    <w:next w:val="850"/>
    <w:uiPriority w:val="0"/>
    <w:qFormat/>
    <w:pPr>
      <w:ind w:firstLine="645"/>
    </w:pPr>
    <w:rPr>
      <w:rFonts w:ascii="楷体_GB2312" w:hAnsi="Times New Roman" w:eastAsia="楷体_GB2312" w:cs="Times New Roman"/>
      <w:sz w:val="32"/>
      <w:lang w:val="en-US"/>
    </w:rPr>
  </w:style>
  <w:style w:type="paragraph" w:styleId="852" w:customStyle="1">
    <w:name w:val="首行缩进"/>
    <w:basedOn w:val="651"/>
    <w:uiPriority w:val="99"/>
    <w:qFormat/>
    <w:pPr>
      <w:ind w:firstLine="480"/>
      <w:jc w:val="left"/>
      <w:spacing w:line="360" w:lineRule="auto"/>
    </w:pPr>
    <w:rPr>
      <w:rFonts w:ascii="宋体" w:hAnsi="宋体"/>
      <w:sz w:val="24"/>
      <w:szCs w:val="24"/>
    </w:rPr>
  </w:style>
  <w:style w:type="paragraph" w:styleId="853">
    <w:name w:val="List Paragraph"/>
    <w:basedOn w:val="651"/>
    <w:uiPriority w:val="34"/>
    <w:qFormat/>
    <w:pPr>
      <w:contextualSpacing/>
      <w:ind w:left="720"/>
    </w:pPr>
  </w:style>
  <w:style w:type="table" w:styleId="854" w:customStyle="1">
    <w:name w:val="网格型11"/>
    <w:basedOn w:val="855"/>
    <w:uiPriority w:val="0"/>
    <w:qFormat/>
    <w:pPr>
      <w:jc w:val="both"/>
      <w:widowControl w:val="off"/>
    </w:pPr>
    <w:rPr>
      <w:rFonts w:ascii="Times New Roman" w:hAnsi="Times New Roman" w:eastAsia="宋体" w:cs="Times New Roman"/>
      <w:sz w:val="20"/>
      <w:szCs w:val="20"/>
    </w:rPr>
    <w:tblPr/>
  </w:style>
  <w:style w:type="table" w:styleId="855" w:customStyle="1">
    <w:name w:val="普通表格11"/>
    <w:uiPriority w:val="99"/>
    <w:unhideWhenUsed/>
    <w:qFormat/>
    <w:tblPr/>
  </w:style>
  <w:style w:type="paragraph" w:styleId="856" w:customStyle="1">
    <w:name w:val="Table Text"/>
    <w:basedOn w:val="651"/>
    <w:uiPriority w:val="0"/>
    <w:semiHidden/>
    <w:qFormat/>
    <w:rPr>
      <w:rFonts w:ascii="宋体" w:hAnsi="宋体" w:eastAsia="宋体" w:cs="宋体"/>
      <w:sz w:val="24"/>
      <w:szCs w:val="24"/>
      <w:lang w:val="en-US" w:eastAsia="en-US" w:bidi="ar-SA"/>
    </w:rPr>
  </w:style>
  <w:style w:type="table" w:styleId="857" w:customStyle="1">
    <w:name w:val="Table Normal"/>
    <w:uiPriority w:val="0"/>
    <w:semiHidden/>
    <w:unhideWhenUsed/>
    <w:qFormat/>
    <w:tblPr>
      <w:tblCellMar>
        <w:left w:w="0" w:type="dxa"/>
        <w:top w:w="0" w:type="dxa"/>
        <w:right w:w="0" w:type="dxa"/>
        <w:bottom w:w="0" w:type="dxa"/>
      </w:tblCellMar>
    </w:tblPr>
  </w:style>
  <w:style w:type="table" w:styleId="858" w:customStyle="1">
    <w:name w:val="Table Normal_0"/>
    <w:uiPriority w:val="0"/>
    <w:qFormat/>
    <w:tblPr/>
  </w:style>
  <w:style w:type="paragraph" w:styleId="859" w:customStyle="1">
    <w:name w:val="正文首行缩进 212"/>
    <w:basedOn w:val="860"/>
    <w:next w:val="651"/>
    <w:uiPriority w:val="0"/>
    <w:qFormat/>
    <w:pPr>
      <w:ind w:left="0" w:firstLine="420"/>
      <w:spacing w:after="0" w:line="360" w:lineRule="auto"/>
    </w:pPr>
    <w:rPr>
      <w:rFonts w:ascii="宋体" w:hAnsi="宋体" w:eastAsia="宋体" w:cs="Times New Roman"/>
      <w:szCs w:val="20"/>
    </w:rPr>
  </w:style>
  <w:style w:type="paragraph" w:styleId="860" w:customStyle="1">
    <w:name w:val="正文文本缩进12"/>
    <w:basedOn w:val="651"/>
    <w:next w:val="838"/>
    <w:uiPriority w:val="0"/>
    <w:unhideWhenUsed/>
    <w:qFormat/>
    <w:pPr>
      <w:ind w:left="420"/>
      <w:spacing w:after="120"/>
    </w:pPr>
  </w:style>
  <w:style w:type="paragraph" w:styleId="861" w:customStyle="1">
    <w:name w:val="方案正文"/>
    <w:uiPriority w:val="99"/>
    <w:qFormat/>
    <w:pPr>
      <w:ind w:firstLine="560"/>
      <w:jc w:val="left"/>
      <w:spacing w:line="360" w:lineRule="auto"/>
      <w:widowControl/>
    </w:pPr>
    <w:rPr>
      <w:rFonts w:hint="default" w:ascii="Calibri" w:hAnsi="Calibri" w:eastAsia="宋体" w:cs="Times New Roman"/>
      <w:sz w:val="24"/>
      <w:szCs w:val="20"/>
      <w:lang w:val="en-US" w:eastAsia="zh-CN" w:bidi="ar-SA"/>
    </w:rPr>
  </w:style>
  <w:style w:type="character" w:styleId="862" w:customStyle="1">
    <w:name w:val="默认段落字体1"/>
    <w:link w:val="651"/>
    <w:uiPriority w:val="1"/>
    <w:unhideWhenUsed/>
    <w:qFormat/>
  </w:style>
  <w:style w:type="paragraph" w:styleId="863" w:customStyle="1">
    <w:name w:val="正文文本缩进111"/>
    <w:basedOn w:val="651"/>
    <w:uiPriority w:val="0"/>
    <w:unhideWhenUsed/>
    <w:qFormat/>
    <w:pPr>
      <w:ind w:left="420"/>
      <w:spacing w:after="120"/>
    </w:pPr>
  </w:style>
  <w:style w:type="paragraph" w:styleId="864" w:customStyle="1">
    <w:name w:val="正文文本 211"/>
    <w:basedOn w:val="651"/>
    <w:uiPriority w:val="99"/>
    <w:qFormat/>
    <w:pPr>
      <w:jc w:val="center"/>
    </w:pPr>
    <w:rPr>
      <w:b/>
      <w:bCs/>
      <w:sz w:val="20"/>
      <w:szCs w:val="20"/>
    </w:rPr>
  </w:style>
  <w:style w:type="paragraph" w:styleId="865" w:customStyle="1">
    <w:name w:val="Char"/>
    <w:basedOn w:val="651"/>
    <w:uiPriority w:val="0"/>
    <w:qFormat/>
    <w:pPr>
      <w:ind w:firstLine="200"/>
      <w:tabs>
        <w:tab w:val="left" w:pos="360" w:leader="none"/>
      </w:tabs>
    </w:pPr>
    <w:rPr>
      <w:rFonts w:ascii="Times New Roman" w:hAnsi="Times New Roman" w:eastAsia="宋体" w:cs="Times New Roman"/>
      <w:sz w:val="28"/>
      <w:szCs w:val="30"/>
    </w:rPr>
  </w:style>
  <w:style w:type="paragraph" w:styleId="866" w:customStyle="1">
    <w:name w:val="普通(网站)1"/>
    <w:basedOn w:val="651"/>
    <w:uiPriority w:val="99"/>
    <w:qFormat/>
    <w:pPr>
      <w:jc w:val="left"/>
      <w:spacing w:before="100" w:beforeAutospacing="1" w:after="100" w:afterAutospacing="1"/>
      <w:widowControl/>
    </w:pPr>
    <w:rPr>
      <w:rFonts w:ascii="宋体" w:hAnsi="宋体" w:eastAsia="宋体" w:cs="宋体"/>
      <w:sz w:val="24"/>
      <w:szCs w:val="24"/>
    </w:rPr>
  </w:style>
  <w:style w:type="numbering" w:styleId="14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杨荣</cp:lastModifiedBy>
  <cp:revision>3</cp:revision>
  <dcterms:created xsi:type="dcterms:W3CDTF">2025-06-06T01:47:00Z</dcterms:created>
  <dcterms:modified xsi:type="dcterms:W3CDTF">2026-07-06T07:36:16Z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eyJoZGlkIjoiNDE4OTcxMmM0OTRjMGVkMjE0NTFkOTdmMjE4MGM5YjIiLCJ1c2VySWQiOiIzNzIwMzgwMTIifQ==</vt:lpwstr>
  </property>
  <property fmtid="{D5CDD505-2E9C-101B-9397-08002B2CF9AE}" pid="4" name="ICV">
    <vt:lpwstr>3EA177804DEC496CA4A69462E2E3104F_13</vt:lpwstr>
  </property>
</Properties>
</file>