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项目名称：</w:t>
      </w:r>
      <w:r>
        <w:rPr>
          <w:rFonts w:ascii="Times New Roman" w:hAnsi="Times New Roman" w:eastAsia="Times New Roman" w:cs="Times New Roman"/>
          <w:b/>
          <w:color w:val="000000"/>
          <w:sz w:val="32"/>
        </w:rPr>
        <w:t xml:space="preserve">NJCORS</w:t>
      </w:r>
      <w:r>
        <w:rPr>
          <w:rFonts w:ascii="SimSun" w:hAnsi="SimSun" w:eastAsia="SimSun" w:cs="SimSun"/>
          <w:b/>
          <w:color w:val="000000"/>
          <w:sz w:val="32"/>
          <w:u w:val="none"/>
        </w:rPr>
        <w:t xml:space="preserve">北斗定位服务升级</w:t>
      </w: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项目编号：</w:t>
      </w:r>
      <w:r>
        <w:rPr>
          <w:rFonts w:ascii="Times New Roman" w:hAnsi="Times New Roman" w:eastAsia="Times New Roman" w:cs="Times New Roman"/>
          <w:b/>
          <w:color w:val="000000"/>
          <w:sz w:val="32"/>
        </w:rPr>
        <w:t xml:space="preserve">JSZC-320100-JZCG-G2026-0036</w:t>
      </w:r>
      <w:r>
        <w:rPr>
          <w:rFonts w:ascii="SimSun" w:hAnsi="SimSun" w:eastAsia="SimSun" w:cs="SimSun"/>
          <w:b/>
          <w:color w:val="000000"/>
          <w:sz w:val="32"/>
        </w:rPr>
        <w:t xml:space="preserve"> </w:t>
      </w: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南京市公共资源交易中心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3</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60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6"/>
        </w:numPr>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5</w:t>
      </w:r>
      <w:r/>
    </w:p>
    <w:p>
      <w:pPr>
        <w:numPr>
          <w:ilvl w:val="0"/>
          <w:numId w:val="6"/>
        </w:numPr>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6"/>
        </w:numPr>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采购需求……………………………………18</w:t>
      </w:r>
      <w:r/>
    </w:p>
    <w:p>
      <w:pPr>
        <w:numPr>
          <w:ilvl w:val="0"/>
          <w:numId w:val="6"/>
        </w:numPr>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评标方法与评标标准………………………24</w:t>
      </w:r>
      <w:r/>
    </w:p>
    <w:p>
      <w:pPr>
        <w:numPr>
          <w:ilvl w:val="0"/>
          <w:numId w:val="6"/>
        </w:numPr>
        <w:jc w:val="center"/>
        <w:spacing w:before="0" w:after="0" w:line="60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投标文件格式………………………………28</w:t>
      </w:r>
      <w:r/>
    </w:p>
    <w:p>
      <w:pPr>
        <w:ind w:left="0" w:right="0" w:firstLine="0"/>
        <w:jc w:val="both"/>
        <w:spacing w:before="0" w:after="0" w:line="60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受南京市规划和自然资源局委托，南京市公共资源交易中心（以下简称“交易中心”）就NJCORS北斗定位服务升级进行公开招标采购，欢迎符合条件的供应商投标。</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1.项目编号：JSZC-320100-JZCG-G2026-0036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2.项目名称：NJCORS北斗定位服务升级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3.预算金额：234.67万元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4.最高限价：234.67万元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根据《南京市“车路云一体化”建设三年规划》（宁政办发〔2025〕4号）、《南京市智能网联汽车“车路云一体化”高精度地图安全应用试点建设方案》（宁规划资源发〔2025〕38号）等相关要求，围绕国产化改造及位置服务云化改造等内容，开展NJCORS北斗定位服务能力提升工作。（详细内容见本招标文件第四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6.合同履行期限：自合同签订之日起至2026年12月31日。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8.本项目不接受进口产品投标。</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1.1供应商信用承诺函（格式见第六章）。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（二）本项目的特定资格要求：具有自然资源主管部门颁发的甲级测绘资质证书，专业类别需涵盖大地测量子项。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1.提交投标文件截止时间、开标时间</w:t>
      </w:r>
      <w:r>
        <w:rPr>
          <w:rFonts w:ascii="SimSun" w:hAnsi="SimSun" w:eastAsia="SimSun" w:cs="SimSun"/>
          <w:color w:val="000000"/>
          <w:sz w:val="24"/>
        </w:rPr>
        <w:t xml:space="preserve">：2026年3月23日14时（北京时间）。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公告期限为自本公告发布之日起5个工作日。</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本次招标不收取投标保证金。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2.本项目不组织勘察及答疑，供应商如对采购需求有疑问，请咨询采购单位联系人。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采购人《质疑函》收件人：钟敏，收件地址：南京市鼓楼区中山路171号919室，联系电话：025-89690919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名称：南京市规划和自然资源局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地址：南京市鼓楼区中山路171号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联系人：钟敏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联系电话：025-89690919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2.交易中心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址：南京市建邺区江东中路265号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联系人：段女士</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联系电话：025-68505085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w:t>
      </w:r>
      <w:r>
        <w:rPr>
          <w:rFonts w:ascii="Arial" w:hAnsi="Arial" w:eastAsia="Arial" w:cs="Arial"/>
          <w:color w:val="000000"/>
          <w:sz w:val="36"/>
          <w:u w:val="none"/>
        </w:rPr>
        <w:t xml:space="preserve">投标人须知</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投标人应仔细检查招标文件是否齐全，如有缺漏请立即与交易中心联系。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任何要求对招标文件进行澄清的投标人，应在投标截止期十日前按招标公告中的通讯地址，以书面形式通知交易中心。</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在投标截止时间前，交易中心可以对招标文件进行修改。招标文件的修改将在原公告媒体发布更正公告，更正内容将作为招标文件的组成部分，并对投标人具有约束力。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交易中心有权按照法定的要求推迟投标截止日期和开标日期，并在原公告媒体发布更正公告。</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对于采用货币报价的项目，开标一览表中的投标总报价应与投标分项报价表中的投标总报价一致，如不一致评标时以开标一览表中价格为准。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交易中心可以按照规定，通过修改招标文件酌情延长投标截止时间，在此情况下，投标人的所有权利和义务均以延长后新的截止时间为准。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投标截止时间后上传的任何投标文件将被拒绝。</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交易中心在招标公告中规定的时间和地点组织公开开标。投标人按照《操作手册》规定参加开标活动，并在苏采云系统规定的时间内对投标文件进行解密。苏采云系统公布各投标人名称和投标价格。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未通过资格审查或符合性审查的投标人，交易中心将通过苏采云系统告知其具体原因，评标结束后不再接受有关询问。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投标人在开、评标全过程中应保持通讯畅通，及时登录苏采云系统查阅、答复相关信息，并安排专人与交易中心及评委会联系。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24.7.1评标过程中出现下列情形之一的，评委会应当启动异常低价投标审查程序：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w:t>
      </w:r>
      <w:r>
        <w:rPr>
          <w:rFonts w:ascii="SimSun" w:hAnsi="SimSun" w:eastAsia="SimSun" w:cs="SimSun"/>
          <w:color w:val="000000"/>
          <w:sz w:val="24"/>
          <w:u w:val="single"/>
        </w:rPr>
        <w:t xml:space="preserve">65%</w:t>
      </w:r>
      <w:r>
        <w:rPr>
          <w:rFonts w:ascii="SimSun" w:hAnsi="SimSun" w:eastAsia="SimSun" w:cs="SimSun"/>
          <w:color w:val="000000"/>
          <w:sz w:val="24"/>
        </w:rPr>
        <w:t xml:space="preserve">的，即投标报价&lt;全部通过符合性审查供应商投标报价平均值×</w:t>
      </w:r>
      <w:r>
        <w:rPr>
          <w:rFonts w:ascii="SimSun" w:hAnsi="SimSun" w:eastAsia="SimSun" w:cs="SimSun"/>
          <w:color w:val="000000"/>
          <w:sz w:val="24"/>
          <w:u w:val="single"/>
        </w:rPr>
        <w:t xml:space="preserve">65%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w:t>
      </w:r>
      <w:r>
        <w:rPr>
          <w:rFonts w:ascii="SimSun" w:hAnsi="SimSun" w:eastAsia="SimSun" w:cs="SimSun"/>
          <w:color w:val="000000"/>
          <w:sz w:val="24"/>
          <w:u w:val="single"/>
        </w:rPr>
        <w:t xml:space="preserve">65%</w:t>
      </w:r>
      <w:r>
        <w:rPr>
          <w:rFonts w:ascii="SimSun" w:hAnsi="SimSun" w:eastAsia="SimSun" w:cs="SimSun"/>
          <w:color w:val="000000"/>
          <w:sz w:val="24"/>
        </w:rPr>
        <w:t xml:space="preserve">的，即投标报价&lt;通过符合性审查的次低报价供应商投标报价×</w:t>
      </w:r>
      <w:r>
        <w:rPr>
          <w:rFonts w:ascii="SimSun" w:hAnsi="SimSun" w:eastAsia="SimSun" w:cs="SimSun"/>
          <w:color w:val="000000"/>
          <w:sz w:val="24"/>
          <w:u w:val="single"/>
        </w:rPr>
        <w:t xml:space="preserve">65%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w:t>
      </w:r>
      <w:r>
        <w:rPr>
          <w:rFonts w:ascii="SimSun" w:hAnsi="SimSun" w:eastAsia="SimSun" w:cs="SimSun"/>
          <w:color w:val="000000"/>
          <w:sz w:val="24"/>
          <w:u w:val="single"/>
        </w:rPr>
        <w:t xml:space="preserve">65%</w:t>
      </w:r>
      <w:r>
        <w:rPr>
          <w:rFonts w:ascii="SimSun" w:hAnsi="SimSun" w:eastAsia="SimSun" w:cs="SimSun"/>
          <w:color w:val="000000"/>
          <w:sz w:val="24"/>
        </w:rPr>
        <w:t xml:space="preserve">的，即投标报价&lt;采购项目最高限价×</w:t>
      </w:r>
      <w:r>
        <w:rPr>
          <w:rFonts w:ascii="SimSun" w:hAnsi="SimSun" w:eastAsia="SimSun" w:cs="SimSun"/>
          <w:color w:val="000000"/>
          <w:sz w:val="24"/>
          <w:u w:val="single"/>
        </w:rPr>
        <w:t xml:space="preserve">65%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投标人不具备招标文件中规定资格要求。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不符合招标文件中实质性要求和条件的（</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评委会按照本招标文件规定对投标人进行异常低价投标审查后，认为投标人不能证明其报价合理性的。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符合资格条件的供应商或者对招标文件作实质响应的供应商不足三家。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如出现25.2.1或25.3情形，招标活动失败，评审委员会应对招标文件是否存在不合理条款进行论证，并在评审报告中写明论证意见。</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中标供应商可通过南京市公共资源交易平台网站“小企业融资平台”，选择相应的金融机构办理融资贷款。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供应商根据质疑事项向相应的质疑答复主体提出质疑，具体详见采购文件第一章。由采购人负责答复的质疑，采购人将《质疑答复函》抄送交易中心。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属于第33条规定的对同一采购程序环节提出的多次质疑；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本项目服务由中小企业承接的，投标供应商享受中小企业扶持政策。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39.节能环保产品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40.绿色采购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41.创新产品采购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44.数据交易说明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数据交易标的包括数据产品、数据服务、数据工具。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数据产品是指用于交易的数据和数据衍生产品，包括但不限于数据集、数据分析报告、数据可视化产品、数据指数、API 数据、加密数据等。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数据服务是指提供数据收集、存储、使用、加工、传输等服务，包括但不限于数据采集和预处理服务、数据建模、分析处理服务、数据可视化服务、数据安全服务等。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数据工具是指可实现数据服务的软硬件工具，包括但不限于数据存储和管理工具、数据采集工具、数据清洗工具、数据分析工具、数据可视化工具、数据安全工具等。</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南京市政府采购合同（服务）</w:t>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甲、乙双方根据南京市公共资源交易中心组织的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本合同金额为（大写）：____________________圆（_________________元）人民币。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乙方应按招标文件规定的时间向甲方提供服务（包含与服务相关的货物）的有关技术资料。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合同签订且服务团队人员到位后，甲方支付合同总价款的30%作为预付款。</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系统开发完成并通过甲方初步验收后，甲方支付合同总价的40%。</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系统开发完成并终验合格后，甲方支付合同总价款的30%。</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 满足合同约定支付条件的，甲方收到乙方发票后10个工作日内，将资金支付到合同约定的乙方账户。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十、项目验收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如有必要，甲方可邀请参加本项目投标的其他供应商或第三方专业机构及专家参与验收，相关意见将作为验收结论的参考。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网络安全、市场准入要求：无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甲方无正当理由拒绝接受乙方提供服务的，应向乙方偿付拒绝接受服务合同总额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乙方逾期提供服务的，应按逾期提供服务合同总额每日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十二、不可抗力事件处理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在合同有效期内，任何一方因不可抗力事件导致不能履行合同，则合同履行期可延长，其延长期与不可抗力影响期相同。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十三、解决争议的方法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双方在签订、履行合同中所发生的一切争议，应通过友好协商解决。如协商不成的由甲方住所地人民法院管辖。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十四、合同生效及其它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本合同经双方加盖单位公章后生效。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本合同未尽事宜，遵照《中华人民共和国民法典》《中华人民共和国政府采购法》有关条文执行。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480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8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0" w:firstLine="8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服务类项目。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促进南京市智能网联汽车产业高质量发展行动计划（2024—2026年）》（宁政办发〔2024〕40号）、《南京市“车路云一体化”建设三年规划》（宁政办发〔2025〕4号）、《南京市智能网联汽车“车路云一体化”高精度地图安全应用试点建设方案》（宁规划资源发〔2025〕38号）和《智慧南京时空大数据平台及北斗定位服务升级项目可行性研究报告》等相关要求，围绕国产化改造及位置服务云化改造等内容，开展NJCORS系统服务能力提升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（二）项目建设遵循标准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rPr>
          <w:rFonts w:ascii="SimHei" w:hAnsi="SimHei" w:eastAsia="SimHei" w:cs="SimHei"/>
          <w:color w:val="000000"/>
          <w:sz w:val="24"/>
        </w:rPr>
        <w:t xml:space="preserve">三</w:t>
      </w:r>
      <w:r>
        <w:rPr>
          <w:rFonts w:ascii="SimHei" w:hAnsi="SimHei" w:eastAsia="SimHei" w:cs="SimHei"/>
          <w:color w:val="000000"/>
          <w:sz w:val="24"/>
        </w:rPr>
        <w:t xml:space="preserve">、</w:t>
      </w:r>
      <w:r>
        <w:rPr>
          <w:rFonts w:ascii="SimHei" w:hAnsi="SimHei" w:eastAsia="SimHei" w:cs="SimHei"/>
          <w:color w:val="000000"/>
          <w:sz w:val="24"/>
        </w:rPr>
        <w:t xml:space="preserve">项目清单</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874"/>
        <w:gridCol w:w="678"/>
        <w:gridCol w:w="813"/>
        <w:gridCol w:w="1340"/>
        <w:gridCol w:w="1340"/>
        <w:gridCol w:w="1561"/>
        <w:gridCol w:w="1078"/>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单价上限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属性</w:t>
            </w:r>
            <w:r/>
          </w:p>
        </w:tc>
      </w:tr>
      <w:tr>
        <w:trPr>
          <w:trHeight w:val="4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NJCORS</w:t>
            </w:r>
            <w:r>
              <w:rPr>
                <w:rFonts w:ascii="SimSun" w:hAnsi="SimSun" w:eastAsia="SimSun" w:cs="SimSun"/>
                <w:color w:val="000000"/>
                <w:sz w:val="21"/>
              </w:rPr>
              <w:t xml:space="preserve">系统服务国产化改造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tc>
      </w:tr>
      <w:tr>
        <w:trPr>
          <w:trHeight w:val="4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位置服务云化适配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499200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tc>
      </w:tr>
      <w:tr>
        <w:trPr>
          <w:trHeight w:val="4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国产化软件采购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货物（成品软件）</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t xml:space="preserve">    </w:t>
      </w:r>
      <w:r>
        <w:rPr>
          <w:rFonts w:ascii="SimHei" w:hAnsi="SimHei" w:eastAsia="SimHei" w:cs="SimHei"/>
          <w:color w:val="000000"/>
          <w:sz w:val="24"/>
        </w:rPr>
        <w:t xml:space="preserve">四、拟采购标的需要满足的技术、商务要求</w:t>
      </w:r>
      <w:r>
        <w:rPr>
          <w:sz w:val="24"/>
        </w:rPr>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项目建设内容包括NJCORS系统服务国产化改造、位置服务云化适配及国产化软件采购，具体要求如下：</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1"/>
        <w:gridCol w:w="1427"/>
        <w:gridCol w:w="6857"/>
      </w:tblGrid>
      <w:tr>
        <w:trPr>
          <w:trHeight w:val="510"/>
        </w:trPr>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技术指标</w:t>
            </w:r>
            <w:r/>
          </w:p>
        </w:tc>
      </w:tr>
      <w:tr>
        <w:trPr>
          <w:trHeight w:val="51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NJCORS</w:t>
            </w:r>
            <w:r>
              <w:rPr>
                <w:rFonts w:ascii="SimSun" w:hAnsi="SimSun" w:eastAsia="SimSun" w:cs="SimSun"/>
                <w:color w:val="000000"/>
                <w:sz w:val="21"/>
              </w:rPr>
              <w:t xml:space="preserve">系统服务国产化改造</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DBD</w:t>
            </w:r>
            <w:r>
              <w:rPr>
                <w:rFonts w:ascii="SimSun" w:hAnsi="SimSun" w:eastAsia="SimSun" w:cs="SimSun"/>
                <w:color w:val="000000"/>
                <w:sz w:val="21"/>
              </w:rPr>
              <w:t xml:space="preserve">国产化高精度解算软件研发</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支持</w:t>
            </w:r>
            <w:r>
              <w:rPr>
                <w:rFonts w:ascii="Times New Roman" w:hAnsi="Times New Roman" w:eastAsia="Times New Roman" w:cs="Times New Roman"/>
                <w:color w:val="000000"/>
                <w:sz w:val="21"/>
              </w:rPr>
              <w:t xml:space="preserve">BDS2</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B1I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B2I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B3I</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BDS3</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B1I/B1C</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B2a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B2b</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B3I</w:t>
            </w:r>
            <w:r>
              <w:rPr>
                <w:rFonts w:ascii="SimSun" w:hAnsi="SimSun" w:eastAsia="SimSun" w:cs="SimSun"/>
                <w:color w:val="000000"/>
                <w:sz w:val="21"/>
              </w:rPr>
              <w:t xml:space="preserve">等北斗全星座全频点数据处理；</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支持根据基准站坐标信息在地图上展示所有的基准站分布图，搜索框输入基准站名称，可自动定位基准站位置，当点击具体某个基准站图标，在弹框中显示基准站的详细基本信息。另外还提供测距、侧面、全屏等功能。</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支持按照所属区搜索基准站信息，并配置或修改站点</w:t>
            </w:r>
            <w:r>
              <w:rPr>
                <w:rFonts w:ascii="Times New Roman" w:hAnsi="Times New Roman" w:eastAsia="Times New Roman" w:cs="Times New Roman"/>
                <w:color w:val="000000"/>
                <w:sz w:val="21"/>
              </w:rPr>
              <w:t xml:space="preserve">IP</w:t>
            </w:r>
            <w:r>
              <w:rPr>
                <w:rFonts w:ascii="SimSun" w:hAnsi="SimSun" w:eastAsia="SimSun" w:cs="SimSun"/>
                <w:color w:val="000000"/>
                <w:sz w:val="21"/>
              </w:rPr>
              <w:t xml:space="preserve">、端口号、数据格式、传输方式、坐标位置、天线类型等信息，同时支持批量导入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删除基准站配置信息，可按照区域等节点控制站点实时数据流的启用或关闭。</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支持按接收机类型名和接收机类型值查询接收机信息；支持新增，编辑，删除等操作。</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SimSun" w:hAnsi="SimSun" w:eastAsia="SimSun" w:cs="SimSun"/>
                <w:color w:val="000000"/>
                <w:sz w:val="21"/>
              </w:rPr>
              <w:t xml:space="preserve">支持按天线名称查询天线信息；支持新增，编辑，删除等操作。</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F.</w:t>
            </w:r>
            <w:r>
              <w:rPr>
                <w:rFonts w:ascii="SimSun" w:hAnsi="SimSun" w:eastAsia="SimSun" w:cs="SimSun"/>
                <w:color w:val="000000"/>
                <w:sz w:val="21"/>
              </w:rPr>
              <w:t xml:space="preserve">支持对基准站连接及数据传输状态进行实时监控，可实时分析各站点数据延迟情况，历元信息，缺失历元，数据大小等数据质量信息，及时发现数据中的异常情况，保障实时数据的质量。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w:t>
            </w:r>
            <w:r>
              <w:rPr>
                <w:rFonts w:ascii="SimSun" w:hAnsi="SimSun" w:eastAsia="SimSun" w:cs="SimSun"/>
                <w:color w:val="000000"/>
                <w:sz w:val="21"/>
              </w:rPr>
              <w:t xml:space="preserve">支持接收基准站实时发送过来的数据流，显示站点信息及数据流传输情况。可实时分析各站点数据延迟情况，周跳比，历元信息，接收数据大小，信噪比，多路径等信息。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w:t>
            </w:r>
            <w:r>
              <w:rPr>
                <w:rFonts w:ascii="SimSun" w:hAnsi="SimSun" w:eastAsia="SimSun" w:cs="SimSun"/>
                <w:color w:val="000000"/>
                <w:sz w:val="21"/>
              </w:rPr>
              <w:t xml:space="preserve">支持用户在线申请实时数据的转发，支持按卫星系统过滤，支持</w:t>
            </w:r>
            <w:r>
              <w:rPr>
                <w:rFonts w:ascii="Times New Roman" w:hAnsi="Times New Roman" w:eastAsia="Times New Roman" w:cs="Times New Roman"/>
                <w:color w:val="000000"/>
                <w:sz w:val="21"/>
              </w:rPr>
              <w:t xml:space="preserve">TCP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NTRIP</w:t>
            </w:r>
            <w:r>
              <w:rPr>
                <w:rFonts w:ascii="SimSun" w:hAnsi="SimSun" w:eastAsia="SimSun" w:cs="SimSun"/>
                <w:color w:val="000000"/>
                <w:sz w:val="21"/>
              </w:rPr>
              <w:t xml:space="preserve">多种转发模式，管理员对用户申请进行审批。实时监控各数据订阅状态，转发状态以及数据传输流量。支持用户在线申请事后数据，支持设置不同的采样频率，支持按卫星系统过滤，提供单个或批量下载观测值文件功能。</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SimSun" w:hAnsi="SimSun" w:eastAsia="SimSun" w:cs="SimSun"/>
                <w:color w:val="000000"/>
                <w:sz w:val="21"/>
              </w:rPr>
              <w:t xml:space="preserve">支持存储标准</w:t>
            </w:r>
            <w:r>
              <w:rPr>
                <w:rFonts w:ascii="Times New Roman" w:hAnsi="Times New Roman" w:eastAsia="Times New Roman" w:cs="Times New Roman"/>
                <w:color w:val="000000"/>
                <w:sz w:val="21"/>
              </w:rPr>
              <w:t xml:space="preserve">RINEX</w:t>
            </w:r>
            <w:r>
              <w:rPr>
                <w:rFonts w:ascii="SimSun" w:hAnsi="SimSun" w:eastAsia="SimSun" w:cs="SimSun"/>
                <w:color w:val="000000"/>
                <w:sz w:val="21"/>
              </w:rPr>
              <w:t xml:space="preserve">格式以及</w:t>
            </w: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文件事后数据格式转换及存储，支持事后数据下载功能。可分析单个观测文件的周跳比，信噪比，多路径等信息，生成质量分析报告。针对各基准站数据质量，支持生成年报，周报，日报，提供数据质量报告。支持查看各用户下载系统文件的相关信息。</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w:t>
            </w:r>
            <w:r>
              <w:rPr>
                <w:rFonts w:ascii="SimSun" w:hAnsi="SimSun" w:eastAsia="SimSun" w:cs="SimSun"/>
                <w:color w:val="000000"/>
                <w:sz w:val="21"/>
              </w:rPr>
              <w:t xml:space="preserve">支持根据基准站坐标，精确计算出格网的边界坐标。在已确定的边界范围内，支持按照一定的规则和算法生成格网结构。</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w:t>
            </w:r>
            <w:r>
              <w:rPr>
                <w:rFonts w:ascii="SimSun" w:hAnsi="SimSun" w:eastAsia="SimSun" w:cs="SimSun"/>
                <w:color w:val="000000"/>
                <w:sz w:val="21"/>
              </w:rPr>
              <w:t xml:space="preserve">支持对基准站进行组网配置和管理，包括子网的划分、子网参数配置等，确保子网的正常运行和与其他部分的有效协作。可选择卫星系统进行解算，支持网络</w:t>
            </w:r>
            <w:r>
              <w:rPr>
                <w:rFonts w:ascii="Times New Roman" w:hAnsi="Times New Roman" w:eastAsia="Times New Roman" w:cs="Times New Roman"/>
                <w:color w:val="000000"/>
                <w:sz w:val="21"/>
              </w:rPr>
              <w:t xml:space="preserve">RTK</w:t>
            </w:r>
            <w:r>
              <w:rPr>
                <w:rFonts w:ascii="SimSun" w:hAnsi="SimSun" w:eastAsia="SimSun" w:cs="SimSun"/>
                <w:color w:val="000000"/>
                <w:sz w:val="21"/>
              </w:rPr>
              <w:t xml:space="preserve">模式和单基站模式，支持配置格网点数据，可单个添加或批量导入格网点，图形化展示子网内格网点信息。</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▲L.</w:t>
            </w:r>
            <w:r>
              <w:rPr>
                <w:rFonts w:ascii="SimSun" w:hAnsi="SimSun" w:eastAsia="SimSun" w:cs="SimSun"/>
                <w:color w:val="000000"/>
                <w:sz w:val="21"/>
              </w:rPr>
              <w:t xml:space="preserve">具备全面监控子网的运行状况，包括子网内基准站的运行状态、卫星固定情况，数据解算情况、基线状态等，及时发现子网运行过程中的状态情况。用户可以在地图中查看对应的基站和基线解算状态，以及基站所跟踪的解算卫星情况和基线长度、构成基线的基站情况。支持查看基准站状态，监控基准站是否正常，以及基站的时延、跟踪卫星状态、多路径等情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rPr>
                <w:rFonts w:ascii="SimSun" w:hAnsi="SimSun" w:eastAsia="SimSun" w:cs="SimSun"/>
                <w:color w:val="000000"/>
                <w:sz w:val="21"/>
              </w:rPr>
              <w:t xml:space="preserve">支持提供绘制电离层延迟内插精度监测图，实时监测电离层的状态变化。</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N.</w:t>
            </w:r>
            <w:r>
              <w:rPr>
                <w:rFonts w:ascii="SimSun" w:hAnsi="SimSun" w:eastAsia="SimSun" w:cs="SimSun"/>
                <w:color w:val="000000"/>
                <w:sz w:val="21"/>
              </w:rPr>
              <w:t xml:space="preserve">支持提供绘制对流层延迟内插精度监测图，实时监测对流层的状态变化。</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O.</w:t>
            </w:r>
            <w:r>
              <w:rPr>
                <w:rFonts w:ascii="SimSun" w:hAnsi="SimSun" w:eastAsia="SimSun" w:cs="SimSun"/>
                <w:color w:val="000000"/>
                <w:sz w:val="21"/>
              </w:rPr>
              <w:t xml:space="preserve">支持对星历数据进行实时监控，确保星历数据的准确性和完整性。</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w:t>
            </w:r>
            <w:r>
              <w:rPr>
                <w:rFonts w:ascii="SimSun" w:hAnsi="SimSun" w:eastAsia="SimSun" w:cs="SimSun"/>
                <w:color w:val="000000"/>
                <w:sz w:val="21"/>
              </w:rPr>
              <w:t xml:space="preserve">支持对系统运行过程中出现的各种故障（包括基准站状态异常、基准站坐标异常、子网运行状态异常、服务器异常等）进行实时监测和分析，当检测到故障发生时，及时发出告警信息。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▲Q.</w:t>
            </w:r>
            <w:r>
              <w:rPr>
                <w:rFonts w:ascii="SimSun" w:hAnsi="SimSun" w:eastAsia="SimSun" w:cs="SimSun"/>
                <w:color w:val="000000"/>
                <w:sz w:val="21"/>
              </w:rPr>
              <w:t xml:space="preserve">具备监控服务器</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、内存、磁盘使用情况，并进行告警。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w:t>
            </w:r>
            <w:r>
              <w:rPr>
                <w:rFonts w:ascii="SimSun" w:hAnsi="SimSun" w:eastAsia="SimSun" w:cs="SimSun"/>
                <w:color w:val="000000"/>
                <w:sz w:val="21"/>
              </w:rPr>
              <w:t xml:space="preserve">数据处理时延：≤</w:t>
            </w:r>
            <w:r>
              <w:rPr>
                <w:rFonts w:ascii="Times New Roman" w:hAnsi="Times New Roman" w:eastAsia="Times New Roman" w:cs="Times New Roman"/>
                <w:color w:val="000000"/>
                <w:sz w:val="21"/>
              </w:rPr>
              <w:t xml:space="preserve">1.5s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支持当站点断开后，能自动重新构网；</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w:t>
            </w:r>
            <w:r>
              <w:rPr>
                <w:rFonts w:ascii="SimSun" w:hAnsi="SimSun" w:eastAsia="SimSun" w:cs="SimSun"/>
                <w:color w:val="000000"/>
                <w:sz w:val="21"/>
              </w:rPr>
              <w:t xml:space="preserve">系统初始化时间不超过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分钟；</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U.</w:t>
            </w:r>
            <w:r>
              <w:rPr>
                <w:rFonts w:ascii="SimSun" w:hAnsi="SimSun" w:eastAsia="SimSun" w:cs="SimSun"/>
                <w:color w:val="000000"/>
                <w:sz w:val="21"/>
              </w:rPr>
              <w:t xml:space="preserve">服务覆盖基准站构成图形及外推</w:t>
            </w:r>
            <w:r>
              <w:rPr>
                <w:rFonts w:ascii="Times New Roman" w:hAnsi="Times New Roman" w:eastAsia="Times New Roman" w:cs="Times New Roman"/>
                <w:color w:val="000000"/>
                <w:sz w:val="21"/>
              </w:rPr>
              <w:t xml:space="preserve">5km</w:t>
            </w:r>
            <w:r>
              <w:rPr>
                <w:rFonts w:ascii="SimSun" w:hAnsi="SimSun" w:eastAsia="SimSun" w:cs="SimSun"/>
                <w:color w:val="000000"/>
                <w:sz w:val="21"/>
              </w:rPr>
              <w:t xml:space="preserve">范围；</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V</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单节点格网改正数数量不低于</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签订合同时提供证明材料，如：白皮书、彩页、手册、网站截图等任选其一</w:t>
            </w:r>
            <w:r>
              <w:rPr>
                <w:rFonts w:ascii="Times New Roman" w:hAnsi="Times New Roman" w:eastAsia="Times New Roman" w:cs="Times New Roman"/>
                <w:color w:val="000000"/>
                <w:sz w:val="21"/>
              </w:rPr>
              <w:t xml:space="preserve">)</w:t>
            </w:r>
            <w:r/>
          </w:p>
        </w:tc>
      </w:tr>
      <w:tr>
        <w:trPr>
          <w:trHeight w:val="51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信创适配改造</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支持适配主流国产服务器；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支持适配麒麟、欧拉等国产操作系统；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支持适配达梦等国产数据库；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支持主流开发框架在信创环境下稳定运行。</w:t>
            </w:r>
            <w:r/>
          </w:p>
        </w:tc>
      </w:tr>
      <w:tr>
        <w:trPr>
          <w:trHeight w:val="51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密评改造</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支持对用户敏感信息在数据库采用国密算法进行加密存储；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支持平台注册用户认证信息采用国密算法进行加密处理后传输。</w:t>
            </w:r>
            <w:r/>
          </w:p>
        </w:tc>
      </w:tr>
      <w:tr>
        <w:trPr>
          <w:trHeight w:val="51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位置服务云化适配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监测可视化模块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对基准站情况进行展示，包括基准站运行状态、基准站数据质量，基准站数据文件状态。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对各服务器状态进行监控，包括</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，内存、存储情况。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用户服务状态的实时展示，包括对用户服务概况、用户使用位置、用户使用状态以及相关统计图表进行展示。</w:t>
            </w:r>
            <w:r/>
          </w:p>
        </w:tc>
      </w:tr>
      <w:tr>
        <w:trPr>
          <w:trHeight w:val="51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数据推送软件</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支持接收</w:t>
            </w:r>
            <w:r>
              <w:rPr>
                <w:rFonts w:ascii="Times New Roman" w:hAnsi="Times New Roman" w:eastAsia="Times New Roman" w:cs="Times New Roman"/>
                <w:color w:val="000000"/>
                <w:sz w:val="21"/>
              </w:rPr>
              <w:t xml:space="preserve">DBD</w:t>
            </w:r>
            <w:r>
              <w:rPr>
                <w:rFonts w:ascii="SimSun" w:hAnsi="SimSun" w:eastAsia="SimSun" w:cs="SimSun"/>
                <w:color w:val="000000"/>
                <w:sz w:val="21"/>
              </w:rPr>
              <w:t xml:space="preserve">高精度解算软件输出的格网差分数据；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支持配置目标地址、端口；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支持记录全流程日志。</w:t>
            </w:r>
            <w:r/>
          </w:p>
        </w:tc>
      </w:tr>
      <w:tr>
        <w:trPr>
          <w:trHeight w:val="51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播发和运维服务部署上云</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支持万级用户并发；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签订合同时提供证明材料，白皮书、彩页、手册、网站截图等任选其一</w:t>
            </w:r>
            <w:r>
              <w:rPr>
                <w:rFonts w:ascii="Times New Roman" w:hAnsi="Times New Roman" w:eastAsia="Times New Roman" w:cs="Times New Roma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B.</w:t>
            </w:r>
            <w:r>
              <w:rPr>
                <w:rFonts w:ascii="SimSun" w:hAnsi="SimSun" w:eastAsia="SimSun" w:cs="SimSun"/>
                <w:color w:val="000000"/>
                <w:sz w:val="21"/>
              </w:rPr>
              <w:t xml:space="preserve">具备负载均衡策略。</w:t>
            </w:r>
            <w:r/>
          </w:p>
        </w:tc>
      </w:tr>
      <w:tr>
        <w:trPr>
          <w:trHeight w:val="51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国产化软件采购</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套国产数据库采购</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数据库为国产化数据库，支持国产操作系统：麒麟、统信、中科方德等主流操作系统；支持国产芯片：鲲鹏、海光、飞腾、龙芯、申威、兆芯等主流芯片；支持国产应用服务器中间件：宝兰德、金蝶、东方通、中创等主流服务器中间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支持一主多备，支持同步备机和异步备机多种方式，支持主备集群，支持数据零丢失，即主库故障，备库自动切换为主库，且数据与原主库数据一致；支持通过守护进程将故障节点重新启动并自动加入集群，且历史数据自动同步。</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w:t>
      </w:r>
      <w:r>
        <w:rPr>
          <w:rFonts w:ascii="SimSun" w:hAnsi="SimSun" w:eastAsia="SimSun" w:cs="SimSun"/>
          <w:color w:val="000000"/>
          <w:sz w:val="24"/>
        </w:rPr>
        <w:t xml:space="preserve">（二）商务要求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（3）供应商报价除包含招标文件中列明的项目外还应包括保障服务正常运行应当具有的物资和服务，对服务正常运行应当具有的物资和服务理解不一致的以采购单位理解为准。</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旨在响应国家信创战略与车路云一体化发展需求，以确保北斗定位服务安全、自主、可控为核心目标，通过开展NJCORS系统的全面信创适配与密评改造、位置服务云化升级以及国产基础软件采购，构建一个从数据生成、安全传输到高并发播发的全链路自主可控技术体系。供应商须据此提供成熟、可行、完整的实施方案与服务，确保项目成功实施并达成既定目标。</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1）NJCORS系统服务国产化改造</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创适配改造：立足国家信创战略要求与车路云一体化建设对北斗定位服务安全合规的刚性需求，开展数据规约软件、内容审计软件、DBD国产化高精度解算软件、北斗数据播发软件及运维系统等系统信创适配改造及研发工作，提升系统自主可控水平，具体内容包括：一、完成操作系统国产化替换和迁移。将各系统运行环境全面切换至国产操作系统，实施信创适配改造与多场景兼容性验证工作，确保业务流程在新环境下无缝衔接、稳定运行。二、实现数据库国产化适配改造。推动全量系统数据向国产数据库迁移，同步重构数据交互接口以适配新数据库特性，保障数据存储的</w:t>
      </w:r>
      <w:r>
        <w:rPr>
          <w:rFonts w:ascii="SimSun" w:hAnsi="SimSun" w:eastAsia="SimSun" w:cs="SimSun"/>
          <w:color w:val="000000"/>
          <w:sz w:val="24"/>
        </w:rPr>
        <w:t xml:space="preserve">安全性、查询的高效性及业务交互的连续性。三、DBD国产化高精度解算软件研发，实现北斗卫星导航系统的自主可控。</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评改造：依据《中华人民共和国网络安全法》以及信息安全防护等要求，开展政务外网（互联网区）区域内北斗数据播发软件和运维系统等的密评专项改造工作：重点对用户信息（如终端标识、认证信息）、用户定位数据（如实时位置）等数据，采用国产加密算法加密存储，构建适配开放网络环境的密码防护机制，通过商用密码应用与安全性评估，与增强网内的物理隔离防护形成“分区施策、各司其职”的整体安全架构。</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2）位置服务云化改造</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增强网区域与互联网区域的分区架构，推进云服务接入改造及部署，实现北斗高精度定位服务的安全高效流转，具体内容包括：一、研制数据推送软件，对增强网内生成的格网差分改正数据进行安全封装并推送至政务外网（互联网区），构建数据安全链路，为北斗数据播发软件提供安全数据处理环境；二、研制监测可视化模块，对系统数据运行状态、传输进度、异常告警等指标可视化呈现；三、完成北斗数据播发软件和运维系统的迁移部署，实现增强网和政务外网（互联网区）间的跨域数据交互适配；四、提升云架构下大并发服务能力，通过云环境的标准化部署与冗余设</w:t>
      </w:r>
      <w:r>
        <w:rPr>
          <w:rFonts w:ascii="SimSun" w:hAnsi="SimSun" w:eastAsia="SimSun" w:cs="SimSun"/>
          <w:color w:val="000000"/>
          <w:sz w:val="24"/>
        </w:rPr>
        <w:t xml:space="preserve">计，保障北斗数据播发的高可用性与稳定性，形成“增强网区域‘产’数，政务网区域‘发’数，终端‘用’数”的安全高效数据链路。</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3）国产化软件采购</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软件采购：为支撑信创适配改造工作的落地实施，确保系统在国产化环境中稳定运行，需配套采购3套国产数据库。国产数据库为系统数据存储、交互提供安全可靠的管理平台，满足数据处理的国产化合规要求，构建全链路自主可控的技术体系。</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②软件安装、调试达到技术规范书规定的指标后，可进行初步验收测试。验收规范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（4）维保要求</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①供应商须直接提供软硬件维保，维保期自终验合格签字确认之日起算，不少于2年。</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②供应商收到问题通知后应在2小时内响应，4小时内远程解决，无法远程解决的8小时内到达项目现场对相关问题进行排除，全部费用应由供应商承担。</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（5）人员要求</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①项目负责人：1人，负责整个项目的统筹管理、整体推进与交付质量，承担项目全过程得组织协调、风险管控及决策工作。</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②技术负责人：1人，负责整个项目的技术路线规划、架构设计，统筹本项目技术实施工作。</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除项目负责人、技术负责人外，项目团队成员不少于</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人，具有大地测量、测绘工程、地理信息等相关工作经验，负责项目具体实施工作。</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（6）知识产权及保密要求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①采购人拥有本系统包括永久使用权和修改权在内的一切权利；拥有本系统产生的所有数据的所有权。供应商应当在验收后10日内，将本项目产生的运维系统和数据推送软件源代码交付采购人。</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③供应商须按照与采购人签订的《信息安全保密承诺书》的约定严格履行各项保密义务。</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④采购人与供应商都拥有本项目定制开发部分的知识产权。交付项应包括但不限于如下内容：</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满足采购人需求的、完整的、可最终良好运行的系统。</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系统运行、管理、维护相关的各项技术文件和管理规范。应包括：系统实施计划、系统需求调研报告、系统上线测试报告、试运行报告、验收报告、系统操作手册等技术及项目管理文档。</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提供项目的最终版本部署包及产品永久授权。</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（7）建设成果要求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供应商在项目建设的各个阶段及时提交建设成果，主要包括但不限于以下内容：</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①项目启动阶段：项目实施方案。 </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②业务需求分析阶段：需求调研方案、需求分析说明书。</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③系统设计、开发阶段：需求规格说明书、概要设计说明书、详细设计说明书、数据库设计说明书、系统接口说明书。 </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④系统实施阶段：系统上线部署方案、软件安装说明书、软件使用说明书、系统安装光盘、系统培训方案、系统培训手册。 </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⑤项目验收阶段：测试报告、项目验收方案、系统运行报告、项目验收报告。 </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⑥运行维护阶段：系统维护方案、系统维护手册、系统运行维护记录。</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（8）信创适配要求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项目涉及的软件、硬件产品满足信创要求。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（9）网络安全等级保护测评要求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供应商配合采购人，做好系统通过等保测评相关准备工作。</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以合同文本内容为准。</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4.交付时间及地点</w:t>
      </w:r>
      <w:r/>
    </w:p>
    <w:p>
      <w:pPr>
        <w:ind w:left="0" w:right="0" w:firstLine="482"/>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（1）交付时间：合同签订后240天内完成系统开发，2026年12月31日前完成项目整体交付工作。</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（2）交付地点：采购人指定地点。</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以合同文本内容为准。</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left="0" w:right="0" w:firstLine="48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技术”、“3.服务”得分由高到低顺序排列。在投标文件满足招标文件全部实质性要求的供应商中，按照评审得分由高到低选取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4.当采购项目或者采购包中含有多种产品，供应商为该采购项目或者采购包提供的符合本国产品标准的产品成本之和占该供应商提供的全部产品成本之和的比例达到80%以上时（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4"/>
        </w:rPr>
        <w:t xml:space="preserve">供应商需在《声明函》中填写比例数值</w:t>
      </w:r>
      <w:r>
        <w:rPr>
          <w:rFonts w:ascii="SimSun" w:hAnsi="SimSun" w:eastAsia="SimSun" w:cs="SimSun"/>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1.本项目服务全部由小微企业承接的，对报价给予15%的扣除，用扣除后的价格参与评审。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四、评标标准</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6"/>
        <w:gridCol w:w="6151"/>
        <w:gridCol w:w="630"/>
        <w:gridCol w:w="875"/>
      </w:tblGrid>
      <w:tr>
        <w:trPr>
          <w:trHeight w:val="47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1"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产品技术参数全部满足招标要求的得满分，打▲指标为重要指标，有1项负偏离扣0.5分，其余指标有1项负偏离扣0.2分，扣完为止。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需求理解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评委根据投标人提供的需求理解材料（对项目背景、建设目标、业务需求、必要性分析4个方面）进行综合评分，每方面满分2分，累计得分即为本项总分：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项目背景能紧密结合车路云及CORS等政策文件，对NJCORS系统现状及存在的问题描述清晰；建设目标能深刻理解国产化改造、位置服务云化改造的核心目标与意义；业务需求能从NJCORS系统服务国产化改造、位置服务云化适配及国产化软件采购等多维度深入论证；必要性分析从用户需求及应用场景等角度，紧贴采购实际，针对性强；4个方面分别评审，满足以上要求，每方面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项目背景结合NJCORS系统，理解较为全面；建设目标能够完整复述采购需求；业务需求的描述能够覆盖主要采购内容；必要性分析从多个维度展开，但论证内容较为笼统、不够深入；4个方面分别评审，满足以上要求，每方面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项目背景理解基本完整但未作深入挖掘；建设目标有提及但采购需求有所遗漏；对业务需求的描述较为简单；进行了必要性分析，但分析内容较为基础；</w:t>
            </w:r>
            <w:r>
              <w:rPr>
                <w:rFonts w:ascii="SimSun" w:hAnsi="SimSun" w:eastAsia="SimSun" w:cs="SimSun"/>
                <w:color w:val="000000"/>
                <w:sz w:val="21"/>
                <w:u w:val="none"/>
              </w:rPr>
              <w:t xml:space="preserve">4个方面分别评审，满足以上要求，每方面</w:t>
            </w:r>
            <w:r>
              <w:rPr>
                <w:rFonts w:ascii="SimSun" w:hAnsi="SimSun" w:eastAsia="SimSun" w:cs="SimSun"/>
                <w:color w:val="000000"/>
                <w:sz w:val="21"/>
              </w:rPr>
              <w:t xml:space="preserve">得0.5分；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未提供或内容完全不符合采购需求的不得分。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评委根据投标人提供的项目总体技术方案（对技术路线、总体架构设计、功能设计、关键技术4个方面）进行综合评分，每方面满分2分，累计得分即为本项总分：</w:t>
              <w:br/>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技术路线成熟先进、符合信创政策导向和国产化改造要求；架构设计清晰完整，提供架构图且层次分明；功能设计全面覆盖NJCORS系统服务能力提升的各项要求，内容详细具体；关键技术识别准确并提供具体实现方案，设计思路科学前瞻、技术先进可行、紧贴采购需求；4个方面分别评审，满足以上要求，每方面得2分；</w:t>
              <w:br/>
            </w:r>
            <w:r>
              <w:rPr>
                <w:rFonts w:ascii="Cambria Math" w:hAnsi="Cambria Math" w:eastAsia="Cambria Math" w:cs="Cambria Math"/>
                <w:color w:val="000000"/>
                <w:sz w:val="21"/>
              </w:rPr>
              <w:t xml:space="preserve">②</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技术路线明确合理，符合项目基本要求；总体架构设计基本清晰，提供架构图但细节略有不足；功能设计覆盖主要功能点，但描述较为简略；关键技术识别准确但解决方案较笼统，内容能够满足采购需求；4个方面分别评审，满足以上要求，每方面得1分；</w:t>
              <w:br/>
            </w:r>
            <w:r>
              <w:rPr>
                <w:rFonts w:ascii="Cambria Math" w:hAnsi="Cambria Math" w:eastAsia="Cambria Math" w:cs="Cambria Math"/>
                <w:color w:val="000000"/>
                <w:sz w:val="21"/>
              </w:rPr>
              <w:t xml:space="preserve">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技术路线描述基本合理，但导向性或先进性不足；架构设计存在少量不清晰之处，架构图欠完整；功能设计有部分功能点遗漏或设计过于简单；关键技术识别或解决方案有欠缺，内容基本满足采购需求；4个方面分别评审，满足以上要求，每方面得0.5分；</w:t>
              <w:br/>
            </w:r>
            <w:r>
              <w:rPr>
                <w:rFonts w:ascii="Arial" w:hAnsi="Arial" w:eastAsia="Arial" w:cs="Arial"/>
                <w:color w:val="000000"/>
                <w:sz w:val="21"/>
              </w:rPr>
              <w:t xml:space="preserve">④</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未提供或内容完全不符合采购需求的不得分。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评委根据投标人提供的项目实施方案（对项目组织管理、实施进度安排、进度保障措施、风险控制管理4个方面）进行综合评分，每方面满分2分，累计得分即为本项总分：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项目组织管理中组织机构健全、职责分工明确、管理流程规范，能够高效协调项目资源；进度计划安排提供详细的进度计划，节点与采购需求严格对应；进度保障措施能够针对关键节点有具体保障措施；风险控制管理能够全面识别各类风险并制定应对措施，内容可行性强、紧贴采购需求；4个方面分别评审，满足以上要求，每方面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项目组织管理有明确的组织架构和职责划分，管理流程基本合理，能够支持项目实施；进度计划安排提供进度计划，但部分节点对应不清；进度保障措施有相应保障措施但较笼统；风险控制管理识别了主要风险但应对措施简单，内容可行性较强、能够满足采购需求；4个方面分别评审，满足以上要求，每方面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项目组织管理较为简单、职责分工不够清晰；进度安排简单，未充分体现关键节点对应；进度保障措施有提及但缺乏细节；风险控制有风险识别但应对措施不具体；4个方面分别评审，满足以上要求，每方面得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未提供或内容完全不符合采购需求的不得分。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重难点解决方案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评委根据投标人提供的重难点解决方案（重难点识别、重难点分析及对策措施3个方面）进行综合评分，每方面满分2分，累计得分即为本项总分: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重难点识别准确、全面，能够紧密结合NJCORS系统升级实际，精准把握关键核心技术难点；重难点分析深刻透彻，结合项目背景、现状及技术发展趋势进行深入剖析；对策措施具体可行，针对各项重难点均提出明确的解决路径或技术方案，充分展现专业能力；3个方面分别评审，满足以上要求，每方面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重难点识别较准确，与项目实际相关，能够覆盖主要技术难点；重难点分析基本清晰，能说明主要难点所在；相应对策措施基本合理可行，能够满足采购需求；3个方面分别评审，满足以上要求，每方面得1分；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重难点识别基本合理，但与项目实际结合不够紧密，或对难点的把握不够精准；重难点分析较为简单，深度不足；相应对策措施有一定合理性，但可操作性一般，基本满足采购需求；</w:t>
            </w:r>
            <w:r>
              <w:rPr>
                <w:rFonts w:ascii="SimSun" w:hAnsi="SimSun" w:eastAsia="SimSun" w:cs="SimSun"/>
                <w:color w:val="000000"/>
                <w:sz w:val="21"/>
                <w:u w:val="none"/>
              </w:rPr>
              <w:t xml:space="preserve">3个方面分别评审，满足以上要求，每方面</w:t>
            </w:r>
            <w:r>
              <w:rPr>
                <w:rFonts w:ascii="SimSun" w:hAnsi="SimSun" w:eastAsia="SimSun" w:cs="SimSun"/>
                <w:color w:val="000000"/>
                <w:sz w:val="21"/>
              </w:rPr>
              <w:t xml:space="preserve">得0.5分；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w:t>
            </w:r>
            <w:r>
              <w:rPr>
                <w:rFonts w:ascii="SimSun" w:hAnsi="SimSun" w:eastAsia="SimSun" w:cs="SimSun"/>
                <w:color w:val="000000"/>
                <w:sz w:val="21"/>
                <w:u w:val="none"/>
              </w:rPr>
              <w:t xml:space="preserve">未提供</w:t>
            </w:r>
            <w:r>
              <w:rPr>
                <w:rFonts w:ascii="SimSun" w:hAnsi="SimSun" w:eastAsia="SimSun" w:cs="SimSun"/>
                <w:color w:val="000000"/>
                <w:sz w:val="21"/>
              </w:rPr>
              <w:t xml:space="preserve">或内容完全不符合采购需求的不得分。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1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评委根据投标人提供的维保服务方案（对服务目标、服务内容、服务保障措施、服务流程4个方面）进行综合评分，每方面满分2分，累计得分即为本项总分：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w:t>
            </w:r>
            <w:r>
              <w:rPr>
                <w:rFonts w:ascii="SimSun" w:hAnsi="SimSun" w:eastAsia="SimSun" w:cs="SimSun"/>
                <w:color w:val="0f1115"/>
                <w:sz w:val="21"/>
                <w:highlight w:val="white"/>
              </w:rPr>
              <w:t xml:space="preserve">服务目标明确且覆盖升级后</w:t>
            </w:r>
            <w:r>
              <w:rPr>
                <w:rFonts w:ascii="Segoe UI" w:hAnsi="Segoe UI" w:eastAsia="Segoe UI" w:cs="Segoe UI"/>
                <w:color w:val="0f1115"/>
                <w:sz w:val="21"/>
                <w:highlight w:val="white"/>
              </w:rPr>
              <w:t xml:space="preserve">NJCORS</w:t>
            </w:r>
            <w:r>
              <w:rPr>
                <w:rFonts w:ascii="SimSun" w:hAnsi="SimSun" w:eastAsia="SimSun" w:cs="SimSun"/>
                <w:color w:val="0f1115"/>
                <w:sz w:val="21"/>
                <w:highlight w:val="white"/>
              </w:rPr>
              <w:t xml:space="preserve">系统的核心需求</w:t>
            </w:r>
            <w:r>
              <w:rPr>
                <w:rFonts w:ascii="SimSun" w:hAnsi="SimSun" w:eastAsia="SimSun" w:cs="SimSun"/>
                <w:color w:val="000000"/>
                <w:sz w:val="21"/>
              </w:rPr>
              <w:t xml:space="preserve">；服务内容全面，涵盖所有必要的维护项目；服务保障措施详实，提供清晰的人员、资源及技术保障内容；服务流程闭环且响应时限明确，内容完整合理、操作性强、紧贴采购需求；</w:t>
            </w:r>
            <w:r>
              <w:rPr>
                <w:rFonts w:ascii="SimSun" w:hAnsi="SimSun" w:eastAsia="SimSun" w:cs="SimSun"/>
                <w:color w:val="000000"/>
                <w:sz w:val="21"/>
                <w:u w:val="none"/>
              </w:rPr>
              <w:t xml:space="preserve">4个方面分别评审，满足以上要求，每方面</w:t>
            </w:r>
            <w:r>
              <w:rPr>
                <w:rFonts w:ascii="SimSun" w:hAnsi="SimSun" w:eastAsia="SimSun" w:cs="SimSun"/>
                <w:color w:val="000000"/>
                <w:sz w:val="21"/>
              </w:rPr>
              <w:t xml:space="preserve">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服务目标清晰，基本围绕需求展开；服务内容覆盖主要工作，但个别细节不够完整；服务保障措施有提及，但缺乏具体保障资源安排；服务流程基本清晰但时限模糊，内容较完整、有可操作性；4个方面分别评审，满足以上要求，每方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服务目标笼统，缺乏具体指向性；服务内容有少量遗漏，未能全面覆盖运维需求；服务保障措施简单，缺乏可执行的细节；服务流程不够清晰，响应机制不明确，内容基本可行但不够完善；</w:t>
            </w:r>
            <w:r>
              <w:rPr>
                <w:rFonts w:ascii="SimSun" w:hAnsi="SimSun" w:eastAsia="SimSun" w:cs="SimSun"/>
                <w:color w:val="000000"/>
                <w:sz w:val="21"/>
                <w:u w:val="none"/>
              </w:rPr>
              <w:t xml:space="preserve">4个方面分别评审，满足以上要求，每方面</w:t>
            </w:r>
            <w:r>
              <w:rPr>
                <w:rFonts w:ascii="SimSun" w:hAnsi="SimSun" w:eastAsia="SimSun" w:cs="SimSun"/>
                <w:color w:val="000000"/>
                <w:sz w:val="21"/>
              </w:rPr>
              <w:t xml:space="preserve">得0.5分；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未提供或内容完全不符合采购需求的不得分。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评委根据投标人提供的项目培训方案（对培训计划、培训内容、师资力量、培训方式</w:t>
            </w:r>
            <w:r>
              <w:rPr>
                <w:rFonts w:ascii="SimSun" w:hAnsi="SimSun" w:eastAsia="SimSun" w:cs="SimSun"/>
                <w:color w:val="000000"/>
                <w:sz w:val="21"/>
              </w:rPr>
              <w:t xml:space="preserve">4个方面）进行综合评分，每方面满分2分，累计得分即为本项总分：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培训计划细化到不同角色，分层清晰；培训内容系统深入，覆盖面广；师资力量明确，履历丰富；培训方式多样且应用合理，方案完整详细、针对性强；</w:t>
            </w:r>
            <w:r>
              <w:rPr>
                <w:rFonts w:ascii="SimSun" w:hAnsi="SimSun" w:eastAsia="SimSun" w:cs="SimSun"/>
                <w:color w:val="000000"/>
                <w:sz w:val="21"/>
                <w:u w:val="none"/>
              </w:rPr>
              <w:t xml:space="preserve">4个方面分别评审，满足以上要求，每方面</w:t>
            </w:r>
            <w:r>
              <w:rPr>
                <w:rFonts w:ascii="SimSun" w:hAnsi="SimSun" w:eastAsia="SimSun" w:cs="SimSun"/>
                <w:color w:val="000000"/>
                <w:sz w:val="21"/>
              </w:rPr>
              <w:t xml:space="preserve">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培训计划有角色区分但不够详细；培训内容覆盖基础操作但深度不足；师资信息基本提供但履历简略；培训方式多样但说明不足，方案较完整、针对性较强</w:t>
            </w:r>
            <w:r>
              <w:rPr>
                <w:rFonts w:ascii="SimSun" w:hAnsi="SimSun" w:eastAsia="SimSun" w:cs="SimSun"/>
                <w:color w:val="000000"/>
                <w:sz w:val="21"/>
                <w:u w:val="none"/>
              </w:rPr>
              <w:t xml:space="preserve">；4个方面分别评审，满足以上要求，每方面</w:t>
            </w:r>
            <w:r>
              <w:rPr>
                <w:rFonts w:ascii="SimSun" w:hAnsi="SimSun" w:eastAsia="SimSun" w:cs="SimSun"/>
                <w:color w:val="000000"/>
                <w:sz w:val="21"/>
              </w:rPr>
              <w:t xml:space="preserve">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培训计划简单；培训内容有遗漏；师资信息不完整；培训方式单一，方案基本可行但针对性一般；4个方面分别评审，满足以上要求，每方面得0.5分；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④未提供培训方案的不得分。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2023年1月1日（含）以来类似项目业绩（至少包含卫星导航定位技术或连续运行基准站系统（CORS）或RTK技术服务），每提供1个得3分，最多得9分。（时间以合同签订时间为准，提供有效合同，合同页须清晰可见相应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）项目负责人能力：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具有测绘类专业正高级（或教授）职称证书，得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分，具有测绘类专业高级（或副教授）职称证书，得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）技术负责人能力：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具有测绘类专业高级（或副教授）及以上职称证书，得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分，具有测绘类专业中级职称证书，得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（提供上述人员职称证书以及投标人为其缴纳的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月以来任意一个月的社保证明材料，缺一不可）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项目实施团队能力（不含项目负责人和技术负责人）：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团队中每有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人具有测绘类专业高级（或副教授）及以上职称证书，得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人具有测绘类专业中级职称证书，得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（1人多证不重复得分，提供上述人员证书以及投标人为其缴纳的2025年9月以来任意一个月的社保证明材料，缺一不可）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投标人具有本项目相关的软件著作权证书，包括“高精度位置服务、连续运行基准站系统（CORS）、RTK、运维服务”等，每提供1个证书得2分。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（所提供证书“软件名称”与评分细则规定不同时，应提供符合上述要求的内容（功能）说明及关键信息，否则不予认可。）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96"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十二、分包承诺书（如有）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南京市公共资源交易中心：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致：南京市公共资源交易中心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1666"/>
        <w:gridCol w:w="1366"/>
        <w:gridCol w:w="787"/>
        <w:gridCol w:w="787"/>
        <w:gridCol w:w="1300"/>
        <w:gridCol w:w="1541"/>
      </w:tblGrid>
      <w:tr>
        <w:trPr>
          <w:trHeight w:val="4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3.供应商所报产品须与“第四章-项目清单”中的产品一一对应，如有缺项、漏项或者超出单价上限的，视为无效投标。“项目清单”中分项仅为一项的，此表无需提供。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2771"/>
        <w:gridCol w:w="2683"/>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2685"/>
        <w:gridCol w:w="2680"/>
        <w:gridCol w:w="31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十二、分包承诺书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分包承诺书</w:t>
      </w:r>
      <w:r/>
    </w:p>
    <w:p>
      <w:pPr>
        <w:ind w:left="0" w:right="0" w:firstLine="264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如我公司中标（成交）</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（项目名称）项目，拟将项目中的</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建设内容，分包给具有相应资质的供应商实施，并在签订合同时提供分包意向协议。</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white"/>
        </w:rPr>
        <w:t xml:space="preserve">（如有，可上传至“电子投标文件格式-企业报价折扣证明”）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strike/>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strike/>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strike/>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strike/>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strike/>
          <w:color w:val="000000"/>
          <w:sz w:val="24"/>
          <w:highlight w:val="white"/>
        </w:rPr>
        <w:t xml:space="preserve">在中国境内生产。</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strike/>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本采购包中提供的符合本国产品标准的产品成本之和占该采购包提供的全部产品成本之和的比例为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i/>
          <w:color w:val="000000"/>
          <w:sz w:val="20"/>
          <w:vertAlign w:val="superscript"/>
        </w:rPr>
        <w:t xml:space="preserve">6</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SimSun">
    <w:panose1 w:val="02010600030101010101"/>
  </w:font>
  <w:font w:name="Segoe UI Symbol">
    <w:panose1 w:val="020B0502040204020203"/>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３５</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9"/>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92"/>
    <w:qFormat/>
    <w:pPr>
      <w:jc w:val="center"/>
      <w:keepNext/>
      <w:outlineLvl w:val="0"/>
    </w:pPr>
    <w:rPr>
      <w:rFonts w:ascii="楷体_GB2312" w:eastAsia="楷体_GB2312"/>
      <w:sz w:val="28"/>
      <w:szCs w:val="28"/>
    </w:rPr>
  </w:style>
  <w:style w:type="paragraph" w:styleId="877">
    <w:name w:val="标题 2"/>
    <w:basedOn w:val="875"/>
    <w:next w:val="894"/>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4"/>
    <w:link w:val="896"/>
    <w:qFormat/>
    <w:pPr>
      <w:keepLines/>
      <w:keepNext/>
      <w:spacing w:before="260" w:after="260" w:line="416" w:lineRule="auto"/>
      <w:outlineLvl w:val="2"/>
    </w:pPr>
    <w:rPr>
      <w:b/>
      <w:bCs/>
      <w:sz w:val="32"/>
      <w:szCs w:val="32"/>
    </w:rPr>
  </w:style>
  <w:style w:type="paragraph" w:styleId="879">
    <w:name w:val="标题 4"/>
    <w:basedOn w:val="875"/>
    <w:next w:val="894"/>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4"/>
    <w:link w:val="898"/>
    <w:qFormat/>
    <w:pPr>
      <w:keepNext/>
      <w:outlineLvl w:val="4"/>
    </w:pPr>
    <w:rPr>
      <w:rFonts w:ascii="宋体"/>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首行缩进 2"/>
    <w:basedOn w:val="888"/>
    <w:next w:val="875"/>
    <w:link w:val="891"/>
    <w:pPr>
      <w:ind w:firstLine="420"/>
      <w:spacing w:line="360" w:lineRule="auto"/>
    </w:pPr>
    <w:rPr>
      <w:rFonts w:ascii="宋体" w:hAnsi="宋体" w:eastAsia="宋体"/>
      <w:sz w:val="21"/>
      <w:szCs w:val="20"/>
    </w:rPr>
  </w:style>
  <w:style w:type="paragraph" w:styleId="888">
    <w:name w:val="正文文本缩进"/>
    <w:basedOn w:val="875"/>
    <w:next w:val="890"/>
    <w:link w:val="889"/>
    <w:pPr>
      <w:ind w:firstLine="645"/>
    </w:pPr>
    <w:rPr>
      <w:rFonts w:ascii="楷体_GB2312" w:eastAsia="楷体_GB2312"/>
      <w:sz w:val="32"/>
      <w:szCs w:val="32"/>
    </w:rPr>
  </w:style>
  <w:style w:type="character" w:styleId="889">
    <w:name w:val="正文文本缩进 Char"/>
    <w:next w:val="889"/>
    <w:link w:val="888"/>
    <w:rPr>
      <w:rFonts w:ascii="楷体_GB2312" w:hAnsi="Times New Roman" w:eastAsia="楷体_GB2312" w:cs="Times New Roman"/>
      <w:sz w:val="32"/>
      <w:szCs w:val="32"/>
    </w:rPr>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 w:val="32"/>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paragraph" w:styleId="894">
    <w:name w:val="正文缩进"/>
    <w:basedOn w:val="875"/>
    <w:next w:val="894"/>
    <w:link w:val="895"/>
    <w:pPr>
      <w:ind w:firstLine="420"/>
    </w:pPr>
  </w:style>
  <w:style w:type="character" w:styleId="895">
    <w:name w:val="正文缩进 Char"/>
    <w:next w:val="895"/>
    <w:link w:val="894"/>
    <w:rPr>
      <w:rFonts w:ascii="Times New Roman" w:hAnsi="Times New Roman" w:eastAsia="宋体" w:cs="Times New Roman"/>
      <w:szCs w:val="21"/>
    </w:rPr>
  </w:style>
  <w:style w:type="character" w:styleId="896">
    <w:name w:val="标题 3 Char"/>
    <w:next w:val="896"/>
    <w:link w:val="878"/>
    <w:rPr>
      <w:rFonts w:ascii="Times New Roman" w:hAnsi="Times New Roman" w:eastAsia="宋体" w:cs="Times New Roman"/>
      <w:b/>
      <w:bCs/>
      <w:sz w:val="32"/>
      <w:szCs w:val="32"/>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style>
  <w:style w:type="paragraph" w:styleId="904">
    <w:name w:val="目录 7"/>
    <w:basedOn w:val="875"/>
    <w:next w:val="875"/>
    <w:link w:val="875"/>
    <w:semiHidden/>
    <w:pPr>
      <w:ind w:left="1260"/>
      <w:jc w:val="left"/>
    </w:pPr>
  </w:style>
  <w:style w:type="paragraph" w:styleId="905">
    <w:name w:val="文档结构图"/>
    <w:basedOn w:val="875"/>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semiHidden/>
    <w:pPr>
      <w:jc w:val="left"/>
    </w:p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5"/>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style>
  <w:style w:type="paragraph" w:styleId="914">
    <w:name w:val="目录 5"/>
    <w:basedOn w:val="875"/>
    <w:next w:val="875"/>
    <w:link w:val="875"/>
    <w:semiHidden/>
    <w:pPr>
      <w:ind w:left="840"/>
      <w:jc w:val="left"/>
    </w:pPr>
  </w:style>
  <w:style w:type="paragraph" w:styleId="915">
    <w:name w:val="目录 3"/>
    <w:basedOn w:val="875"/>
    <w:next w:val="875"/>
    <w:link w:val="875"/>
    <w:semiHidden/>
    <w:pPr>
      <w:ind w:left="420"/>
      <w:jc w:val="left"/>
    </w:pPr>
    <w:rPr>
      <w:i/>
      <w:iCs/>
      <w:szCs w:val="24"/>
    </w:rPr>
  </w:style>
  <w:style w:type="paragraph" w:styleId="916">
    <w:name w:val="纯文本"/>
    <w:basedOn w:val="875"/>
    <w:next w:val="916"/>
    <w:link w:val="917"/>
    <w:rPr>
      <w:rFonts w:ascii="宋体" w:hAnsi="Courier New" w:cs="Courier New"/>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style>
  <w:style w:type="paragraph" w:styleId="919">
    <w:name w:val="日期"/>
    <w:basedOn w:val="875"/>
    <w:next w:val="875"/>
    <w:link w:val="920"/>
    <w:rPr>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5"/>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5"/>
    <w:next w:val="875"/>
    <w:link w:val="875"/>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5"/>
    <w:next w:val="875"/>
    <w:link w:val="875"/>
    <w:semiHidden/>
    <w:pPr>
      <w:ind w:left="630"/>
      <w:jc w:val="left"/>
    </w:pPr>
  </w:style>
  <w:style w:type="paragraph" w:styleId="931">
    <w:name w:val="列表"/>
    <w:basedOn w:val="875"/>
    <w:next w:val="931"/>
    <w:link w:val="875"/>
    <w:pPr>
      <w:ind w:left="200" w:hanging="200"/>
    </w:pPr>
  </w:style>
  <w:style w:type="paragraph" w:styleId="932">
    <w:name w:val="目录 6"/>
    <w:basedOn w:val="875"/>
    <w:next w:val="875"/>
    <w:link w:val="875"/>
    <w:semiHidden/>
    <w:pPr>
      <w:ind w:left="1050"/>
      <w:jc w:val="left"/>
    </w:pPr>
  </w:style>
  <w:style w:type="paragraph" w:styleId="933">
    <w:name w:val="正文文本缩进 3"/>
    <w:basedOn w:val="875"/>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5"/>
    <w:next w:val="875"/>
    <w:link w:val="875"/>
    <w:semiHidden/>
    <w:pPr>
      <w:ind w:left="840" w:hanging="420"/>
    </w:pPr>
  </w:style>
  <w:style w:type="paragraph" w:styleId="936">
    <w:name w:val="目录 2"/>
    <w:basedOn w:val="875"/>
    <w:next w:val="875"/>
    <w:link w:val="875"/>
    <w:semiHidden/>
    <w:pPr>
      <w:ind w:left="210"/>
      <w:jc w:val="left"/>
    </w:pPr>
    <w:rPr>
      <w:smallCaps/>
      <w:szCs w:val="24"/>
    </w:rPr>
  </w:style>
  <w:style w:type="paragraph" w:styleId="937">
    <w:name w:val="目录 9"/>
    <w:basedOn w:val="875"/>
    <w:next w:val="875"/>
    <w:link w:val="875"/>
    <w:semiHidden/>
    <w:pPr>
      <w:ind w:left="1680"/>
      <w:jc w:val="left"/>
    </w:pPr>
  </w:style>
  <w:style w:type="paragraph" w:styleId="938">
    <w:name w:val="正文文本 2"/>
    <w:basedOn w:val="875"/>
    <w:next w:val="938"/>
    <w:link w:val="939"/>
    <w:pPr>
      <w:jc w:val="center"/>
      <w:widowControl/>
    </w:pPr>
    <w:rPr>
      <w:rFonts w:ascii="楷体_GB2312" w:eastAsia="楷体_GB2312"/>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5"/>
    <w:next w:val="940"/>
    <w:link w:val="875"/>
    <w:uiPriority w:val="99"/>
    <w:pPr>
      <w:jc w:val="left"/>
      <w:spacing w:before="100" w:beforeAutospacing="1" w:after="100" w:afterAutospacing="1"/>
      <w:widowControl/>
    </w:pPr>
    <w:rPr>
      <w:rFonts w:ascii="宋体" w:hAnsi="宋体" w:cs="宋体"/>
      <w:sz w:val="24"/>
      <w:szCs w:val="24"/>
    </w:rPr>
  </w:style>
  <w:style w:type="paragraph" w:styleId="941">
    <w:name w:val="索引 1"/>
    <w:basedOn w:val="875"/>
    <w:next w:val="875"/>
    <w:link w:val="875"/>
    <w:semiHidden/>
    <w:pPr>
      <w:spacing w:line="240" w:lineRule="atLeast"/>
    </w:pPr>
    <w:rPr>
      <w:b/>
      <w:bCs/>
    </w:rPr>
  </w:style>
  <w:style w:type="paragraph" w:styleId="942">
    <w:name w:val="批注主题"/>
    <w:basedOn w:val="907"/>
    <w:next w:val="907"/>
    <w:link w:val="943"/>
    <w:semiHidden/>
    <w:rPr>
      <w:b/>
      <w:bCs/>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5"/>
    <w:next w:val="944"/>
    <w:link w:val="945"/>
    <w:pPr>
      <w:ind w:firstLine="200"/>
      <w:spacing w:line="360" w:lineRule="auto"/>
    </w:pPr>
    <w:rPr>
      <w:rFonts w:ascii="仿宋_GB2312" w:eastAsia="仿宋_GB2312"/>
      <w:sz w:val="30"/>
      <w:szCs w:val="30"/>
    </w:rPr>
  </w:style>
  <w:style w:type="character" w:styleId="945">
    <w:name w:val="正文首行缩进 Char"/>
    <w:next w:val="945"/>
    <w:link w:val="944"/>
    <w:rPr>
      <w:rFonts w:ascii="仿宋_GB2312" w:hAnsi="Times New Roman" w:eastAsia="仿宋_GB2312" w:cs="Times New Roman"/>
      <w:sz w:val="30"/>
      <w:szCs w:val="3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paragraph" w:styleId="953">
    <w:name w:val="索引 41"/>
    <w:basedOn w:val="875"/>
    <w:next w:val="875"/>
    <w:link w:val="875"/>
    <w:semiHidden/>
    <w:qFormat/>
    <w:pPr>
      <w:ind w:left="1260"/>
    </w:pPr>
    <w:rPr>
      <w:rFonts w:ascii="Calibri" w:hAnsi="Calibri" w:eastAsia="Calibri" w:cs="宋体"/>
      <w:sz w:val="20"/>
      <w:lang w:val="zh-CN"/>
    </w:rPr>
  </w:style>
  <w:style w:type="paragraph" w:styleId="954">
    <w:name w:val="正文首行缩进 21"/>
    <w:basedOn w:val="955"/>
    <w:next w:val="875"/>
    <w:link w:val="875"/>
    <w:qFormat/>
    <w:pPr>
      <w:ind w:firstLine="420"/>
      <w:spacing w:line="360" w:lineRule="auto"/>
    </w:pPr>
    <w:rPr>
      <w:rFonts w:ascii="宋体" w:hAnsi="宋体" w:eastAsia="宋体"/>
      <w:sz w:val="21"/>
      <w:szCs w:val="20"/>
    </w:rPr>
  </w:style>
  <w:style w:type="paragraph" w:styleId="955">
    <w:name w:val="正文文本缩进11"/>
    <w:basedOn w:val="875"/>
    <w:next w:val="956"/>
    <w:link w:val="875"/>
    <w:qFormat/>
    <w:pPr>
      <w:ind w:firstLine="645"/>
    </w:pPr>
    <w:rPr>
      <w:rFonts w:ascii="楷体_GB2312" w:eastAsia="楷体_GB2312"/>
      <w:sz w:val="32"/>
      <w:szCs w:val="32"/>
    </w:rPr>
  </w:style>
  <w:style w:type="paragraph" w:styleId="956">
    <w:name w:val="寄信人地址1"/>
    <w:basedOn w:val="875"/>
    <w:next w:val="956"/>
    <w:link w:val="875"/>
    <w:qFormat/>
    <w:rPr>
      <w:rFonts w:ascii="Arial" w:hAnsi="Arial" w:eastAsia="宋体" w:cs="宋体"/>
    </w:rPr>
  </w:style>
  <w:style w:type="paragraph" w:styleId="957">
    <w:name w:val="标题 41"/>
    <w:basedOn w:val="875"/>
    <w:next w:val="958"/>
    <w:link w:val="875"/>
    <w:qFormat/>
    <w:pPr>
      <w:keepLines/>
      <w:keepNext/>
      <w:spacing w:before="280" w:after="290" w:line="376" w:lineRule="auto"/>
      <w:outlineLvl w:val="3"/>
    </w:pPr>
    <w:rPr>
      <w:rFonts w:ascii="Arial" w:hAnsi="Arial" w:eastAsia="黑体" w:cs="Arial"/>
      <w:b/>
      <w:bCs/>
      <w:sz w:val="28"/>
      <w:szCs w:val="28"/>
    </w:rPr>
  </w:style>
  <w:style w:type="paragraph" w:styleId="958">
    <w:name w:val="正文缩进1"/>
    <w:basedOn w:val="875"/>
    <w:next w:val="958"/>
    <w:link w:val="875"/>
    <w:qFormat/>
    <w:pPr>
      <w:ind w:firstLine="420"/>
    </w:pPr>
  </w:style>
  <w:style w:type="paragraph" w:styleId="959">
    <w:name w:val="正文文本12"/>
    <w:basedOn w:val="875"/>
    <w:next w:val="959"/>
    <w:link w:val="875"/>
    <w:uiPriority w:val="1"/>
    <w:qFormat/>
    <w:pPr>
      <w:ind w:left="120"/>
    </w:pPr>
    <w:rPr>
      <w:rFonts w:ascii="宋体" w:hAnsi="宋体" w:eastAsia="宋体" w:cs="宋体"/>
      <w:sz w:val="21"/>
      <w:szCs w:val="21"/>
      <w:lang w:val="zh-CN" w:eastAsia="zh-CN" w:bidi="zh-CN"/>
    </w:rPr>
  </w:style>
  <w:style w:type="character" w:styleId="960">
    <w:name w:val="font5 Char"/>
    <w:next w:val="960"/>
    <w:link w:val="875"/>
    <w:rPr>
      <w:rFonts w:ascii="宋体" w:hAnsi="宋体" w:eastAsia="宋体"/>
      <w:sz w:val="28"/>
      <w:szCs w:val="28"/>
      <w:lang w:val="en-US" w:eastAsia="zh-CN" w:bidi="ar-SA"/>
    </w:rPr>
  </w:style>
  <w:style w:type="character" w:styleId="961">
    <w:name w:val="二级目录 Char"/>
    <w:next w:val="961"/>
    <w:link w:val="962"/>
    <w:rPr>
      <w:b/>
      <w:sz w:val="30"/>
      <w:szCs w:val="28"/>
    </w:rPr>
  </w:style>
  <w:style w:type="paragraph" w:styleId="962">
    <w:name w:val="二级目录"/>
    <w:next w:val="875"/>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75"/>
    <w:next w:val="964"/>
    <w:link w:val="963"/>
    <w:qFormat/>
    <w:pPr>
      <w:contextualSpacing/>
      <w:ind w:left="720"/>
      <w:jc w:val="left"/>
      <w:widowControl/>
    </w:pPr>
    <w:rPr>
      <w:rFonts w:ascii="Calibri" w:hAnsi="Calibri" w:eastAsia="宋体" w:cs="Times New Roman"/>
      <w:sz w:val="24"/>
      <w:szCs w:val="24"/>
      <w:lang w:eastAsia="en-US" w:bidi="en-US"/>
    </w:rPr>
  </w:style>
  <w:style w:type="paragraph" w:styleId="965">
    <w:name w:val="Body Text(ch)"/>
    <w:basedOn w:val="875"/>
    <w:next w:val="911"/>
    <w:link w:val="875"/>
    <w:pPr>
      <w:spacing w:after="120"/>
    </w:pPr>
    <w:rPr>
      <w:rFonts w:ascii="宋体" w:hAnsi="Arial"/>
      <w:bCs/>
      <w:iCs/>
      <w:szCs w:val="24"/>
    </w:rPr>
  </w:style>
  <w:style w:type="paragraph" w:styleId="966">
    <w:name w:val="xl27"/>
    <w:basedOn w:val="875"/>
    <w:next w:val="96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75"/>
    <w:next w:val="967"/>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75"/>
    <w:next w:val="968"/>
    <w:link w:val="875"/>
    <w:pPr>
      <w:ind w:firstLine="200"/>
      <w:tabs>
        <w:tab w:val="left" w:pos="360" w:leader="none"/>
      </w:tabs>
    </w:pPr>
    <w:rPr>
      <w:sz w:val="28"/>
      <w:szCs w:val="30"/>
    </w:rPr>
  </w:style>
  <w:style w:type="paragraph" w:styleId="969">
    <w:name w:val=" Char"/>
    <w:basedOn w:val="905"/>
    <w:next w:val="969"/>
    <w:link w:val="875"/>
    <w:rPr>
      <w:rFonts w:ascii="Tahoma" w:hAnsi="Tahoma"/>
      <w:sz w:val="24"/>
      <w:szCs w:val="24"/>
    </w:rPr>
  </w:style>
  <w:style w:type="paragraph" w:styleId="970">
    <w:name w:val="普通正文"/>
    <w:basedOn w:val="875"/>
    <w:next w:val="970"/>
    <w:link w:val="875"/>
    <w:pPr>
      <w:ind w:firstLine="480"/>
      <w:jc w:val="left"/>
      <w:spacing w:before="120" w:after="120" w:line="360" w:lineRule="auto"/>
    </w:pPr>
    <w:rPr>
      <w:rFonts w:ascii="Arial" w:hAnsi="Arial"/>
      <w:sz w:val="24"/>
      <w:szCs w:val="24"/>
    </w:rPr>
  </w:style>
  <w:style w:type="paragraph" w:styleId="971">
    <w:name w:val="table_lines"/>
    <w:basedOn w:val="875"/>
    <w:next w:val="971"/>
    <w:link w:val="875"/>
    <w:pPr>
      <w:jc w:val="left"/>
      <w:widowControl/>
    </w:pPr>
    <w:rPr>
      <w:sz w:val="20"/>
      <w:szCs w:val="20"/>
      <w:lang w:val="de-DE" w:eastAsia="de-DE"/>
    </w:rPr>
  </w:style>
  <w:style w:type="paragraph" w:styleId="972">
    <w:name w:val="附录1"/>
    <w:next w:val="972"/>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75"/>
    <w:next w:val="973"/>
    <w:link w:val="875"/>
    <w:pPr>
      <w:jc w:val="left"/>
      <w:spacing w:before="100" w:beforeAutospacing="1" w:after="100" w:afterAutospacing="1"/>
      <w:widowControl/>
    </w:pPr>
    <w:rPr>
      <w:rFonts w:hint="eastAsia" w:ascii="宋体" w:hAnsi="宋体"/>
      <w:sz w:val="18"/>
      <w:szCs w:val="18"/>
    </w:rPr>
  </w:style>
  <w:style w:type="paragraph" w:styleId="974">
    <w:name w:val=" Char Char Char Char"/>
    <w:basedOn w:val="905"/>
    <w:next w:val="974"/>
    <w:link w:val="875"/>
    <w:pPr>
      <w:spacing w:line="360" w:lineRule="auto"/>
    </w:pPr>
    <w:rPr>
      <w:rFonts w:ascii="Tahoma" w:hAnsi="Tahoma"/>
      <w:sz w:val="24"/>
      <w:szCs w:val="24"/>
    </w:rPr>
  </w:style>
  <w:style w:type="paragraph" w:styleId="975">
    <w:name w:val="列出段落"/>
    <w:basedOn w:val="875"/>
    <w:next w:val="975"/>
    <w:link w:val="875"/>
    <w:qFormat/>
    <w:pPr>
      <w:contextualSpacing/>
      <w:ind w:left="720"/>
      <w:jc w:val="left"/>
      <w:widowControl/>
    </w:pPr>
    <w:rPr>
      <w:rFonts w:ascii="Calibri" w:hAnsi="Calibri"/>
      <w:sz w:val="24"/>
      <w:szCs w:val="24"/>
      <w:lang w:eastAsia="en-US" w:bidi="en-US"/>
    </w:rPr>
  </w:style>
  <w:style w:type="paragraph" w:styleId="976">
    <w:name w:val="4"/>
    <w:basedOn w:val="875"/>
    <w:next w:val="933"/>
    <w:link w:val="875"/>
    <w:pPr>
      <w:ind w:firstLine="420"/>
      <w:spacing w:line="360" w:lineRule="auto"/>
    </w:pPr>
    <w:rPr>
      <w:color w:val="ff0000"/>
      <w:sz w:val="24"/>
      <w:szCs w:val="24"/>
    </w:rPr>
  </w:style>
  <w:style w:type="paragraph" w:styleId="977">
    <w:name w:val="普通 (Web)"/>
    <w:basedOn w:val="875"/>
    <w:next w:val="977"/>
    <w:link w:val="875"/>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75"/>
    <w:next w:val="978"/>
    <w:link w:val="875"/>
    <w:pPr>
      <w:spacing w:line="360" w:lineRule="auto"/>
    </w:pPr>
    <w:rPr>
      <w:sz w:val="24"/>
      <w:szCs w:val="20"/>
    </w:rPr>
  </w:style>
  <w:style w:type="paragraph" w:styleId="979">
    <w:name w:val="样式1"/>
    <w:basedOn w:val="875"/>
    <w:next w:val="979"/>
    <w:link w:val="875"/>
    <w:pPr>
      <w:numPr>
        <w:ilvl w:val="0"/>
        <w:numId w:val="3"/>
      </w:numPr>
      <w:tabs>
        <w:tab w:val="left" w:pos="709" w:leader="none"/>
      </w:tabs>
    </w:pPr>
    <w:rPr>
      <w:rFonts w:ascii="宋体" w:hAnsi="宋体"/>
    </w:rPr>
  </w:style>
  <w:style w:type="paragraph" w:styleId="980">
    <w:name w:val="font6"/>
    <w:basedOn w:val="875"/>
    <w:next w:val="980"/>
    <w:link w:val="875"/>
    <w:pPr>
      <w:jc w:val="left"/>
      <w:spacing w:before="100" w:beforeAutospacing="1" w:after="100" w:afterAutospacing="1"/>
      <w:widowControl/>
    </w:pPr>
    <w:rPr>
      <w:rFonts w:hint="eastAsia" w:ascii="宋体" w:hAnsi="宋体"/>
      <w:sz w:val="28"/>
      <w:szCs w:val="28"/>
      <w:u w:val="single"/>
    </w:rPr>
  </w:style>
  <w:style w:type="paragraph" w:styleId="981">
    <w:name w:val="xl25"/>
    <w:basedOn w:val="875"/>
    <w:next w:val="981"/>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75"/>
    <w:next w:val="875"/>
    <w:link w:val="8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75"/>
    <w:next w:val="875"/>
    <w:link w:val="875"/>
    <w:pPr>
      <w:ind w:firstLine="624"/>
      <w:spacing w:line="590" w:lineRule="atLeast"/>
    </w:pPr>
    <w:rPr>
      <w:rFonts w:ascii="方正黑体_GBK" w:eastAsia="方正黑体_GBK"/>
      <w:sz w:val="32"/>
      <w:szCs w:val="32"/>
    </w:rPr>
  </w:style>
  <w:style w:type="paragraph" w:styleId="984">
    <w:name w:val="xl24"/>
    <w:basedOn w:val="875"/>
    <w:next w:val="984"/>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75"/>
    <w:next w:val="985"/>
    <w:link w:val="8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75"/>
    <w:next w:val="986"/>
    <w:link w:val="875"/>
    <w:pPr>
      <w:jc w:val="left"/>
      <w:spacing w:after="160" w:line="240" w:lineRule="exact"/>
      <w:widowControl/>
    </w:pPr>
    <w:rPr>
      <w:rFonts w:ascii="Verdana" w:hAnsi="Verdana"/>
      <w:sz w:val="20"/>
      <w:szCs w:val="20"/>
      <w:lang w:eastAsia="en-US"/>
    </w:rPr>
  </w:style>
  <w:style w:type="paragraph" w:styleId="987">
    <w:name w:val="xl28"/>
    <w:basedOn w:val="875"/>
    <w:next w:val="987"/>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75"/>
    <w:next w:val="988"/>
    <w:link w:val="875"/>
    <w:pPr>
      <w:jc w:val="left"/>
      <w:spacing w:after="160" w:line="240" w:lineRule="exact"/>
      <w:widowControl/>
    </w:pPr>
    <w:rPr>
      <w:rFonts w:ascii="Verdana" w:hAnsi="Verdana"/>
      <w:sz w:val="20"/>
      <w:szCs w:val="20"/>
      <w:lang w:eastAsia="en-US"/>
    </w:rPr>
  </w:style>
  <w:style w:type="paragraph" w:styleId="989">
    <w:name w:val="xl30"/>
    <w:basedOn w:val="875"/>
    <w:next w:val="989"/>
    <w:link w:val="875"/>
    <w:pPr>
      <w:jc w:val="center"/>
      <w:spacing w:before="100" w:beforeAutospacing="1" w:after="100" w:afterAutospacing="1"/>
      <w:widowControl/>
    </w:pPr>
    <w:rPr>
      <w:rFonts w:ascii="宋体" w:hAnsi="宋体"/>
      <w:b/>
      <w:bCs/>
      <w:sz w:val="36"/>
      <w:szCs w:val="36"/>
    </w:rPr>
  </w:style>
  <w:style w:type="paragraph" w:styleId="990">
    <w:name w:val="Char Char Char Char"/>
    <w:basedOn w:val="905"/>
    <w:next w:val="990"/>
    <w:link w:val="875"/>
    <w:pPr>
      <w:spacing w:line="360" w:lineRule="auto"/>
    </w:pPr>
    <w:rPr>
      <w:rFonts w:ascii="Tahoma" w:hAnsi="Tahoma"/>
      <w:sz w:val="24"/>
      <w:szCs w:val="24"/>
    </w:rPr>
  </w:style>
  <w:style w:type="paragraph" w:styleId="991">
    <w:name w:val="table_1stline"/>
    <w:basedOn w:val="875"/>
    <w:next w:val="991"/>
    <w:link w:val="875"/>
    <w:pPr>
      <w:jc w:val="left"/>
      <w:spacing w:before="120"/>
      <w:widowControl/>
    </w:pPr>
    <w:rPr>
      <w:bCs/>
      <w:sz w:val="20"/>
      <w:szCs w:val="20"/>
      <w:lang w:val="de-DE" w:eastAsia="de-DE"/>
    </w:rPr>
  </w:style>
  <w:style w:type="paragraph" w:styleId="992">
    <w:name w:val="font5"/>
    <w:basedOn w:val="875"/>
    <w:next w:val="992"/>
    <w:link w:val="875"/>
    <w:pPr>
      <w:jc w:val="left"/>
      <w:spacing w:before="100" w:beforeAutospacing="1" w:after="100" w:afterAutospacing="1"/>
      <w:widowControl/>
    </w:pPr>
    <w:rPr>
      <w:rFonts w:hint="eastAsia" w:ascii="宋体" w:hAnsi="宋体"/>
      <w:sz w:val="28"/>
      <w:szCs w:val="28"/>
    </w:rPr>
  </w:style>
  <w:style w:type="paragraph" w:styleId="993">
    <w:name w:val="标题1"/>
    <w:basedOn w:val="875"/>
    <w:next w:val="875"/>
    <w:link w:val="87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75"/>
    <w:uiPriority w:val="99"/>
    <w:semiHidden/>
    <w:rPr>
      <w:rFonts w:ascii="Times New Roman" w:hAnsi="Times New Roman"/>
      <w:sz w:val="21"/>
      <w:szCs w:val="21"/>
      <w:lang w:val="en-US" w:eastAsia="zh-CN" w:bidi="ar-SA"/>
    </w:rPr>
  </w:style>
  <w:style w:type="paragraph" w:styleId="995">
    <w:name w:val="无间隔"/>
    <w:next w:val="995"/>
    <w:link w:val="875"/>
    <w:uiPriority w:val="99"/>
    <w:qFormat/>
    <w:pPr>
      <w:jc w:val="both"/>
      <w:widowControl w:val="off"/>
    </w:pPr>
    <w:rPr>
      <w:rFonts w:ascii="Times New Roman" w:hAnsi="Times New Roman"/>
      <w:sz w:val="21"/>
      <w:szCs w:val="21"/>
      <w:lang w:val="en-US" w:eastAsia="zh-CN" w:bidi="ar-SA"/>
    </w:rPr>
  </w:style>
  <w:style w:type="paragraph" w:styleId="996">
    <w:name w:val="正文文本 211"/>
    <w:basedOn w:val="875"/>
    <w:next w:val="996"/>
    <w:link w:val="875"/>
    <w:uiPriority w:val="99"/>
    <w:qFormat/>
    <w:pPr>
      <w:jc w:val="center"/>
    </w:pPr>
    <w:rPr>
      <w:b/>
      <w:bCs/>
      <w:sz w:val="20"/>
      <w:szCs w:val="20"/>
    </w:rPr>
  </w:style>
  <w:style w:type="table" w:styleId="997">
    <w:name w:val="Table Normal"/>
    <w:next w:val="997"/>
    <w:link w:val="875"/>
    <w:qFormat/>
    <w:tblPr/>
  </w:style>
  <w:style w:type="paragraph" w:styleId="998">
    <w:name w:val="正文文本1"/>
    <w:basedOn w:val="875"/>
    <w:next w:val="875"/>
    <w:link w:val="875"/>
    <w:semiHidden/>
    <w:qFormat/>
    <w:rPr>
      <w:rFonts w:ascii="Arial" w:hAnsi="Arial" w:eastAsia="Arial" w:cs="Arial"/>
      <w:sz w:val="21"/>
      <w:szCs w:val="21"/>
      <w:lang w:val="en-US" w:eastAsia="en-US" w:bidi="ar-SA"/>
    </w:rPr>
  </w:style>
  <w:style w:type="paragraph" w:styleId="999">
    <w:name w:val="纯文本1"/>
    <w:basedOn w:val="875"/>
    <w:next w:val="999"/>
    <w:link w:val="875"/>
    <w:qFormat/>
    <w:rPr>
      <w:rFonts w:ascii="宋体" w:hAnsi="Courier New" w:cs="Courier New"/>
    </w:rPr>
  </w:style>
  <w:style w:type="table" w:styleId="1000">
    <w:name w:val="网格型1"/>
    <w:basedOn w:val="1001"/>
    <w:next w:val="1000"/>
    <w:link w:val="875"/>
    <w:qFormat/>
    <w:pPr>
      <w:jc w:val="both"/>
      <w:widowControl w:val="off"/>
    </w:pPr>
    <w:tblPr/>
  </w:style>
  <w:style w:type="table" w:styleId="1001">
    <w:name w:val="普通表格1"/>
    <w:next w:val="1001"/>
    <w:link w:val="875"/>
    <w:uiPriority w:val="99"/>
    <w:unhideWhenUsed/>
    <w:qFormat/>
    <w:tblPr/>
  </w:style>
  <w:style w:type="paragraph" w:styleId="1002">
    <w:name w:val="图表"/>
    <w:basedOn w:val="875"/>
    <w:next w:val="1002"/>
    <w:link w:val="875"/>
    <w:qFormat/>
    <w:pPr>
      <w:ind w:firstLine="0"/>
      <w:jc w:val="center"/>
      <w:spacing w:line="300" w:lineRule="auto"/>
      <w:widowControl w:val="off"/>
    </w:p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10</cp:revision>
  <dcterms:created xsi:type="dcterms:W3CDTF">2023-03-16T02:16:00Z</dcterms:created>
  <dcterms:modified xsi:type="dcterms:W3CDTF">2026-03-02T04:06:16Z</dcterms:modified>
</cp:coreProperties>
</file>