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rPr>
      </w:pPr>
      <w:r>
        <w:rPr>
          <w:rFonts w:hint="eastAsia"/>
        </w:rPr>
      </w:r>
      <w:r/>
    </w:p>
    <w:p>
      <w:pPr>
        <w:pStyle w:val="96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一中思益学校高中部音视频及常态录播系统</w:t>
      </w:r>
      <w:r>
        <w:rPr>
          <w:rFonts w:ascii="Times New Roman" w:hAnsi="Times New Roman" w:eastAsia="宋体" w:cs="Times New Roman"/>
          <w:b/>
          <w:color w:val="000000"/>
          <w:sz w:val="30"/>
          <w:szCs w:val="30"/>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0122</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0"/>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44</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bookmarkStart w:id="6" w:name="_Toc35393621"/>
      <w:r/>
      <w:bookmarkStart w:id="7" w:name="_Toc28359079"/>
      <w:r/>
      <w:bookmarkStart w:id="8" w:name="_Toc28359002"/>
      <w:r/>
      <w:bookmarkStart w:id="9" w:name="_Toc38985263"/>
      <w:r/>
      <w:bookmarkStart w:id="10" w:name="_Toc35393790"/>
      <w:r/>
      <w:bookmarkStart w:id="11" w:name="_Hlk24379207"/>
      <w:r>
        <w:rPr>
          <w:rFonts w:hint="eastAsia" w:ascii="宋体" w:hAnsi="宋体"/>
          <w:sz w:val="24"/>
          <w:szCs w:val="24"/>
          <w:lang w:val="en-US" w:eastAsia="zh-CN"/>
        </w:rPr>
        <w:t xml:space="preserve">受南京</w:t>
      </w:r>
      <w:r>
        <w:rPr>
          <w:rFonts w:hint="eastAsia" w:ascii="宋体" w:hAnsi="宋体" w:eastAsia="宋体" w:cs="Times New Roman"/>
          <w:sz w:val="24"/>
          <w:szCs w:val="24"/>
          <w:lang w:val="en-US" w:eastAsia="zh-CN"/>
        </w:rPr>
        <w:t xml:space="preserve">市栖霞区教育局（采购单位）委托，南京市公共资源交易中心（以下简称“交易中心”）就一中思益学校高中部音视频及常态录播系统进行公开招标采购，欢迎符合条件的供应商投标。</w:t>
      </w:r>
      <w:r>
        <w:rPr>
          <w:rFonts w:hint="eastAsia" w:ascii="宋体" w:hAnsi="宋体" w:eastAsia="宋体" w:cs="Times New Roman"/>
          <w:sz w:val="24"/>
          <w:szCs w:val="24"/>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r>
      <w:bookmarkEnd w:id="11"/>
      <w:r>
        <w:rPr>
          <w:rFonts w:hint="eastAsia" w:ascii="宋体" w:hAnsi="宋体" w:eastAsia="宋体" w:cs="宋体"/>
          <w:color w:val="000000"/>
          <w:sz w:val="24"/>
          <w:szCs w:val="24"/>
          <w:highlight w:val="none"/>
          <w:lang w:val="en-US" w:eastAsia="zh-CN"/>
        </w:rPr>
      </w:r>
      <w:bookmarkStart w:id="12" w:name="_Toc28359003"/>
      <w:r>
        <w:rPr>
          <w:rFonts w:hint="eastAsia" w:ascii="宋体" w:hAnsi="宋体" w:eastAsia="宋体" w:cs="宋体"/>
          <w:color w:val="000000"/>
          <w:sz w:val="24"/>
          <w:szCs w:val="24"/>
          <w:highlight w:val="none"/>
          <w:lang w:val="en-US" w:eastAsia="zh-CN"/>
        </w:rPr>
      </w:r>
      <w:bookmarkStart w:id="13" w:name="_Toc38985264"/>
      <w:r>
        <w:rPr>
          <w:rFonts w:hint="eastAsia" w:ascii="宋体" w:hAnsi="宋体" w:eastAsia="宋体" w:cs="宋体"/>
          <w:color w:val="000000"/>
          <w:sz w:val="24"/>
          <w:szCs w:val="24"/>
          <w:highlight w:val="none"/>
          <w:lang w:val="en-US" w:eastAsia="zh-CN"/>
        </w:rPr>
      </w:r>
      <w:bookmarkStart w:id="14" w:name="_Toc28359080"/>
      <w:r>
        <w:rPr>
          <w:rFonts w:hint="eastAsia" w:ascii="宋体" w:hAnsi="宋体" w:eastAsia="宋体" w:cs="宋体"/>
          <w:color w:val="000000"/>
          <w:sz w:val="24"/>
          <w:szCs w:val="24"/>
          <w:highlight w:val="none"/>
          <w:lang w:val="en-US" w:eastAsia="zh-CN"/>
        </w:rPr>
      </w:r>
      <w:bookmarkStart w:id="15" w:name="_Toc35393791"/>
      <w:r>
        <w:rPr>
          <w:rFonts w:hint="eastAsia" w:ascii="宋体" w:hAnsi="宋体" w:eastAsia="宋体" w:cs="宋体"/>
          <w:color w:val="000000"/>
          <w:sz w:val="24"/>
          <w:szCs w:val="24"/>
          <w:highlight w:val="none"/>
          <w:lang w:val="en-US" w:eastAsia="zh-CN"/>
        </w:rPr>
      </w:r>
      <w:bookmarkStart w:id="16" w:name="_Toc35393622"/>
      <w:r>
        <w:rPr>
          <w:rFonts w:hint="eastAsia" w:ascii="宋体" w:hAnsi="宋体" w:eastAsia="宋体" w:cs="宋体"/>
          <w:color w:val="000000"/>
          <w:sz w:val="24"/>
          <w:szCs w:val="24"/>
          <w:highlight w:val="none"/>
          <w:lang w:val="en-US" w:eastAsia="zh-CN"/>
        </w:rPr>
        <w:t xml:space="preserve">1.项目编</w:t>
      </w:r>
      <w:r>
        <w:rPr>
          <w:rFonts w:hint="eastAsia" w:ascii="宋体" w:hAnsi="宋体" w:eastAsia="宋体" w:cs="宋体"/>
          <w:color w:val="000000"/>
          <w:sz w:val="24"/>
          <w:szCs w:val="24"/>
          <w:highlight w:val="none"/>
          <w:lang w:val="en-US" w:eastAsia="zh-CN"/>
        </w:rPr>
        <w:t xml:space="preserve">号：</w:t>
      </w:r>
      <w:r>
        <w:rPr>
          <w:rFonts w:hint="eastAsia" w:ascii="宋体" w:hAnsi="宋体" w:eastAsia="宋体" w:cs="宋体"/>
          <w:color w:val="000000"/>
          <w:sz w:val="24"/>
          <w:szCs w:val="24"/>
          <w:highlight w:val="none"/>
          <w:lang w:val="en-US" w:eastAsia="zh-CN"/>
        </w:rPr>
        <w:t xml:space="preserve">JSZC-3201</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lang w:val="en-US" w:eastAsia="zh-CN"/>
        </w:rPr>
        <w:t xml:space="preserve">-JZCG-G20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0122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2.项目名称：</w:t>
      </w:r>
      <w:r>
        <w:rPr>
          <w:rFonts w:hint="eastAsia" w:ascii="宋体" w:hAnsi="宋体" w:eastAsia="宋体" w:cs="宋体"/>
          <w:color w:val="000000"/>
          <w:sz w:val="24"/>
          <w:szCs w:val="24"/>
          <w:highlight w:val="none"/>
          <w:lang w:val="en-US" w:eastAsia="zh-CN"/>
        </w:rPr>
        <w:t xml:space="preserve">一中思益学校高中部音视频及常态录播系统</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3.预算金额：</w:t>
      </w:r>
      <w:r>
        <w:rPr>
          <w:rFonts w:hint="eastAsia" w:ascii="宋体" w:hAnsi="宋体" w:eastAsia="宋体" w:cs="宋体"/>
          <w:color w:val="000000"/>
          <w:sz w:val="24"/>
          <w:szCs w:val="24"/>
          <w:highlight w:val="none"/>
          <w:lang w:val="en-US" w:eastAsia="zh-CN"/>
        </w:rPr>
        <w:t xml:space="preserve">173.23万元；</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173.23万元；</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5.采购需求（简介）：</w:t>
      </w:r>
      <w:r>
        <w:rPr>
          <w:rFonts w:hint="eastAsia" w:ascii="宋体" w:hAnsi="宋体" w:eastAsia="宋体" w:cs="宋体"/>
          <w:color w:val="000000"/>
          <w:sz w:val="24"/>
          <w:szCs w:val="24"/>
          <w:highlight w:val="none"/>
          <w:lang w:val="en-US" w:eastAsia="zh-CN"/>
        </w:rPr>
        <w:t xml:space="preserve">本项目为南京市一中思益学校高中部音视频系统及部分班级的常态录播采购，用于学校各功能区域的信息发布。主要为室内报告厅及操场的LED全彩屏、信息发布屏、舞台灯光音响等。项目包含设备安装、调试并培训使用，需确保8月份正常能交付给学校，保障开学使用。（详细内容见本招标文件第四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6.合同履行期限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合同签订后30天</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w:t>
      </w:r>
      <w:r>
        <w:rPr>
          <w:rFonts w:hint="eastAsia" w:ascii="宋体" w:hAnsi="宋体"/>
          <w:color w:val="000000"/>
          <w:sz w:val="24"/>
          <w:szCs w:val="24"/>
        </w:rPr>
        <w:t xml:space="preserve">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lang w:val="en-US" w:eastAsia="zh-CN"/>
        </w:rPr>
        <w:t xml:space="preserve">投标</w:t>
      </w:r>
      <w:r>
        <w:rPr>
          <w:rFonts w:hint="eastAsia" w:ascii="宋体" w:hAnsi="宋体" w:eastAsia="宋体" w:cs="Times New Roman"/>
          <w:color w:val="000000"/>
          <w:sz w:val="24"/>
          <w:szCs w:val="24"/>
        </w:rPr>
        <w:t xml:space="preserve">文件中无需提供证明材料）</w:t>
      </w:r>
      <w:r>
        <w:rPr>
          <w:rFonts w:hint="eastAsia" w:ascii="宋体" w:hAnsi="宋体" w:eastAsia="宋体" w:cs="Times New Roman"/>
          <w:color w:val="000000"/>
          <w:sz w:val="24"/>
          <w:szCs w:val="24"/>
        </w:rPr>
      </w:r>
      <w:r/>
    </w:p>
    <w:p>
      <w:pPr>
        <w:pStyle w:val="869"/>
        <w:ind w:firstLine="480"/>
        <w:pageBreakBefore w:val="0"/>
        <w:spacing w:line="252"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（二）本项目特定资格要求</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投标人具有有效期内钢结构工程专业承包三级（含）以上资质及安全生产许可证（提供证书）</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rPr>
      </w:r>
      <w:r/>
    </w:p>
    <w:p>
      <w:pPr>
        <w:pStyle w:val="940"/>
        <w:rPr>
          <w:rFonts w:hint="eastAsia"/>
          <w:lang w:val="en-US" w:eastAsia="zh-CN"/>
        </w:rPr>
      </w:pPr>
      <w:r>
        <w:rPr>
          <w:rFonts w:hint="eastAsia"/>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8985267"/>
      <w:r/>
      <w:bookmarkStart w:id="30" w:name="_Toc3539379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年6</w:t>
      </w:r>
      <w:r>
        <w:rPr>
          <w:rFonts w:hint="eastAsia" w:ascii="宋体" w:hAnsi="宋体"/>
          <w:bCs/>
          <w:color w:val="000000" w:themeColor="text1"/>
          <w:sz w:val="24"/>
          <w:szCs w:val="24"/>
          <w:u w:val="none"/>
        </w:rPr>
        <w:t xml:space="preserve">月9</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69"/>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35393796"/>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供应商代表携带加盖单位公章的营业执照复印件、法定代表人授权委托书、身份证参</w:t>
      </w:r>
      <w:r>
        <w:rPr>
          <w:rFonts w:hint="eastAsia" w:ascii="宋体" w:hAnsi="宋体" w:eastAsia="宋体" w:cs="宋体"/>
          <w:color w:val="000000" w:themeColor="text1"/>
          <w:sz w:val="24"/>
          <w:szCs w:val="24"/>
          <w:highlight w:val="none"/>
          <w:lang w:val="en-US" w:eastAsia="zh-CN"/>
        </w:rPr>
        <w:t xml:space="preserve">加。</w:t>
      </w:r>
      <w:r>
        <w:rPr>
          <w:rFonts w:hint="eastAsia" w:ascii="宋体" w:hAnsi="宋体" w:eastAsia="宋体" w:cs="宋体"/>
          <w:color w:val="000000" w:themeColor="text1"/>
          <w:sz w:val="24"/>
          <w:szCs w:val="24"/>
          <w:highlight w:val="none"/>
          <w:lang w:val="en-US" w:eastAsia="zh-CN"/>
        </w:rPr>
        <w:t xml:space="preserve">签到时间：</w:t>
      </w:r>
      <w:r>
        <w:rPr>
          <w:rFonts w:ascii="SimSun" w:hAnsi="SimSun" w:eastAsia="SimSun" w:cs="SimSun"/>
          <w:color w:val="000000" w:themeColor="text1"/>
          <w:sz w:val="24"/>
        </w:rPr>
        <w:t xml:space="preserve">2026年5月27日9时30分至9时50分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cs="宋体"/>
          <w:color w:val="000000" w:themeColor="text1"/>
          <w:sz w:val="24"/>
          <w:szCs w:val="24"/>
        </w:rPr>
        <w:t xml:space="preserve">地址：</w:t>
      </w:r>
      <w:r>
        <w:rPr>
          <w:rFonts w:hint="eastAsia" w:ascii="宋体" w:hAnsi="宋体"/>
          <w:color w:val="000000" w:themeColor="text1"/>
          <w:sz w:val="24"/>
        </w:rPr>
        <w:t xml:space="preserve">一中</w:t>
      </w:r>
      <w:r>
        <w:rPr>
          <w:rFonts w:hint="eastAsia" w:ascii="宋体" w:hAnsi="宋体"/>
          <w:sz w:val="24"/>
        </w:rPr>
        <w:t xml:space="preserve">思益学校高中部（马高路199号），联系人：王主任，联系电话：13951777610</w:t>
      </w:r>
      <w:r>
        <w:rPr>
          <w:rFonts w:hint="eastAsia" w:ascii="宋体" w:hAnsi="宋体" w:cs="宋体"/>
          <w:sz w:val="24"/>
        </w:rPr>
        <w:t xml:space="preserve">。</w:t>
      </w:r>
      <w:r/>
      <w:r>
        <w:rPr>
          <w:sz w:val="22"/>
        </w:rP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杨老师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南京市栖霞区文苑路118号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025-85413456</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ff"/>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ff"/>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称：南京市栖霞区教育局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址：南京市栖霞区文苑路118号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联系人：杨老师 </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联系电话：025-85413456</w:t>
      </w:r>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w:t>
      </w:r>
      <w:r>
        <w:rPr>
          <w:rFonts w:hint="eastAsia" w:ascii="宋体" w:hAnsi="宋体" w:eastAsia="宋体" w:cs="Times New Roman"/>
          <w:color w:val="000000"/>
          <w:sz w:val="24"/>
          <w:szCs w:val="24"/>
          <w:u w:val="none"/>
          <w:lang w:val="en-US" w:eastAsia="zh-CN"/>
        </w:rPr>
        <w:t xml:space="preserve">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869"/>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869"/>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479757207"/>
      <w:r/>
      <w:bookmarkStart w:id="52" w:name="_Toc120614221"/>
      <w:r/>
      <w:bookmarkStart w:id="53" w:name="_Toc513029242"/>
      <w:r/>
      <w:bookmarkStart w:id="54" w:name="_Toc16938558"/>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513029205"/>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20823282"/>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20823283"/>
      <w:r/>
      <w:bookmarkStart w:id="80" w:name="_Toc462564070"/>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16938529"/>
      <w:r/>
      <w:bookmarkStart w:id="89" w:name="_Toc462564072"/>
      <w:r/>
      <w:bookmarkStart w:id="90"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16938530"/>
      <w:r/>
      <w:bookmarkStart w:id="93" w:name="_Toc20823286"/>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513029215"/>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668975"/>
      <w:r/>
      <w:bookmarkEnd w:id="100"/>
      <w:r/>
      <w:bookmarkStart w:id="101" w:name="_Toc513029219"/>
      <w:r/>
      <w:bookmarkStart w:id="102" w:name="_Toc14577357"/>
      <w:r/>
      <w:bookmarkStart w:id="103" w:name="_Toc49090509"/>
      <w:r/>
      <w:bookmarkStart w:id="104" w:name="_Toc513029216"/>
      <w:r/>
      <w:bookmarkStart w:id="105" w:name="_Toc14577354"/>
      <w:r/>
      <w:bookmarkStart w:id="106" w:name="_Toc49090507"/>
      <w:r/>
      <w:bookmarkStart w:id="107" w:name="_Hlt26954838"/>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954731"/>
      <w:r/>
      <w:bookmarkEnd w:id="114"/>
      <w:r/>
      <w:bookmarkStart w:id="115" w:name="_Hlt26668983"/>
      <w:r/>
      <w:bookmarkEnd w:id="115"/>
      <w:r/>
      <w:bookmarkStart w:id="116" w:name="_Hlt26954846"/>
      <w:r/>
      <w:bookmarkEnd w:id="116"/>
      <w:r/>
      <w:bookmarkStart w:id="117" w:name="_Hlt26670403"/>
      <w:r/>
      <w:bookmarkEnd w:id="117"/>
      <w:r/>
      <w:bookmarkStart w:id="118" w:name="_Hlt26670486"/>
      <w:r/>
      <w:bookmarkEnd w:id="118"/>
      <w:r/>
      <w:bookmarkStart w:id="119" w:name="_Hlt26954842"/>
      <w:r/>
      <w:bookmarkEnd w:id="119"/>
      <w:r/>
      <w:bookmarkStart w:id="120" w:name="_Hlt26954844"/>
      <w:r/>
      <w:bookmarkEnd w:id="120"/>
      <w:r/>
      <w:bookmarkStart w:id="121" w:name="_Hlt26670425"/>
      <w:r/>
      <w:bookmarkEnd w:id="121"/>
      <w:r/>
      <w:bookmarkStart w:id="122" w:name="_Hlt2667048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6938540"/>
      <w:r/>
      <w:bookmarkStart w:id="131" w:name="_Toc20823296"/>
      <w:r/>
      <w:bookmarkStart w:id="132" w:name="_Toc120614217"/>
      <w:r/>
      <w:bookmarkStart w:id="133" w:name="_Hlt26954852"/>
      <w:r/>
      <w:bookmarkEnd w:id="133"/>
      <w:r/>
      <w:bookmarkStart w:id="134" w:name="_Toc513029224"/>
      <w:r/>
      <w:bookmarkStart w:id="135" w:name="_Hlt26954739"/>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16938544"/>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16938545"/>
      <w:r/>
      <w:bookmarkStart w:id="152" w:name="_Toc20823301"/>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16938546"/>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513029231"/>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513029234"/>
      <w:r/>
      <w:bookmarkStart w:id="166" w:name="_Toc20823306"/>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513029235"/>
      <w:r/>
      <w:bookmarkStart w:id="170" w:name="_Toc16938551"/>
      <w:r/>
      <w:bookmarkStart w:id="171" w:name="_Toc20823307"/>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16938554"/>
      <w:r/>
      <w:bookmarkStart w:id="174" w:name="_Toc20823310"/>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4" w:name="_Toc462564139"/>
      <w:r/>
      <w:bookmarkStart w:id="185" w:name="_Toc20823315"/>
      <w:r/>
      <w:bookmarkStart w:id="186" w:name="_Toc16938559"/>
      <w:r/>
      <w:bookmarkStart w:id="187" w:name="_Toc513029243"/>
      <w:r/>
      <w:bookmarkStart w:id="188" w:name="_Toc479757211"/>
      <w:r/>
      <w:bookmarkStart w:id="189" w:name="_Hlt16619350"/>
      <w:r/>
      <w:bookmarkStart w:id="190" w:name="_Toc120614244"/>
      <w:r/>
      <w:bookmarkStart w:id="191" w:name="_Toc16938590"/>
      <w:r/>
      <w:bookmarkStart w:id="192" w:name="_Toc20823346"/>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w:t>
      </w:r>
      <w:r>
        <w:rPr>
          <w:rFonts w:ascii="宋体" w:hAnsi="宋体" w:eastAsia="宋体" w:cs="宋体"/>
          <w:sz w:val="24"/>
          <w:szCs w:val="24"/>
        </w:rPr>
        <w:t xml:space="preserve">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bookmarkStart w:id="193" w:name="OLE_LINK3"/>
      <w:r>
        <w:rPr>
          <w:rFonts w:hint="eastAsia" w:ascii="宋体" w:hAnsi="宋体" w:cs="Courier New"/>
          <w:sz w:val="24"/>
          <w:szCs w:val="24"/>
          <w:u w:val="single"/>
        </w:rPr>
        <w:t xml:space="preserve">5%</w:t>
      </w:r>
      <w:bookmarkEnd w:id="193"/>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sz w:val="24"/>
          <w:szCs w:val="24"/>
          <w:u w:val="single"/>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9"/>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90"/>
      <w:r/>
      <w:bookmarkEnd w:id="191"/>
      <w:r/>
      <w:bookmarkEnd w:id="192"/>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49090575"/>
      <w:r/>
      <w:bookmarkStart w:id="196"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color w:val="000000"/>
          <w:sz w:val="24"/>
        </w:rPr>
        <w:t xml:space="preserve">本项目为南京市一中思益学校高中部音视频系统及部分班级的常态录播采购，用于学校各功能区域的信息发布。主要为室内报告厅及操场的LED全彩屏、信息发布屏、舞台灯光音响等。项目包含设备安装、调试并培训使用，需确保8月份正常能交付给学校，保障开学使用。</w:t>
      </w:r>
      <w:r>
        <w:rPr>
          <w:rFonts w:hint="eastAsia"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遵循国家、行业及地方现行的规范和标准，招标文件涉及标准中未标年号的一律采用最新的标准；随着标准的修订，以修订后的最新标准为依据。</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lang w:val="en-US" w:eastAsia="zh-CN"/>
        </w:rPr>
        <w:t xml:space="preserve">资产配置标准</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1"/>
      </w:pPr>
      <w:r>
        <w:rPr>
          <w:rFonts w:hint="eastAsia" w:ascii="宋体" w:hAnsi="宋体" w:eastAsia="宋体" w:cs="宋体"/>
          <w:bCs/>
          <w:color w:val="000000"/>
          <w:sz w:val="24"/>
          <w:szCs w:val="24"/>
          <w:lang w:val="en-US" w:eastAsia="zh-CN"/>
        </w:rPr>
        <w:t xml:space="preserve">符合《关于印发南京市中小学通用资产配置标准的通知》（2023年）。</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7"/>
        <w:tblW w:w="502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0"/>
        <w:gridCol w:w="1955"/>
        <w:gridCol w:w="729"/>
        <w:gridCol w:w="698"/>
        <w:gridCol w:w="1061"/>
        <w:gridCol w:w="1201"/>
        <w:gridCol w:w="1212"/>
        <w:gridCol w:w="1028"/>
        <w:gridCol w:w="1283"/>
      </w:tblGrid>
      <w:tr>
        <w:trPr>
          <w:trHeight w:val="47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3"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P2.5室内LED全彩显示屏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27.03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7800</w:t>
            </w:r>
            <w:r>
              <w:rPr>
                <w:rFonts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P4室外LED全彩显示屏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40.14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
                <w:bCs w:val="0"/>
                <w:sz w:val="24"/>
                <w:szCs w:val="24"/>
              </w:rPr>
              <w:t xml:space="preserve">核心产品</w:t>
            </w:r>
            <w:r>
              <w:rPr>
                <w:rFonts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室内单色会标条屏</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10.63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开关电源</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88</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LED控制器（主控卡）</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张</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异步控制系统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视频拼接处理器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视频处理器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铝塑板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喷塑镀锌冲孔板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立柱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基础</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49500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建筑业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工程</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显示终端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是</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报告厅显示屏-PLC智能配电柜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操场显示屏-PLC智能配电柜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18U网络机柜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室外无线同屏器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室外防水同屏器天线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8口交换机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主扩线阵扬声器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5600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线阵安装吊架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超低音扬声器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台唇扬声器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辅助扬声器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返听扬声器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全频线阵功放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超低功放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台唇功放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辅助功放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返听功放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数字音频处理器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调音台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数字反馈抑制器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2900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数字会议主机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数字主席机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数字代表机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一拖四无线手持话筒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一拖四无线头戴话筒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全向天线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电动葫芦</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1840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电源时序控制器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返听地插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台唇地插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多媒体地插</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680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操作台（三联）</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42U网络机柜</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面光灯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三基色灯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PAR灯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只</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电脑摇头光束灯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4800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主要产品</w:t>
            </w:r>
            <w:r>
              <w:rPr>
                <w:rFonts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信号放大器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灯控台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5600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12路电源箱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灯光杆</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组</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电动吊点杆</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组</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大幕对开系统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大幕</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72</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大幕衬里</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180</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云处理物联终端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分布式客户端控制编程软件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无线同屏系统</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平板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是</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交换机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无线路由器</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51</w:t>
            </w:r>
            <w:r>
              <w:rPr>
                <w:rFonts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物联网平台</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13500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无线智能网关</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950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物联网授权软件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169</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AI</w:t>
            </w:r>
            <w:r>
              <w:rPr>
                <w:rFonts w:ascii="宋体" w:hAnsi="宋体" w:eastAsia="宋体" w:cs="宋体"/>
                <w:bCs/>
                <w:sz w:val="24"/>
                <w:szCs w:val="24"/>
              </w:rPr>
              <w:t xml:space="preserve">录播主机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教师摄像机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2570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学生摄像机</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2570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全向麦克风</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远程互动课堂软件</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6</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900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室内LED全彩显示屏通讯线缆及布线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74</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室内LED全彩显示屏供电电缆及布线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75</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单色会标条屏线材及布线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76</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室外LED全彩显示屏供电电缆及布线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77</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室外LED全彩显示屏通讯线缆及布线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78</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室外LED全彩显示屏HDMI线及布设</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79</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HDMI成品线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500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80</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室外防水箱</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套</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81</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扩声系统线材布设及辅材</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12000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灯光及大幕系统线材及布线</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83</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灯光辅材</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1100</w:t>
            </w:r>
            <w:r>
              <w:rPr>
                <w:rFonts w:hint="eastAsia" w:ascii="宋体" w:hAnsi="宋体" w:eastAsia="宋体" w:cs="宋体"/>
                <w:bCs/>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工业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货物</w:t>
            </w:r>
            <w:r>
              <w:rPr>
                <w:rFonts w:hint="eastAsia" w:ascii="宋体" w:hAnsi="宋体" w:eastAsia="宋体" w:cs="宋体"/>
                <w:bCs/>
                <w:sz w:val="24"/>
                <w:szCs w:val="24"/>
                <w:lang w:val="en-US"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64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84</w:t>
            </w:r>
            <w:r>
              <w:rPr>
                <w:rFonts w:hint="eastAsia" w:ascii="宋体" w:hAnsi="宋体" w:eastAsia="宋体" w:cs="宋体"/>
                <w:bCs/>
                <w:sz w:val="24"/>
                <w:szCs w:val="24"/>
                <w:lang w:val="en-US" w:eastAsia="zh-CN"/>
              </w:rPr>
            </w:r>
            <w:r/>
          </w:p>
        </w:tc>
        <w:tc>
          <w:tcPr>
            <w:tcW w:w="1942"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分布式传输控制系统线材及布设</w:t>
            </w:r>
            <w:r>
              <w:rPr>
                <w:rFonts w:hint="eastAsia" w:ascii="宋体" w:hAnsi="宋体" w:eastAsia="宋体" w:cs="宋体"/>
                <w:bCs/>
                <w:sz w:val="24"/>
                <w:szCs w:val="24"/>
                <w:lang w:val="en-US" w:eastAsia="zh-CN"/>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4000</w:t>
            </w:r>
            <w:r>
              <w:rPr>
                <w:rFonts w:hint="eastAsia" w:ascii="宋体" w:hAnsi="宋体" w:eastAsia="宋体" w:cs="宋体"/>
                <w:bCs/>
                <w:sz w:val="24"/>
                <w:szCs w:val="24"/>
                <w:lang w:val="en-US" w:eastAsia="zh-CN"/>
              </w:rPr>
            </w:r>
            <w:r/>
          </w:p>
        </w:tc>
        <w:tc>
          <w:tcPr>
            <w:tcW w:w="11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1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r>
        <w:trPr>
          <w:trHeight w:val="414"/>
        </w:trPr>
        <w:tc>
          <w:tcPr>
            <w:tcW w:w="64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85</w:t>
            </w:r>
            <w:r>
              <w:rPr>
                <w:rFonts w:hint="eastAsia" w:ascii="宋体" w:hAnsi="宋体" w:eastAsia="宋体" w:cs="宋体"/>
                <w:bCs/>
                <w:sz w:val="24"/>
                <w:szCs w:val="24"/>
                <w:lang w:val="en-US" w:eastAsia="zh-CN"/>
              </w:rPr>
            </w:r>
            <w:r/>
          </w:p>
        </w:tc>
        <w:tc>
          <w:tcPr>
            <w:tcW w:w="1942"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系统集成及调试</w:t>
            </w:r>
            <w:r>
              <w:rPr>
                <w:rFonts w:hint="eastAsia" w:ascii="宋体" w:hAnsi="宋体" w:eastAsia="宋体" w:cs="宋体"/>
                <w:bCs/>
                <w:sz w:val="24"/>
                <w:szCs w:val="24"/>
                <w:lang w:val="en-US" w:eastAsia="zh-CN"/>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项</w:t>
            </w:r>
            <w:r>
              <w:rPr>
                <w:rFonts w:hint="eastAsia" w:ascii="宋体" w:hAnsi="宋体" w:eastAsia="宋体" w:cs="宋体"/>
                <w:bCs/>
                <w:sz w:val="24"/>
                <w:szCs w:val="24"/>
                <w:lang w:val="en-US" w:eastAsia="zh-CN"/>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48000</w:t>
            </w:r>
            <w:r>
              <w:rPr>
                <w:rFonts w:hint="eastAsia" w:ascii="宋体" w:hAnsi="宋体" w:eastAsia="宋体" w:cs="宋体"/>
                <w:bCs/>
                <w:sz w:val="24"/>
                <w:szCs w:val="24"/>
                <w:lang w:val="en-US" w:eastAsia="zh-CN"/>
              </w:rPr>
            </w:r>
            <w:r/>
          </w:p>
        </w:tc>
        <w:tc>
          <w:tcPr>
            <w:tcW w:w="11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tc>
        <w:tc>
          <w:tcPr>
            <w:tcW w:w="6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软件和信息技术服务业</w:t>
            </w:r>
            <w:r>
              <w:rPr>
                <w:rFonts w:hint="eastAsia" w:ascii="宋体" w:hAnsi="宋体" w:eastAsia="宋体" w:cs="宋体"/>
                <w:bCs/>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服务</w:t>
            </w:r>
            <w:r>
              <w:rPr>
                <w:rFonts w:hint="eastAsia" w:ascii="宋体" w:hAnsi="宋体" w:eastAsia="宋体" w:cs="宋体"/>
                <w:bCs/>
                <w:sz w:val="24"/>
                <w:szCs w:val="24"/>
                <w:lang w:val="en-US" w:eastAsia="zh-CN"/>
              </w:rPr>
            </w:r>
            <w:r/>
          </w:p>
        </w:tc>
        <w:tc>
          <w:tcPr>
            <w:tcW w:w="1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否</w:t>
            </w:r>
            <w:r>
              <w:rPr>
                <w:rFonts w:hint="eastAsia" w:ascii="宋体" w:hAnsi="宋体" w:eastAsia="宋体" w:cs="宋体"/>
                <w:bCs/>
                <w:sz w:val="24"/>
                <w:szCs w:val="24"/>
                <w:lang w:val="en-US" w:eastAsia="zh-CN"/>
              </w:rPr>
            </w:r>
            <w:r/>
          </w:p>
        </w:tc>
      </w:tr>
    </w:tbl>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rPr>
      </w:r>
      <w:r/>
    </w:p>
    <w:tbl>
      <w:tblPr>
        <w:tblW w:w="10215" w:type="dxa"/>
        <w:jc w:val="center"/>
        <w:tblInd w:w="-191" w:type="dxa"/>
        <w:tblLayout w:type="fixed"/>
        <w:tblCellMar>
          <w:left w:w="108" w:type="dxa"/>
          <w:top w:w="0" w:type="dxa"/>
          <w:right w:w="108" w:type="dxa"/>
          <w:bottom w:w="0" w:type="dxa"/>
        </w:tblCellMar>
        <w:tblLook w:val="04A0" w:firstRow="1" w:lastRow="0" w:firstColumn="1" w:lastColumn="0" w:noHBand="0" w:noVBand="1"/>
      </w:tblPr>
      <w:tblGrid>
        <w:gridCol w:w="724"/>
        <w:gridCol w:w="1288"/>
        <w:gridCol w:w="8203"/>
      </w:tblGrid>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产品名称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功能、性能、配置要求不低于以下要求</w:t>
            </w:r>
            <w:r>
              <w:rPr>
                <w:rFonts w:hint="eastAsia" w:ascii="宋体" w:hAnsi="宋体" w:eastAsia="宋体" w:cs="宋体"/>
                <w:b/>
                <w:bCs w:val="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P2.5室内LED全彩显示屏</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1.物理点间距：≤2.5mm，像素密度：≥160</w:t>
            </w:r>
            <w:r>
              <w:rPr>
                <w:rFonts w:hint="eastAsia" w:ascii="宋体" w:hAnsi="宋体" w:eastAsia="宋体" w:cs="宋体"/>
                <w:bCs/>
                <w:sz w:val="24"/>
                <w:szCs w:val="24"/>
              </w:rPr>
              <w:t xml:space="preserve">000点/㎡，屏体显示净面积：宽7.04m*高3.84m=27.03㎡，封装方式：≤SMD2121（1R1G1B），铜支架铜线封装；恒流驱动1/32扫描；白平衡亮度：≥800cd/㎡，刷新频率：≥3840Hz，色温：3000K—9000K连续可调；均匀度≥97%，对比度≥4000:1，色度均匀性（X,Y)±0.003，换帧频率 ≥60Hz，任意相邻像素间平整度≤0.01mm；模组拼缝间隙≤0.05mm，维护方式：完全前维护，灰度等级：红、绿、蓝≥14bits，平均功耗≤300W/㎡，最大功耗≤720W/㎡；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交直流电源线使用不低于国标GB/T5023-2008线材；模组之间的连接线如采用扁平带线，则该线中每根信号线使用不低于7×0.10mm镀锡铜线，箱体材质：一次成型压铸铝箱体，前维护方式，内部过线，不带风扇自然散热；</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3.配套定制钢结构，屏体外框采用不小于40mm×40mm国标镀锌方通，防锈防腐蚀，四周采用黑色拉丝不锈钢装饰包边，保证牢固度，不变形，安装结构满足现场实际使用情况；</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★4.所投产品</w:t>
            </w:r>
            <w:r>
              <w:rPr>
                <w:rFonts w:hint="eastAsia" w:ascii="宋体" w:hAnsi="宋体" w:eastAsia="宋体" w:cs="宋体"/>
                <w:bCs/>
                <w:sz w:val="24"/>
                <w:szCs w:val="24"/>
                <w:lang w:val="en-US" w:eastAsia="zh-CN"/>
              </w:rPr>
              <w:t xml:space="preserve">通过</w:t>
            </w:r>
            <w:r>
              <w:rPr>
                <w:rFonts w:hint="eastAsia" w:ascii="宋体" w:hAnsi="宋体" w:eastAsia="宋体" w:cs="宋体"/>
                <w:bCs/>
                <w:sz w:val="24"/>
                <w:szCs w:val="24"/>
              </w:rPr>
              <w:t xml:space="preserve">3C认证（</w:t>
            </w:r>
            <w:r>
              <w:rPr>
                <w:rFonts w:hint="eastAsia" w:ascii="宋体" w:hAnsi="宋体" w:eastAsia="宋体" w:cs="宋体"/>
                <w:bCs/>
                <w:sz w:val="24"/>
                <w:szCs w:val="24"/>
                <w:lang w:val="en-US" w:eastAsia="zh-CN"/>
              </w:rPr>
              <w:t xml:space="preserve">签订合同时提供证书，</w:t>
            </w:r>
            <w:r>
              <w:rPr>
                <w:rFonts w:hint="eastAsia" w:ascii="宋体" w:hAnsi="宋体" w:eastAsia="宋体" w:cs="宋体"/>
                <w:bCs/>
                <w:sz w:val="24"/>
                <w:szCs w:val="24"/>
              </w:rPr>
              <w:t xml:space="preserve">投标人在投标分项报价表中所填写的产品型号须与3C认证证书上的型号一致）。</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P4室外LED全彩显示屏</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1.物理点间距：≤4mm,像素密度：≥62500点/㎡，屏体显示</w:t>
            </w:r>
            <w:r>
              <w:rPr>
                <w:rFonts w:hint="eastAsia" w:ascii="宋体" w:hAnsi="宋体" w:eastAsia="宋体" w:cs="宋体"/>
                <w:bCs/>
                <w:sz w:val="24"/>
                <w:szCs w:val="24"/>
              </w:rPr>
              <w:t xml:space="preserve">净面积：8.96米*4.48米=40.14平方米，封装方式：≤SMD1921（1R1G1B），色温：3000K—9000K连续可调，亮度均匀性：≥97%；对比度≥4000:1，色度均匀性（X,Y)±0.003，换换帧频率：≥60Hz；防护等级：≥IP65，显示屏专用3C开关电源，平均功耗≤250W/㎡，最大功耗≤780W/㎡，灰度等级：红、绿、蓝≥14bits，工作温度范围：-30℃～+70℃；工作湿度范围：25%～95%RH无结露；存储温度范围：-35℃～+75℃；存储湿度范围：25%～95%RH无结露；</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★2.封装工艺：铜支架纯金线封装（含金量纯度≥99.99），白平衡亮度≥6000cd/㎡，刷新频率：≥3840Hz；</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交直流电源线使用不低于国标GB/T5023-2008线材；模组之间的连接线如采用扁平带线，则该线中每根信号线使用不低于7×0.10mm镀锡铜线，室外防水箱体：冷轧钢板，钢板厚度≥1.2mm，每个箱体配备不少于4个轴流散热风扇，风扇直径≥120mm，配套定制钢结构，外框采用不小于60*40mm国标热镀锌方通，防锈防腐蚀，保证牢固度，不变形，安装结构满足现场实际使用情况；</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可直接通过扫描室外LED全彩显示屏设备上的二维码进行巡检或报修，将相应数据推送至管理后台，维修人员可直接通过报修单获取设备故障信息；巡检或维修进度通过即时通讯工具推送给客户和管理员；对于维修任务，后台有实时记录（客户提交报修单、报修时间、指定维修员、设备维修状态等）；对于巡检任务，后台有实时记录（巡检时间、巡检地点、巡检人员、巡检情况等）。</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室内单色会标条屏</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1.P4.75室内单色显示屏，物理点间距：4.75mm,像素密度：44321点/㎡，发光颜色：红色，屏体显示净面积：长13.984米*高0.76米=10.63平方米；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2.配套定制钢结构，外框采用国标方通材料，四周采用黑色铝合金型材包边。</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开关电源</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1.显示屏专用开关电源，功率200W，电流：40A；</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2.具有PFC功能，电源功率因数≥95%；</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★3.所投产品</w:t>
            </w:r>
            <w:r>
              <w:rPr>
                <w:rFonts w:hint="eastAsia" w:ascii="宋体" w:hAnsi="宋体" w:eastAsia="宋体" w:cs="宋体"/>
                <w:bCs/>
                <w:sz w:val="24"/>
                <w:szCs w:val="24"/>
                <w:lang w:val="en-US" w:eastAsia="zh-CN"/>
              </w:rPr>
              <w:t xml:space="preserve">通过</w:t>
            </w:r>
            <w:r>
              <w:rPr>
                <w:rFonts w:hint="eastAsia" w:ascii="宋体" w:hAnsi="宋体" w:eastAsia="宋体" w:cs="宋体"/>
                <w:bCs/>
                <w:sz w:val="24"/>
                <w:szCs w:val="24"/>
              </w:rPr>
              <w:t xml:space="preserve">3C认证（</w:t>
            </w:r>
            <w:r>
              <w:rPr>
                <w:rFonts w:hint="eastAsia" w:ascii="宋体" w:hAnsi="宋体" w:eastAsia="宋体" w:cs="宋体"/>
                <w:bCs/>
                <w:sz w:val="24"/>
                <w:szCs w:val="24"/>
                <w:lang w:val="en-US" w:eastAsia="zh-CN"/>
              </w:rPr>
              <w:t xml:space="preserve">签订合同时提供证书，</w:t>
            </w:r>
            <w:r>
              <w:rPr>
                <w:rFonts w:hint="eastAsia" w:ascii="宋体" w:hAnsi="宋体" w:eastAsia="宋体" w:cs="宋体"/>
                <w:bCs/>
                <w:sz w:val="24"/>
                <w:szCs w:val="24"/>
              </w:rPr>
              <w:t xml:space="preserve">投标人在投标分项报价表中所填写的产品型号须与3C认证证书上的型号一致）。</w:t>
            </w:r>
            <w:r>
              <w:rPr>
                <w:rFonts w:hint="eastAsia" w:ascii="宋体" w:hAnsi="宋体" w:eastAsia="宋体" w:cs="宋体"/>
                <w:bCs/>
                <w:sz w:val="24"/>
                <w:szCs w:val="24"/>
              </w:rPr>
            </w:r>
            <w:r/>
          </w:p>
        </w:tc>
      </w:tr>
      <w:tr>
        <w:trPr>
          <w:trHeight w:val="76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LED控制器（主控卡）</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灰度等级16384级，含逐点校正、亮度自动调节功能；双网口输出，可多机级联统一控制。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异步控制系统</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1.网络系列控制系统，支持局域网、广域网可靠通讯，适合大规模集群控制；</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2.配套编辑发送控制软件，图文、字幕支持连续上下移动。</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视频拼接处理器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1.支持多路输入接口，包括：2路HDMI 1.4，1路DVI，1路3G-SDI（IN+LOOP）接口，最大带载 650 万像素，单台设备输出最大宽度 10240像素，高度 8192像素，支持 3.5mm 的独立音频输入、支持 3.5mm 独立音频输出；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2.支持一键全屏缩放、支持输入源任意截取画质调整，支持输出画面无极缩放，支持3个图层， 图层大小和位置可单独调节，支持图层按照 Z 序优先级调整；</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3.支持输入画质管理，包括亮度、对比度、饱和度和色度调整，支持 10 个用户可自定义场景保存和调用热备份，支持逐点亮色度校正 对每个灯点的亮度和色度进行校正，有效消除色差，使整屏的亮度和色度达到高度均匀一致，提高显示屏的画质。</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视频处理器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1.支持多路输入接口，包括1路DVI，1路HDMI，1路VGA，1路USB播放，1路CVBS，支持4个网口输出，最大带载260万像素，最大宽度3840像素，最大高度1920像素；</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2.支持窗口位置、大小调整及窗口截取功能，持画面一键全屏缩放、点对点显示、自定义缩放三种缩放模式，支持输入源一键切换，支持 DVI、HDMI 的输入分辨率预设及自定义调节；</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3.支持外置独立音频，支持创建 6 个用户场景作为模板保存，可直接调用，方便使用。</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铝塑板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1.熟胶铝塑板，厚度不小于4mm、不小于21丝，抗弯强度≥50MPa；</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2.可开槽、折弯、折角及切割；</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3.颜色</w:t>
            </w:r>
            <w:r>
              <w:rPr>
                <w:rFonts w:hint="eastAsia" w:ascii="宋体" w:hAnsi="宋体" w:eastAsia="宋体" w:cs="宋体"/>
                <w:bCs/>
                <w:sz w:val="24"/>
                <w:szCs w:val="24"/>
                <w:lang w:val="en-US" w:eastAsia="zh-CN"/>
              </w:rPr>
              <w:t xml:space="preserve">由学校指定</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喷塑镀锌冲孔板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1.板材厚度不小于1.5mm镀锌冷轧钢板，锌层标准：双面镀锌锌层 ≥60g/㎡；</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2.开孔直径不大于70mm圆孔，切口平整，无毛刺，开孔均匀分布，双面表面：静电粉末喷塑、高温烘烤固化，表面需平整无色差；</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3.颜色</w:t>
            </w:r>
            <w:r>
              <w:rPr>
                <w:rFonts w:hint="eastAsia" w:ascii="宋体" w:hAnsi="宋体" w:eastAsia="宋体" w:cs="宋体"/>
                <w:bCs/>
                <w:sz w:val="24"/>
                <w:szCs w:val="24"/>
                <w:lang w:val="en-US" w:eastAsia="zh-CN"/>
              </w:rPr>
              <w:t xml:space="preserve">由学校指定</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立柱</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1.三根立柱为直径不小于275mm的镀锌钢管圆柱，壁厚不小于7㎜，立柱三根之间连接支模做钢筋基础连接；</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2.三根立柱外做整体结构，外包铝塑板装饰。</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基础</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1.按现场定位放线，机械配合人工开挖基坑，基坑尺寸（长*宽*深）不小于6米*0.8米*0.8米，清理基底，夯实找平，基底承载力满足结构荷载及抗倾覆要求；</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2.基础模板支设、加固，保证尺寸准确、不漏浆，基础钢筋制作、绑扎、安装，保护层厚度符合规范要求，预埋地脚螺栓及定位钢板安装，位置、垂直度、标高精准，浇筑过程不得位移；</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3.采用不低于C25商品混凝土一次性连续浇筑，振捣密实，表面收光，无蜂窝、麻面、空洞等缺陷，混凝土浇筑后覆盖保湿养护，养护期不少于7天，达到强度要求后方可进行上部安装；</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4.含基础内防雷接地扁钢预埋、接地极敷设，含施工垃圾清运、场地恢复、成品保护等。</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显示终端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1.≥98英寸，显示比例：16:9，分辨率不小于3840×2160，4K超高清显示，屏幕亮度：≥350cd/㎡；</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2.接口：≥2路 USB 接口 、≥1 路 HDMI接口，RAM内存（运行内存）≥4G，ROM存储（存储内存）≥32G；</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3.含配套壁挂安装支架。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报告厅显示屏-PLC智能配电柜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1.PLC控制方式，功率≥40KW，可分别独立控制全彩显示屏和会标条屏；</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2.含智能配电柜控制器、交流接触器、空开插座、空开、开关电源等，具有过流，过压，欠压，短路等保护功能；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3.支持在控制终端开关配电箱电源，并可实现远程开关电功能。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操场显示屏-PLC智能配电柜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1.PLC控制方式，功率≥40KW；</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2.含智能配电柜控制器、交流接触器、空开插座、空开、开关电源等，具有过流，过压，欠压，短路等保护功能；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3.支持在控制终端开关配电箱电源，并可实现远程开关电功能。</w:t>
            </w:r>
            <w:r>
              <w:rPr>
                <w:rFonts w:hint="eastAsia" w:ascii="宋体" w:hAnsi="宋体" w:eastAsia="宋体" w:cs="宋体"/>
                <w:bCs/>
                <w:sz w:val="24"/>
                <w:szCs w:val="24"/>
              </w:rPr>
            </w:r>
            <w:r/>
          </w:p>
        </w:tc>
      </w:tr>
      <w:tr>
        <w:trPr>
          <w:trHeight w:val="91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18U网络机柜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18U机柜，深度600mm，含三孔八位PDU。</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室外无线同屏器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1.支持扫码投屏和投屏码投屏，支持≥4路无线投屏显示，主机接口要求 HDMI≥1，RJ45 网口≥1，音频口≥1，USB 口≥2，天线≥3；</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投屏发射端软件支持:首页功能(输入IP地址连接设备、输入设备投屏码连接设备、二维码扫描连接设备、设备列表展示、开始投屏、停止投屏、投屏放大、投屏缩小)、系统设置(媒体设置、投屏码服务器地址设置、帮助查看)等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3.支持2.4G+5G双频无线连接，支持4K高清显示，提供AP热点覆盖功能，可提供无线投屏SDK开发工具包。</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室外防水同屏器天线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1.11AC双频并发，无线速率≥1900Mbps，千兆网口，千兆SFP光口，支持自动剔除弱信号设备；</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2.外置双频防水可拆全向天线，防护等级≥IP65；</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3.抱杆或壁挂安装。</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8口交换机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1.提供不少于8个10/100/1000M自适应RJ45端口，所有端口均可实现线速转发；</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2.每端口均支持MDI/MDIX自动翻转及双工/速率自协商；</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3.支持IEEE 802.3x全双工流控和Backpressure半双工流控。</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主扩线阵扬声器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1.系统：不小于2*10寸二分频线性阵列音箱；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2.频率响应：不小于65Hz-20KHz (-3dB)，功率：不小于600W；灵敏度：不小于103dB/1W/1M；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3.最大声压：不小于连续131dB；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4.覆盖角度：不小于水平120°，垂直10°。</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线阵安装吊架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1.架壁厚：≥30mm，承载重量：≥1000kg；</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2.包含田字架，2T吊带一套，U型扣一套。</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超低音扬声器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1.系统：不小于1*18寸超重低音音箱；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2.功率：不小于900W；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3.灵敏度：不小于99dB/1W/1M；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4.最大声压：不小于连续128dB。</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台唇扬声器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1.系统：不小于1*5寸二分频音箱；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2.频率响应：不小于70Hz-18KHz (-3dB)，功率：不小于80W，灵敏度：不小于92dB/1W/1M；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3.最大声压：不小于106dB。</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辅助扬声器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1.系统：不小于1*12寸二分频音箱；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2.频响范围：不小于50Hz－18KHz（±3dB），灵敏度：不小于96dB，</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3.最大声压级：不小于121dB；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4.功率：不小于350W；</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返听扬声器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1.系统：不小于1*12寸二分频音箱；</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2.频率响应：不小于60Hz-20KHz (-3dB)，功率：不小于300W，灵敏度：不小于98dB/1W/1M；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3.最大声压：不小于123dB；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4.覆盖角度：不小于水平50°-100°,垂直 55°。</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全频线阵功放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1.8Ω立体声输出功率:不小于800W，4Ω立体声输出功率:不小于1300W，8Ω电桥输出功率:不小于2000W ；</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3.信噪比&gt;97B，串音（20-20kHz）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超低功放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1.8Ω立体声输出功率:不小于1300W，4Ω立体声输出功率:不小于1800W，8Ω电桥输出功率:不小于2600W；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 &gt;97B ，串音（20-20kHz）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台唇功放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1.8Ω立体声输出功率:不小于300W，4Ω立体声输出功率:不小于480W，8Ω电桥输出功率:不小于700W；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 &gt;97B，串音（20-20kHz）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辅助功放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1.8Ω立体声输出功率:不小于400W，4Ω立体声输出功率:不小于650W，8Ω电桥输出功率:不小于1000W；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3.信噪比 &gt;97B ，串音（20-20kHz）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返听功放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1.8Ω立体声输出功率:不小于400W，4Ω立体声输出功率:不小于650W，8Ω电桥输出功率:不小于1000W；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2.频率响应:不小于20Hz-20KHz±0.5dB，电路类型：ClassAB；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3.信噪比 &gt;97B，串音（20-20kHz） &gt;70dB，输入灵敏度（8Ω） 0.775V/1.0V/1.4V；</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4.具有放大器保护、短路、过热、过载、直流电压，超声波和射频保护。</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数字音频处理器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1.不小于8路线路输入，不小于8路线路输出，配备LCD显示屏，可显示设备IP地址、版本号等，可通过有线或无线网对音频处理器进行控制；</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2.可控制话筒音量、开启与静音，根据发言人不同可通过手机或平板及时调整音量大小，可以调整话筒、音乐的均衡、压限、反馈，随时查看各个通道的情况；</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3.每个通道支持不低于8个点的自适应反馈抑制；</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4.内置可编程中控，支持UDP和232接口，可外接扩展器，内置声卡，支持音乐播放、音频录制、视频会议等功能，内置数字反馈功能，可通过面板高清显示屏调节反馈状态。</w:t>
            </w:r>
            <w:r>
              <w:rPr>
                <w:rFonts w:hint="eastAsia" w:ascii="宋体" w:hAnsi="宋体" w:eastAsia="宋体" w:cs="宋体"/>
                <w:bCs/>
                <w:sz w:val="24"/>
                <w:szCs w:val="24"/>
              </w:rPr>
            </w:r>
            <w:r/>
          </w:p>
        </w:tc>
      </w:tr>
      <w:tr>
        <w:trPr>
          <w:trHeight w:val="155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调音台</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1.不小于24路单声道与2组立体声输入，每路麦克风输入都配备+48V幻像电源开关功能；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2.不小于5组AUX辅助输出，不小于7段立体声图示均衡器；</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3.内置DSP数字24bit效果器，具有MP3播放器带USB接口带录音功能。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数字反馈抑制器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1.话筒和线路输入移频效果切换开关选择功能；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2.移频量：不小于7Hz±1Hz，传声增益提升量：不小于5-14dB；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3.线路输入阻抗≥5KΩ，线路输出阻抗≤600Ω，频率响应：不小于20Hz-20KHz。</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数字会议主机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1.具有不小于4.3英寸电容触摸显示屏，内置无线WIFI模块，连接WIFI可实时显示当前日期时间；</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2.支持局域网平板电脑软件控制会议主机功能，可使用APP完成调试，通过APP软件实现会议表决，可通过无线投屏将表决结果展示到大屏幕；</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3.主机具备数字密码锁，具有断电自动记忆功能，通电后不需再次设置即可使用，并可还原出厂设置，内置MP3录音，可支持不小于32G 存储；</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4.不小于四路8芯专用会议单元连接端口，不小于四路RJ45网线连接口，可连接不小于60支会议系统单元。</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数字主席机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1.具有方形短咪杆，上下活动角度不小于50度，话筒单元具有不小于4.0寸高清彩色电容触摸显示屏；</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主机连接WIFI，即可实时显示当前准确时间日期，无需电池储存时间，主机提示以及APP提示，显示当前会议模式、话筒ID号、话筒发言状态显示、发言计时动态显示、发言倒计时动态显示，发言距离可不小于40cm时声音清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3.话筒支持第三方中控实现视频跟踪、打开关闭，中控与会议系统主机使用工业RS232通讯协议代码。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数字代表机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1.具有方形短咪杆，上下活动角度不小于50度，话筒单元具有不小于4.0寸高清彩色电容触摸显示屏；</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主机连接WIFI，即可实时显示当前准确时间日期，无需电池储存时间，主机提示以及APP提示，显示当前会议模式、话筒ID号、话筒发言状态显示、发言计时动态显示、发言倒计时动态显示，发言距离可不小于40cm时声音清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3.话筒支持第三方中控实现视频跟踪、打开关闭，中控与会议系统主机使用工业RS232通讯协议代码。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一拖四无线手持话筒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1.包含4只无线麦克风，可搭配4只手持，动态范围：≥100dB，调制方式：FM，信噪比(S/N Ratio)：&gt;105dB；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2.集成中央处理器CPU的总线控制，配备LCD液晶界面显示，UHF612-698MHz频段，应用PLL频率合成锁相环技术，频率可调，接收机具有混音优先功能设定开关，具有一键混音功能，四路开启不啸叫；</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▲3.接收机具有不少于一路RS232接口，可对接第三方中控，接收各通道话筒的发言状态数据代码，用于视频跟踪功能（签订合同时提供具有CMA标识的检测报告）；</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接收机具有不少于两路RJ45网络接口，可用于多台设备之间级联，可级联不少于6套系统，设有回输啸叫抑制减弱功能，能有效减少回输啸叫，接收机上具有液晶显示屏，可显示4个通道的射频信号和强度、音频信号和强度、工作频率及频道等状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一拖四无线头戴话筒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1.包含4只无线麦克风，可搭配4只头戴，动态范围：100dB，调制方式：FM，信噪比(S/N Ratio)：&gt;105dB；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2.集成中央处理器CPU的总线控制，配备点阵液晶界面显示，UHF612-698MHz频段，应用PLL频率合成锁相环技术，频率可调，接收机具有混音优先功能设定开关，具有一键混音功能，四路开启不容易啸叫；</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3.接收机具有一路RS232接口，可对接第三方中控接收各通道话筒的发言状态数据代码，用于视频跟踪功能；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接收机具有不少于两路RJ45网络接口，可用于多台设备之间级联，可级联不少于6套系统，设有回输啸叫抑制减弱功能，能有效减少回输啸叫，接收机上具有液晶显示屏，可显示4个通道的射频信号和强度、音频信号和强度、工作频率及频道等状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全向天线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1.适用频宽范围：500MHz —850MHz，主机可提供4路12V DC电源输出，为4台无线接收机提供电源；</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2.支持四台宽频多频道接收机共用一对天线；输入阻抗：50Ω，输出阻抗：50Ω，增益 3dB-12dB，带宽 500MHz。</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电动葫芦</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行程不小于10米，承重不小于700KG。</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电源时序控制器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8路时序电源控制；具有RS232控制端口，支持电脑软件通过本端口控制设备开关，也可本地控制；支持与中控等第三方系统对接，支持接入第三方温湿度等传感器，实现环境监测管理；支持通过网络控制实现远程管理功能（如通过APP进行管理），可远程查看状态信息与使用情况，可实现定时任务、批量控制、单独控制、远程监测每个端口的开与关及系统运行态等操作；</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2.支持扩展能耗统计功能，内置功率计，电压、电流、功率、功率因数实时显示并且实时上传手机远程监控；支持电量统计，可查看所有的电源的电量使用情况，并可通过网络检测总负载电流/电压；</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3.支持手机/PAD等控制终端管理多台设备，当无实墙等物体遮挡情况下，WIFI传输距离≥30m，当多台同时管理时，可自定义每台设备名称及每路电源名称；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4.面板配置彩色LCD液晶显示屏，可显示电压、电流、功率、功率因数、网络状态、工作状态及保护状态。</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返听地插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嵌入式安装，面板仅可下翻不可上翻，纯铜面板，含四芯音箱接头。</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台唇地插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嵌入式安装，面板仅可下翻不可上翻，纯铜面板，含四芯音箱接头。</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多媒体地插</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1.嵌入式安装，面板仅可下翻不可上翻，纯铜面板；</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2.演讲台处1套地插：包含HDMI接口*1、五孔电源*1、3.5mm音频接口*1、卡侬接口*1、CAT6*1；</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3.舞台上3套地插：包含HDMI接口*1、五孔电源*1、3.5mm音频接口*1、卡侬接口*1、CAT6*1。</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操作台（三联）</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1.定制三联控制台，尺寸不小于宽1710mm*深900mm*高750mm；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2.Q235冷轧钢，台面中纤板及冷轧钢包边，高温烤漆防脱漆防起泡；</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3.含配套座椅，座椅面料采用网布材质，座椅高度可上下升降调节，配联动扶手。</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42U网络机柜</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42U机柜，深度800mm，含三孔八位PDU。</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面光灯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1.电源：AC100-240V 50-60Hz,功率：200W，光源：1颗200W COB 二合一，暖白、暖黄 双色选择，亮度可调；</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2.功能：具有程序自走、自编程序、偏色校正、色温设置、菜单设置等功能；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3.菜单显示：LCD数码显示，控制方式：DMX512、声控、自走、主从控制。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三基色灯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top"/>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1.输入电压：AC90-240V±10%，50/60Hz；额度功率：108W，光源类型：256颗0.5W SMD 5050 LEDs，50000H；显色指数：CRI≥Ra90；显示方式：液晶显示；光学系统：120°出光角度，高效乳白色导光板，解决眩光问题；</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2.色温范围：3200K/5600K；调光系统：0-100%线性调光，从0调整到100%没有颜色变化的完美调光系统，温度监控：内置温度保护传感器,通过自动调节灯具功率来进行过温保护；</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3.通道模式：1/2/3CH通道选择，控制模式：手动模式，DMX模式，主从模式。</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PAR灯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1.输入电压</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AC90V-245V/50-60Hz；功率:80W- 200W，光源:54颗1/3W高亮度LED ，光源寿命:6-10万小时，颜色:1670万种颜色变化；</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2.角度: 15度-30度(可以选择）；</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3.控制:DMX512（数码显示）、主从控制、自走、声控。</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电脑摇头光束灯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1.电源：输入AC100-240V，50-60Hz，功率：350W；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2.光束角度：不小于2°，颜色盘不小于7种颜色+白光，图案盘不小于9种图案+白光，棱镜：18棱镜+蜂窝棱镜，可正反旋转；</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3.控制模式：声控，自走，主从，DMX512，DMX通道：不小于12个通道。</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信号放大器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1.电源: AC100V-240V / 50-60Hz，不小于1路DMX512数码输入，1路DMX512直接输出；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2.不小于8路光隔离分配放大输出，信号具有放大整形功能，延长信号传输距离。</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灯控台</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1.DMX512标准，不小于512个DMX控制通道；不小于2路带隔离的独立输出驱动端口；</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2.可控制不小于32台16个通道电脑灯，带背光的LCD显示屏，用于显示各种运行参数；</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3.不小于16个通道推杆，1个速度控制推杆；</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4.不小于1600个走灯程序步储存容量，48个走灯程序，每程序最多100步，每步速度，渐变参数独立设置，可选音乐同步或手动速度控制。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12路电源箱</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1.信号接口：数字双DMX-512(1990)，额定功率：不小于12路×4KW. 每个回路最大输出功率不小于4kW；</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2.散热装置和强制风冷与智能环保控制系统相结合；</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3.调光曲线可设为线性或开关状态，开关值为50%，开关状态下输入的亮度值大于或等于50%时对应输出回路满输出，否则无输出；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4.过载与短路双重保护高分断空气开关。</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灯光杆</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根据现场环境定制，吊灯安装杆，长度不小于10米，承重不小于300KG。</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电动吊点杆</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1.单层缠绕大滚筒吊机，6吊点；</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2.杆体形式：三管桁架结构，含收线框；</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3.额定荷载8.0kN，工作行程8m，速度：0.002～0.2m/s，静音型双制动电机；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4.具有安全保护措施：松绳保护、超载(过流)保护、超程保护、超速保护等。</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大幕对开系统</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1.对开速度：V=0.16m/s，电机：配套，轨道长度（单边）：5m，总长：10m；</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2.具有转速可调、中间点限位、布料反弹修正、遇阻停止、停电手拉功能，具有多种控制方式，可自动设定记忆行程，保护装置：水平限位，载荷：幕布自重，遥控器控制。</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大幕</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1.材质为绒布，颜色可选，经过防火阻燃处理，具有遮蔽、遮光、不反声、不反光、隔离、防火、装饰等作用，悬垂性好。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大幕衬里</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材质为梭织遮光布，颜色选用与大幕相匹配，经过防火阻燃处理。</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云处理物联终端</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1.采用全分布式架构设计，去中心化构架，可扩展任意数量节点无需服务器，支持最低分辨率800*600到最高分辨率3840X2160@30Hz，输入节点能自动识别输入分辨率；</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▲2.支持电脑笔记本、移动平板等实现一键无线/有线网络方式桌面上屏、远程控制、桌面共享、文件传输、互动标注等，实现无纸化会议协作（签订合同时提供具有CMA标识的检测报告）；</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持大屏拼接、漫游、多图层叠加显示，单屏可以支持16路图像平铺，支持2k图像32层叠加，同时支持用户按需定制模式和调用，支持无缝对接平台，支持照明设备，进行开、关、亮度调节；支持接入空调设备进行电源开关、调节模式、调节风速、调节温度；持环境监测数据通过图标单元实时展示在各个客户端上，满足操作员对整体环境数据的统一管理，实时监测噪声、环境温度、环境湿度，提供告警提示；</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4.系统支持扩展中控功能，具有≥3路IR/IO接口，≥1路RS232接口，≥1路RS485接口，音频输入输出接口。</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分布式客户端控制编程软件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1.支持多点触控操作，通过简单触控操作实现对全平台的管理；支持预案保存及调用功能，支持预案轮巡功能，支持大屏拼接、漫游、叠加功能；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2.支持信号源画面实时预览功能，支持显示终端开窗实时回显功能，支持信号拖拽开窗功能，可实现开窗画面移动及放大、缩小、关闭开窗等；</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3.支持对音频处理器、灯光、窗帘、空调等第三方设备可视化控制功能；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4.支持信号源音量可视化调节功能。</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无线同屏系统</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1.含发射、接收模块，无需在PC上安装软件，无需占用电脑Wifi；</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2.无线投屏主机自带双Wifi无线桥接局域网保证移动终端连接主机同时可上网；</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3.传屏不占用电脑wifi，电脑仍可以上网，视频输出：通过HDMI和VGA输出，输出的有效画面与源端的有效画面比例相同；</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4.可同时通过HDMI和VGA输出相同内容，传输延时≤120ms，支持APP投屏时音视频同时输出。</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平板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1.屏幕尺寸≥10英寸；</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2.运行内存（RAM）≥6GB，存储容量（ROM）≥128GB；</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3.分辨率≥2560 * 1600 像素，CPU核数≥八核。</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交换机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1.不少于24口全千兆POE交换机，全金属外壳，无风扇散热设计；</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2.符合IEEE802.3af/at/btPoe供电标准，支持AIWatchdong功能；</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3.支持即插即用，无需配置。</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无线路由器</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cs="宋体"/>
                <w:bCs/>
                <w:color w:val="000000"/>
                <w:sz w:val="24"/>
                <w:szCs w:val="24"/>
              </w:rPr>
              <w:t xml:space="preserve">1.WAN和LAN口采用千兆端口，≥4口，支持盲插；</w:t>
            </w:r>
            <w:r>
              <w:rPr>
                <w:rFonts w:hint="eastAsia" w:ascii="宋体" w:hAnsi="宋体" w:cs="宋体"/>
                <w:bCs/>
                <w:color w:val="000000"/>
                <w:sz w:val="24"/>
                <w:szCs w:val="24"/>
              </w:rPr>
              <w:br w:type="textWrapping" w:clear="all"/>
            </w:r>
            <w:r>
              <w:rPr>
                <w:rFonts w:hint="eastAsia" w:ascii="宋体" w:hAnsi="宋体" w:cs="宋体"/>
                <w:bCs/>
                <w:color w:val="000000"/>
                <w:sz w:val="24"/>
                <w:szCs w:val="24"/>
              </w:rPr>
              <w:t xml:space="preserve">2.采用外置天线，整机数据流≥6，支持2.4G&amp;5G，无线传输速率≥1900Mbps；</w:t>
            </w:r>
            <w:r>
              <w:rPr>
                <w:rFonts w:hint="eastAsia" w:ascii="宋体" w:hAnsi="宋体" w:cs="宋体"/>
                <w:bCs/>
                <w:color w:val="000000"/>
                <w:sz w:val="24"/>
                <w:szCs w:val="24"/>
              </w:rPr>
              <w:br w:type="textWrapping" w:clear="all"/>
            </w:r>
            <w:r>
              <w:rPr>
                <w:rFonts w:hint="eastAsia" w:ascii="宋体" w:hAnsi="宋体" w:cs="宋体"/>
                <w:bCs/>
                <w:color w:val="000000"/>
                <w:sz w:val="24"/>
                <w:szCs w:val="24"/>
              </w:rPr>
              <w:t xml:space="preserve">3.支持App、Web管理，支持Mesh组网。</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物联网平台</w:t>
            </w:r>
            <w:r>
              <w:rPr>
                <w:rFonts w:hint="eastAsia" w:ascii="宋体" w:hAnsi="宋体" w:eastAsia="宋体" w:cs="宋体"/>
                <w:bCs/>
                <w:sz w:val="24"/>
                <w:szCs w:val="24"/>
              </w:rPr>
            </w:r>
            <w:r/>
          </w:p>
        </w:tc>
        <w:tc>
          <w:tcPr>
            <w:tcBorders>
              <w:top w:val="single" w:color="000000" w:sz="4" w:space="0"/>
              <w:left w:val="non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1.支持私有云及公有云部署，配置基于浏览器方式，支持主流浏览器端，不需安装任何插件包（如：Flash控件、ActiveX控件、Applet控件）；</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菜单、布局方式支持全面可配置，支持微信公众号实现信息同步发布，支持单机、单网、双网等网络拓扑，支持LoRa、ZigBee、OPC、OPC-UA、Modbus、MQTT等多种开放式通信协议，能与智能仪表、传感器、PLC等通信，支持配置自定义协议（非编码格式，图形化配置界面），支持平台下发协议解析规则到终端或平台透传指令到终端；</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3.支持MySQL、Oracle、SQL Server等多种数据库存储历史数据，支持驱动插件式管理，驱动模块即插即用；</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4.提供物联网智能设备应用场景监控和联动配置，提供对角色名称、描述、权限类型的配置，能够实现不同用户的控制权限控制。</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无线智能网关</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1.通讯配置：支持ZigBee与WiFi两种无线通信协议，能够适配符合相应协议的物联网智能硬件的网络接入请求，供电方式：DC 5V或满足IEEE 802.3 af标准协议的POE供电，通信速率：ZigBee：250kbps，WiFi：150Mbps；</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2.网口配备：具有广域网与局域网信号传输条件，同时配有有线网络WAN口及LAN口，支持在无外部网络连接的条件下使用WEB端进行参数配置；</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3.可选择性打开或隐藏网关无线WiFi功能，支持通过H5配置页面动态查看所有关联智能硬件终端的实时信号值以及在离线状态；</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能够使用PC端、手机端直接通过网关发送控制指令实现对其关联智能终端的远程开关管理与个性化功能设置，提供对已配置入网设备的ZigBee路由径路图查看功能，支持包括触发设备、执行设备、执行时间等信息的逻辑配置。</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物联网授权软件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1.支持根据软件系统实际接入的设备量情况进行授权配置，支持与Windows、iOS、Android等操作系统完全匹配，能够接受各类型显示终端的介入管理；</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2.保护代码逻辑，支持多种开发语言的加密配置，为场景设备授权绑定后即可离线，在出现公网中断时也能够通过本地网正常使用软件完成各项管理；</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3.支持在线或离线两种激活方式，内网完全离线时可保持许可状态，获取软件使用权；</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4.软件终身授权。</w:t>
            </w:r>
            <w:r>
              <w:rPr>
                <w:rFonts w:hint="eastAsia" w:ascii="宋体" w:hAnsi="宋体" w:eastAsia="宋体" w:cs="宋体"/>
                <w:bCs/>
                <w:sz w:val="24"/>
                <w:szCs w:val="24"/>
              </w:rPr>
            </w:r>
            <w:r/>
          </w:p>
        </w:tc>
      </w:tr>
      <w:tr>
        <w:trPr>
          <w:trHeight w:val="115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AI录播主机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cs="宋体"/>
                <w:bCs/>
                <w:color w:val="000000"/>
                <w:sz w:val="24"/>
                <w:szCs w:val="24"/>
              </w:rPr>
              <w:t xml:space="preserve">1.</w:t>
            </w:r>
            <w:r>
              <w:rPr>
                <w:rFonts w:hint="eastAsia" w:ascii="宋体" w:hAnsi="宋体" w:eastAsia="宋体" w:cs="宋体"/>
                <w:bCs/>
                <w:color w:val="000000"/>
                <w:sz w:val="24"/>
                <w:szCs w:val="24"/>
              </w:rPr>
              <w:t xml:space="preserve">主机采用集成化设计，采用触控电容</w:t>
            </w:r>
            <w:r>
              <w:rPr>
                <w:rFonts w:hint="eastAsia" w:ascii="宋体" w:hAnsi="宋体" w:eastAsia="宋体" w:cs="宋体"/>
                <w:bCs/>
                <w:color w:val="000000"/>
                <w:sz w:val="24"/>
                <w:szCs w:val="24"/>
                <w:lang w:val="en-US" w:eastAsia="zh-CN"/>
              </w:rPr>
              <w:t xml:space="preserve">屏</w:t>
            </w:r>
            <w:r>
              <w:rPr>
                <w:rFonts w:hint="eastAsia" w:ascii="宋体" w:hAnsi="宋体" w:eastAsia="宋体" w:cs="宋体"/>
                <w:bCs/>
                <w:color w:val="000000"/>
                <w:sz w:val="24"/>
                <w:szCs w:val="24"/>
              </w:rPr>
              <w:t xml:space="preserve">≥15英寸，屏幕分辨率≥1920*1080，主机CPU≥8核，算力≥6TOPS，存储容量≥1TB。（签订合同时提供具有CMA标识的检测报告）；</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2.接口：≥5个HDMI高清接口，≥5个RJ45接口，≥4个音频接口，≥1个数字麦克风输入接口，≥5个USB接口，≥1个RS422接口，支持 H.264、H.265、1080p@30fps编码/解码，支持查看设备在线和离线状态，查看设备 ID 地址、IP 地址、激活时间信息，实现对设备的远程配置，支持远程升级；</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3.在导播界面的预览窗</w:t>
            </w:r>
            <w:r>
              <w:rPr>
                <w:rFonts w:hint="eastAsia" w:ascii="宋体" w:hAnsi="宋体" w:eastAsia="宋体" w:cs="宋体"/>
                <w:bCs/>
                <w:sz w:val="24"/>
                <w:szCs w:val="24"/>
              </w:rPr>
              <w:t xml:space="preserve">口可实时观看教师全景/特写、学生全景/特写、多媒体电脑共五路画面，点击可进行画面切换。预监画面可实时推流给资源平台，实现平台直播，支持标准SIP音视频互动协议，支持1080P@60fps全高清视频互动，支持1+3+直播接入的互动授课模式，可接入1个主讲教室、3个互动教室和直播听课教室，支持互动过程中，进行性能监控，可监控网络丢包率、上行带宽、下行带宽、最大虚拟内存、当前虚拟内存、当前物理内存、当前句柄数量、当前进程数量、当前CPU使用率。设备双向互动过程中，在系统总丢包率 50%的网络环境下，视频清晰流畅无</w:t>
            </w:r>
            <w:r>
              <w:rPr>
                <w:rFonts w:hint="eastAsia" w:ascii="宋体" w:hAnsi="宋体" w:eastAsia="宋体" w:cs="宋体"/>
                <w:bCs/>
                <w:sz w:val="24"/>
                <w:szCs w:val="24"/>
              </w:rPr>
              <w:t xml:space="preserve">卡顿，语音连贯，支持合成1920*1080的PGM画面，包含导播画面、教师全景画面、教师特写画面、学生全景画面、学生特写画面；支持多种类型视频信号接入，支持标准网络视频信号接入、高速数字信号接入，支持通过rtsp协议接入第三方摄像机视频流，支持教师端跟踪区域、快照区域、板书区域、屏蔽区域设置，勾选后可通过鼠标绘制对应区域，不同区域通过不同颜色画框展现，支持智能检测，系统可自动框选跟踪区域，快速清除快照区域，调用相机配置，自动确定跟踪区域，支持学生端开启人脸检测，开启后将通过人脸判定跟踪目标是否需要切换特写；</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4.系统支持对教室环境的还原重建，形成桌</w:t>
            </w:r>
            <w:r>
              <w:rPr>
                <w:rFonts w:hint="eastAsia" w:ascii="宋体" w:hAnsi="宋体" w:eastAsia="宋体" w:cs="宋体"/>
                <w:bCs/>
                <w:sz w:val="24"/>
                <w:szCs w:val="24"/>
              </w:rPr>
              <w:t xml:space="preserve">椅、讲台等真实环境建模，采集到的师生互动行为自动对应到具体课桌位置；支持≥5种视角转换，通过热力图等方式表示学生参与互动的活跃程度，基于学生上台次数、举手次数、问答次数计算学生活跃程度，颜色越深则代表越活跃，在课堂孪生界面中，支持点击课堂活跃热力图中的学生头像，查看该学生的师生互动视频片段，统计该学生在本节课的上台互动、举手次数、问答次数，支持在地面上显示教师的巡堂轨迹，颜色越深代表停留时间越长，系统自动统计教师授课、师生互动、小组讨论、课堂练习的时间分布情况，支持图形可视化展示不同课堂行为的整体时间占比；</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系统自动统计教师授课、师生互动、小组讨论、课堂练习的时间分布情况，支持按照时序图样式展示，展示不同课堂行为发生的顺序、时长，系统将课堂中老师和学生的声音转写为文字，按照前后文逻辑关系自动切割为不同的片段；片段支持展开查看详细文字，支持跳转到文字段落对应的视频片段，系统支持自动识别问答模式分类，按简单型、追问型、思考再答型、自问自答、无响应进行分类统计，通过柱状图表呈现，系统支持通过编码规则对课堂数据进行每秒1次的打点，自动计算出启发/指导比（I/D）、学生稳态比（PS</w:t>
            </w:r>
            <w:r>
              <w:rPr>
                <w:rFonts w:hint="eastAsia" w:ascii="宋体" w:hAnsi="宋体" w:eastAsia="宋体" w:cs="宋体"/>
                <w:bCs/>
                <w:sz w:val="24"/>
                <w:szCs w:val="24"/>
              </w:rPr>
              <w:t xml:space="preserve">SR）、教学内容比（CCR）、学生发言比（PIR）、教师提问比（TQR）、教学/调控比（TRR）的指标数值，通过雷达图呈现，系统将课堂实录自动切割为关键片段，根据模式的选择播放指定的片段内容；片段中包含提问、回答、举手、上台、齐读、讨论的教学事件，播放进度条支持显示事件类型、定位播放功能，系统支持计算本节课的教师行为占有率Rt、师生行为转换率Ch，基于本节课的Rt值、Ch值得出本节课的教学模式，教学模式包含：混合型、练习型、讲授型、对话型，系统支持以海报、二维码、链接的方式分享给他人，支持在移动端查看报告。</w:t>
            </w:r>
            <w:r>
              <w:rPr>
                <w:rFonts w:hint="eastAsia" w:ascii="宋体" w:hAnsi="宋体" w:eastAsia="宋体" w:cs="宋体"/>
                <w:bCs/>
                <w:sz w:val="24"/>
                <w:szCs w:val="24"/>
              </w:rPr>
            </w:r>
            <w:r/>
          </w:p>
        </w:tc>
      </w:tr>
      <w:tr>
        <w:trPr>
          <w:trHeight w:val="432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69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教师摄像机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用全景特写双镜头，全景镜头水平视场角≥40°，特写镜头水平视场角≥20°，支持4K超高清，内置图像识别跟踪算法，搭配隐藏式云台。采用低畸变设计，全景畸变≤±1%，特写畸变≤±1%，接口支持RJ45接口≥1路，Type-C接口≥1路，Line in接口≥1路，传感器尺寸 CMOS ≥ 1/2.8英寸，有效像素≥400万，特写图像传感器有效像素≥800万，支持自动白平衡；支持2D&amp;3D数字降噪；</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支持H.264、H.265、MJPEG视频编码格式，支持音视频信号输出，支持UVC和UAC协议，通过主机TypeC接口可以实现图像和声音同步输出，兼容主流视频会议软件，内嵌智能跟踪算法，无需单独安装定位跟踪主机及其他任何辅助拍摄设备，即可实现跟踪定位控制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3.系统采用智能图像识别算法，高清摄像机同时输出不少于2路场景画面并分析计算，支持设置摄像机亮度、饱和度、对比度、锐度、色度、快门速度；</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4.支持RTMP推流、RTSP拉流、ONVIF协议、GB28181协议，支持跟随模式、混合模式、双镜模式、三预置位等多种导播模式。</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学生摄像机</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用全景特写双镜头，全景镜头水平视场角≥110°，特写镜头水平视场角≥40°，内置图像识别跟踪算法，搭配隐藏式云台；采用低畸变设计，全景畸变≤±2.5%，特写畸变≤±1%，接口支持RJ45接口≥1路，Type-C接口≥1路，Line in接口≥1路，传感器尺寸 CMOS ≥ 1/2.8英寸，有效像素≥400万，特写图像传感器有效像素≥800万，支持自动白平衡；支持2D&amp;3D数字降噪；</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2.支持H.264、H.265、MJPEG视频编码格式，内嵌智能跟踪算法，无需单独安装定位跟踪主机及其他任何辅助拍摄设备，即可实现跟踪定位控制功能；</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3.采用智能图像识别算法，高清摄像机同时输出不少于2路场景画面并分析计算，支持设置摄像机亮度、饱和度、对比度、锐度、色度、快门速度；</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4.支持对摄像机网络进行管理，包括设置IP地址/网关/DNS等。</w:t>
            </w:r>
            <w:r>
              <w:rPr>
                <w:rFonts w:hint="eastAsia" w:ascii="宋体" w:hAnsi="宋体" w:eastAsia="宋体" w:cs="宋体"/>
                <w:bCs/>
                <w:sz w:val="24"/>
                <w:szCs w:val="24"/>
              </w:rPr>
            </w:r>
            <w:r/>
          </w:p>
        </w:tc>
      </w:tr>
      <w:tr>
        <w:trPr>
          <w:trHeight w:val="37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全向麦克风</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1.内置≥8个传感器单元，拾音半径≥8m，信噪比≥68dB，支持≥2个数字音频接口，支持数字音频传输，每个接口都具备输入接口和输出接口能力，支持盲插；支持状态指示灯；</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2.频率响应范围不低于50Hz~16KHz，声压级≥130dBSPL，10%THD@1 KHz；</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通过网线实现麦克风供电、音频信号传输、参数调整，支持降噪、回声抵消、混响抑制、自动增益控制、多麦融合多种音频算法，支持全频带全双工自适应回声消除算法，支持全频自适应AI降噪技术，降噪电平≥24dB；</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4.配套2支麦克风和2套安装支架。</w:t>
            </w:r>
            <w:r>
              <w:rPr>
                <w:rFonts w:hint="eastAsia" w:ascii="宋体" w:hAnsi="宋体" w:eastAsia="宋体" w:cs="宋体"/>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远程互动课堂软件</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支持微信扫码登录方式，无需输入帐号密码即可登录软件进入课堂，支持显示预约的活动信息，包括直播活动、互动课堂、网络教研的活动类型、活动名称、活动时间、活动状态及对应授课老师，支持搭配互动录播主机，进入录制视频、直播活动、互动课堂、网络教研活动；</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支持查看参与互动的教室网络连接情况，可看到彼此的设备网络环境。房间内所有用户都可以查看到每个上台成员的网络情况。支持由低到高至少4档位的信号展示，在进行互动课堂或网络教研时，支持不少于3种角色实时切换。其中主持人角色可将课中任意成员实时设置为授课老师或学生，支持控制学生批注权限。支持根据设备类型，智能授予批注权限，使用交互智能平板的学生将自动获得批注权限。使用其他设备的学生可由主持人、授课老师在课中管理学生的批注权限，学生拥有批注权限可以在课件与白板中进行板书；</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主持人可以控制锁定房间，锁定后听课成员无法通过房间号、拨号、连接等形式申请加入房间，授课老师无法邀请他成员加入房间，仅主持人可以邀请其他成员加入房间，授课过程中支持用户调起白板工具，在交互智能平板上进行板书，板书内容将在听课端实时同步；支持听课成员在交互智能平板上板书，反向实时同步至授课端及其他听课端；</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支持用户在云课件中进行远程同步课堂活动，支持用户在云课件中进行远程班级竞赛，异地教室的学生可在交互智能平板上进行知识竞赛活动，支持不少于4个教室的学生同时参与竞赛，在活动中，支持讨论功能，所有成员都可在讨论区发送文字信息，讨论区可收起、展开。</w:t>
            </w:r>
            <w:r>
              <w:rPr>
                <w:rFonts w:hint="eastAsia" w:ascii="宋体" w:hAnsi="宋体" w:eastAsia="宋体" w:cs="宋体"/>
                <w:bCs/>
                <w:sz w:val="24"/>
                <w:szCs w:val="24"/>
              </w:rPr>
            </w:r>
            <w:r/>
          </w:p>
        </w:tc>
      </w:tr>
      <w:tr>
        <w:trPr>
          <w:trHeight w:val="38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室内LED全彩显示屏通讯线缆及布线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1.六类非屏蔽双绞线，线规；23AGW；</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2.至少布设8根线材，单根长度不小于50米；</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3.含配套PVC管、线材、弯头、卡子等，排管敷设，满足现场实际使用需求。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室内LED全彩显示屏供电电缆及布线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1.符合GB/T 12706.1-2020标准线材，材质YJV5*6MM²，长度不小于10米，具有高阻燃性；</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2.RVV3*2.5mm²电源线6根，单根长度不小于50米；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3.含配套PVC管、线材、弯头、卡子等，排管敷设，满足现场实际使用需求。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单色会标条屏线材及布线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1.六类非屏蔽双绞线，线规；23AGW，至少布设1根线材，长度不小于50米；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2.RVV3*4mm²电源线1根，长度不小于50米；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3.含配套PVC管、线槽、弯头、卡子等，强弱电分开排管敷设，满足现场实际使用需求。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76</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室外LED全彩显示屏供电电缆及布线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1.符合GB/T 12706.1-2020标准线材，材质YJV4*10+1*6mm²，长度不小于30米，具有高阻燃性；</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2.RVV3*4mm²电源线，长度不小于90米；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3.含配套PVC管、线槽、PE管、弯头、卡子等，排管敷设，路面剖路及路面恢复，满足现场实际使用需求。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77</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室外LED全彩显示屏通讯线缆及布线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1.六类防水非屏蔽双绞线，线规：23AGW；</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2.至少布设5根线材，单根长度不小于80米；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3.含配套PVC管、线槽、PE管、弯头、卡子等，排管敷设，路面剖路及路面恢复，满足现场实际使用需求。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78</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室外LED全彩显示屏HDMI线及布设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1.传输距离不小于80米，≥4K60Hz，光纤传输，无延时、闪屏；</w:t>
            </w:r>
            <w:r>
              <w:rPr>
                <w:rFonts w:hint="eastAsia" w:ascii="宋体" w:hAnsi="宋体" w:eastAsia="宋体" w:cs="宋体"/>
                <w:bCs/>
                <w:sz w:val="24"/>
                <w:szCs w:val="24"/>
              </w:rPr>
              <w:br w:type="textWrapping" w:clear="all"/>
            </w:r>
            <w:r>
              <w:rPr>
                <w:rFonts w:hint="eastAsia" w:ascii="宋体" w:hAnsi="宋体" w:eastAsia="宋体" w:cs="宋体"/>
                <w:bCs/>
                <w:sz w:val="24"/>
                <w:szCs w:val="24"/>
              </w:rPr>
              <w:t xml:space="preserve">2.排管敷设，路面剖路及路面恢复，满足现场实际使用需求。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79</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HDMI成品线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不小于20米HDMI成品线，版本2.0及以上，镀金接口。</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80</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non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室外防水箱</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定制室外不锈钢防水箱，尺寸≥300*400*150mm。</w:t>
            </w:r>
            <w:r>
              <w:rPr>
                <w:rFonts w:hint="eastAsia" w:ascii="宋体" w:hAnsi="宋体" w:eastAsia="宋体" w:cs="宋体"/>
                <w:bCs/>
                <w:sz w:val="24"/>
                <w:szCs w:val="24"/>
              </w:rPr>
            </w:r>
            <w:r/>
          </w:p>
        </w:tc>
      </w:tr>
      <w:tr>
        <w:trPr>
          <w:trHeight w:val="246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81</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non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扩声系统线材布设及辅材</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1.2*150芯金银线，长度不小于700米，RVVP2*0.5信号线，长度不小于100米，RVV3*2.5电源线，长度不小于50米；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2.六类非屏蔽双绞线，线规：23AGW，长度不小于100米，舞台信息插所需HDMI线4根，版本2.0及以上，镀金接口，单根长度不小于30米，2米长HDMI成品跳线5根，版本2.0及以上，镀金接口；</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3.2米长公母卡侬成品线30根，四芯音箱头、卡侬头、大二芯接头、9芯串口头（公母）、水晶头、电工胶布、钢丝绳、扎带、膨胀管、标签、管材、预埋件等；</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82</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灯光及大幕系统线材及布线</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1.RVVP2*0.5信号线，长度不小于300米；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2.RVV3*2.5电源线，长度不小于350米；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3.含配套PVC管、线槽、PE管、弯头、卡子等，排管敷设，满足现场实际使用需求。</w:t>
            </w:r>
            <w:r>
              <w:rPr>
                <w:rFonts w:hint="eastAsia" w:ascii="宋体" w:hAnsi="宋体" w:eastAsia="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83</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灯光辅材</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包括大号灯钩保险丝，保险绳等。</w:t>
            </w:r>
            <w:r>
              <w:rPr>
                <w:rFonts w:hint="eastAsia" w:ascii="宋体" w:hAnsi="宋体" w:eastAsia="宋体" w:cs="宋体"/>
                <w:bCs/>
                <w:sz w:val="24"/>
                <w:szCs w:val="24"/>
              </w:rPr>
            </w:r>
            <w:r/>
          </w:p>
        </w:tc>
      </w:tr>
      <w:tr>
        <w:trPr>
          <w:trHeight w:val="130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84</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分布式传输控制系统线材及布设</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1.六类非屏蔽双绞线，线规：23AGW，长度不小于100米；</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2.2米长HDMI成品跳线11根，版本2.0及以上，镀金接口；</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3.含配套PVC管、线槽、PE管、弯头、卡子等，排管敷设，满足现场实际使用需求。</w:t>
            </w:r>
            <w:r>
              <w:rPr>
                <w:rFonts w:hint="eastAsia" w:ascii="宋体" w:hAnsi="宋体" w:eastAsia="宋体" w:cs="宋体"/>
                <w:bCs/>
                <w:sz w:val="24"/>
                <w:szCs w:val="24"/>
              </w:rPr>
            </w:r>
            <w:r/>
          </w:p>
        </w:tc>
      </w:tr>
      <w:tr>
        <w:trPr>
          <w:trHeight w:val="202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85</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系统集成及调试</w:t>
            </w: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8203"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1.报告厅室内LED大屏及条屏安装调试、灯光系统安装调试、音响系统安装调试、物联及控制系统安装调试、大幕系统安装调试、地插、控制台及机柜安装调试；</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2.室外LED全彩显示屏安装包边装饰及调试；</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3.教室录播系统安装调试；</w:t>
            </w:r>
            <w:r>
              <w:rPr>
                <w:rFonts w:hint="eastAsia" w:ascii="宋体" w:hAnsi="宋体" w:eastAsia="宋体" w:cs="宋体"/>
                <w:bCs/>
                <w:sz w:val="24"/>
                <w:szCs w:val="24"/>
              </w:rPr>
            </w:r>
            <w:r/>
          </w:p>
          <w:p>
            <w:pPr>
              <w:pStyle w:val="869"/>
              <w:jc w:val="left"/>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4.与学校原有相应系统对接，根据现场环境系统联调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采购人负责协调对接工作，联系方式详见第一章</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w:t>
            </w:r>
            <w:r>
              <w:rPr>
                <w:rFonts w:hint="eastAsia" w:ascii="宋体" w:hAnsi="宋体" w:eastAsia="宋体" w:cs="宋体"/>
                <w:bCs/>
                <w:sz w:val="24"/>
                <w:szCs w:val="24"/>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highlight w:val="none"/>
          <w:lang w:val="en-US" w:eastAsia="zh-CN"/>
        </w:rPr>
        <w:t xml:space="preserve">2.其他技术要求</w:t>
      </w:r>
      <w:r>
        <w:rPr>
          <w:rFonts w:hint="eastAsia" w:ascii="宋体" w:hAnsi="宋体" w:eastAsia="宋体" w:cs="宋体"/>
          <w:bCs/>
          <w:color w:val="0000ff"/>
          <w:sz w:val="24"/>
          <w:szCs w:val="24"/>
          <w:highlight w:val="none"/>
          <w:lang w:val="en-US" w:eastAsia="zh-CN"/>
        </w:rPr>
        <w:t xml:space="preserve"> </w:t>
      </w:r>
      <w:r>
        <w:rPr>
          <w:rFonts w:hint="eastAsia" w:ascii="宋体" w:hAnsi="宋体" w:eastAsia="宋体" w:cs="宋体"/>
          <w:bCs/>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宋体"/>
          <w:bCs/>
          <w:color w:val="000000"/>
          <w:sz w:val="24"/>
          <w:szCs w:val="24"/>
          <w:lang w:val="en-US" w:eastAsia="zh-CN"/>
        </w:rPr>
        <w:t xml:space="preserve">本项目中标记为政府强制采购节能产品，签订合同时提供国家确定的认证机构出具的、处于有效期之内的节能产品认证证书。</w:t>
      </w: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2"/>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①供应商提供设备安装日程计划。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②供应商应及时与采购人联系，对本项目所有产品的规格尺寸、款式、颜色等要求进一步确认，得到采购人的签字盖章认可后方可生产，并确保产品质量。</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（3）安全实施要求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供应商应采取安全措施，确保实施安全。因本项目实施产生的实施人员和学校师生人身安全问题由供应商承担全部责任。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项目验收，采购人将邀请专家现场验收，通过专业设备进行测试。本项目中所用P2.5室内LED全彩显示屏（产品清单1）、P4室外LED全彩显示屏（产品清单2）单元模组强制送检，检测内容包括：①P2.5室内LED全彩显示屏：封装方式：≤SMD2121（1R1G1B），铜支架，铜支架铜线封装；恒</w:t>
      </w:r>
      <w:r>
        <w:rPr>
          <w:rFonts w:hint="eastAsia" w:ascii="宋体" w:hAnsi="宋体" w:eastAsia="宋体" w:cs="宋体"/>
          <w:color w:val="000000"/>
          <w:sz w:val="24"/>
          <w:szCs w:val="24"/>
          <w:lang w:val="en-US" w:eastAsia="zh-CN"/>
        </w:rPr>
        <w:t xml:space="preserve">流驱动1/32扫描，白平衡亮度：≥800cd/㎡，刷新频率：≥3840Hz。色温：3000K—9000K连续可调；均匀度≥97%，对比度≥4000:1，色度均匀性：（X,Y)±0.003，换帧频率 ≥60Hz；灰度等级：红、绿、蓝≥14bits，平均功耗≤300W/㎡ ，最大功耗 ≤720W/㎡。交直流电源线使用不低于国标GB/T5023-2008线材；模组之间的连接线如采用扁平带线，则该线中每根信号线使用不低于7×0.10mm镀锡铜线。②P4室外LED全彩显示屏：封装方式：≤SMD1921（1R1G1B）</w:t>
      </w:r>
      <w:r>
        <w:rPr>
          <w:rFonts w:hint="eastAsia" w:ascii="宋体" w:hAnsi="宋体" w:eastAsia="宋体" w:cs="宋体"/>
          <w:color w:val="000000"/>
          <w:sz w:val="24"/>
          <w:szCs w:val="24"/>
          <w:lang w:val="en-US" w:eastAsia="zh-CN"/>
        </w:rPr>
        <w:t xml:space="preserve">，铜支架纯金线封装（含金量纯度≥99.99）；白平衡亮度：≥6000cd/㎡；刷新频率：≥3840Hz，色温：3000K—9000K连续可调，均匀度≥97%，对比度≥4000:1，色度均匀性：（X,Y)±0.003，换帧频率 ≥60Hz，防护等级：≥IP65；峰值功耗≤850W/m²；平均功耗≤250W/m²。交直流电源线使用不低于国标GB/T5023-2008线材；模组之间的连接线如采用扁平带线，则该线中每根信号线使用不低于7×0.10mm镀锡铜线（送检产生的所有费用由供应商自行承担，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①供应商提供项目整体上门质保三年（含）以上（自验收报告签字确认日起，进入质保期），质保期内每年维护保养1次，维护保养及更换损坏件的费用包含在投标总价中。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③质保期外，供应商提供终生服务，在货物的设计使用寿命周期内，供应商能保证采购人更换到原厂正宗的备件材料，确保产品的正常使用。 </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④质保期内维修（人为因素除外）费用包含在投标总价中，质保期外提供不高于市场价格的终身维护。签订合同时提供质保期外配件价格明细表。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⑤供应商提供售后服务承诺书，包括质保期、质量问题处理方法。</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（6）培训要求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供应商对使用单位采购设备的使用和维护提供培训，培训的内容包括设备和软件的安装、使用以及软硬件基本维护知识。培训使用单位管理人员不少于2人、人均培训不少于6课时。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（7）实施人员要求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①本项目实施人员不少于4人，其中项目负责人1人。</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②项目实施中供应商要保证项目负责人稳定，如遇项目负责人变更，须及时递交变更报告，采购人有权要求继任项目负责人知识水平不低于原项目负责人。</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w:t>
      </w:r>
      <w:r>
        <w:rPr>
          <w:rFonts w:hint="eastAsia" w:ascii="宋体" w:hAnsi="宋体" w:eastAsia="宋体" w:cs="宋体"/>
          <w:color w:val="000000"/>
          <w:sz w:val="24"/>
          <w:szCs w:val="24"/>
          <w:lang w:val="en-US" w:eastAsia="zh-CN"/>
        </w:rPr>
        <w:t xml:space="preserve">一中思益学校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7"/>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0"/>
        <w:rPr>
          <w:rFonts w:hint="eastAsia"/>
          <w:lang w:eastAsia="zh-CN"/>
        </w:rPr>
      </w:pPr>
      <w:r>
        <w:rPr>
          <w:rFonts w:hint="eastAsia"/>
          <w:lang w:eastAsia="zh-CN"/>
        </w:rPr>
      </w:r>
      <w:r/>
    </w:p>
    <w:p>
      <w:pPr>
        <w:pStyle w:val="869"/>
        <w:rPr>
          <w:rFonts w:hint="eastAsia" w:ascii="宋体" w:hAnsi="宋体" w:eastAsia="宋体" w:cs="宋体"/>
          <w:sz w:val="24"/>
          <w:szCs w:val="24"/>
        </w:rPr>
      </w:pPr>
      <w:r>
        <w:rPr>
          <w:rFonts w:hint="eastAsia" w:ascii="宋体" w:hAnsi="宋体" w:eastAsia="宋体" w:cs="宋体"/>
          <w:sz w:val="24"/>
          <w:szCs w:val="24"/>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_Toc120614281"/>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w:t>
      </w:r>
      <w:r>
        <w:rPr>
          <w:rFonts w:hint="eastAsia" w:ascii="宋体" w:hAnsi="宋体" w:eastAsia="宋体" w:cs="宋体"/>
          <w:color w:val="000000"/>
          <w:sz w:val="24"/>
          <w:szCs w:val="24"/>
        </w:rPr>
        <w:t xml:space="preserve">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Times New Roman"/>
          <w:color w:val="000000"/>
          <w:sz w:val="24"/>
          <w:szCs w:val="24"/>
          <w:highlight w:val="none"/>
          <w:lang w:val="en-US" w:eastAsia="zh-CN"/>
        </w:rPr>
        <w:t xml:space="preserve">联合体投标说明</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联合体各方均应当符合《中华人民共和国政府采购法》第二十二条第一款规定的条件，采购人根据采购项目的特殊要求规定供应商特定条件的，联合体各方中至少应当有一方符合</w:t>
      </w:r>
      <w:r>
        <w:rPr>
          <w:rFonts w:hint="eastAsia" w:ascii="宋体" w:hAnsi="宋体" w:eastAsia="宋体" w:cs="宋体"/>
          <w:color w:val="000000"/>
          <w:sz w:val="24"/>
          <w:szCs w:val="24"/>
          <w:lang w:val="en-US" w:eastAsia="zh-CN"/>
        </w:rPr>
        <w:t xml:space="preserve">特定条件</w:t>
      </w:r>
      <w:r>
        <w:rPr>
          <w:rFonts w:hint="eastAsia" w:ascii="宋体" w:hAnsi="宋体" w:eastAsia="宋体" w:cs="宋体"/>
          <w:color w:val="000000"/>
          <w:sz w:val="24"/>
          <w:szCs w:val="24"/>
        </w:rPr>
        <w:t xml:space="preserve">并在投标文件中申明。由同一专业的供应商组成的联合体，联合体中</w:t>
      </w:r>
      <w:r>
        <w:rPr>
          <w:rFonts w:hint="eastAsia" w:ascii="宋体" w:hAnsi="宋体" w:eastAsia="宋体" w:cs="宋体"/>
          <w:color w:val="000000"/>
          <w:sz w:val="24"/>
          <w:szCs w:val="24"/>
          <w:lang w:val="en-US" w:eastAsia="zh-CN"/>
        </w:rPr>
        <w:t xml:space="preserve">由相同专业</w:t>
      </w:r>
      <w:r>
        <w:rPr>
          <w:rFonts w:hint="eastAsia" w:ascii="宋体" w:hAnsi="宋体" w:eastAsia="宋体" w:cs="宋体"/>
          <w:color w:val="000000"/>
          <w:sz w:val="24"/>
          <w:szCs w:val="24"/>
        </w:rPr>
        <w:t xml:space="preserve">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联合体各方均应按照招标文件的规定提交《供应商信用承诺函》等资格证明材料。</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评标标准中1.1</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为价格评审因素，</w:t>
      </w:r>
      <w:r>
        <w:rPr>
          <w:rFonts w:hint="eastAsia" w:ascii="宋体" w:hAnsi="宋体" w:eastAsia="宋体" w:cs="宋体"/>
          <w:color w:val="000000"/>
          <w:sz w:val="24"/>
          <w:szCs w:val="24"/>
          <w:highlight w:val="none"/>
          <w:lang w:val="en-US" w:eastAsia="zh-CN"/>
        </w:rPr>
        <w:t xml:space="preserve">2.1-2.5</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为技术评审因素，</w:t>
      </w:r>
      <w:r>
        <w:rPr>
          <w:rFonts w:hint="eastAsia" w:ascii="宋体" w:hAnsi="宋体" w:eastAsia="宋体" w:cs="宋体"/>
          <w:color w:val="000000"/>
          <w:sz w:val="24"/>
          <w:szCs w:val="24"/>
          <w:highlight w:val="none"/>
          <w:lang w:val="en-US" w:eastAsia="zh-CN"/>
        </w:rPr>
        <w:t xml:space="preserve">3.1-5.3</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为商务评审因素，</w:t>
      </w:r>
      <w:r>
        <w:rPr>
          <w:rFonts w:hint="eastAsia" w:ascii="宋体" w:hAnsi="宋体" w:eastAsia="宋体" w:cs="宋体"/>
          <w:color w:val="000000"/>
          <w:sz w:val="24"/>
          <w:szCs w:val="24"/>
          <w:lang w:val="en-US" w:eastAsia="zh-CN"/>
        </w:rPr>
        <w:t xml:space="preserve">6.1项为政策加分因素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评标标准</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“投标人业绩 4.1”、“履约能力 5.1、5.2 ”按照全权代表方一方认定并计算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“履约能力5.3 ”按照联合体各方汇总认定并计算。</w:t>
      </w:r>
      <w:r>
        <w:rPr>
          <w:rFonts w:hint="eastAsia" w:ascii="宋体" w:hAnsi="宋体" w:eastAsia="宋体" w:cs="宋体"/>
          <w:color w:val="000000"/>
          <w:sz w:val="24"/>
          <w:szCs w:val="24"/>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四、联合体或分包价格扣除</w:t>
      </w: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35</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w:t>
            </w:r>
            <w:r>
              <w:rPr>
                <w:rFonts w:hint="eastAsia" w:ascii="宋体" w:hAnsi="宋体" w:eastAsia="宋体" w:cs="宋体"/>
                <w:sz w:val="21"/>
                <w:szCs w:val="21"/>
                <w:lang w:val="en-US" w:eastAsia="zh-CN"/>
              </w:rPr>
              <w:t xml:space="preserve">有1项负偏离扣1分，其余指标有1项负偏离扣0.06分。</w:t>
            </w:r>
            <w:r>
              <w:rPr>
                <w:rFonts w:hint="eastAsia" w:ascii="宋体" w:hAnsi="宋体" w:eastAsia="宋体" w:cs="宋体"/>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18</w:t>
            </w:r>
            <w:r>
              <w:rPr>
                <w:rFonts w:hint="eastAsia"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深化设计</w:t>
            </w:r>
            <w:r>
              <w:rPr>
                <w:rFonts w:hint="eastAsia" w:ascii="宋体" w:hAnsi="宋体" w:eastAsia="宋体" w:cs="宋体"/>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Cs w:val="21"/>
                <w:lang w:val="en-US" w:eastAsia="zh-CN"/>
              </w:rPr>
            </w:pPr>
            <w:r/>
            <w:bookmarkStart w:id="199" w:name="OLE_LINK5"/>
            <w:r>
              <w:rPr>
                <w:rFonts w:hint="eastAsia" w:ascii="宋体" w:hAnsi="宋体" w:eastAsia="宋体" w:cs="宋体"/>
                <w:szCs w:val="21"/>
                <w:lang w:val="en-US" w:eastAsia="zh-CN"/>
              </w:rPr>
              <w:t xml:space="preserve">根据本项目采购需求及相关要求编制方案，内容包</w:t>
            </w:r>
            <w:r>
              <w:rPr>
                <w:rFonts w:hint="eastAsia" w:ascii="宋体" w:hAnsi="宋体" w:eastAsia="宋体" w:cs="宋体"/>
                <w:color w:val="000000"/>
                <w:szCs w:val="21"/>
                <w:lang w:val="en-US" w:eastAsia="zh-CN"/>
              </w:rPr>
              <w:t xml:space="preserve">含：</w:t>
            </w:r>
            <w:r>
              <w:rPr>
                <w:rFonts w:hint="eastAsia" w:ascii="宋体" w:hAnsi="宋体" w:cs="宋体"/>
                <w:color w:val="000000"/>
                <w:szCs w:val="21"/>
              </w:rPr>
              <w:t xml:space="preserve">1.P2.5室内LED全彩显示屏的钢结构图、效果图和配电系统图；2.扩声系统位置布置图、实景效果图、模拟声场图；3.P4室外LED全彩显示屏的钢结构图、基础结构图和效果图</w:t>
            </w:r>
            <w:r>
              <w:rPr>
                <w:rFonts w:hint="eastAsia" w:ascii="宋体" w:hAnsi="宋体" w:cs="宋体"/>
                <w:color w:val="000000"/>
                <w:szCs w:val="21"/>
                <w:lang w:eastAsia="zh-CN"/>
              </w:rPr>
              <w:t xml:space="preserve">。</w:t>
            </w:r>
            <w:r>
              <w:rPr>
                <w:rFonts w:hint="eastAsia" w:ascii="宋体" w:hAnsi="宋体" w:eastAsia="宋体" w:cs="宋体"/>
                <w:color w:val="000000"/>
                <w:szCs w:val="21"/>
                <w:lang w:val="en-US" w:eastAsia="zh-CN"/>
              </w:rPr>
              <w:t xml:space="preserve">以上每项内容逐项评分：</w:t>
            </w:r>
            <w:r>
              <w:rPr>
                <w:rFonts w:hint="eastAsia" w:ascii="宋体" w:hAnsi="宋体" w:eastAsia="宋体" w:cs="宋体"/>
                <w:color w:val="000000"/>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方案内容完整、</w:t>
            </w:r>
            <w:r>
              <w:rPr>
                <w:rFonts w:hint="eastAsia" w:ascii="宋体" w:hAnsi="宋体" w:cs="宋体"/>
                <w:szCs w:val="21"/>
              </w:rPr>
              <w:t xml:space="preserve">设计</w:t>
            </w:r>
            <w:r>
              <w:rPr>
                <w:rFonts w:hint="eastAsia" w:ascii="宋体" w:hAnsi="宋体" w:cs="宋体"/>
                <w:szCs w:val="21"/>
                <w:lang w:val="en-US" w:eastAsia="zh-CN"/>
              </w:rPr>
              <w:t xml:space="preserve">全面</w:t>
            </w:r>
            <w:r>
              <w:rPr>
                <w:rFonts w:hint="eastAsia" w:ascii="宋体" w:hAnsi="宋体" w:cs="宋体"/>
                <w:szCs w:val="21"/>
              </w:rPr>
              <w:t xml:space="preserve">深刻</w:t>
            </w:r>
            <w:r>
              <w:rPr>
                <w:rFonts w:hint="eastAsia" w:ascii="宋体" w:hAnsi="宋体" w:eastAsia="宋体" w:cs="宋体"/>
                <w:szCs w:val="21"/>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上述每项内容符合得2分；部分符合得1分；不符合或不提供不得分。</w:t>
            </w:r>
            <w:bookmarkEnd w:id="199"/>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检测报告</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投标人提供具有CMA标识的以下产品检测报告，检测内容如下：</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1、P2.5室内全彩显示屏（产品清单1）：</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满足GB/T20145-2006标准，光生物检测至少达到无危害类（RGO）的，得1分；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2、P4室外全彩显示屏（产品清单2）：</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（1）满足GB/T9254.1-2021标准，电源端子骚扰电压150KHz-30MHz至少符合Class B限值要求的，得1分；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（2）满足GB/T17626.2-2018标准，取不少于4个点进行静电放电，正负极不少于100次，接触放电±4KV，空气放电±8KV合格的，得1分。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3、AI录播主机（产品清单68）：</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具有内置音频接收模块，无外接无线音频接收模块，即可完成无线音频采集，支持同时≥2个无线麦克风接入，且同时支持≥2种对频模式，支持断电扩声，在主机断电情况下，从主机线性音频通道上输入的音频可以从主机输出通道输出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视频演示1</w:t>
            </w:r>
            <w:r>
              <w:rPr>
                <w:rFonts w:ascii="宋体" w:hAnsi="宋体" w:eastAsia="宋体" w:cs="宋体"/>
                <w:color w:val="000000"/>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根据投标人</w:t>
            </w:r>
            <w:r>
              <w:rPr>
                <w:rFonts w:hint="eastAsia" w:ascii="宋体" w:hAnsi="宋体" w:eastAsia="宋体" w:cs="宋体"/>
                <w:color w:val="000000"/>
                <w:szCs w:val="21"/>
                <w:highlight w:val="none"/>
                <w:lang w:val="zh-CN" w:eastAsia="zh-CN"/>
              </w:rPr>
              <w:t xml:space="preserve">提供</w:t>
            </w:r>
            <w:r>
              <w:rPr>
                <w:rFonts w:hint="eastAsia" w:ascii="宋体" w:hAnsi="宋体" w:eastAsia="宋体" w:cs="宋体"/>
                <w:color w:val="000000"/>
                <w:szCs w:val="21"/>
                <w:highlight w:val="none"/>
                <w:lang w:val="en-US" w:eastAsia="zh-CN"/>
              </w:rPr>
              <w:t xml:space="preserve">的P4室外LED全彩显示屏（产品清单2）产品视频演示情况评分（6分）（每家投标人演示视频总时长不超过6分钟）：</w:t>
            </w:r>
            <w:r>
              <w:rPr>
                <w:rFonts w:hint="eastAsia" w:ascii="宋体" w:hAnsi="宋体" w:eastAsia="宋体" w:cs="宋体"/>
                <w:color w:val="000000"/>
                <w:szCs w:val="21"/>
                <w:highlight w:val="none"/>
                <w:lang w:val="zh-CN"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1、根据全彩显示屏样品的材质及制作工艺、箱体散热设计、模组防腐处理、画面显示效果（亮度、灰度、视角、刷新率、对比度、亮度均匀性、色度均匀性等）等评分：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（1）箱体设计及结构合理，制作工艺精细，显示色彩艳丽，亮度高度均匀的，得4分；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（2）箱体设计及结构基本合理，制作工艺规整，显示色彩基本正常，轻微偏色的，得2分； </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（3）箱体设计及结构不合理，做工粗糙，显示有亮暗块的，不得分。 </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2、演示未加载单点校正数据和加载单点校正数据的显示效果评分：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（1）完成单点校正显示效果明显的得2分；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（2）完成单点校正显示效果较明显的得1分；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（3）未完成单点校正或校正数据显示效果不明显的不得分。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3、LED 全彩显示屏使用、培训及保养方法综合评分：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（1）视频内容清晰易懂、合理可行的得2分；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（2）视频内容较清晰易懂、较合理可行得1分；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（3）视频内容不清晰、不合理可行的不得分。</w:t>
            </w:r>
            <w:r>
              <w:rPr>
                <w:rFonts w:hint="eastAsia" w:ascii="宋体" w:hAnsi="宋体" w:eastAsia="宋体" w:cs="宋体"/>
                <w:color w:val="000000"/>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投标人未提供视频文件或因投标人自身原因视频文件无法打开或视频画面不清晰无法辨认的不得分。</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2.5</w:t>
            </w:r>
            <w:r>
              <w:rPr>
                <w:rFonts w:ascii="宋体" w:hAnsi="宋体" w:eastAsia="宋体" w:cs="宋体"/>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视频演示2</w:t>
            </w:r>
            <w:r>
              <w:rPr>
                <w:rFonts w:ascii="宋体" w:hAnsi="宋体" w:eastAsia="宋体" w:cs="宋体"/>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根据投标人</w:t>
            </w:r>
            <w:r>
              <w:rPr>
                <w:rFonts w:hint="eastAsia" w:ascii="宋体" w:hAnsi="宋体" w:eastAsia="宋体" w:cs="宋体"/>
                <w:sz w:val="21"/>
                <w:szCs w:val="21"/>
                <w:lang w:val="zh-CN" w:eastAsia="zh-CN"/>
              </w:rPr>
              <w:t xml:space="preserve">提供</w:t>
            </w:r>
            <w:r>
              <w:rPr>
                <w:rFonts w:hint="eastAsia" w:ascii="宋体" w:hAnsi="宋体" w:eastAsia="宋体" w:cs="宋体"/>
                <w:sz w:val="21"/>
                <w:szCs w:val="21"/>
                <w:lang w:val="en-US" w:eastAsia="zh-CN"/>
              </w:rPr>
              <w:t xml:space="preserve">的物联网平台（产品清单65）视频演示情况评分（4分）</w:t>
            </w:r>
            <w:r>
              <w:rPr>
                <w:rFonts w:hint="eastAsia" w:ascii="宋体" w:hAnsi="宋体" w:eastAsia="宋体" w:cs="宋体"/>
                <w:color w:val="000000"/>
                <w:szCs w:val="21"/>
                <w:highlight w:val="none"/>
                <w:lang w:val="en-US" w:eastAsia="zh-CN"/>
              </w:rPr>
              <w:t xml:space="preserve">（每家投标人演示视频总时长不超过2分钟）</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eastAsia="zh-CN"/>
              </w:rPr>
            </w:r>
            <w:r/>
          </w:p>
          <w:p>
            <w:pPr>
              <w:pStyle w:val="869"/>
              <w:spacing w:line="264" w:lineRule="auto"/>
              <w:rPr>
                <w:rFonts w:hint="eastAsia" w:ascii="宋体" w:hAnsi="宋体" w:cs="宋体"/>
                <w:szCs w:val="21"/>
              </w:rPr>
            </w:pPr>
            <w:r>
              <w:rPr>
                <w:rFonts w:hint="eastAsia" w:ascii="宋体" w:hAnsi="宋体" w:cs="宋体"/>
                <w:szCs w:val="21"/>
              </w:rPr>
              <w:t xml:space="preserve">1、通过人机界面设计工具实现空间管理界面的修改与发布。利用设计工具能够拖拽式地修改图元位置、拖拽式地等比定向伸缩图形尺寸、拖拽式地新增新类型图元，且可以将自定义修改的效果即刻发布到WEB端应用界面进行展示；</w:t>
            </w:r>
            <w:r>
              <w:rPr>
                <w:rFonts w:hint="eastAsia" w:ascii="宋体" w:hAnsi="宋体" w:cs="宋体"/>
                <w:szCs w:val="21"/>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2、系统脚本设计器功能，脚本引擎支持JavaScript或其他主流脚本语言，脚本设计器中以实现对设备实时数据的获取，具有脚本语法检查及执行功能；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以上成功实现每项功能得1分，全部满足得2分。</w:t>
            </w:r>
            <w:r>
              <w:rPr>
                <w:rFonts w:hint="eastAsia" w:ascii="宋体" w:hAnsi="宋体" w:eastAsia="宋体" w:cs="宋体"/>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投标人未提供视频文件或因投标人自身原因视频文件无法打开或视频画面不清晰无法辨认的不得分。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Cs w:val="21"/>
                <w:highlight w:val="none"/>
                <w:lang w:val="en-US" w:eastAsia="zh-CN"/>
              </w:rPr>
              <w:t xml:space="preserve">客</w:t>
            </w:r>
            <w:r>
              <w:rPr>
                <w:rFonts w:hint="eastAsia" w:ascii="宋体" w:hAnsi="宋体" w:eastAsia="宋体" w:cs="宋体"/>
                <w:spacing w:val="-6"/>
                <w:szCs w:val="21"/>
                <w:highlight w:val="none"/>
                <w:lang w:eastAsia="zh-CN"/>
              </w:rPr>
              <w:t xml:space="preserve">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9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1"/>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实施</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olor w:val="000000"/>
                <w:sz w:val="21"/>
                <w:szCs w:val="21"/>
                <w:lang w:val="en-US"/>
              </w:rPr>
              <w:t xml:space="preserve">对项目时间进度安排；2.项目安全措施；3.文明施工措施；4.质量措施；5.技术控制措施；6.档案管理措施。</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1"/>
              <w:jc w:val="left"/>
              <w:spacing w:line="264" w:lineRule="auto"/>
              <w:widowControl w:val="off"/>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售后服务</w:t>
            </w:r>
            <w:r>
              <w:rPr>
                <w:rFonts w:hint="eastAsia"/>
                <w:color w:val="000000"/>
                <w:sz w:val="21"/>
                <w:szCs w:val="21"/>
                <w:lang w:val="en-US" w:bidi="ar-SA"/>
              </w:rPr>
              <w:t xml:space="preserve">要求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包含：1.</w:t>
            </w:r>
            <w:r>
              <w:rPr>
                <w:rFonts w:hint="eastAsia" w:ascii="宋体" w:hAnsi="宋体" w:eastAsia="宋体"/>
                <w:sz w:val="21"/>
                <w:szCs w:val="21"/>
              </w:rPr>
              <w:t xml:space="preserve">培训体系及培训方案；2.服务体系；3.服务内容；4.故障响应；5.故障解决方案；6.专业技术人员保障及服务电话</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69"/>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2022年1月1日</w:t>
            </w:r>
            <w:r>
              <w:rPr>
                <w:rFonts w:hint="eastAsia" w:ascii="宋体" w:hAnsi="宋体" w:eastAsia="宋体" w:cs="宋体"/>
                <w:color w:val="000000"/>
                <w:sz w:val="21"/>
                <w:szCs w:val="21"/>
                <w:lang w:val="en-US" w:eastAsia="zh-CN" w:bidi="ar-SA"/>
              </w:rPr>
              <w:t xml:space="preserve">（含）以来类似项目业绩（</w:t>
            </w:r>
            <w:r>
              <w:rPr>
                <w:rFonts w:hint="eastAsia" w:ascii="宋体" w:hAnsi="宋体" w:eastAsia="宋体" w:cs="宋体"/>
                <w:color w:val="000000"/>
                <w:szCs w:val="21"/>
                <w:highlight w:val="none"/>
                <w:lang w:val="en-US" w:eastAsia="zh-CN"/>
              </w:rPr>
              <w:t xml:space="preserve">至少包含</w:t>
            </w:r>
            <w:r>
              <w:rPr>
                <w:rFonts w:hint="eastAsia" w:ascii="宋体" w:hAnsi="宋体" w:cs="宋体"/>
                <w:color w:val="000000"/>
                <w:szCs w:val="21"/>
              </w:rPr>
              <w:t xml:space="preserve">全彩显示屏</w:t>
            </w:r>
            <w:r>
              <w:rPr>
                <w:rFonts w:hint="eastAsia" w:ascii="宋体" w:hAnsi="宋体" w:cs="宋体"/>
                <w:color w:val="000000"/>
                <w:szCs w:val="21"/>
                <w:lang w:val="en-US" w:eastAsia="zh-CN"/>
              </w:rPr>
              <w:t xml:space="preserve">和</w:t>
            </w:r>
            <w:r>
              <w:rPr>
                <w:rFonts w:hint="eastAsia" w:ascii="宋体" w:hAnsi="宋体" w:cs="宋体"/>
                <w:color w:val="000000"/>
                <w:szCs w:val="21"/>
              </w:rPr>
              <w:t xml:space="preserve">灯光音响</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内容缺项不得分</w:t>
            </w:r>
            <w:r>
              <w:rPr>
                <w:rFonts w:hint="eastAsia" w:ascii="宋体" w:hAnsi="宋体" w:eastAsia="宋体" w:cs="宋体"/>
                <w:color w:val="000000"/>
                <w:sz w:val="21"/>
                <w:szCs w:val="21"/>
                <w:lang w:val="en-US" w:eastAsia="zh-CN" w:bidi="ar-SA"/>
              </w:rPr>
              <w:t xml:space="preserve">），每提供1个得2分，最多得4分。（时间以合同签订时间为准，业绩需同时提供中标通知书、合同及清单、验收证明材料及结款发票的扫描件，缺项不得分）</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履约能力1</w:t>
            </w:r>
            <w:r>
              <w:rPr>
                <w:rFonts w:hint="eastAsia" w:ascii="宋体" w:hAnsi="宋体" w:eastAsia="宋体" w:cs="宋体"/>
                <w:color w:val="000000"/>
                <w:szCs w:val="21"/>
                <w:highlight w:val="none"/>
                <w:lang w:val="en-US" w:eastAsia="zh-CN"/>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投标人或所投产品制造商具有本项目相关的软件著作权证书：</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1、全彩显示屏方面：</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软件功能包含“显示屏色彩还原逼真”、“根据环境亮度情况自动调节大屏亮度”等，每提供1个证书得1分，最多得2分。 </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2、电源时序控制器方面：</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软件功能包含“突然断电后保存数据”，得1分。 </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3、分布式客户端控制编程软件方面：</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软件功能包含“多块大屏互通互联控制”，得1分。 </w:t>
            </w:r>
            <w:r>
              <w:rPr>
                <w:rFonts w:hint="eastAsia" w:ascii="宋体" w:hAnsi="宋体" w:eastAsia="宋体" w:cs="宋体"/>
                <w:color w:val="000000"/>
                <w:szCs w:val="21"/>
                <w:highlight w:val="none"/>
                <w:lang w:val="en-US" w:eastAsia="zh-CN"/>
              </w:rPr>
            </w:r>
            <w:r/>
          </w:p>
          <w:p>
            <w:pPr>
              <w:pStyle w:val="869"/>
              <w:jc w:val="both"/>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（所提供证书</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软件名称</w:t>
            </w:r>
            <w:r>
              <w:rPr>
                <w:rFonts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与评分细则规定不同时，应提供符合上述要求的内容（功能）说明及关键信息，否则不予认可。）</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.2</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r>
            <w:r/>
          </w:p>
        </w:tc>
        <w:tc>
          <w:tcPr>
            <w:tcW w:w="6330" w:type="dxa"/>
            <w:vAlign w:val="center"/>
            <w:textDirection w:val="lrTb"/>
            <w:noWrap w:val="false"/>
          </w:tcPr>
          <w:p>
            <w:pPr>
              <w:pStyle w:val="100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拟投入本项目的项目负责人具有机电工程专业二级（含）以上建造师注册证书且具有安全生产知识考核合格证（B类）证书的，得2分。 </w:t>
            </w:r>
            <w:r>
              <w:rPr>
                <w:rFonts w:hint="eastAsia" w:ascii="宋体" w:hAnsi="宋体" w:eastAsia="宋体" w:cs="宋体"/>
                <w:color w:val="000000"/>
                <w:sz w:val="21"/>
                <w:szCs w:val="21"/>
              </w:rPr>
            </w:r>
            <w:r/>
          </w:p>
          <w:p>
            <w:pPr>
              <w:pStyle w:val="869"/>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（提供人员证书及投标人为其缴纳的2026年1月以来任意一个月的社保证明材料，缺一不可）</w:t>
            </w:r>
            <w:r>
              <w:rPr>
                <w:rFonts w:hint="eastAsia"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Cs w:val="21"/>
                <w:lang w:val="en-US" w:eastAsia="zh-CN"/>
              </w:rPr>
            </w:pPr>
            <w:r>
              <w:rPr>
                <w:rFonts w:hint="eastAsia" w:ascii="宋体" w:hAnsi="宋体" w:eastAsia="宋体" w:cs="宋体"/>
                <w:color w:val="000000"/>
                <w:spacing w:val="-2"/>
                <w:szCs w:val="21"/>
                <w:lang w:val="en-US" w:eastAsia="zh-CN"/>
              </w:rPr>
              <w:t xml:space="preserve">5.3</w:t>
            </w:r>
            <w:r>
              <w:rPr>
                <w:rFonts w:ascii="宋体" w:hAnsi="宋体" w:eastAsia="宋体" w:cs="宋体"/>
                <w:color w:val="000000"/>
                <w:spacing w:val="-2"/>
                <w:szCs w:val="21"/>
                <w:lang w:val="en-US" w:eastAsia="zh-CN"/>
              </w:rPr>
            </w:r>
            <w:r/>
          </w:p>
        </w:tc>
        <w:tc>
          <w:tcPr>
            <w:tcW w:w="1179"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履约能力3</w:t>
            </w:r>
            <w:r>
              <w:rPr>
                <w:rFonts w:hint="eastAsia" w:ascii="宋体" w:hAnsi="宋体" w:eastAsia="宋体" w:cs="宋体"/>
                <w:color w:val="000000"/>
                <w:sz w:val="21"/>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本项目的现场实施团队人员（除项目负责人外）具备中级工程师（数字经济或电子信息类）证书，每提供1个得1分；具备高级工程师（数字经济或电子信息类）证书，每提供1个得2分；本项最多得3分（一人多证按最高分计，不可兼得）。</w:t>
            </w:r>
            <w:r>
              <w:rPr>
                <w:rFonts w:ascii="宋体" w:hAnsi="宋体" w:eastAsia="宋体" w:cs="宋体"/>
                <w:color w:val="000000"/>
                <w:sz w:val="21"/>
                <w:szCs w:val="21"/>
                <w:lang w:val="en-US" w:eastAsia="zh-CN"/>
              </w:rPr>
            </w:r>
            <w:r/>
          </w:p>
          <w:p>
            <w:pPr>
              <w:pStyle w:val="869"/>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（多人一证、一人多证不重复计分，提供人员证书及投标人为其缴纳的2026年1月以来任意一个月的社保证明材料，缺一不可）</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3</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hint="eastAsia" w:ascii="宋体" w:hAnsi="宋体" w:eastAsia="宋体" w:cs="宋体"/>
                <w:spacing w:val="-6"/>
                <w:szCs w:val="21"/>
                <w:lang w:val="en-US" w:eastAsia="zh-CN"/>
              </w:rPr>
            </w:r>
            <w:r/>
          </w:p>
        </w:tc>
      </w:tr>
      <w:tr>
        <w:trPr>
          <w:trHeight w:val="431"/>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b/>
                <w:bCs/>
                <w:spacing w:val="-3"/>
                <w:szCs w:val="21"/>
                <w:lang w:val="en-US" w:eastAsia="zh-CN"/>
              </w:rPr>
              <w:t xml:space="preserve">6.节能环保</w:t>
            </w:r>
            <w:r>
              <w:rPr>
                <w:rFonts w:hint="eastAsia" w:ascii="宋体" w:hAnsi="宋体" w:eastAsia="宋体" w:cs="宋体"/>
                <w:spacing w:val="-6"/>
                <w:szCs w:val="21"/>
              </w:rPr>
            </w:r>
            <w:r/>
          </w:p>
        </w:tc>
      </w:tr>
      <w:tr>
        <w:trPr>
          <w:trHeight w:val="676"/>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bidi="ar-SA"/>
              </w:rPr>
              <w:t xml:space="preserve">6.1</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val="en-US" w:eastAsia="zh-CN"/>
              </w:rPr>
              <w:t xml:space="preserve">节能环保</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1.投标产品属于财政部、国家发改委公布的</w:t>
            </w:r>
            <w:r>
              <w:rPr>
                <w:rFonts w:ascii="宋体" w:hAnsi="宋体" w:eastAsia="宋体" w:cs="宋体"/>
                <w:szCs w:val="21"/>
              </w:rPr>
              <w:t xml:space="preserve">《节能产品政府采购品目清单》（财库〔2019〕19号）</w:t>
            </w:r>
            <w:r>
              <w:rPr>
                <w:rFonts w:hint="eastAsia" w:ascii="宋体" w:hAnsi="宋体" w:eastAsia="宋体" w:cs="宋体"/>
                <w:szCs w:val="21"/>
                <w:lang w:val="en-US" w:eastAsia="zh-CN"/>
              </w:rPr>
              <w:t xml:space="preserve">范</w:t>
            </w:r>
            <w:r>
              <w:rPr>
                <w:rFonts w:hint="eastAsia" w:ascii="宋体" w:hAnsi="宋体" w:eastAsia="宋体" w:cs="宋体"/>
                <w:szCs w:val="21"/>
                <w:lang w:val="en-US" w:eastAsia="zh-CN"/>
              </w:rPr>
              <w:t xml:space="preserve">围内</w:t>
            </w:r>
            <w:r>
              <w:rPr>
                <w:rFonts w:hint="eastAsia" w:ascii="宋体" w:hAnsi="宋体" w:eastAsia="宋体" w:cs="宋体"/>
                <w:sz w:val="21"/>
                <w:szCs w:val="21"/>
                <w:lang w:val="en-US" w:eastAsia="zh-CN"/>
              </w:rPr>
              <w:t xml:space="preserve">（政府强制采购产品除外）</w:t>
            </w:r>
            <w:r>
              <w:rPr>
                <w:rFonts w:hint="eastAsia" w:ascii="宋体" w:hAnsi="宋体" w:eastAsia="宋体" w:cs="宋体"/>
                <w:szCs w:val="21"/>
                <w:lang w:val="en-US" w:eastAsia="zh-CN"/>
              </w:rPr>
              <w:t xml:space="preserve">的，投标人提供国家确定的认证机构出具的、处于有效期之内的该节能产品认证证书的，有1个得0.5分，最多得1分。</w:t>
            </w:r>
            <w:r>
              <w:rPr>
                <w:rFonts w:hint="eastAsia" w:ascii="宋体" w:hAnsi="宋体" w:eastAsia="宋体" w:cs="宋体"/>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2.投标产品属于财政部、生态环境部公布的《环境</w:t>
            </w:r>
            <w:r>
              <w:rPr>
                <w:rFonts w:ascii="宋体" w:hAnsi="宋体" w:eastAsia="宋体" w:cs="宋体"/>
                <w:szCs w:val="21"/>
                <w:lang w:val="en-US" w:eastAsia="zh-CN"/>
              </w:rPr>
              <w:t xml:space="preserve">标志产品品目清单</w:t>
            </w:r>
            <w:r>
              <w:rPr>
                <w:rFonts w:hint="eastAsia" w:ascii="宋体" w:hAnsi="宋体" w:eastAsia="宋体" w:cs="宋体"/>
                <w:szCs w:val="21"/>
                <w:lang w:val="en-US" w:eastAsia="zh-CN"/>
              </w:rPr>
              <w:t xml:space="preserve">》</w:t>
            </w:r>
            <w:r>
              <w:rPr>
                <w:rFonts w:ascii="宋体" w:hAnsi="宋体" w:eastAsia="宋体" w:cs="宋体"/>
                <w:szCs w:val="21"/>
              </w:rPr>
              <w:t xml:space="preserve">（财库〔2019〕1</w:t>
            </w:r>
            <w:r>
              <w:rPr>
                <w:rFonts w:hint="eastAsia" w:ascii="宋体" w:hAnsi="宋体" w:eastAsia="宋体" w:cs="宋体"/>
                <w:szCs w:val="21"/>
                <w:lang w:val="en-US" w:eastAsia="zh-CN"/>
              </w:rPr>
              <w:t xml:space="preserve">8</w:t>
            </w:r>
            <w:r>
              <w:rPr>
                <w:rFonts w:ascii="宋体" w:hAnsi="宋体" w:eastAsia="宋体" w:cs="宋体"/>
                <w:szCs w:val="21"/>
              </w:rPr>
              <w:t xml:space="preserve">号）</w:t>
            </w:r>
            <w:r>
              <w:rPr>
                <w:rFonts w:hint="eastAsia" w:ascii="宋体" w:hAnsi="宋体" w:eastAsia="宋体" w:cs="宋体"/>
                <w:szCs w:val="21"/>
                <w:lang w:val="en-US" w:eastAsia="zh-CN"/>
              </w:rPr>
              <w:t xml:space="preserve">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2</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eastAsia="zh-CN"/>
              </w:rPr>
              <w:t xml:space="preserve">客观分</w:t>
            </w:r>
            <w:r>
              <w:rPr>
                <w:rFonts w:hint="eastAsia" w:ascii="宋体" w:hAnsi="宋体" w:eastAsia="宋体" w:cs="宋体"/>
                <w:spacing w:val="-6"/>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br w:type="textWrapping" w:clear="all"/>
      </w:r>
      <w:r>
        <w:rPr>
          <w:rFonts w:hint="eastAsia" w:ascii="宋体" w:hAnsi="宋体" w:eastAsia="宋体" w:cs="宋体"/>
          <w:b/>
          <w:bCs/>
          <w:color w:val="0000ff"/>
          <w:sz w:val="24"/>
          <w:szCs w:val="24"/>
          <w:highlight w:val="none"/>
          <w:u w:val="none"/>
          <w:lang w:val="en-US" w:eastAsia="zh-CN"/>
        </w:rPr>
      </w:r>
      <w:r/>
    </w:p>
    <w:p>
      <w:pPr>
        <w:pStyle w:val="940"/>
        <w:rPr>
          <w:rFonts w:hint="eastAsia"/>
          <w:lang w:val="en-US" w:eastAsia="zh-CN"/>
        </w:rPr>
      </w:pPr>
      <w:r>
        <w:rPr>
          <w:rFonts w:hint="eastAsia"/>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69"/>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00" w:name="_Hlt26955039"/>
      <w:r/>
      <w:bookmarkEnd w:id="200"/>
      <w:r/>
      <w:bookmarkStart w:id="201" w:name="_Hlt26671244"/>
      <w:r/>
      <w:bookmarkEnd w:id="201"/>
      <w:r/>
      <w:bookmarkStart w:id="202" w:name="_Toc120614282"/>
      <w:r/>
      <w:bookmarkStart w:id="203" w:name="_Toc49090576"/>
      <w:r/>
      <w:bookmarkStart w:id="204"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4"/>
      <w:r/>
      <w:bookmarkEnd w:id="188"/>
      <w:r/>
      <w:bookmarkEnd w:id="202"/>
      <w:r/>
      <w:bookmarkEnd w:id="203"/>
      <w:r/>
      <w:bookmarkEnd w:id="204"/>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5"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十四、分包承诺书</w:t>
      </w:r>
      <w:r>
        <w:rPr>
          <w:rFonts w:ascii="宋体" w:hAnsi="宋体" w:eastAsia="宋体" w:cs="宋体"/>
          <w:b w:val="0"/>
          <w:bCs w:val="0"/>
          <w:i w:val="0"/>
          <w:sz w:val="28"/>
          <w:szCs w:val="28"/>
          <w:u w:val="none"/>
          <w:lang w:eastAsia="zh-CN"/>
        </w:rPr>
        <w:t xml:space="preserve">（如有）</w:t>
      </w: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988"/>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0"/>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9"/>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6" w:name="_Hlt26671380"/>
      <w:r/>
      <w:bookmarkEnd w:id="206"/>
      <w:r/>
      <w:bookmarkStart w:id="207" w:name="_格式3__银行出具的资信证明"/>
      <w:r/>
      <w:bookmarkEnd w:id="207"/>
      <w:r/>
      <w:bookmarkStart w:id="208" w:name="_Hlt26955070"/>
      <w:r/>
      <w:bookmarkEnd w:id="208"/>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8"/>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pStyle w:val="96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0"/>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0"/>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8"/>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6"/>
          <w:rFonts w:hint="eastAsia"/>
          <w:i/>
          <w:strike w:val="0"/>
          <w:u w:val="single"/>
          <w:shd w:val="clear" w:color="auto" w:fill="ffffff"/>
        </w:rPr>
        <w:t xml:space="preserve">（规定比例）</w:t>
      </w:r>
      <w:r>
        <w:rPr>
          <w:rStyle w:val="946"/>
          <w:rFonts w:hint="eastAsia"/>
          <w:i w:val="0"/>
          <w:shd w:val="clear" w:color="auto" w:fill="ffffff"/>
          <w:vertAlign w:val="superscript"/>
        </w:rPr>
        <w:t xml:space="preserve">3</w:t>
      </w:r>
      <w:r>
        <w:rPr>
          <w:rFonts w:hint="eastAsia"/>
          <w:strike w:val="0"/>
          <w:shd w:val="clear" w:color="auto" w:fill="ffffff"/>
        </w:rPr>
        <w:t xml:space="preserve">。</w:t>
      </w:r>
      <w:r>
        <w:rPr>
          <w:rStyle w:val="946"/>
          <w:rFonts w:hint="eastAsia"/>
          <w:i/>
          <w:strike w:val="0"/>
          <w:u w:val="single"/>
          <w:shd w:val="clear" w:color="auto" w:fill="ffffff"/>
        </w:rPr>
        <w:t xml:space="preserve">（产品名称1）</w:t>
      </w:r>
      <w:r>
        <w:rPr>
          <w:rFonts w:hint="eastAsia"/>
          <w:strike w:val="0"/>
          <w:shd w:val="clear" w:color="auto" w:fill="ffffff"/>
        </w:rPr>
        <w:t xml:space="preserve">的</w:t>
      </w:r>
      <w:r>
        <w:rPr>
          <w:rStyle w:val="946"/>
          <w:rFonts w:hint="eastAsia"/>
          <w:i/>
          <w:strike w:val="0"/>
          <w:u w:val="single"/>
          <w:shd w:val="clear" w:color="auto" w:fill="ffffff"/>
        </w:rPr>
        <w:t xml:space="preserve">（关键组件）</w:t>
      </w:r>
      <w:r>
        <w:rPr>
          <w:rStyle w:val="946"/>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6"/>
          <w:rFonts w:hint="eastAsia"/>
          <w:i/>
          <w:strike w:val="0"/>
          <w:u w:val="single"/>
          <w:shd w:val="clear" w:color="auto" w:fill="ffffff"/>
        </w:rPr>
        <w:t xml:space="preserve">（产品名称1）</w:t>
      </w:r>
      <w:r>
        <w:rPr>
          <w:rFonts w:hint="eastAsia"/>
          <w:strike w:val="0"/>
          <w:shd w:val="clear" w:color="auto" w:fill="ffffff"/>
        </w:rPr>
        <w:t xml:space="preserve">的</w:t>
      </w:r>
      <w:r>
        <w:rPr>
          <w:rStyle w:val="946"/>
          <w:rFonts w:hint="eastAsia"/>
          <w:i/>
          <w:strike w:val="0"/>
          <w:u w:val="single"/>
          <w:shd w:val="clear" w:color="auto" w:fill="ffffff"/>
        </w:rPr>
        <w:t xml:space="preserve">（关键工序）</w:t>
      </w:r>
      <w:r>
        <w:rPr>
          <w:rStyle w:val="946"/>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6"/>
          <w:rFonts w:hint="eastAsia"/>
          <w:i/>
          <w:strike w:val="0"/>
          <w:u w:val="single"/>
          <w:shd w:val="clear" w:color="auto" w:fill="ffffff"/>
        </w:rPr>
        <w:t xml:space="preserve">（规定比例）</w:t>
      </w:r>
      <w:r>
        <w:rPr>
          <w:rFonts w:hint="eastAsia"/>
          <w:strike w:val="0"/>
          <w:shd w:val="clear" w:color="auto" w:fill="ffffff"/>
        </w:rPr>
        <w:t xml:space="preserve">。</w:t>
      </w:r>
      <w:r>
        <w:rPr>
          <w:rStyle w:val="946"/>
          <w:rFonts w:hint="eastAsia"/>
          <w:i/>
          <w:strike w:val="0"/>
          <w:u w:val="single"/>
          <w:shd w:val="clear" w:color="auto" w:fill="ffffff"/>
        </w:rPr>
        <w:t xml:space="preserve">（产品名称2）</w:t>
      </w:r>
      <w:r>
        <w:rPr>
          <w:rFonts w:hint="eastAsia"/>
          <w:strike w:val="0"/>
          <w:shd w:val="clear" w:color="auto" w:fill="ffffff"/>
        </w:rPr>
        <w:t xml:space="preserve">的</w:t>
      </w:r>
      <w:r>
        <w:rPr>
          <w:rStyle w:val="946"/>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6"/>
          <w:rFonts w:hint="eastAsia"/>
          <w:i/>
          <w:strike w:val="0"/>
          <w:u w:val="single"/>
          <w:shd w:val="clear" w:color="auto" w:fill="ffffff"/>
        </w:rPr>
        <w:t xml:space="preserve">（产品名称2）</w:t>
      </w:r>
      <w:r>
        <w:rPr>
          <w:rFonts w:hint="eastAsia"/>
          <w:strike w:val="0"/>
          <w:shd w:val="clear" w:color="auto" w:fill="ffffff"/>
        </w:rPr>
        <w:t xml:space="preserve">的</w:t>
      </w:r>
      <w:r>
        <w:rPr>
          <w:rStyle w:val="946"/>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eastAsia="宋体"/>
          <w:highlight w:val="none"/>
          <w:shd w:val="clear" w:color="auto" w:fill="ffffff"/>
          <w:lang w:val="en-US" w:eastAsia="zh-CN"/>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946"/>
          <w:rFonts w:hint="eastAsia"/>
          <w:i w:val="0"/>
          <w:highlight w:val="none"/>
          <w:shd w:val="clear" w:color="auto" w:fill="ffffff"/>
          <w:vertAlign w:val="superscript"/>
          <w:lang w:val="en-US" w:eastAsia="zh-CN"/>
        </w:rPr>
        <w:t xml:space="preserve">6</w:t>
      </w:r>
      <w:r>
        <w:rPr>
          <w:rFonts w:hint="eastAsia" w:eastAsia="宋体"/>
          <w:highlight w:val="none"/>
          <w:shd w:val="clear" w:color="auto" w:fill="ffffff"/>
          <w:lang w:val="en-US" w:eastAsia="zh-CN"/>
        </w:rPr>
      </w:r>
      <w:r/>
    </w:p>
    <w:p>
      <w:pPr>
        <w:pStyle w:val="934"/>
        <w:ind w:firstLine="420"/>
        <w:spacing w:before="24" w:beforeAutospacing="0" w:after="24" w:afterAutospacing="0" w:line="360" w:lineRule="auto"/>
        <w:shd w:val="clear" w:color="auto" w:fill="ffffff"/>
        <w:rPr>
          <w:rFonts w:hint="eastAsia"/>
          <w:highlight w:val="none"/>
        </w:rPr>
      </w:pPr>
      <w:r/>
      <w:bookmarkStart w:id="209" w:name="OLE_LINK6"/>
      <w:r>
        <w:rPr>
          <w:rFonts w:hint="eastAsia"/>
          <w:highlight w:val="none"/>
          <w:shd w:val="clear" w:color="auto" w:fill="ffffff"/>
        </w:rPr>
        <w:t xml:space="preserve">本公司（单位）</w:t>
      </w:r>
      <w:bookmarkEnd w:id="209"/>
      <w:r>
        <w:rPr>
          <w:rFonts w:hint="eastAsia"/>
          <w:highlight w:val="none"/>
          <w:shd w:val="clear" w:color="auto" w:fill="ffffff"/>
        </w:rPr>
        <w:t xml:space="preserve">对上述声明内容的真实性负责。如有虚假，愿承担相应法律责任。</w:t>
      </w:r>
      <w:r>
        <w:rPr>
          <w:rFonts w:hint="eastAsia"/>
          <w:highlight w:val="none"/>
        </w:rPr>
      </w:r>
      <w:r/>
    </w:p>
    <w:p>
      <w:pPr>
        <w:pStyle w:val="93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ascii="宋体" w:hAnsi="宋体" w:eastAsia="宋体" w:cs="宋体"/>
          <w:b w:val="0"/>
          <w:bCs w:val="0"/>
          <w:sz w:val="21"/>
          <w:szCs w:val="21"/>
          <w:highlight w:val="none"/>
          <w:shd w:val="clear" w:color="auto" w:fill="ffffff"/>
        </w:rPr>
      </w:pPr>
      <w:r>
        <w:rPr>
          <w:rFonts w:hint="eastAsia"/>
          <w:b w:val="0"/>
          <w:bCs w:val="0"/>
          <w:sz w:val="21"/>
          <w:szCs w:val="21"/>
          <w:highlight w:val="none"/>
          <w:shd w:val="clear" w:color="auto" w:fill="ffffff"/>
        </w:rPr>
        <w:t xml:space="preserve">5.该产品</w:t>
      </w:r>
      <w:r>
        <w:rPr>
          <w:rFonts w:hint="eastAsia" w:ascii="宋体" w:hAnsi="宋体" w:eastAsia="宋体" w:cs="宋体"/>
          <w:b w:val="0"/>
          <w:bCs w:val="0"/>
          <w:sz w:val="21"/>
          <w:szCs w:val="21"/>
          <w:highlight w:val="none"/>
          <w:shd w:val="clear" w:color="auto" w:fill="ffffff"/>
        </w:rPr>
        <w:t xml:space="preserve">的关键工序要求实施前，“关键工序”栏可不填。</w:t>
      </w:r>
      <w:r>
        <w:rPr>
          <w:rFonts w:hint="eastAsia" w:ascii="宋体" w:hAnsi="宋体" w:eastAsia="宋体" w:cs="宋体"/>
          <w:b w:val="0"/>
          <w:bCs w:val="0"/>
          <w:sz w:val="21"/>
          <w:szCs w:val="21"/>
          <w:highlight w:val="none"/>
          <w:shd w:val="clear" w:color="auto" w:fill="ffffff"/>
        </w:rPr>
      </w:r>
      <w:r/>
    </w:p>
    <w:p>
      <w:pPr>
        <w:pStyle w:val="934"/>
        <w:ind w:firstLine="420"/>
        <w:spacing w:before="24" w:beforeAutospacing="0" w:after="24" w:afterAutospacing="0" w:line="360" w:lineRule="auto"/>
        <w:shd w:val="clear" w:color="auto" w:fill="ffffff"/>
        <w:rPr>
          <w:rFonts w:hint="eastAsia" w:ascii="宋体" w:hAnsi="宋体" w:eastAsia="宋体" w:cs="宋体"/>
          <w:b w:val="0"/>
          <w:bCs w:val="0"/>
          <w:sz w:val="21"/>
          <w:szCs w:val="21"/>
          <w:highlight w:val="none"/>
          <w:shd w:val="clear" w:color="auto" w:fill="ffffff"/>
        </w:rPr>
      </w:pPr>
      <w:r>
        <w:rPr>
          <w:rFonts w:hint="eastAsia" w:ascii="宋体" w:hAnsi="宋体" w:eastAsia="宋体" w:cs="宋体"/>
          <w:b w:val="0"/>
          <w:bCs w:val="0"/>
          <w:sz w:val="21"/>
          <w:szCs w:val="21"/>
          <w:highlight w:val="none"/>
          <w:shd w:val="clear" w:color="auto" w:fill="ffffff"/>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val="0"/>
          <w:bCs w:val="0"/>
          <w:sz w:val="21"/>
          <w:szCs w:val="21"/>
          <w:highlight w:val="none"/>
          <w:shd w:val="clear" w:color="auto" w:fill="ffffff"/>
        </w:rPr>
      </w:r>
      <w:r/>
    </w:p>
    <w:p>
      <w:pPr>
        <w:pStyle w:val="869"/>
        <w:jc w:val="center"/>
      </w:pPr>
      <w:r/>
      <w:r/>
    </w:p>
    <w:p>
      <w:pPr>
        <w:pStyle w:val="940"/>
      </w:pPr>
      <w:r/>
      <w:r/>
    </w:p>
    <w:p>
      <w:pPr>
        <w:pStyle w:val="869"/>
      </w:pPr>
      <w:r/>
      <w:r/>
    </w:p>
    <w:p>
      <w:pPr>
        <w:pStyle w:val="940"/>
      </w:pPr>
      <w:r/>
      <w:r/>
    </w:p>
    <w:p>
      <w:pPr>
        <w:pStyle w:val="869"/>
      </w:pPr>
      <w:r/>
      <w:r/>
    </w:p>
    <w:p>
      <w:pPr>
        <w:pStyle w:val="940"/>
      </w:p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十四、分包承诺书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869"/>
        <w:ind w:firstLine="645"/>
        <w:spacing w:line="560" w:lineRule="exact"/>
        <w:rPr>
          <w:rFonts w:ascii="宋体" w:hAnsi="宋体"/>
          <w:sz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br w:type="page" w:clear="all"/>
      </w:r>
      <w:bookmarkEnd w:id="205"/>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3"/>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4"/>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6"/>
    <w:link w:val="888"/>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89"/>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1"/>
    <w:basedOn w:val="882"/>
    <w:next w:val="881"/>
    <w:link w:val="869"/>
    <w:qFormat/>
    <w:pPr>
      <w:ind w:left="0" w:firstLine="420"/>
      <w:spacing w:after="0" w:line="360" w:lineRule="auto"/>
    </w:pPr>
    <w:rPr>
      <w:rFonts w:ascii="宋体" w:hAnsi="宋体"/>
      <w:sz w:val="20"/>
      <w:szCs w:val="20"/>
      <w:lang w:val="en-US" w:eastAsia="en-US"/>
    </w:rPr>
  </w:style>
  <w:style w:type="paragraph" w:styleId="882">
    <w:name w:val="正文文本缩进1"/>
    <w:basedOn w:val="869"/>
    <w:next w:val="881"/>
    <w:link w:val="869"/>
    <w:unhideWhenUsed/>
    <w:qFormat/>
    <w:pPr>
      <w:ind w:left="420"/>
      <w:spacing w:after="120"/>
    </w:pPr>
  </w:style>
  <w:style w:type="character" w:styleId="883">
    <w:name w:val="标题 1 Char"/>
    <w:next w:val="883"/>
    <w:link w:val="870"/>
    <w:rPr>
      <w:rFonts w:ascii="楷体_GB2312" w:hAnsi="Times New Roman" w:eastAsia="楷体_GB2312" w:cs="Times New Roman"/>
      <w:sz w:val="28"/>
      <w:szCs w:val="28"/>
    </w:rPr>
  </w:style>
  <w:style w:type="character" w:styleId="884">
    <w:name w:val="标题 2 Char"/>
    <w:next w:val="884"/>
    <w:link w:val="871"/>
    <w:rPr>
      <w:rFonts w:ascii="Arial" w:hAnsi="Arial" w:eastAsia="幼圆" w:cs="Arial"/>
      <w:b/>
      <w:bCs/>
      <w:sz w:val="44"/>
      <w:szCs w:val="44"/>
    </w:rPr>
  </w:style>
  <w:style w:type="character" w:styleId="885">
    <w:name w:val="标题 3 Char"/>
    <w:next w:val="885"/>
    <w:link w:val="872"/>
    <w:rPr>
      <w:rFonts w:ascii="Times New Roman" w:hAnsi="Times New Roman" w:eastAsia="宋体" w:cs="Times New Roman"/>
      <w:b/>
      <w:bCs/>
      <w:sz w:val="32"/>
      <w:szCs w:val="32"/>
    </w:rPr>
  </w:style>
  <w:style w:type="paragraph" w:styleId="886">
    <w:name w:val="正文缩进"/>
    <w:basedOn w:val="869"/>
    <w:next w:val="886"/>
    <w:link w:val="887"/>
    <w:pPr>
      <w:ind w:firstLine="420"/>
    </w:pPr>
    <w:rPr>
      <w:szCs w:val="21"/>
    </w:rPr>
  </w:style>
  <w:style w:type="character" w:styleId="887">
    <w:name w:val="正文缩进 Char"/>
    <w:next w:val="887"/>
    <w:link w:val="886"/>
    <w:rPr>
      <w:szCs w:val="21"/>
    </w:rPr>
  </w:style>
  <w:style w:type="character" w:styleId="888">
    <w:name w:val="标题 4 Char"/>
    <w:next w:val="888"/>
    <w:link w:val="873"/>
    <w:rPr>
      <w:rFonts w:ascii="Arial" w:hAnsi="Arial" w:eastAsia="黑体" w:cs="Arial"/>
      <w:b/>
      <w:bCs/>
      <w:sz w:val="28"/>
      <w:szCs w:val="28"/>
    </w:rPr>
  </w:style>
  <w:style w:type="character" w:styleId="889">
    <w:name w:val="标题 5 Char"/>
    <w:next w:val="889"/>
    <w:link w:val="874"/>
    <w:rPr>
      <w:rFonts w:ascii="宋体" w:hAnsi="Times New Roman" w:eastAsia="宋体" w:cs="Times New Roman"/>
      <w:color w:val="000000"/>
      <w:sz w:val="28"/>
      <w:szCs w:val="28"/>
    </w:rPr>
  </w:style>
  <w:style w:type="character" w:styleId="890">
    <w:name w:val="标题 6 Char"/>
    <w:next w:val="890"/>
    <w:link w:val="875"/>
    <w:rPr>
      <w:rFonts w:ascii="Arial" w:hAnsi="Arial" w:eastAsia="黑体" w:cs="Times New Roman"/>
      <w:b/>
      <w:bCs/>
      <w:sz w:val="24"/>
      <w:szCs w:val="24"/>
    </w:rPr>
  </w:style>
  <w:style w:type="character" w:styleId="891">
    <w:name w:val="标题 7 Char"/>
    <w:next w:val="891"/>
    <w:link w:val="876"/>
    <w:rPr>
      <w:rFonts w:ascii="Times New Roman" w:hAnsi="Times New Roman" w:eastAsia="宋体" w:cs="Times New Roman"/>
      <w:b/>
      <w:bCs/>
      <w:sz w:val="24"/>
      <w:szCs w:val="24"/>
    </w:rPr>
  </w:style>
  <w:style w:type="character" w:styleId="892">
    <w:name w:val="标题 8 Char"/>
    <w:next w:val="892"/>
    <w:link w:val="877"/>
    <w:rPr>
      <w:rFonts w:ascii="Arial" w:hAnsi="Arial" w:eastAsia="黑体" w:cs="Times New Roman"/>
      <w:sz w:val="24"/>
      <w:szCs w:val="24"/>
    </w:rPr>
  </w:style>
  <w:style w:type="character" w:styleId="893">
    <w:name w:val="标题 9 Char"/>
    <w:next w:val="893"/>
    <w:link w:val="878"/>
    <w:rPr>
      <w:rFonts w:ascii="Arial" w:hAnsi="Arial" w:eastAsia="黑体" w:cs="Times New Roman"/>
      <w:szCs w:val="21"/>
    </w:rPr>
  </w:style>
  <w:style w:type="paragraph" w:styleId="894">
    <w:name w:val="列表 3"/>
    <w:basedOn w:val="869"/>
    <w:next w:val="894"/>
    <w:link w:val="869"/>
    <w:pPr>
      <w:ind w:left="100" w:hanging="200"/>
    </w:pPr>
    <w:rPr>
      <w:rFonts w:ascii="Times New Roman" w:hAnsi="Times New Roman" w:eastAsia="宋体" w:cs="Times New Roman"/>
      <w:szCs w:val="21"/>
    </w:rPr>
  </w:style>
  <w:style w:type="paragraph" w:styleId="895">
    <w:name w:val="目录 7"/>
    <w:basedOn w:val="869"/>
    <w:next w:val="869"/>
    <w:link w:val="869"/>
    <w:semiHidden/>
    <w:pPr>
      <w:ind w:left="1260"/>
      <w:jc w:val="left"/>
    </w:pPr>
    <w:rPr>
      <w:rFonts w:ascii="Times New Roman" w:hAnsi="Times New Roman" w:eastAsia="宋体" w:cs="Times New Roman"/>
      <w:szCs w:val="21"/>
    </w:rPr>
  </w:style>
  <w:style w:type="paragraph" w:styleId="896">
    <w:name w:val="文档结构图"/>
    <w:basedOn w:val="869"/>
    <w:next w:val="896"/>
    <w:link w:val="897"/>
    <w:semiHidden/>
    <w:pPr>
      <w:shd w:val="clear" w:color="auto" w:fill="000080"/>
    </w:pPr>
    <w:rPr>
      <w:rFonts w:ascii="Times New Roman" w:hAnsi="Times New Roman" w:eastAsia="宋体" w:cs="Times New Roman"/>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69"/>
    <w:next w:val="898"/>
    <w:link w:val="89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9">
    <w:name w:val="批注文字 Char"/>
    <w:basedOn w:val="879"/>
    <w:next w:val="899"/>
    <w:link w:val="898"/>
    <w:uiPriority w:val="99"/>
    <w:semiHidden/>
  </w:style>
  <w:style w:type="paragraph" w:styleId="900">
    <w:name w:val="正文文本 3"/>
    <w:basedOn w:val="869"/>
    <w:next w:val="900"/>
    <w:link w:val="901"/>
    <w:rPr>
      <w:rFonts w:ascii="仿宋_GB2312" w:hAnsi="Arial" w:eastAsia="仿宋_GB2312" w:cs="Times New Roman"/>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69"/>
    <w:next w:val="902"/>
    <w:link w:val="903"/>
    <w:rPr>
      <w:rFonts w:ascii="楷体_GB2312" w:hAnsi="Arial" w:eastAsia="楷体_GB2312" w:cs="Times New Roman"/>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69"/>
    <w:next w:val="906"/>
    <w:link w:val="905"/>
    <w:unhideWhenUsed/>
    <w:pPr>
      <w:ind w:left="420"/>
      <w:spacing w:after="120"/>
    </w:pPr>
  </w:style>
  <w:style w:type="character" w:styleId="905">
    <w:name w:val="正文文本缩进 Char"/>
    <w:basedOn w:val="879"/>
    <w:next w:val="905"/>
    <w:link w:val="904"/>
    <w:uiPriority w:val="99"/>
    <w:semiHidden/>
  </w:style>
  <w:style w:type="paragraph" w:styleId="906">
    <w:name w:val="寄信人地址"/>
    <w:basedOn w:val="869"/>
    <w:next w:val="906"/>
    <w:link w:val="869"/>
    <w:qFormat/>
    <w:rPr>
      <w:rFonts w:ascii="Arial" w:hAnsi="Arial" w:eastAsia="宋体" w:cs="宋体"/>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69"/>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0"/>
    <w:next w:val="942"/>
    <w:link w:val="869"/>
    <w:pPr>
      <w:jc w:val="both"/>
      <w:widowControl w:val="off"/>
    </w:pPr>
    <w:rPr>
      <w:rFonts w:ascii="Times New Roman" w:hAnsi="Times New Roman" w:eastAsia="宋体" w:cs="Times New Roman"/>
      <w:sz w:val="20"/>
      <w:szCs w:val="20"/>
    </w:rPr>
    <w:tblPr/>
  </w:style>
  <w:style w:type="character" w:styleId="943">
    <w:name w:val="要点"/>
    <w:next w:val="943"/>
    <w:link w:val="869"/>
    <w:qFormat/>
    <w:rPr>
      <w:b/>
      <w:bCs/>
    </w:rPr>
  </w:style>
  <w:style w:type="character" w:styleId="944">
    <w:name w:val="页码"/>
    <w:next w:val="944"/>
    <w:link w:val="869"/>
  </w:style>
  <w:style w:type="character" w:styleId="945">
    <w:name w:val="已访问的超链接"/>
    <w:next w:val="945"/>
    <w:link w:val="869"/>
    <w:rPr>
      <w:color w:val="800080"/>
      <w:u w:val="single"/>
    </w:rPr>
  </w:style>
  <w:style w:type="character" w:styleId="946">
    <w:name w:val="强调"/>
    <w:next w:val="946"/>
    <w:link w:val="869"/>
    <w:qFormat/>
    <w:rPr>
      <w:i/>
    </w:rPr>
  </w:style>
  <w:style w:type="character" w:styleId="947">
    <w:name w:val="超链接"/>
    <w:next w:val="947"/>
    <w:link w:val="869"/>
    <w:rPr>
      <w:color w:val="0000ff"/>
      <w:u w:val="single"/>
    </w:rPr>
  </w:style>
  <w:style w:type="character" w:styleId="948">
    <w:name w:val="批注引用"/>
    <w:next w:val="948"/>
    <w:link w:val="869"/>
    <w:semiHidden/>
    <w:rPr>
      <w:sz w:val="21"/>
      <w:szCs w:val="21"/>
    </w:rPr>
  </w:style>
  <w:style w:type="character" w:styleId="949">
    <w:name w:val="批注文字 字符"/>
    <w:basedOn w:val="879"/>
    <w:next w:val="949"/>
    <w:link w:val="898"/>
    <w:rPr>
      <w:rFonts w:ascii="Calibri" w:hAnsi="Calibri" w:eastAsia="宋体" w:cs="Times New Roman"/>
      <w:sz w:val="21"/>
      <w:szCs w:val="24"/>
    </w:rPr>
  </w:style>
  <w:style w:type="paragraph" w:styleId="950">
    <w:name w:val="索引 41"/>
    <w:basedOn w:val="869"/>
    <w:next w:val="869"/>
    <w:link w:val="869"/>
    <w:semiHidden/>
    <w:qFormat/>
    <w:pPr>
      <w:ind w:left="1260"/>
    </w:pPr>
    <w:rPr>
      <w:rFonts w:ascii="Calibri" w:hAnsi="Calibri" w:eastAsia="Calibri" w:cs="宋体"/>
      <w:sz w:val="20"/>
      <w:lang w:val="zh-CN"/>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2"/>
    <w:link w:val="869"/>
    <w:pPr>
      <w:spacing w:after="120"/>
    </w:pPr>
    <w:rPr>
      <w:rFonts w:ascii="宋体" w:hAnsi="Arial" w:eastAsia="宋体" w:cs="Times New Roman"/>
      <w:bCs/>
      <w:iCs/>
      <w:szCs w:val="24"/>
    </w:rPr>
  </w:style>
  <w:style w:type="paragraph" w:styleId="957">
    <w:name w:val="xl27"/>
    <w:basedOn w:val="869"/>
    <w:next w:val="95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69"/>
    <w:rPr>
      <w:rFonts w:ascii="Tahoma" w:hAnsi="Tahoma"/>
      <w:sz w:val="24"/>
      <w:szCs w:val="24"/>
    </w:rPr>
  </w:style>
  <w:style w:type="paragraph" w:styleId="961">
    <w:name w:val="普通正文"/>
    <w:basedOn w:val="869"/>
    <w:next w:val="961"/>
    <w:link w:val="869"/>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69"/>
    <w:pPr>
      <w:spacing w:line="360" w:lineRule="auto"/>
    </w:pPr>
    <w:rPr>
      <w:rFonts w:ascii="Tahoma" w:hAnsi="Tahoma"/>
      <w:sz w:val="24"/>
      <w:szCs w:val="24"/>
    </w:rPr>
  </w:style>
  <w:style w:type="paragraph" w:styleId="966">
    <w:name w:val="列出段落"/>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69"/>
    <w:uiPriority w:val="99"/>
    <w:semiHidden/>
    <w:rPr>
      <w:rFonts w:ascii="Times New Roman" w:hAnsi="Times New Roman"/>
      <w:sz w:val="21"/>
      <w:szCs w:val="21"/>
      <w:lang w:val="en-US" w:eastAsia="zh-CN" w:bidi="ar-SA"/>
    </w:rPr>
  </w:style>
  <w:style w:type="paragraph" w:styleId="986">
    <w:name w:val="无间隔"/>
    <w:next w:val="986"/>
    <w:link w:val="869"/>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69"/>
    <w:qFormat/>
    <w:tbl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正文文本 211"/>
    <w:basedOn w:val="869"/>
    <w:next w:val="989"/>
    <w:link w:val="869"/>
    <w:uiPriority w:val="99"/>
    <w:qFormat/>
    <w:pPr>
      <w:jc w:val="center"/>
    </w:pPr>
    <w:rPr>
      <w:b/>
      <w:bCs/>
      <w:sz w:val="20"/>
      <w:szCs w:val="20"/>
    </w:rPr>
  </w:style>
  <w:style w:type="paragraph" w:styleId="990">
    <w:name w:val="正文文本1"/>
    <w:basedOn w:val="869"/>
    <w:next w:val="869"/>
    <w:link w:val="869"/>
    <w:semiHidden/>
    <w:qFormat/>
    <w:rPr>
      <w:rFonts w:ascii="Arial" w:hAnsi="Arial" w:eastAsia="Arial" w:cs="Arial"/>
      <w:sz w:val="21"/>
      <w:szCs w:val="21"/>
      <w:lang w:val="en-US" w:eastAsia="en-US" w:bidi="ar-SA"/>
    </w:rPr>
  </w:style>
  <w:style w:type="paragraph" w:styleId="991">
    <w:name w:val="Table Paragraph"/>
    <w:basedOn w:val="869"/>
    <w:next w:val="991"/>
    <w:link w:val="869"/>
    <w:uiPriority w:val="1"/>
    <w:qFormat/>
    <w:pPr>
      <w:jc w:val="left"/>
    </w:pPr>
    <w:rPr>
      <w:rFonts w:ascii="宋体" w:hAnsi="宋体" w:eastAsia="宋体" w:cs="宋体"/>
      <w:sz w:val="22"/>
      <w:szCs w:val="22"/>
      <w:lang w:val="zh-CN" w:bidi="zh-CN"/>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paragraph" w:styleId="994">
    <w:name w:val="正文文本首行缩进 2"/>
    <w:basedOn w:val="882"/>
    <w:next w:val="994"/>
    <w:link w:val="869"/>
    <w:qFormat/>
    <w:pPr>
      <w:ind w:left="0" w:firstLine="420"/>
      <w:spacing w:after="0" w:line="360" w:lineRule="auto"/>
    </w:pPr>
    <w:rPr>
      <w:rFonts w:ascii="宋体" w:hAnsi="宋体"/>
      <w:sz w:val="20"/>
      <w:szCs w:val="20"/>
      <w:lang w:val="en-US" w:eastAsia="en-US"/>
    </w:rPr>
  </w:style>
  <w:style w:type="table" w:styleId="995">
    <w:name w:val="Table Normal_0"/>
    <w:next w:val="995"/>
    <w:link w:val="869"/>
    <w:qFormat/>
    <w:tblPr/>
  </w:style>
  <w:style w:type="paragraph" w:styleId="996">
    <w:name w:val="正文首行缩进 211"/>
    <w:basedOn w:val="997"/>
    <w:next w:val="869"/>
    <w:link w:val="869"/>
    <w:qFormat/>
    <w:pPr>
      <w:ind w:left="0" w:firstLine="420"/>
      <w:spacing w:after="0" w:line="360" w:lineRule="auto"/>
    </w:pPr>
    <w:rPr>
      <w:rFonts w:ascii="宋体" w:hAnsi="宋体" w:eastAsia="宋体" w:cs="Times New Roman"/>
      <w:szCs w:val="20"/>
    </w:rPr>
  </w:style>
  <w:style w:type="paragraph" w:styleId="997">
    <w:name w:val="正文文本缩进11"/>
    <w:basedOn w:val="869"/>
    <w:next w:val="998"/>
    <w:link w:val="869"/>
    <w:unhideWhenUsed/>
    <w:qFormat/>
    <w:pPr>
      <w:ind w:left="420"/>
      <w:spacing w:after="120"/>
    </w:pPr>
  </w:style>
  <w:style w:type="paragraph" w:styleId="998">
    <w:name w:val="寄信人地址1"/>
    <w:basedOn w:val="869"/>
    <w:next w:val="998"/>
    <w:link w:val="869"/>
    <w:qFormat/>
    <w:rPr>
      <w:rFonts w:ascii="Arial" w:hAnsi="Arial" w:eastAsia="宋体" w:cs="宋体"/>
    </w:rPr>
  </w:style>
  <w:style w:type="character" w:styleId="999">
    <w:name w:val="font61"/>
    <w:next w:val="999"/>
    <w:link w:val="869"/>
    <w:rPr>
      <w:rFonts w:hint="eastAsia" w:ascii="宋体" w:hAnsi="宋体" w:eastAsia="宋体" w:cs="宋体"/>
      <w:color w:val="000000"/>
      <w:sz w:val="21"/>
      <w:szCs w:val="21"/>
      <w:u w:val="none"/>
    </w:rPr>
  </w:style>
  <w:style w:type="character" w:styleId="1000">
    <w:name w:val="font131"/>
    <w:next w:val="1000"/>
    <w:link w:val="869"/>
    <w:rPr>
      <w:rFonts w:hint="eastAsia" w:ascii="宋体" w:hAnsi="宋体" w:eastAsia="宋体" w:cs="宋体"/>
      <w:color w:val="ff0000"/>
      <w:sz w:val="22"/>
      <w:szCs w:val="22"/>
      <w:u w:val="none"/>
    </w:rPr>
  </w:style>
  <w:style w:type="character" w:styleId="1001">
    <w:name w:val="font31"/>
    <w:next w:val="1001"/>
    <w:link w:val="869"/>
    <w:rPr>
      <w:rFonts w:hint="eastAsia" w:ascii="宋体" w:hAnsi="宋体" w:eastAsia="宋体" w:cs="宋体"/>
      <w:color w:val="000000"/>
      <w:sz w:val="22"/>
      <w:szCs w:val="22"/>
      <w:u w:val="none"/>
    </w:rPr>
  </w:style>
  <w:style w:type="paragraph" w:styleId="1002">
    <w:name w:val="正文文本11"/>
    <w:basedOn w:val="869"/>
    <w:next w:val="1002"/>
    <w:link w:val="869"/>
    <w:qFormat/>
    <w:rPr>
      <w:rFonts w:ascii="楷体_GB2312" w:hAnsi="Arial" w:eastAsia="楷体_GB2312" w:cs="Times New Roman"/>
      <w:sz w:val="28"/>
      <w:szCs w:val="28"/>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2026-05-19T03:29:22Z</dcterms:modified>
</cp:coreProperties>
</file>