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南京脑科医院西门子Prisma（3.0T MR）维保</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项目编号：JSZC-320100-JCEC-G2026-0106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2026年04月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0"/>
            <w:rFonts w:ascii="SimSun" w:hAnsi="SimSun" w:eastAsia="SimSun" w:cs="SimSun"/>
            <w:color w:val="000000"/>
            <w:sz w:val="24"/>
            <w:u w:val="single"/>
          </w:rPr>
          <w:t xml:space="preserve">第一章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0"/>
            <w:rFonts w:ascii="SimSun" w:hAnsi="SimSun" w:eastAsia="SimSun" w:cs="SimSun"/>
            <w:color w:val="000000"/>
            <w:sz w:val="24"/>
            <w:u w:val="single"/>
          </w:rPr>
          <w:t xml:space="preserve">第二章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0"/>
            <w:rFonts w:ascii="SimSun" w:hAnsi="SimSun" w:eastAsia="SimSun" w:cs="SimSun"/>
            <w:color w:val="000000"/>
            <w:sz w:val="24"/>
            <w:u w:val="single"/>
          </w:rPr>
          <w:t xml:space="preserve">第三章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0"/>
            <w:rFonts w:ascii="SimSun" w:hAnsi="SimSun" w:eastAsia="SimSun" w:cs="SimSun"/>
            <w:color w:val="000000"/>
            <w:sz w:val="24"/>
            <w:u w:val="single"/>
          </w:rPr>
          <w:t xml:space="preserve">第四章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0"/>
            <w:rFonts w:ascii="SimSun" w:hAnsi="SimSun" w:eastAsia="SimSun" w:cs="SimSun"/>
            <w:color w:val="000000"/>
            <w:sz w:val="24"/>
            <w:u w:val="single"/>
          </w:rPr>
          <w:t xml:space="preserve">第五章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0"/>
            <w:rFonts w:ascii="SimSun" w:hAnsi="SimSun" w:eastAsia="SimSun" w:cs="SimSun"/>
            <w:color w:val="000000"/>
            <w:sz w:val="24"/>
            <w:u w:val="single"/>
          </w:rPr>
          <w:t xml:space="preserve">第六章</w:t>
        </w:r>
        <w:r>
          <w:rPr>
            <w:rStyle w:val="800"/>
            <w:rFonts w:ascii="SimSun" w:hAnsi="SimSun" w:eastAsia="SimSun" w:cs="SimSun"/>
            <w:color w:val="000000"/>
            <w:sz w:val="24"/>
            <w:u w:val="none"/>
          </w:rPr>
          <w:t xml:space="preserve"> </w:t>
        </w:r>
        <w:r>
          <w:rPr>
            <w:rStyle w:val="800"/>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南京脑科医院西门子Prisma（3.0T MR）维保</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获取招标文件，并于2026年05月26日14点30分（北京时间）前递交投标文件。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1.1项目编号：JSZC-320100-JCEC-G2026-0106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1.2项目名称：南京脑科医院西门子Prisma（3.0T MR）维保</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1.3预算金额：351万元/3年（117万元/年）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1.4最高限价：351万元/3年（117万元/年）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1.5采购需求：南京脑科医院西门子Prisma（3.0T MR）维保服务。技术参数详见磋商文件。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3.1时间：自本项目招标公告发布之日至2026年05月11日17时30分（北京时间）。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2026年05月26日14点30分（北京时间）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0"/>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0"/>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0"/>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2026年04月30日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完全满足招标文件第四部分采购需求（一）服务要求的得满分，每负偏离一项扣3分，扣完为止。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西门子品牌磁共振维保或维修培训证书的，每有一个得2分，最高得8分。（须提供磁共振维保或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供应商提供2022年2月1日以来（以合同签订时间为准）磁共振维修或维保服务业绩的，每提供一个得3分，最高得9分。须提供合同复印件加盖公章，合同须有双方清晰盖章及项目名称，提供不全不得分。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7"/>
        <w:gridCol w:w="3541"/>
        <w:gridCol w:w="1304"/>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西门子Prisma（3.0T MR）维保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1、医学影像科核磁3.0T Prisma(北院区)年度维修保养全保服务。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2、更换3台D-VIEW DC800B医用显示器以提升科室工作效率。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设备：</w:t>
      </w:r>
      <w:r/>
    </w:p>
    <w:p>
      <w:pPr>
        <w:ind w:left="0" w:right="0" w:firstLine="0"/>
        <w:jc w:val="both"/>
        <w:spacing w:before="360" w:after="0"/>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21"/>
        </w:rPr>
        <w:t xml:space="preserve">MAGNETOM Prisma</w:t>
      </w:r>
      <w:r/>
    </w:p>
    <w:p>
      <w:pPr>
        <w:ind w:left="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1、提供7*24小时免费电话或远程技术支持，1小时内电话响应，24小时内到达现场，48小时内排除故障。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年至少两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3、承诺服务期内免费提供所有的备件和配套软件且均为原厂授权同型号全新产品，提供溯源证明材料，保证更换备件后设备持续稳定的运行。须提供原厂盖章的承诺函。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4、更换零件加快业务。承诺提供备件优先保供服务，故障停机时间不超过48小时.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5、工程师配备有专用工具，且工具符合国家检测和校准的规定。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6、保证全年开机率不低于95%。95%以下每降低1%，当期保修服务天数延长7天。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7、服务期内定期安排专人进行现场回访，收集使用方和管理者想法和建议，及时跟进反馈。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8、供应商在国内具备远程网络诊断系统（须提供远程网络诊断系统的详细介绍材料与安全认证证书等证明文件复印件并加盖公章）。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9、供应商可提供微信公众号报修平台并有后台支持，可让采购人以图片和文字形式详细描述故障内容，便于准确进行故障报修，并实时知晓维修工作的进度。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10、△供应商提供书面承诺：服务期内可以提供整机的系统安全性升级和软件补丁，以保证设备的硬件安全和软件安全。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1、在国内有备件仓库，保证本项目设计设备的原厂配件供应。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2、在本地具有2个五年以上稳定的常驻服务人员，服务人员需提供原厂培训资质证明原件或复印件或近5年在原厂有工作经历，并提供证明材料。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（六）考核内容：</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336597"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2026-04-29T02:55:16Z</dcterms:created>
  <dcterms:modified xsi:type="dcterms:W3CDTF">2026-04-29T07:14:35Z</dcterms:modified>
</cp:coreProperties>
</file>