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pStyle w:val="684"/>
        <w:jc w:val="center"/>
        <w:spacing w:before="243" w:line="220" w:lineRule="auto"/>
        <w:rPr>
          <w:sz w:val="75"/>
          <w:szCs w:val="75"/>
          <w:highlight w:val="none"/>
        </w:rPr>
        <w:outlineLvl w:val="0"/>
      </w:pPr>
      <w:r>
        <w:rPr>
          <w:spacing w:val="-7"/>
          <w:sz w:val="75"/>
          <w:szCs w:val="75"/>
          <w:highlight w:val="none"/>
        </w:rPr>
        <w:t xml:space="preserve">招标文件</w:t>
      </w:r>
      <w:r/>
    </w:p>
    <w:p>
      <w:pPr>
        <w:spacing w:line="244"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pStyle w:val="684"/>
        <w:jc w:val="center"/>
        <w:spacing w:before="120" w:line="222" w:lineRule="auto"/>
        <w:rPr>
          <w:rFonts w:hint="eastAsia" w:ascii="Calibri" w:hAnsi="Calibri" w:eastAsia="宋体" w:cs="Calibri"/>
          <w:highlight w:val="none"/>
          <w:lang w:eastAsia="zh-CN"/>
        </w:rPr>
      </w:pPr>
      <w:r>
        <w:rPr>
          <w:spacing w:val="-14"/>
          <w:highlight w:val="none"/>
        </w:rPr>
        <w:t xml:space="preserve">项目编号</w:t>
      </w:r>
      <w:r>
        <w:rPr>
          <w:rFonts w:hint="eastAsia"/>
          <w:spacing w:val="-8"/>
          <w:highlight w:val="none"/>
          <w:lang w:val="en-US" w:eastAsia="zh-CN"/>
        </w:rPr>
        <w:t xml:space="preserve">：JSZC-320111-JZCG-G2026-0041</w:t>
      </w:r>
      <w:r/>
    </w:p>
    <w:p>
      <w:pPr>
        <w:pStyle w:val="684"/>
        <w:jc w:val="center"/>
        <w:spacing w:before="34" w:line="231" w:lineRule="auto"/>
        <w:rPr>
          <w:spacing w:val="-8"/>
          <w:highlight w:val="none"/>
        </w:rPr>
      </w:pPr>
      <w:r>
        <w:rPr>
          <w:spacing w:val="-8"/>
          <w:highlight w:val="none"/>
        </w:rPr>
      </w:r>
      <w:r/>
    </w:p>
    <w:p>
      <w:pPr>
        <w:pStyle w:val="684"/>
        <w:jc w:val="center"/>
        <w:spacing w:before="34" w:line="231" w:lineRule="auto"/>
        <w:rPr>
          <w:highlight w:val="none"/>
        </w:rPr>
      </w:pPr>
      <w:r>
        <w:rPr>
          <w:spacing w:val="-8"/>
          <w:highlight w:val="none"/>
        </w:rPr>
        <w:t xml:space="preserve">项目名称</w:t>
      </w:r>
      <w:r>
        <w:rPr>
          <w:rFonts w:hint="eastAsia"/>
          <w:spacing w:val="-8"/>
          <w:highlight w:val="none"/>
          <w:lang w:eastAsia="zh-CN"/>
        </w:rPr>
        <w:t xml:space="preserve">：</w:t>
      </w:r>
      <w:r>
        <w:rPr>
          <w:rFonts w:hint="eastAsia"/>
          <w:spacing w:val="-8"/>
          <w:highlight w:val="none"/>
          <w:lang w:val="en-US" w:eastAsia="zh-CN"/>
        </w:rPr>
        <w:t xml:space="preserve">南京江北新区管理委员会教育局2026年局属中小学幼儿园保安服务</w:t>
      </w:r>
      <w:r/>
    </w:p>
    <w:p>
      <w:pPr>
        <w:jc w:val="center"/>
        <w:spacing w:line="251" w:lineRule="auto"/>
        <w:rPr>
          <w:rFonts w:ascii="Arial"/>
          <w:sz w:val="21"/>
          <w:highlight w:val="none"/>
        </w:rPr>
      </w:pPr>
      <w:r>
        <w:rPr>
          <w:rFonts w:ascii="Arial"/>
          <w:sz w:val="21"/>
          <w:highlight w:val="none"/>
        </w:rPr>
      </w:r>
      <w:r/>
    </w:p>
    <w:p>
      <w:pPr>
        <w:jc w:val="center"/>
        <w:spacing w:line="360" w:lineRule="auto"/>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jc w:val="center"/>
        <w:spacing w:line="360" w:lineRule="auto"/>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 xml:space="preserve">（</w:t>
      </w:r>
      <w:r>
        <w:rPr>
          <w:rFonts w:hint="eastAsia" w:ascii="Times New Roman" w:hAnsi="Times New Roman" w:eastAsia="宋体" w:cs="Times New Roman"/>
          <w:b/>
          <w:sz w:val="30"/>
          <w:szCs w:val="30"/>
          <w:highlight w:val="none"/>
          <w:lang w:eastAsia="zh-CN"/>
        </w:rPr>
        <w:t xml:space="preserve">服务类项目</w:t>
      </w:r>
      <w:r>
        <w:rPr>
          <w:rFonts w:hint="eastAsia" w:ascii="宋体" w:hAnsi="宋体" w:eastAsia="宋体" w:cs="宋体"/>
          <w:b/>
          <w:sz w:val="30"/>
          <w:szCs w:val="30"/>
          <w:highlight w:val="none"/>
          <w:lang w:eastAsia="zh-CN"/>
        </w:rPr>
        <w:t xml:space="preserve">，非专门面向中小企业）</w:t>
      </w:r>
      <w:r/>
    </w:p>
    <w:p>
      <w:pPr>
        <w:jc w:val="center"/>
        <w:spacing w:line="251" w:lineRule="auto"/>
        <w:rPr>
          <w:rFonts w:ascii="Arial"/>
          <w:sz w:val="21"/>
          <w:highlight w:val="none"/>
        </w:rPr>
      </w:pPr>
      <w:r>
        <w:rPr>
          <w:rFonts w:ascii="Arial"/>
          <w:sz w:val="21"/>
          <w:highlight w:val="none"/>
        </w:rPr>
      </w:r>
      <w:r/>
    </w:p>
    <w:p>
      <w:pPr>
        <w:jc w:val="center"/>
        <w:spacing w:line="251" w:lineRule="auto"/>
        <w:rPr>
          <w:rFonts w:ascii="Arial"/>
          <w:sz w:val="21"/>
          <w:highlight w:val="none"/>
        </w:rPr>
      </w:pPr>
      <w:r>
        <w:rPr>
          <w:rFonts w:ascii="Arial"/>
          <w:sz w:val="21"/>
          <w:highlight w:val="none"/>
        </w:rPr>
      </w:r>
      <w:r/>
    </w:p>
    <w:p>
      <w:pPr>
        <w:jc w:val="center"/>
        <w:spacing w:line="251" w:lineRule="auto"/>
        <w:rPr>
          <w:rFonts w:ascii="Arial"/>
          <w:sz w:val="21"/>
          <w:highlight w:val="none"/>
        </w:rPr>
      </w:pPr>
      <w:r>
        <w:rPr>
          <w:rFonts w:ascii="Arial"/>
          <w:sz w:val="21"/>
          <w:highlight w:val="none"/>
        </w:rPr>
      </w:r>
      <w:r/>
    </w:p>
    <w:p>
      <w:pPr>
        <w:jc w:val="center"/>
        <w:spacing w:line="251" w:lineRule="auto"/>
        <w:rPr>
          <w:rFonts w:ascii="Arial"/>
          <w:sz w:val="21"/>
          <w:highlight w:val="none"/>
        </w:rPr>
      </w:pPr>
      <w:r>
        <w:rPr>
          <w:rFonts w:ascii="Arial"/>
          <w:sz w:val="21"/>
          <w:highlight w:val="none"/>
        </w:rPr>
      </w:r>
      <w:r/>
    </w:p>
    <w:p>
      <w:pPr>
        <w:pStyle w:val="856"/>
        <w:rPr>
          <w:highlight w:val="none"/>
        </w:rPr>
      </w:pPr>
      <w:r>
        <w:rPr>
          <w:highlight w:val="none"/>
        </w:rPr>
      </w:r>
      <w:r/>
    </w:p>
    <w:p>
      <w:pPr>
        <w:pStyle w:val="684"/>
        <w:jc w:val="center"/>
        <w:spacing w:before="120"/>
        <w:rPr>
          <w:rFonts w:hint="eastAsia" w:eastAsia="宋体"/>
          <w:highlight w:val="none"/>
          <w:lang w:val="en-US" w:eastAsia="zh-CN"/>
        </w:rPr>
      </w:pPr>
      <w:r>
        <w:rPr>
          <w:rFonts w:hint="eastAsia"/>
          <w:spacing w:val="3"/>
          <w:highlight w:val="none"/>
          <w:lang w:eastAsia="zh-CN"/>
        </w:rPr>
        <w:t xml:space="preserve">南京市公共资源交易中心浦口分中心</w:t>
      </w:r>
      <w:r/>
    </w:p>
    <w:p>
      <w:pPr>
        <w:pStyle w:val="684"/>
        <w:jc w:val="center"/>
        <w:spacing w:before="1" w:line="222" w:lineRule="auto"/>
        <w:rPr>
          <w:rFonts w:ascii="Calibri" w:hAnsi="Calibri" w:eastAsia="Calibri" w:cs="Calibri"/>
          <w:spacing w:val="-4"/>
          <w:highlight w:val="none"/>
        </w:rPr>
      </w:pPr>
      <w:r>
        <w:rPr>
          <w:rFonts w:ascii="Calibri" w:hAnsi="Calibri" w:eastAsia="Calibri" w:cs="Calibri"/>
          <w:spacing w:val="-4"/>
          <w:highlight w:val="none"/>
        </w:rPr>
      </w:r>
      <w:r/>
    </w:p>
    <w:p>
      <w:pPr>
        <w:pStyle w:val="684"/>
        <w:jc w:val="center"/>
        <w:spacing w:before="1" w:line="222" w:lineRule="auto"/>
        <w:rPr>
          <w:highlight w:val="none"/>
        </w:rPr>
        <w:sectPr>
          <w:footnotePr/>
          <w:endnotePr/>
          <w:type w:val="nextPage"/>
          <w:pgSz w:w="12240" w:h="15840" w:orient="portrait"/>
          <w:pgMar w:top="1134" w:right="1134" w:bottom="1134" w:left="1134" w:header="0" w:footer="0" w:gutter="0"/>
          <w:cols w:num="1" w:sep="0" w:space="0" w:equalWidth="1"/>
          <w:docGrid w:linePitch="360"/>
        </w:sectPr>
      </w:pPr>
      <w:r>
        <w:rPr>
          <w:rFonts w:ascii="Calibri" w:hAnsi="Calibri" w:eastAsia="Calibri" w:cs="Calibri"/>
          <w:spacing w:val="-4"/>
          <w:highlight w:val="none"/>
        </w:rPr>
        <w:t xml:space="preserve">202</w:t>
      </w:r>
      <w:r>
        <w:rPr>
          <w:rFonts w:hint="eastAsia" w:ascii="Calibri" w:hAnsi="Calibri" w:cs="Calibri"/>
          <w:spacing w:val="-4"/>
          <w:highlight w:val="none"/>
          <w:lang w:val="en-US" w:eastAsia="zh-CN"/>
        </w:rPr>
        <w:t xml:space="preserve">6</w:t>
      </w:r>
      <w:r>
        <w:rPr>
          <w:spacing w:val="-4"/>
          <w:highlight w:val="none"/>
        </w:rPr>
        <w:t xml:space="preserve">年</w:t>
      </w:r>
      <w:r>
        <w:rPr>
          <w:rFonts w:hint="eastAsia"/>
          <w:spacing w:val="-4"/>
          <w:highlight w:val="none"/>
          <w:lang w:val="en-US" w:eastAsia="zh-CN"/>
        </w:rPr>
        <w:t xml:space="preserve">7</w:t>
      </w:r>
      <w:r>
        <w:rPr>
          <w:rFonts w:hint="eastAsia" w:ascii="Calibri" w:hAnsi="Calibri" w:eastAsia="Calibri" w:cs="Calibri"/>
          <w:spacing w:val="-4"/>
          <w:highlight w:val="none"/>
          <w:lang w:val="en-US" w:eastAsia="zh-CN"/>
        </w:rPr>
        <w:t xml:space="preserve">月</w:t>
      </w:r>
      <w:r/>
    </w:p>
    <w:p>
      <w:pPr>
        <w:jc w:val="center"/>
        <w:spacing w:line="480" w:lineRule="auto"/>
        <w:widowControl w:val="off"/>
        <w:rPr>
          <w:rFonts w:ascii="黑体" w:hAnsi="Arial" w:eastAsia="黑体" w:cs="Times New Roman"/>
          <w:b/>
          <w:sz w:val="44"/>
          <w:szCs w:val="21"/>
          <w:highlight w:val="none"/>
          <w:lang w:eastAsia="zh-CN"/>
        </w:rPr>
        <w:outlineLvl w:val="0"/>
      </w:pPr>
      <w:r>
        <w:rPr>
          <w:rFonts w:hint="eastAsia" w:ascii="黑体" w:hAnsi="Arial" w:eastAsia="黑体" w:cs="Times New Roman"/>
          <w:b/>
          <w:sz w:val="44"/>
          <w:szCs w:val="21"/>
          <w:highlight w:val="none"/>
          <w:lang w:eastAsia="zh-CN"/>
        </w:rPr>
        <w:t xml:space="preserve">总  目  录</w:t>
      </w:r>
      <w:r/>
    </w:p>
    <w:p>
      <w:pPr>
        <w:jc w:val="both"/>
        <w:spacing w:line="480" w:lineRule="auto"/>
        <w:widowControl w:val="off"/>
        <w:rPr>
          <w:rFonts w:ascii="仿宋_GB2312" w:hAnsi="Arial" w:eastAsia="仿宋_GB2312" w:cs="Times New Roman"/>
          <w:b/>
          <w:sz w:val="28"/>
          <w:szCs w:val="21"/>
          <w:highlight w:val="none"/>
          <w:lang w:eastAsia="zh-CN"/>
        </w:rPr>
      </w:pPr>
      <w:r>
        <w:rPr>
          <w:rFonts w:ascii="仿宋_GB2312" w:hAnsi="Arial" w:eastAsia="仿宋_GB2312" w:cs="Times New Roman"/>
          <w:b/>
          <w:sz w:val="28"/>
          <w:szCs w:val="21"/>
          <w:highlight w:val="none"/>
          <w:lang w:eastAsia="zh-CN"/>
        </w:rPr>
      </w:r>
      <w:r/>
    </w:p>
    <w:p>
      <w:pPr>
        <w:numPr>
          <w:ilvl w:val="0"/>
          <w:numId w:val="0"/>
        </w:numPr>
        <w:ind w:left="0" w:right="0" w:firstLine="0"/>
        <w:jc w:val="center"/>
        <w:keepLines w:val="0"/>
        <w:keepNext w:val="0"/>
        <w:pageBreakBefore w:val="0"/>
        <w:spacing w:line="480" w:lineRule="auto"/>
        <w:widowControl w:val="off"/>
        <w:rPr>
          <w:rFonts w:ascii="黑体" w:hAnsi="Showcard Gothic" w:eastAsia="黑体" w:cs="Times New Roman"/>
          <w:sz w:val="32"/>
          <w:szCs w:val="21"/>
          <w:highlight w:val="none"/>
          <w:lang w:eastAsia="zh-CN"/>
        </w:rPr>
        <w:outlineLvl w:val="9"/>
      </w:pPr>
      <w:r>
        <w:rPr>
          <w:rFonts w:hint="eastAsia" w:ascii="黑体" w:hAnsi="Showcard Gothic" w:eastAsia="黑体" w:cs="Times New Roman"/>
          <w:b w:val="0"/>
          <w:color w:val="000000"/>
          <w:sz w:val="36"/>
          <w:szCs w:val="21"/>
          <w:lang w:val="en-US" w:eastAsia="zh-CN" w:bidi="ar-SA"/>
        </w:rPr>
        <w:t xml:space="preserve">第一章  </w:t>
      </w:r>
      <w:r>
        <w:rPr>
          <w:rFonts w:hint="eastAsia" w:ascii="黑体" w:hAnsi="宋体" w:eastAsia="黑体" w:cs="Times New Roman"/>
          <w:sz w:val="36"/>
          <w:szCs w:val="21"/>
          <w:highlight w:val="none"/>
          <w:lang w:eastAsia="zh-CN"/>
        </w:rPr>
        <w:t xml:space="preserve">投标邀请</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3</w:t>
      </w:r>
      <w:r/>
    </w:p>
    <w:p>
      <w:pPr>
        <w:numPr>
          <w:ilvl w:val="0"/>
          <w:numId w:val="0"/>
        </w:numPr>
        <w:ind w:left="0" w:right="0" w:firstLine="0"/>
        <w:jc w:val="center"/>
        <w:keepLines w:val="0"/>
        <w:keepNext w:val="0"/>
        <w:pageBreakBefore w:val="0"/>
        <w:spacing w:line="480" w:lineRule="auto"/>
        <w:widowControl w:val="off"/>
        <w:rPr>
          <w:rFonts w:ascii="黑体" w:hAnsi="Showcard Gothic" w:eastAsia="黑体" w:cs="Times New Roman"/>
          <w:sz w:val="36"/>
          <w:szCs w:val="21"/>
          <w:highlight w:val="none"/>
          <w:lang w:eastAsia="zh-CN"/>
        </w:rPr>
        <w:outlineLvl w:val="9"/>
      </w:pPr>
      <w:r>
        <w:rPr>
          <w:rFonts w:hint="eastAsia" w:ascii="黑体" w:hAnsi="Showcard Gothic" w:eastAsia="黑体" w:cs="Times New Roman"/>
          <w:b w:val="0"/>
          <w:color w:val="000000"/>
          <w:sz w:val="36"/>
          <w:szCs w:val="21"/>
          <w:lang w:val="en-US" w:eastAsia="zh-CN" w:bidi="ar-SA"/>
        </w:rPr>
        <w:t xml:space="preserve">第二章  </w:t>
      </w:r>
      <w:r>
        <w:rPr>
          <w:rFonts w:hint="eastAsia" w:ascii="黑体" w:hAnsi="宋体" w:eastAsia="黑体" w:cs="Times New Roman"/>
          <w:bCs/>
          <w:sz w:val="36"/>
          <w:szCs w:val="36"/>
          <w:highlight w:val="none"/>
          <w:lang w:eastAsia="zh-CN"/>
        </w:rPr>
        <w:t xml:space="preserve">投标人须知</w:t>
      </w:r>
      <w:r>
        <w:rPr>
          <w:rFonts w:hint="eastAsia" w:ascii="黑体" w:hAnsi="Showcard Gothic" w:eastAsia="黑体" w:cs="Times New Roman"/>
          <w:sz w:val="36"/>
          <w:szCs w:val="36"/>
          <w:highlight w:val="none"/>
          <w:lang w:eastAsia="zh-CN"/>
        </w:rPr>
        <w:t xml:space="preserve">…</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6</w:t>
      </w:r>
      <w:r/>
    </w:p>
    <w:p>
      <w:pPr>
        <w:numPr>
          <w:ilvl w:val="0"/>
          <w:numId w:val="0"/>
        </w:numPr>
        <w:ind w:left="0" w:right="0" w:firstLine="0"/>
        <w:jc w:val="center"/>
        <w:keepLines w:val="0"/>
        <w:keepNext w:val="0"/>
        <w:pageBreakBefore w:val="0"/>
        <w:spacing w:line="480" w:lineRule="auto"/>
        <w:widowControl w:val="off"/>
        <w:rPr>
          <w:rFonts w:ascii="黑体" w:hAnsi="Showcard Gothic" w:eastAsia="黑体" w:cs="Times New Roman"/>
          <w:sz w:val="36"/>
          <w:szCs w:val="21"/>
          <w:highlight w:val="none"/>
          <w:lang w:eastAsia="zh-CN"/>
        </w:rPr>
        <w:outlineLvl w:val="9"/>
      </w:pPr>
      <w:r>
        <w:rPr>
          <w:rFonts w:hint="eastAsia" w:ascii="黑体" w:hAnsi="Showcard Gothic" w:eastAsia="黑体" w:cs="Times New Roman"/>
          <w:b w:val="0"/>
          <w:color w:val="000000"/>
          <w:sz w:val="36"/>
          <w:szCs w:val="21"/>
          <w:lang w:val="en-US" w:eastAsia="zh-CN" w:bidi="ar-SA"/>
        </w:rPr>
        <w:t xml:space="preserve"> 第三章  </w:t>
      </w:r>
      <w:r>
        <w:rPr>
          <w:rFonts w:hint="eastAsia" w:ascii="黑体" w:hAnsi="宋体" w:eastAsia="黑体" w:cs="Times New Roman"/>
          <w:sz w:val="36"/>
          <w:szCs w:val="21"/>
          <w:highlight w:val="none"/>
          <w:lang w:eastAsia="zh-CN"/>
        </w:rPr>
        <w:t xml:space="preserve">合同文本</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14</w:t>
      </w:r>
      <w:r/>
    </w:p>
    <w:p>
      <w:pPr>
        <w:numPr>
          <w:ilvl w:val="0"/>
          <w:numId w:val="0"/>
        </w:numPr>
        <w:ind w:left="0" w:right="0" w:firstLine="0"/>
        <w:jc w:val="center"/>
        <w:keepLines w:val="0"/>
        <w:keepNext w:val="0"/>
        <w:pageBreakBefore w:val="0"/>
        <w:spacing w:line="480" w:lineRule="auto"/>
        <w:widowControl w:val="off"/>
        <w:rPr>
          <w:rFonts w:hint="default" w:ascii="黑体" w:hAnsi="Showcard Gothic" w:eastAsia="黑体" w:cs="Times New Roman"/>
          <w:sz w:val="36"/>
          <w:szCs w:val="21"/>
          <w:highlight w:val="none"/>
          <w:lang w:val="en-US" w:eastAsia="zh-CN"/>
        </w:rPr>
        <w:outlineLvl w:val="9"/>
      </w:pPr>
      <w:r>
        <w:rPr>
          <w:rFonts w:hint="eastAsia" w:ascii="黑体" w:hAnsi="Showcard Gothic" w:eastAsia="黑体" w:cs="Times New Roman"/>
          <w:b w:val="0"/>
          <w:color w:val="000000"/>
          <w:sz w:val="36"/>
          <w:szCs w:val="21"/>
          <w:lang w:val="en-US" w:eastAsia="zh-CN" w:bidi="ar-SA"/>
        </w:rPr>
        <w:t xml:space="preserve"> 第四章  </w:t>
      </w:r>
      <w:r>
        <w:rPr>
          <w:rFonts w:hint="eastAsia" w:ascii="黑体" w:hAnsi="宋体" w:eastAsia="黑体" w:cs="Times New Roman"/>
          <w:sz w:val="36"/>
          <w:szCs w:val="21"/>
          <w:highlight w:val="none"/>
          <w:lang w:eastAsia="zh-CN"/>
        </w:rPr>
        <w:t xml:space="preserve">采购需求</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18</w:t>
      </w:r>
      <w:r/>
    </w:p>
    <w:p>
      <w:pPr>
        <w:numPr>
          <w:ilvl w:val="0"/>
          <w:numId w:val="0"/>
        </w:numPr>
        <w:ind w:left="0" w:right="0" w:firstLine="0"/>
        <w:jc w:val="center"/>
        <w:keepLines w:val="0"/>
        <w:keepNext w:val="0"/>
        <w:pageBreakBefore w:val="0"/>
        <w:spacing w:line="480" w:lineRule="auto"/>
        <w:widowControl w:val="off"/>
        <w:rPr>
          <w:rFonts w:hint="default" w:ascii="黑体" w:hAnsi="Showcard Gothic" w:eastAsia="黑体" w:cs="Times New Roman"/>
          <w:sz w:val="36"/>
          <w:szCs w:val="21"/>
          <w:highlight w:val="none"/>
          <w:lang w:val="en-US" w:eastAsia="zh-CN"/>
        </w:rPr>
        <w:outlineLvl w:val="9"/>
      </w:pPr>
      <w:r>
        <w:rPr>
          <w:rFonts w:hint="eastAsia" w:ascii="黑体" w:hAnsi="Showcard Gothic" w:eastAsia="黑体" w:cs="Times New Roman"/>
          <w:b w:val="0"/>
          <w:color w:val="000000"/>
          <w:sz w:val="36"/>
          <w:szCs w:val="21"/>
          <w:lang w:val="en-US" w:eastAsia="zh-CN" w:bidi="ar-SA"/>
        </w:rPr>
        <w:t xml:space="preserve"> 第五章  </w:t>
      </w:r>
      <w:r>
        <w:rPr>
          <w:rFonts w:hint="eastAsia" w:ascii="黑体" w:hAnsi="宋体" w:eastAsia="黑体" w:cs="Times New Roman"/>
          <w:bCs/>
          <w:sz w:val="36"/>
          <w:szCs w:val="36"/>
          <w:highlight w:val="none"/>
          <w:lang w:eastAsia="zh-CN"/>
        </w:rPr>
        <w:t xml:space="preserve">评标方法与评标标准</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25</w:t>
      </w:r>
      <w:r/>
    </w:p>
    <w:p>
      <w:pPr>
        <w:numPr>
          <w:ilvl w:val="0"/>
          <w:numId w:val="0"/>
        </w:numPr>
        <w:ind w:left="0" w:right="0" w:firstLine="0"/>
        <w:jc w:val="center"/>
        <w:keepLines w:val="0"/>
        <w:keepNext w:val="0"/>
        <w:pageBreakBefore w:val="0"/>
        <w:spacing w:line="480" w:lineRule="auto"/>
        <w:widowControl w:val="off"/>
        <w:rPr>
          <w:rFonts w:hint="default" w:ascii="黑体" w:hAnsi="Showcard Gothic" w:eastAsia="黑体" w:cs="Times New Roman"/>
          <w:sz w:val="36"/>
          <w:szCs w:val="21"/>
          <w:highlight w:val="none"/>
          <w:lang w:val="en-US" w:eastAsia="zh-CN"/>
        </w:rPr>
        <w:outlineLvl w:val="9"/>
      </w:pPr>
      <w:r>
        <w:rPr>
          <w:rFonts w:hint="eastAsia" w:ascii="黑体" w:hAnsi="Showcard Gothic" w:eastAsia="黑体" w:cs="Times New Roman"/>
          <w:b w:val="0"/>
          <w:color w:val="000000"/>
          <w:sz w:val="36"/>
          <w:szCs w:val="21"/>
          <w:lang w:val="en-US" w:eastAsia="zh-CN" w:bidi="ar-SA"/>
        </w:rPr>
        <w:t xml:space="preserve"> 第六章  </w:t>
      </w:r>
      <w:r>
        <w:rPr>
          <w:rFonts w:hint="eastAsia" w:ascii="黑体" w:hAnsi="宋体" w:eastAsia="黑体" w:cs="Times New Roman"/>
          <w:sz w:val="36"/>
          <w:szCs w:val="21"/>
          <w:highlight w:val="none"/>
          <w:lang w:eastAsia="zh-CN"/>
        </w:rPr>
        <w:t xml:space="preserve">投标文件格式</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28</w:t>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z w:val="40"/>
          <w:szCs w:val="40"/>
          <w:highlight w:val="none"/>
        </w:rPr>
        <w:outlineLvl w:val="0"/>
      </w:pPr>
      <w:r>
        <w:rPr>
          <w:spacing w:val="13"/>
          <w:sz w:val="40"/>
          <w:szCs w:val="40"/>
          <w:highlight w:val="none"/>
          <w14:textOutline w14:w="7355" w14:cap="flat" w14:cmpd="sng">
            <w14:solidFill>
              <w14:srgbClr w14:val="000000"/>
            </w14:solidFill>
            <w14:prstDash w14:val="solid"/>
            <w14:miter/>
          </w14:textOutline>
        </w:rPr>
        <w:t xml:space="preserve">第一章</w:t>
      </w:r>
      <w:r>
        <w:rPr>
          <w:spacing w:val="43"/>
          <w:sz w:val="40"/>
          <w:szCs w:val="40"/>
          <w:highlight w:val="none"/>
        </w:rPr>
        <w:t xml:space="preserve">  </w:t>
      </w:r>
      <w:r>
        <w:rPr>
          <w:spacing w:val="13"/>
          <w:sz w:val="40"/>
          <w:szCs w:val="40"/>
          <w:highlight w:val="none"/>
          <w14:textOutline w14:w="7355" w14:cap="flat" w14:cmpd="sng">
            <w14:solidFill>
              <w14:srgbClr w14:val="000000"/>
            </w14:solidFill>
            <w14:prstDash w14:val="solid"/>
            <w14:miter/>
          </w14:textOutline>
        </w:rPr>
        <w:t xml:space="preserve">投标邀请</w:t>
      </w:r>
      <w:r/>
    </w:p>
    <w:p>
      <w:pP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500"/>
        <w:keepLines w:val="0"/>
        <w:keepNext w:val="0"/>
        <w:pageBreakBefore w:val="0"/>
        <w:spacing w:line="360" w:lineRule="auto"/>
        <w:widowControl/>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受</w:t>
      </w:r>
      <w:r>
        <w:rPr>
          <w:rFonts w:hint="eastAsia" w:ascii="宋体" w:hAnsi="宋体" w:eastAsia="宋体" w:cs="宋体"/>
          <w:sz w:val="24"/>
          <w:szCs w:val="24"/>
          <w:highlight w:val="none"/>
          <w:lang w:val="en-US" w:eastAsia="zh-CN"/>
        </w:rPr>
        <w:t xml:space="preserve">南京江北新区管理委员会教育局</w:t>
      </w:r>
      <w:r>
        <w:rPr>
          <w:rFonts w:hint="default" w:ascii="宋体" w:hAnsi="宋体" w:eastAsia="宋体" w:cs="宋体"/>
          <w:sz w:val="24"/>
          <w:szCs w:val="24"/>
          <w:highlight w:val="none"/>
          <w:lang w:val="en-US" w:eastAsia="zh-CN"/>
        </w:rPr>
        <w:t xml:space="preserve">（采购单位）委托，</w:t>
      </w:r>
      <w:r>
        <w:rPr>
          <w:rFonts w:hint="eastAsia" w:ascii="宋体" w:hAnsi="宋体" w:eastAsia="宋体" w:cs="宋体"/>
          <w:sz w:val="24"/>
          <w:szCs w:val="24"/>
          <w:highlight w:val="none"/>
          <w:lang w:val="en-US" w:eastAsia="zh-CN"/>
        </w:rPr>
        <w:t xml:space="preserve">南京市公共资源交易中心浦口分中心</w:t>
      </w:r>
      <w:r>
        <w:rPr>
          <w:rFonts w:hint="default" w:ascii="宋体" w:hAnsi="宋体" w:eastAsia="宋体" w:cs="宋体"/>
          <w:sz w:val="24"/>
          <w:szCs w:val="24"/>
          <w:highlight w:val="none"/>
          <w:lang w:val="en-US" w:eastAsia="zh-CN"/>
        </w:rPr>
        <w:t xml:space="preserve">（以下简称“交易中心”）就</w:t>
      </w:r>
      <w:r>
        <w:rPr>
          <w:rFonts w:hint="eastAsia" w:ascii="宋体" w:hAnsi="宋体" w:eastAsia="宋体" w:cs="宋体"/>
          <w:sz w:val="24"/>
          <w:szCs w:val="24"/>
          <w:highlight w:val="none"/>
          <w:lang w:val="en-US" w:eastAsia="zh-CN"/>
        </w:rPr>
        <w:t xml:space="preserve">南京江北新区管理委员会教育局2026年局属中小学幼儿园保安服务</w:t>
      </w:r>
      <w:r>
        <w:rPr>
          <w:rFonts w:hint="default" w:ascii="宋体" w:hAnsi="宋体" w:eastAsia="宋体" w:cs="宋体"/>
          <w:sz w:val="24"/>
          <w:szCs w:val="24"/>
          <w:highlight w:val="none"/>
          <w:lang w:val="en-US" w:eastAsia="zh-CN"/>
        </w:rPr>
        <w:t xml:space="preserve">（项目名称）进行公开招标采购，欢迎符合条件的供应商投标。</w:t>
      </w:r>
      <w:r/>
    </w:p>
    <w:p>
      <w:pPr>
        <w:pStyle w:val="860"/>
        <w:ind w:firstLine="465"/>
        <w:jc w:val="both"/>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一、项目基本情况</w:t>
      </w:r>
      <w:r/>
    </w:p>
    <w:p>
      <w:pPr>
        <w:ind w:firstLine="480"/>
        <w:jc w:val="both"/>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1.项目编号：JSZC-320111-JZCG-G2026-0041</w:t>
      </w:r>
      <w:r/>
    </w:p>
    <w:p>
      <w:pPr>
        <w:ind w:firstLine="480"/>
        <w:jc w:val="both"/>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2.项目名称：南京江北新区管理委员会教育局2026年局属中小学幼儿园保安服务</w:t>
      </w:r>
      <w:r/>
    </w:p>
    <w:p>
      <w:pPr>
        <w:ind w:firstLine="480"/>
        <w:jc w:val="both"/>
        <w:pageBreakBefore w:val="0"/>
        <w:spacing w:line="360" w:lineRule="auto"/>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3.预算金额：2580万元/年（</w:t>
      </w:r>
      <w:r>
        <w:rPr>
          <w:rFonts w:hint="eastAsia" w:ascii="宋体" w:hAnsi="宋体" w:cs="宋体"/>
          <w:color w:val="000000"/>
          <w:sz w:val="24"/>
          <w:szCs w:val="24"/>
          <w:lang w:val="en-US" w:eastAsia="zh-CN"/>
        </w:rPr>
        <w:t xml:space="preserve">采购包1：单人费用≤6万元/年、采购包2：单人费用≤6万元/年、采购包3：单人费用≤6万元/年、采购包4：单人费用≤6万元/年</w:t>
      </w:r>
      <w:r>
        <w:rPr>
          <w:rFonts w:hint="eastAsia" w:ascii="宋体" w:hAnsi="宋体" w:eastAsia="宋体" w:cs="Times New Roman"/>
          <w:sz w:val="24"/>
          <w:szCs w:val="24"/>
          <w:highlight w:val="none"/>
          <w:lang w:val="en-US" w:eastAsia="zh-CN"/>
        </w:rPr>
        <w:t xml:space="preserve">）</w:t>
      </w:r>
      <w:r/>
    </w:p>
    <w:p>
      <w:pPr>
        <w:ind w:firstLine="480"/>
        <w:jc w:val="both"/>
        <w:pageBreakBefore w:val="0"/>
        <w:spacing w:line="360" w:lineRule="auto"/>
        <w:widowControl w:val="off"/>
        <w:rPr>
          <w:rFonts w:hint="default" w:ascii="宋体" w:hAnsi="宋体" w:eastAsia="宋体"/>
          <w:sz w:val="24"/>
          <w:szCs w:val="24"/>
          <w:highlight w:val="none"/>
          <w:lang w:val="en-US" w:eastAsia="zh-CN"/>
        </w:rPr>
      </w:pPr>
      <w:r>
        <w:rPr>
          <w:rFonts w:hint="eastAsia" w:ascii="宋体" w:hAnsi="宋体" w:eastAsia="宋体" w:cs="Times New Roman"/>
          <w:sz w:val="24"/>
          <w:szCs w:val="24"/>
          <w:highlight w:val="none"/>
          <w:lang w:val="en-US" w:eastAsia="zh-CN"/>
        </w:rPr>
        <w:t xml:space="preserve">4.</w:t>
      </w:r>
      <w:r>
        <w:rPr>
          <w:rFonts w:hint="eastAsia" w:ascii="宋体" w:hAnsi="宋体"/>
          <w:sz w:val="24"/>
          <w:szCs w:val="24"/>
          <w:highlight w:val="none"/>
        </w:rPr>
        <w:t xml:space="preserve">最高限价</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如有</w:t>
      </w:r>
      <w:r>
        <w:rPr>
          <w:rFonts w:hint="eastAsia" w:ascii="宋体" w:hAnsi="宋体" w:eastAsia="宋体"/>
          <w:sz w:val="24"/>
          <w:szCs w:val="24"/>
          <w:highlight w:val="none"/>
          <w:lang w:eastAsia="zh-CN"/>
        </w:rPr>
        <w:t xml:space="preserve">）：</w:t>
      </w:r>
      <w:r>
        <w:rPr>
          <w:rFonts w:hint="eastAsia" w:ascii="宋体" w:hAnsi="宋体" w:cs="宋体"/>
          <w:color w:val="000000"/>
          <w:sz w:val="24"/>
          <w:szCs w:val="24"/>
          <w:lang w:val="en-US" w:eastAsia="zh-CN"/>
        </w:rPr>
        <w:t xml:space="preserve">采购包1：单人费用≤6万元/年、采购包2：单人费用≤6万元/年、采购包3：单人费用≤6万元/年、采购包4：单人费用≤6万元/年（供应商投标报价不得超出各采购包</w:t>
      </w:r>
      <w:r>
        <w:rPr>
          <w:rFonts w:hint="eastAsia" w:ascii="宋体" w:hAnsi="宋体"/>
          <w:sz w:val="24"/>
          <w:szCs w:val="24"/>
          <w:highlight w:val="none"/>
        </w:rPr>
        <w:t xml:space="preserve">最高限价</w:t>
      </w:r>
      <w:r>
        <w:rPr>
          <w:rFonts w:hint="eastAsia" w:ascii="宋体" w:hAnsi="宋体" w:cs="宋体"/>
          <w:color w:val="000000"/>
          <w:sz w:val="24"/>
          <w:szCs w:val="24"/>
          <w:lang w:val="en-US" w:eastAsia="zh-CN"/>
        </w:rPr>
        <w:t xml:space="preserve">，否则将作无效投标处理）</w:t>
      </w:r>
      <w:r/>
    </w:p>
    <w:p>
      <w:pPr>
        <w:ind w:firstLine="480"/>
        <w:jc w:val="both"/>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5.采购需求（简介）：南京江北新区管理委员会教育局2026年局属中小学幼儿园保安服务（详细内容见本招标文件第四章）</w:t>
      </w:r>
      <w:r/>
    </w:p>
    <w:p>
      <w:pPr>
        <w:ind w:firstLine="480"/>
        <w:jc w:val="both"/>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注：评标委员会按采购包一至采购包四的顺序依次确定中标供应商，供应商可参加一个或多个分包的投标，但同一供应商最多只能中标一个分包（即兼投不兼中）。已经中标的供应商可以参加后续采购包的评审，但不再被推荐为中标供应商。如采购包一的中标候选人在采购包二的评审中排名第一，则选择</w:t>
      </w:r>
      <w:r>
        <w:rPr>
          <w:rFonts w:hint="eastAsia" w:ascii="宋体" w:hAnsi="宋体" w:eastAsia="宋体" w:cs="Times New Roman"/>
          <w:color w:val="000000"/>
          <w:sz w:val="24"/>
          <w:szCs w:val="24"/>
          <w:highlight w:val="none"/>
          <w:lang w:val="en-US" w:eastAsia="zh-CN" w:bidi="ar-SA"/>
        </w:rPr>
        <w:t xml:space="preserve">采购包</w:t>
      </w:r>
      <w:r>
        <w:rPr>
          <w:rFonts w:hint="eastAsia" w:ascii="宋体" w:hAnsi="宋体" w:eastAsia="宋体" w:cs="Times New Roman"/>
          <w:sz w:val="24"/>
          <w:szCs w:val="24"/>
          <w:highlight w:val="none"/>
          <w:lang w:eastAsia="zh-CN"/>
        </w:rPr>
        <w:t xml:space="preserve">二排名第二的中标候选人为中标人，以此类推。供应商应根据分包项目分别编制投标文件参与竞争。</w:t>
      </w:r>
      <w:r/>
    </w:p>
    <w:p>
      <w:pPr>
        <w:ind w:firstLine="480"/>
        <w:jc w:val="both"/>
        <w:pageBreakBefore w:val="0"/>
        <w:spacing w:line="360" w:lineRule="auto"/>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6.合同履行期限：自合同签订之日至2027年7月31日</w:t>
      </w:r>
      <w:r/>
    </w:p>
    <w:p>
      <w:pPr>
        <w:ind w:firstLine="480"/>
        <w:jc w:val="both"/>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7.本项目不接受联合体投标</w:t>
      </w:r>
      <w:r/>
    </w:p>
    <w:p>
      <w:pPr>
        <w:pStyle w:val="860"/>
        <w:ind w:firstLine="465"/>
        <w:jc w:val="both"/>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二、申请人的资格要求</w:t>
      </w:r>
      <w:r/>
    </w:p>
    <w:p>
      <w:pPr>
        <w:ind w:firstLine="480"/>
        <w:jc w:val="both"/>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（一</w:t>
      </w:r>
      <w:r>
        <w:rPr>
          <w:rFonts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t xml:space="preserve">通用</w:t>
      </w:r>
      <w:r>
        <w:rPr>
          <w:rFonts w:ascii="宋体" w:hAnsi="宋体" w:eastAsia="宋体" w:cs="Times New Roman"/>
          <w:sz w:val="24"/>
          <w:szCs w:val="24"/>
          <w:highlight w:val="none"/>
          <w:lang w:eastAsia="zh-CN"/>
        </w:rPr>
        <w:t xml:space="preserve">资格要求</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1.满足《中华人民共和国政府采购法》第二十二条规定，并提供下列材料：</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eastAsia="zh-CN"/>
        </w:rPr>
        <w:t xml:space="preserve">供应商信用承诺函（格式见第六章投标文件格式）。</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2.落实政府采购政策需满足的资格要求：无</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本项目采购标的对应的中小企业划分标准所属行业为：</w:t>
      </w:r>
      <w:r>
        <w:rPr>
          <w:rFonts w:hint="eastAsia" w:ascii="宋体" w:hAnsi="宋体" w:eastAsia="宋体" w:cs="Times New Roman"/>
          <w:b w:val="0"/>
          <w:bCs w:val="0"/>
          <w:color w:val="000000"/>
          <w:sz w:val="24"/>
          <w:szCs w:val="24"/>
          <w:highlight w:val="none"/>
          <w:lang w:val="en-US" w:eastAsia="zh-CN"/>
        </w:rPr>
        <w:t xml:space="preserve">租赁和商务服务业</w:t>
      </w:r>
      <w:r>
        <w:rPr>
          <w:rFonts w:hint="eastAsia" w:ascii="宋体" w:hAnsi="宋体" w:eastAsia="宋体" w:cs="Times New Roman"/>
          <w:b w:val="0"/>
          <w:bCs w:val="0"/>
          <w:color w:val="000000"/>
          <w:sz w:val="24"/>
          <w:szCs w:val="24"/>
          <w:highlight w:val="none"/>
          <w:lang w:val="zh-CN" w:eastAsia="zh-CN"/>
        </w:rPr>
        <w:t xml:space="preserve">。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3.本项目</w:t>
      </w:r>
      <w:r>
        <w:rPr>
          <w:rFonts w:hint="eastAsia" w:ascii="宋体" w:hAnsi="宋体" w:eastAsia="宋体" w:cs="Times New Roman"/>
          <w:b w:val="0"/>
          <w:bCs w:val="0"/>
          <w:color w:val="000000"/>
          <w:sz w:val="24"/>
          <w:szCs w:val="24"/>
          <w:highlight w:val="none"/>
          <w:u w:val="single"/>
          <w:lang w:val="en-US" w:eastAsia="zh-CN"/>
        </w:rPr>
        <w:t xml:space="preserve"> 不接受 </w:t>
      </w:r>
      <w:r>
        <w:rPr>
          <w:rFonts w:hint="eastAsia" w:ascii="宋体" w:hAnsi="宋体" w:eastAsia="宋体" w:cs="Times New Roman"/>
          <w:b w:val="0"/>
          <w:bCs w:val="0"/>
          <w:color w:val="000000"/>
          <w:sz w:val="24"/>
          <w:szCs w:val="24"/>
          <w:highlight w:val="none"/>
          <w:lang w:val="en-US" w:eastAsia="zh-CN"/>
        </w:rPr>
        <w:t xml:space="preserve">联合体投标。</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（二）本项目的特定资格要求：供应商需持有省级公安机关颁发的《保安服务许可证》(提供加盖公章的扫描件)</w:t>
      </w:r>
      <w:bookmarkStart w:id="0" w:name="OLE_LINK7"/>
      <w:r>
        <w:rPr>
          <w:rFonts w:hint="eastAsia" w:ascii="宋体" w:hAnsi="宋体" w:eastAsia="宋体" w:cs="Times New Roman"/>
          <w:b w:val="0"/>
          <w:bCs w:val="0"/>
          <w:color w:val="000000"/>
          <w:sz w:val="24"/>
          <w:szCs w:val="24"/>
          <w:highlight w:val="none"/>
          <w:lang w:val="en-US" w:eastAsia="zh-CN"/>
        </w:rPr>
        <w:t xml:space="preserve">。</w:t>
      </w:r>
      <w:bookmarkEnd w:id="0"/>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（三）拒绝下述供应商参加本次采购活动</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1.单位负责人为同一人或者存在直接控股、管理关系的不同供应商，不得参加同一合同项下的政府采购活动。</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2.为采购项目提供整体设计、规范编制或者项目管理、监理、检测等服务的供应商，不得参加本项目的采购活动。</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3.供应商被“信用中国”网站（www.creditchina.gov.cn）、“中国政府采购网”(www.ccgp.gov.cn)列入失信被执行人、重大税收违法案件当事人名单、政府采购严重违法失信行为记录名单。</w:t>
      </w:r>
      <w:r/>
    </w:p>
    <w:p>
      <w:pPr>
        <w:pStyle w:val="860"/>
        <w:ind w:firstLine="465"/>
        <w:jc w:val="both"/>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三、获取招标文件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1.时间：自招标文件公告发布之日起5个工作日。</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2.方式：</w:t>
      </w:r>
      <w:r>
        <w:rPr>
          <w:rFonts w:hint="eastAsia" w:ascii="宋体" w:hAnsi="宋体" w:cs="宋体"/>
          <w:sz w:val="24"/>
          <w:szCs w:val="24"/>
          <w:highlight w:val="none"/>
        </w:rPr>
        <w:t xml:space="preserve">在“江苏政府采购网”免费下载。</w:t>
      </w:r>
      <w:r/>
    </w:p>
    <w:p>
      <w:pPr>
        <w:pStyle w:val="860"/>
        <w:ind w:firstLine="465"/>
        <w:jc w:val="both"/>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四、提交投标文件截止时间、开标时间和地点</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1.提交投标文件截止时间、开标时间：2026年7月23日09时30分（北京时间）。</w:t>
      </w:r>
      <w:r/>
    </w:p>
    <w:p>
      <w:pPr>
        <w:pStyle w:val="860"/>
        <w:ind w:firstLine="465"/>
        <w:jc w:val="both"/>
        <w:pageBreakBefore w:val="0"/>
        <w:spacing w:before="145" w:after="145"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2.地点：江苏省政府采购交易系统(以下简称“苏采云系统”)网上开标大厅。</w:t>
      </w:r>
      <w:r/>
    </w:p>
    <w:p>
      <w:pPr>
        <w:pStyle w:val="860"/>
        <w:ind w:firstLine="465"/>
        <w:jc w:val="both"/>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五、公告期限</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公告期限为自本公告发布之日起5个工作日</w:t>
      </w:r>
      <w:r>
        <w:rPr>
          <w:rFonts w:hint="eastAsia" w:ascii="宋体" w:hAnsi="宋体" w:eastAsia="宋体" w:cs="宋体"/>
          <w:sz w:val="24"/>
          <w:szCs w:val="24"/>
          <w:highlight w:val="none"/>
          <w:lang w:val="en-US" w:eastAsia="zh-CN"/>
        </w:rPr>
        <w:t xml:space="preserve">。</w:t>
      </w:r>
      <w:r/>
    </w:p>
    <w:p>
      <w:pPr>
        <w:pStyle w:val="860"/>
        <w:ind w:firstLine="465"/>
        <w:jc w:val="both"/>
        <w:pageBreakBefore w:val="0"/>
        <w:spacing w:before="145" w:after="145" w:line="360" w:lineRule="auto"/>
        <w:widowControl w:val="off"/>
        <w:rPr>
          <w:rFonts w:hint="eastAsia" w:ascii="Arial" w:hAnsi="Arial" w:eastAsia="Arial" w:cs="Arial"/>
          <w:color w:val="000000"/>
          <w:sz w:val="21"/>
          <w:szCs w:val="21"/>
          <w:highlight w:val="none"/>
          <w:lang w:val="en-US" w:eastAsia="zh-CN" w:bidi="ar-SA"/>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六、其他事宜</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1.本次招标不收取投标保证金。</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2.本项目不组织集中勘察及答疑，供应商如对采购需求有疑问，请咨询采购单位联系人。</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4.有关本次招标的事项若存在变动或修改，请及时关注“江苏政府采购网”（www.ccgp-jiangsu.gov.cn）更正公告。</w:t>
      </w:r>
      <w:r/>
    </w:p>
    <w:p>
      <w:pPr>
        <w:pStyle w:val="860"/>
        <w:ind w:firstLine="465"/>
        <w:jc w:val="both"/>
        <w:pageBreakBefore w:val="0"/>
        <w:spacing w:before="145" w:after="145" w:line="360" w:lineRule="auto"/>
        <w:widowControl w:val="off"/>
        <w:rPr>
          <w:rFonts w:hint="eastAsia" w:ascii="Arial" w:hAnsi="Arial" w:eastAsia="Arial" w:cs="Arial"/>
          <w:color w:val="000000"/>
          <w:sz w:val="21"/>
          <w:szCs w:val="21"/>
          <w:highlight w:val="none"/>
          <w:lang w:val="en-US" w:eastAsia="zh-CN" w:bidi="ar-SA"/>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七、本次招标联系方式</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bookmarkStart w:id="1" w:name="_Toc28359087"/>
      <w:r/>
      <w:bookmarkStart w:id="2" w:name="_Toc28359010"/>
      <w:r>
        <w:rPr>
          <w:rFonts w:hint="eastAsia" w:ascii="宋体" w:hAnsi="宋体" w:eastAsia="宋体" w:cs="Times New Roman"/>
          <w:b w:val="0"/>
          <w:bCs w:val="0"/>
          <w:color w:val="000000"/>
          <w:sz w:val="24"/>
          <w:szCs w:val="24"/>
          <w:highlight w:val="none"/>
          <w:lang w:val="zh-CN" w:eastAsia="zh-CN"/>
        </w:rPr>
        <w:t xml:space="preserve">1.采购人信息</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bookmarkStart w:id="3" w:name="_Toc28359086"/>
      <w:r/>
      <w:bookmarkStart w:id="4" w:name="_Toc28359009"/>
      <w:r>
        <w:rPr>
          <w:rFonts w:hint="eastAsia" w:ascii="宋体" w:hAnsi="宋体" w:eastAsia="宋体" w:cs="Times New Roman"/>
          <w:b w:val="0"/>
          <w:bCs w:val="0"/>
          <w:color w:val="000000"/>
          <w:sz w:val="24"/>
          <w:szCs w:val="24"/>
          <w:highlight w:val="none"/>
          <w:lang w:val="zh-CN" w:eastAsia="zh-CN"/>
        </w:rPr>
        <w:t xml:space="preserve">名  称：</w:t>
      </w:r>
      <w:r>
        <w:rPr>
          <w:rFonts w:hint="eastAsia" w:ascii="宋体" w:hAnsi="宋体" w:eastAsia="宋体" w:cs="宋体"/>
          <w:sz w:val="24"/>
          <w:szCs w:val="24"/>
          <w:highlight w:val="none"/>
          <w:lang w:val="en-US" w:eastAsia="zh-CN"/>
        </w:rPr>
        <w:t xml:space="preserve">南京江北新区管理委员会教育局</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eastAsia="zh-CN"/>
        </w:rPr>
        <w:t xml:space="preserve">地  址：南京市浦口区行知路</w:t>
      </w:r>
      <w:r>
        <w:rPr>
          <w:rFonts w:hint="eastAsia" w:ascii="宋体" w:hAnsi="宋体" w:eastAsia="宋体" w:cs="Times New Roman"/>
          <w:b w:val="0"/>
          <w:bCs w:val="0"/>
          <w:color w:val="000000"/>
          <w:sz w:val="24"/>
          <w:szCs w:val="24"/>
          <w:highlight w:val="none"/>
          <w:lang w:val="en-US" w:eastAsia="zh-CN"/>
        </w:rPr>
        <w:t xml:space="preserve">5号</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联系人：张科</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eastAsia="zh-CN"/>
        </w:rPr>
        <w:t xml:space="preserve">联系电话：025-581</w:t>
      </w:r>
      <w:r>
        <w:rPr>
          <w:rFonts w:hint="eastAsia" w:ascii="宋体" w:hAnsi="宋体" w:eastAsia="宋体" w:cs="Times New Roman"/>
          <w:b w:val="0"/>
          <w:bCs w:val="0"/>
          <w:color w:val="000000"/>
          <w:sz w:val="24"/>
          <w:szCs w:val="24"/>
          <w:highlight w:val="none"/>
          <w:lang w:val="en-US" w:eastAsia="zh-CN"/>
        </w:rPr>
        <w:t xml:space="preserve">87793</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eastAsia="zh-CN"/>
        </w:rPr>
        <w:t xml:space="preserve">2.</w:t>
      </w:r>
      <w:bookmarkEnd w:id="3"/>
      <w:r/>
      <w:bookmarkEnd w:id="4"/>
      <w:r>
        <w:rPr>
          <w:rFonts w:hint="eastAsia" w:ascii="宋体" w:hAnsi="宋体" w:eastAsia="宋体" w:cs="Times New Roman"/>
          <w:b w:val="0"/>
          <w:bCs w:val="0"/>
          <w:color w:val="000000"/>
          <w:sz w:val="24"/>
          <w:szCs w:val="24"/>
          <w:highlight w:val="none"/>
          <w:lang w:val="en-US" w:eastAsia="zh-CN"/>
        </w:rPr>
        <w:t xml:space="preserve">代理机构信息</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名  称：南京市公共资源交易中心浦口分中心</w:t>
      </w:r>
      <w:bookmarkEnd w:id="1"/>
      <w:r/>
      <w:bookmarkEnd w:id="2"/>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地　址：南京市浦口区江浦街道象山路4号浦口市民中心B幢五楼受理大厅</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联系人：戴工</w:t>
      </w:r>
      <w:r/>
    </w:p>
    <w:p>
      <w:pPr>
        <w:ind w:firstLine="480"/>
        <w:jc w:val="both"/>
        <w:keepLines w:val="0"/>
        <w:keepNext w:val="0"/>
        <w:pageBreakBefore w:val="0"/>
        <w:spacing w:line="360" w:lineRule="auto"/>
        <w:widowControl w:val="off"/>
        <w:rPr>
          <w:rFonts w:hint="default"/>
          <w:spacing w:val="12"/>
          <w:sz w:val="40"/>
          <w:szCs w:val="40"/>
          <w:highlight w:val="none"/>
          <w:lang w:val="en-US"/>
          <w14:textOutline w14:w="7355" w14:cap="flat" w14:cmpd="sng">
            <w14:solidFill>
              <w14:srgbClr w14:val="000000"/>
            </w14:solidFill>
            <w14:prstDash w14:val="solid"/>
            <w14:miter/>
          </w14:textOutline>
        </w:rPr>
      </w:pPr>
      <w:r>
        <w:rPr>
          <w:rFonts w:hint="eastAsia" w:ascii="宋体" w:hAnsi="宋体" w:eastAsia="宋体" w:cs="Times New Roman"/>
          <w:b w:val="0"/>
          <w:bCs w:val="0"/>
          <w:color w:val="000000"/>
          <w:sz w:val="24"/>
          <w:szCs w:val="24"/>
          <w:highlight w:val="none"/>
          <w:lang w:val="zh-CN" w:eastAsia="zh-CN"/>
        </w:rPr>
        <w:t xml:space="preserve">联系电话：025-6965904</w:t>
      </w:r>
      <w:r>
        <w:rPr>
          <w:rFonts w:hint="eastAsia" w:ascii="宋体" w:hAnsi="宋体" w:eastAsia="宋体" w:cs="Times New Roman"/>
          <w:b w:val="0"/>
          <w:bCs w:val="0"/>
          <w:color w:val="000000"/>
          <w:sz w:val="24"/>
          <w:szCs w:val="24"/>
          <w:highlight w:val="none"/>
          <w:lang w:val="en-US" w:eastAsia="zh-CN"/>
        </w:rPr>
        <w:t xml:space="preserve">7</w:t>
      </w:r>
      <w:r/>
    </w:p>
    <w:p>
      <w:pPr>
        <w:pStyle w:val="684"/>
        <w:ind w:left="2803"/>
        <w:spacing w:before="130" w:line="221" w:lineRule="auto"/>
        <w:rPr>
          <w:spacing w:val="12"/>
          <w:sz w:val="40"/>
          <w:szCs w:val="40"/>
          <w:highlight w:val="none"/>
          <w14:textOutline w14:w="7355" w14:cap="flat" w14:cmpd="sng">
            <w14:solidFill>
              <w14:srgbClr w14:val="000000"/>
            </w14:solidFill>
            <w14:prstDash w14:val="solid"/>
            <w14:miter/>
          </w14:textOutline>
        </w:rPr>
        <w:outlineLvl w:val="9"/>
      </w:pPr>
      <w:r>
        <w:rPr>
          <w:spacing w:val="12"/>
          <w:sz w:val="40"/>
          <w:szCs w:val="40"/>
          <w:highlight w:val="none"/>
          <w14:textOutline w14:w="7355" w14:cap="flat" w14:cmpd="sng">
            <w14:solidFill>
              <w14:srgbClr w14:val="000000"/>
            </w14:solidFill>
            <w14:prstDash w14:val="solid"/>
            <w14:miter/>
          </w14:textOutline>
        </w:rPr>
      </w:r>
      <w:r/>
    </w:p>
    <w:p>
      <w:pPr>
        <w:pStyle w:val="684"/>
        <w:ind w:left="2803"/>
        <w:spacing w:before="130" w:line="221" w:lineRule="auto"/>
        <w:rPr>
          <w:spacing w:val="12"/>
          <w:sz w:val="40"/>
          <w:szCs w:val="40"/>
          <w:highlight w:val="none"/>
          <w14:textOutline w14:w="7355" w14:cap="flat" w14:cmpd="sng">
            <w14:solidFill>
              <w14:srgbClr w14:val="000000"/>
            </w14:solidFill>
            <w14:prstDash w14:val="solid"/>
            <w14:miter/>
          </w14:textOutline>
        </w:rPr>
        <w:outlineLvl w:val="9"/>
      </w:pPr>
      <w:r>
        <w:rPr>
          <w:spacing w:val="12"/>
          <w:sz w:val="40"/>
          <w:szCs w:val="40"/>
          <w:highlight w:val="none"/>
          <w14:textOutline w14:w="7355" w14:cap="flat" w14:cmpd="sng">
            <w14:solidFill>
              <w14:srgbClr w14:val="000000"/>
            </w14:solidFill>
            <w14:prstDash w14:val="solid"/>
            <w14:miter/>
          </w14:textOutline>
        </w:rPr>
      </w:r>
      <w:r/>
    </w:p>
    <w:p>
      <w:pPr>
        <w:rPr>
          <w:spacing w:val="12"/>
          <w:sz w:val="40"/>
          <w:szCs w:val="40"/>
          <w:highlight w:val="none"/>
          <w14:textOutline w14:w="7355" w14:cap="flat" w14:cmpd="sng">
            <w14:solidFill>
              <w14:srgbClr w14:val="000000"/>
            </w14:solidFill>
            <w14:prstDash w14:val="solid"/>
            <w14:miter/>
          </w14:textOutline>
        </w:rPr>
      </w:pPr>
      <w:r>
        <w:rPr>
          <w:spacing w:val="12"/>
          <w:sz w:val="40"/>
          <w:szCs w:val="40"/>
          <w:highlight w:val="none"/>
          <w14:textOutline w14:w="7355" w14:cap="flat" w14:cmpd="sng">
            <w14:solidFill>
              <w14:srgbClr w14:val="000000"/>
            </w14:solidFill>
            <w14:prstDash w14:val="solid"/>
            <w14:miter/>
          </w14:textOutline>
        </w:rPr>
        <w:br w:type="page" w:clear="all"/>
      </w:r>
      <w:r/>
    </w:p>
    <w:p>
      <w:pPr>
        <w:pStyle w:val="684"/>
        <w:ind w:left="2803"/>
        <w:spacing w:before="130" w:line="221" w:lineRule="auto"/>
        <w:rPr>
          <w:sz w:val="40"/>
          <w:szCs w:val="40"/>
          <w:highlight w:val="none"/>
        </w:rPr>
        <w:outlineLvl w:val="0"/>
      </w:pPr>
      <w:r>
        <w:rPr>
          <w:spacing w:val="12"/>
          <w:sz w:val="40"/>
          <w:szCs w:val="40"/>
          <w:highlight w:val="none"/>
          <w14:textOutline w14:w="7355" w14:cap="flat" w14:cmpd="sng">
            <w14:solidFill>
              <w14:srgbClr w14:val="000000"/>
            </w14:solidFill>
            <w14:prstDash w14:val="solid"/>
            <w14:miter/>
          </w14:textOutline>
        </w:rPr>
        <w:t xml:space="preserve">第二章</w:t>
      </w:r>
      <w:r>
        <w:rPr>
          <w:spacing w:val="43"/>
          <w:sz w:val="40"/>
          <w:szCs w:val="40"/>
          <w:highlight w:val="none"/>
        </w:rPr>
        <w:t xml:space="preserve">  </w:t>
      </w:r>
      <w:r>
        <w:rPr>
          <w:rFonts w:hint="eastAsia"/>
          <w:spacing w:val="12"/>
          <w:sz w:val="40"/>
          <w:szCs w:val="40"/>
          <w:highlight w:val="none"/>
          <w:lang w:val="en-US" w:eastAsia="zh-CN"/>
          <w14:textOutline w14:w="7355" w14:cap="flat" w14:cmpd="sng">
            <w14:solidFill>
              <w14:srgbClr w14:val="000000"/>
            </w14:solidFill>
            <w14:prstDash w14:val="solid"/>
            <w14:miter/>
          </w14:textOutline>
        </w:rPr>
        <w:t xml:space="preserve">投标人</w:t>
      </w:r>
      <w:r>
        <w:rPr>
          <w:spacing w:val="12"/>
          <w:sz w:val="40"/>
          <w:szCs w:val="40"/>
          <w:highlight w:val="none"/>
          <w14:textOutline w14:w="7355" w14:cap="flat" w14:cmpd="sng">
            <w14:solidFill>
              <w14:srgbClr w14:val="000000"/>
            </w14:solidFill>
            <w14:prstDash w14:val="solid"/>
            <w14:miter/>
          </w14:textOutline>
        </w:rPr>
        <w:t xml:space="preserve">须知</w:t>
      </w:r>
      <w:r/>
    </w:p>
    <w:p>
      <w:pPr>
        <w:pStyle w:val="863"/>
        <w:ind w:firstLine="465"/>
        <w:spacing w:before="120" w:after="120" w:line="240" w:lineRule="auto"/>
        <w:rPr>
          <w:rFonts w:hint="eastAsia" w:ascii="方正黑体_GBK" w:eastAsia="方正黑体_GBK" w:cs="方正黑体_GBK"/>
          <w:lang w:bidi="ar-SA"/>
        </w:rPr>
      </w:pPr>
      <w:r/>
      <w:bookmarkStart w:id="5" w:name="_Toc513029203"/>
      <w:r/>
      <w:bookmarkStart w:id="6" w:name="_Toc20823275"/>
      <w:r/>
      <w:bookmarkStart w:id="7" w:name="_Toc120614214"/>
      <w:r/>
      <w:bookmarkStart w:id="8" w:name="_Toc16938519"/>
      <w:r>
        <w:rPr>
          <w:rFonts w:hint="eastAsia" w:ascii="方正黑体_GBK" w:eastAsia="方正黑体_GBK" w:cs="方正黑体_GBK"/>
          <w:lang w:bidi="ar-SA"/>
        </w:rPr>
        <w:t xml:space="preserve">一、总则</w:t>
      </w:r>
      <w:bookmarkEnd w:id="5"/>
      <w:r/>
      <w:bookmarkEnd w:id="6"/>
      <w:r/>
      <w:bookmarkEnd w:id="7"/>
      <w:r/>
      <w:bookmarkEnd w:id="8"/>
      <w:r/>
      <w:r/>
    </w:p>
    <w:p>
      <w:pPr>
        <w:pStyle w:val="865"/>
        <w:ind w:firstLine="422"/>
        <w:spacing w:before="0" w:after="0" w:line="240" w:lineRule="auto"/>
        <w:rPr>
          <w:rFonts w:hint="eastAsia" w:ascii="方正楷体_GBK" w:eastAsia="方正楷体_GBK" w:cs="方正楷体_GBK"/>
          <w:sz w:val="28"/>
          <w:szCs w:val="28"/>
          <w:lang w:bidi="ar-SA"/>
        </w:rPr>
      </w:pPr>
      <w:r/>
      <w:bookmarkStart w:id="9" w:name="_Hlt16619475"/>
      <w:r/>
      <w:bookmarkEnd w:id="9"/>
      <w:r/>
      <w:bookmarkStart w:id="10" w:name="_Toc458694821"/>
      <w:r/>
      <w:bookmarkStart w:id="11" w:name="_Toc513029204"/>
      <w:r/>
      <w:bookmarkStart w:id="12" w:name="_Toc20823276"/>
      <w:r/>
      <w:bookmarkStart w:id="13" w:name="_Toc16938520"/>
      <w:r>
        <w:rPr>
          <w:rFonts w:hint="eastAsia" w:ascii="方正楷体_GBK" w:eastAsia="方正楷体_GBK" w:cs="方正楷体_GBK"/>
          <w:sz w:val="28"/>
          <w:szCs w:val="28"/>
          <w:lang w:bidi="ar-SA"/>
        </w:rPr>
        <w:t xml:space="preserve">1</w:t>
      </w:r>
      <w:bookmarkEnd w:id="10"/>
      <w:r>
        <w:rPr>
          <w:rFonts w:hint="eastAsia" w:ascii="方正楷体_GBK" w:eastAsia="方正楷体_GBK" w:cs="方正楷体_GBK"/>
          <w:sz w:val="28"/>
          <w:szCs w:val="28"/>
          <w:lang w:bidi="ar-SA"/>
        </w:rPr>
        <w:t xml:space="preserve">.招标方式</w:t>
      </w:r>
      <w:bookmarkEnd w:id="11"/>
      <w:r/>
      <w:bookmarkEnd w:id="12"/>
      <w:r/>
      <w:bookmarkEnd w:id="13"/>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1.1 本次招标采取公开招标方式，本文件仅适用于招标公告中所述项目。</w:t>
      </w:r>
      <w:r/>
    </w:p>
    <w:p>
      <w:pPr>
        <w:pStyle w:val="865"/>
        <w:ind w:firstLine="422"/>
        <w:spacing w:before="0" w:after="0" w:line="240" w:lineRule="auto"/>
        <w:rPr>
          <w:rFonts w:hint="eastAsia" w:ascii="方正楷体_GBK" w:eastAsia="方正楷体_GBK" w:cs="方正楷体_GBK"/>
          <w:sz w:val="28"/>
          <w:szCs w:val="28"/>
          <w:lang w:bidi="ar-SA"/>
        </w:rPr>
      </w:pPr>
      <w:r/>
      <w:bookmarkStart w:id="14" w:name="_Toc20823277"/>
      <w:r/>
      <w:bookmarkStart w:id="15" w:name="_Toc16938521"/>
      <w:r/>
      <w:bookmarkStart w:id="16" w:name="_Toc513029205"/>
      <w:r>
        <w:rPr>
          <w:rFonts w:hint="eastAsia" w:ascii="方正楷体_GBK" w:eastAsia="方正楷体_GBK" w:cs="方正楷体_GBK"/>
          <w:sz w:val="28"/>
          <w:szCs w:val="28"/>
          <w:lang w:bidi="ar-SA"/>
        </w:rPr>
        <w:t xml:space="preserve">2.合格的投标人</w:t>
      </w:r>
      <w:bookmarkEnd w:id="14"/>
      <w:r/>
      <w:bookmarkEnd w:id="15"/>
      <w:r/>
      <w:bookmarkEnd w:id="16"/>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2.1 满足招标公告对供应商资格要求的规定。</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2.2 满足招标文件规定的实质性要求和条件。</w:t>
      </w:r>
      <w:r/>
    </w:p>
    <w:p>
      <w:pPr>
        <w:pStyle w:val="865"/>
        <w:ind w:firstLine="422"/>
        <w:spacing w:before="0" w:after="0" w:line="240" w:lineRule="auto"/>
        <w:rPr>
          <w:rFonts w:hint="eastAsia" w:ascii="方正楷体_GBK" w:eastAsia="方正楷体_GBK" w:cs="方正楷体_GBK"/>
          <w:sz w:val="28"/>
          <w:szCs w:val="28"/>
          <w:lang w:bidi="ar-SA"/>
        </w:rPr>
      </w:pPr>
      <w:r/>
      <w:bookmarkStart w:id="17" w:name="_Toc513029206"/>
      <w:r/>
      <w:bookmarkStart w:id="18" w:name="_Toc16938522"/>
      <w:r/>
      <w:bookmarkStart w:id="19" w:name="_Toc20823278"/>
      <w:r>
        <w:rPr>
          <w:rFonts w:hint="eastAsia" w:ascii="方正楷体_GBK" w:eastAsia="方正楷体_GBK" w:cs="方正楷体_GBK"/>
          <w:sz w:val="28"/>
          <w:szCs w:val="28"/>
          <w:lang w:bidi="ar-SA"/>
        </w:rPr>
        <w:t xml:space="preserve">3.适用法律</w:t>
      </w:r>
      <w:bookmarkEnd w:id="17"/>
      <w:r/>
      <w:bookmarkEnd w:id="18"/>
      <w:r/>
      <w:bookmarkEnd w:id="19"/>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3.1 本次招标及由此产生的合同受中华人民共和国有关的法律法规制约和保护。</w:t>
      </w:r>
      <w:r/>
    </w:p>
    <w:p>
      <w:pPr>
        <w:pStyle w:val="865"/>
        <w:ind w:firstLine="422"/>
        <w:spacing w:before="0" w:after="0" w:line="240" w:lineRule="auto"/>
        <w:rPr>
          <w:rFonts w:hint="eastAsia" w:ascii="方正楷体_GBK" w:eastAsia="方正楷体_GBK" w:cs="方正楷体_GBK"/>
          <w:sz w:val="28"/>
          <w:szCs w:val="28"/>
          <w:lang w:bidi="ar-SA"/>
        </w:rPr>
      </w:pPr>
      <w:r/>
      <w:bookmarkStart w:id="20" w:name="_Toc16938523"/>
      <w:r/>
      <w:bookmarkStart w:id="21" w:name="_Toc513029207"/>
      <w:r/>
      <w:bookmarkStart w:id="22" w:name="_Toc462564067"/>
      <w:r/>
      <w:bookmarkStart w:id="23" w:name="_Toc20823279"/>
      <w:r>
        <w:rPr>
          <w:rFonts w:hint="eastAsia" w:ascii="方正楷体_GBK" w:eastAsia="方正楷体_GBK" w:cs="方正楷体_GBK"/>
          <w:sz w:val="28"/>
          <w:szCs w:val="28"/>
          <w:lang w:bidi="ar-SA"/>
        </w:rPr>
        <w:t xml:space="preserve">4.投标费用</w:t>
      </w:r>
      <w:bookmarkEnd w:id="20"/>
      <w:r/>
      <w:bookmarkEnd w:id="21"/>
      <w:r/>
      <w:bookmarkEnd w:id="22"/>
      <w:r/>
      <w:bookmarkEnd w:id="23"/>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4.1 投标人应自行承担所有与参加投标有关的费用，无论投标过程中的做法和结果如何，交易中心在任何情况下均无义务和责任承担这些费用。</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4.2 本次招标交易中心和采购人不收取标书工本费与中标服务费。</w:t>
      </w:r>
      <w:r/>
    </w:p>
    <w:p>
      <w:pPr>
        <w:pStyle w:val="865"/>
        <w:ind w:firstLine="422"/>
        <w:spacing w:before="0" w:after="0" w:line="240" w:lineRule="auto"/>
        <w:rPr>
          <w:rFonts w:hint="eastAsia" w:ascii="方正楷体_GBK" w:eastAsia="方正楷体_GBK" w:cs="方正楷体_GBK"/>
          <w:sz w:val="28"/>
          <w:szCs w:val="28"/>
          <w:lang w:bidi="ar-SA"/>
        </w:rPr>
      </w:pPr>
      <w:r>
        <w:rPr>
          <w:rFonts w:hint="eastAsia" w:ascii="方正楷体_GBK" w:eastAsia="方正楷体_GBK" w:cs="方正楷体_GBK"/>
          <w:sz w:val="28"/>
          <w:szCs w:val="28"/>
          <w:lang w:bidi="ar-SA"/>
        </w:rPr>
        <w:t xml:space="preserve">5.招标文件的约束力</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5.1 投标人一旦参加本项目采购活动，即被认为接受了本文件的规定和约束。</w:t>
      </w:r>
      <w:r/>
    </w:p>
    <w:p>
      <w:pPr>
        <w:pStyle w:val="863"/>
        <w:ind w:firstLine="465"/>
        <w:spacing w:before="120" w:after="120" w:line="240" w:lineRule="auto"/>
        <w:rPr>
          <w:rFonts w:hint="eastAsia" w:ascii="方正黑体_GBK" w:eastAsia="方正黑体_GBK" w:cs="方正黑体_GBK"/>
          <w:lang w:bidi="ar-SA"/>
        </w:rPr>
      </w:pPr>
      <w:r/>
      <w:bookmarkStart w:id="24" w:name="_Toc20823281"/>
      <w:r/>
      <w:bookmarkStart w:id="25" w:name="_Toc16938525"/>
      <w:r/>
      <w:bookmarkStart w:id="26" w:name="_Toc120614215"/>
      <w:r/>
      <w:bookmarkStart w:id="27" w:name="_Toc513029209"/>
      <w:r>
        <w:rPr>
          <w:rFonts w:hint="eastAsia" w:ascii="方正黑体_GBK" w:eastAsia="方正黑体_GBK" w:cs="方正黑体_GBK"/>
          <w:lang w:bidi="ar-SA"/>
        </w:rPr>
        <w:t xml:space="preserve">二、招标文件</w:t>
      </w:r>
      <w:bookmarkEnd w:id="24"/>
      <w:r/>
      <w:bookmarkEnd w:id="25"/>
      <w:r/>
      <w:bookmarkEnd w:id="26"/>
      <w:r/>
      <w:bookmarkEnd w:id="27"/>
      <w:r/>
      <w:r/>
    </w:p>
    <w:p>
      <w:pPr>
        <w:pStyle w:val="865"/>
        <w:ind w:firstLine="422"/>
        <w:spacing w:before="0" w:after="0" w:line="240" w:lineRule="auto"/>
        <w:rPr>
          <w:rFonts w:hint="eastAsia" w:ascii="方正楷体_GBK" w:eastAsia="方正楷体_GBK" w:cs="方正楷体_GBK"/>
          <w:sz w:val="28"/>
          <w:szCs w:val="28"/>
          <w:lang w:bidi="ar-SA"/>
        </w:rPr>
      </w:pPr>
      <w:r/>
      <w:bookmarkStart w:id="28" w:name="_Toc513029210"/>
      <w:r/>
      <w:bookmarkStart w:id="29" w:name="_Toc20823282"/>
      <w:r/>
      <w:bookmarkStart w:id="30" w:name="_Toc16938526"/>
      <w:r>
        <w:rPr>
          <w:rFonts w:hint="eastAsia" w:ascii="方正楷体_GBK" w:eastAsia="方正楷体_GBK" w:cs="方正楷体_GBK"/>
          <w:sz w:val="28"/>
          <w:szCs w:val="28"/>
          <w:lang w:bidi="ar-SA"/>
        </w:rPr>
        <w:t xml:space="preserve">6.招标文件构成</w:t>
      </w:r>
      <w:bookmarkEnd w:id="28"/>
      <w:r/>
      <w:bookmarkEnd w:id="29"/>
      <w:r/>
      <w:bookmarkEnd w:id="30"/>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6.1 招标文件由以下部分组成：</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（1）投标邀请</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（2）投标人须知</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（3）合同文本</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（4）采购需求</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（5）评标方法与评标标准</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（6）投标文件格式</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投标人应仔细检查招标文件是否齐全，如有缺漏请立即与交易中心联系。</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422"/>
        <w:spacing w:before="0" w:after="0" w:line="240" w:lineRule="auto"/>
        <w:rPr>
          <w:rFonts w:hint="eastAsia" w:ascii="方正楷体_GBK" w:eastAsia="方正楷体_GBK" w:cs="方正楷体_GBK"/>
          <w:sz w:val="28"/>
          <w:szCs w:val="28"/>
          <w:lang w:bidi="ar-SA"/>
        </w:rPr>
      </w:pPr>
      <w:r/>
      <w:bookmarkStart w:id="31" w:name="_Toc16938527"/>
      <w:r/>
      <w:bookmarkStart w:id="32" w:name="_Toc20823283"/>
      <w:r/>
      <w:bookmarkStart w:id="33" w:name="_Toc462564070"/>
      <w:r/>
      <w:bookmarkStart w:id="34" w:name="_Toc513029211"/>
      <w:r>
        <w:rPr>
          <w:rFonts w:hint="eastAsia" w:ascii="方正楷体_GBK" w:eastAsia="方正楷体_GBK" w:cs="方正楷体_GBK"/>
          <w:sz w:val="28"/>
          <w:szCs w:val="28"/>
          <w:lang w:bidi="ar-SA"/>
        </w:rPr>
        <w:t xml:space="preserve">7.招标文件的澄清</w:t>
      </w:r>
      <w:bookmarkEnd w:id="31"/>
      <w:r/>
      <w:bookmarkEnd w:id="32"/>
      <w:r/>
      <w:bookmarkEnd w:id="33"/>
      <w:r/>
      <w:bookmarkEnd w:id="34"/>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7.1 任何要求对招标文件进行澄清的投标人，应在投标截止期十日前按招标公告中的通讯地址，以书面形式通知交易中心。</w:t>
      </w:r>
      <w:r/>
    </w:p>
    <w:p>
      <w:pPr>
        <w:pStyle w:val="865"/>
        <w:ind w:firstLine="422"/>
        <w:spacing w:before="0" w:after="0" w:line="240" w:lineRule="auto"/>
        <w:rPr>
          <w:rFonts w:hint="eastAsia" w:ascii="方正楷体_GBK" w:eastAsia="方正楷体_GBK" w:cs="方正楷体_GBK"/>
          <w:sz w:val="28"/>
          <w:szCs w:val="28"/>
          <w:lang w:bidi="ar-SA"/>
        </w:rPr>
      </w:pPr>
      <w:r/>
      <w:bookmarkStart w:id="35" w:name="_Toc16938528"/>
      <w:r/>
      <w:bookmarkStart w:id="36" w:name="_Toc513029212"/>
      <w:r/>
      <w:bookmarkStart w:id="37" w:name="_Toc20823284"/>
      <w:r/>
      <w:bookmarkStart w:id="38" w:name="_Toc462564071"/>
      <w:r>
        <w:rPr>
          <w:rFonts w:hint="eastAsia" w:ascii="方正楷体_GBK" w:eastAsia="方正楷体_GBK" w:cs="方正楷体_GBK"/>
          <w:sz w:val="28"/>
          <w:szCs w:val="28"/>
          <w:lang w:bidi="ar-SA"/>
        </w:rPr>
        <w:t xml:space="preserve">8.招标文件的修改</w:t>
      </w:r>
      <w:bookmarkEnd w:id="35"/>
      <w:r/>
      <w:bookmarkEnd w:id="36"/>
      <w:r/>
      <w:bookmarkEnd w:id="37"/>
      <w:r/>
      <w:bookmarkEnd w:id="38"/>
      <w:r/>
      <w:r/>
    </w:p>
    <w:p>
      <w:pPr>
        <w:ind w:firstLine="420"/>
        <w:jc w:val="both"/>
        <w:spacing w:line="240" w:lineRule="auto"/>
        <w:widowControl w:val="off"/>
        <w:rPr>
          <w:rFonts w:hint="eastAsia" w:ascii="宋体" w:hAnsi="Times New Roman" w:eastAsia="宋体" w:cs="Times New Roman"/>
          <w:sz w:val="24"/>
          <w:lang w:eastAsia="zh-CN"/>
        </w:rPr>
      </w:pPr>
      <w:r/>
      <w:bookmarkStart w:id="39" w:name="_Toc513029213"/>
      <w:r/>
      <w:bookmarkStart w:id="40" w:name="_Toc16938529"/>
      <w:r/>
      <w:bookmarkStart w:id="41" w:name="_Toc120614216"/>
      <w:r/>
      <w:bookmarkStart w:id="42" w:name="_Toc462564072"/>
      <w:r/>
      <w:bookmarkStart w:id="43" w:name="_Toc20823285"/>
      <w:r>
        <w:rPr>
          <w:rFonts w:hint="eastAsia" w:ascii="宋体" w:hAnsi="Times New Roman" w:eastAsia="宋体" w:cs="Times New Roman"/>
          <w:sz w:val="24"/>
          <w:lang w:eastAsia="zh-CN"/>
        </w:rPr>
        <w:t xml:space="preserve">8.1 在投标截止时间前，交易中心可以对招标文件进行修改。招标文件的修改将在原公告媒体发布更正公告，更正内容将作为招标文件的组成部分，并对投标人具有约束力。</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8.3 交易中心有权按照法定的要求推迟投标截止日期和开标日期，并在原公告媒体发布更正公告。</w:t>
      </w:r>
      <w:r/>
    </w:p>
    <w:p>
      <w:pPr>
        <w:pStyle w:val="863"/>
        <w:ind w:firstLine="465"/>
        <w:spacing w:before="120" w:after="120" w:line="240" w:lineRule="auto"/>
        <w:rPr>
          <w:rFonts w:hint="eastAsia" w:ascii="方正黑体_GBK" w:eastAsia="方正黑体_GBK" w:cs="方正黑体_GBK"/>
          <w:lang w:bidi="ar-SA"/>
        </w:rPr>
      </w:pPr>
      <w:r>
        <w:rPr>
          <w:rFonts w:hint="eastAsia" w:ascii="方正黑体_GBK" w:eastAsia="方正黑体_GBK" w:cs="方正黑体_GBK"/>
          <w:lang w:bidi="ar-SA"/>
        </w:rPr>
        <w:t xml:space="preserve">三、投标文件的编制</w:t>
      </w:r>
      <w:bookmarkEnd w:id="39"/>
      <w:r/>
      <w:bookmarkEnd w:id="40"/>
      <w:r/>
      <w:bookmarkEnd w:id="41"/>
      <w:r/>
      <w:bookmarkEnd w:id="42"/>
      <w:r/>
      <w:bookmarkEnd w:id="43"/>
      <w:r/>
      <w:r/>
    </w:p>
    <w:p>
      <w:pPr>
        <w:pStyle w:val="865"/>
        <w:ind w:firstLine="422"/>
        <w:spacing w:before="0" w:after="0" w:line="240" w:lineRule="auto"/>
        <w:rPr>
          <w:rFonts w:hint="eastAsia" w:ascii="方正楷体_GBK" w:eastAsia="方正楷体_GBK" w:cs="方正楷体_GBK"/>
          <w:sz w:val="28"/>
          <w:szCs w:val="28"/>
          <w:lang w:bidi="ar-SA"/>
        </w:rPr>
      </w:pPr>
      <w:r/>
      <w:bookmarkStart w:id="44" w:name="_Toc16938530"/>
      <w:r/>
      <w:bookmarkStart w:id="45" w:name="_Toc20823286"/>
      <w:r/>
      <w:bookmarkStart w:id="46" w:name="_Toc513029214"/>
      <w:r/>
      <w:bookmarkStart w:id="47" w:name="_Toc462564073"/>
      <w:r>
        <w:rPr>
          <w:rFonts w:hint="eastAsia" w:ascii="方正楷体_GBK" w:eastAsia="方正楷体_GBK" w:cs="方正楷体_GBK"/>
          <w:sz w:val="28"/>
          <w:szCs w:val="28"/>
          <w:lang w:bidi="ar-SA"/>
        </w:rPr>
        <w:t xml:space="preserve">9.投标文件的语言及度量衡单位</w:t>
      </w:r>
      <w:bookmarkEnd w:id="44"/>
      <w:r/>
      <w:bookmarkEnd w:id="45"/>
      <w:r/>
      <w:bookmarkEnd w:id="46"/>
      <w:r/>
      <w:bookmarkEnd w:id="47"/>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9.1 投标人提交的投标文件以及投标人与交易中心就有关投标的所有来往通知、函件和文件均应使用简体中文。</w:t>
      </w:r>
      <w:r/>
    </w:p>
    <w:p>
      <w:pPr>
        <w:ind w:firstLine="420"/>
        <w:jc w:val="both"/>
        <w:spacing w:line="240" w:lineRule="auto"/>
        <w:widowControl w:val="off"/>
        <w:rPr>
          <w:rFonts w:hint="eastAsia" w:ascii="宋体" w:hAnsi="Times New Roman" w:eastAsia="宋体" w:cs="Times New Roman"/>
          <w:sz w:val="24"/>
          <w:szCs w:val="22"/>
          <w:lang w:eastAsia="zh-CN"/>
        </w:rPr>
      </w:pPr>
      <w:r>
        <w:rPr>
          <w:rFonts w:hint="eastAsia" w:ascii="宋体" w:hAnsi="Times New Roman" w:eastAsia="宋体" w:cs="Times New Roman"/>
          <w:sz w:val="24"/>
          <w:szCs w:val="22"/>
          <w:lang w:eastAsia="zh-CN"/>
        </w:rPr>
        <w:t xml:space="preserve">9.2 除技术性能另有规定外，投标文件所使用的度量衡单位，均须采用国家法定计量单位。</w:t>
      </w:r>
      <w:r/>
    </w:p>
    <w:p>
      <w:pPr>
        <w:pStyle w:val="865"/>
        <w:ind w:firstLine="422"/>
        <w:spacing w:before="0" w:after="0" w:line="240" w:lineRule="auto"/>
        <w:rPr>
          <w:rFonts w:hint="eastAsia" w:ascii="方正楷体_GBK" w:eastAsia="方正楷体_GBK" w:cs="方正楷体_GBK"/>
          <w:sz w:val="28"/>
          <w:szCs w:val="28"/>
          <w:lang w:bidi="ar-SA"/>
        </w:rPr>
      </w:pPr>
      <w:r/>
      <w:bookmarkStart w:id="48" w:name="_Toc16938531"/>
      <w:r/>
      <w:bookmarkStart w:id="49" w:name="_Toc20823287"/>
      <w:r/>
      <w:bookmarkStart w:id="50" w:name="_Toc513029215"/>
      <w:r/>
      <w:bookmarkStart w:id="51" w:name="_Toc462564074"/>
      <w:r>
        <w:rPr>
          <w:rFonts w:hint="eastAsia" w:ascii="方正楷体_GBK" w:eastAsia="方正楷体_GBK" w:cs="方正楷体_GBK"/>
          <w:sz w:val="28"/>
          <w:szCs w:val="28"/>
          <w:lang w:bidi="ar-SA"/>
        </w:rPr>
        <w:t xml:space="preserve">10.投标文件构成</w:t>
      </w:r>
      <w:bookmarkEnd w:id="48"/>
      <w:r/>
      <w:bookmarkEnd w:id="49"/>
      <w:r/>
      <w:bookmarkEnd w:id="50"/>
      <w:r/>
      <w:bookmarkEnd w:id="51"/>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10.1 投标人编写的投标文件应包括资格证明文件、符合性证明文件、投标报价明细表、响应及偏离表、其他证明文件、投标函、开标一览表等部分。</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10.2 如标书制作工具中格式和内容与“江苏政府采购网”发布的招标文件不一致，以“江苏政府采购网”发布的招标文件为准。</w:t>
      </w:r>
      <w:r/>
    </w:p>
    <w:p>
      <w:pPr>
        <w:pStyle w:val="865"/>
        <w:ind w:firstLine="422"/>
        <w:spacing w:before="0" w:after="0" w:line="240" w:lineRule="auto"/>
        <w:rPr>
          <w:rFonts w:hint="eastAsia" w:ascii="方正楷体_GBK" w:eastAsia="方正楷体_GBK" w:cs="方正楷体_GBK"/>
          <w:sz w:val="28"/>
          <w:szCs w:val="28"/>
          <w:lang w:bidi="ar-SA"/>
        </w:rPr>
      </w:pPr>
      <w:r/>
      <w:bookmarkStart w:id="52" w:name="_Hlt26668975"/>
      <w:r/>
      <w:bookmarkEnd w:id="52"/>
      <w:r/>
      <w:bookmarkStart w:id="53" w:name="_Hlt26954838"/>
      <w:r/>
      <w:bookmarkEnd w:id="53"/>
      <w:r/>
      <w:bookmarkStart w:id="54" w:name="_Hlt26670360"/>
      <w:r/>
      <w:bookmarkEnd w:id="54"/>
      <w:r/>
      <w:bookmarkStart w:id="55" w:name="_Toc14577357"/>
      <w:r/>
      <w:bookmarkStart w:id="56" w:name="_Toc513029216"/>
      <w:r/>
      <w:bookmarkStart w:id="57" w:name="_Toc49090507"/>
      <w:r/>
      <w:bookmarkStart w:id="58" w:name="_Toc49090509"/>
      <w:r/>
      <w:bookmarkStart w:id="59" w:name="_Toc14577354"/>
      <w:r/>
      <w:bookmarkStart w:id="60" w:name="_Toc513029219"/>
      <w:r>
        <w:rPr>
          <w:rFonts w:hint="eastAsia" w:ascii="方正楷体_GBK" w:eastAsia="方正楷体_GBK" w:cs="方正楷体_GBK"/>
          <w:sz w:val="28"/>
          <w:szCs w:val="28"/>
          <w:lang w:bidi="ar-SA"/>
        </w:rPr>
        <w:t xml:space="preserve">11.证明投标人及投标标的符合招标文件规定的文件</w:t>
      </w:r>
      <w:bookmarkEnd w:id="55"/>
      <w:r/>
      <w:bookmarkEnd w:id="56"/>
      <w:r/>
      <w:bookmarkEnd w:id="57"/>
      <w:r/>
      <w:bookmarkEnd w:id="58"/>
      <w:r/>
      <w:bookmarkEnd w:id="59"/>
      <w:r/>
      <w:bookmarkEnd w:id="60"/>
      <w:r/>
      <w:r/>
    </w:p>
    <w:p>
      <w:pPr>
        <w:ind w:firstLine="420"/>
        <w:jc w:val="both"/>
        <w:spacing w:line="240" w:lineRule="auto"/>
        <w:widowControl w:val="off"/>
        <w:rPr>
          <w:rFonts w:hint="eastAsia" w:ascii="宋体" w:hAnsi="Times New Roman" w:eastAsia="宋体" w:cs="Times New Roman"/>
          <w:sz w:val="24"/>
          <w:lang w:eastAsia="zh-CN"/>
        </w:rPr>
      </w:pPr>
      <w:r/>
      <w:bookmarkStart w:id="61" w:name="_Toc14577355"/>
      <w:r/>
      <w:bookmarkStart w:id="62" w:name="_Toc49090508"/>
      <w:r>
        <w:rPr>
          <w:rFonts w:hint="eastAsia" w:ascii="宋体" w:hAnsi="Times New Roman" w:eastAsia="宋体" w:cs="Times New Roman"/>
          <w:sz w:val="24"/>
          <w:lang w:eastAsia="zh-CN"/>
        </w:rPr>
        <w:t xml:space="preserve">11.1 投标人应按照法律、法规、规章和规范性文件以及招标文件要求提交证明文件，证明其投标标的符合招标文件规定。</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11.2 招标文件对证明文件无明确形式要求的，证明文件可以以文字资料、图纸和数据等形式提交。</w:t>
      </w:r>
      <w:r/>
    </w:p>
    <w:p>
      <w:pPr>
        <w:pStyle w:val="865"/>
        <w:ind w:firstLine="422"/>
        <w:spacing w:before="0" w:after="0" w:line="240" w:lineRule="auto"/>
        <w:rPr>
          <w:rFonts w:hint="eastAsia" w:ascii="方正楷体_GBK" w:eastAsia="方正楷体_GBK" w:cs="方正楷体_GBK"/>
          <w:sz w:val="28"/>
          <w:szCs w:val="28"/>
          <w:lang w:bidi="ar-SA"/>
        </w:rPr>
      </w:pPr>
      <w:r>
        <w:rPr>
          <w:rFonts w:hint="eastAsia" w:ascii="方正楷体_GBK" w:eastAsia="方正楷体_GBK" w:cs="方正楷体_GBK"/>
          <w:sz w:val="28"/>
          <w:szCs w:val="28"/>
          <w:lang w:bidi="ar-SA"/>
        </w:rPr>
        <w:t xml:space="preserve">12</w:t>
      </w:r>
      <w:bookmarkEnd w:id="61"/>
      <w:r/>
      <w:bookmarkEnd w:id="62"/>
      <w:r>
        <w:rPr>
          <w:rFonts w:hint="eastAsia" w:ascii="方正楷体_GBK" w:eastAsia="方正楷体_GBK" w:cs="方正楷体_GBK"/>
          <w:sz w:val="28"/>
          <w:szCs w:val="28"/>
          <w:lang w:bidi="ar-SA"/>
        </w:rPr>
        <w:t xml:space="preserve">.投标报价明细表</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12.1 投</w:t>
      </w:r>
      <w:bookmarkStart w:id="63" w:name="_Hlt26954840"/>
      <w:r/>
      <w:bookmarkEnd w:id="63"/>
      <w:r>
        <w:rPr>
          <w:rFonts w:hint="eastAsia" w:ascii="宋体" w:hAnsi="Times New Roman" w:eastAsia="宋体" w:cs="Times New Roman"/>
          <w:sz w:val="24"/>
          <w:lang w:eastAsia="zh-CN"/>
        </w:rPr>
        <w:t xml:space="preserve">标人应按照招标文件规定格式填报</w:t>
      </w:r>
      <w:bookmarkStart w:id="64" w:name="_Hlt26670399"/>
      <w:r/>
      <w:bookmarkEnd w:id="64"/>
      <w:r>
        <w:rPr>
          <w:rFonts w:hint="eastAsia" w:ascii="宋体" w:hAnsi="Times New Roman" w:eastAsia="宋体" w:cs="Times New Roman"/>
          <w:sz w:val="24"/>
          <w:lang w:eastAsia="zh-CN"/>
        </w:rPr>
        <w:t xml:space="preserve">投标报价明细表。</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12.2 投标文件中的单价和总价无特殊规定的采用人民币报价，以元为单位标注。招标文件另有规定的按规定执行。</w:t>
      </w:r>
      <w:r/>
    </w:p>
    <w:p>
      <w:pPr>
        <w:pStyle w:val="865"/>
        <w:ind w:firstLine="422"/>
        <w:spacing w:before="0" w:after="0" w:line="240" w:lineRule="auto"/>
        <w:rPr>
          <w:rFonts w:hint="eastAsia" w:ascii="方正楷体_GBK" w:eastAsia="方正楷体_GBK" w:cs="方正楷体_GBK"/>
          <w:sz w:val="28"/>
          <w:szCs w:val="28"/>
          <w:lang w:bidi="ar-SA"/>
        </w:rPr>
      </w:pPr>
      <w:r/>
      <w:bookmarkStart w:id="65" w:name="_Hlt26954846"/>
      <w:r/>
      <w:bookmarkEnd w:id="65"/>
      <w:r/>
      <w:bookmarkStart w:id="66" w:name="_Hlt26954844"/>
      <w:r/>
      <w:bookmarkEnd w:id="66"/>
      <w:r/>
      <w:bookmarkStart w:id="67" w:name="_Hlt26668983"/>
      <w:r/>
      <w:bookmarkEnd w:id="67"/>
      <w:r/>
      <w:bookmarkStart w:id="68" w:name="_Hlt26954842"/>
      <w:r/>
      <w:bookmarkEnd w:id="68"/>
      <w:r/>
      <w:bookmarkStart w:id="69" w:name="_Hlt26670486"/>
      <w:r/>
      <w:bookmarkEnd w:id="69"/>
      <w:r/>
      <w:bookmarkStart w:id="70" w:name="_Hlt26670403"/>
      <w:r/>
      <w:bookmarkEnd w:id="70"/>
      <w:r/>
      <w:bookmarkStart w:id="71" w:name="_Hlt26670425"/>
      <w:r/>
      <w:bookmarkEnd w:id="71"/>
      <w:r/>
      <w:bookmarkStart w:id="72" w:name="_Hlt26954731"/>
      <w:r/>
      <w:bookmarkEnd w:id="72"/>
      <w:r/>
      <w:bookmarkStart w:id="73" w:name="_Hlt26670482"/>
      <w:r/>
      <w:bookmarkEnd w:id="73"/>
      <w:r/>
      <w:bookmarkStart w:id="74" w:name="_Hlt26954848"/>
      <w:r/>
      <w:bookmarkEnd w:id="74"/>
      <w:r>
        <w:rPr>
          <w:rFonts w:hint="eastAsia" w:ascii="方正楷体_GBK" w:eastAsia="方正楷体_GBK" w:cs="方正楷体_GBK"/>
          <w:sz w:val="28"/>
          <w:szCs w:val="28"/>
          <w:lang w:bidi="ar-SA"/>
        </w:rPr>
        <w:t xml:space="preserve">13.响应及偏离表</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13.1 投标人需对招标文件中的技术要求与商务要求逐项作出响应</w:t>
      </w:r>
      <w:r>
        <w:rPr>
          <w:rFonts w:hint="eastAsia" w:ascii="宋体" w:hAnsi="Times New Roman" w:eastAsia="宋体" w:cs="Times New Roman"/>
          <w:sz w:val="24"/>
          <w:lang w:eastAsia="zh-CN"/>
        </w:rPr>
        <w:t xml:space="preserve">或</w:t>
      </w:r>
      <w:r>
        <w:rPr>
          <w:rFonts w:hint="eastAsia" w:ascii="宋体" w:hAnsi="Times New Roman" w:eastAsia="宋体" w:cs="Times New Roman"/>
          <w:sz w:val="24"/>
          <w:lang w:val="zh-CN" w:eastAsia="zh-CN"/>
        </w:rPr>
        <w:t xml:space="preserve">偏离说明。</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13.2 投标人可以在投标文件中提供认为需要的其他技术文件或说明。</w:t>
      </w:r>
      <w:r/>
    </w:p>
    <w:p>
      <w:pPr>
        <w:pStyle w:val="865"/>
        <w:ind w:firstLine="422"/>
        <w:spacing w:before="0" w:after="0" w:line="240" w:lineRule="auto"/>
        <w:rPr>
          <w:rFonts w:hint="eastAsia" w:ascii="方正楷体_GBK" w:eastAsia="方正楷体_GBK" w:cs="方正楷体_GBK"/>
          <w:sz w:val="28"/>
          <w:szCs w:val="28"/>
          <w:lang w:bidi="ar-SA"/>
        </w:rPr>
      </w:pPr>
      <w:r/>
      <w:bookmarkStart w:id="75" w:name="_Toc49090510"/>
      <w:r/>
      <w:bookmarkStart w:id="76" w:name="_Toc14577359"/>
      <w:r>
        <w:rPr>
          <w:rFonts w:hint="eastAsia" w:ascii="方正楷体_GBK" w:eastAsia="方正楷体_GBK" w:cs="方正楷体_GBK"/>
          <w:sz w:val="28"/>
          <w:szCs w:val="28"/>
          <w:lang w:bidi="ar-SA"/>
        </w:rPr>
        <w:t xml:space="preserve">14.投标函和开标一览表</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14.1 投标人应按照招标文件规定格式完整、正确填报投标函、开标一览表。</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14.2 对于采用货币报价的项目，开标一览表中的投标总报价应与</w:t>
      </w:r>
      <w:r>
        <w:rPr>
          <w:rFonts w:hint="eastAsia" w:ascii="宋体" w:hAnsi="Times New Roman" w:eastAsia="宋体" w:cs="Times New Roman"/>
          <w:sz w:val="24"/>
          <w:lang w:eastAsia="zh-CN"/>
        </w:rPr>
        <w:t xml:space="preserve">投标报价明细表</w:t>
      </w:r>
      <w:r>
        <w:rPr>
          <w:rFonts w:hint="eastAsia" w:ascii="宋体" w:hAnsi="Times New Roman" w:eastAsia="宋体" w:cs="Times New Roman"/>
          <w:sz w:val="24"/>
          <w:lang w:val="zh-CN" w:eastAsia="zh-CN"/>
        </w:rPr>
        <w:t xml:space="preserve">中的投标总报价一致，如不一致评标时以开标一览表中价格为准。</w:t>
      </w:r>
      <w:bookmarkEnd w:id="75"/>
      <w:r/>
      <w:bookmarkEnd w:id="76"/>
      <w:r/>
      <w:r/>
    </w:p>
    <w:p>
      <w:pPr>
        <w:pStyle w:val="865"/>
        <w:ind w:firstLine="422"/>
        <w:spacing w:before="0" w:after="0" w:line="240" w:lineRule="auto"/>
        <w:rPr>
          <w:rFonts w:hint="eastAsia" w:ascii="方正楷体_GBK" w:eastAsia="方正楷体_GBK" w:cs="方正楷体_GBK"/>
          <w:sz w:val="28"/>
          <w:szCs w:val="28"/>
          <w:lang w:bidi="ar-SA"/>
        </w:rPr>
      </w:pPr>
      <w:r/>
      <w:bookmarkStart w:id="77" w:name="_Hlt26670489"/>
      <w:r/>
      <w:bookmarkEnd w:id="77"/>
      <w:r/>
      <w:bookmarkStart w:id="78" w:name="_Hlt26954734"/>
      <w:r/>
      <w:bookmarkEnd w:id="78"/>
      <w:r/>
      <w:bookmarkStart w:id="79" w:name="_Hlt26954850"/>
      <w:r/>
      <w:bookmarkEnd w:id="79"/>
      <w:r/>
      <w:bookmarkStart w:id="80" w:name="_Toc14577360"/>
      <w:r/>
      <w:bookmarkStart w:id="81" w:name="_Toc49090511"/>
      <w:r>
        <w:rPr>
          <w:rFonts w:hint="eastAsia" w:ascii="方正楷体_GBK" w:eastAsia="方正楷体_GBK" w:cs="方正楷体_GBK"/>
          <w:sz w:val="28"/>
          <w:szCs w:val="28"/>
          <w:lang w:bidi="ar-SA"/>
        </w:rPr>
        <w:t xml:space="preserve">15.投标有效期</w:t>
      </w:r>
      <w:bookmarkEnd w:id="80"/>
      <w:r/>
      <w:bookmarkEnd w:id="81"/>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15.1 投标有效期为招标公告规定的开标之日起六十天。投标有效期比规定短的将被视为未实质性响应招标文件而被拒绝。</w:t>
      </w:r>
      <w:r/>
    </w:p>
    <w:p>
      <w:pPr>
        <w:pStyle w:val="865"/>
        <w:ind w:firstLine="422"/>
        <w:spacing w:before="0" w:after="0" w:line="240" w:lineRule="auto"/>
        <w:rPr>
          <w:rFonts w:hint="eastAsia" w:ascii="方正楷体_GBK" w:eastAsia="方正楷体_GBK" w:cs="方正楷体_GBK"/>
          <w:sz w:val="28"/>
          <w:szCs w:val="28"/>
          <w:lang w:bidi="ar-SA"/>
        </w:rPr>
      </w:pPr>
      <w:r>
        <w:rPr>
          <w:rFonts w:hint="eastAsia" w:ascii="方正楷体_GBK" w:eastAsia="方正楷体_GBK" w:cs="方正楷体_GBK"/>
          <w:sz w:val="28"/>
          <w:szCs w:val="28"/>
          <w:lang w:bidi="ar-SA"/>
        </w:rPr>
        <w:t xml:space="preserve">16.投标有效期的延长</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Times New Roman" w:eastAsia="宋体" w:cs="Times New Roman"/>
          <w:sz w:val="24"/>
          <w:lang w:eastAsia="zh-CN"/>
        </w:rPr>
        <w:t xml:space="preserve">满</w:t>
      </w:r>
      <w:r>
        <w:rPr>
          <w:rFonts w:hint="eastAsia" w:ascii="宋体" w:hAnsi="Times New Roman" w:eastAsia="宋体" w:cs="Times New Roman"/>
          <w:sz w:val="24"/>
          <w:lang w:val="zh-CN" w:eastAsia="zh-CN"/>
        </w:rPr>
        <w:t xml:space="preserve">。</w:t>
      </w:r>
      <w:r/>
    </w:p>
    <w:p>
      <w:pPr>
        <w:pStyle w:val="863"/>
        <w:ind w:firstLine="465"/>
        <w:spacing w:before="120" w:after="120" w:line="240" w:lineRule="auto"/>
        <w:rPr>
          <w:rFonts w:hint="eastAsia" w:ascii="方正黑体_GBK" w:eastAsia="方正黑体_GBK" w:cs="方正黑体_GBK"/>
          <w:lang w:bidi="ar-SA"/>
        </w:rPr>
      </w:pPr>
      <w:r/>
      <w:bookmarkStart w:id="82" w:name="_Hlt26954739"/>
      <w:r/>
      <w:bookmarkEnd w:id="82"/>
      <w:r/>
      <w:bookmarkStart w:id="83" w:name="_Hlt26954852"/>
      <w:r/>
      <w:bookmarkEnd w:id="83"/>
      <w:r/>
      <w:bookmarkStart w:id="84" w:name="_Toc16938540"/>
      <w:r/>
      <w:bookmarkStart w:id="85" w:name="_Toc120614217"/>
      <w:r/>
      <w:bookmarkStart w:id="86" w:name="_Toc20823296"/>
      <w:r/>
      <w:bookmarkStart w:id="87" w:name="_Toc513029224"/>
      <w:r/>
      <w:bookmarkStart w:id="88" w:name="_Toc16938553"/>
      <w:r/>
      <w:bookmarkStart w:id="89" w:name="_Toc20823309"/>
      <w:r/>
      <w:bookmarkStart w:id="90" w:name="_Toc513029237"/>
      <w:r>
        <w:rPr>
          <w:rFonts w:hint="eastAsia" w:ascii="方正黑体_GBK" w:eastAsia="方正黑体_GBK" w:cs="方正黑体_GBK"/>
          <w:lang w:bidi="ar-SA"/>
        </w:rPr>
        <w:t xml:space="preserve">四、投标文件的递交</w:t>
      </w:r>
      <w:bookmarkEnd w:id="84"/>
      <w:r/>
      <w:bookmarkEnd w:id="85"/>
      <w:r/>
      <w:bookmarkEnd w:id="86"/>
      <w:r/>
      <w:bookmarkEnd w:id="87"/>
      <w:r/>
      <w:r/>
    </w:p>
    <w:p>
      <w:pPr>
        <w:pStyle w:val="865"/>
        <w:ind w:firstLine="392"/>
        <w:spacing w:before="0" w:after="0" w:line="240" w:lineRule="auto"/>
        <w:rPr>
          <w:rFonts w:hint="eastAsia" w:ascii="方正楷体_GBK" w:eastAsia="方正楷体_GBK" w:cs="方正楷体_GBK"/>
          <w:lang w:bidi="ar-SA"/>
        </w:rPr>
      </w:pPr>
      <w:r/>
      <w:bookmarkStart w:id="91" w:name="_Toc462564084"/>
      <w:r/>
      <w:bookmarkStart w:id="92" w:name="_Toc20823297"/>
      <w:r/>
      <w:bookmarkStart w:id="93" w:name="_Toc16938541"/>
      <w:r/>
      <w:bookmarkStart w:id="94" w:name="_Toc513029225"/>
      <w:r>
        <w:rPr>
          <w:rFonts w:hint="eastAsia" w:ascii="方正楷体_GBK" w:eastAsia="方正楷体_GBK" w:cs="方正楷体_GBK"/>
          <w:lang w:bidi="ar-SA"/>
        </w:rPr>
        <w:t xml:space="preserve">17.投标文件</w:t>
      </w:r>
      <w:bookmarkEnd w:id="91"/>
      <w:r/>
      <w:bookmarkEnd w:id="92"/>
      <w:r/>
      <w:bookmarkEnd w:id="93"/>
      <w:r/>
      <w:bookmarkEnd w:id="94"/>
      <w:r>
        <w:rPr>
          <w:rFonts w:hint="eastAsia" w:ascii="方正楷体_GBK" w:eastAsia="方正楷体_GBK" w:cs="方正楷体_GBK"/>
          <w:lang w:bidi="ar-SA"/>
        </w:rPr>
        <w:t xml:space="preserve">的递交</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17.1 投标人应当按照《操作手册》规定，在招标公告规定的投标截止时间前制作并上传电子投标文件。</w:t>
      </w:r>
      <w:bookmarkStart w:id="95" w:name="_Toc20823298"/>
      <w:r/>
      <w:bookmarkEnd w:id="95"/>
      <w:r/>
      <w:bookmarkStart w:id="96" w:name="_Toc16938542"/>
      <w:r/>
      <w:bookmarkEnd w:id="96"/>
      <w:r/>
      <w:bookmarkStart w:id="97" w:name="_Toc513029226"/>
      <w:r/>
      <w:bookmarkEnd w:id="97"/>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7</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2</w:t>
      </w:r>
      <w:r>
        <w:rPr>
          <w:rFonts w:hint="eastAsia" w:ascii="宋体" w:hAnsi="Times New Roman" w:eastAsia="宋体" w:cs="Times New Roman"/>
          <w:sz w:val="24"/>
          <w:lang w:val="zh-CN" w:eastAsia="zh-CN"/>
        </w:rPr>
        <w:t xml:space="preserve"> 投标人应充分考虑网络环境、网络带宽等因素</w:t>
      </w:r>
      <w:r>
        <w:rPr>
          <w:rFonts w:hint="eastAsia" w:ascii="宋体" w:hAnsi="Times New Roman" w:eastAsia="宋体" w:cs="Times New Roman"/>
          <w:sz w:val="24"/>
          <w:lang w:eastAsia="zh-CN"/>
        </w:rPr>
        <w:t xml:space="preserve">可能对投标产生的影响</w:t>
      </w:r>
      <w:r>
        <w:rPr>
          <w:rFonts w:hint="eastAsia" w:ascii="宋体" w:hAnsi="Times New Roman" w:eastAsia="宋体" w:cs="Times New Roman"/>
          <w:sz w:val="24"/>
          <w:lang w:val="zh-CN" w:eastAsia="zh-CN"/>
        </w:rPr>
        <w:t xml:space="preserve">，如因投标人自身原因造成的电子投标文件上传不成功的，按照本招标文件第二章第2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.1条规定做无效投标处理。</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7</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 交易中心可以按照规定，通过修改招标文件酌情延长投标截止时间，在此情况下，投标人的所有权利和义务均以延长后新的截止时间为准。</w:t>
      </w:r>
      <w:r/>
    </w:p>
    <w:p>
      <w:pPr>
        <w:pStyle w:val="865"/>
        <w:ind w:firstLine="392"/>
        <w:spacing w:before="0" w:after="0" w:line="240" w:lineRule="auto"/>
        <w:rPr>
          <w:rFonts w:hint="eastAsia" w:ascii="方正楷体_GBK" w:eastAsia="方正楷体_GBK" w:cs="方正楷体_GBK"/>
          <w:lang w:bidi="ar-SA"/>
        </w:rPr>
      </w:pPr>
      <w:r/>
      <w:bookmarkStart w:id="98" w:name="_Toc513029227"/>
      <w:r/>
      <w:bookmarkStart w:id="99" w:name="_Toc16938543"/>
      <w:r/>
      <w:bookmarkStart w:id="100" w:name="_Toc20823299"/>
      <w:r>
        <w:rPr>
          <w:rFonts w:hint="eastAsia" w:ascii="方正楷体_GBK" w:eastAsia="方正楷体_GBK" w:cs="方正楷体_GBK"/>
          <w:lang w:bidi="ar-SA"/>
        </w:rPr>
        <w:t xml:space="preserve">18.投标文件</w:t>
      </w:r>
      <w:bookmarkEnd w:id="98"/>
      <w:r/>
      <w:bookmarkEnd w:id="99"/>
      <w:r/>
      <w:bookmarkEnd w:id="100"/>
      <w:r>
        <w:rPr>
          <w:rFonts w:hint="eastAsia" w:ascii="方正楷体_GBK" w:eastAsia="方正楷体_GBK" w:cs="方正楷体_GBK"/>
          <w:lang w:bidi="ar-SA"/>
        </w:rPr>
        <w:t xml:space="preserve">的拒收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8</w:t>
      </w: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投标截止时间后上传的任何投标文件将被拒绝。</w:t>
      </w:r>
      <w:r/>
    </w:p>
    <w:p>
      <w:pPr>
        <w:pStyle w:val="865"/>
        <w:ind w:firstLine="392"/>
        <w:spacing w:before="0" w:after="0" w:line="240" w:lineRule="auto"/>
        <w:rPr>
          <w:rFonts w:hint="eastAsia" w:ascii="方正楷体_GBK" w:eastAsia="方正楷体_GBK" w:cs="方正楷体_GBK"/>
          <w:lang w:bidi="ar-SA"/>
        </w:rPr>
      </w:pPr>
      <w:r/>
      <w:bookmarkStart w:id="101" w:name="_Toc20823300"/>
      <w:r/>
      <w:bookmarkStart w:id="102" w:name="_Toc513029228"/>
      <w:r/>
      <w:bookmarkStart w:id="103" w:name="_Toc16938544"/>
      <w:r>
        <w:rPr>
          <w:rFonts w:hint="eastAsia" w:ascii="方正楷体_GBK" w:eastAsia="方正楷体_GBK" w:cs="方正楷体_GBK"/>
          <w:lang w:bidi="ar-SA"/>
        </w:rPr>
        <w:t xml:space="preserve">19.投标文件的撤回和修改</w:t>
      </w:r>
      <w:bookmarkEnd w:id="101"/>
      <w:r/>
      <w:bookmarkEnd w:id="102"/>
      <w:r/>
      <w:bookmarkEnd w:id="103"/>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.1 投标文件的撤回</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.1.1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投标人可在投标截止时间前撤回其电子投标文件，具体操作方法见《操作手册》。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.1.2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投标人撤回电子投标文件，则认为其不再参与本项目投标活动。</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.2 投标文件的修改</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.2.1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投标人可在投标截止时间前对其电子投标文件进行修改，具体操作方法见《操作手册》。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.2.2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投标截止时间之后，投标人不得对其电子投标文件作任何修改。</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.3 在投标截止时间至招标文件中规定的投标有效期满之间的这段时间内，投标人不得撤回其投标。</w:t>
      </w:r>
      <w:bookmarkStart w:id="104" w:name="_Toc16938545"/>
      <w:r/>
      <w:bookmarkStart w:id="105" w:name="_Toc120614218"/>
      <w:r/>
      <w:bookmarkStart w:id="106" w:name="_Toc20823301"/>
      <w:r/>
      <w:bookmarkStart w:id="107" w:name="_Toc513029229"/>
      <w:r/>
      <w:r/>
    </w:p>
    <w:p>
      <w:pPr>
        <w:pStyle w:val="863"/>
        <w:ind w:firstLine="465"/>
        <w:spacing w:before="120" w:after="120" w:line="240" w:lineRule="auto"/>
        <w:rPr>
          <w:rFonts w:hint="eastAsia" w:ascii="方正黑体_GBK" w:eastAsia="方正黑体_GBK" w:cs="方正黑体_GBK"/>
          <w:lang w:bidi="ar-SA"/>
        </w:rPr>
      </w:pPr>
      <w:r>
        <w:rPr>
          <w:rFonts w:hint="eastAsia" w:ascii="方正黑体_GBK" w:eastAsia="方正黑体_GBK" w:cs="方正黑体_GBK"/>
          <w:lang w:bidi="ar-SA"/>
        </w:rPr>
        <w:t xml:space="preserve">五、开标与评标</w:t>
      </w:r>
      <w:bookmarkEnd w:id="104"/>
      <w:r/>
      <w:bookmarkEnd w:id="105"/>
      <w:r/>
      <w:bookmarkEnd w:id="106"/>
      <w:r/>
      <w:bookmarkEnd w:id="107"/>
      <w:r/>
      <w:r/>
    </w:p>
    <w:p>
      <w:pPr>
        <w:pStyle w:val="865"/>
        <w:ind w:firstLine="392"/>
        <w:spacing w:before="0" w:after="0" w:line="240" w:lineRule="auto"/>
        <w:rPr>
          <w:rFonts w:hint="eastAsia" w:ascii="方正楷体_GBK" w:eastAsia="方正楷体_GBK" w:cs="方正楷体_GBK"/>
          <w:lang w:bidi="ar-SA"/>
        </w:rPr>
      </w:pPr>
      <w:r/>
      <w:bookmarkStart w:id="108" w:name="_Toc16938546"/>
      <w:r/>
      <w:bookmarkStart w:id="109" w:name="_Toc513029230"/>
      <w:r/>
      <w:bookmarkStart w:id="110" w:name="_Toc20823302"/>
      <w:r>
        <w:rPr>
          <w:rFonts w:hint="eastAsia" w:ascii="方正楷体_GBK" w:eastAsia="方正楷体_GBK" w:cs="方正楷体_GBK"/>
          <w:lang w:bidi="ar-SA"/>
        </w:rPr>
        <w:t xml:space="preserve">20.开标</w:t>
      </w:r>
      <w:bookmarkEnd w:id="108"/>
      <w:r/>
      <w:bookmarkEnd w:id="109"/>
      <w:r/>
      <w:bookmarkEnd w:id="110"/>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0</w:t>
      </w:r>
      <w:r>
        <w:rPr>
          <w:rFonts w:hint="eastAsia" w:ascii="宋体" w:hAnsi="Times New Roman" w:eastAsia="宋体" w:cs="Times New Roman"/>
          <w:sz w:val="24"/>
          <w:lang w:val="zh-CN" w:eastAsia="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0</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2 </w:t>
      </w:r>
      <w:r>
        <w:rPr>
          <w:rFonts w:hint="eastAsia" w:ascii="宋体" w:hAnsi="Times New Roman" w:eastAsia="宋体" w:cs="Times New Roman"/>
          <w:sz w:val="24"/>
          <w:lang w:val="zh-CN" w:eastAsia="zh-CN"/>
        </w:rPr>
        <w:t xml:space="preserve">投标人在开标过程中涉及到的投标文件解密、开标结果确认等工作，应按照《操作手册》规定执行。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0</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3 </w:t>
      </w:r>
      <w:r>
        <w:rPr>
          <w:rFonts w:hint="eastAsia" w:ascii="宋体" w:hAnsi="Times New Roman" w:eastAsia="宋体" w:cs="Times New Roman"/>
          <w:sz w:val="24"/>
          <w:lang w:val="zh-CN" w:eastAsia="zh-CN"/>
        </w:rPr>
        <w:t xml:space="preserve">投标人如果对开标过程和开标结果有疑义，应当根据《操作手册》规定提出，苏采云系统中《开标记录表》公布后5分钟内未提出的，视同认可开标结果。</w:t>
      </w:r>
      <w:r/>
    </w:p>
    <w:p>
      <w:pPr>
        <w:pStyle w:val="865"/>
        <w:ind w:firstLine="392"/>
        <w:spacing w:before="0" w:after="0" w:line="240" w:lineRule="auto"/>
        <w:rPr>
          <w:rFonts w:hint="eastAsia" w:ascii="方正楷体_GBK" w:eastAsia="方正楷体_GBK" w:cs="方正楷体_GBK"/>
          <w:lang w:bidi="ar-SA"/>
        </w:rPr>
      </w:pPr>
      <w:r/>
      <w:bookmarkStart w:id="111" w:name="_Toc20823303"/>
      <w:r/>
      <w:bookmarkStart w:id="112" w:name="_Toc513029231"/>
      <w:r/>
      <w:bookmarkStart w:id="113" w:name="_Toc16938547"/>
      <w:r>
        <w:rPr>
          <w:rFonts w:hint="eastAsia" w:ascii="方正楷体_GBK" w:eastAsia="方正楷体_GBK" w:cs="方正楷体_GBK"/>
          <w:lang w:bidi="ar-SA"/>
        </w:rPr>
        <w:t xml:space="preserve">21.评标</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1</w:t>
      </w:r>
      <w:r>
        <w:rPr>
          <w:rFonts w:hint="eastAsia" w:ascii="宋体" w:hAnsi="Times New Roman" w:eastAsia="宋体" w:cs="Times New Roman"/>
          <w:sz w:val="24"/>
          <w:lang w:val="zh-CN" w:eastAsia="zh-CN"/>
        </w:rPr>
        <w:t xml:space="preserve">.1 </w:t>
      </w:r>
      <w:r>
        <w:rPr>
          <w:rFonts w:hint="eastAsia" w:ascii="宋体" w:hAnsi="Times New Roman" w:eastAsia="宋体" w:cs="Times New Roman"/>
          <w:sz w:val="24"/>
          <w:lang w:eastAsia="zh-CN"/>
        </w:rPr>
        <w:t xml:space="preserve">评标由</w:t>
      </w:r>
      <w:r>
        <w:rPr>
          <w:rFonts w:hint="eastAsia" w:ascii="宋体" w:hAnsi="Times New Roman" w:eastAsia="宋体" w:cs="Times New Roman"/>
          <w:sz w:val="24"/>
          <w:lang w:val="zh-CN" w:eastAsia="zh-CN"/>
        </w:rPr>
        <w:t xml:space="preserve">依法组建的评标委员会（以下简称“评委会”）进行。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1</w:t>
      </w:r>
      <w:r>
        <w:rPr>
          <w:rFonts w:hint="eastAsia" w:ascii="宋体" w:hAnsi="Times New Roman" w:eastAsia="宋体" w:cs="Times New Roman"/>
          <w:sz w:val="24"/>
          <w:lang w:val="zh-CN" w:eastAsia="zh-CN"/>
        </w:rPr>
        <w:t xml:space="preserve">.2 评委会由采购人代表和有关技术、经济或法律等方面的专家组成，且人员构成符合政府采购有关规定。</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1</w:t>
      </w:r>
      <w:r>
        <w:rPr>
          <w:rFonts w:hint="eastAsia" w:ascii="宋体" w:hAnsi="Times New Roman" w:eastAsia="宋体" w:cs="Times New Roman"/>
          <w:sz w:val="24"/>
          <w:lang w:val="zh-CN" w:eastAsia="zh-CN"/>
        </w:rPr>
        <w:t xml:space="preserve">.3</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评委会独立工作，负责评审所有投标文件并</w:t>
      </w:r>
      <w:r>
        <w:rPr>
          <w:rFonts w:hint="eastAsia" w:ascii="宋体" w:hAnsi="Times New Roman" w:eastAsia="宋体" w:cs="Times New Roman"/>
          <w:sz w:val="24"/>
          <w:lang w:eastAsia="zh-CN"/>
        </w:rPr>
        <w:t xml:space="preserve">推荐</w:t>
      </w:r>
      <w:r>
        <w:rPr>
          <w:rFonts w:hint="eastAsia" w:ascii="宋体" w:hAnsi="Times New Roman" w:eastAsia="宋体" w:cs="Times New Roman"/>
          <w:sz w:val="24"/>
          <w:lang w:val="zh-CN" w:eastAsia="zh-CN"/>
        </w:rPr>
        <w:t xml:space="preserve">中标候选人，</w:t>
      </w:r>
      <w:r>
        <w:rPr>
          <w:rFonts w:hint="eastAsia" w:ascii="宋体" w:hAnsi="Times New Roman" w:eastAsia="宋体" w:cs="Times New Roman"/>
          <w:sz w:val="24"/>
          <w:lang w:eastAsia="zh-CN"/>
        </w:rPr>
        <w:t xml:space="preserve">或根据采购人授权直接确定中标人</w:t>
      </w:r>
      <w:r>
        <w:rPr>
          <w:rFonts w:hint="eastAsia" w:ascii="宋体" w:hAnsi="Times New Roman" w:eastAsia="宋体" w:cs="Times New Roman"/>
          <w:sz w:val="24"/>
          <w:lang w:val="zh-CN" w:eastAsia="zh-CN"/>
        </w:rPr>
        <w:t xml:space="preserve">。</w:t>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22.评标过程的保密与公正</w:t>
      </w:r>
      <w:bookmarkEnd w:id="111"/>
      <w:r/>
      <w:bookmarkEnd w:id="112"/>
      <w:r/>
      <w:bookmarkEnd w:id="113"/>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2</w:t>
      </w: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凡是与审查、澄清、评价和比较投标的有关资料以及授标建议等，采购人、评委、交易中心均不得向投标人或与评标无关的其他人员透露。</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2</w:t>
      </w: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投标人不得以任何方式影响评标，否则其投标文件将被作为无效投标文件。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2</w:t>
      </w:r>
      <w:r>
        <w:rPr>
          <w:rFonts w:hint="eastAsia" w:ascii="宋体" w:hAnsi="Times New Roman" w:eastAsia="宋体" w:cs="Times New Roman"/>
          <w:sz w:val="24"/>
          <w:lang w:val="zh-CN" w:eastAsia="zh-CN"/>
        </w:rPr>
        <w:t xml:space="preserve">.3 交易中心和评委会不向未中标的投标人解释未中标原因，也不公布评标过程中的相关细节。</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2</w:t>
      </w:r>
      <w:r>
        <w:rPr>
          <w:rFonts w:hint="eastAsia" w:ascii="宋体" w:hAnsi="Times New Roman" w:eastAsia="宋体" w:cs="Times New Roman"/>
          <w:sz w:val="24"/>
          <w:lang w:val="zh-CN" w:eastAsia="zh-CN"/>
        </w:rPr>
        <w:t xml:space="preserve">.4 采用综合评分法的项目，未中标的投标人可于中标结果公告期限届满之日起通过苏采云系统查看本单位的评审得分及排名情况。</w:t>
      </w:r>
      <w:r/>
    </w:p>
    <w:p>
      <w:pPr>
        <w:pStyle w:val="865"/>
        <w:ind w:firstLine="392"/>
        <w:spacing w:before="0" w:after="0" w:line="240" w:lineRule="auto"/>
        <w:rPr>
          <w:rFonts w:hint="default" w:ascii="方正楷体_GBK" w:eastAsia="方正楷体_GBK" w:cs="方正楷体_GBK"/>
          <w:lang w:val="en-US" w:eastAsia="zh-CN" w:bidi="ar-SA"/>
        </w:rPr>
      </w:pPr>
      <w:r/>
      <w:bookmarkStart w:id="114" w:name="_Toc16938548"/>
      <w:r/>
      <w:bookmarkStart w:id="115" w:name="_Toc513029232"/>
      <w:r/>
      <w:bookmarkStart w:id="116" w:name="_Toc20823304"/>
      <w:r>
        <w:rPr>
          <w:rFonts w:hint="eastAsia" w:ascii="方正楷体_GBK" w:eastAsia="方正楷体_GBK" w:cs="方正楷体_GBK"/>
          <w:lang w:bidi="ar-SA"/>
        </w:rPr>
        <w:t xml:space="preserve">23.投标文件的澄清</w:t>
      </w:r>
      <w:bookmarkEnd w:id="114"/>
      <w:r/>
      <w:bookmarkEnd w:id="115"/>
      <w:r/>
      <w:bookmarkEnd w:id="116"/>
      <w:r>
        <w:rPr>
          <w:rFonts w:hint="eastAsia" w:ascii="方正楷体_GBK" w:eastAsia="方正楷体_GBK" w:cs="方正楷体_GBK"/>
          <w:lang w:val="en-US" w:eastAsia="zh-CN" w:bidi="ar-SA"/>
        </w:rPr>
        <w:t xml:space="preserve">                                       </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评标期间，评委会对投标文件中含义不明确、同类问题表述不一致或者有明显文字和计算错误的内容，有权要求投标人作出必要的澄清、说明或者补正。</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投标人的澄清、说明或者补正不得超出投标文件的范围或者改变投标文件的实质性内容。</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评委会并非对每个投标人都做澄清要求。</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需要供应商进行澄清、说明和补正的，评委会将通过苏采云系统向</w:t>
      </w:r>
      <w:r>
        <w:rPr>
          <w:rFonts w:hint="eastAsia" w:ascii="宋体" w:hAnsi="Times New Roman" w:eastAsia="宋体" w:cs="Times New Roman"/>
          <w:sz w:val="24"/>
          <w:lang w:eastAsia="zh-CN"/>
        </w:rPr>
        <w:t xml:space="preserve">投标人</w:t>
      </w:r>
      <w:r>
        <w:rPr>
          <w:rFonts w:hint="eastAsia" w:ascii="宋体" w:hAnsi="Times New Roman" w:eastAsia="宋体" w:cs="Times New Roman"/>
          <w:sz w:val="24"/>
          <w:lang w:val="zh-CN" w:eastAsia="zh-CN"/>
        </w:rPr>
        <w:t xml:space="preserve">发出《澄清要求函》，接到《澄清要求函》的</w:t>
      </w:r>
      <w:r>
        <w:rPr>
          <w:rFonts w:hint="eastAsia" w:ascii="宋体" w:hAnsi="Times New Roman" w:eastAsia="宋体" w:cs="Times New Roman"/>
          <w:sz w:val="24"/>
          <w:lang w:eastAsia="zh-CN"/>
        </w:rPr>
        <w:t xml:space="preserve">投标人</w:t>
      </w:r>
      <w:r>
        <w:rPr>
          <w:rFonts w:hint="eastAsia" w:ascii="宋体" w:hAnsi="Times New Roman" w:eastAsia="宋体" w:cs="Times New Roman"/>
          <w:sz w:val="24"/>
          <w:lang w:val="zh-CN" w:eastAsia="zh-CN"/>
        </w:rPr>
        <w:t xml:space="preserve">应当按照要求在苏采云系统中提交《澄清响应函》并加盖电子公章。澄清、说明和补正的内容作为投标文件的补充部分，具体操作方式见《操作手册》。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.3 接到评委会澄清、说明和补正要求的，投标人如未按规定作出澄清、说明和补正，其风险由投标人自行承担。</w:t>
      </w:r>
      <w:r/>
    </w:p>
    <w:p>
      <w:pPr>
        <w:pStyle w:val="865"/>
        <w:ind w:firstLine="392"/>
        <w:spacing w:before="0" w:after="0" w:line="240" w:lineRule="auto"/>
        <w:rPr>
          <w:rFonts w:hint="eastAsia" w:ascii="方正楷体_GBK" w:eastAsia="方正楷体_GBK" w:cs="方正楷体_GBK"/>
          <w:lang w:bidi="ar-SA"/>
        </w:rPr>
      </w:pPr>
      <w:r/>
      <w:bookmarkStart w:id="117" w:name="_Toc16938549"/>
      <w:r/>
      <w:bookmarkStart w:id="118" w:name="_Toc20823305"/>
      <w:r/>
      <w:bookmarkStart w:id="119" w:name="_Toc513029233"/>
      <w:r>
        <w:rPr>
          <w:rFonts w:hint="eastAsia" w:ascii="方正楷体_GBK" w:eastAsia="方正楷体_GBK" w:cs="方正楷体_GBK"/>
          <w:lang w:bidi="ar-SA"/>
        </w:rPr>
        <w:t xml:space="preserve">24.投标文件的</w:t>
      </w:r>
      <w:bookmarkEnd w:id="117"/>
      <w:r/>
      <w:bookmarkEnd w:id="118"/>
      <w:r/>
      <w:bookmarkEnd w:id="119"/>
      <w:r>
        <w:rPr>
          <w:rFonts w:hint="eastAsia" w:ascii="方正楷体_GBK" w:eastAsia="方正楷体_GBK" w:cs="方正楷体_GBK"/>
          <w:lang w:bidi="ar-SA"/>
        </w:rPr>
        <w:t xml:space="preserve">审查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24.1 投标文件审查分为资格审查和符合性审查。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24.1.1 资格审查。依据法律法规和招标文件规定，由采购人对投标文件中的资格证明文件进行审查，并向评委会反馈审查结论。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采购人进行资格审查时，将在“信用中国”网站（www.creditchina.gov.cn）查询投标人的信用记录，以确定投标人是否具备投标资格，查询结果留存并归档。</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接受联合体的项目，联合体成员存在不良信用记录的，视同联合体存在不良信用记录。</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24.1.2 符合性审查。依据招标文件的规定，由评委会从有效性、完整性和对招标文件的响应程度等方面对投标文件进行审查，以确定是否对招标文件的实质性要求作出响应。</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24.1.3 未通过资格审查或符合性审查的投标人，交易中心将通过苏采云系统告知其具体原因，评标结束后不再接受有关询问。</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4</w:t>
      </w:r>
      <w:r>
        <w:rPr>
          <w:rFonts w:hint="eastAsia" w:ascii="宋体" w:hAnsi="Times New Roman" w:eastAsia="宋体" w:cs="Times New Roman"/>
          <w:sz w:val="24"/>
          <w:lang w:val="zh-CN" w:eastAsia="zh-CN"/>
        </w:rPr>
        <w:t xml:space="preserve">.3</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如果投标文件实质上没有响应招标文件的要求，评委会将予以拒绝，投标人不得通过修改或撤销不合要求的偏离或保留而使其投标成为实质性响应的投标。</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4</w:t>
      </w:r>
      <w:r>
        <w:rPr>
          <w:rFonts w:hint="eastAsia" w:ascii="宋体" w:hAnsi="Times New Roman" w:eastAsia="宋体" w:cs="Times New Roman"/>
          <w:sz w:val="24"/>
          <w:lang w:val="zh-CN" w:eastAsia="zh-CN"/>
        </w:rPr>
        <w:t xml:space="preserve">.4</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评委会将对确定为实质性响应的投标进行进一步审核，确定其是否有计算上或累加上的算术错误。修正错误的原则如下：</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（1）投标文件中开标一览表内容与投标文件中相应内容不一致的，以开标一览表为准；</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（2）大写金额和小写金额不一致的，以大写金额为准；</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（3）单价金额小数点或者百分比有明显错位的，以开标一览表的总价为准，并修改单价；</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（4）总价金额与按单价汇总金额不一致的，以单价金额计算结果为准。</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同时出现两种以上错误的，按照前款规定的顺序修正。</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4</w:t>
      </w:r>
      <w:r>
        <w:rPr>
          <w:rFonts w:hint="eastAsia" w:ascii="宋体" w:hAnsi="Times New Roman" w:eastAsia="宋体" w:cs="Times New Roman"/>
          <w:sz w:val="24"/>
          <w:lang w:val="zh-CN" w:eastAsia="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jc w:val="both"/>
        <w:spacing w:line="240" w:lineRule="auto"/>
        <w:widowControl w:val="off"/>
        <w:rPr>
          <w:rFonts w:hint="eastAsia" w:ascii="宋体" w:hAnsi="Times New Roman" w:eastAsia="宋体" w:cs="Times New Roman"/>
          <w:sz w:val="24"/>
          <w:lang w:val="zh-CN" w:eastAsia="zh-CN"/>
        </w:rPr>
      </w:pPr>
      <w:r/>
      <w:bookmarkStart w:id="120" w:name="_Toc513029234"/>
      <w:r/>
      <w:bookmarkStart w:id="121" w:name="_Toc16938550"/>
      <w:r/>
      <w:bookmarkStart w:id="122" w:name="_Toc20823306"/>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4</w:t>
      </w:r>
      <w:r>
        <w:rPr>
          <w:rFonts w:hint="eastAsia" w:ascii="宋体" w:hAnsi="Times New Roman" w:eastAsia="宋体" w:cs="Times New Roman"/>
          <w:sz w:val="24"/>
          <w:lang w:val="zh-CN" w:eastAsia="zh-CN"/>
        </w:rPr>
        <w:t xml:space="preserve">.6</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投标人在开、评标全过程中应保持通讯畅通，及时登录苏采云系统查阅、答复相关信息，并安排专人与交易中心及评委会联系。</w:t>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2</w:t>
      </w:r>
      <w:bookmarkEnd w:id="120"/>
      <w:r/>
      <w:bookmarkEnd w:id="121"/>
      <w:r/>
      <w:bookmarkEnd w:id="122"/>
      <w:r>
        <w:rPr>
          <w:rFonts w:hint="eastAsia" w:ascii="方正楷体_GBK" w:eastAsia="方正楷体_GBK" w:cs="方正楷体_GBK"/>
          <w:lang w:bidi="ar-SA"/>
        </w:rPr>
        <w:t xml:space="preserve">5.无效投标和废标</w:t>
      </w:r>
      <w:r/>
    </w:p>
    <w:p>
      <w:pPr>
        <w:ind w:firstLine="420"/>
        <w:jc w:val="both"/>
        <w:spacing w:line="240" w:lineRule="auto"/>
        <w:widowControl w:val="off"/>
        <w:rPr>
          <w:rFonts w:hint="eastAsia" w:ascii="宋体" w:hAnsi="Times New Roman" w:eastAsia="宋体" w:cs="Times New Roman"/>
          <w:sz w:val="24"/>
          <w:lang w:val="zh-CN" w:eastAsia="zh-CN"/>
        </w:rPr>
      </w:pPr>
      <w:r/>
      <w:bookmarkStart w:id="123" w:name="_Toc16938551"/>
      <w:r/>
      <w:bookmarkStart w:id="124" w:name="_Toc20823307"/>
      <w:r/>
      <w:bookmarkStart w:id="125" w:name="_Toc513029235"/>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无效投标情形</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投标人在苏采云系统规定的时间内未成功解密电子投标文件。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投标人未按照招标文件要求上传电子投标文件。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.1.3</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同一投标人提交两个（含两个）以上不同的投标报价。</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.1.4</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投标人不具备招标文件中规定资格要求。</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.1.5</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投标人的报价超过了采购预算或最高限价。</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.1.6</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未通过符合性审查。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.1.7</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不符合招标文件中实质性要求和条件</w:t>
      </w:r>
      <w:r>
        <w:rPr>
          <w:rFonts w:hint="eastAsia" w:ascii="宋体" w:hAnsi="Times New Roman" w:eastAsia="宋体" w:cs="Times New Roman"/>
          <w:iCs/>
          <w:sz w:val="24"/>
          <w:szCs w:val="22"/>
          <w:lang w:val="zh-CN" w:eastAsia="zh-CN"/>
        </w:rPr>
        <w:t xml:space="preserve">（</w:t>
      </w:r>
      <w:r>
        <w:rPr>
          <w:rFonts w:hint="eastAsia" w:ascii="宋体" w:hAnsi="Times New Roman" w:eastAsia="宋体" w:cs="Times New Roman"/>
          <w:b/>
          <w:bCs/>
          <w:iCs/>
          <w:sz w:val="24"/>
          <w:szCs w:val="22"/>
          <w:lang w:val="zh-CN" w:eastAsia="zh-CN"/>
        </w:rPr>
        <w:t xml:space="preserve">本文件中斜体且有下划线部分，或者打“</w:t>
      </w:r>
      <w:r>
        <w:rPr>
          <w:rFonts w:hint="eastAsia" w:ascii="宋体" w:hAnsi="Times New Roman" w:eastAsia="宋体" w:cs="Times New Roman"/>
          <w:b/>
          <w:bCs/>
          <w:iCs/>
          <w:sz w:val="24"/>
          <w:szCs w:val="22"/>
          <w:lang w:eastAsia="zh-CN"/>
        </w:rPr>
        <w:t xml:space="preserve">★</w:t>
      </w:r>
      <w:r>
        <w:rPr>
          <w:rFonts w:hint="eastAsia" w:ascii="宋体" w:hAnsi="Times New Roman" w:eastAsia="宋体" w:cs="Times New Roman"/>
          <w:b/>
          <w:bCs/>
          <w:iCs/>
          <w:sz w:val="24"/>
          <w:szCs w:val="22"/>
          <w:lang w:val="zh-CN" w:eastAsia="zh-CN"/>
        </w:rPr>
        <w:t xml:space="preserve">”内容为实质性要求和条件</w:t>
      </w:r>
      <w:r>
        <w:rPr>
          <w:rFonts w:hint="eastAsia" w:ascii="宋体" w:hAnsi="Times New Roman" w:eastAsia="宋体" w:cs="Times New Roman"/>
          <w:iCs/>
          <w:sz w:val="24"/>
          <w:szCs w:val="22"/>
          <w:lang w:val="zh-CN" w:eastAsia="zh-CN"/>
        </w:rPr>
        <w:t xml:space="preserve">）。</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.1.8</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.1.9</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投标文件含有采购人不能接受的附加条件。</w:t>
      </w:r>
      <w:r/>
    </w:p>
    <w:p>
      <w:pPr>
        <w:ind w:firstLine="420"/>
        <w:jc w:val="both"/>
        <w:spacing w:line="240" w:lineRule="auto"/>
        <w:widowControl w:val="off"/>
        <w:rPr>
          <w:rFonts w:hint="eastAsia" w:ascii="宋体" w:hAnsi="宋体"/>
          <w:sz w:val="24"/>
          <w:lang w:val="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.1.10</w:t>
      </w:r>
      <w:r>
        <w:rPr>
          <w:rFonts w:hint="eastAsia" w:ascii="宋体" w:hAnsi="Times New Roman" w:eastAsia="宋体" w:cs="Times New Roman"/>
          <w:sz w:val="24"/>
          <w:lang w:eastAsia="zh-CN"/>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.1.1</w:t>
      </w:r>
      <w:r>
        <w:rPr>
          <w:rFonts w:hint="eastAsia" w:ascii="宋体" w:hAnsi="Times New Roman" w:eastAsia="宋体" w:cs="Times New Roman"/>
          <w:sz w:val="24"/>
          <w:lang w:eastAsia="zh-CN"/>
        </w:rPr>
        <w:t xml:space="preserve">1</w:t>
      </w:r>
      <w:r>
        <w:rPr>
          <w:rFonts w:hint="eastAsia" w:ascii="宋体" w:hAnsi="Times New Roman" w:eastAsia="宋体" w:cs="Times New Roman"/>
          <w:sz w:val="24"/>
          <w:lang w:val="zh-CN" w:eastAsia="zh-CN"/>
        </w:rPr>
        <w:t xml:space="preserve">投标文件未按照招标文件要求加盖电子公章。</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.1.1</w:t>
      </w:r>
      <w:r>
        <w:rPr>
          <w:rFonts w:hint="eastAsia" w:ascii="宋体" w:hAnsi="Times New Roman" w:eastAsia="宋体" w:cs="Times New Roman"/>
          <w:sz w:val="24"/>
          <w:lang w:eastAsia="zh-CN"/>
        </w:rPr>
        <w:t xml:space="preserve">2 </w:t>
      </w:r>
      <w:r>
        <w:rPr>
          <w:rFonts w:hint="eastAsia" w:ascii="宋体" w:hAnsi="Times New Roman" w:eastAsia="宋体" w:cs="Times New Roman"/>
          <w:sz w:val="24"/>
          <w:lang w:val="zh-CN" w:eastAsia="zh-CN"/>
        </w:rPr>
        <w:t xml:space="preserve">法律法规及本招标文件规定的</w:t>
      </w:r>
      <w:r>
        <w:rPr>
          <w:rFonts w:hint="eastAsia" w:ascii="宋体" w:hAnsi="Times New Roman" w:eastAsia="宋体" w:cs="Times New Roman"/>
          <w:sz w:val="24"/>
          <w:lang w:eastAsia="zh-CN"/>
        </w:rPr>
        <w:t xml:space="preserve">其他</w:t>
      </w:r>
      <w:r>
        <w:rPr>
          <w:rFonts w:hint="eastAsia" w:ascii="宋体" w:hAnsi="Times New Roman" w:eastAsia="宋体" w:cs="Times New Roman"/>
          <w:sz w:val="24"/>
          <w:lang w:val="zh-CN" w:eastAsia="zh-CN"/>
        </w:rPr>
        <w:t xml:space="preserve">无效投标情形。</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废标情形</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符合资格条件的供应商或者对招标文件作实质响应的供应商不足三家。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出现影响采购公正的违法、违规行为。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.2.3</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因重大变故采购任务取消。</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.2.4</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评委会认定招标文件存在歧义、重大缺陷导致评审工作无法进行。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.2.5</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因苏采云系统故障造成开标不成功。</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.3 如出现投标截止时间后参加投标的供应商或者对招标文件作出实质</w:t>
      </w:r>
      <w:r>
        <w:rPr>
          <w:rFonts w:hint="eastAsia" w:ascii="宋体" w:hAnsi="Times New Roman" w:eastAsia="宋体" w:cs="Times New Roman"/>
          <w:sz w:val="24"/>
          <w:lang w:eastAsia="zh-CN"/>
        </w:rPr>
        <w:t xml:space="preserve">性</w:t>
      </w:r>
      <w:r>
        <w:rPr>
          <w:rFonts w:hint="eastAsia" w:ascii="宋体" w:hAnsi="Times New Roman" w:eastAsia="宋体" w:cs="Times New Roman"/>
          <w:sz w:val="24"/>
          <w:lang w:val="zh-CN" w:eastAsia="zh-CN"/>
        </w:rPr>
        <w:t xml:space="preserve">响应的供应商不足三家</w:t>
      </w:r>
      <w:r>
        <w:rPr>
          <w:rFonts w:hint="eastAsia" w:ascii="宋体" w:hAnsi="Times New Roman" w:eastAsia="宋体" w:cs="Times New Roman"/>
          <w:sz w:val="24"/>
          <w:lang w:eastAsia="zh-CN"/>
        </w:rPr>
        <w:t xml:space="preserve">的</w:t>
      </w:r>
      <w:r>
        <w:rPr>
          <w:rFonts w:hint="eastAsia" w:ascii="宋体" w:hAnsi="Times New Roman" w:eastAsia="宋体" w:cs="Times New Roman"/>
          <w:sz w:val="24"/>
          <w:lang w:val="zh-CN" w:eastAsia="zh-CN"/>
        </w:rPr>
        <w:t xml:space="preserve">情况，按政府采购相关规定执行。</w:t>
      </w:r>
      <w:bookmarkEnd w:id="88"/>
      <w:r/>
      <w:bookmarkEnd w:id="89"/>
      <w:r/>
      <w:bookmarkEnd w:id="90"/>
      <w:r/>
      <w:bookmarkEnd w:id="123"/>
      <w:r/>
      <w:bookmarkEnd w:id="124"/>
      <w:r/>
      <w:bookmarkEnd w:id="125"/>
      <w:r/>
      <w:r/>
    </w:p>
    <w:p>
      <w:pPr>
        <w:pStyle w:val="863"/>
        <w:ind w:firstLine="465"/>
        <w:spacing w:before="120" w:after="120" w:line="240" w:lineRule="auto"/>
        <w:rPr>
          <w:rFonts w:hint="eastAsia" w:ascii="方正黑体_GBK" w:eastAsia="方正黑体_GBK" w:cs="方正黑体_GBK"/>
          <w:lang w:bidi="ar-SA"/>
        </w:rPr>
      </w:pPr>
      <w:r/>
      <w:bookmarkStart w:id="126" w:name="_Toc120614219"/>
      <w:r>
        <w:rPr>
          <w:rFonts w:hint="eastAsia" w:ascii="方正黑体_GBK" w:eastAsia="方正黑体_GBK" w:cs="方正黑体_GBK"/>
          <w:lang w:bidi="ar-SA"/>
        </w:rPr>
        <w:t xml:space="preserve">六、定标</w:t>
      </w:r>
      <w:bookmarkEnd w:id="126"/>
      <w:r/>
      <w:r/>
    </w:p>
    <w:p>
      <w:pPr>
        <w:pStyle w:val="865"/>
        <w:ind w:firstLine="392"/>
        <w:spacing w:before="0" w:after="0" w:line="240" w:lineRule="auto"/>
        <w:rPr>
          <w:rFonts w:hint="eastAsia" w:ascii="方正楷体_GBK" w:eastAsia="方正楷体_GBK" w:cs="方正楷体_GBK"/>
          <w:lang w:bidi="ar-SA"/>
        </w:rPr>
      </w:pPr>
      <w:r/>
      <w:bookmarkStart w:id="127" w:name="_Toc513029238"/>
      <w:r/>
      <w:bookmarkStart w:id="128" w:name="_Toc20823310"/>
      <w:r/>
      <w:bookmarkStart w:id="129" w:name="_Toc16938554"/>
      <w:r>
        <w:rPr>
          <w:rFonts w:hint="eastAsia" w:ascii="方正楷体_GBK" w:eastAsia="方正楷体_GBK" w:cs="方正楷体_GBK"/>
          <w:lang w:bidi="ar-SA"/>
        </w:rPr>
        <w:t xml:space="preserve">2</w:t>
      </w:r>
      <w:bookmarkEnd w:id="127"/>
      <w:r>
        <w:rPr>
          <w:rFonts w:hint="eastAsia" w:ascii="方正楷体_GBK" w:eastAsia="方正楷体_GBK" w:cs="方正楷体_GBK"/>
          <w:lang w:bidi="ar-SA"/>
        </w:rPr>
        <w:t xml:space="preserve">6.确定</w:t>
      </w:r>
      <w:bookmarkEnd w:id="128"/>
      <w:r/>
      <w:bookmarkEnd w:id="129"/>
      <w:r>
        <w:rPr>
          <w:rFonts w:hint="eastAsia" w:ascii="方正楷体_GBK" w:eastAsia="方正楷体_GBK" w:cs="方正楷体_GBK"/>
          <w:lang w:bidi="ar-SA"/>
        </w:rPr>
        <w:t xml:space="preserve">中标单位</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中标候选人的</w:t>
      </w:r>
      <w:r>
        <w:rPr>
          <w:rFonts w:hint="eastAsia" w:ascii="宋体" w:hAnsi="Times New Roman" w:eastAsia="宋体" w:cs="Times New Roman"/>
          <w:sz w:val="24"/>
          <w:lang w:eastAsia="zh-CN"/>
        </w:rPr>
        <w:t xml:space="preserve">确定</w:t>
      </w:r>
      <w:r>
        <w:rPr>
          <w:rFonts w:hint="eastAsia" w:ascii="宋体" w:hAnsi="Times New Roman" w:eastAsia="宋体" w:cs="Times New Roman"/>
          <w:sz w:val="24"/>
          <w:lang w:val="zh-CN" w:eastAsia="zh-CN"/>
        </w:rPr>
        <w:t xml:space="preserve">原则和数量见招标文件第五章。 </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.2 按以下第（</w:t>
      </w:r>
      <w:r>
        <w:rPr>
          <w:rFonts w:hint="eastAsia" w:ascii="宋体" w:hAnsi="Times New Roman" w:eastAsia="宋体" w:cs="Times New Roman"/>
          <w:sz w:val="24"/>
          <w:lang w:eastAsia="zh-CN"/>
        </w:rPr>
        <w:t xml:space="preserve">1</w:t>
      </w:r>
      <w:r>
        <w:rPr>
          <w:rFonts w:hint="eastAsia" w:ascii="宋体" w:hAnsi="Times New Roman" w:eastAsia="宋体" w:cs="Times New Roman"/>
          <w:sz w:val="24"/>
          <w:lang w:val="zh-CN" w:eastAsia="zh-CN"/>
        </w:rPr>
        <w:t xml:space="preserve">）种方式确定中标人：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（1）评委会直接确定排名第一的中标候选人为中标人；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（2）采购人在评委会推荐的中标候选人中按顺序确定中标人。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按第二种方式确定中标人的，交易中心自评审结束之日起两个工作日内将评审报告送</w:t>
      </w:r>
      <w:r>
        <w:rPr>
          <w:rFonts w:hint="eastAsia" w:ascii="宋体" w:hAnsi="Times New Roman" w:eastAsia="宋体" w:cs="Times New Roman"/>
          <w:sz w:val="24"/>
          <w:lang w:eastAsia="zh-CN"/>
        </w:rPr>
        <w:t xml:space="preserve">达</w:t>
      </w:r>
      <w:r>
        <w:rPr>
          <w:rFonts w:hint="eastAsia" w:ascii="宋体" w:hAnsi="Times New Roman" w:eastAsia="宋体" w:cs="Times New Roman"/>
          <w:sz w:val="24"/>
          <w:lang w:val="zh-CN" w:eastAsia="zh-CN"/>
        </w:rPr>
        <w:t xml:space="preserve">采购人，采购人自收到评审报告之日起五个工作日内，在评审报告推荐的中标候选人中按顺序确定中标人。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.3 交易中心将在“江苏政府采购网”发布中标公告，公告期限为1个工作日。</w:t>
      </w:r>
      <w:r/>
    </w:p>
    <w:p>
      <w:pPr>
        <w:ind w:firstLine="420"/>
        <w:jc w:val="both"/>
        <w:spacing w:line="240" w:lineRule="auto"/>
        <w:widowControl w:val="off"/>
        <w:rPr>
          <w:rFonts w:hint="eastAsia" w:ascii="宋体" w:hAnsi="Times New Roman" w:eastAsia="宋体" w:cs="Times New Roman"/>
          <w:b/>
          <w:bCs/>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.4</w:t>
      </w:r>
      <w:r>
        <w:rPr>
          <w:rFonts w:hint="eastAsia" w:ascii="宋体" w:hAnsi="Times New Roman" w:eastAsia="宋体" w:cs="Times New Roman"/>
          <w:sz w:val="24"/>
          <w:lang w:eastAsia="zh-CN"/>
        </w:rPr>
        <w:t xml:space="preserve"> </w:t>
      </w:r>
      <w:r>
        <w:rPr>
          <w:rFonts w:hint="eastAsia" w:ascii="宋体" w:hAnsi="Times New Roman" w:eastAsia="宋体" w:cs="Times New Roman"/>
          <w:b/>
          <w:bCs/>
          <w:sz w:val="24"/>
          <w:lang w:val="zh-CN" w:eastAsia="zh-CN"/>
        </w:rPr>
        <w:t xml:space="preserve">若有充分证据证明中标人</w:t>
      </w:r>
      <w:r>
        <w:rPr>
          <w:rFonts w:hint="eastAsia" w:ascii="宋体" w:hAnsi="Times New Roman" w:eastAsia="宋体" w:cs="Times New Roman"/>
          <w:b/>
          <w:bCs/>
          <w:sz w:val="24"/>
          <w:lang w:eastAsia="zh-CN"/>
        </w:rPr>
        <w:t xml:space="preserve">有</w:t>
      </w:r>
      <w:r>
        <w:rPr>
          <w:rFonts w:hint="eastAsia" w:ascii="宋体" w:hAnsi="Times New Roman" w:eastAsia="宋体" w:cs="Times New Roman"/>
          <w:b/>
          <w:bCs/>
          <w:sz w:val="24"/>
          <w:lang w:val="zh-CN" w:eastAsia="zh-CN"/>
        </w:rPr>
        <w:t xml:space="preserve">下列情况之一的，一经查实将被取消中标资格：</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26.4.1 提供虚假材料谋取中标。</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26.4.2 向评审专家、采购人或交易中心工作人员行贿或者提供其他不正当利益。</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26.4.3 与其他供应商、评审专家、采购人或交易中心工作人员恶意串通。</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26.4.4 属于本文件规定的无效投标情形，但在评标过程中未被评委会发现。</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26.4.5 采取不正当手段诋毁、排挤其他供应商。</w:t>
      </w:r>
      <w:r/>
    </w:p>
    <w:p>
      <w:pPr>
        <w:ind w:firstLine="420"/>
        <w:jc w:val="both"/>
        <w:spacing w:line="240" w:lineRule="auto"/>
        <w:widowControl w:val="off"/>
        <w:rPr>
          <w:rFonts w:hint="eastAsia" w:ascii="宋体" w:hAnsi="Times New Roman" w:eastAsia="宋体" w:cs="Times New Roman"/>
          <w:b/>
          <w:bCs/>
          <w:sz w:val="24"/>
          <w:lang w:val="zh-CN" w:eastAsia="zh-CN"/>
        </w:rPr>
      </w:pPr>
      <w:r/>
      <w:bookmarkStart w:id="130" w:name="_Toc200451960"/>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.5</w:t>
      </w:r>
      <w:r>
        <w:rPr>
          <w:rFonts w:hint="eastAsia" w:ascii="宋体" w:hAnsi="Times New Roman" w:eastAsia="宋体" w:cs="Times New Roman"/>
          <w:sz w:val="24"/>
          <w:lang w:eastAsia="zh-CN"/>
        </w:rPr>
        <w:t xml:space="preserve"> </w:t>
      </w:r>
      <w:r>
        <w:rPr>
          <w:rFonts w:hint="eastAsia" w:ascii="宋体" w:hAnsi="Times New Roman" w:eastAsia="宋体" w:cs="Times New Roman"/>
          <w:b/>
          <w:bCs/>
          <w:sz w:val="24"/>
          <w:lang w:val="zh-CN" w:eastAsia="zh-CN"/>
        </w:rPr>
        <w:t xml:space="preserve">有下列情形之一的视为投标人串通投标，投标无效：</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.5.1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不同投标人的投标文件由同一单位或者个人编制。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.5.2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不同投标人委托同一单位或者个人办理投标事宜。</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.5.3</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不同投标人的投标文件载明的项目管理成员或者联系人员为同一人。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.5.4</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不同投标人的投标文件异常一致或者投标报价呈规律性差异。</w:t>
      </w:r>
      <w:bookmarkEnd w:id="130"/>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27.中标通知书</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7</w:t>
      </w:r>
      <w:r>
        <w:rPr>
          <w:rFonts w:hint="eastAsia" w:ascii="宋体" w:hAnsi="Times New Roman" w:eastAsia="宋体" w:cs="Times New Roman"/>
          <w:sz w:val="24"/>
          <w:lang w:val="zh-CN" w:eastAsia="zh-CN"/>
        </w:rPr>
        <w:t xml:space="preserve">.l 中标结果确定后，交易中心将向中标人发出《中标通知书》。中标人</w:t>
      </w:r>
      <w:r>
        <w:rPr>
          <w:rFonts w:hint="eastAsia" w:ascii="宋体" w:hAnsi="Times New Roman" w:eastAsia="宋体" w:cs="Times New Roman"/>
          <w:sz w:val="24"/>
          <w:lang w:eastAsia="zh-CN"/>
        </w:rPr>
        <w:t xml:space="preserve">可</w:t>
      </w:r>
      <w:r>
        <w:rPr>
          <w:rFonts w:hint="eastAsia" w:ascii="宋体" w:hAnsi="Times New Roman" w:eastAsia="宋体" w:cs="Times New Roman"/>
          <w:sz w:val="24"/>
          <w:lang w:val="zh-CN" w:eastAsia="zh-CN"/>
        </w:rPr>
        <w:t xml:space="preserve">在中标结果公告届满之日起三十日内，登录苏采云系统下载。</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因系统存储空间有限，中标结果公告届满之日起三十日后，苏采云系统不再保证提供下载《中标通知书》服务，因未及时下载而造成的不利后果由中标人自行承担。</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7</w:t>
      </w: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中标通知书</w:t>
      </w:r>
      <w:r>
        <w:rPr>
          <w:rFonts w:hint="eastAsia" w:ascii="宋体" w:hAnsi="Times New Roman" w:eastAsia="宋体" w:cs="Times New Roman"/>
          <w:sz w:val="24"/>
          <w:lang w:eastAsia="zh-CN"/>
        </w:rPr>
        <w:t xml:space="preserve">》</w:t>
      </w:r>
      <w:r>
        <w:rPr>
          <w:rFonts w:hint="eastAsia" w:ascii="宋体" w:hAnsi="Times New Roman" w:eastAsia="宋体" w:cs="Times New Roman"/>
          <w:sz w:val="24"/>
          <w:lang w:val="zh-CN" w:eastAsia="zh-CN"/>
        </w:rPr>
        <w:t xml:space="preserve">是合同的一个组成部分，对采购人和中标人均具有法律效力。《中标通知书》发出后，采购人改变中标结果或者中标人放弃中标项目的，应当依法承担法律责任。</w:t>
      </w:r>
      <w:r/>
    </w:p>
    <w:p>
      <w:pPr>
        <w:pStyle w:val="863"/>
        <w:ind w:firstLine="465"/>
        <w:spacing w:before="120" w:after="120" w:line="240" w:lineRule="auto"/>
        <w:rPr>
          <w:rFonts w:hint="eastAsia" w:ascii="方正黑体_GBK" w:eastAsia="方正黑体_GBK" w:cs="方正黑体_GBK"/>
          <w:lang w:bidi="ar-SA"/>
        </w:rPr>
      </w:pPr>
      <w:r/>
      <w:bookmarkStart w:id="131" w:name="_Toc20823308"/>
      <w:r/>
      <w:bookmarkStart w:id="132" w:name="_Toc120614220"/>
      <w:r/>
      <w:bookmarkStart w:id="133" w:name="_Toc16938552"/>
      <w:r/>
      <w:bookmarkStart w:id="134" w:name="_Toc513029236"/>
      <w:r>
        <w:rPr>
          <w:rFonts w:hint="eastAsia" w:ascii="方正黑体_GBK" w:eastAsia="方正黑体_GBK" w:cs="方正黑体_GBK"/>
          <w:lang w:bidi="ar-SA"/>
        </w:rPr>
        <w:t xml:space="preserve">七、授予合同</w:t>
      </w:r>
      <w:bookmarkEnd w:id="131"/>
      <w:r/>
      <w:bookmarkEnd w:id="132"/>
      <w:r/>
      <w:bookmarkEnd w:id="133"/>
      <w:r/>
      <w:bookmarkEnd w:id="134"/>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28.签订合同</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28</w:t>
      </w:r>
      <w:r>
        <w:rPr>
          <w:rFonts w:hint="eastAsia" w:ascii="宋体" w:hAnsi="Times New Roman" w:eastAsia="宋体" w:cs="Times New Roman"/>
          <w:sz w:val="24"/>
          <w:lang w:eastAsia="zh-CN"/>
        </w:rPr>
        <w:t xml:space="preserve">.l</w:t>
      </w:r>
      <w:r>
        <w:rPr>
          <w:rFonts w:hint="eastAsia" w:ascii="宋体" w:hAnsi="Times New Roman" w:eastAsia="宋体" w:cs="Times New Roman"/>
          <w:sz w:val="24"/>
          <w:lang w:val="zh-CN" w:eastAsia="zh-CN"/>
        </w:rPr>
        <w:t xml:space="preserve"> </w:t>
      </w:r>
      <w:r>
        <w:rPr>
          <w:rFonts w:hint="eastAsia" w:ascii="宋体" w:hAnsi="Times New Roman" w:eastAsia="宋体" w:cs="Times New Roman"/>
          <w:sz w:val="24"/>
          <w:lang w:eastAsia="zh-CN"/>
        </w:rPr>
        <w:t xml:space="preserve">中标人应当</w:t>
      </w:r>
      <w:r>
        <w:rPr>
          <w:rFonts w:hint="eastAsia" w:ascii="宋体" w:hAnsi="Times New Roman" w:eastAsia="宋体" w:cs="Times New Roman"/>
          <w:sz w:val="24"/>
          <w:lang w:val="zh-CN" w:eastAsia="zh-CN"/>
        </w:rPr>
        <w:t xml:space="preserve">在《</w:t>
      </w:r>
      <w:r>
        <w:rPr>
          <w:rFonts w:hint="eastAsia" w:ascii="宋体" w:hAnsi="Times New Roman" w:eastAsia="宋体" w:cs="Times New Roman"/>
          <w:sz w:val="24"/>
          <w:lang w:eastAsia="zh-CN"/>
        </w:rPr>
        <w:t xml:space="preserve">中标通知书</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发出之日起三十日内，按照招标文件确定的事项与采购人签订政府采购合同。</w:t>
      </w:r>
      <w:r>
        <w:rPr>
          <w:rFonts w:hint="eastAsia" w:ascii="宋体" w:hAnsi="Times New Roman" w:eastAsia="宋体" w:cs="Times New Roman"/>
          <w:sz w:val="24"/>
          <w:lang w:val="zh-CN" w:eastAsia="zh-CN"/>
        </w:rPr>
        <w:t xml:space="preserve">采购人于合同签订后2个工作日内通过苏采云系统进行公示。</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28</w:t>
      </w:r>
      <w:r>
        <w:rPr>
          <w:rFonts w:hint="eastAsia" w:ascii="宋体" w:hAnsi="Times New Roman" w:eastAsia="宋体" w:cs="Times New Roman"/>
          <w:sz w:val="24"/>
          <w:lang w:eastAsia="zh-CN"/>
        </w:rPr>
        <w:t xml:space="preserve">.2 招标文件、中标人的投标文件及招标过程中有关澄清、承诺文件均作为合同附件。</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28</w:t>
      </w:r>
      <w:r>
        <w:rPr>
          <w:rFonts w:hint="eastAsia" w:ascii="宋体" w:hAnsi="Times New Roman" w:eastAsia="宋体" w:cs="Times New Roman"/>
          <w:sz w:val="24"/>
          <w:lang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28</w:t>
      </w:r>
      <w:r>
        <w:rPr>
          <w:rFonts w:hint="eastAsia" w:ascii="宋体" w:hAnsi="Times New Roman" w:eastAsia="宋体" w:cs="Times New Roman"/>
          <w:sz w:val="24"/>
          <w:lang w:eastAsia="zh-CN"/>
        </w:rPr>
        <w:t xml:space="preserve">.4 中标人因自身原因拒绝与采购人签订合同的，不得参加采购人</w:t>
      </w:r>
      <w:r>
        <w:rPr>
          <w:rFonts w:hint="eastAsia" w:ascii="宋体" w:hAnsi="Times New Roman" w:eastAsia="宋体" w:cs="Times New Roman"/>
          <w:sz w:val="24"/>
          <w:lang w:val="zh-CN" w:eastAsia="zh-CN"/>
        </w:rPr>
        <w:t xml:space="preserve">重新组织的</w:t>
      </w:r>
      <w:r>
        <w:rPr>
          <w:rFonts w:hint="eastAsia" w:ascii="宋体" w:hAnsi="Times New Roman" w:eastAsia="宋体" w:cs="Times New Roman"/>
          <w:sz w:val="24"/>
          <w:lang w:eastAsia="zh-CN"/>
        </w:rPr>
        <w:t xml:space="preserve">采购活动</w:t>
      </w:r>
      <w:r>
        <w:rPr>
          <w:rFonts w:hint="eastAsia" w:ascii="宋体" w:hAnsi="Times New Roman" w:eastAsia="宋体" w:cs="Times New Roman"/>
          <w:sz w:val="24"/>
          <w:lang w:val="zh-CN" w:eastAsia="zh-CN"/>
        </w:rPr>
        <w:t xml:space="preserve">，且将可能被拒绝参加该采购人</w:t>
      </w:r>
      <w:r>
        <w:rPr>
          <w:rFonts w:hint="eastAsia" w:ascii="宋体" w:hAnsi="Times New Roman" w:eastAsia="宋体" w:cs="Times New Roman"/>
          <w:sz w:val="24"/>
          <w:lang w:eastAsia="zh-CN"/>
        </w:rPr>
        <w:t xml:space="preserve">一年内</w:t>
      </w:r>
      <w:r>
        <w:rPr>
          <w:rFonts w:hint="eastAsia" w:ascii="宋体" w:hAnsi="Times New Roman" w:eastAsia="宋体" w:cs="Times New Roman"/>
          <w:sz w:val="24"/>
          <w:lang w:val="zh-CN" w:eastAsia="zh-CN"/>
        </w:rPr>
        <w:t xml:space="preserve">的其他</w:t>
      </w:r>
      <w:r>
        <w:rPr>
          <w:rFonts w:hint="eastAsia" w:ascii="宋体" w:hAnsi="Times New Roman" w:eastAsia="宋体" w:cs="Times New Roman"/>
          <w:sz w:val="24"/>
          <w:lang w:eastAsia="zh-CN"/>
        </w:rPr>
        <w:t xml:space="preserve">政府采购活动。</w:t>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29.标的物的追加</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30.政府采购履约资金扶持政策</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30.1 中标供应商可通过南京市公共资源交易平台网站“小企业融资平台”，选择相应的金融机构办理融资贷款。</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63"/>
        <w:ind w:firstLine="465"/>
        <w:spacing w:before="120" w:after="120" w:line="240" w:lineRule="auto"/>
        <w:rPr>
          <w:rFonts w:hint="eastAsia" w:ascii="方正黑体_GBK" w:eastAsia="方正黑体_GBK" w:cs="方正黑体_GBK"/>
          <w:lang w:bidi="ar-SA"/>
        </w:rPr>
      </w:pPr>
      <w:r>
        <w:rPr>
          <w:rFonts w:hint="eastAsia" w:ascii="方正黑体_GBK" w:eastAsia="方正黑体_GBK" w:cs="方正黑体_GBK"/>
          <w:lang w:bidi="ar-SA"/>
        </w:rPr>
        <w:t xml:space="preserve">八、质疑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31.</w:t>
      </w:r>
      <w:r>
        <w:rPr>
          <w:rFonts w:hint="eastAsia" w:ascii="宋体" w:hAnsi="Times New Roman" w:eastAsia="宋体" w:cs="Times New Roman"/>
          <w:sz w:val="24"/>
          <w:lang w:val="zh-CN" w:eastAsia="zh-CN"/>
        </w:rPr>
        <w:t xml:space="preserve">提出质疑的供应商应当是参与所质疑项目采购活动的供应商，潜在供应商依法获取其可质疑的采购文件的，可以对采购文件提出质疑。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32.</w:t>
      </w:r>
      <w:r>
        <w:rPr>
          <w:rFonts w:hint="eastAsia" w:ascii="宋体" w:hAnsi="Times New Roman" w:eastAsia="宋体" w:cs="Times New Roman"/>
          <w:sz w:val="24"/>
          <w:lang w:val="zh-CN" w:eastAsia="zh-CN"/>
        </w:rPr>
        <w:t xml:space="preserve">供应商认为采购文件、采购过程和采购结果使自己的权益受到损害的，可以在知道或应知其权益受到损害之日起七个工作日内，</w:t>
      </w:r>
      <w:r>
        <w:rPr>
          <w:rFonts w:hint="eastAsia" w:ascii="宋体" w:hAnsi="Times New Roman" w:eastAsia="宋体" w:cs="Times New Roman"/>
          <w:sz w:val="24"/>
          <w:lang w:eastAsia="zh-CN"/>
        </w:rPr>
        <w:t xml:space="preserve">按照第3</w:t>
      </w:r>
      <w:r>
        <w:rPr>
          <w:rFonts w:hint="eastAsia" w:ascii="宋体" w:hAnsi="Times New Roman" w:eastAsia="宋体" w:cs="Times New Roman"/>
          <w:sz w:val="24"/>
          <w:lang w:val="zh-CN" w:eastAsia="zh-CN"/>
        </w:rPr>
        <w:t xml:space="preserve">4</w:t>
      </w:r>
      <w:r>
        <w:rPr>
          <w:rFonts w:hint="eastAsia" w:ascii="宋体" w:hAnsi="Times New Roman" w:eastAsia="宋体" w:cs="Times New Roman"/>
          <w:sz w:val="24"/>
          <w:lang w:eastAsia="zh-CN"/>
        </w:rPr>
        <w:t xml:space="preserve">条</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第35</w:t>
      </w:r>
      <w:r>
        <w:rPr>
          <w:rFonts w:hint="eastAsia" w:ascii="宋体" w:hAnsi="Times New Roman" w:eastAsia="宋体" w:cs="Times New Roman"/>
          <w:sz w:val="24"/>
          <w:lang w:val="zh-CN" w:eastAsia="zh-CN"/>
        </w:rPr>
        <w:t xml:space="preserve">条</w:t>
      </w:r>
      <w:r>
        <w:rPr>
          <w:rFonts w:hint="eastAsia" w:ascii="宋体" w:hAnsi="Times New Roman" w:eastAsia="宋体" w:cs="Times New Roman"/>
          <w:sz w:val="24"/>
          <w:lang w:eastAsia="zh-CN"/>
        </w:rPr>
        <w:t xml:space="preserve">之</w:t>
      </w:r>
      <w:r>
        <w:rPr>
          <w:rFonts w:hint="eastAsia" w:ascii="宋体" w:hAnsi="Times New Roman" w:eastAsia="宋体" w:cs="Times New Roman"/>
          <w:sz w:val="24"/>
          <w:lang w:val="zh-CN" w:eastAsia="zh-CN"/>
        </w:rPr>
        <w:t xml:space="preserve">规定以书面形式向采购人或交易中心提出质疑。</w:t>
      </w:r>
      <w:r>
        <w:rPr>
          <w:rFonts w:hint="eastAsia" w:ascii="宋体" w:hAnsi="Times New Roman" w:eastAsia="宋体" w:cs="Times New Roman"/>
          <w:b/>
          <w:bCs/>
          <w:sz w:val="24"/>
          <w:lang w:val="zh-CN" w:eastAsia="zh-CN"/>
        </w:rPr>
        <w:t xml:space="preserve">上述应知其权益受到损害之日是指</w:t>
      </w:r>
      <w:r>
        <w:rPr>
          <w:rFonts w:hint="eastAsia" w:ascii="宋体" w:hAnsi="Times New Roman" w:eastAsia="宋体" w:cs="Times New Roman"/>
          <w:sz w:val="24"/>
          <w:lang w:val="zh-CN" w:eastAsia="zh-CN"/>
        </w:rPr>
        <w:t xml:space="preserve">：</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2.1 对采购文件提出质疑的，为收到采购文件之日或者采购文件公告期限届满之日。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2.2 对采购过程提出质疑的，为各采购程序环节结束之日。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2.3 对中标或者成交结果提出质疑的，为中标或者成交结果公告期限届满之日。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33.</w:t>
      </w:r>
      <w:r>
        <w:rPr>
          <w:rFonts w:hint="eastAsia" w:ascii="宋体" w:hAnsi="Times New Roman" w:eastAsia="宋体" w:cs="Times New Roman"/>
          <w:sz w:val="24"/>
          <w:lang w:val="zh-CN" w:eastAsia="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34.</w:t>
      </w:r>
      <w:r>
        <w:rPr>
          <w:rFonts w:hint="eastAsia" w:ascii="宋体" w:hAnsi="Times New Roman" w:eastAsia="宋体" w:cs="Times New Roman"/>
          <w:sz w:val="24"/>
          <w:lang w:val="zh-CN" w:eastAsia="zh-CN"/>
        </w:rPr>
        <w:t xml:space="preserve">供应商提出质疑应提交《质疑函》原件，且尽可能通过邮寄方式送达，交易中心和采购人不接受无运单的快件。《质疑函》应按照本招标文件中《质疑函范本》</w:t>
      </w:r>
      <w:r>
        <w:rPr>
          <w:rFonts w:hint="eastAsia" w:ascii="宋体" w:hAnsi="Times New Roman" w:eastAsia="宋体" w:cs="Times New Roman"/>
          <w:sz w:val="24"/>
          <w:lang w:eastAsia="zh-CN"/>
        </w:rPr>
        <w:t xml:space="preserve">的</w:t>
      </w:r>
      <w:r>
        <w:rPr>
          <w:rFonts w:hint="eastAsia" w:ascii="宋体" w:hAnsi="Times New Roman" w:eastAsia="宋体" w:cs="Times New Roman"/>
          <w:sz w:val="24"/>
          <w:lang w:val="zh-CN" w:eastAsia="zh-CN"/>
        </w:rPr>
        <w:t xml:space="preserve">格式和内容填写。</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供应商如组成联合体参加采购活动，《质疑函范本》中要求加盖公章之处，联合体各方均须按要求加盖公章。</w:t>
      </w:r>
      <w:r/>
    </w:p>
    <w:p>
      <w:pPr>
        <w:numPr>
          <w:ilvl w:val="0"/>
          <w:numId w:val="0"/>
        </w:num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color w:val="000000"/>
          <w:sz w:val="24"/>
          <w:szCs w:val="21"/>
          <w:lang w:val="zh-CN" w:eastAsia="zh-CN" w:bidi="ar-SA"/>
        </w:rPr>
        <w:t xml:space="preserve">3</w:t>
      </w:r>
      <w:r>
        <w:rPr>
          <w:rFonts w:hint="eastAsia" w:ascii="宋体" w:hAnsi="Times New Roman" w:eastAsia="宋体" w:cs="Times New Roman"/>
          <w:color w:val="000000"/>
          <w:sz w:val="24"/>
          <w:szCs w:val="21"/>
          <w:lang w:val="en-US" w:eastAsia="zh-CN" w:bidi="ar-SA"/>
        </w:rPr>
        <w:t xml:space="preserve">5</w:t>
      </w:r>
      <w:r>
        <w:rPr>
          <w:rFonts w:hint="eastAsia" w:ascii="宋体" w:hAnsi="Times New Roman" w:eastAsia="宋体" w:cs="Times New Roman"/>
          <w:color w:val="000000"/>
          <w:sz w:val="24"/>
          <w:szCs w:val="21"/>
          <w:lang w:val="zh-CN" w:eastAsia="zh-CN" w:bidi="ar-SA"/>
        </w:rPr>
        <w:t xml:space="preserve">.</w:t>
      </w:r>
      <w:r>
        <w:rPr>
          <w:rFonts w:hint="eastAsia" w:ascii="宋体" w:hAnsi="Times New Roman" w:eastAsia="宋体" w:cs="Times New Roman"/>
          <w:b/>
          <w:bCs/>
          <w:sz w:val="24"/>
          <w:lang w:val="zh-CN" w:eastAsia="zh-CN"/>
        </w:rPr>
        <w:t xml:space="preserve">供应商（含潜在供应商）对采购方式、采购需求</w:t>
      </w:r>
      <w:r>
        <w:rPr>
          <w:rFonts w:hint="eastAsia" w:ascii="宋体" w:hAnsi="宋体" w:eastAsia="宋体" w:cs="Times New Roman"/>
          <w:color w:val="000000"/>
          <w:sz w:val="24"/>
          <w:szCs w:val="22"/>
          <w:lang w:val="zh-CN" w:eastAsia="zh-CN"/>
        </w:rPr>
        <w:t xml:space="preserve">、</w:t>
      </w:r>
      <w:r>
        <w:rPr>
          <w:rFonts w:hint="eastAsia" w:ascii="宋体" w:hAnsi="Times New Roman" w:eastAsia="宋体" w:cs="Times New Roman"/>
          <w:b/>
          <w:bCs/>
          <w:sz w:val="24"/>
          <w:lang w:val="zh-CN" w:eastAsia="zh-CN"/>
        </w:rPr>
        <w:t xml:space="preserve">资格条件及审查结果、评标方法和评标标准、合同文本的询问、质疑向采购人提出，由采购人负责答复。</w:t>
      </w:r>
      <w:r>
        <w:rPr>
          <w:rFonts w:hint="eastAsia" w:ascii="宋体" w:hAnsi="Times New Roman" w:eastAsia="宋体" w:cs="Times New Roman"/>
          <w:sz w:val="24"/>
          <w:lang w:val="zh-CN" w:eastAsia="zh-CN"/>
        </w:rPr>
        <w:t xml:space="preserve">供应商对除上述事项以外其他事项的询问、质疑向交易中心提出，由交易中心负责答复。</w:t>
      </w:r>
      <w:r/>
    </w:p>
    <w:p>
      <w:pPr>
        <w:ind w:firstLine="422"/>
        <w:jc w:val="both"/>
        <w:spacing w:line="240" w:lineRule="auto"/>
        <w:widowControl w:val="off"/>
        <w:rPr>
          <w:rFonts w:hint="eastAsia" w:ascii="宋体" w:hAnsi="Times New Roman" w:eastAsia="宋体" w:cs="Times New Roman"/>
          <w:b/>
          <w:bCs/>
          <w:sz w:val="24"/>
          <w:lang w:val="zh-CN" w:eastAsia="zh-CN"/>
        </w:rPr>
      </w:pPr>
      <w:r>
        <w:rPr>
          <w:rFonts w:hint="eastAsia" w:ascii="宋体" w:hAnsi="Times New Roman" w:eastAsia="宋体" w:cs="Times New Roman"/>
          <w:b/>
          <w:bCs/>
          <w:sz w:val="24"/>
          <w:lang w:val="zh-CN" w:eastAsia="zh-CN"/>
        </w:rPr>
        <w:t xml:space="preserve">采购人《质疑函》接收人及联系方式见招标文件第一章。</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交易中心《质疑函》接收部门为政府采购</w:t>
      </w:r>
      <w:r>
        <w:rPr>
          <w:rFonts w:hint="eastAsia" w:ascii="宋体" w:hAnsi="Times New Roman" w:eastAsia="宋体" w:cs="Times New Roman"/>
          <w:sz w:val="24"/>
          <w:lang w:eastAsia="zh-CN"/>
        </w:rPr>
        <w:t xml:space="preserve">处</w:t>
      </w:r>
      <w:r>
        <w:rPr>
          <w:rFonts w:hint="eastAsia" w:ascii="宋体" w:hAnsi="Times New Roman" w:eastAsia="宋体" w:cs="Times New Roman"/>
          <w:sz w:val="24"/>
          <w:lang w:val="zh-CN" w:eastAsia="zh-CN"/>
        </w:rPr>
        <w:t xml:space="preserve">。收件人：南京市公共资源交易中心浦口分中心，地址：南京市浦口区江浦街道象山路4号浦口市民中心B幢五楼受理大厅，联系电话：025-</w:t>
      </w:r>
      <w:r>
        <w:rPr>
          <w:rFonts w:hint="eastAsia" w:ascii="宋体" w:hAnsi="Times New Roman" w:eastAsia="宋体" w:cs="Times New Roman"/>
          <w:sz w:val="24"/>
          <w:highlight w:val="none"/>
          <w:lang w:val="zh-CN" w:eastAsia="zh-CN"/>
        </w:rPr>
        <w:t xml:space="preserve">6965904</w:t>
      </w:r>
      <w:r>
        <w:rPr>
          <w:rFonts w:hint="eastAsia" w:ascii="宋体" w:hAnsi="Times New Roman" w:eastAsia="宋体" w:cs="Times New Roman"/>
          <w:sz w:val="24"/>
          <w:highlight w:val="none"/>
          <w:lang w:val="en-US" w:eastAsia="zh-CN"/>
        </w:rPr>
        <w:t xml:space="preserve">7</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  </w:t>
      </w:r>
      <w:r/>
    </w:p>
    <w:p>
      <w:pPr>
        <w:ind w:firstLine="422"/>
        <w:jc w:val="both"/>
        <w:spacing w:line="240" w:lineRule="auto"/>
        <w:widowControl w:val="off"/>
        <w:rPr>
          <w:rFonts w:hint="eastAsia" w:ascii="宋体" w:hAnsi="Times New Roman" w:eastAsia="宋体" w:cs="Times New Roman"/>
          <w:b/>
          <w:bCs/>
          <w:sz w:val="24"/>
          <w:lang w:val="zh-CN" w:eastAsia="zh-CN"/>
        </w:rPr>
      </w:pPr>
      <w:r>
        <w:rPr>
          <w:rFonts w:hint="eastAsia" w:ascii="宋体" w:hAnsi="Times New Roman" w:eastAsia="宋体" w:cs="Times New Roman"/>
          <w:b/>
          <w:bCs/>
          <w:sz w:val="24"/>
          <w:lang w:val="zh-CN" w:eastAsia="zh-CN"/>
        </w:rPr>
        <w:t xml:space="preserve">由采购人负责答复的质疑，采购人将《质疑答复函》抄送交易中心。</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en-US" w:eastAsia="zh-CN"/>
        </w:rPr>
        <w:t xml:space="preserve">36</w:t>
      </w:r>
      <w:r>
        <w:rPr>
          <w:rFonts w:hint="eastAsia" w:ascii="宋体" w:hAnsi="Times New Roman" w:eastAsia="宋体" w:cs="Times New Roman"/>
          <w:sz w:val="24"/>
          <w:lang w:eastAsia="zh-CN"/>
        </w:rPr>
        <w:t xml:space="preserve">.</w:t>
      </w:r>
      <w:r>
        <w:rPr>
          <w:rFonts w:hint="eastAsia" w:ascii="宋体" w:hAnsi="Times New Roman" w:eastAsia="宋体" w:cs="Times New Roman"/>
          <w:sz w:val="24"/>
          <w:lang w:val="zh-CN" w:eastAsia="zh-CN"/>
        </w:rPr>
        <w:t xml:space="preserve">以下情形的质疑不予受理：</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.1 内容不符合《政府采购质疑和投诉办法》第十二条规定的质疑。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.2 超出政府采购法定期限的质疑。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.3 以传真、电子邮件等方式递交的非原件形式的质疑。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.4 未参加采购活动或在采购活动中自身权益未受到损害的供应商所提出的质疑。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.5 供应商组成联合体参加采购活动，联合体中任何一方或多方未按要求签字</w:t>
      </w:r>
      <w:r>
        <w:rPr>
          <w:rFonts w:hint="eastAsia" w:ascii="宋体" w:hAnsi="Times New Roman" w:eastAsia="宋体" w:cs="Times New Roman"/>
          <w:sz w:val="24"/>
          <w:lang w:eastAsia="zh-CN"/>
        </w:rPr>
        <w:t xml:space="preserve">或签章</w:t>
      </w:r>
      <w:r>
        <w:rPr>
          <w:rFonts w:hint="eastAsia" w:ascii="宋体" w:hAnsi="Times New Roman" w:eastAsia="宋体" w:cs="Times New Roman"/>
          <w:sz w:val="24"/>
          <w:lang w:val="zh-CN" w:eastAsia="zh-CN"/>
        </w:rPr>
        <w:t xml:space="preserve">、加盖公章的质疑。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 法律法规规定的</w:t>
      </w:r>
      <w:r>
        <w:rPr>
          <w:rFonts w:hint="eastAsia" w:ascii="宋体" w:hAnsi="Times New Roman" w:eastAsia="宋体" w:cs="Times New Roman"/>
          <w:sz w:val="24"/>
          <w:lang w:eastAsia="zh-CN"/>
        </w:rPr>
        <w:t xml:space="preserve">其他</w:t>
      </w:r>
      <w:r>
        <w:rPr>
          <w:rFonts w:hint="eastAsia" w:ascii="宋体" w:hAnsi="Times New Roman" w:eastAsia="宋体" w:cs="Times New Roman"/>
          <w:sz w:val="24"/>
          <w:lang w:val="zh-CN" w:eastAsia="zh-CN"/>
        </w:rPr>
        <w:t xml:space="preserve">不予受理情形。</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7</w:t>
      </w:r>
      <w:r>
        <w:rPr>
          <w:rFonts w:hint="eastAsia" w:ascii="宋体" w:hAnsi="Times New Roman" w:eastAsia="宋体" w:cs="Times New Roman"/>
          <w:sz w:val="24"/>
          <w:lang w:eastAsia="zh-CN"/>
        </w:rPr>
        <w:t xml:space="preserve">.</w:t>
      </w:r>
      <w:r>
        <w:rPr>
          <w:rFonts w:hint="eastAsia" w:ascii="宋体" w:hAnsi="Times New Roman" w:eastAsia="宋体" w:cs="Times New Roman"/>
          <w:sz w:val="24"/>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20" w:after="120" w:line="240" w:lineRule="auto"/>
        <w:rPr>
          <w:rFonts w:hint="eastAsia" w:ascii="方正黑体_GBK" w:eastAsia="方正黑体_GBK" w:cs="方正黑体_GBK"/>
          <w:lang w:bidi="ar-SA"/>
        </w:rPr>
      </w:pPr>
      <w:r>
        <w:rPr>
          <w:rFonts w:hint="eastAsia" w:ascii="方正黑体_GBK" w:eastAsia="方正黑体_GBK" w:cs="方正黑体_GBK"/>
          <w:lang w:bidi="ar-SA"/>
        </w:rPr>
        <w:t xml:space="preserve">九、政策功能落实</w:t>
      </w:r>
      <w:r/>
    </w:p>
    <w:p>
      <w:pPr>
        <w:pStyle w:val="865"/>
        <w:ind w:firstLine="422"/>
        <w:spacing w:before="0" w:after="0" w:line="240" w:lineRule="auto"/>
        <w:rPr>
          <w:rFonts w:hint="eastAsia" w:ascii="方正楷体_GBK" w:eastAsia="方正楷体_GBK" w:cs="方正楷体_GBK"/>
          <w:sz w:val="28"/>
          <w:lang w:val="zh-CN" w:eastAsia="zh-CN" w:bidi="ar-SA"/>
        </w:rPr>
      </w:pPr>
      <w:r>
        <w:rPr>
          <w:rFonts w:hint="eastAsia" w:ascii="方正楷体_GBK" w:eastAsia="方正楷体_GBK" w:cs="方正楷体_GBK"/>
          <w:sz w:val="28"/>
          <w:lang w:val="zh-CN" w:eastAsia="zh-CN" w:bidi="ar-SA"/>
        </w:rPr>
        <w:t xml:space="preserve">3</w:t>
      </w:r>
      <w:r>
        <w:rPr>
          <w:rFonts w:hint="eastAsia" w:ascii="方正楷体_GBK" w:eastAsia="方正楷体_GBK" w:cs="方正楷体_GBK"/>
          <w:sz w:val="28"/>
          <w:lang w:val="en-US" w:eastAsia="zh-CN" w:bidi="ar-SA"/>
        </w:rPr>
        <w:t xml:space="preserve">8</w:t>
      </w:r>
      <w:r>
        <w:rPr>
          <w:rFonts w:hint="eastAsia" w:ascii="方正楷体_GBK" w:eastAsia="方正楷体_GBK" w:cs="方正楷体_GBK"/>
          <w:sz w:val="28"/>
          <w:lang w:val="zh-CN" w:eastAsia="zh-CN" w:bidi="ar-SA"/>
        </w:rPr>
        <w:t xml:space="preserve">.促进中小企业发展</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.1 本项目服务由中小企业承接的，投标供应商享受中小企业扶持政策。</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.3 中小企业参加政府采购活动，应当出具《中小企业声明函》，否则不享受相关中小企业支持政策。</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.4 以联合体形式参加政府采购活动，联合体各方均为中小企业的，联合体视同中小企业。其中，联合体各方均为小微企业的，联合体视同小微企业。</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.6 残疾人福利性单位视同小型、微型企业。按照《关于促进残疾人就业政府采购政策的通知》（财库〔2017〕141号）规定，残疾人福利单位需提供《残疾人福利性单位声明函》。</w:t>
      </w:r>
      <w:r/>
    </w:p>
    <w:p>
      <w:pPr>
        <w:spacing w:line="246" w:lineRule="auto"/>
        <w:rPr>
          <w:rFonts w:ascii="Arial"/>
          <w:sz w:val="21"/>
          <w:highlight w:val="none"/>
        </w:rPr>
      </w:pPr>
      <w:r>
        <w:rPr>
          <w:rFonts w:ascii="Arial"/>
          <w:sz w:val="21"/>
          <w:highlight w:val="none"/>
        </w:rPr>
      </w:r>
      <w:r/>
    </w:p>
    <w:p>
      <w:pPr>
        <w:rPr>
          <w:spacing w:val="11"/>
          <w:sz w:val="40"/>
          <w:szCs w:val="40"/>
          <w:highlight w:val="none"/>
          <w14:textOutline w14:w="7355" w14:cap="flat" w14:cmpd="sng">
            <w14:solidFill>
              <w14:srgbClr w14:val="000000"/>
            </w14:solidFill>
            <w14:prstDash w14:val="solid"/>
            <w14:miter/>
          </w14:textOutline>
        </w:rPr>
      </w:pPr>
      <w:r>
        <w:rPr>
          <w:spacing w:val="11"/>
          <w:sz w:val="40"/>
          <w:szCs w:val="40"/>
          <w:highlight w:val="none"/>
          <w14:textOutline w14:w="7355" w14:cap="flat" w14:cmpd="sng">
            <w14:solidFill>
              <w14:srgbClr w14:val="000000"/>
            </w14:solidFill>
            <w14:prstDash w14:val="solid"/>
            <w14:miter/>
          </w14:textOutline>
        </w:rPr>
        <w:br w:type="page" w:clear="all"/>
      </w:r>
      <w:r/>
    </w:p>
    <w:p>
      <w:pPr>
        <w:pStyle w:val="684"/>
        <w:ind w:left="3184"/>
        <w:spacing w:before="130" w:line="221" w:lineRule="auto"/>
        <w:rPr>
          <w:rFonts w:hint="eastAsia" w:eastAsia="宋体"/>
          <w:sz w:val="40"/>
          <w:szCs w:val="40"/>
          <w:highlight w:val="none"/>
          <w:lang w:eastAsia="zh-CN"/>
        </w:rPr>
        <w:outlineLvl w:val="0"/>
      </w:pPr>
      <w:r>
        <w:rPr>
          <w:spacing w:val="11"/>
          <w:sz w:val="40"/>
          <w:szCs w:val="40"/>
          <w:highlight w:val="none"/>
          <w14:textOutline w14:w="7355" w14:cap="flat" w14:cmpd="sng">
            <w14:solidFill>
              <w14:srgbClr w14:val="000000"/>
            </w14:solidFill>
            <w14:prstDash w14:val="solid"/>
            <w14:miter/>
          </w14:textOutline>
        </w:rPr>
        <w:t xml:space="preserve">第</w:t>
      </w:r>
      <w:r>
        <w:rPr>
          <w:rFonts w:hint="eastAsia"/>
          <w:spacing w:val="11"/>
          <w:sz w:val="40"/>
          <w:szCs w:val="40"/>
          <w:highlight w:val="none"/>
          <w:lang w:eastAsia="zh-CN"/>
          <w14:textOutline w14:w="7355" w14:cap="flat" w14:cmpd="sng">
            <w14:solidFill>
              <w14:srgbClr w14:val="000000"/>
            </w14:solidFill>
            <w14:prstDash w14:val="solid"/>
            <w14:miter/>
          </w14:textOutline>
        </w:rPr>
        <w:t xml:space="preserve">三</w:t>
      </w:r>
      <w:r>
        <w:rPr>
          <w:spacing w:val="11"/>
          <w:sz w:val="40"/>
          <w:szCs w:val="40"/>
          <w:highlight w:val="none"/>
          <w14:textOutline w14:w="7355" w14:cap="flat" w14:cmpd="sng">
            <w14:solidFill>
              <w14:srgbClr w14:val="000000"/>
            </w14:solidFill>
            <w14:prstDash w14:val="solid"/>
            <w14:miter/>
          </w14:textOutline>
        </w:rPr>
        <w:t xml:space="preserve">章</w:t>
      </w:r>
      <w:r>
        <w:rPr>
          <w:spacing w:val="75"/>
          <w:sz w:val="40"/>
          <w:szCs w:val="40"/>
          <w:highlight w:val="none"/>
        </w:rPr>
        <w:t xml:space="preserve"> </w:t>
      </w:r>
      <w:r>
        <w:rPr>
          <w:spacing w:val="11"/>
          <w:sz w:val="40"/>
          <w:szCs w:val="40"/>
          <w:highlight w:val="none"/>
          <w14:textOutline w14:w="7355" w14:cap="flat" w14:cmpd="sng">
            <w14:solidFill>
              <w14:srgbClr w14:val="000000"/>
            </w14:solidFill>
            <w14:prstDash w14:val="solid"/>
            <w14:miter/>
          </w14:textOutline>
        </w:rPr>
        <w:t xml:space="preserve">合同</w:t>
      </w:r>
      <w:r>
        <w:rPr>
          <w:rFonts w:hint="eastAsia"/>
          <w:spacing w:val="11"/>
          <w:sz w:val="40"/>
          <w:szCs w:val="40"/>
          <w:highlight w:val="none"/>
          <w:lang w:eastAsia="zh-CN"/>
          <w14:textOutline w14:w="7355" w14:cap="flat" w14:cmpd="sng">
            <w14:solidFill>
              <w14:srgbClr w14:val="000000"/>
            </w14:solidFill>
            <w14:prstDash w14:val="solid"/>
            <w14:miter/>
          </w14:textOutline>
        </w:rPr>
        <w:t xml:space="preserve">文本</w:t>
      </w:r>
      <w:r/>
    </w:p>
    <w:p>
      <w:pPr>
        <w:spacing w:line="276" w:lineRule="auto"/>
        <w:rPr>
          <w:rFonts w:ascii="Arial"/>
          <w:sz w:val="21"/>
          <w:highlight w:val="none"/>
        </w:rPr>
      </w:pPr>
      <w:r>
        <w:rPr>
          <w:rFonts w:ascii="Arial"/>
          <w:sz w:val="21"/>
          <w:highlight w:val="none"/>
        </w:rPr>
      </w:r>
      <w:r/>
    </w:p>
    <w:p>
      <w:pPr>
        <w:jc w:val="center"/>
        <w:spacing w:before="120" w:after="120" w:line="264" w:lineRule="auto"/>
        <w:widowControl w:val="off"/>
        <w:rPr>
          <w:rFonts w:hint="eastAsia" w:ascii="宋体" w:hAnsi="宋体" w:eastAsia="宋体" w:cs="Times New Roman"/>
          <w:bCs/>
          <w:sz w:val="24"/>
          <w:highlight w:val="none"/>
          <w:lang w:eastAsia="zh-CN"/>
        </w:rPr>
        <w:outlineLvl w:val="9"/>
      </w:pPr>
      <w:r>
        <w:rPr>
          <w:rFonts w:hint="eastAsia" w:ascii="宋体" w:hAnsi="宋体" w:eastAsia="宋体" w:cs="Times New Roman"/>
          <w:bCs/>
          <w:sz w:val="24"/>
          <w:highlight w:val="none"/>
          <w:lang w:eastAsia="zh-CN"/>
        </w:rPr>
        <w:t xml:space="preserve">以下为本项目的合同条款，合同双方不得对招标、投标文件内容作实质性修改。</w:t>
      </w:r>
      <w:r/>
    </w:p>
    <w:p>
      <w:pPr>
        <w:jc w:val="center"/>
        <w:spacing w:line="360" w:lineRule="auto"/>
        <w:widowControl w:val="off"/>
        <w:rPr>
          <w:rFonts w:hint="eastAsia" w:ascii="黑体" w:hAnsi="黑体" w:eastAsia="黑体" w:cs="黑体"/>
          <w:b w:val="0"/>
          <w:bCs w:val="0"/>
          <w:sz w:val="32"/>
          <w:szCs w:val="32"/>
          <w:highlight w:val="none"/>
          <w:lang w:eastAsia="zh-CN"/>
        </w:rPr>
        <w:outlineLvl w:val="9"/>
      </w:pPr>
      <w:r>
        <w:rPr>
          <w:rFonts w:hint="eastAsia" w:ascii="黑体" w:hAnsi="黑体" w:eastAsia="黑体" w:cs="黑体"/>
          <w:b w:val="0"/>
          <w:bCs w:val="0"/>
          <w:sz w:val="32"/>
          <w:szCs w:val="32"/>
          <w:highlight w:val="none"/>
          <w:lang w:eastAsia="zh-CN"/>
        </w:rPr>
        <w:t xml:space="preserve">南京市政府采购合同（服务）</w:t>
      </w:r>
      <w:r/>
    </w:p>
    <w:p>
      <w:pPr>
        <w:jc w:val="left"/>
        <w:keepLines w:val="0"/>
        <w:keepNext w:val="0"/>
        <w:pageBreakBefore w:val="0"/>
        <w:spacing w:before="145" w:after="145"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合同编号：</w:t>
      </w:r>
      <w:r/>
    </w:p>
    <w:p>
      <w:pPr>
        <w:jc w:val="left"/>
        <w:keepLines w:val="0"/>
        <w:keepNext w:val="0"/>
        <w:pageBreakBefore w:val="0"/>
        <w:spacing w:before="145" w:after="145"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项目名称： </w:t>
      </w:r>
      <w:r>
        <w:rPr>
          <w:rFonts w:hint="eastAsia" w:ascii="宋体" w:hAnsi="宋体" w:eastAsia="宋体" w:cs="Courier New"/>
          <w:b w:val="0"/>
          <w:color w:val="000000"/>
          <w:sz w:val="24"/>
          <w:szCs w:val="24"/>
          <w:highlight w:val="none"/>
          <w:lang w:val="en-US" w:eastAsia="zh-CN"/>
        </w:rPr>
        <w:t xml:space="preserve">                               </w:t>
      </w:r>
      <w:r>
        <w:rPr>
          <w:rFonts w:hint="eastAsia" w:ascii="宋体" w:hAnsi="宋体" w:eastAsia="宋体" w:cs="Courier New"/>
          <w:b w:val="0"/>
          <w:color w:val="000000"/>
          <w:sz w:val="24"/>
          <w:szCs w:val="24"/>
          <w:highlight w:val="none"/>
          <w:lang w:eastAsia="zh-CN"/>
        </w:rPr>
        <w:t xml:space="preserve">项目编号：</w:t>
      </w:r>
      <w:r/>
    </w:p>
    <w:p>
      <w:pPr>
        <w:jc w:val="left"/>
        <w:keepLines w:val="0"/>
        <w:keepNext w:val="0"/>
        <w:pageBreakBefore w:val="0"/>
        <w:spacing w:before="145" w:after="145"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甲方：（买方）</w:t>
      </w:r>
      <w:r/>
    </w:p>
    <w:p>
      <w:pPr>
        <w:jc w:val="left"/>
        <w:keepLines w:val="0"/>
        <w:keepNext w:val="0"/>
        <w:pageBreakBefore w:val="0"/>
        <w:spacing w:before="145" w:after="145"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乙方：（卖方）</w:t>
      </w:r>
      <w:r/>
    </w:p>
    <w:p>
      <w:pPr>
        <w:ind w:firstLine="480"/>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甲、乙双方根据南京市公共资源交易中心浦口分中心组织的____________________项目</w:t>
      </w:r>
      <w:r>
        <w:rPr>
          <w:rFonts w:hint="eastAsia" w:ascii="宋体" w:hAnsi="宋体" w:eastAsia="宋体" w:cs="Courier New"/>
          <w:b w:val="0"/>
          <w:color w:val="000000"/>
          <w:sz w:val="24"/>
          <w:szCs w:val="24"/>
          <w:highlight w:val="none"/>
          <w:lang w:val="en-US" w:eastAsia="zh-CN"/>
        </w:rPr>
        <w:t xml:space="preserve">公开招标的</w:t>
      </w:r>
      <w:r>
        <w:rPr>
          <w:rFonts w:hint="eastAsia" w:ascii="宋体" w:hAnsi="宋体" w:eastAsia="宋体" w:cs="Courier New"/>
          <w:b w:val="0"/>
          <w:color w:val="000000"/>
          <w:sz w:val="24"/>
          <w:szCs w:val="24"/>
          <w:highlight w:val="none"/>
          <w:lang w:eastAsia="zh-CN"/>
        </w:rPr>
        <w:t xml:space="preserve">结果，签署本合同。</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一、合同内容</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1.1 标的名称：</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1.2 标的质量：按招标文件及投标文件执行。</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1.3 标的数量（规模）：</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1.4 履行时间（期限）：</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1.5 履行地点：采购人指定地点。</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1.6 履行方式：按招标文件及投标文件执行。</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二、合同金额</w:t>
      </w:r>
      <w:r/>
    </w:p>
    <w:p>
      <w:pPr>
        <w:jc w:val="left"/>
        <w:keepLines w:val="0"/>
        <w:keepNext w:val="0"/>
        <w:pageBreakBefore w:val="0"/>
        <w:spacing w:line="360" w:lineRule="auto"/>
        <w:widowControl w:val="off"/>
        <w:rPr>
          <w:rFonts w:hint="default" w:ascii="宋体" w:hAnsi="宋体" w:eastAsia="宋体" w:cs="Courier New"/>
          <w:b w:val="0"/>
          <w:color w:val="000000"/>
          <w:sz w:val="24"/>
          <w:szCs w:val="24"/>
          <w:highlight w:val="none"/>
          <w:lang w:val="zh-CN" w:eastAsia="zh-CN"/>
        </w:rPr>
        <w:outlineLvl w:val="9"/>
      </w:pPr>
      <w:r>
        <w:rPr>
          <w:rFonts w:hint="eastAsia" w:ascii="宋体" w:hAnsi="宋体" w:eastAsia="宋体" w:cs="Courier New"/>
          <w:b w:val="0"/>
          <w:color w:val="000000"/>
          <w:sz w:val="24"/>
          <w:szCs w:val="24"/>
          <w:highlight w:val="none"/>
          <w:lang w:eastAsia="zh-CN"/>
        </w:rPr>
        <w:t xml:space="preserve">2.1 </w:t>
      </w:r>
      <w:r>
        <w:rPr>
          <w:rFonts w:hint="eastAsia" w:ascii="宋体" w:hAnsi="宋体" w:eastAsia="宋体" w:cs="Courier New"/>
          <w:b w:val="0"/>
          <w:color w:val="000000"/>
          <w:sz w:val="24"/>
          <w:szCs w:val="24"/>
          <w:highlight w:val="none"/>
          <w:lang w:val="zh-CN" w:eastAsia="zh-CN"/>
        </w:rPr>
        <w:t xml:space="preserve">本合同项下服务单价为</w:t>
      </w:r>
      <w:r>
        <w:rPr>
          <w:rFonts w:hint="default" w:ascii="宋体" w:hAnsi="宋体" w:eastAsia="宋体" w:cs="Courier New"/>
          <w:b w:val="0"/>
          <w:color w:val="000000"/>
          <w:sz w:val="24"/>
          <w:szCs w:val="24"/>
          <w:highlight w:val="none"/>
          <w:lang w:val="zh-CN" w:eastAsia="zh-CN"/>
        </w:rPr>
        <w:t xml:space="preserve">___________</w:t>
      </w:r>
      <w:r>
        <w:rPr>
          <w:rFonts w:hint="eastAsia" w:ascii="宋体" w:hAnsi="宋体" w:eastAsia="宋体" w:cs="Courier New"/>
          <w:b w:val="0"/>
          <w:color w:val="000000"/>
          <w:sz w:val="24"/>
          <w:szCs w:val="24"/>
          <w:highlight w:val="none"/>
          <w:lang w:val="zh-CN" w:eastAsia="zh-CN"/>
        </w:rPr>
        <w:t xml:space="preserve">（大写）人民币，具体需求量由学校与乙方确定。</w:t>
      </w:r>
      <w:r/>
    </w:p>
    <w:p>
      <w:pPr>
        <w:jc w:val="left"/>
        <w:keepLines w:val="0"/>
        <w:keepNext w:val="0"/>
        <w:pageBreakBefore w:val="0"/>
        <w:spacing w:line="360" w:lineRule="auto"/>
        <w:widowControl w:val="off"/>
        <w:rPr>
          <w:rFonts w:hint="default"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val="zh-CN" w:eastAsia="zh-CN"/>
        </w:rPr>
        <w:t xml:space="preserve">本合同价款是完成本项目所发生的所有含税费用、支付给员工的工资和国家强制缴纳的各种社会保障资金</w:t>
      </w:r>
      <w:r>
        <w:rPr>
          <w:rFonts w:hint="eastAsia" w:ascii="宋体" w:hAnsi="宋体" w:eastAsia="宋体" w:cs="Courier New"/>
          <w:b w:val="0"/>
          <w:color w:val="000000"/>
          <w:sz w:val="24"/>
          <w:szCs w:val="24"/>
          <w:highlight w:val="none"/>
          <w:lang w:eastAsia="zh-CN"/>
        </w:rPr>
        <w:t xml:space="preserve">，以及投标人认为需要的其他费用等</w:t>
      </w:r>
      <w:r>
        <w:rPr>
          <w:rFonts w:hint="eastAsia" w:ascii="宋体" w:hAnsi="宋体" w:eastAsia="宋体" w:cs="Courier New"/>
          <w:b w:val="0"/>
          <w:color w:val="000000"/>
          <w:sz w:val="24"/>
          <w:szCs w:val="24"/>
          <w:highlight w:val="none"/>
          <w:lang w:val="zh-CN" w:eastAsia="zh-CN"/>
        </w:rPr>
        <w:t xml:space="preserve">。</w:t>
      </w:r>
      <w:r/>
    </w:p>
    <w:p>
      <w:pPr>
        <w:jc w:val="left"/>
        <w:keepLines w:val="0"/>
        <w:keepNext w:val="0"/>
        <w:pageBreakBefore w:val="0"/>
        <w:spacing w:line="360" w:lineRule="auto"/>
        <w:widowControl w:val="off"/>
        <w:rPr>
          <w:rFonts w:hint="default" w:ascii="宋体" w:hAnsi="宋体" w:eastAsia="宋体" w:cs="Courier New"/>
          <w:b w:val="0"/>
          <w:color w:val="000000"/>
          <w:sz w:val="24"/>
          <w:szCs w:val="24"/>
          <w:highlight w:val="none"/>
          <w:lang w:val="en-US" w:eastAsia="zh-CN"/>
        </w:rPr>
        <w:outlineLvl w:val="9"/>
      </w:pPr>
      <w:r>
        <w:rPr>
          <w:rFonts w:hint="eastAsia" w:ascii="宋体" w:hAnsi="宋体" w:eastAsia="宋体" w:cs="Courier New"/>
          <w:b w:val="0"/>
          <w:color w:val="000000"/>
          <w:sz w:val="24"/>
          <w:szCs w:val="24"/>
          <w:highlight w:val="none"/>
          <w:lang w:val="zh-CN" w:eastAsia="zh-CN"/>
        </w:rPr>
        <w:t xml:space="preserve">本合同执行期间服务单价不变。</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三、技术资料</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3.1 乙方应按招标文件规定的时间向甲方提供服务（包含与服务相关的货物）的有关技术资料。</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四、知识产权</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五、产权担保</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5.1 乙方保证所交付的服务（包含与服务相关的货物）的所有权完全属于乙方且无任何抵押、查封等产权瑕疵。</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六、履约保证金</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6.1 本项目乙方无需缴纳履约保证金。</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七、合同转包或分包</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7.1 乙方不得将合同标的转包给他人履行。</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7.2 乙方不得将合同标的分包给他人履行。</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7.3 乙方如有转包或未经甲方同意的分包行为，甲方有权终止合同。</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八、合同款项支付</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8.1 合同款项的支付方式及时间</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8.1.1本合同项下所有款项均以人民币支付。</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8.1.2本合同项下的采购资金由乙方开具发票，甲方按照约定支付。</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8.2 根据工业和信息化部关于印发《保障中小企业款项支付投诉处理暂行办法》的通知（工信部企业〔2021〕224 号），甲方未按合同约定支付款项的，乙方可以向有关部门投诉。</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九、税费</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9.1 本合同执行中的相关税费均由乙方负担。</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十、项目验收</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10.1 甲方依法组织履约验收工作。</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10.3 对于实际使用人和甲方分离的项目，甲方邀请实际使用人参与验收。</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10.4 如有必要，甲方可邀请参加本项目投标的其他供应商或第三方专业机构及专家参与验收，相关意见将作为验收结论的参考。</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挂钩。履约验收的各项资料存档备查。</w:t>
      </w:r>
      <w:r/>
    </w:p>
    <w:p>
      <w:pPr>
        <w:jc w:val="left"/>
        <w:keepLines w:val="0"/>
        <w:keepNext w:val="0"/>
        <w:pageBreakBefore w:val="0"/>
        <w:spacing w:line="360" w:lineRule="auto"/>
        <w:widowControl w:val="off"/>
        <w:rPr>
          <w:rFonts w:hint="eastAsia"/>
          <w:lang w:eastAsia="zh-CN"/>
        </w:rPr>
        <w:outlineLvl w:val="9"/>
      </w:pPr>
      <w:r>
        <w:rPr>
          <w:rFonts w:hint="eastAsia" w:ascii="宋体" w:hAnsi="宋体" w:eastAsia="宋体" w:cs="Courier New"/>
          <w:b w:val="0"/>
          <w:color w:val="000000"/>
          <w:sz w:val="24"/>
          <w:szCs w:val="24"/>
          <w:highlight w:val="none"/>
          <w:lang w:eastAsia="zh-CN"/>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十一、违约责任</w:t>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Courier New"/>
          <w:b w:val="0"/>
          <w:color w:val="000000"/>
          <w:sz w:val="24"/>
          <w:szCs w:val="24"/>
          <w:highlight w:val="none"/>
          <w:lang w:val="en-US" w:eastAsia="zh-CN"/>
        </w:rPr>
        <w:outlineLvl w:val="9"/>
        <w:suppressLineNumbers w:val="0"/>
      </w:pPr>
      <w:r>
        <w:rPr>
          <w:rFonts w:hint="eastAsia" w:ascii="宋体" w:hAnsi="宋体" w:eastAsia="宋体" w:cs="Courier New"/>
          <w:b w:val="0"/>
          <w:color w:val="000000"/>
          <w:sz w:val="24"/>
          <w:szCs w:val="24"/>
          <w:highlight w:val="none"/>
          <w:lang w:eastAsia="zh-CN"/>
        </w:rPr>
        <w:t xml:space="preserve">1</w:t>
      </w:r>
      <w:r>
        <w:rPr>
          <w:rFonts w:hint="eastAsia" w:ascii="宋体" w:hAnsi="宋体" w:eastAsia="宋体" w:cs="Courier New"/>
          <w:b w:val="0"/>
          <w:color w:val="000000"/>
          <w:sz w:val="24"/>
          <w:szCs w:val="24"/>
          <w:highlight w:val="none"/>
          <w:lang w:val="en-US" w:eastAsia="zh-CN"/>
        </w:rPr>
        <w:t xml:space="preserve">1</w:t>
      </w:r>
      <w:r>
        <w:rPr>
          <w:rFonts w:hint="eastAsia" w:ascii="宋体" w:hAnsi="宋体" w:eastAsia="宋体" w:cs="Courier New"/>
          <w:b w:val="0"/>
          <w:color w:val="000000"/>
          <w:sz w:val="24"/>
          <w:szCs w:val="24"/>
          <w:highlight w:val="none"/>
          <w:lang w:eastAsia="zh-CN"/>
        </w:rPr>
        <w:t xml:space="preserve">.1 甲方无正当理由拒绝接受乙方提供服务的，应向乙方偿付拒绝接受服务合同总额</w:t>
      </w:r>
      <w:r>
        <w:rPr>
          <w:rFonts w:hint="eastAsia" w:ascii="宋体" w:hAnsi="宋体" w:eastAsia="宋体" w:cs="Courier New"/>
          <w:b w:val="0"/>
          <w:color w:val="000000"/>
          <w:sz w:val="24"/>
          <w:szCs w:val="24"/>
          <w:highlight w:val="none"/>
          <w:u w:val="single"/>
          <w:lang w:val="en-US" w:eastAsia="zh-CN"/>
        </w:rPr>
        <w:t xml:space="preserve">  5% </w:t>
      </w:r>
      <w:r>
        <w:rPr>
          <w:rFonts w:hint="eastAsia" w:ascii="宋体" w:hAnsi="宋体" w:eastAsia="宋体" w:cs="Courier New"/>
          <w:b w:val="0"/>
          <w:color w:val="000000"/>
          <w:sz w:val="24"/>
          <w:szCs w:val="24"/>
          <w:highlight w:val="none"/>
          <w:u w:val="single"/>
          <w:lang w:eastAsia="zh-CN"/>
        </w:rPr>
        <w:t xml:space="preserve"> </w:t>
      </w:r>
      <w:r>
        <w:rPr>
          <w:rFonts w:hint="eastAsia" w:ascii="宋体" w:hAnsi="宋体" w:eastAsia="宋体" w:cs="Courier New"/>
          <w:b w:val="0"/>
          <w:color w:val="000000"/>
          <w:sz w:val="24"/>
          <w:szCs w:val="24"/>
          <w:highlight w:val="none"/>
          <w:lang w:val="en-US" w:eastAsia="zh-CN"/>
        </w:rPr>
        <w:t xml:space="preserve">的违约金。</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Courier New"/>
          <w:b w:val="0"/>
          <w:color w:val="000000"/>
          <w:sz w:val="24"/>
          <w:szCs w:val="24"/>
          <w:highlight w:val="none"/>
          <w:lang w:eastAsia="zh-CN"/>
        </w:rPr>
        <w:outlineLvl w:val="9"/>
        <w:suppressLineNumbers w:val="0"/>
      </w:pPr>
      <w:r>
        <w:rPr>
          <w:rFonts w:hint="eastAsia" w:ascii="宋体" w:hAnsi="宋体" w:eastAsia="宋体" w:cs="Courier New"/>
          <w:b w:val="0"/>
          <w:color w:val="000000"/>
          <w:sz w:val="24"/>
          <w:szCs w:val="24"/>
          <w:highlight w:val="none"/>
          <w:lang w:eastAsia="zh-CN"/>
        </w:rPr>
        <w:t xml:space="preserve">1</w:t>
      </w:r>
      <w:r>
        <w:rPr>
          <w:rFonts w:hint="eastAsia" w:ascii="宋体" w:hAnsi="宋体" w:eastAsia="宋体" w:cs="Courier New"/>
          <w:b w:val="0"/>
          <w:color w:val="000000"/>
          <w:sz w:val="24"/>
          <w:szCs w:val="24"/>
          <w:highlight w:val="none"/>
          <w:lang w:val="en-US" w:eastAsia="zh-CN"/>
        </w:rPr>
        <w:t xml:space="preserve">1</w:t>
      </w:r>
      <w:r>
        <w:rPr>
          <w:rFonts w:hint="eastAsia" w:ascii="宋体" w:hAnsi="宋体" w:eastAsia="宋体" w:cs="Courier New"/>
          <w:b w:val="0"/>
          <w:color w:val="000000"/>
          <w:sz w:val="24"/>
          <w:szCs w:val="24"/>
          <w:highlight w:val="none"/>
          <w:lang w:eastAsia="zh-CN"/>
        </w:rPr>
        <w:t xml:space="preserve">.2 甲方无故逾期验收和办理支付手续的，应按逾期付款总额每日</w:t>
      </w:r>
      <w:r>
        <w:rPr>
          <w:rFonts w:hint="eastAsia" w:ascii="宋体" w:hAnsi="宋体" w:eastAsia="宋体" w:cs="Courier New"/>
          <w:b w:val="0"/>
          <w:color w:val="000000"/>
          <w:sz w:val="24"/>
          <w:szCs w:val="24"/>
          <w:highlight w:val="none"/>
          <w:u w:val="single"/>
          <w:lang w:eastAsia="zh-CN"/>
        </w:rPr>
        <w:t xml:space="preserve">  </w:t>
      </w:r>
      <w:r>
        <w:rPr>
          <w:rFonts w:hint="eastAsia" w:ascii="宋体" w:hAnsi="宋体" w:eastAsia="宋体" w:cs="Courier New"/>
          <w:b w:val="0"/>
          <w:color w:val="000000"/>
          <w:sz w:val="24"/>
          <w:szCs w:val="24"/>
          <w:highlight w:val="none"/>
          <w:u w:val="single"/>
          <w:lang w:val="en-US" w:eastAsia="zh-CN"/>
        </w:rPr>
        <w:t xml:space="preserve">5‰</w:t>
      </w:r>
      <w:r>
        <w:rPr>
          <w:rFonts w:hint="eastAsia" w:ascii="宋体" w:hAnsi="宋体" w:eastAsia="宋体" w:cs="Courier New"/>
          <w:b w:val="0"/>
          <w:color w:val="000000"/>
          <w:sz w:val="24"/>
          <w:szCs w:val="24"/>
          <w:highlight w:val="none"/>
          <w:u w:val="single"/>
          <w:lang w:eastAsia="zh-CN"/>
        </w:rPr>
        <w:t xml:space="preserve">  </w:t>
      </w:r>
      <w:r>
        <w:rPr>
          <w:rFonts w:hint="eastAsia" w:ascii="宋体" w:hAnsi="宋体" w:eastAsia="宋体" w:cs="Courier New"/>
          <w:b w:val="0"/>
          <w:color w:val="000000"/>
          <w:sz w:val="24"/>
          <w:szCs w:val="24"/>
          <w:highlight w:val="none"/>
          <w:lang w:eastAsia="zh-CN"/>
        </w:rPr>
        <w:t xml:space="preserve">向乙方支付违约金。</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Courier New"/>
          <w:b w:val="0"/>
          <w:color w:val="000000"/>
          <w:sz w:val="24"/>
          <w:szCs w:val="24"/>
          <w:highlight w:val="none"/>
          <w:lang w:eastAsia="zh-CN"/>
        </w:rPr>
        <w:outlineLvl w:val="9"/>
        <w:suppressLineNumbers w:val="0"/>
      </w:pPr>
      <w:r>
        <w:rPr>
          <w:rFonts w:hint="eastAsia" w:ascii="宋体" w:hAnsi="宋体" w:eastAsia="宋体" w:cs="Courier New"/>
          <w:b w:val="0"/>
          <w:color w:val="000000"/>
          <w:sz w:val="24"/>
          <w:szCs w:val="24"/>
          <w:highlight w:val="none"/>
          <w:lang w:eastAsia="zh-CN"/>
        </w:rPr>
        <w:t xml:space="preserve">1</w:t>
      </w:r>
      <w:r>
        <w:rPr>
          <w:rFonts w:hint="eastAsia" w:ascii="宋体" w:hAnsi="宋体" w:eastAsia="宋体" w:cs="Courier New"/>
          <w:b w:val="0"/>
          <w:color w:val="000000"/>
          <w:sz w:val="24"/>
          <w:szCs w:val="24"/>
          <w:highlight w:val="none"/>
          <w:lang w:val="en-US" w:eastAsia="zh-CN"/>
        </w:rPr>
        <w:t xml:space="preserve">1</w:t>
      </w:r>
      <w:r>
        <w:rPr>
          <w:rFonts w:hint="eastAsia" w:ascii="宋体" w:hAnsi="宋体" w:eastAsia="宋体" w:cs="Courier New"/>
          <w:b w:val="0"/>
          <w:color w:val="000000"/>
          <w:sz w:val="24"/>
          <w:szCs w:val="24"/>
          <w:highlight w:val="none"/>
          <w:lang w:eastAsia="zh-CN"/>
        </w:rPr>
        <w:t xml:space="preserve">.3 乙方逾期提供服务的，应按逾期提供服务合同总额每日</w:t>
      </w:r>
      <w:r>
        <w:rPr>
          <w:rFonts w:hint="eastAsia" w:ascii="宋体" w:hAnsi="宋体" w:eastAsia="宋体" w:cs="Courier New"/>
          <w:b w:val="0"/>
          <w:color w:val="000000"/>
          <w:sz w:val="24"/>
          <w:szCs w:val="24"/>
          <w:highlight w:val="none"/>
          <w:u w:val="single"/>
          <w:lang w:eastAsia="zh-CN"/>
        </w:rPr>
        <w:t xml:space="preserve">  </w:t>
      </w:r>
      <w:r>
        <w:rPr>
          <w:rFonts w:hint="eastAsia" w:ascii="宋体" w:hAnsi="宋体" w:eastAsia="宋体" w:cs="Courier New"/>
          <w:b w:val="0"/>
          <w:color w:val="000000"/>
          <w:sz w:val="24"/>
          <w:szCs w:val="24"/>
          <w:highlight w:val="none"/>
          <w:u w:val="single"/>
          <w:lang w:val="en-US" w:eastAsia="zh-CN"/>
        </w:rPr>
        <w:t xml:space="preserve">5‰  </w:t>
      </w:r>
      <w:r>
        <w:rPr>
          <w:rFonts w:hint="eastAsia" w:ascii="宋体" w:hAnsi="宋体" w:eastAsia="宋体" w:cs="Courier New"/>
          <w:b w:val="0"/>
          <w:color w:val="000000"/>
          <w:sz w:val="24"/>
          <w:szCs w:val="24"/>
          <w:highlight w:val="none"/>
          <w:u w:val="none"/>
          <w:lang w:val="en-US" w:eastAsia="zh-CN"/>
        </w:rPr>
        <w:t xml:space="preserve">向</w:t>
      </w:r>
      <w:r>
        <w:rPr>
          <w:rFonts w:hint="eastAsia" w:ascii="宋体" w:hAnsi="宋体" w:eastAsia="宋体" w:cs="Courier New"/>
          <w:b w:val="0"/>
          <w:color w:val="000000"/>
          <w:sz w:val="24"/>
          <w:szCs w:val="24"/>
          <w:highlight w:val="none"/>
          <w:lang w:eastAsia="zh-CN"/>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eastAsia="宋体" w:cs="Courier New"/>
          <w:b w:val="0"/>
          <w:color w:val="000000"/>
          <w:sz w:val="24"/>
          <w:szCs w:val="24"/>
          <w:highlight w:val="none"/>
          <w:lang w:val="en-US" w:eastAsia="zh-CN"/>
        </w:rPr>
        <w:t xml:space="preserve">额</w:t>
      </w:r>
      <w:r>
        <w:rPr>
          <w:rFonts w:hint="eastAsia" w:ascii="宋体" w:hAnsi="宋体" w:eastAsia="宋体" w:cs="Courier New"/>
          <w:b w:val="0"/>
          <w:color w:val="000000"/>
          <w:sz w:val="24"/>
          <w:szCs w:val="24"/>
          <w:highlight w:val="none"/>
          <w:u w:val="single"/>
          <w:lang w:eastAsia="zh-CN"/>
        </w:rPr>
        <w:t xml:space="preserve"> </w:t>
      </w:r>
      <w:r>
        <w:rPr>
          <w:rFonts w:hint="eastAsia" w:ascii="宋体" w:hAnsi="宋体" w:eastAsia="宋体" w:cs="Courier New"/>
          <w:b w:val="0"/>
          <w:color w:val="000000"/>
          <w:sz w:val="24"/>
          <w:szCs w:val="24"/>
          <w:highlight w:val="none"/>
          <w:u w:val="single"/>
          <w:lang w:val="en-US" w:eastAsia="zh-CN"/>
        </w:rPr>
        <w:t xml:space="preserve"> 5%  </w:t>
      </w:r>
      <w:r>
        <w:rPr>
          <w:rFonts w:hint="eastAsia" w:ascii="宋体" w:hAnsi="宋体" w:eastAsia="宋体" w:cs="Courier New"/>
          <w:b w:val="0"/>
          <w:color w:val="000000"/>
          <w:sz w:val="24"/>
          <w:szCs w:val="24"/>
          <w:highlight w:val="none"/>
          <w:lang w:eastAsia="zh-CN"/>
        </w:rPr>
        <w:t xml:space="preserve">的违约金。</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Courier New"/>
          <w:b w:val="0"/>
          <w:color w:val="000000"/>
          <w:sz w:val="24"/>
          <w:szCs w:val="24"/>
          <w:highlight w:val="none"/>
          <w:lang w:eastAsia="zh-CN"/>
        </w:rPr>
        <w:outlineLvl w:val="9"/>
        <w:suppressLineNumbers w:val="0"/>
      </w:pPr>
      <w:r>
        <w:rPr>
          <w:rFonts w:hint="eastAsia" w:ascii="宋体" w:hAnsi="宋体" w:eastAsia="宋体" w:cs="Courier New"/>
          <w:b w:val="0"/>
          <w:color w:val="000000"/>
          <w:sz w:val="24"/>
          <w:szCs w:val="24"/>
          <w:highlight w:val="none"/>
          <w:lang w:eastAsia="zh-CN"/>
        </w:rPr>
        <w:t xml:space="preserve">1</w:t>
      </w:r>
      <w:r>
        <w:rPr>
          <w:rFonts w:hint="eastAsia" w:ascii="宋体" w:hAnsi="宋体" w:eastAsia="宋体" w:cs="Courier New"/>
          <w:b w:val="0"/>
          <w:color w:val="000000"/>
          <w:sz w:val="24"/>
          <w:szCs w:val="24"/>
          <w:highlight w:val="none"/>
          <w:lang w:val="en-US" w:eastAsia="zh-CN"/>
        </w:rPr>
        <w:t xml:space="preserve">1</w:t>
      </w:r>
      <w:r>
        <w:rPr>
          <w:rFonts w:hint="eastAsia" w:ascii="宋体" w:hAnsi="宋体" w:eastAsia="宋体" w:cs="Courier New"/>
          <w:b w:val="0"/>
          <w:color w:val="000000"/>
          <w:sz w:val="24"/>
          <w:szCs w:val="24"/>
          <w:highlight w:val="none"/>
          <w:lang w:eastAsia="zh-CN"/>
        </w:rPr>
        <w:t xml:space="preserve">.4 乙方所提供服务的标准不符合合同规定及</w:t>
      </w:r>
      <w:r>
        <w:rPr>
          <w:rFonts w:hint="eastAsia" w:ascii="宋体" w:hAnsi="宋体" w:eastAsia="宋体" w:cs="Courier New"/>
          <w:b w:val="0"/>
          <w:color w:val="000000"/>
          <w:sz w:val="24"/>
          <w:szCs w:val="24"/>
          <w:highlight w:val="none"/>
          <w:lang w:val="en-US" w:eastAsia="zh-CN"/>
        </w:rPr>
        <w:t xml:space="preserve">招标</w:t>
      </w:r>
      <w:r>
        <w:rPr>
          <w:rFonts w:hint="eastAsia" w:ascii="宋体" w:hAnsi="宋体" w:eastAsia="宋体" w:cs="Courier New"/>
          <w:b w:val="0"/>
          <w:color w:val="000000"/>
          <w:sz w:val="24"/>
          <w:szCs w:val="24"/>
          <w:highlight w:val="none"/>
          <w:lang w:eastAsia="zh-CN"/>
        </w:rPr>
        <w:t xml:space="preserve">文件规定标准的，甲方有权拒绝接受服务，并可单方面解除合同。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Courier New"/>
          <w:b w:val="0"/>
          <w:color w:val="000000"/>
          <w:sz w:val="24"/>
          <w:szCs w:val="24"/>
          <w:highlight w:val="none"/>
          <w:lang w:eastAsia="zh-CN"/>
        </w:rPr>
        <w:outlineLvl w:val="9"/>
        <w:suppressLineNumbers w:val="0"/>
      </w:pPr>
      <w:r>
        <w:rPr>
          <w:rFonts w:hint="eastAsia" w:ascii="宋体" w:hAnsi="宋体" w:eastAsia="宋体" w:cs="Courier New"/>
          <w:b w:val="0"/>
          <w:color w:val="000000"/>
          <w:sz w:val="24"/>
          <w:szCs w:val="24"/>
          <w:highlight w:val="none"/>
          <w:lang w:val="en-US" w:eastAsia="zh-CN"/>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十二、不可抗力事件处理</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12.1 在合同有效期内，任何一方因不可抗力事件导致不能履行合同，则合同履行期可延长，其延长期与不可抗力影响期相同。</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12.2 不可抗力事件发生后，应立即通知对方并寄送有关权威机构出具的证明。</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12.3 不可抗力事件延续120天以上，双方应通过友好协商，确定是否继续履行合同。</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十三、解决争议的方法</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13.1 双方在签订、履行合同中所发生的一切争议，应通过友好协商解决。如协商不成的</w:t>
      </w:r>
      <w:r>
        <w:rPr>
          <w:rFonts w:hint="eastAsia" w:ascii="宋体" w:hAnsi="宋体" w:eastAsia="宋体" w:cs="Courier New"/>
          <w:b w:val="0"/>
          <w:color w:val="000000"/>
          <w:sz w:val="24"/>
          <w:szCs w:val="24"/>
          <w:highlight w:val="none"/>
          <w:lang w:val="en-US" w:eastAsia="zh-CN"/>
        </w:rPr>
        <w:t xml:space="preserve">由</w:t>
      </w:r>
      <w:r>
        <w:rPr>
          <w:rFonts w:hint="eastAsia" w:ascii="宋体" w:hAnsi="宋体" w:eastAsia="宋体" w:cs="Courier New"/>
          <w:b w:val="0"/>
          <w:color w:val="000000"/>
          <w:sz w:val="24"/>
          <w:szCs w:val="24"/>
          <w:highlight w:val="none"/>
          <w:lang w:eastAsia="zh-CN"/>
        </w:rPr>
        <w:t xml:space="preserve">甲方住所地人民法院管辖。</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十四、合同生效及其它</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14.1 本合同经双方加盖单位公章后生效。</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14.</w:t>
      </w:r>
      <w:r>
        <w:rPr>
          <w:rFonts w:hint="eastAsia" w:ascii="宋体" w:hAnsi="宋体" w:eastAsia="宋体" w:cs="Courier New"/>
          <w:b w:val="0"/>
          <w:color w:val="000000"/>
          <w:sz w:val="24"/>
          <w:szCs w:val="24"/>
          <w:highlight w:val="none"/>
          <w:lang w:val="en-US" w:eastAsia="zh-CN"/>
        </w:rPr>
        <w:t xml:space="preserve">2</w:t>
      </w:r>
      <w:r>
        <w:rPr>
          <w:rFonts w:hint="eastAsia" w:ascii="宋体" w:hAnsi="宋体" w:eastAsia="宋体" w:cs="Courier New"/>
          <w:b w:val="0"/>
          <w:color w:val="000000"/>
          <w:sz w:val="24"/>
          <w:szCs w:val="24"/>
          <w:highlight w:val="none"/>
          <w:lang w:eastAsia="zh-CN"/>
        </w:rPr>
        <w:t xml:space="preserve"> 本合同未尽事宜，遵照《中华人民共和国民法典》《中华人民共和国政府采购法》有关条文执行。</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14.</w:t>
      </w:r>
      <w:r>
        <w:rPr>
          <w:rFonts w:hint="eastAsia" w:ascii="宋体" w:hAnsi="宋体" w:eastAsia="宋体" w:cs="Courier New"/>
          <w:b w:val="0"/>
          <w:color w:val="000000"/>
          <w:sz w:val="24"/>
          <w:szCs w:val="24"/>
          <w:highlight w:val="none"/>
          <w:lang w:val="en-US" w:eastAsia="zh-CN"/>
        </w:rPr>
        <w:t xml:space="preserve">3</w:t>
      </w:r>
      <w:r>
        <w:rPr>
          <w:rFonts w:hint="eastAsia" w:ascii="宋体" w:hAnsi="宋体" w:eastAsia="宋体" w:cs="Courier New"/>
          <w:b w:val="0"/>
          <w:color w:val="000000"/>
          <w:sz w:val="24"/>
          <w:szCs w:val="24"/>
          <w:highlight w:val="none"/>
          <w:lang w:eastAsia="zh-CN"/>
        </w:rPr>
        <w:t xml:space="preserve">本合同正本一式两份，具有同等法律效力，甲方、乙方各执一份。</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甲方：（公章） </w:t>
      </w:r>
      <w:r>
        <w:rPr>
          <w:rFonts w:hint="eastAsia" w:ascii="宋体" w:hAnsi="宋体" w:eastAsia="宋体" w:cs="Courier New"/>
          <w:b w:val="0"/>
          <w:color w:val="000000"/>
          <w:sz w:val="24"/>
          <w:szCs w:val="24"/>
          <w:highlight w:val="none"/>
          <w:lang w:val="en-US" w:eastAsia="zh-CN"/>
        </w:rPr>
        <w:t xml:space="preserve">                        </w:t>
      </w:r>
      <w:r>
        <w:rPr>
          <w:rFonts w:hint="eastAsia" w:ascii="宋体" w:hAnsi="宋体" w:eastAsia="宋体" w:cs="Courier New"/>
          <w:b w:val="0"/>
          <w:color w:val="000000"/>
          <w:sz w:val="24"/>
          <w:szCs w:val="24"/>
          <w:highlight w:val="none"/>
          <w:lang w:eastAsia="zh-CN"/>
        </w:rPr>
        <w:t xml:space="preserve">乙方：（公章）</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地址： </w:t>
      </w:r>
      <w:r>
        <w:rPr>
          <w:rFonts w:hint="eastAsia" w:ascii="宋体" w:hAnsi="宋体" w:eastAsia="宋体" w:cs="Courier New"/>
          <w:b w:val="0"/>
          <w:color w:val="000000"/>
          <w:sz w:val="24"/>
          <w:szCs w:val="24"/>
          <w:highlight w:val="none"/>
          <w:lang w:val="en-US" w:eastAsia="zh-CN"/>
        </w:rPr>
        <w:t xml:space="preserve">                                </w:t>
      </w:r>
      <w:r>
        <w:rPr>
          <w:rFonts w:hint="eastAsia" w:ascii="宋体" w:hAnsi="宋体" w:eastAsia="宋体" w:cs="Courier New"/>
          <w:b w:val="0"/>
          <w:color w:val="000000"/>
          <w:sz w:val="24"/>
          <w:szCs w:val="24"/>
          <w:highlight w:val="none"/>
          <w:lang w:eastAsia="zh-CN"/>
        </w:rPr>
        <w:t xml:space="preserve">地址：</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法定代表人或授权代表： </w:t>
      </w:r>
      <w:r>
        <w:rPr>
          <w:rFonts w:hint="eastAsia" w:ascii="宋体" w:hAnsi="宋体" w:eastAsia="宋体" w:cs="Courier New"/>
          <w:b w:val="0"/>
          <w:color w:val="000000"/>
          <w:sz w:val="24"/>
          <w:szCs w:val="24"/>
          <w:highlight w:val="none"/>
          <w:lang w:val="en-US" w:eastAsia="zh-CN"/>
        </w:rPr>
        <w:t xml:space="preserve">                </w:t>
      </w:r>
      <w:r>
        <w:rPr>
          <w:rFonts w:hint="eastAsia" w:ascii="宋体" w:hAnsi="宋体" w:eastAsia="宋体" w:cs="Courier New"/>
          <w:b w:val="0"/>
          <w:color w:val="000000"/>
          <w:sz w:val="24"/>
          <w:szCs w:val="24"/>
          <w:highlight w:val="none"/>
          <w:lang w:eastAsia="zh-CN"/>
        </w:rPr>
        <w:t xml:space="preserve">法定代表人或授权代表：</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联系电话： </w:t>
      </w:r>
      <w:r>
        <w:rPr>
          <w:rFonts w:hint="eastAsia" w:ascii="宋体" w:hAnsi="宋体" w:eastAsia="宋体" w:cs="Courier New"/>
          <w:b w:val="0"/>
          <w:color w:val="000000"/>
          <w:sz w:val="24"/>
          <w:szCs w:val="24"/>
          <w:highlight w:val="none"/>
          <w:lang w:val="en-US" w:eastAsia="zh-CN"/>
        </w:rPr>
        <w:t xml:space="preserve">                            </w:t>
      </w:r>
      <w:r>
        <w:rPr>
          <w:rFonts w:hint="eastAsia" w:ascii="宋体" w:hAnsi="宋体" w:eastAsia="宋体" w:cs="Courier New"/>
          <w:b w:val="0"/>
          <w:color w:val="000000"/>
          <w:sz w:val="24"/>
          <w:szCs w:val="24"/>
          <w:highlight w:val="none"/>
          <w:lang w:eastAsia="zh-CN"/>
        </w:rPr>
        <w:t xml:space="preserve">联系电话：</w:t>
      </w:r>
      <w:r/>
    </w:p>
    <w:p>
      <w:pPr>
        <w:ind w:firstLine="6000"/>
        <w:jc w:val="left"/>
        <w:keepLines w:val="0"/>
        <w:keepNext w:val="0"/>
        <w:pageBreakBefore w:val="0"/>
        <w:spacing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r>
      <w:r/>
    </w:p>
    <w:p>
      <w:pPr>
        <w:ind w:firstLine="6000"/>
        <w:jc w:val="left"/>
        <w:keepLines w:val="0"/>
        <w:keepNext w:val="0"/>
        <w:pageBreakBefore w:val="0"/>
        <w:spacing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签订日期：</w:t>
      </w:r>
      <w:r/>
    </w:p>
    <w:p>
      <w:pPr>
        <w:jc w:val="center"/>
        <w:spacing w:before="120" w:after="120" w:line="264" w:lineRule="auto"/>
        <w:widowControl w:val="off"/>
        <w:rPr>
          <w:rFonts w:hint="eastAsia" w:ascii="宋体" w:hAnsi="宋体" w:eastAsia="宋体" w:cs="Times New Roman"/>
          <w:b/>
          <w:color w:val="000000"/>
          <w:sz w:val="30"/>
          <w:szCs w:val="21"/>
          <w:highlight w:val="none"/>
          <w:lang w:eastAsia="zh-CN"/>
        </w:rPr>
        <w:outlineLvl w:val="9"/>
      </w:pPr>
      <w:r>
        <w:rPr>
          <w:rFonts w:hint="eastAsia" w:ascii="宋体" w:hAnsi="宋体" w:eastAsia="宋体" w:cs="Times New Roman"/>
          <w:b/>
          <w:color w:val="000000"/>
          <w:sz w:val="30"/>
          <w:szCs w:val="21"/>
          <w:highlight w:val="none"/>
          <w:lang w:eastAsia="zh-CN"/>
        </w:rPr>
      </w:r>
      <w:r/>
    </w:p>
    <w:p>
      <w:pPr>
        <w:rPr>
          <w:rFonts w:hint="eastAsia" w:ascii="宋体" w:hAnsi="宋体" w:eastAsia="宋体" w:cs="Times New Roman"/>
          <w:b/>
          <w:color w:val="000000"/>
          <w:sz w:val="30"/>
          <w:szCs w:val="21"/>
          <w:highlight w:val="none"/>
          <w:lang w:eastAsia="zh-CN"/>
        </w:rPr>
      </w:pPr>
      <w:r>
        <w:rPr>
          <w:rFonts w:hint="eastAsia" w:ascii="宋体" w:hAnsi="宋体" w:eastAsia="宋体" w:cs="Times New Roman"/>
          <w:b/>
          <w:color w:val="000000"/>
          <w:sz w:val="30"/>
          <w:szCs w:val="21"/>
          <w:highlight w:val="none"/>
          <w:lang w:eastAsia="zh-CN"/>
        </w:rPr>
      </w:r>
      <w:r/>
    </w:p>
    <w:p>
      <w:pPr>
        <w:jc w:val="center"/>
        <w:spacing w:before="120" w:after="120" w:line="264" w:lineRule="auto"/>
        <w:widowControl w:val="off"/>
        <w:rPr>
          <w:rFonts w:hint="eastAsia" w:ascii="宋体" w:hAnsi="宋体" w:eastAsia="宋体" w:cs="Times New Roman"/>
          <w:b/>
          <w:color w:val="000000"/>
          <w:sz w:val="30"/>
          <w:szCs w:val="21"/>
          <w:highlight w:val="none"/>
          <w:lang w:eastAsia="zh-CN"/>
        </w:rPr>
        <w:outlineLvl w:val="9"/>
      </w:pPr>
      <w:r>
        <w:rPr>
          <w:rFonts w:hint="eastAsia" w:ascii="宋体" w:hAnsi="宋体" w:eastAsia="宋体" w:cs="Times New Roman"/>
          <w:b/>
          <w:color w:val="000000"/>
          <w:sz w:val="30"/>
          <w:szCs w:val="21"/>
          <w:highlight w:val="none"/>
          <w:lang w:eastAsia="zh-CN"/>
        </w:rPr>
        <w:t xml:space="preserve">《*******合同》补充协议（合同附件）</w:t>
      </w:r>
      <w:r/>
    </w:p>
    <w:p>
      <w:pPr>
        <w:jc w:val="center"/>
        <w:spacing w:before="120" w:after="120" w:line="264" w:lineRule="auto"/>
        <w:widowControl w:val="off"/>
        <w:rPr>
          <w:rFonts w:hint="eastAsia" w:ascii="宋体" w:hAnsi="宋体" w:eastAsia="宋体" w:cs="Courier New"/>
          <w:color w:val="000000"/>
          <w:sz w:val="24"/>
          <w:szCs w:val="24"/>
          <w:highlight w:val="none"/>
          <w:lang w:val="en-US" w:eastAsia="zh-CN" w:bidi="ar-SA"/>
        </w:rPr>
        <w:outlineLvl w:val="9"/>
      </w:pPr>
      <w:r>
        <w:rPr>
          <w:rFonts w:hint="eastAsia" w:ascii="宋体" w:hAnsi="宋体" w:eastAsia="宋体" w:cs="Courier New"/>
          <w:color w:val="000000"/>
          <w:sz w:val="24"/>
          <w:szCs w:val="24"/>
          <w:highlight w:val="none"/>
          <w:lang w:val="en-US" w:eastAsia="zh-CN" w:bidi="ar-SA"/>
        </w:rPr>
        <w:t xml:space="preserve">如遇招标文件及合同未约定事项，双方可友好协商签订补充协议。</w:t>
      </w:r>
      <w:r/>
    </w:p>
    <w:p>
      <w:pPr>
        <w:pStyle w:val="684"/>
        <w:ind w:left="0"/>
        <w:spacing w:before="130" w:line="221" w:lineRule="auto"/>
        <w:rPr>
          <w:spacing w:val="11"/>
          <w:sz w:val="40"/>
          <w:szCs w:val="40"/>
          <w:highlight w:val="none"/>
          <w14:textOutline w14:w="7355" w14:cap="flat" w14:cmpd="sng">
            <w14:solidFill>
              <w14:srgbClr w14:val="000000"/>
            </w14:solidFill>
            <w14:prstDash w14:val="solid"/>
            <w14:miter/>
          </w14:textOutline>
        </w:rPr>
        <w:outlineLvl w:val="0"/>
      </w:pPr>
      <w:r>
        <w:rPr>
          <w:spacing w:val="11"/>
          <w:sz w:val="40"/>
          <w:szCs w:val="40"/>
          <w:highlight w:val="none"/>
          <w14:textOutline w14:w="7355" w14:cap="flat" w14:cmpd="sng">
            <w14:solidFill>
              <w14:srgbClr w14:val="000000"/>
            </w14:solidFill>
            <w14:prstDash w14:val="solid"/>
            <w14:miter/>
          </w14:textOutline>
        </w:rPr>
      </w:r>
      <w:r/>
    </w:p>
    <w:p>
      <w:pPr>
        <w:pStyle w:val="684"/>
        <w:ind w:left="0"/>
        <w:jc w:val="center"/>
        <w:spacing w:before="130" w:line="221" w:lineRule="auto"/>
        <w:rPr>
          <w:sz w:val="40"/>
          <w:szCs w:val="40"/>
          <w:highlight w:val="none"/>
        </w:rPr>
        <w:outlineLvl w:val="0"/>
      </w:pPr>
      <w:r>
        <w:rPr>
          <w:spacing w:val="11"/>
          <w:sz w:val="40"/>
          <w:szCs w:val="40"/>
          <w:highlight w:val="none"/>
          <w14:textOutline w14:w="7355" w14:cap="flat" w14:cmpd="sng">
            <w14:solidFill>
              <w14:srgbClr w14:val="000000"/>
            </w14:solidFill>
            <w14:prstDash w14:val="solid"/>
            <w14:miter/>
          </w14:textOutline>
        </w:rPr>
        <w:t xml:space="preserve">第四章</w:t>
      </w:r>
      <w:r>
        <w:rPr>
          <w:spacing w:val="75"/>
          <w:sz w:val="40"/>
          <w:szCs w:val="40"/>
          <w:highlight w:val="none"/>
        </w:rPr>
        <w:t xml:space="preserve"> </w:t>
      </w:r>
      <w:r>
        <w:rPr>
          <w:spacing w:val="11"/>
          <w:sz w:val="40"/>
          <w:szCs w:val="40"/>
          <w:highlight w:val="none"/>
          <w14:textOutline w14:w="7355" w14:cap="flat" w14:cmpd="sng">
            <w14:solidFill>
              <w14:srgbClr w14:val="000000"/>
            </w14:solidFill>
            <w14:prstDash w14:val="solid"/>
            <w14:miter/>
          </w14:textOutline>
        </w:rPr>
        <w:t xml:space="preserve">采购需求</w:t>
      </w:r>
      <w:r/>
    </w:p>
    <w:p>
      <w:pPr>
        <w:ind w:firstLine="480"/>
        <w:jc w:val="both"/>
        <w:spacing w:line="264" w:lineRule="auto"/>
        <w:widowControl w:val="off"/>
        <w:rPr>
          <w:rFonts w:hint="eastAsia" w:ascii="方正黑体_GBK" w:hAnsi="方正黑体_GBK" w:eastAsia="方正黑体_GBK" w:cs="方正黑体_GBK"/>
          <w:b w:val="0"/>
          <w:bCs w:val="0"/>
          <w:color w:val="000000"/>
          <w:sz w:val="30"/>
          <w:szCs w:val="30"/>
          <w:highlight w:val="none"/>
          <w:lang w:val="en-US" w:eastAsia="zh-CN" w:bidi="ar-SA"/>
        </w:rPr>
      </w:pPr>
      <w:r>
        <w:rPr>
          <w:rFonts w:hint="eastAsia" w:ascii="方正黑体_GBK" w:hAnsi="方正黑体_GBK" w:eastAsia="方正黑体_GBK" w:cs="方正黑体_GBK"/>
          <w:b w:val="0"/>
          <w:bCs w:val="0"/>
          <w:color w:val="000000"/>
          <w:sz w:val="24"/>
          <w:szCs w:val="24"/>
          <w:highlight w:val="none"/>
          <w:lang w:val="en-US" w:eastAsia="zh-CN" w:bidi="ar-SA"/>
        </w:rPr>
        <w:t xml:space="preserve">一、项目属性：</w:t>
      </w:r>
      <w:r>
        <w:rPr>
          <w:rFonts w:hint="eastAsia" w:ascii="宋体" w:hAnsi="宋体" w:eastAsia="宋体" w:cs="Times New Roman"/>
          <w:color w:val="000000"/>
          <w:sz w:val="24"/>
          <w:highlight w:val="none"/>
          <w:lang w:val="en-US" w:eastAsia="zh-CN"/>
        </w:rPr>
        <w:t xml:space="preserve">服务类项目</w:t>
      </w:r>
      <w:r/>
    </w:p>
    <w:p>
      <w:pPr>
        <w:ind w:firstLine="480"/>
        <w:jc w:val="both"/>
        <w:spacing w:line="264" w:lineRule="auto"/>
        <w:widowControl w:val="off"/>
        <w:rPr>
          <w:rFonts w:hint="eastAsia" w:ascii="方正黑体_GBK" w:hAnsi="方正黑体_GBK" w:eastAsia="方正黑体_GBK" w:cs="方正黑体_GBK"/>
          <w:b w:val="0"/>
          <w:bCs w:val="0"/>
          <w:color w:val="000000"/>
          <w:sz w:val="24"/>
          <w:szCs w:val="24"/>
          <w:highlight w:val="none"/>
          <w:lang w:val="en-US" w:eastAsia="zh-CN" w:bidi="ar-SA"/>
        </w:rPr>
      </w:pPr>
      <w:r>
        <w:rPr>
          <w:rFonts w:hint="eastAsia" w:ascii="方正黑体_GBK" w:hAnsi="方正黑体_GBK" w:eastAsia="方正黑体_GBK" w:cs="方正黑体_GBK"/>
          <w:b w:val="0"/>
          <w:bCs w:val="0"/>
          <w:color w:val="000000"/>
          <w:sz w:val="24"/>
          <w:szCs w:val="24"/>
          <w:highlight w:val="none"/>
          <w:lang w:val="en-US" w:eastAsia="zh-CN" w:bidi="ar-SA"/>
        </w:rPr>
        <w:t xml:space="preserve">二、项目概况</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（一）项目背景</w:t>
      </w:r>
      <w:r/>
    </w:p>
    <w:p>
      <w:pPr>
        <w:ind w:firstLine="480"/>
        <w:keepLines w:val="0"/>
        <w:keepNext w:val="0"/>
        <w:pageBreakBefore w:val="0"/>
        <w:spacing w:line="360" w:lineRule="auto"/>
        <w:widowControl/>
        <w:rPr>
          <w:rFonts w:hint="eastAsia" w:ascii="Segoe UI" w:hAnsi="Segoe UI" w:eastAsia="宋体" w:cs="Segoe UI"/>
          <w:i w:val="0"/>
          <w:iCs w:val="0"/>
          <w:caps w:val="0"/>
          <w:spacing w:val="0"/>
          <w:sz w:val="24"/>
          <w:szCs w:val="24"/>
          <w:highlight w:val="none"/>
          <w:shd w:val="clear" w:color="auto" w:fill="ffffff"/>
          <w:lang w:val="en-US" w:eastAsia="zh-CN"/>
        </w:rPr>
      </w:pPr>
      <w:r>
        <w:rPr>
          <w:rFonts w:ascii="Segoe UI" w:hAnsi="Segoe UI" w:eastAsia="Segoe UI" w:cs="Segoe UI"/>
          <w:i w:val="0"/>
          <w:iCs w:val="0"/>
          <w:caps w:val="0"/>
          <w:spacing w:val="0"/>
          <w:sz w:val="24"/>
          <w:szCs w:val="24"/>
          <w:highlight w:val="none"/>
          <w:shd w:val="clear" w:color="auto" w:fill="ffffff"/>
        </w:rPr>
        <w:t xml:space="preserve">校园</w:t>
      </w:r>
      <w:r>
        <w:rPr>
          <w:rFonts w:hint="eastAsia" w:ascii="Segoe UI" w:hAnsi="Segoe UI" w:eastAsia="宋体" w:cs="Segoe UI"/>
          <w:i w:val="0"/>
          <w:iCs w:val="0"/>
          <w:caps w:val="0"/>
          <w:spacing w:val="0"/>
          <w:sz w:val="24"/>
          <w:szCs w:val="24"/>
          <w:highlight w:val="none"/>
          <w:shd w:val="clear" w:color="auto" w:fill="ffffff"/>
          <w:lang w:val="en-US" w:eastAsia="zh-CN"/>
        </w:rPr>
        <w:t xml:space="preserve">安保工作</w:t>
      </w:r>
      <w:r>
        <w:rPr>
          <w:rFonts w:ascii="Segoe UI" w:hAnsi="Segoe UI" w:eastAsia="Segoe UI" w:cs="Segoe UI"/>
          <w:i w:val="0"/>
          <w:iCs w:val="0"/>
          <w:caps w:val="0"/>
          <w:spacing w:val="0"/>
          <w:sz w:val="24"/>
          <w:szCs w:val="24"/>
          <w:highlight w:val="none"/>
          <w:shd w:val="clear" w:color="auto" w:fill="ffffff"/>
        </w:rPr>
        <w:t xml:space="preserve">直接关系师生生命</w:t>
      </w:r>
      <w:r>
        <w:rPr>
          <w:rFonts w:hint="eastAsia" w:ascii="Segoe UI" w:hAnsi="Segoe UI" w:eastAsia="宋体" w:cs="Segoe UI"/>
          <w:i w:val="0"/>
          <w:iCs w:val="0"/>
          <w:caps w:val="0"/>
          <w:spacing w:val="0"/>
          <w:sz w:val="24"/>
          <w:szCs w:val="24"/>
          <w:highlight w:val="none"/>
          <w:shd w:val="clear" w:color="auto" w:fill="ffffff"/>
          <w:lang w:val="en-US" w:eastAsia="zh-CN"/>
        </w:rPr>
        <w:t xml:space="preserve">安全</w:t>
      </w:r>
      <w:r>
        <w:rPr>
          <w:rFonts w:ascii="Segoe UI" w:hAnsi="Segoe UI" w:eastAsia="Segoe UI" w:cs="Segoe UI"/>
          <w:i w:val="0"/>
          <w:iCs w:val="0"/>
          <w:caps w:val="0"/>
          <w:spacing w:val="0"/>
          <w:sz w:val="24"/>
          <w:szCs w:val="24"/>
          <w:highlight w:val="none"/>
          <w:shd w:val="clear" w:color="auto" w:fill="ffffff"/>
        </w:rPr>
        <w:t xml:space="preserve">与</w:t>
      </w:r>
      <w:r>
        <w:rPr>
          <w:rFonts w:hint="eastAsia" w:ascii="Segoe UI" w:hAnsi="Segoe UI" w:eastAsia="宋体" w:cs="Segoe UI"/>
          <w:i w:val="0"/>
          <w:iCs w:val="0"/>
          <w:caps w:val="0"/>
          <w:spacing w:val="0"/>
          <w:sz w:val="24"/>
          <w:szCs w:val="24"/>
          <w:highlight w:val="none"/>
          <w:shd w:val="clear" w:color="auto" w:fill="ffffff"/>
          <w:lang w:val="en-US" w:eastAsia="zh-CN"/>
        </w:rPr>
        <w:t xml:space="preserve">校园正常</w:t>
      </w:r>
      <w:r>
        <w:rPr>
          <w:rFonts w:ascii="Segoe UI" w:hAnsi="Segoe UI" w:eastAsia="Segoe UI" w:cs="Segoe UI"/>
          <w:i w:val="0"/>
          <w:iCs w:val="0"/>
          <w:caps w:val="0"/>
          <w:spacing w:val="0"/>
          <w:sz w:val="24"/>
          <w:szCs w:val="24"/>
          <w:highlight w:val="none"/>
          <w:shd w:val="clear" w:color="auto" w:fill="ffffff"/>
        </w:rPr>
        <w:t xml:space="preserve">秩序</w:t>
      </w:r>
      <w:r>
        <w:rPr>
          <w:rFonts w:hint="eastAsia" w:ascii="Segoe UI" w:hAnsi="Segoe UI" w:eastAsia="宋体" w:cs="Segoe UI"/>
          <w:i w:val="0"/>
          <w:iCs w:val="0"/>
          <w:caps w:val="0"/>
          <w:spacing w:val="0"/>
          <w:sz w:val="24"/>
          <w:szCs w:val="24"/>
          <w:highlight w:val="none"/>
          <w:shd w:val="clear" w:color="auto" w:fill="ffffff"/>
          <w:lang w:eastAsia="zh-CN"/>
        </w:rPr>
        <w:t xml:space="preserve">，</w:t>
      </w:r>
      <w:r>
        <w:rPr>
          <w:rFonts w:hint="eastAsia" w:ascii="Segoe UI" w:hAnsi="Segoe UI" w:eastAsia="宋体" w:cs="Segoe UI"/>
          <w:i w:val="0"/>
          <w:iCs w:val="0"/>
          <w:caps w:val="0"/>
          <w:spacing w:val="0"/>
          <w:sz w:val="24"/>
          <w:szCs w:val="24"/>
          <w:highlight w:val="none"/>
          <w:shd w:val="clear" w:color="auto" w:fill="ffffff"/>
          <w:lang w:val="en-US" w:eastAsia="zh-CN"/>
        </w:rPr>
        <w:t xml:space="preserve">为积极吸取近期涉校涉生暴力事件教训，有效防范校园暴力冲击和学生伤害事件发生，切实维护好江北新区学校校园安全环境，进一步助力学生安全健康成长；特为直属学校及单位实施本次安保招标工作，提供有力的安保基础。</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（二）服务标准</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遵循国家、行业及地方现行的规范和标准。</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（三）服务时间</w:t>
      </w:r>
      <w:r/>
    </w:p>
    <w:p>
      <w:pPr>
        <w:ind w:firstLine="480"/>
        <w:keepLines w:val="0"/>
        <w:keepNext w:val="0"/>
        <w:pageBreakBefore w:val="0"/>
        <w:spacing w:line="360" w:lineRule="auto"/>
        <w:widowControl/>
        <w:rPr>
          <w:rFonts w:hint="eastAsia" w:ascii="宋体" w:hAnsi="宋体" w:eastAsia="宋体" w:cs="Times New Roman"/>
          <w:sz w:val="24"/>
          <w:szCs w:val="24"/>
          <w:highlight w:val="none"/>
          <w:lang w:val="en-US" w:eastAsia="zh-CN"/>
        </w:rPr>
      </w:pPr>
      <w:r>
        <w:rPr>
          <w:rFonts w:hint="eastAsia" w:ascii="Segoe UI" w:hAnsi="Segoe UI" w:eastAsia="Segoe UI" w:cs="Segoe UI"/>
          <w:i w:val="0"/>
          <w:iCs w:val="0"/>
          <w:caps w:val="0"/>
          <w:spacing w:val="0"/>
          <w:sz w:val="24"/>
          <w:szCs w:val="24"/>
          <w:highlight w:val="none"/>
          <w:shd w:val="clear" w:color="auto" w:fill="ffffff"/>
          <w:lang w:val="en-US" w:eastAsia="zh-CN"/>
        </w:rPr>
        <w:t xml:space="preserve">本次</w:t>
      </w:r>
      <w:r>
        <w:rPr>
          <w:rFonts w:hint="eastAsia" w:ascii="宋体" w:hAnsi="宋体" w:eastAsia="宋体" w:cs="Times New Roman"/>
          <w:sz w:val="24"/>
          <w:szCs w:val="24"/>
          <w:highlight w:val="none"/>
          <w:lang w:val="en-US" w:eastAsia="zh-CN"/>
        </w:rPr>
        <w:t xml:space="preserve">服务期</w:t>
      </w:r>
      <w:r>
        <w:rPr>
          <w:rFonts w:hint="eastAsia" w:ascii="宋体" w:hAnsi="宋体" w:eastAsia="宋体" w:cs="Times New Roman"/>
          <w:sz w:val="24"/>
          <w:szCs w:val="24"/>
          <w:highlight w:val="none"/>
          <w:lang w:val="zh-CN" w:eastAsia="zh-CN"/>
        </w:rPr>
        <w:t xml:space="preserve">自合同签订之日至2027年</w:t>
      </w: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lang w:val="zh-CN" w:eastAsia="zh-CN"/>
        </w:rPr>
        <w:t xml:space="preserve">月3</w:t>
      </w:r>
      <w:r>
        <w:rPr>
          <w:rFonts w:hint="eastAsia" w:ascii="宋体" w:hAnsi="宋体" w:eastAsia="宋体" w:cs="Times New Roman"/>
          <w:sz w:val="24"/>
          <w:szCs w:val="24"/>
          <w:highlight w:val="none"/>
          <w:lang w:val="en-US" w:eastAsia="zh-CN"/>
        </w:rPr>
        <w:t xml:space="preserve">1</w:t>
      </w:r>
      <w:bookmarkStart w:id="155" w:name="_GoBack"/>
      <w:r/>
      <w:bookmarkEnd w:id="155"/>
      <w:r>
        <w:rPr>
          <w:rFonts w:hint="eastAsia" w:ascii="宋体" w:hAnsi="宋体" w:eastAsia="宋体" w:cs="Times New Roman"/>
          <w:sz w:val="24"/>
          <w:szCs w:val="24"/>
          <w:highlight w:val="none"/>
          <w:lang w:val="zh-CN" w:eastAsia="zh-CN"/>
        </w:rPr>
        <w:t xml:space="preserve">日</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eastAsia="zh-CN"/>
        </w:rPr>
        <w:t xml:space="preserve">本项目过渡期为</w:t>
      </w:r>
      <w:r>
        <w:rPr>
          <w:rFonts w:hint="eastAsia" w:ascii="宋体" w:hAnsi="宋体" w:eastAsia="宋体" w:cs="Times New Roman"/>
          <w:sz w:val="24"/>
          <w:szCs w:val="24"/>
          <w:highlight w:val="none"/>
          <w:lang w:val="en-US" w:eastAsia="zh-CN"/>
        </w:rPr>
        <w:t xml:space="preserve">一个</w:t>
      </w:r>
      <w:r>
        <w:rPr>
          <w:rFonts w:hint="eastAsia" w:ascii="宋体" w:hAnsi="宋体" w:eastAsia="宋体" w:cs="Times New Roman"/>
          <w:sz w:val="24"/>
          <w:szCs w:val="24"/>
          <w:highlight w:val="none"/>
          <w:lang w:val="zh-CN" w:eastAsia="zh-CN"/>
        </w:rPr>
        <w:t xml:space="preserve">月，过渡期包含在履约合同期内，过渡期内未达到投标承诺的，采购人可以解除合同，按定标原则与其他中标候选人重新签订合同。</w:t>
      </w:r>
      <w:r/>
    </w:p>
    <w:p>
      <w:pPr>
        <w:pStyle w:val="860"/>
        <w:ind w:firstLine="465"/>
        <w:jc w:val="both"/>
        <w:pageBreakBefore w:val="0"/>
        <w:spacing w:before="145" w:after="145" w:line="264" w:lineRule="auto"/>
        <w:widowControl w:val="off"/>
        <w:rPr>
          <w:rFonts w:hint="eastAsia" w:ascii="方正黑体_GBK" w:hAnsi="方正黑体_GBK" w:eastAsia="方正黑体_GBK" w:cs="方正黑体_GBK"/>
          <w:b w:val="0"/>
          <w:bCs w:val="0"/>
          <w:color w:val="000000"/>
          <w:sz w:val="24"/>
          <w:szCs w:val="24"/>
          <w:highlight w:val="none"/>
          <w:lang w:val="en-US" w:eastAsia="zh-CN" w:bidi="ar-SA"/>
        </w:rPr>
        <w:outlineLvl w:val="1"/>
      </w:pPr>
      <w:r>
        <w:rPr>
          <w:rFonts w:hint="eastAsia" w:ascii="方正黑体_GBK" w:hAnsi="方正黑体_GBK" w:eastAsia="方正黑体_GBK" w:cs="方正黑体_GBK"/>
          <w:b w:val="0"/>
          <w:bCs w:val="0"/>
          <w:color w:val="000000"/>
          <w:sz w:val="24"/>
          <w:szCs w:val="24"/>
          <w:highlight w:val="none"/>
          <w:lang w:val="en-US" w:eastAsia="zh-CN" w:bidi="ar-SA"/>
        </w:rPr>
        <w:t xml:space="preserve">三、服务清单</w:t>
      </w:r>
      <w:r/>
    </w:p>
    <w:p>
      <w:pPr>
        <w:spacing w:line="16" w:lineRule="auto"/>
        <w:rPr>
          <w:rFonts w:ascii="Arial"/>
          <w:sz w:val="2"/>
          <w:highlight w:val="none"/>
        </w:rPr>
      </w:pPr>
      <w:r>
        <w:rPr>
          <w:rFonts w:ascii="Arial"/>
          <w:sz w:val="2"/>
          <w:highlight w:val="none"/>
        </w:rPr>
      </w:r>
      <w:r/>
    </w:p>
    <w:tbl>
      <w:tblPr>
        <w:tblStyle w:val="857"/>
        <w:tblW w:w="86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3"/>
        <w:gridCol w:w="2024"/>
        <w:gridCol w:w="1094"/>
        <w:gridCol w:w="1110"/>
        <w:gridCol w:w="1989"/>
        <w:gridCol w:w="797"/>
        <w:gridCol w:w="854"/>
      </w:tblGrid>
      <w:tr>
        <w:trPr>
          <w:jc w:val="center"/>
          <w:trHeight w:val="812"/>
        </w:trPr>
        <w:tc>
          <w:tcPr>
            <w:tcW w:w="773" w:type="dxa"/>
            <w:vAlign w:val="center"/>
            <w:textDirection w:val="lrTb"/>
            <w:noWrap w:val="false"/>
          </w:tcPr>
          <w:p>
            <w:pPr>
              <w:pStyle w:val="858"/>
              <w:ind w:left="0" w:right="0" w:firstLine="0"/>
              <w:jc w:val="center"/>
              <w:keepLines w:val="0"/>
              <w:keepNext w:val="0"/>
              <w:pageBreakBefore w:val="0"/>
              <w:spacing w:line="240" w:lineRule="auto"/>
              <w:widowControl/>
              <w:rPr>
                <w:spacing w:val="-2"/>
                <w:sz w:val="24"/>
                <w:szCs w:val="24"/>
                <w:highlight w:val="none"/>
              </w:rPr>
            </w:pPr>
            <w:r>
              <w:rPr>
                <w:spacing w:val="-2"/>
                <w:sz w:val="24"/>
                <w:szCs w:val="24"/>
                <w:highlight w:val="none"/>
              </w:rPr>
              <w:t xml:space="preserve">序号</w:t>
            </w:r>
            <w:r/>
          </w:p>
        </w:tc>
        <w:tc>
          <w:tcPr>
            <w:tcW w:w="2024" w:type="dxa"/>
            <w:vAlign w:val="center"/>
            <w:textDirection w:val="lrTb"/>
            <w:noWrap w:val="false"/>
          </w:tcPr>
          <w:p>
            <w:pPr>
              <w:pStyle w:val="858"/>
              <w:ind w:left="0" w:right="0" w:firstLine="0"/>
              <w:jc w:val="center"/>
              <w:keepLines w:val="0"/>
              <w:keepNext w:val="0"/>
              <w:pageBreakBefore w:val="0"/>
              <w:spacing w:line="240" w:lineRule="auto"/>
              <w:widowControl/>
              <w:rPr>
                <w:spacing w:val="-2"/>
                <w:sz w:val="24"/>
                <w:szCs w:val="24"/>
                <w:highlight w:val="none"/>
              </w:rPr>
            </w:pPr>
            <w:r>
              <w:rPr>
                <w:spacing w:val="-2"/>
                <w:sz w:val="24"/>
                <w:szCs w:val="24"/>
                <w:highlight w:val="none"/>
              </w:rPr>
              <w:t xml:space="preserve">名称</w:t>
            </w:r>
            <w:r/>
          </w:p>
        </w:tc>
        <w:tc>
          <w:tcPr>
            <w:tcW w:w="1094" w:type="dxa"/>
            <w:vAlign w:val="center"/>
            <w:textDirection w:val="lrTb"/>
            <w:noWrap w:val="false"/>
          </w:tcPr>
          <w:p>
            <w:pPr>
              <w:pStyle w:val="858"/>
              <w:ind w:left="0" w:right="0" w:firstLine="0"/>
              <w:jc w:val="center"/>
              <w:keepLines w:val="0"/>
              <w:keepNext w:val="0"/>
              <w:pageBreakBefore w:val="0"/>
              <w:spacing w:line="240" w:lineRule="auto"/>
              <w:widowControl/>
              <w:rPr>
                <w:spacing w:val="-2"/>
                <w:sz w:val="24"/>
                <w:szCs w:val="24"/>
                <w:highlight w:val="none"/>
              </w:rPr>
            </w:pPr>
            <w:r>
              <w:rPr>
                <w:spacing w:val="-2"/>
                <w:sz w:val="24"/>
                <w:szCs w:val="24"/>
                <w:highlight w:val="none"/>
              </w:rPr>
              <w:t xml:space="preserve">数量</w:t>
            </w:r>
            <w:r/>
          </w:p>
        </w:tc>
        <w:tc>
          <w:tcPr>
            <w:tcW w:w="1110" w:type="dxa"/>
            <w:vAlign w:val="center"/>
            <w:textDirection w:val="lrTb"/>
            <w:noWrap w:val="false"/>
          </w:tcPr>
          <w:p>
            <w:pPr>
              <w:pStyle w:val="858"/>
              <w:ind w:left="0" w:right="0" w:firstLine="0"/>
              <w:jc w:val="center"/>
              <w:keepLines w:val="0"/>
              <w:keepNext w:val="0"/>
              <w:pageBreakBefore w:val="0"/>
              <w:spacing w:line="240" w:lineRule="auto"/>
              <w:widowControl/>
              <w:rPr>
                <w:spacing w:val="-2"/>
                <w:sz w:val="24"/>
                <w:szCs w:val="24"/>
                <w:highlight w:val="none"/>
              </w:rPr>
            </w:pPr>
            <w:r>
              <w:rPr>
                <w:spacing w:val="-2"/>
                <w:sz w:val="24"/>
                <w:szCs w:val="24"/>
                <w:highlight w:val="none"/>
              </w:rPr>
              <w:t xml:space="preserve">单位</w:t>
            </w:r>
            <w:r/>
          </w:p>
        </w:tc>
        <w:tc>
          <w:tcPr>
            <w:tcW w:w="1989" w:type="dxa"/>
            <w:vAlign w:val="center"/>
            <w:textDirection w:val="lrTb"/>
            <w:noWrap w:val="false"/>
          </w:tcPr>
          <w:p>
            <w:pPr>
              <w:pStyle w:val="858"/>
              <w:ind w:left="0" w:right="0" w:firstLine="0"/>
              <w:jc w:val="center"/>
              <w:keepLines w:val="0"/>
              <w:keepNext w:val="0"/>
              <w:pageBreakBefore w:val="0"/>
              <w:spacing w:line="240" w:lineRule="auto"/>
              <w:widowControl/>
              <w:rPr>
                <w:rFonts w:hint="eastAsia" w:eastAsia="宋体"/>
                <w:spacing w:val="-2"/>
                <w:sz w:val="24"/>
                <w:szCs w:val="24"/>
                <w:highlight w:val="none"/>
                <w:lang w:eastAsia="zh-CN"/>
              </w:rPr>
            </w:pPr>
            <w:r>
              <w:rPr>
                <w:spacing w:val="-2"/>
                <w:sz w:val="24"/>
                <w:szCs w:val="24"/>
                <w:highlight w:val="none"/>
              </w:rPr>
              <w:t xml:space="preserve">所属</w:t>
            </w:r>
            <w:r>
              <w:rPr>
                <w:rFonts w:hint="eastAsia"/>
                <w:spacing w:val="-2"/>
                <w:sz w:val="24"/>
                <w:szCs w:val="24"/>
                <w:highlight w:val="none"/>
                <w:lang w:val="en-US" w:eastAsia="zh-CN"/>
              </w:rPr>
              <w:t xml:space="preserve">行业</w:t>
            </w:r>
            <w:r/>
          </w:p>
        </w:tc>
        <w:tc>
          <w:tcPr>
            <w:tcW w:w="797" w:type="dxa"/>
            <w:vAlign w:val="center"/>
            <w:textDirection w:val="lrTb"/>
            <w:noWrap w:val="false"/>
          </w:tcPr>
          <w:p>
            <w:pPr>
              <w:pStyle w:val="858"/>
              <w:ind w:left="0" w:right="0" w:firstLine="0"/>
              <w:jc w:val="center"/>
              <w:keepLines w:val="0"/>
              <w:keepNext w:val="0"/>
              <w:pageBreakBefore w:val="0"/>
              <w:spacing w:line="240" w:lineRule="auto"/>
              <w:widowControl/>
              <w:rPr>
                <w:spacing w:val="-2"/>
                <w:sz w:val="24"/>
                <w:szCs w:val="24"/>
                <w:highlight w:val="none"/>
              </w:rPr>
            </w:pPr>
            <w:r>
              <w:rPr>
                <w:spacing w:val="-2"/>
                <w:sz w:val="24"/>
                <w:szCs w:val="24"/>
                <w:highlight w:val="none"/>
              </w:rPr>
              <w:t xml:space="preserve">类型</w:t>
            </w:r>
            <w:r/>
          </w:p>
        </w:tc>
        <w:tc>
          <w:tcPr>
            <w:tcW w:w="854" w:type="dxa"/>
            <w:vAlign w:val="center"/>
            <w:textDirection w:val="lrTb"/>
            <w:noWrap w:val="false"/>
          </w:tcPr>
          <w:p>
            <w:pPr>
              <w:pStyle w:val="858"/>
              <w:ind w:left="0" w:right="0" w:firstLine="0"/>
              <w:jc w:val="center"/>
              <w:keepLines w:val="0"/>
              <w:keepNext w:val="0"/>
              <w:pageBreakBefore w:val="0"/>
              <w:spacing w:line="240" w:lineRule="auto"/>
              <w:widowControl/>
              <w:rPr>
                <w:rFonts w:hint="eastAsia" w:eastAsia="宋体"/>
                <w:spacing w:val="-2"/>
                <w:sz w:val="24"/>
                <w:szCs w:val="24"/>
                <w:highlight w:val="none"/>
                <w:lang w:eastAsia="zh-CN"/>
              </w:rPr>
            </w:pPr>
            <w:r>
              <w:rPr>
                <w:rFonts w:hint="eastAsia"/>
                <w:spacing w:val="-2"/>
                <w:sz w:val="24"/>
                <w:szCs w:val="24"/>
                <w:highlight w:val="none"/>
                <w:lang w:eastAsia="zh-CN"/>
              </w:rPr>
              <w:t xml:space="preserve">备注</w:t>
            </w:r>
            <w:r/>
          </w:p>
        </w:tc>
      </w:tr>
      <w:tr>
        <w:trPr>
          <w:jc w:val="center"/>
          <w:trHeight w:val="1110"/>
        </w:trPr>
        <w:tc>
          <w:tcPr>
            <w:tcW w:w="77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2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Times New Roman"/>
                <w:color w:val="000000"/>
                <w:sz w:val="24"/>
                <w:highlight w:val="none"/>
                <w:lang w:val="en-US" w:eastAsia="zh-CN"/>
              </w:rPr>
              <w:t xml:space="preserve">南京江北新区管理委员会教育局2026年局属中小学幼儿园保安服务</w:t>
            </w:r>
            <w:r/>
          </w:p>
        </w:tc>
        <w:tc>
          <w:tcPr>
            <w:tcW w:w="1094" w:type="dxa"/>
            <w:textDirection w:val="lrTb"/>
            <w:noWrap w:val="false"/>
          </w:tcPr>
          <w:p>
            <w:pPr>
              <w:spacing w:line="398" w:lineRule="auto"/>
              <w:rPr>
                <w:rFonts w:ascii="Arial"/>
                <w:sz w:val="21"/>
                <w:highlight w:val="none"/>
              </w:rPr>
            </w:pPr>
            <w:r>
              <w:rPr>
                <w:rFonts w:ascii="Arial"/>
                <w:sz w:val="21"/>
                <w:highlight w:val="none"/>
              </w:rPr>
            </w:r>
            <w:r/>
          </w:p>
          <w:p>
            <w:pPr>
              <w:pStyle w:val="858"/>
              <w:ind w:left="490"/>
              <w:spacing w:before="78" w:line="181" w:lineRule="auto"/>
              <w:rPr>
                <w:rFonts w:hint="default" w:eastAsia="宋体"/>
                <w:sz w:val="24"/>
                <w:szCs w:val="24"/>
                <w:highlight w:val="none"/>
                <w:lang w:val="en-US" w:eastAsia="zh-CN"/>
              </w:rPr>
            </w:pPr>
            <w:r>
              <w:rPr>
                <w:rFonts w:hint="eastAsia"/>
                <w:sz w:val="24"/>
                <w:szCs w:val="24"/>
                <w:highlight w:val="none"/>
                <w:lang w:val="en-US" w:eastAsia="zh-CN"/>
              </w:rPr>
              <w:t xml:space="preserve">1</w:t>
            </w:r>
            <w:r/>
          </w:p>
        </w:tc>
        <w:tc>
          <w:tcPr>
            <w:tcW w:w="1110" w:type="dxa"/>
            <w:textDirection w:val="lrTb"/>
            <w:noWrap w:val="false"/>
          </w:tcPr>
          <w:p>
            <w:pPr>
              <w:spacing w:line="357" w:lineRule="auto"/>
              <w:rPr>
                <w:rFonts w:ascii="Arial"/>
                <w:sz w:val="21"/>
                <w:highlight w:val="none"/>
              </w:rPr>
            </w:pPr>
            <w:r>
              <w:rPr>
                <w:rFonts w:ascii="Arial"/>
                <w:sz w:val="21"/>
                <w:highlight w:val="none"/>
              </w:rPr>
            </w:r>
            <w:r/>
          </w:p>
          <w:p>
            <w:pPr>
              <w:pStyle w:val="858"/>
              <w:ind w:left="443"/>
              <w:spacing w:before="78" w:line="220" w:lineRule="auto"/>
              <w:rPr>
                <w:rFonts w:hint="eastAsia" w:eastAsia="宋体"/>
                <w:sz w:val="24"/>
                <w:szCs w:val="24"/>
                <w:highlight w:val="none"/>
                <w:lang w:eastAsia="zh-CN"/>
              </w:rPr>
            </w:pPr>
            <w:r>
              <w:rPr>
                <w:rFonts w:hint="eastAsia"/>
                <w:sz w:val="24"/>
                <w:szCs w:val="24"/>
                <w:highlight w:val="none"/>
                <w:lang w:val="en-US" w:eastAsia="zh-CN"/>
              </w:rPr>
              <w:t xml:space="preserve">项</w:t>
            </w:r>
            <w:r/>
          </w:p>
        </w:tc>
        <w:tc>
          <w:tcPr>
            <w:tcW w:w="1989" w:type="dxa"/>
            <w:vAlign w:val="center"/>
            <w:textDirection w:val="lrTb"/>
            <w:noWrap w:val="false"/>
          </w:tcPr>
          <w:p>
            <w:pPr>
              <w:pStyle w:val="858"/>
              <w:jc w:val="center"/>
              <w:spacing w:before="14" w:line="220" w:lineRule="auto"/>
              <w:rPr>
                <w:rFonts w:hint="eastAsia" w:eastAsia="宋体"/>
                <w:sz w:val="24"/>
                <w:szCs w:val="24"/>
                <w:highlight w:val="none"/>
                <w:lang w:eastAsia="zh-CN"/>
              </w:rPr>
            </w:pPr>
            <w:r>
              <w:rPr>
                <w:rFonts w:hint="eastAsia"/>
                <w:sz w:val="24"/>
                <w:szCs w:val="24"/>
                <w:highlight w:val="none"/>
                <w:lang w:eastAsia="zh-CN"/>
              </w:rPr>
              <w:t xml:space="preserve">租赁和商务服务业</w:t>
            </w:r>
            <w:r/>
          </w:p>
        </w:tc>
        <w:tc>
          <w:tcPr>
            <w:tcW w:w="797" w:type="dxa"/>
            <w:textDirection w:val="lrTb"/>
            <w:noWrap w:val="false"/>
          </w:tcPr>
          <w:p>
            <w:pPr>
              <w:spacing w:line="357" w:lineRule="auto"/>
              <w:rPr>
                <w:rFonts w:ascii="Arial"/>
                <w:sz w:val="21"/>
                <w:highlight w:val="none"/>
              </w:rPr>
            </w:pPr>
            <w:r>
              <w:rPr>
                <w:rFonts w:ascii="Arial"/>
                <w:sz w:val="21"/>
                <w:highlight w:val="none"/>
              </w:rPr>
            </w:r>
            <w:r/>
          </w:p>
          <w:p>
            <w:pPr>
              <w:pStyle w:val="858"/>
              <w:jc w:val="center"/>
              <w:spacing w:before="78" w:line="220" w:lineRule="auto"/>
              <w:rPr>
                <w:sz w:val="24"/>
                <w:szCs w:val="24"/>
                <w:highlight w:val="none"/>
              </w:rPr>
            </w:pPr>
            <w:r>
              <w:rPr>
                <w:spacing w:val="-3"/>
                <w:sz w:val="24"/>
                <w:szCs w:val="24"/>
                <w:highlight w:val="none"/>
              </w:rPr>
              <w:t xml:space="preserve">服务</w:t>
            </w:r>
            <w:r/>
          </w:p>
        </w:tc>
        <w:tc>
          <w:tcPr>
            <w:tcW w:w="854" w:type="dxa"/>
            <w:textDirection w:val="lrTb"/>
            <w:noWrap w:val="false"/>
          </w:tcPr>
          <w:p>
            <w:pPr>
              <w:pStyle w:val="858"/>
              <w:ind w:left="255"/>
              <w:spacing w:before="78" w:line="220" w:lineRule="auto"/>
              <w:rPr>
                <w:spacing w:val="-3"/>
                <w:sz w:val="24"/>
                <w:szCs w:val="24"/>
                <w:highlight w:val="none"/>
              </w:rPr>
            </w:pPr>
            <w:r>
              <w:rPr>
                <w:spacing w:val="-3"/>
                <w:sz w:val="24"/>
                <w:szCs w:val="24"/>
                <w:highlight w:val="none"/>
              </w:rPr>
            </w:r>
            <w:r/>
          </w:p>
        </w:tc>
      </w:tr>
    </w:tbl>
    <w:p>
      <w:pPr>
        <w:ind w:firstLine="480"/>
        <w:jc w:val="both"/>
        <w:spacing w:line="264" w:lineRule="auto"/>
        <w:widowControl w:val="off"/>
        <w:rPr>
          <w:rFonts w:hint="eastAsia" w:ascii="方正黑体_GBK" w:hAnsi="方正黑体_GBK" w:eastAsia="方正黑体_GBK" w:cs="方正黑体_GBK"/>
          <w:b w:val="0"/>
          <w:bCs w:val="0"/>
          <w:color w:val="000000"/>
          <w:sz w:val="24"/>
          <w:szCs w:val="24"/>
          <w:highlight w:val="none"/>
          <w:lang w:val="en-US" w:eastAsia="zh-CN" w:bidi="ar-SA"/>
        </w:rPr>
      </w:pPr>
      <w:r>
        <w:rPr>
          <w:rFonts w:hint="eastAsia" w:ascii="方正黑体_GBK" w:hAnsi="方正黑体_GBK" w:eastAsia="方正黑体_GBK" w:cs="方正黑体_GBK"/>
          <w:b w:val="0"/>
          <w:bCs w:val="0"/>
          <w:color w:val="000000"/>
          <w:sz w:val="24"/>
          <w:szCs w:val="24"/>
          <w:highlight w:val="none"/>
          <w:lang w:val="en-US" w:eastAsia="zh-CN" w:bidi="ar-SA"/>
        </w:rPr>
        <w:t xml:space="preserve">四、拟采购标的需要满足的项目需求、商务要求</w:t>
      </w:r>
      <w:r/>
    </w:p>
    <w:p>
      <w:pPr>
        <w:ind w:firstLine="480"/>
        <w:jc w:val="both"/>
        <w:spacing w:line="240" w:lineRule="auto"/>
        <w:widowControl w:val="off"/>
        <w:rPr>
          <w:rFonts w:hint="eastAsia" w:ascii="宋体" w:hAnsi="宋体" w:eastAsia="宋体" w:cs="Times New Roman"/>
          <w:b/>
          <w:bCs/>
          <w:sz w:val="24"/>
          <w:szCs w:val="24"/>
          <w:highlight w:val="none"/>
          <w:lang w:eastAsia="zh-CN"/>
        </w:rPr>
        <w:outlineLvl w:val="1"/>
      </w:pPr>
      <w:r/>
      <w:bookmarkStart w:id="135" w:name="OLE_LINK14"/>
      <w:r>
        <w:rPr>
          <w:rFonts w:hint="eastAsia" w:ascii="黑体" w:hAnsi="黑体" w:eastAsia="黑体" w:cs="黑体"/>
          <w:b/>
          <w:bCs/>
          <w:sz w:val="24"/>
          <w:szCs w:val="24"/>
          <w:highlight w:val="none"/>
          <w:lang w:eastAsia="zh-CN"/>
        </w:rPr>
        <w:t xml:space="preserve">★</w:t>
      </w:r>
      <w:bookmarkEnd w:id="135"/>
      <w:r>
        <w:rPr>
          <w:rFonts w:hint="eastAsia" w:ascii="宋体" w:hAnsi="宋体" w:eastAsia="宋体" w:cs="Times New Roman"/>
          <w:b/>
          <w:bCs/>
          <w:sz w:val="24"/>
          <w:szCs w:val="24"/>
          <w:highlight w:val="none"/>
          <w:lang w:eastAsia="zh-CN"/>
        </w:rPr>
        <w:t xml:space="preserve">（一）项目需求</w:t>
      </w:r>
      <w:r/>
    </w:p>
    <w:p>
      <w:pPr>
        <w:ind w:firstLine="480"/>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1.服务内容及标准要求</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8002"/>
      </w:tblGrid>
      <w:tr>
        <w:trPr/>
        <w:tc>
          <w:tcPr>
            <w:tcW w:w="2186" w:type="dxa"/>
            <w:vAlign w:val="center"/>
            <w:textDirection w:val="lrTb"/>
            <w:noWrap w:val="false"/>
          </w:tcPr>
          <w:p>
            <w:pPr>
              <w:jc w:val="center"/>
              <w:keepLines w:val="0"/>
              <w:keepNext w:val="0"/>
              <w:pageBreakBefore w:val="0"/>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岗位人员要求</w:t>
            </w:r>
            <w:r/>
          </w:p>
          <w:p>
            <w:pPr>
              <w:jc w:val="center"/>
              <w:spacing w:line="240" w:lineRule="auto"/>
              <w:widowControl w:val="off"/>
              <w:rPr>
                <w:rFonts w:hint="eastAsia" w:ascii="宋体" w:hAnsi="宋体" w:eastAsia="宋体" w:cs="Times New Roman"/>
                <w:sz w:val="24"/>
                <w:szCs w:val="24"/>
                <w:highlight w:val="none"/>
                <w:vertAlign w:val="baseline"/>
                <w:lang w:eastAsia="zh-CN"/>
              </w:rPr>
            </w:pPr>
            <w:r>
              <w:rPr>
                <w:rFonts w:hint="eastAsia" w:ascii="宋体" w:hAnsi="宋体" w:eastAsia="宋体" w:cs="Times New Roman"/>
                <w:sz w:val="24"/>
                <w:szCs w:val="24"/>
                <w:highlight w:val="none"/>
                <w:vertAlign w:val="baseline"/>
                <w:lang w:eastAsia="zh-CN"/>
              </w:rPr>
            </w:r>
            <w:r/>
          </w:p>
        </w:tc>
        <w:tc>
          <w:tcPr>
            <w:tcW w:w="8002" w:type="dxa"/>
            <w:textDirection w:val="lrTb"/>
            <w:noWrap w:val="false"/>
          </w:tcPr>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（1）项目负责人1人：</w:t>
            </w:r>
            <w:r>
              <w:rPr>
                <w:rFonts w:hint="eastAsia" w:ascii="宋体" w:hAnsi="宋体" w:eastAsia="宋体" w:cs="宋体"/>
                <w:color w:val="auto"/>
                <w:sz w:val="24"/>
                <w:szCs w:val="24"/>
                <w:highlight w:val="none"/>
                <w:lang w:val="en-US" w:eastAsia="zh-CN"/>
              </w:rPr>
              <w:t xml:space="preserve">年龄原则上在50周岁以下（含），</w:t>
            </w:r>
            <w:r>
              <w:rPr>
                <w:rFonts w:hint="eastAsia" w:ascii="宋体" w:hAnsi="宋体" w:eastAsia="宋体" w:cs="宋体"/>
                <w:sz w:val="24"/>
                <w:szCs w:val="24"/>
                <w:highlight w:val="none"/>
                <w:lang w:val="en-US" w:eastAsia="zh-CN"/>
              </w:rPr>
              <w:t xml:space="preserve">男女不限，具有较强的组织、管理、协调、沟通能力，会操作电脑使用办公软件等，能按采购人要求整理相关材料；热爱本职工作，训练有素、精于专业，有吃苦耐劳精神，身体健康，五官端正，心理健康，无不良行为记录。</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供应商所提供的项目负责人要认真履行国务院《企业事业单位内部治安保卫条例》、《保安服务管理条例》、教育部等十部委颁布的《中小学幼儿园安全管理办法》、公安部教育部颁布的《中小学幼儿园安全防范工作规范（试行）》、《江苏省企业事业单位内部治安保卫条例》、江苏省公安厅教育厅颁布的《中小学幼儿园治安保卫工作规定（试行）》以及南京市、江北新区教育、公安等部门有关保安职责要求；严格执行学校管理制度。 </w:t>
            </w:r>
            <w:r/>
          </w:p>
          <w:p>
            <w:pPr>
              <w:keepLines w:val="0"/>
              <w:keepNext w:val="0"/>
              <w:pageBreakBefore w:val="0"/>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（2）保安人员身体健康，五官端正，年龄在18周岁至60周岁之间。</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（3）人员上岗前须经过公安部门审查并取得公安机关颁发的《保安员证》。</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（4）服务幼儿园的还须持有合法有效的健康证明。</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（5）供应商在每个采购包配备1-2名管理岗（无需坐班），用于整个项目的统筹协调与管理。</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shd w:val="clear" w:color="auto"/>
                <w:lang w:val="en-US" w:eastAsia="zh-CN"/>
              </w:rPr>
              <w:t xml:space="preserve">（</w:t>
            </w:r>
            <w:r>
              <w:rPr>
                <w:rFonts w:hint="eastAsia" w:ascii="宋体" w:hAnsi="宋体" w:eastAsia="宋体" w:cs="宋体"/>
                <w:b/>
                <w:bCs/>
                <w:sz w:val="24"/>
                <w:szCs w:val="24"/>
                <w:highlight w:val="none"/>
                <w:shd w:val="clear" w:color="auto"/>
                <w:lang w:val="en-US" w:eastAsia="zh-CN"/>
              </w:rPr>
              <w:t xml:space="preserve">投标人须提供承诺函：</w:t>
            </w:r>
            <w:r>
              <w:rPr>
                <w:rFonts w:hint="eastAsia" w:ascii="宋体" w:hAnsi="宋体" w:eastAsia="宋体" w:cs="Times New Roman"/>
                <w:b/>
                <w:bCs/>
                <w:color w:val="000000"/>
                <w:sz w:val="24"/>
                <w:szCs w:val="24"/>
                <w:highlight w:val="none"/>
                <w:shd w:val="clear" w:color="auto"/>
                <w:lang w:val="en-US" w:eastAsia="zh-CN"/>
              </w:rPr>
              <w:t xml:space="preserve">如中标本项目，在合同签订之前提供项目所需保安</w:t>
            </w:r>
            <w:r>
              <w:rPr>
                <w:rFonts w:hint="eastAsia" w:ascii="宋体" w:hAnsi="宋体" w:eastAsia="宋体" w:cs="宋体"/>
                <w:b/>
                <w:bCs/>
                <w:sz w:val="24"/>
                <w:szCs w:val="24"/>
                <w:highlight w:val="none"/>
                <w:shd w:val="clear" w:color="auto"/>
                <w:lang w:val="en-US" w:eastAsia="zh-CN"/>
              </w:rPr>
              <w:t xml:space="preserve">服务人员花名册及人员身份证、相应的执业资格证书复印件、相关人事背景调查和健康检查材料等</w:t>
            </w:r>
            <w:r>
              <w:rPr>
                <w:rFonts w:hint="eastAsia" w:ascii="宋体" w:hAnsi="宋体" w:eastAsia="宋体" w:cs="Times New Roman"/>
                <w:b/>
                <w:bCs/>
                <w:color w:val="000000"/>
                <w:sz w:val="24"/>
                <w:szCs w:val="24"/>
                <w:highlight w:val="none"/>
                <w:shd w:val="clear" w:color="auto"/>
                <w:lang w:val="en-US" w:eastAsia="zh-CN"/>
              </w:rPr>
              <w:t xml:space="preserve">，</w:t>
            </w:r>
            <w:r>
              <w:rPr>
                <w:rFonts w:hint="eastAsia" w:ascii="宋体" w:hAnsi="宋体" w:eastAsia="宋体" w:cs="宋体"/>
                <w:b/>
                <w:bCs/>
                <w:sz w:val="24"/>
                <w:szCs w:val="24"/>
                <w:highlight w:val="none"/>
                <w:shd w:val="clear" w:color="auto"/>
                <w:lang w:val="en-US" w:eastAsia="zh-CN"/>
              </w:rPr>
              <w:t xml:space="preserve">提供的材料不全或不提供，</w:t>
            </w:r>
            <w:r>
              <w:rPr>
                <w:rFonts w:hint="eastAsia" w:ascii="宋体" w:hAnsi="宋体" w:eastAsia="宋体" w:cs="Times New Roman"/>
                <w:b/>
                <w:bCs/>
                <w:color w:val="000000"/>
                <w:sz w:val="24"/>
                <w:szCs w:val="24"/>
                <w:highlight w:val="none"/>
                <w:shd w:val="clear" w:color="auto"/>
                <w:lang w:val="en-US" w:eastAsia="zh-CN"/>
              </w:rPr>
              <w:t xml:space="preserve">中标资格自动取消，中标资格根据评标委员会评标结果按规定依次递补，承诺函格式自拟</w:t>
            </w:r>
            <w:r>
              <w:rPr>
                <w:rFonts w:hint="eastAsia" w:ascii="宋体" w:hAnsi="宋体" w:eastAsia="宋体" w:cs="宋体"/>
                <w:sz w:val="24"/>
                <w:szCs w:val="24"/>
                <w:highlight w:val="none"/>
                <w:shd w:val="clear" w:color="auto"/>
                <w:lang w:val="en-US" w:eastAsia="zh-CN"/>
              </w:rPr>
              <w:t xml:space="preserve">）</w:t>
            </w:r>
            <w:r/>
          </w:p>
        </w:tc>
      </w:tr>
      <w:tr>
        <w:trPr/>
        <w:tc>
          <w:tcPr>
            <w:tcW w:w="2186"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vertAlign w:val="baseline"/>
                <w:lang w:eastAsia="zh-CN"/>
              </w:rPr>
            </w:pPr>
            <w:r>
              <w:rPr>
                <w:rFonts w:hint="eastAsia" w:ascii="宋体" w:hAnsi="宋体" w:eastAsia="宋体" w:cs="宋体"/>
                <w:b/>
                <w:bCs/>
                <w:sz w:val="24"/>
                <w:szCs w:val="24"/>
                <w:highlight w:val="none"/>
                <w:lang w:val="en-US" w:eastAsia="zh-CN"/>
              </w:rPr>
              <w:t xml:space="preserve">具体岗位人员配备和要求</w:t>
            </w:r>
            <w:r/>
          </w:p>
        </w:tc>
        <w:tc>
          <w:tcPr>
            <w:tcW w:w="8002" w:type="dxa"/>
            <w:textDirection w:val="lrTb"/>
            <w:noWrap w:val="false"/>
          </w:tcPr>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（1）所提供的保安要认真履行</w:t>
            </w:r>
            <w:r>
              <w:rPr>
                <w:rFonts w:hint="eastAsia" w:ascii="宋体" w:hAnsi="宋体" w:eastAsia="宋体" w:cs="宋体"/>
                <w:sz w:val="24"/>
                <w:szCs w:val="24"/>
                <w:highlight w:val="none"/>
                <w:lang w:eastAsia="zh-CN"/>
              </w:rPr>
              <w:t xml:space="preserve">相关法律规定</w:t>
            </w:r>
            <w:r>
              <w:rPr>
                <w:rFonts w:hint="eastAsia" w:ascii="宋体" w:hAnsi="宋体" w:eastAsia="宋体" w:cs="宋体"/>
                <w:sz w:val="24"/>
                <w:szCs w:val="24"/>
                <w:highlight w:val="none"/>
                <w:lang w:val="en-US" w:eastAsia="zh-CN"/>
              </w:rPr>
              <w:t xml:space="preserve">，其基本职责要求如下：</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①值守校园大门，接待外来人员车辆，维护门口秩序，做好相关记录；</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②按规定巡视校园内及周边，谨防偷窃及其它违法犯罪行为发生；</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③对无理取闹、滋扰、捣乱秩序者，除向学校管理者报告外，应采取措施，果断处理，并及时报警；对刑事、治安事件应及时制止并报警，同时保护好现场，协助公安机关依法处置；</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④消防值守，及时发现校园火情并报告报警，配合学校及消防人员消除火情及其它隐患；</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⑤工作时间内应按规定着装，佩戴标志，按照规定携带和使用必要的防护器材，遵纪守法，文明执勤，礼貌用语，维护良好的校园形象；</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⑥保持门卫室、值班室整洁有序，各类设备器材物品按指定位置摆放；</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⑦规范操作各类技防设备，若有损坏不能正常运转及时上报维修，发现异常情况及时报告报警；</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⑧配合学校处置其它突发情况如停电、停水、自然灾害等；</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9 \* GB3</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 xml:space="preserve">⑨</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 xml:space="preserve">按照学校安排，配合学校重大活动的安保工作。</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（2）保安员另应遵守以下规定：</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①自觉服从校方管理；</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②按时上下班，不得迟到、早退；</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③不得有偷窃、偷窥、伤害等侵权行为；</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④不得打听、泄露校方秘密；</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⑤工作期间不得抽烟、看报、看杂志或小说、看电视等，不得用手机上网玩游戏等，不得用甲方提供的固定电话长时间打私人电话，不得酗酒、赌博、打架及擅自离岗等不良行为。</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供应商要保证所服务的学校学生到校、在校、放学期间至少有2名保安同时在岗护学，其它时间至少有1名保安在岗；寄宿制学校由各学校结合实际确定在岗人数（应高于上述要求）。上述要求是最低需求，具体人数可以由各学校与供应商签订具体服务合同时商定。</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黑体" w:hAnsi="黑体" w:eastAsia="黑体" w:cs="黑体"/>
                <w:b/>
                <w:bCs/>
                <w:sz w:val="24"/>
                <w:szCs w:val="24"/>
                <w:highlight w:val="none"/>
                <w:lang w:eastAsia="zh-CN"/>
              </w:rPr>
              <w:t xml:space="preserve">★</w:t>
            </w:r>
            <w:r>
              <w:rPr>
                <w:rFonts w:hint="eastAsia" w:ascii="宋体" w:hAnsi="宋体" w:eastAsia="宋体" w:cs="宋体"/>
                <w:sz w:val="24"/>
                <w:szCs w:val="24"/>
                <w:highlight w:val="none"/>
                <w:lang w:val="en-US" w:eastAsia="zh-CN"/>
              </w:rPr>
              <w:t xml:space="preserve">（4）供应商按照保安协会要求统一配备保安着装装备（每人1套），着装包括帽子、头盔、制服（2套）、腰带、手套等，装备包括橡胶警棍、辣椒水、防割手套等，提供承诺函。</w:t>
            </w:r>
            <w:r/>
          </w:p>
        </w:tc>
      </w:tr>
      <w:tr>
        <w:trPr/>
        <w:tc>
          <w:tcPr>
            <w:tcW w:w="2186" w:type="dxa"/>
            <w:vAlign w:val="center"/>
            <w:textDirection w:val="lrTb"/>
            <w:noWrap w:val="false"/>
          </w:tcPr>
          <w:p>
            <w:pPr>
              <w:jc w:val="center"/>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管理服务内容</w:t>
            </w:r>
            <w:r/>
          </w:p>
        </w:tc>
        <w:tc>
          <w:tcPr>
            <w:tcW w:w="8002" w:type="dxa"/>
            <w:textDirection w:val="lrTb"/>
            <w:noWrap w:val="false"/>
          </w:tcPr>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日常管理：</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南京江北新区管理委员会教育局</w:t>
            </w:r>
            <w:r>
              <w:rPr>
                <w:rFonts w:hint="eastAsia" w:ascii="宋体" w:hAnsi="宋体" w:eastAsia="宋体" w:cs="宋体"/>
                <w:sz w:val="24"/>
                <w:szCs w:val="24"/>
                <w:highlight w:val="none"/>
                <w:lang w:val="en-US" w:eastAsia="zh-CN"/>
              </w:rPr>
              <w:t xml:space="preserve">等相关部门及学校依据相关法律法规文件要求，对保安服务公司及保安人员进行日常监督管理，公司及保安应服从管理，提升服务水平；</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（2）公司调换保安须征得学校同意，学校提出换人要求的，公司应在1周内调换人员；</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（3）公司每月至少检查指导1次保安履职情况；</w:t>
            </w:r>
            <w:r/>
          </w:p>
          <w:p>
            <w:pP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4）保安上岗前公司应组织岗前培训，服务期间公司每学期至少组织1次集中培训，时间不少于1天；培训方案计划及培训过程性资料（含图片、视频资料）报区教育局审查备案；送专业培训公司培训的，报名缴费相关证明材料报区局审查备案；</w:t>
            </w:r>
            <w:r/>
          </w:p>
        </w:tc>
      </w:tr>
      <w:tr>
        <w:trPr/>
        <w:tc>
          <w:tcPr>
            <w:tcW w:w="2186"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管理规章制度要求</w:t>
            </w:r>
            <w:r/>
          </w:p>
        </w:tc>
        <w:tc>
          <w:tcPr>
            <w:tcW w:w="8002" w:type="dxa"/>
            <w:textDirection w:val="lrTb"/>
            <w:noWrap w:val="false"/>
          </w:tcPr>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（一）编制符合学校管理要求的文明办公制度。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（二）建立健全符合学校安保服务要求的企业内部管理制度、岗位职责、员工行为规范、统一着装、工作标准等。 </w:t>
            </w:r>
            <w:r/>
          </w:p>
          <w:p>
            <w:pPr>
              <w:jc w:val="left"/>
              <w:keepLines w:val="0"/>
              <w:keepNext w:val="0"/>
              <w:pageBreakBefore w:val="0"/>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（三）建立严密的确保服务质量目标实现的内部运作制度。</w:t>
            </w:r>
            <w:r/>
          </w:p>
        </w:tc>
      </w:tr>
      <w:tr>
        <w:trPr/>
        <w:tc>
          <w:tcPr>
            <w:tcW w:w="2186"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保安员严禁从事下列活动</w:t>
            </w:r>
            <w:r/>
          </w:p>
        </w:tc>
        <w:tc>
          <w:tcPr>
            <w:tcW w:w="8002" w:type="dxa"/>
            <w:textDirection w:val="lrTb"/>
            <w:noWrap w:val="false"/>
          </w:tcPr>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1、限制他人人身自由、搜查他人身体或者侮辱、殴打他人。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2、扣押、没收他人证件、财务。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3、阻碍依法执行公务。 </w:t>
            </w:r>
            <w:r/>
          </w:p>
          <w:p>
            <w:pPr>
              <w:jc w:val="left"/>
              <w:keepLines w:val="0"/>
              <w:keepNext w:val="0"/>
              <w:pageBreakBefore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4、侵犯客户隐私或者泄露在服务中获知的国家秘密、商业秘密等。</w:t>
            </w:r>
            <w:r/>
          </w:p>
        </w:tc>
      </w:tr>
    </w:tbl>
    <w:p>
      <w:pPr>
        <w:rPr>
          <w:rFonts w:hint="eastAsia"/>
          <w:lang w:val="en-US" w:eastAsia="zh-CN"/>
        </w:rPr>
      </w:pPr>
      <w:r>
        <w:rPr>
          <w:rFonts w:hint="eastAsia"/>
          <w:lang w:val="en-US" w:eastAsia="zh-CN"/>
        </w:rPr>
      </w:r>
      <w:r/>
    </w:p>
    <w:p>
      <w:pPr>
        <w:pStyle w:val="860"/>
        <w:jc w:val="both"/>
        <w:pageBreakBefore w:val="0"/>
        <w:spacing w:before="145" w:after="145" w:line="264" w:lineRule="auto"/>
        <w:widowControl w:val="off"/>
        <w:rPr>
          <w:rFonts w:hint="eastAsia" w:ascii="宋体" w:hAnsi="宋体" w:eastAsia="宋体" w:cs="Times New Roman"/>
          <w:b w:val="0"/>
          <w:bCs w:val="0"/>
          <w:color w:val="000000"/>
          <w:sz w:val="24"/>
          <w:szCs w:val="24"/>
          <w:highlight w:val="none"/>
          <w:lang w:val="en-US" w:eastAsia="zh-CN" w:bidi="ar-SA"/>
        </w:rPr>
        <w:outlineLvl w:val="9"/>
      </w:pPr>
      <w:r>
        <w:rPr>
          <w:rFonts w:hint="eastAsia" w:ascii="宋体" w:hAnsi="宋体" w:eastAsia="宋体" w:cs="Times New Roman"/>
          <w:b w:val="0"/>
          <w:bCs w:val="0"/>
          <w:color w:val="000000"/>
          <w:sz w:val="24"/>
          <w:szCs w:val="24"/>
          <w:highlight w:val="none"/>
          <w:lang w:val="en-US" w:eastAsia="zh-CN" w:bidi="ar-SA"/>
        </w:rPr>
        <w:t xml:space="preserve">2.技术要求</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8278"/>
      </w:tblGrid>
      <w:tr>
        <w:trPr/>
        <w:tc>
          <w:tcPr>
            <w:tcW w:w="1910" w:type="dxa"/>
            <w:vAlign w:val="center"/>
            <w:textDirection w:val="lrTb"/>
            <w:noWrap w:val="false"/>
          </w:tcPr>
          <w:p>
            <w:pPr>
              <w:pStyle w:val="861"/>
              <w:ind w:left="0" w:firstLine="0"/>
              <w:jc w:val="center"/>
              <w:rPr>
                <w:rFonts w:hint="eastAsia"/>
                <w:vertAlign w:val="baseline"/>
                <w:lang w:val="en-US" w:eastAsia="zh-CN"/>
              </w:rPr>
            </w:pPr>
            <w:r>
              <w:rPr>
                <w:rFonts w:hint="eastAsia" w:ascii="宋体" w:hAnsi="宋体" w:eastAsia="宋体" w:cs="宋体"/>
                <w:b/>
                <w:bCs/>
                <w:color w:val="000000"/>
                <w:sz w:val="24"/>
                <w:szCs w:val="24"/>
                <w:highlight w:val="none"/>
                <w:lang w:val="en-US" w:eastAsia="zh-CN"/>
              </w:rPr>
              <w:t xml:space="preserve">总体要求</w:t>
            </w:r>
            <w:r/>
          </w:p>
        </w:tc>
        <w:tc>
          <w:tcPr>
            <w:tcW w:w="8278" w:type="dxa"/>
            <w:textDirection w:val="lrTb"/>
            <w:noWrap w:val="false"/>
          </w:tcPr>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1、管理思想应体现树立学校形象和保障正常的教育教学秩序、保障学校财产和师生人身不受侵害的具体措施，满足科学、领先、适宜和可操作性要求。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2、管理团队决策组织协调能力和政策水平应与学校形象和活动需要相匹配。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3、安保服务及运作应切合学校的教学特点和活动要求。配合学校进行各级各类技能大赛等临时性活动，提供全时段的设施、场地保障服务，为各类型赛事（训练）、教学科研、观摩调研、家长会等活动做好随时全天候服务，及时做好各方面的准备活动和会后恢复服务。</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4、安保服务保障工作严密周到，且有应急可靠协调的能力。 </w:t>
            </w:r>
            <w:r/>
          </w:p>
          <w:p>
            <w:pPr>
              <w:pStyle w:val="861"/>
              <w:ind w:left="0" w:firstLine="0"/>
              <w:rPr>
                <w:rFonts w:hint="eastAsia"/>
                <w:vertAlign w:val="baseline"/>
                <w:lang w:val="en-US" w:eastAsia="zh-CN"/>
              </w:rPr>
            </w:pPr>
            <w:r>
              <w:rPr>
                <w:rFonts w:hint="eastAsia" w:ascii="宋体" w:hAnsi="宋体" w:eastAsia="宋体" w:cs="宋体"/>
                <w:color w:val="000000"/>
                <w:sz w:val="24"/>
                <w:szCs w:val="24"/>
                <w:highlight w:val="none"/>
                <w:lang w:val="en-US" w:eastAsia="zh-CN"/>
              </w:rPr>
              <w:t xml:space="preserve">5、制定切实可行的应急预案，突发事件反应迅速，处置有力。</w:t>
            </w:r>
            <w:r/>
          </w:p>
        </w:tc>
      </w:tr>
      <w:tr>
        <w:trPr/>
        <w:tc>
          <w:tcPr>
            <w:tcW w:w="1910" w:type="dxa"/>
            <w:vAlign w:val="center"/>
            <w:textDirection w:val="lrTb"/>
            <w:noWrap w:val="false"/>
          </w:tcPr>
          <w:p>
            <w:pPr>
              <w:pStyle w:val="861"/>
              <w:ind w:left="0" w:firstLine="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日常管理</w:t>
            </w:r>
            <w:r/>
          </w:p>
        </w:tc>
        <w:tc>
          <w:tcPr>
            <w:tcW w:w="8278" w:type="dxa"/>
            <w:textDirection w:val="lrTb"/>
            <w:noWrap w:val="false"/>
          </w:tcPr>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1、区教育局等相关部门及学校依据相关法律法规文件要求，对保安服务公司及保安人员进行日常监督管理，公司及保安应服从管理，不断提升服务水平；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2、公司调换安保人员须征得学校同意，学校提出换人要求的，公司应在1周内换人；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3、公司每周至少检查指导1次安保人员履职情况；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4、安保人员上岗前公司应组织岗前培训，培训方案计划及培训过程性资料（含图片、视频资料）报区教育局审查备案；送专业培训公司培训的，报名缴费相关证明材料报区教育局审查备案； </w:t>
            </w:r>
            <w:r/>
          </w:p>
          <w:p>
            <w:pPr>
              <w:jc w:val="left"/>
              <w:keepLines w:val="0"/>
              <w:keepNext w:val="0"/>
              <w:pageBreakBefore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5、对管理规范、服务到位的公司和责任心强、业务能力好的安保人员，区教育局和学校将视情给予表彰。</w:t>
            </w:r>
            <w:r/>
          </w:p>
        </w:tc>
      </w:tr>
      <w:tr>
        <w:trPr/>
        <w:tc>
          <w:tcPr>
            <w:tcW w:w="1910" w:type="dxa"/>
            <w:vAlign w:val="center"/>
            <w:textDirection w:val="lrTb"/>
            <w:noWrap w:val="false"/>
          </w:tcPr>
          <w:p>
            <w:pPr>
              <w:pStyle w:val="861"/>
              <w:ind w:left="0" w:firstLine="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服务装备要求</w:t>
            </w:r>
            <w:r/>
          </w:p>
        </w:tc>
        <w:tc>
          <w:tcPr>
            <w:tcW w:w="8278" w:type="dxa"/>
            <w:textDirection w:val="lrTb"/>
            <w:noWrap w:val="false"/>
          </w:tcPr>
          <w:p>
            <w:pPr>
              <w:jc w:val="left"/>
              <w:keepLines w:val="0"/>
              <w:keepNext w:val="0"/>
              <w:pageBreakBefore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（一）物资装备投入</w:t>
            </w:r>
            <w:r>
              <w:rPr>
                <w:rFonts w:hint="eastAsia" w:ascii="宋体" w:hAnsi="宋体" w:eastAsia="宋体" w:cs="宋体"/>
                <w:sz w:val="24"/>
                <w:szCs w:val="24"/>
                <w:highlight w:val="none"/>
                <w:lang w:val="en-US" w:eastAsia="zh-CN"/>
              </w:rPr>
              <w:t xml:space="preserve">由供应商负责，按满足于服务质量管理目标实际需要和科学、节约原则配置。</w:t>
            </w:r>
            <w:r/>
          </w:p>
          <w:p>
            <w:pPr>
              <w:jc w:val="left"/>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（二）按服装、设备、机具、用具、耗材、易耗品等分类细列并测算（供应商自行提供），相关器具用品须列明品牌；供应商配置的固定资产折旧分摊符合国家规定、易耗品消耗分摊合理。</w:t>
            </w:r>
            <w:r/>
          </w:p>
          <w:p>
            <w:pPr>
              <w:jc w:val="left"/>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根据中小学、幼儿园安全防范要求（GB/T29315-2022）服务单位的全体安保人员配备必要的防护装备和通信器材，主要包括:防暴头盔、防护盾牌、防刺背心、防割手套、橡胶警棍、强光电简、自卫喷雾剂、安全钢叉和对讲机等。</w:t>
            </w:r>
            <w:r/>
          </w:p>
          <w:p>
            <w:pPr>
              <w:jc w:val="left"/>
              <w:keepLines w:val="0"/>
              <w:keepNext w:val="0"/>
              <w:pageBreakBefore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（四）为服务单位统一制作各类工作职责、人员信息公示牌并上墙，提供各类工作记录本等。</w:t>
            </w:r>
            <w:r/>
          </w:p>
        </w:tc>
      </w:tr>
    </w:tbl>
    <w:p>
      <w:pPr>
        <w:pStyle w:val="861"/>
        <w:ind w:left="0" w:firstLine="0"/>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r>
      <w:r/>
    </w:p>
    <w:p>
      <w:pPr>
        <w:pStyle w:val="861"/>
        <w:ind w:left="0" w:firstLine="0"/>
        <w:rPr>
          <w:rFonts w:hint="eastAsia"/>
          <w:highlight w:val="none"/>
          <w:lang w:val="en-US" w:eastAsia="zh-CN"/>
        </w:rPr>
      </w:pPr>
      <w:r>
        <w:rPr>
          <w:rFonts w:hint="eastAsia" w:ascii="宋体" w:hAnsi="宋体" w:eastAsia="宋体" w:cs="Times New Roman"/>
          <w:b w:val="0"/>
          <w:bCs w:val="0"/>
          <w:color w:val="000000"/>
          <w:sz w:val="24"/>
          <w:szCs w:val="24"/>
          <w:highlight w:val="none"/>
          <w:lang w:val="en-US" w:eastAsia="zh-CN" w:bidi="ar-SA"/>
        </w:rPr>
        <w:t xml:space="preserve">3.其他要求</w:t>
      </w:r>
      <w:r/>
    </w:p>
    <w:tbl>
      <w:tblPr>
        <w:tblStyle w:val="679"/>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（一）投标服务方案中应包含管理服务方案、交接过渡方案、学校重大活动服务方案、应急保障方案、人员岗位职责分工、重难点分析。</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（二）采购人免费提供安保办公用房（不提供办公家具及电话），产权归采购人所有，供应商不得利用服务区域内的采购人房产、物业、水电等资源从事经营活动，该房屋不得从事任何与本安保服务无关活动。</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（三）如果发生因供应商工作失职造成消防事故、失窃事件或其他财产损失和人身伤害，均由供应商承担相关经济损失和法律责任。</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供应商所有全体工作人员的岗位职责、操作规范、人身安全、医疗、工资、各项保险、劳动工具、工作物资、劳保用品、内部管理、各类纠纷等各项事宜及所涉及经费均由供应商自行负责，采购人概不负责。</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（五）因工作需要，如需增加保安人员的，采购人在中标单位中指定，价格同中标价格；</w:t>
            </w:r>
            <w:r>
              <w:rPr>
                <w:rFonts w:hint="eastAsia" w:ascii="宋体" w:hAnsi="宋体" w:eastAsia="宋体" w:cs="宋体"/>
                <w:color w:val="auto"/>
                <w:sz w:val="24"/>
                <w:szCs w:val="24"/>
                <w:highlight w:val="none"/>
                <w:lang w:val="en-US" w:eastAsia="zh-CN"/>
              </w:rPr>
              <w:t xml:space="preserve">如因学校撤并或按安保配备标准调整，</w:t>
            </w:r>
            <w:r>
              <w:rPr>
                <w:rFonts w:hint="eastAsia" w:ascii="宋体" w:hAnsi="宋体" w:eastAsia="宋体" w:cs="宋体"/>
                <w:sz w:val="24"/>
                <w:szCs w:val="24"/>
                <w:highlight w:val="none"/>
                <w:lang w:val="en-US" w:eastAsia="zh-CN"/>
              </w:rPr>
              <w:t xml:space="preserve">供应商必须服从采购人的调整，增加的保安人员价格同中标价格，减少的不再支付费用。</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（六）若遇紧急突发性情况、重大活动等需要中标供应商提供服务的，供应商需主动配合，并承担相应风险。</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（七）供应商在签订合同时应提供派入服务人员花名册。人员的变更调整或缺岗及病事假等都要及时向采购人报告沟通，待采购人同意后方可进行人员变动。</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（八）供应商用工应按国家有关规定执行，如因用工不当造成的损失，由供应商承担全部责任。</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九）供应商在服务中应严格要求工作人员，安全生产，做好各种防护措施，并承担全部安全责任。在防火、防用电事故、防人身伤害等方面出现重大失误，造成后果者，全部由供应商负责，采购人不承担任何责任，并视情扣除相应的管理费用。</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（十）退出机制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1、出现以下情况，学校有权要求公司换人：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（1）条件与合同要求不符的；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（2）不能胜任岗位要求的；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（3）不服从学校管理的；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（4）违反相关法律法规及上级文件规定的；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（5）违反学校管理制度的；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（6）其它情况需要换人的。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2、出现以下情况，教育局有权解除合同并依法追究公司责任：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（1）公司未按规定进行日常检查指导，造成严重后果的；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（2）公司未按要求组织安保人员培训的；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（3）教育、公安等部门检查书面责令整改，未及时整改到位超过3次的；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（4）安保人员失职造成师生1人以上重大伤害或10万元以上财物损失的；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（5）安保人员因履职不到位，给学校造成恶劣的负面影响的等等。</w:t>
            </w:r>
            <w:r/>
          </w:p>
          <w:p>
            <w:pPr>
              <w:jc w:val="both"/>
              <w:spacing w:line="240" w:lineRule="auto"/>
              <w:widowControl w:val="off"/>
              <w:rPr>
                <w:rFonts w:hint="default"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lang w:val="en-US" w:eastAsia="zh-CN"/>
              </w:rPr>
              <w:t xml:space="preserve">(十一)供应商要按照采购人的需要服务并完全满足采购人的需求。</w:t>
            </w:r>
            <w:r/>
          </w:p>
        </w:tc>
      </w:tr>
    </w:tbl>
    <w:p>
      <w:pPr>
        <w:jc w:val="both"/>
        <w:pageBreakBefore w:val="0"/>
        <w:spacing w:line="360" w:lineRule="auto"/>
        <w:widowControl w:val="off"/>
        <w:rPr>
          <w:rFonts w:hint="eastAsia" w:ascii="宋体" w:hAnsi="宋体" w:eastAsia="宋体" w:cs="宋体"/>
          <w:b/>
          <w:bCs/>
          <w:sz w:val="24"/>
          <w:szCs w:val="24"/>
          <w:highlight w:val="none"/>
          <w:lang w:eastAsia="zh-CN"/>
        </w:rPr>
        <w:outlineLvl w:val="1"/>
      </w:pPr>
      <w:r>
        <w:rPr>
          <w:rFonts w:hint="eastAsia" w:ascii="黑体" w:hAnsi="黑体" w:eastAsia="黑体" w:cs="黑体"/>
          <w:b/>
          <w:bCs/>
          <w:sz w:val="24"/>
          <w:szCs w:val="24"/>
          <w:highlight w:val="none"/>
          <w:lang w:eastAsia="zh-CN"/>
        </w:rPr>
        <w:t xml:space="preserve">★</w:t>
      </w:r>
      <w:r>
        <w:rPr>
          <w:rFonts w:hint="eastAsia" w:ascii="宋体" w:hAnsi="宋体" w:eastAsia="宋体" w:cs="宋体"/>
          <w:b/>
          <w:bCs/>
          <w:sz w:val="24"/>
          <w:szCs w:val="24"/>
          <w:highlight w:val="none"/>
          <w:lang w:eastAsia="zh-CN"/>
        </w:rPr>
        <w:t xml:space="preserve">（二）商务要求</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1.报价要求</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报价为全包费用报价，不得更改。投标报价应是本采购文件所包含确定的全部工作内容及本采购文件未说明但完成该项目必须包含的所有全包费用的价格体现。供应商应充分考虑所有可能影响到报价的价格及政策等风险因素，最终报价应包含人员工资（不得低于保安服务合同履行所在地最低工资）、商业保险、福利、相关补贴、装备费、税金、管理费等各种税费、国家强制社保资金、住房公积金以及供应商认为需要的其他费用等，供应商的任何错漏、优惠、竞争性报价不得作为减轻责任、减少服务、增加收费、降低服务质量的理由。</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Times New Roman"/>
          <w:sz w:val="24"/>
          <w:szCs w:val="24"/>
          <w:highlight w:val="none"/>
          <w:lang w:val="en-US" w:eastAsia="zh-CN"/>
        </w:rPr>
        <w:t xml:space="preserve">评标委员会认为投标人的报价明显低于其他通过符合性审查投标人的报价，有可能影响服务质量或者不能诚信履约的，将要求其在合理的时间内提供书面说明并加盖公章，必要时提交相关证明材料；投标人不能证明其报价合理性的，评标委员会将其作为无效投标处理。</w:t>
      </w:r>
      <w:r/>
    </w:p>
    <w:p>
      <w:pPr>
        <w:ind w:firstLine="480"/>
        <w:keepLines w:val="0"/>
        <w:keepNext w:val="0"/>
        <w:pageBreakBefore w:val="0"/>
        <w:spacing w:line="360" w:lineRule="auto"/>
        <w:widowControl/>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2.付款条件</w:t>
      </w:r>
      <w:r/>
    </w:p>
    <w:p>
      <w:pPr>
        <w:ind w:firstLine="480"/>
        <w:keepLines w:val="0"/>
        <w:keepNext w:val="0"/>
        <w:pageBreakBefore w:val="0"/>
        <w:spacing w:line="360" w:lineRule="auto"/>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zh-CN" w:eastAsia="zh-CN"/>
        </w:rPr>
        <w:t xml:space="preserve">采购资金由</w:t>
      </w:r>
      <w:r>
        <w:rPr>
          <w:rFonts w:hint="eastAsia" w:ascii="宋体" w:hAnsi="宋体" w:eastAsia="宋体" w:cs="Times New Roman"/>
          <w:sz w:val="24"/>
          <w:szCs w:val="24"/>
          <w:highlight w:val="none"/>
          <w:lang w:val="en-US" w:eastAsia="zh-CN"/>
        </w:rPr>
        <w:t xml:space="preserve">南京江北新区管理委员会教育局</w:t>
      </w:r>
      <w:r>
        <w:rPr>
          <w:rFonts w:hint="eastAsia" w:ascii="宋体" w:hAnsi="宋体" w:eastAsia="宋体" w:cs="Times New Roman"/>
          <w:sz w:val="24"/>
          <w:szCs w:val="24"/>
          <w:highlight w:val="none"/>
          <w:lang w:val="zh-CN" w:eastAsia="zh-CN"/>
        </w:rPr>
        <w:t xml:space="preserve">统一支付，</w:t>
      </w:r>
      <w:r>
        <w:rPr>
          <w:rFonts w:hint="eastAsia" w:ascii="宋体" w:hAnsi="宋体" w:eastAsia="宋体" w:cs="Times New Roman"/>
          <w:sz w:val="24"/>
          <w:szCs w:val="24"/>
          <w:highlight w:val="none"/>
          <w:lang w:val="en-US" w:eastAsia="zh-CN"/>
        </w:rPr>
        <w:t xml:space="preserve">中标供应商</w:t>
      </w:r>
      <w:r>
        <w:rPr>
          <w:rFonts w:hint="eastAsia" w:ascii="宋体" w:hAnsi="宋体" w:eastAsia="宋体" w:cs="Times New Roman"/>
          <w:sz w:val="24"/>
          <w:szCs w:val="24"/>
          <w:highlight w:val="none"/>
          <w:lang w:val="zh-CN" w:eastAsia="zh-CN"/>
        </w:rPr>
        <w:t xml:space="preserve">向</w:t>
      </w:r>
      <w:r>
        <w:rPr>
          <w:rFonts w:hint="eastAsia" w:ascii="宋体" w:hAnsi="宋体" w:eastAsia="宋体" w:cs="Times New Roman"/>
          <w:sz w:val="24"/>
          <w:szCs w:val="24"/>
          <w:highlight w:val="none"/>
          <w:lang w:val="en-US" w:eastAsia="zh-CN"/>
        </w:rPr>
        <w:t xml:space="preserve">南京江北新区管理委员会教育局</w:t>
      </w:r>
      <w:r>
        <w:rPr>
          <w:rFonts w:hint="eastAsia" w:ascii="宋体" w:hAnsi="宋体" w:eastAsia="宋体" w:cs="Times New Roman"/>
          <w:sz w:val="24"/>
          <w:szCs w:val="24"/>
          <w:highlight w:val="none"/>
          <w:lang w:val="zh-CN" w:eastAsia="zh-CN"/>
        </w:rPr>
        <w:t xml:space="preserve">开具发票</w:t>
      </w:r>
      <w:r/>
    </w:p>
    <w:p>
      <w:pPr>
        <w:ind w:firstLine="480"/>
        <w:keepLines w:val="0"/>
        <w:keepNext w:val="0"/>
        <w:pageBreakBefore w:val="0"/>
        <w:spacing w:line="360" w:lineRule="auto"/>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
        </w:rPr>
        <w:t xml:space="preserve">商务</w:t>
      </w:r>
      <w:r>
        <w:rPr>
          <w:rFonts w:hint="eastAsia" w:ascii="宋体" w:hAnsi="宋体" w:eastAsia="宋体" w:cs="Times New Roman"/>
          <w:sz w:val="24"/>
          <w:szCs w:val="24"/>
          <w:highlight w:val="none"/>
          <w:lang w:val="en-US" w:eastAsia="zh-CN"/>
        </w:rPr>
        <w:t xml:space="preserve">标准</w:t>
      </w:r>
      <w:r/>
    </w:p>
    <w:p>
      <w:pPr>
        <w:ind w:left="0" w:right="0" w:firstLine="480"/>
        <w:jc w:val="both"/>
        <w:keepLines w:val="0"/>
        <w:keepNext w:val="0"/>
        <w:pageBreakBefore w:val="0"/>
        <w:spacing w:beforeAutospacing="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
        </w:rPr>
        <w:t xml:space="preserve">1</w:t>
      </w:r>
      <w:r>
        <w:rPr>
          <w:rFonts w:hint="eastAsia" w:ascii="宋体" w:hAnsi="宋体" w:eastAsia="宋体" w:cs="宋体"/>
          <w:sz w:val="24"/>
          <w:szCs w:val="24"/>
          <w:highlight w:val="none"/>
          <w:lang w:val="en-US" w:eastAsia="zh-CN"/>
        </w:rPr>
        <w:t xml:space="preserve">、对发生重大有影响责任事件（包括人身伤害、火灾、物品失窃等）和安全事故的，供应商存在过错的，需承担相应的责任损失；采购人可通过法律程序维权，供应商依法承担相应的法律责任。</w:t>
      </w:r>
      <w:r/>
    </w:p>
    <w:p>
      <w:pPr>
        <w:ind w:left="0" w:right="0" w:firstLine="480"/>
        <w:jc w:val="both"/>
        <w:keepLines w:val="0"/>
        <w:keepNext w:val="0"/>
        <w:pageBreakBefore w:val="0"/>
        <w:spacing w:beforeAutospacing="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
        </w:rPr>
        <w:t xml:space="preserve">2</w:t>
      </w:r>
      <w:r>
        <w:rPr>
          <w:rFonts w:hint="eastAsia" w:ascii="宋体" w:hAnsi="宋体" w:eastAsia="宋体" w:cs="宋体"/>
          <w:sz w:val="24"/>
          <w:szCs w:val="24"/>
          <w:highlight w:val="none"/>
          <w:lang w:val="en-US" w:eastAsia="zh-CN"/>
        </w:rPr>
        <w:t xml:space="preserve">、供应商不能完成招标文件内的服务项目，采购人有权请其他单位进行服务，所产生费用由中标供应商承担。</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3、供应商应根据学校的管理服务要求，承诺管理服务质量目标。</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4、服务质量目标的实现，应有适合本项目质量控制的管理体系作保证，且在日后管理中能够随时经受采购人质量审核。</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5、实现质量目标的步骤、措施。</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6、有义务协助学校搞好突击性后勤辅助工作。</w:t>
      </w:r>
      <w:r/>
    </w:p>
    <w:p>
      <w:pPr>
        <w:pStyle w:val="861"/>
        <w:ind w:left="0" w:firstLine="482"/>
        <w:keepLines w:val="0"/>
        <w:keepNext w:val="0"/>
        <w:pageBreakBefore w:val="0"/>
        <w:spacing w:line="360" w:lineRule="auto"/>
        <w:rPr>
          <w:rFonts w:hint="default"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★4.服务承诺</w:t>
      </w:r>
      <w:r/>
    </w:p>
    <w:p>
      <w:pPr>
        <w:pageBreakBefore w:val="0"/>
        <w:spacing w:line="360" w:lineRule="auto"/>
        <w:rPr>
          <w:rFonts w:ascii="Arial"/>
          <w:sz w:val="2"/>
          <w:highlight w:val="none"/>
        </w:rPr>
      </w:pPr>
      <w:r>
        <w:rPr>
          <w:rFonts w:ascii="Arial"/>
          <w:sz w:val="2"/>
          <w:highlight w:val="none"/>
        </w:rPr>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应商服务学校名单由采购人在签订合同时确定，在不违反招投标文件约定内容的前提下，可以商讨细化具体服务事项，签订具体服务合同。采购人与供应商签订服务合同，各学校与供应商签订具体的补充服务合同，但不得对招标文件进行实质性更改。供应商不得推诿、选择，必须提供招投标文件中承诺的所有服务。工作时长及人数由各学校与供应商签订服务合同时商定并承诺所有服务满足采购人需求。提供承诺书，承诺书格式自拟。</w:t>
      </w:r>
      <w:r/>
    </w:p>
    <w:p>
      <w:pPr>
        <w:ind w:left="0" w:right="0" w:firstLine="480"/>
        <w:jc w:val="both"/>
        <w:keepLines w:val="0"/>
        <w:keepNext w:val="0"/>
        <w:pageBreakBefore w:val="0"/>
        <w:spacing w:beforeAutospacing="0" w:after="0" w:afterAutospacing="0" w:line="36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（2）投标供应商须提供承诺函：如中标本项目，本单位将在履约期间为保安服务人员缴纳国家强制社保资金、住房公积金、商业保险及供应商认为需要的其他费用等。承诺函格式自拟。</w:t>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（3）投标</w:t>
      </w:r>
      <w:r>
        <w:rPr>
          <w:rFonts w:hint="default" w:ascii="宋体" w:hAnsi="宋体" w:eastAsia="宋体" w:cs="Times New Roman"/>
          <w:b w:val="0"/>
          <w:bCs w:val="0"/>
          <w:color w:val="000000"/>
          <w:sz w:val="24"/>
          <w:szCs w:val="24"/>
          <w:highlight w:val="none"/>
          <w:lang w:val="en-US" w:eastAsia="zh-CN"/>
        </w:rPr>
        <w:t xml:space="preserve">供应商承诺：拥有充足的后备力量支持，在项目发生短期特殊或紧急需要、管理需要或其他需求时，能够提供人力资源支援、设备保障支援、服务质量持续提升支援等</w:t>
      </w:r>
      <w:r>
        <w:rPr>
          <w:rFonts w:hint="eastAsia" w:ascii="宋体" w:hAnsi="宋体" w:eastAsia="宋体" w:cs="Times New Roman"/>
          <w:b w:val="0"/>
          <w:bCs w:val="0"/>
          <w:color w:val="000000"/>
          <w:sz w:val="24"/>
          <w:szCs w:val="24"/>
          <w:highlight w:val="none"/>
          <w:lang w:val="en-US" w:eastAsia="zh-CN"/>
        </w:rPr>
        <w:t xml:space="preserve">。提供承诺函，承诺函格式自拟。</w:t>
      </w:r>
      <w:r/>
    </w:p>
    <w:p>
      <w:pPr>
        <w:ind w:left="0" w:right="-105"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（4）若采购人因客观原因需要额外增加人数，人员工资按中标价按时结算,提供承诺函，承诺函格式自拟。</w:t>
      </w:r>
      <w:r/>
    </w:p>
    <w:p>
      <w:pPr>
        <w:pStyle w:val="860"/>
        <w:ind w:right="-105" w:firstLine="465"/>
        <w:jc w:val="both"/>
        <w:pageBreakBefore w:val="0"/>
        <w:spacing w:before="145" w:after="145" w:line="360" w:lineRule="auto"/>
        <w:widowControl w:val="off"/>
        <w:rPr>
          <w:rFonts w:hint="eastAsia" w:ascii="宋体" w:hAnsi="宋体" w:eastAsia="宋体" w:cs="Times New Roman"/>
          <w:b w:val="0"/>
          <w:bCs w:val="0"/>
          <w:color w:val="000000"/>
          <w:sz w:val="24"/>
          <w:szCs w:val="24"/>
          <w:highlight w:val="none"/>
          <w:lang w:val="en-US" w:eastAsia="zh-CN" w:bidi="ar-SA"/>
        </w:rPr>
        <w:outlineLvl w:val="1"/>
      </w:pPr>
      <w:r>
        <w:rPr>
          <w:rFonts w:hint="eastAsia" w:ascii="宋体" w:hAnsi="宋体" w:eastAsia="宋体" w:cs="Times New Roman"/>
          <w:b w:val="0"/>
          <w:bCs w:val="0"/>
          <w:color w:val="000000"/>
          <w:sz w:val="24"/>
          <w:szCs w:val="24"/>
          <w:highlight w:val="none"/>
          <w:lang w:val="en-US" w:eastAsia="zh-CN" w:bidi="ar-SA"/>
        </w:rPr>
        <w:t xml:space="preserve">（5）服务地点</w:t>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服务地点：采购人指定地点</w:t>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pStyle w:val="860"/>
        <w:jc w:val="both"/>
        <w:pageBreakBefore w:val="0"/>
        <w:spacing w:before="145" w:after="145" w:line="264" w:lineRule="auto"/>
        <w:widowControl w:val="off"/>
        <w:rPr>
          <w:rFonts w:hint="eastAsia" w:ascii="宋体" w:hAnsi="宋体" w:eastAsia="宋体" w:cs="Times New Roman"/>
          <w:b/>
          <w:bCs/>
          <w:color w:val="000000"/>
          <w:sz w:val="24"/>
          <w:szCs w:val="24"/>
          <w:highlight w:val="none"/>
          <w:lang w:val="en-US" w:eastAsia="zh-CN" w:bidi="ar-SA"/>
        </w:rPr>
        <w:outlineLvl w:val="1"/>
      </w:pPr>
      <w:r>
        <w:rPr>
          <w:rFonts w:hint="eastAsia" w:ascii="宋体" w:hAnsi="宋体" w:eastAsia="宋体" w:cs="Times New Roman"/>
          <w:b/>
          <w:bCs/>
          <w:color w:val="000000"/>
          <w:sz w:val="24"/>
          <w:szCs w:val="24"/>
          <w:highlight w:val="none"/>
          <w:lang w:val="en-US" w:eastAsia="zh-CN" w:bidi="ar-SA"/>
        </w:rPr>
        <w:t xml:space="preserve">附件、南京江北新区管理委员会教育局直属学校及单位2026年保安配备人数计划表</w:t>
      </w:r>
      <w:r/>
    </w:p>
    <w:p>
      <w:pPr>
        <w:ind w:left="0" w:firstLine="0"/>
        <w:jc w:val="both"/>
        <w:keepLines w:val="0"/>
        <w:keepNext w:val="0"/>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本项目预计分四个区域执行，具体划分如下，考虑到各校的建设情况，采购人可能在最终执行阶段会有所调整，请各投标供应商知悉：</w:t>
      </w:r>
      <w:r/>
    </w:p>
    <w:p>
      <w:pPr>
        <w:ind w:left="0" w:firstLine="0"/>
        <w:jc w:val="both"/>
        <w:keepLines w:val="0"/>
        <w:keepNext w:val="0"/>
        <w:pageBreakBefore w:val="0"/>
        <w:spacing w:line="36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采购包1：约110人（其中消控暂定约15人）</w:t>
      </w:r>
      <w:r/>
    </w:p>
    <w:p>
      <w:pPr>
        <w:ind w:left="0" w:firstLine="480"/>
        <w:jc w:val="both"/>
        <w:keepLines w:val="0"/>
        <w:keepNext w:val="0"/>
        <w:pageBreakBefore w:val="0"/>
        <w:spacing w:line="360" w:lineRule="auto"/>
        <w:widowControl w:val="off"/>
        <w:rPr>
          <w:rFonts w:hint="default"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含</w:t>
      </w:r>
      <w:r>
        <w:rPr>
          <w:rFonts w:hint="default" w:ascii="宋体" w:hAnsi="宋体" w:eastAsia="宋体" w:cs="宋体"/>
          <w:b w:val="0"/>
          <w:bCs w:val="0"/>
          <w:color w:val="000000"/>
          <w:sz w:val="24"/>
          <w:szCs w:val="24"/>
          <w:lang w:val="en-US" w:eastAsia="zh-CN" w:bidi="ar-SA"/>
        </w:rPr>
        <w:t xml:space="preserve">二十九中天润城分校（中</w:t>
      </w:r>
      <w:r>
        <w:rPr>
          <w:rFonts w:hint="eastAsia" w:ascii="宋体" w:hAnsi="宋体" w:eastAsia="宋体" w:cs="宋体"/>
          <w:b w:val="0"/>
          <w:bCs w:val="0"/>
          <w:color w:val="000000"/>
          <w:sz w:val="24"/>
          <w:szCs w:val="24"/>
          <w:lang w:val="en-US" w:eastAsia="zh-CN" w:bidi="ar-SA"/>
        </w:rPr>
        <w:t xml:space="preserve">、小</w:t>
      </w:r>
      <w:r>
        <w:rPr>
          <w:rFonts w:hint="default" w:ascii="宋体" w:hAnsi="宋体" w:eastAsia="宋体" w:cs="宋体"/>
          <w:b w:val="0"/>
          <w:bCs w:val="0"/>
          <w:color w:val="000000"/>
          <w:sz w:val="24"/>
          <w:szCs w:val="24"/>
          <w:lang w:val="en-US" w:eastAsia="zh-CN" w:bidi="ar-SA"/>
        </w:rPr>
        <w:t xml:space="preserve">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南工大实验小学大厂高级中学</w:t>
      </w:r>
      <w:r>
        <w:rPr>
          <w:rFonts w:hint="eastAsia" w:ascii="宋体" w:hAnsi="宋体" w:eastAsia="宋体" w:cs="宋体"/>
          <w:b w:val="0"/>
          <w:bCs w:val="0"/>
          <w:color w:val="000000"/>
          <w:sz w:val="24"/>
          <w:szCs w:val="24"/>
          <w:lang w:val="en-US" w:eastAsia="zh-CN" w:bidi="ar-SA"/>
        </w:rPr>
        <w:t xml:space="preserve">、南工大实验小学、南师附中江北新区分校、天华绿谷幼儿园、</w:t>
      </w:r>
      <w:r>
        <w:rPr>
          <w:rFonts w:hint="default" w:ascii="宋体" w:hAnsi="宋体" w:eastAsia="宋体" w:cs="宋体"/>
          <w:b w:val="0"/>
          <w:bCs w:val="0"/>
          <w:color w:val="000000"/>
          <w:sz w:val="24"/>
          <w:szCs w:val="24"/>
          <w:lang w:val="en-US" w:eastAsia="zh-CN" w:bidi="ar-SA"/>
        </w:rPr>
        <w:t xml:space="preserve">九龙中学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金陵中学江北分校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沿江中学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育英二外中央商务区学校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九龙小学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南化第三小学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晓庄学院顶山实验小学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晓庄学院顶山实验小学（大新分校）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浦厂小学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永丰小学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沿江小学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浦洲路小学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大厂实验幼儿园</w:t>
      </w:r>
      <w:r>
        <w:rPr>
          <w:rFonts w:hint="eastAsia" w:ascii="宋体" w:hAnsi="宋体" w:eastAsia="宋体" w:cs="宋体"/>
          <w:b w:val="0"/>
          <w:bCs w:val="0"/>
          <w:color w:val="000000"/>
          <w:sz w:val="24"/>
          <w:szCs w:val="24"/>
          <w:lang w:val="en-US" w:eastAsia="zh-CN" w:bidi="ar-SA"/>
        </w:rPr>
        <w:t xml:space="preserve">（四个园址）、大厂晓山幼儿园、鼓楼幼儿园江北新区分园、江北新区少年宫、江北新区教育招生考试中心、江北新区教师发展中心、津浦幼儿园等</w:t>
      </w:r>
      <w:r/>
    </w:p>
    <w:p>
      <w:pPr>
        <w:ind w:left="0" w:firstLine="0"/>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采购包2:约107人（其中消控暂定约15人+2人机动）</w:t>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含大厂高级中学、旭东中学、南化第二中学、南信大附属实验小学（杨庄校区）、南信大附属实验小学（晓山校区）、</w:t>
      </w:r>
      <w:r>
        <w:rPr>
          <w:rFonts w:hint="default" w:ascii="宋体" w:hAnsi="宋体" w:eastAsia="宋体" w:cs="宋体"/>
          <w:b w:val="0"/>
          <w:bCs w:val="0"/>
          <w:color w:val="000000"/>
          <w:sz w:val="24"/>
          <w:szCs w:val="24"/>
          <w:lang w:val="en-US" w:eastAsia="zh-CN" w:bidi="ar-SA"/>
        </w:rPr>
        <w:t xml:space="preserve">南化第</w:t>
      </w:r>
      <w:r>
        <w:rPr>
          <w:rFonts w:hint="eastAsia" w:ascii="宋体" w:hAnsi="宋体" w:eastAsia="宋体" w:cs="宋体"/>
          <w:b w:val="0"/>
          <w:bCs w:val="0"/>
          <w:color w:val="000000"/>
          <w:sz w:val="24"/>
          <w:szCs w:val="24"/>
          <w:lang w:val="en-US" w:eastAsia="zh-CN" w:bidi="ar-SA"/>
        </w:rPr>
        <w:t xml:space="preserve">四</w:t>
      </w:r>
      <w:r>
        <w:rPr>
          <w:rFonts w:hint="default" w:ascii="宋体" w:hAnsi="宋体" w:eastAsia="宋体" w:cs="宋体"/>
          <w:b w:val="0"/>
          <w:bCs w:val="0"/>
          <w:color w:val="000000"/>
          <w:sz w:val="24"/>
          <w:szCs w:val="24"/>
          <w:lang w:val="en-US" w:eastAsia="zh-CN" w:bidi="ar-SA"/>
        </w:rPr>
        <w:t xml:space="preserve">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扬子第一中学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扬子第一中学松杨路分校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扬子第二小学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扬子第三小学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扬子第四小学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葛塘中心小学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长城小学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特殊教育学校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南信大附属中学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南信大附属高新实验小学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玉带中心幼儿园</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玉带实验学校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南京师范大学附属扬子中学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南化实验小学（本部）</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南化实验小学（葛塘校区）</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浦外高新小学侨康路分校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南师附中江北新区分校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南外江北新区分校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大厂实验幼儿园杨庄分园</w:t>
      </w:r>
      <w:r>
        <w:rPr>
          <w:rFonts w:hint="eastAsia" w:ascii="宋体" w:hAnsi="宋体" w:eastAsia="宋体" w:cs="宋体"/>
          <w:b w:val="0"/>
          <w:bCs w:val="0"/>
          <w:color w:val="000000"/>
          <w:sz w:val="24"/>
          <w:szCs w:val="24"/>
          <w:lang w:val="en-US" w:eastAsia="zh-CN" w:bidi="ar-SA"/>
        </w:rPr>
        <w:t xml:space="preserve">、扬子中学一期等</w:t>
      </w:r>
      <w:r/>
    </w:p>
    <w:p>
      <w:pPr>
        <w:ind w:left="0" w:firstLine="0"/>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采购包3:约110人（其中消控暂定约15人）</w:t>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含</w:t>
      </w:r>
      <w:r>
        <w:rPr>
          <w:rFonts w:hint="default" w:ascii="宋体" w:hAnsi="宋体" w:eastAsia="宋体" w:cs="宋体"/>
          <w:b w:val="0"/>
          <w:bCs w:val="0"/>
          <w:color w:val="000000"/>
          <w:sz w:val="24"/>
          <w:szCs w:val="24"/>
          <w:lang w:val="en-US" w:eastAsia="zh-CN" w:bidi="ar-SA"/>
        </w:rPr>
        <w:t xml:space="preserve">第十四中学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一中工业大学初级中学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浦厂中学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实验初级中学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一中江北新区分校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浦口外国语学校（小学部）（中学部）</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南京一中江北新区教育集团第一小学第二小学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江北芳草园小学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浦口实验小学</w:t>
      </w:r>
      <w:r>
        <w:rPr>
          <w:rFonts w:hint="eastAsia" w:ascii="宋体" w:hAnsi="宋体" w:eastAsia="宋体" w:cs="宋体"/>
          <w:b w:val="0"/>
          <w:bCs w:val="0"/>
          <w:color w:val="000000"/>
          <w:sz w:val="24"/>
          <w:szCs w:val="24"/>
          <w:lang w:val="en-US" w:eastAsia="zh-CN" w:bidi="ar-SA"/>
        </w:rPr>
        <w:t xml:space="preserve">（四个园址）、</w:t>
      </w:r>
      <w:r>
        <w:rPr>
          <w:rFonts w:hint="default" w:ascii="宋体" w:hAnsi="宋体" w:eastAsia="宋体" w:cs="宋体"/>
          <w:b w:val="0"/>
          <w:bCs w:val="0"/>
          <w:color w:val="000000"/>
          <w:sz w:val="24"/>
          <w:szCs w:val="24"/>
          <w:lang w:val="en-US" w:eastAsia="zh-CN" w:bidi="ar-SA"/>
        </w:rPr>
        <w:t xml:space="preserve">铁路小学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鼎泰实验小学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浦园路幼儿园（</w:t>
      </w:r>
      <w:r>
        <w:rPr>
          <w:rFonts w:hint="eastAsia" w:ascii="宋体" w:hAnsi="宋体" w:eastAsia="宋体" w:cs="宋体"/>
          <w:b w:val="0"/>
          <w:bCs w:val="0"/>
          <w:color w:val="000000"/>
          <w:sz w:val="24"/>
          <w:szCs w:val="24"/>
          <w:lang w:val="en-US" w:eastAsia="zh-CN" w:bidi="ar-SA"/>
        </w:rPr>
        <w:t xml:space="preserve">两个园址</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津浦幼儿园</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浦东幼儿园</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华美路幼儿园</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小红花幼儿园（</w:t>
      </w:r>
      <w:r>
        <w:rPr>
          <w:rFonts w:hint="eastAsia" w:ascii="宋体" w:hAnsi="宋体" w:eastAsia="宋体" w:cs="宋体"/>
          <w:b w:val="0"/>
          <w:bCs w:val="0"/>
          <w:color w:val="000000"/>
          <w:sz w:val="24"/>
          <w:szCs w:val="24"/>
          <w:lang w:val="en-US" w:eastAsia="zh-CN" w:bidi="ar-SA"/>
        </w:rPr>
        <w:t xml:space="preserve">两个园址</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等</w:t>
      </w:r>
      <w:r/>
    </w:p>
    <w:p>
      <w:pPr>
        <w:ind w:left="0" w:firstLine="0"/>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采购包4：约103人（其中消控暂定约15人）</w:t>
      </w:r>
      <w:r/>
    </w:p>
    <w:p>
      <w:pPr>
        <w:ind w:left="0" w:firstLine="480"/>
        <w:jc w:val="both"/>
        <w:keepLines w:val="0"/>
        <w:keepNext w:val="0"/>
        <w:pageBreakBefore w:val="0"/>
        <w:spacing w:line="360" w:lineRule="auto"/>
        <w:widowControl w:val="off"/>
        <w:rPr>
          <w:rFonts w:hint="default"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含一中泰山分校、二十九中中柳州东路分校（本部）、二十九中中柳州东路分校（南校区）、力小海德</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现南浦路中学</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、琅小南浦路分校</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现力小海德</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泰山小学、六一小学、明道学校研创园（中、小学）、浦园路幼儿园研创园、一中明发、琅小柳洲东路（西、北校区）、江北新区外国语学校（初中本部、小学部）、琅小明发（东、西校区）北小红太阳（东、西校区）琅小天润城（南、北校区）、江北新实等</w:t>
      </w:r>
      <w:r/>
    </w:p>
    <w:p>
      <w:pPr>
        <w:pStyle w:val="684"/>
        <w:ind w:left="0" w:right="0" w:firstLine="0"/>
        <w:jc w:val="center"/>
        <w:spacing w:before="130" w:line="221" w:lineRule="auto"/>
        <w:rPr>
          <w:rFonts w:hint="eastAsia"/>
          <w:spacing w:val="11"/>
          <w:sz w:val="40"/>
          <w:szCs w:val="40"/>
          <w:highlight w:val="none"/>
          <w14:textOutline w14:w="7355" w14:cap="flat" w14:cmpd="sng">
            <w14:solidFill>
              <w14:srgbClr w14:val="000000"/>
            </w14:solidFill>
            <w14:prstDash w14:val="solid"/>
            <w14:miter/>
          </w14:textOutline>
        </w:rPr>
        <w:outlineLvl w:val="0"/>
      </w:pPr>
      <w:r>
        <w:rPr>
          <w:spacing w:val="11"/>
          <w:sz w:val="40"/>
          <w:szCs w:val="40"/>
          <w:highlight w:val="none"/>
          <w14:textOutline w14:w="7355" w14:cap="flat" w14:cmpd="sng">
            <w14:solidFill>
              <w14:srgbClr w14:val="000000"/>
            </w14:solidFill>
            <w14:prstDash w14:val="solid"/>
            <w14:miter/>
          </w14:textOutline>
        </w:rPr>
        <w:t xml:space="preserve">第</w:t>
      </w:r>
      <w:r>
        <w:rPr>
          <w:rFonts w:hint="eastAsia"/>
          <w:spacing w:val="11"/>
          <w:sz w:val="40"/>
          <w:szCs w:val="40"/>
          <w:highlight w:val="none"/>
          <w:lang w:eastAsia="zh-CN"/>
          <w14:textOutline w14:w="7355" w14:cap="flat" w14:cmpd="sng">
            <w14:solidFill>
              <w14:srgbClr w14:val="000000"/>
            </w14:solidFill>
            <w14:prstDash w14:val="solid"/>
            <w14:miter/>
          </w14:textOutline>
        </w:rPr>
        <w:t xml:space="preserve">五</w:t>
      </w:r>
      <w:r>
        <w:rPr>
          <w:spacing w:val="11"/>
          <w:sz w:val="40"/>
          <w:szCs w:val="40"/>
          <w:highlight w:val="none"/>
          <w14:textOutline w14:w="7355" w14:cap="flat" w14:cmpd="sng">
            <w14:solidFill>
              <w14:srgbClr w14:val="000000"/>
            </w14:solidFill>
            <w14:prstDash w14:val="solid"/>
            <w14:miter/>
          </w14:textOutline>
        </w:rPr>
        <w:t xml:space="preserve">章</w:t>
      </w:r>
      <w:r>
        <w:rPr>
          <w:spacing w:val="42"/>
          <w:sz w:val="40"/>
          <w:szCs w:val="40"/>
          <w:highlight w:val="none"/>
        </w:rPr>
        <w:t xml:space="preserve">  </w:t>
      </w:r>
      <w:r>
        <w:rPr>
          <w:rFonts w:hint="eastAsia"/>
          <w:spacing w:val="11"/>
          <w:sz w:val="40"/>
          <w:szCs w:val="40"/>
          <w:highlight w:val="none"/>
          <w14:textOutline w14:w="7355" w14:cap="flat" w14:cmpd="sng">
            <w14:solidFill>
              <w14:srgbClr w14:val="000000"/>
            </w14:solidFill>
            <w14:prstDash w14:val="solid"/>
            <w14:miter/>
          </w14:textOutline>
        </w:rPr>
        <w:t xml:space="preserve">评标方法与评标标准</w:t>
      </w:r>
      <w:r/>
    </w:p>
    <w:p>
      <w:pPr>
        <w:ind w:firstLine="480"/>
        <w:jc w:val="both"/>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一、评标方法</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用综合评分法，评标结果按评审后得分由高到低顺序排列。得分相同的，按投标报价由低到高顺序排列。得分且投标报价相同的，按“评标标准中2.1-2.6项”得分由高到低顺序排列。在投标文件满足招标文件全部实质性要求的供应商中，按照评审得分</w:t>
      </w:r>
      <w:r>
        <w:rPr>
          <w:rFonts w:hint="eastAsia" w:ascii="宋体" w:hAnsi="宋体" w:eastAsia="宋体" w:cs="宋体"/>
          <w:sz w:val="24"/>
          <w:szCs w:val="24"/>
          <w:highlight w:val="none"/>
          <w:lang w:val="en-US" w:eastAsia="zh-CN"/>
        </w:rPr>
        <w:t xml:space="preserve">最高的供应商为</w:t>
      </w:r>
      <w:r>
        <w:rPr>
          <w:rFonts w:hint="eastAsia" w:ascii="宋体" w:hAnsi="宋体" w:eastAsia="宋体" w:cs="宋体"/>
          <w:sz w:val="24"/>
          <w:szCs w:val="24"/>
          <w:highlight w:val="none"/>
          <w:lang w:eastAsia="zh-CN"/>
        </w:rPr>
        <w:t xml:space="preserve">中标候选人。</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二、政府采购政策功能落实</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1.本项目服务全部由小微企业承接的，对报价给予1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%的扣除，用扣除后的价格参与评审。</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jc w:val="both"/>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三、评审标准</w:t>
      </w:r>
      <w:r/>
    </w:p>
    <w:p>
      <w:pPr>
        <w:spacing w:line="63" w:lineRule="exact"/>
        <w:rPr>
          <w:highlight w:val="none"/>
        </w:rPr>
      </w:pPr>
      <w:r>
        <w:rPr>
          <w:highlight w:val="none"/>
        </w:rPr>
      </w:r>
      <w:r/>
    </w:p>
    <w:tbl>
      <w:tblPr>
        <w:tblStyle w:val="857"/>
        <w:tblW w:w="97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45"/>
        <w:gridCol w:w="1302"/>
        <w:gridCol w:w="6704"/>
        <w:gridCol w:w="454"/>
        <w:gridCol w:w="705"/>
      </w:tblGrid>
      <w:tr>
        <w:trPr>
          <w:jc w:val="center"/>
          <w:trHeight w:val="743"/>
        </w:trPr>
        <w:tc>
          <w:tcPr>
            <w:tcW w:w="545" w:type="dxa"/>
            <w:textDirection w:val="lrTb"/>
            <w:noWrap w:val="false"/>
          </w:tcPr>
          <w:p>
            <w:pPr>
              <w:pStyle w:val="858"/>
              <w:jc w:val="center"/>
              <w:spacing w:before="255" w:line="221" w:lineRule="auto"/>
              <w:rPr>
                <w:b/>
                <w:bCs/>
                <w:highlight w:val="none"/>
              </w:rPr>
            </w:pPr>
            <w:r>
              <w:rPr>
                <w:b/>
                <w:bCs/>
                <w:spacing w:val="-2"/>
                <w:highlight w:val="none"/>
              </w:rPr>
              <w:t xml:space="preserve">序号</w:t>
            </w:r>
            <w:r/>
          </w:p>
        </w:tc>
        <w:tc>
          <w:tcPr>
            <w:tcW w:w="1302" w:type="dxa"/>
            <w:textDirection w:val="lrTb"/>
            <w:noWrap w:val="false"/>
          </w:tcPr>
          <w:p>
            <w:pPr>
              <w:pStyle w:val="858"/>
              <w:ind w:left="226"/>
              <w:spacing w:before="254" w:line="220" w:lineRule="auto"/>
              <w:rPr>
                <w:b/>
                <w:bCs/>
                <w:highlight w:val="none"/>
              </w:rPr>
            </w:pPr>
            <w:r>
              <w:rPr>
                <w:b/>
                <w:bCs/>
                <w:spacing w:val="-2"/>
                <w:highlight w:val="none"/>
              </w:rPr>
              <w:t xml:space="preserve">评审因素</w:t>
            </w:r>
            <w:r/>
          </w:p>
        </w:tc>
        <w:tc>
          <w:tcPr>
            <w:tcW w:w="6704" w:type="dxa"/>
            <w:textDirection w:val="lrTb"/>
            <w:noWrap w:val="false"/>
          </w:tcPr>
          <w:p>
            <w:pPr>
              <w:pStyle w:val="858"/>
              <w:ind w:left="2767"/>
              <w:spacing w:before="255" w:line="220" w:lineRule="auto"/>
              <w:rPr>
                <w:b/>
                <w:bCs/>
                <w:highlight w:val="none"/>
              </w:rPr>
            </w:pPr>
            <w:r>
              <w:rPr>
                <w:b/>
                <w:bCs/>
                <w:spacing w:val="-2"/>
                <w:highlight w:val="none"/>
              </w:rPr>
              <w:t xml:space="preserve">评审细则</w:t>
            </w:r>
            <w:r/>
          </w:p>
        </w:tc>
        <w:tc>
          <w:tcPr>
            <w:tcW w:w="454" w:type="dxa"/>
            <w:textDirection w:val="lrTb"/>
            <w:noWrap w:val="false"/>
          </w:tcPr>
          <w:p>
            <w:pPr>
              <w:pStyle w:val="858"/>
              <w:jc w:val="center"/>
              <w:spacing w:before="254" w:line="220" w:lineRule="auto"/>
              <w:rPr>
                <w:b/>
                <w:bCs/>
                <w:highlight w:val="none"/>
              </w:rPr>
            </w:pPr>
            <w:r>
              <w:rPr>
                <w:b/>
                <w:bCs/>
                <w:spacing w:val="-3"/>
                <w:highlight w:val="none"/>
              </w:rPr>
              <w:t xml:space="preserve">分值</w:t>
            </w:r>
            <w:r/>
          </w:p>
        </w:tc>
        <w:tc>
          <w:tcPr>
            <w:tcW w:w="705" w:type="dxa"/>
            <w:textDirection w:val="lrTb"/>
            <w:noWrap w:val="false"/>
          </w:tcPr>
          <w:p>
            <w:pPr>
              <w:pStyle w:val="858"/>
              <w:ind w:left="120" w:right="89" w:firstLine="2"/>
              <w:spacing w:before="121" w:line="228" w:lineRule="auto"/>
              <w:rPr>
                <w:b/>
                <w:bCs/>
                <w:highlight w:val="none"/>
              </w:rPr>
            </w:pPr>
            <w:r>
              <w:rPr>
                <w:b/>
                <w:bCs/>
                <w:spacing w:val="-6"/>
                <w:highlight w:val="none"/>
              </w:rPr>
              <w:t xml:space="preserve">分值</w:t>
            </w:r>
            <w:r>
              <w:rPr>
                <w:b/>
                <w:bCs/>
                <w:highlight w:val="none"/>
              </w:rPr>
              <w:t xml:space="preserve"> </w:t>
            </w:r>
            <w:r>
              <w:rPr>
                <w:b/>
                <w:bCs/>
                <w:spacing w:val="-4"/>
                <w:highlight w:val="none"/>
              </w:rPr>
              <w:t xml:space="preserve">类型</w:t>
            </w:r>
            <w:r/>
          </w:p>
        </w:tc>
      </w:tr>
      <w:tr>
        <w:trPr>
          <w:jc w:val="center"/>
          <w:trHeight w:val="450"/>
        </w:trPr>
        <w:tc>
          <w:tcPr>
            <w:gridSpan w:val="5"/>
            <w:tcW w:w="9710" w:type="dxa"/>
            <w:textDirection w:val="lrTb"/>
            <w:noWrap w:val="false"/>
          </w:tcPr>
          <w:p>
            <w:pPr>
              <w:pStyle w:val="858"/>
              <w:ind w:left="105"/>
              <w:jc w:val="both"/>
              <w:keepLines w:val="0"/>
              <w:keepNext w:val="0"/>
              <w:pageBreakBefore w:val="0"/>
              <w:spacing w:before="112" w:line="218" w:lineRule="auto"/>
              <w:widowControl/>
              <w:rPr>
                <w:highlight w:val="none"/>
              </w:rPr>
            </w:pPr>
            <w:r>
              <w:rPr>
                <w:rFonts w:hint="eastAsia" w:ascii="宋体" w:hAnsi="宋体" w:eastAsia="宋体" w:cs="宋体"/>
                <w:b/>
                <w:bCs/>
                <w:spacing w:val="-3"/>
                <w:sz w:val="21"/>
                <w:szCs w:val="21"/>
                <w:highlight w:val="none"/>
                <w:lang w:val="en-US" w:eastAsia="zh-CN" w:bidi="ar-SA"/>
              </w:rPr>
              <w:t xml:space="preserve">1.价格</w:t>
            </w:r>
            <w:r/>
          </w:p>
        </w:tc>
      </w:tr>
      <w:tr>
        <w:trPr>
          <w:jc w:val="center"/>
          <w:trHeight w:val="318"/>
        </w:trPr>
        <w:tc>
          <w:tcPr>
            <w:tcW w:w="545" w:type="dxa"/>
            <w:vAlign w:val="center"/>
            <w:textDirection w:val="lrTb"/>
            <w:noWrap w:val="false"/>
          </w:tcPr>
          <w:p>
            <w:pPr>
              <w:pStyle w:val="858"/>
              <w:ind w:left="0" w:right="0" w:firstLine="0"/>
              <w:jc w:val="center"/>
              <w:spacing w:before="68" w:line="182" w:lineRule="auto"/>
              <w:rPr>
                <w:highlight w:val="none"/>
              </w:rPr>
            </w:pPr>
            <w:r>
              <w:rPr>
                <w:spacing w:val="-6"/>
                <w:highlight w:val="none"/>
              </w:rPr>
              <w:t xml:space="preserve">1.1</w:t>
            </w:r>
            <w:r/>
          </w:p>
        </w:tc>
        <w:tc>
          <w:tcPr>
            <w:tcW w:w="1302" w:type="dxa"/>
            <w:vAlign w:val="center"/>
            <w:textDirection w:val="lrTb"/>
            <w:noWrap w:val="false"/>
          </w:tcPr>
          <w:p>
            <w:pPr>
              <w:pStyle w:val="858"/>
              <w:ind w:left="0" w:right="0" w:firstLine="0"/>
              <w:jc w:val="center"/>
              <w:spacing w:before="68" w:line="218" w:lineRule="auto"/>
              <w:rPr>
                <w:highlight w:val="none"/>
              </w:rPr>
            </w:pPr>
            <w:r>
              <w:rPr>
                <w:spacing w:val="-2"/>
                <w:highlight w:val="none"/>
              </w:rPr>
              <w:t xml:space="preserve">价格分</w:t>
            </w:r>
            <w:r/>
          </w:p>
        </w:tc>
        <w:tc>
          <w:tcPr>
            <w:tcW w:w="6704" w:type="dxa"/>
            <w:textDirection w:val="lrTb"/>
            <w:noWrap w:val="false"/>
          </w:tcPr>
          <w:p>
            <w:pPr>
              <w:pStyle w:val="858"/>
              <w:ind w:left="0"/>
              <w:keepLines w:val="0"/>
              <w:keepNext w:val="0"/>
              <w:pageBreakBefore w:val="0"/>
              <w:spacing w:line="360" w:lineRule="auto"/>
              <w:widowControl/>
              <w:rPr>
                <w:rFonts w:hint="default"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采用低价优先法计算，即满足招标文件要求且投标价格最低的投标报价为评标基准价，其价格分为满分。其他投标人的价格分统一按照下列公式计算：投标报价得分=（评标基准价/投标报价）×1</w:t>
            </w:r>
            <w:r>
              <w:rPr>
                <w:rFonts w:hint="eastAsia" w:cs="宋体"/>
                <w:color w:val="auto"/>
                <w:sz w:val="21"/>
                <w:szCs w:val="21"/>
                <w:highlight w:val="none"/>
                <w:lang w:val="en-US" w:eastAsia="zh-CN" w:bidi="ar-SA"/>
              </w:rPr>
              <w:t xml:space="preserve">5</w:t>
            </w:r>
            <w:r/>
          </w:p>
        </w:tc>
        <w:tc>
          <w:tcPr>
            <w:tcW w:w="454" w:type="dxa"/>
            <w:vAlign w:val="center"/>
            <w:textDirection w:val="lrTb"/>
            <w:noWrap w:val="false"/>
          </w:tcPr>
          <w:p>
            <w:pPr>
              <w:pStyle w:val="858"/>
              <w:ind w:left="0" w:right="0" w:firstLine="0"/>
              <w:jc w:val="center"/>
              <w:spacing w:before="68" w:line="182" w:lineRule="auto"/>
              <w:rPr>
                <w:rFonts w:hint="default"/>
                <w:color w:val="auto"/>
                <w:spacing w:val="-6"/>
                <w:highlight w:val="none"/>
                <w:lang w:val="en-US" w:eastAsia="zh-CN"/>
              </w:rPr>
            </w:pPr>
            <w:r>
              <w:rPr>
                <w:rFonts w:hint="eastAsia"/>
                <w:color w:val="auto"/>
                <w:spacing w:val="-6"/>
                <w:highlight w:val="none"/>
                <w:lang w:val="en-US" w:eastAsia="zh-CN"/>
              </w:rPr>
              <w:t xml:space="preserve">15</w:t>
            </w:r>
            <w:r/>
          </w:p>
        </w:tc>
        <w:tc>
          <w:tcPr>
            <w:tcW w:w="705" w:type="dxa"/>
            <w:vAlign w:val="center"/>
            <w:textDirection w:val="lrTb"/>
            <w:noWrap w:val="false"/>
          </w:tcPr>
          <w:p>
            <w:pPr>
              <w:jc w:val="center"/>
              <w:rPr>
                <w:rFonts w:hint="eastAsia" w:eastAsia="宋体"/>
                <w:highlight w:val="none"/>
                <w:lang w:eastAsia="zh-CN"/>
              </w:rPr>
            </w:pPr>
            <w:r>
              <w:rPr>
                <w:rFonts w:hint="eastAsia" w:eastAsia="宋体"/>
                <w:highlight w:val="none"/>
                <w:lang w:val="en-US" w:eastAsia="zh-CN"/>
              </w:rPr>
              <w:t xml:space="preserve">价格分</w:t>
            </w:r>
            <w:r/>
          </w:p>
        </w:tc>
      </w:tr>
      <w:tr>
        <w:trPr>
          <w:jc w:val="center"/>
          <w:trHeight w:val="450"/>
        </w:trPr>
        <w:tc>
          <w:tcPr>
            <w:gridSpan w:val="5"/>
            <w:tcW w:w="9710" w:type="dxa"/>
            <w:vAlign w:val="center"/>
            <w:textDirection w:val="lrTb"/>
            <w:noWrap w:val="false"/>
          </w:tcPr>
          <w:p>
            <w:pPr>
              <w:ind w:left="105"/>
              <w:jc w:val="both"/>
              <w:keepLines w:val="0"/>
              <w:keepNext w:val="0"/>
              <w:pageBreakBefore w:val="0"/>
              <w:widowControl/>
              <w:rPr>
                <w:color w:val="auto"/>
                <w:highlight w:val="none"/>
              </w:rPr>
            </w:pPr>
            <w:r>
              <w:rPr>
                <w:rFonts w:hint="eastAsia" w:ascii="宋体" w:hAnsi="宋体" w:eastAsia="宋体" w:cs="宋体"/>
                <w:b/>
                <w:bCs/>
                <w:color w:val="auto"/>
                <w:spacing w:val="-3"/>
                <w:highlight w:val="none"/>
                <w:lang w:val="en-US" w:eastAsia="zh-CN"/>
              </w:rPr>
              <w:t xml:space="preserve">2.技术</w:t>
            </w:r>
            <w:r/>
          </w:p>
        </w:tc>
      </w:tr>
      <w:tr>
        <w:trPr>
          <w:jc w:val="center"/>
          <w:trHeight w:val="1680"/>
        </w:trPr>
        <w:tc>
          <w:tcPr>
            <w:tcW w:w="54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2.1</w:t>
            </w:r>
            <w:r/>
          </w:p>
        </w:tc>
        <w:tc>
          <w:tcPr>
            <w:tcW w:w="1302"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管理服务方案</w:t>
            </w:r>
            <w:r/>
          </w:p>
        </w:tc>
        <w:tc>
          <w:tcPr>
            <w:tcW w:w="6704" w:type="dxa"/>
            <w:textDirection w:val="lrTb"/>
            <w:noWrap w:val="false"/>
          </w:tcPr>
          <w:p>
            <w:pPr>
              <w:jc w:val="both"/>
              <w:spacing w:line="360" w:lineRule="auto"/>
              <w:widowControl/>
              <w:rPr>
                <w:rFonts w:hint="default" w:ascii="宋体" w:hAnsi="宋体" w:eastAsia="宋体" w:cs="宋体"/>
                <w:color w:val="auto"/>
                <w:sz w:val="21"/>
                <w:szCs w:val="21"/>
                <w:highlight w:val="none"/>
                <w:lang w:val="en-US" w:eastAsia="zh-CN" w:bidi="ar-SA"/>
              </w:rPr>
            </w:pPr>
            <w:r/>
            <w:bookmarkStart w:id="136" w:name="OLE_LINK2"/>
            <w:r>
              <w:rPr>
                <w:rFonts w:hint="eastAsia" w:ascii="宋体" w:hAnsi="宋体" w:eastAsia="宋体" w:cs="宋体"/>
                <w:color w:val="auto"/>
                <w:sz w:val="21"/>
                <w:szCs w:val="21"/>
                <w:highlight w:val="none"/>
                <w:lang w:val="en-US" w:eastAsia="zh-CN" w:bidi="ar-SA"/>
              </w:rPr>
              <w:t xml:space="preserve">结合校园安保特点</w:t>
            </w:r>
            <w:bookmarkEnd w:id="136"/>
            <w:r>
              <w:rPr>
                <w:rFonts w:hint="eastAsia" w:ascii="宋体" w:hAnsi="宋体" w:eastAsia="宋体" w:cs="宋体"/>
                <w:color w:val="auto"/>
                <w:sz w:val="21"/>
                <w:szCs w:val="21"/>
                <w:highlight w:val="none"/>
                <w:lang w:val="en-US" w:eastAsia="zh-CN" w:bidi="ar-SA"/>
              </w:rPr>
              <w:t xml:space="preserve">，评委根据投标人提供的管理服务方案（含安保、消防工作的工作流程、队伍建设与管理、安全管理等）进行综合评分：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（1）方案符合性、合理性、科学性、可行性强，得9分；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（2）方案符合性、合理性、科学性、可行性较强，得6分；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（3）方案具有一定的符合性、合理性、科学性、可行性，得3分；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（4）方案不具有符合性、合理性、科学性、可行性，得1分；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（5）未提供方案的，不得分。</w:t>
            </w:r>
            <w:r/>
          </w:p>
        </w:tc>
        <w:tc>
          <w:tcPr>
            <w:tcW w:w="454" w:type="dxa"/>
            <w:vAlign w:val="center"/>
            <w:textDirection w:val="lrTb"/>
            <w:noWrap w:val="false"/>
          </w:tcPr>
          <w:p>
            <w:pPr>
              <w:pStyle w:val="858"/>
              <w:ind w:left="0" w:right="0" w:firstLine="0"/>
              <w:jc w:val="center"/>
              <w:spacing w:before="68" w:line="182" w:lineRule="auto"/>
              <w:rPr>
                <w:rFonts w:hint="eastAsia"/>
                <w:color w:val="auto"/>
                <w:spacing w:val="-6"/>
                <w:highlight w:val="none"/>
              </w:rPr>
            </w:pPr>
            <w:r>
              <w:rPr>
                <w:rFonts w:hint="eastAsia"/>
                <w:color w:val="auto"/>
                <w:spacing w:val="-6"/>
                <w:highlight w:val="none"/>
              </w:rPr>
            </w:r>
            <w:r/>
          </w:p>
          <w:p>
            <w:pPr>
              <w:pStyle w:val="858"/>
              <w:ind w:left="0" w:right="0" w:firstLine="0"/>
              <w:jc w:val="center"/>
              <w:spacing w:before="68" w:line="182" w:lineRule="auto"/>
              <w:rPr>
                <w:rFonts w:hint="default"/>
                <w:color w:val="auto"/>
                <w:spacing w:val="-6"/>
                <w:highlight w:val="none"/>
                <w:lang w:val="en-US" w:eastAsia="zh-CN"/>
              </w:rPr>
            </w:pPr>
            <w:r>
              <w:rPr>
                <w:rFonts w:hint="eastAsia"/>
                <w:color w:val="auto"/>
                <w:spacing w:val="-6"/>
                <w:highlight w:val="none"/>
                <w:lang w:val="en-US" w:eastAsia="zh-CN"/>
              </w:rPr>
              <w:t xml:space="preserve">9</w:t>
            </w:r>
            <w:r/>
          </w:p>
        </w:tc>
        <w:tc>
          <w:tcPr>
            <w:tcW w:w="70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r>
            <w:r/>
          </w:p>
          <w:p>
            <w:pPr>
              <w:pStyle w:val="858"/>
              <w:ind w:left="0" w:right="0" w:firstLine="0"/>
              <w:jc w:val="center"/>
              <w:spacing w:before="68" w:line="182" w:lineRule="auto"/>
              <w:rPr>
                <w:rFonts w:hint="eastAsia"/>
                <w:spacing w:val="-6"/>
                <w:highlight w:val="none"/>
              </w:rPr>
            </w:pPr>
            <w:r>
              <w:rPr>
                <w:rFonts w:hint="eastAsia"/>
                <w:spacing w:val="-6"/>
                <w:highlight w:val="none"/>
              </w:rPr>
              <w:t xml:space="preserve">主观分</w:t>
            </w:r>
            <w:r/>
          </w:p>
        </w:tc>
      </w:tr>
      <w:tr>
        <w:trPr>
          <w:jc w:val="center"/>
          <w:trHeight w:val="90"/>
        </w:trPr>
        <w:tc>
          <w:tcPr>
            <w:tcW w:w="54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2.2</w:t>
            </w:r>
            <w:r/>
          </w:p>
        </w:tc>
        <w:tc>
          <w:tcPr>
            <w:tcW w:w="1302" w:type="dxa"/>
            <w:vAlign w:val="center"/>
            <w:textDirection w:val="lrTb"/>
            <w:noWrap w:val="false"/>
          </w:tcPr>
          <w:p>
            <w:pPr>
              <w:pStyle w:val="858"/>
              <w:ind w:left="0" w:right="0" w:firstLine="0"/>
              <w:jc w:val="center"/>
              <w:spacing w:before="68" w:line="182" w:lineRule="auto"/>
              <w:rPr>
                <w:rFonts w:hint="eastAsia"/>
                <w:spacing w:val="-6"/>
                <w:highlight w:val="none"/>
                <w:lang w:val="en-US" w:eastAsia="en-US"/>
              </w:rPr>
            </w:pPr>
            <w:r>
              <w:rPr>
                <w:rFonts w:hint="eastAsia"/>
                <w:spacing w:val="-6"/>
                <w:highlight w:val="none"/>
                <w:lang w:val="en-US" w:eastAsia="en-US"/>
              </w:rPr>
              <w:t xml:space="preserve">交接过渡方案</w:t>
            </w:r>
            <w:r/>
          </w:p>
        </w:tc>
        <w:tc>
          <w:tcPr>
            <w:tcW w:w="6704" w:type="dxa"/>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结合校园安保特点，</w:t>
            </w:r>
            <w:r>
              <w:rPr>
                <w:rFonts w:hint="eastAsia" w:ascii="宋体" w:hAnsi="宋体" w:eastAsia="宋体" w:cs="宋体"/>
                <w:color w:val="auto"/>
                <w:sz w:val="21"/>
                <w:szCs w:val="21"/>
                <w:highlight w:val="none"/>
                <w:lang w:val="en-US" w:eastAsia="en-US" w:bidi="ar-SA"/>
              </w:rPr>
              <w:t xml:space="preserve">评委根据投标人提供的交接过渡方案（含工作交接、衔接方案、承接查验方案</w:t>
            </w:r>
            <w:r>
              <w:rPr>
                <w:rFonts w:hint="eastAsia" w:ascii="宋体" w:hAnsi="宋体" w:eastAsia="宋体" w:cs="宋体"/>
                <w:color w:val="auto"/>
                <w:sz w:val="21"/>
                <w:szCs w:val="21"/>
                <w:highlight w:val="none"/>
                <w:lang w:val="en-US" w:eastAsia="zh-CN" w:bidi="ar-SA"/>
              </w:rPr>
              <w:t xml:space="preserve">、进场、退场的交接方案、交接过程的应急预案等</w:t>
            </w:r>
            <w:r>
              <w:rPr>
                <w:rFonts w:hint="eastAsia" w:ascii="宋体" w:hAnsi="宋体" w:eastAsia="宋体" w:cs="宋体"/>
                <w:color w:val="auto"/>
                <w:sz w:val="21"/>
                <w:szCs w:val="21"/>
                <w:highlight w:val="none"/>
                <w:lang w:val="en-US" w:eastAsia="en-US" w:bidi="ar-SA"/>
              </w:rPr>
              <w:t xml:space="preserve">）进行综合评分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（1）方案符合性、合理性、科学性、可行性强，得</w:t>
            </w: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（2）方案符合性、合理性、科学性、可行性较强，得</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（3）方案具有一定的符合性、合理性、科学性、可行性，得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（4）方案不具有符合性、合理性、科学性、可行性，得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en-US" w:bidi="ar-SA"/>
              </w:rPr>
              <w:t xml:space="preserve">未提供方案的，不得分</w:t>
            </w:r>
            <w:r>
              <w:rPr>
                <w:rFonts w:hint="eastAsia" w:ascii="宋体" w:hAnsi="宋体" w:eastAsia="宋体" w:cs="宋体"/>
                <w:color w:val="auto"/>
                <w:sz w:val="21"/>
                <w:szCs w:val="21"/>
                <w:highlight w:val="none"/>
                <w:lang w:val="en-US" w:eastAsia="zh-CN" w:bidi="ar-SA"/>
              </w:rPr>
              <w:t xml:space="preserve">。</w:t>
            </w:r>
            <w:r/>
          </w:p>
        </w:tc>
        <w:tc>
          <w:tcPr>
            <w:tcW w:w="454" w:type="dxa"/>
            <w:vAlign w:val="center"/>
            <w:textDirection w:val="lrTb"/>
            <w:noWrap w:val="false"/>
          </w:tcPr>
          <w:p>
            <w:pPr>
              <w:pStyle w:val="858"/>
              <w:ind w:left="0" w:right="0" w:firstLine="0"/>
              <w:jc w:val="center"/>
              <w:spacing w:before="68" w:line="182" w:lineRule="auto"/>
              <w:rPr>
                <w:rFonts w:hint="default"/>
                <w:color w:val="auto"/>
                <w:spacing w:val="-6"/>
                <w:highlight w:val="none"/>
                <w:lang w:val="en-US" w:eastAsia="zh-CN"/>
              </w:rPr>
            </w:pPr>
            <w:r>
              <w:rPr>
                <w:rFonts w:hint="eastAsia"/>
                <w:color w:val="auto"/>
                <w:spacing w:val="-6"/>
                <w:highlight w:val="none"/>
                <w:lang w:val="en-US" w:eastAsia="zh-CN"/>
              </w:rPr>
              <w:t xml:space="preserve">9</w:t>
            </w:r>
            <w:r/>
          </w:p>
        </w:tc>
        <w:tc>
          <w:tcPr>
            <w:tcW w:w="70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主观分</w:t>
            </w:r>
            <w:r/>
          </w:p>
        </w:tc>
      </w:tr>
      <w:tr>
        <w:trPr>
          <w:jc w:val="center"/>
          <w:trHeight w:val="347"/>
        </w:trPr>
        <w:tc>
          <w:tcPr>
            <w:tcW w:w="54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2.3</w:t>
            </w:r>
            <w:r/>
          </w:p>
        </w:tc>
        <w:tc>
          <w:tcPr>
            <w:tcW w:w="1302" w:type="dxa"/>
            <w:vAlign w:val="center"/>
            <w:textDirection w:val="lrTb"/>
            <w:noWrap w:val="false"/>
          </w:tcPr>
          <w:p>
            <w:pPr>
              <w:pStyle w:val="858"/>
              <w:ind w:left="0" w:right="0" w:firstLine="0"/>
              <w:jc w:val="center"/>
              <w:spacing w:before="68" w:line="182" w:lineRule="auto"/>
              <w:rPr>
                <w:rFonts w:hint="eastAsia"/>
                <w:spacing w:val="-6"/>
                <w:highlight w:val="none"/>
                <w:lang w:val="en-US" w:eastAsia="zh"/>
              </w:rPr>
            </w:pPr>
            <w:r>
              <w:rPr>
                <w:rFonts w:hint="eastAsia"/>
                <w:spacing w:val="-6"/>
                <w:highlight w:val="none"/>
                <w:lang w:val="en-US" w:eastAsia="zh"/>
              </w:rPr>
              <w:t xml:space="preserve">突发事件</w:t>
            </w:r>
            <w:r/>
          </w:p>
          <w:p>
            <w:pPr>
              <w:pStyle w:val="858"/>
              <w:ind w:left="0" w:right="0" w:firstLine="0"/>
              <w:jc w:val="center"/>
              <w:spacing w:before="68" w:line="182" w:lineRule="auto"/>
              <w:rPr>
                <w:rFonts w:hint="eastAsia" w:eastAsia="宋体"/>
                <w:spacing w:val="-6"/>
                <w:highlight w:val="none"/>
                <w:lang w:val="en-US" w:eastAsia="zh"/>
              </w:rPr>
            </w:pPr>
            <w:r>
              <w:rPr>
                <w:rFonts w:hint="eastAsia"/>
                <w:spacing w:val="-6"/>
                <w:highlight w:val="none"/>
                <w:lang w:val="en-US" w:eastAsia="zh"/>
              </w:rPr>
              <w:t xml:space="preserve">应急预案</w:t>
            </w:r>
            <w:r/>
          </w:p>
        </w:tc>
        <w:tc>
          <w:tcPr>
            <w:tcW w:w="6704" w:type="dxa"/>
            <w:textDirection w:val="lrTb"/>
            <w:noWrap w:val="false"/>
          </w:tcPr>
          <w:p>
            <w:pPr>
              <w:jc w:val="both"/>
              <w:spacing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结合校园安保特点，</w:t>
            </w:r>
            <w:r>
              <w:rPr>
                <w:rFonts w:hint="eastAsia" w:ascii="宋体" w:hAnsi="宋体" w:eastAsia="宋体" w:cs="宋体"/>
                <w:color w:val="auto"/>
                <w:sz w:val="21"/>
                <w:szCs w:val="21"/>
                <w:highlight w:val="none"/>
                <w:lang w:val="en-US" w:eastAsia="en-US" w:bidi="ar-SA"/>
              </w:rPr>
              <w:t xml:space="preserve">评委根据投标人提供的突发事件应急处理预案方案</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en-US" w:bidi="ar-SA"/>
              </w:rPr>
              <w:t xml:space="preserve">至少包含治安、消防、</w:t>
            </w:r>
            <w:r>
              <w:rPr>
                <w:rFonts w:hint="eastAsia" w:ascii="宋体" w:hAnsi="宋体" w:eastAsia="宋体" w:cs="宋体"/>
                <w:color w:val="auto"/>
                <w:sz w:val="21"/>
                <w:szCs w:val="21"/>
                <w:highlight w:val="none"/>
                <w:lang w:val="en-US" w:eastAsia="zh" w:bidi="ar-SA"/>
              </w:rPr>
              <w:t xml:space="preserve">反恐防暴、卫生防疫</w:t>
            </w:r>
            <w:r>
              <w:rPr>
                <w:rFonts w:hint="eastAsia" w:ascii="宋体" w:hAnsi="宋体" w:eastAsia="宋体" w:cs="宋体"/>
                <w:color w:val="auto"/>
                <w:sz w:val="21"/>
                <w:szCs w:val="21"/>
                <w:highlight w:val="none"/>
                <w:lang w:val="en-US" w:eastAsia="en-US" w:bidi="ar-SA"/>
              </w:rPr>
              <w:t xml:space="preserve">、极端天气、</w:t>
            </w:r>
            <w:r>
              <w:rPr>
                <w:rFonts w:hint="eastAsia" w:ascii="宋体" w:hAnsi="宋体" w:eastAsia="宋体" w:cs="宋体"/>
                <w:color w:val="auto"/>
                <w:sz w:val="21"/>
                <w:szCs w:val="21"/>
                <w:highlight w:val="none"/>
                <w:lang w:val="en-US" w:eastAsia="zh" w:bidi="ar-SA"/>
              </w:rPr>
              <w:t xml:space="preserve">大型活动</w:t>
            </w:r>
            <w:r>
              <w:rPr>
                <w:rFonts w:hint="eastAsia" w:ascii="宋体" w:hAnsi="宋体" w:eastAsia="宋体" w:cs="宋体"/>
                <w:color w:val="auto"/>
                <w:sz w:val="21"/>
                <w:szCs w:val="21"/>
                <w:highlight w:val="none"/>
                <w:lang w:val="en-US" w:eastAsia="en-US" w:bidi="ar-SA"/>
              </w:rPr>
              <w:t xml:space="preserve">等因素</w:t>
            </w:r>
            <w:r>
              <w:rPr>
                <w:rFonts w:hint="eastAsia" w:ascii="宋体" w:hAnsi="宋体" w:eastAsia="宋体" w:cs="宋体"/>
                <w:color w:val="auto"/>
                <w:sz w:val="21"/>
                <w:szCs w:val="21"/>
                <w:highlight w:val="none"/>
                <w:lang w:val="en-US" w:eastAsia="zh-CN" w:bidi="ar-SA"/>
              </w:rPr>
              <w:t xml:space="preserve">）进行</w:t>
            </w:r>
            <w:r>
              <w:rPr>
                <w:rFonts w:hint="eastAsia" w:ascii="宋体" w:hAnsi="宋体" w:eastAsia="宋体" w:cs="宋体"/>
                <w:color w:val="auto"/>
                <w:sz w:val="21"/>
                <w:szCs w:val="21"/>
                <w:highlight w:val="none"/>
                <w:lang w:val="en-US" w:eastAsia="en-US" w:bidi="ar-SA"/>
              </w:rPr>
              <w:t xml:space="preserve">综合评分：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应急预案完备健全，针对性强，具有实际可操作性优于招标文件的得</w:t>
            </w: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应急预案较完备、健全基本符合招标文件的得</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en-US" w:bidi="ar-SA"/>
              </w:rPr>
              <w:t xml:space="preserve">分；</w:t>
            </w:r>
            <w:r/>
          </w:p>
          <w:p>
            <w:pPr>
              <w:jc w:val="both"/>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应急预案针对性</w:t>
            </w:r>
            <w:r>
              <w:rPr>
                <w:rFonts w:hint="eastAsia" w:ascii="宋体" w:hAnsi="宋体" w:eastAsia="宋体" w:cs="宋体"/>
                <w:color w:val="auto"/>
                <w:sz w:val="21"/>
                <w:szCs w:val="21"/>
                <w:highlight w:val="none"/>
                <w:lang w:val="en-US" w:eastAsia="zh-CN" w:bidi="ar-SA"/>
              </w:rPr>
              <w:t xml:space="preserve">可行</w:t>
            </w:r>
            <w:r>
              <w:rPr>
                <w:rFonts w:hint="eastAsia" w:ascii="宋体" w:hAnsi="宋体" w:eastAsia="宋体" w:cs="宋体"/>
                <w:color w:val="auto"/>
                <w:sz w:val="21"/>
                <w:szCs w:val="21"/>
                <w:highlight w:val="none"/>
                <w:lang w:val="en-US" w:eastAsia="en-US" w:bidi="ar-SA"/>
              </w:rPr>
              <w:t xml:space="preserve">、实际可操作性</w:t>
            </w:r>
            <w:r>
              <w:rPr>
                <w:rFonts w:hint="eastAsia" w:ascii="宋体" w:hAnsi="宋体" w:eastAsia="宋体" w:cs="宋体"/>
                <w:color w:val="auto"/>
                <w:sz w:val="21"/>
                <w:szCs w:val="21"/>
                <w:highlight w:val="none"/>
                <w:lang w:val="en-US" w:eastAsia="zh-CN" w:bidi="ar-SA"/>
              </w:rPr>
              <w:t xml:space="preserve">一般</w:t>
            </w:r>
            <w:r>
              <w:rPr>
                <w:rFonts w:hint="eastAsia" w:ascii="宋体" w:hAnsi="宋体" w:eastAsia="宋体" w:cs="宋体"/>
                <w:color w:val="auto"/>
                <w:sz w:val="21"/>
                <w:szCs w:val="21"/>
                <w:highlight w:val="none"/>
                <w:lang w:val="en-US" w:eastAsia="en-US" w:bidi="ar-SA"/>
              </w:rPr>
              <w:t xml:space="preserve">的得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p>
          <w:p>
            <w:pPr>
              <w:jc w:val="both"/>
              <w:spacing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en-US" w:bidi="ar-SA"/>
              </w:rPr>
              <w:t xml:space="preserve">应急预案针对性弱、实际可操作性</w:t>
            </w:r>
            <w:r>
              <w:rPr>
                <w:rFonts w:hint="eastAsia" w:ascii="宋体" w:hAnsi="宋体" w:eastAsia="宋体" w:cs="宋体"/>
                <w:color w:val="auto"/>
                <w:sz w:val="21"/>
                <w:szCs w:val="21"/>
                <w:highlight w:val="none"/>
                <w:lang w:val="en-US" w:eastAsia="zh-CN" w:bidi="ar-SA"/>
              </w:rPr>
              <w:t xml:space="preserve">较弱</w:t>
            </w:r>
            <w:r>
              <w:rPr>
                <w:rFonts w:hint="eastAsia" w:ascii="宋体" w:hAnsi="宋体" w:eastAsia="宋体" w:cs="宋体"/>
                <w:color w:val="auto"/>
                <w:sz w:val="21"/>
                <w:szCs w:val="21"/>
                <w:highlight w:val="none"/>
                <w:lang w:val="en-US" w:eastAsia="en-US" w:bidi="ar-SA"/>
              </w:rPr>
              <w:t xml:space="preserve">的得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w:t>
            </w:r>
            <w:r/>
          </w:p>
          <w:p>
            <w:pPr>
              <w:jc w:val="both"/>
              <w:spacing w:line="360" w:lineRule="auto"/>
              <w:widowControl/>
              <w:rPr>
                <w:rFonts w:hint="eastAsia"/>
                <w:color w:val="auto"/>
                <w:highlight w:val="none"/>
                <w:lang w:val="en-US" w:eastAsia="en-US"/>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en-US" w:bidi="ar-SA"/>
              </w:rPr>
              <w:t xml:space="preserve">未提供的不得分。</w:t>
            </w:r>
            <w:r/>
          </w:p>
        </w:tc>
        <w:tc>
          <w:tcPr>
            <w:tcW w:w="454" w:type="dxa"/>
            <w:vAlign w:val="center"/>
            <w:textDirection w:val="lrTb"/>
            <w:noWrap w:val="false"/>
          </w:tcPr>
          <w:p>
            <w:pPr>
              <w:pStyle w:val="858"/>
              <w:ind w:left="0" w:right="0" w:firstLine="0"/>
              <w:jc w:val="center"/>
              <w:spacing w:before="68" w:line="182" w:lineRule="auto"/>
              <w:rPr>
                <w:rFonts w:hint="default"/>
                <w:color w:val="auto"/>
                <w:spacing w:val="-6"/>
                <w:highlight w:val="none"/>
                <w:lang w:val="en-US" w:eastAsia="zh-CN"/>
              </w:rPr>
            </w:pPr>
            <w:r>
              <w:rPr>
                <w:rFonts w:hint="eastAsia"/>
                <w:color w:val="auto"/>
                <w:spacing w:val="-6"/>
                <w:highlight w:val="none"/>
                <w:lang w:val="en-US" w:eastAsia="zh-CN"/>
              </w:rPr>
              <w:t xml:space="preserve">9</w:t>
            </w:r>
            <w:r/>
          </w:p>
        </w:tc>
        <w:tc>
          <w:tcPr>
            <w:tcW w:w="70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主观分</w:t>
            </w:r>
            <w:r/>
          </w:p>
        </w:tc>
      </w:tr>
      <w:tr>
        <w:trPr>
          <w:jc w:val="center"/>
          <w:trHeight w:val="90"/>
        </w:trPr>
        <w:tc>
          <w:tcPr>
            <w:tcW w:w="54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2.4</w:t>
            </w:r>
            <w:r/>
          </w:p>
        </w:tc>
        <w:tc>
          <w:tcPr>
            <w:tcW w:w="1302" w:type="dxa"/>
            <w:vAlign w:val="center"/>
            <w:textDirection w:val="lrTb"/>
            <w:noWrap w:val="false"/>
          </w:tcPr>
          <w:p>
            <w:pPr>
              <w:ind w:left="0" w:right="0" w:firstLine="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岗位职责分工</w:t>
            </w:r>
            <w:r/>
          </w:p>
        </w:tc>
        <w:tc>
          <w:tcPr>
            <w:tcW w:w="6704" w:type="dxa"/>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结合校园安保特点，评委根据投标人设置的人员职责分工（含</w:t>
            </w:r>
            <w:r>
              <w:rPr>
                <w:rFonts w:hint="eastAsia" w:ascii="宋体" w:hAnsi="宋体" w:eastAsia="宋体" w:cs="宋体"/>
                <w:color w:val="auto"/>
                <w:sz w:val="21"/>
                <w:szCs w:val="21"/>
                <w:highlight w:val="none"/>
                <w:lang w:val="en-US" w:eastAsia="en-US" w:bidi="ar-SA"/>
              </w:rPr>
              <w:t xml:space="preserve">人员分配、部门安排、岗位职责、工作程序</w:t>
            </w:r>
            <w:r>
              <w:rPr>
                <w:rFonts w:hint="eastAsia" w:ascii="宋体" w:hAnsi="宋体" w:eastAsia="宋体" w:cs="宋体"/>
                <w:color w:val="auto"/>
                <w:sz w:val="21"/>
                <w:szCs w:val="21"/>
                <w:highlight w:val="none"/>
                <w:lang w:val="en-US" w:eastAsia="zh-CN" w:bidi="ar-SA"/>
              </w:rPr>
              <w:t xml:space="preserve">等）进行</w:t>
            </w:r>
            <w:r>
              <w:rPr>
                <w:rFonts w:hint="eastAsia" w:ascii="宋体" w:hAnsi="宋体" w:eastAsia="宋体" w:cs="宋体"/>
                <w:color w:val="auto"/>
                <w:sz w:val="21"/>
                <w:szCs w:val="21"/>
                <w:highlight w:val="none"/>
                <w:lang w:val="en-US" w:eastAsia="en-US" w:bidi="ar-SA"/>
              </w:rPr>
              <w:t xml:space="preserve">综合评分：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（1）设置的人员分配充足、部门安排合理、岗位职责明确、工作程序细致的得9分；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（2）设置的人员分配较充足、部门安排较合理、岗位职责较明确、工作程序较细致的得6分；</w:t>
            </w:r>
            <w:r/>
          </w:p>
          <w:p>
            <w:pPr>
              <w:jc w:val="both"/>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（3）设置的人员分配合理、部门安排合理、岗位职责合理明确、工作程序细致的得3分；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（4）设置的人员分配一般、部门安排一般、岗位职责一般明确、工作程序一般细致的得1分；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（5）未提供不得分。</w:t>
            </w:r>
            <w:r/>
          </w:p>
        </w:tc>
        <w:tc>
          <w:tcPr>
            <w:tcW w:w="454" w:type="dxa"/>
            <w:vAlign w:val="center"/>
            <w:textDirection w:val="lrTb"/>
            <w:noWrap w:val="false"/>
          </w:tcPr>
          <w:p>
            <w:pPr>
              <w:pStyle w:val="858"/>
              <w:ind w:left="0" w:right="0" w:firstLine="0"/>
              <w:jc w:val="center"/>
              <w:spacing w:before="68" w:line="182" w:lineRule="auto"/>
              <w:rPr>
                <w:rFonts w:hint="default"/>
                <w:color w:val="auto"/>
                <w:spacing w:val="-6"/>
                <w:highlight w:val="none"/>
                <w:lang w:val="en-US" w:eastAsia="zh-CN"/>
              </w:rPr>
            </w:pPr>
            <w:r>
              <w:rPr>
                <w:rFonts w:hint="eastAsia"/>
                <w:color w:val="auto"/>
                <w:spacing w:val="-6"/>
                <w:highlight w:val="none"/>
                <w:lang w:val="en-US" w:eastAsia="zh-CN"/>
              </w:rPr>
              <w:t xml:space="preserve">9</w:t>
            </w:r>
            <w:r/>
          </w:p>
        </w:tc>
        <w:tc>
          <w:tcPr>
            <w:tcW w:w="705" w:type="dxa"/>
            <w:vAlign w:val="center"/>
            <w:textDirection w:val="lrTb"/>
            <w:noWrap w:val="false"/>
          </w:tcPr>
          <w:p>
            <w:pPr>
              <w:pStyle w:val="858"/>
              <w:ind w:left="0" w:right="0" w:firstLine="0"/>
              <w:jc w:val="center"/>
              <w:spacing w:before="68" w:line="182" w:lineRule="auto"/>
              <w:rPr>
                <w:rFonts w:hint="eastAsia"/>
                <w:spacing w:val="-6"/>
                <w:highlight w:val="none"/>
                <w:lang w:eastAsia="zh-CN"/>
              </w:rPr>
            </w:pPr>
            <w:r>
              <w:rPr>
                <w:rFonts w:hint="eastAsia"/>
                <w:spacing w:val="-6"/>
                <w:highlight w:val="none"/>
              </w:rPr>
              <w:t xml:space="preserve">主观</w:t>
            </w:r>
            <w:r>
              <w:rPr>
                <w:rFonts w:hint="eastAsia"/>
                <w:spacing w:val="-6"/>
                <w:highlight w:val="none"/>
                <w:lang w:eastAsia="zh-CN"/>
              </w:rPr>
              <w:t xml:space="preserve">分</w:t>
            </w:r>
            <w:r/>
          </w:p>
        </w:tc>
      </w:tr>
      <w:tr>
        <w:trPr>
          <w:jc w:val="center"/>
          <w:trHeight w:val="2268"/>
        </w:trPr>
        <w:tc>
          <w:tcPr>
            <w:tcW w:w="545" w:type="dxa"/>
            <w:vAlign w:val="center"/>
            <w:textDirection w:val="lrTb"/>
            <w:noWrap w:val="false"/>
          </w:tcPr>
          <w:p>
            <w:pPr>
              <w:pStyle w:val="858"/>
              <w:ind w:left="0" w:right="0" w:firstLine="0"/>
              <w:jc w:val="center"/>
              <w:spacing w:before="68" w:line="182" w:lineRule="auto"/>
              <w:rPr>
                <w:rFonts w:hint="default" w:eastAsia="宋体"/>
                <w:spacing w:val="-6"/>
                <w:highlight w:val="none"/>
                <w:lang w:val="en-US" w:eastAsia="zh-CN"/>
              </w:rPr>
            </w:pPr>
            <w:r>
              <w:rPr>
                <w:rFonts w:hint="eastAsia"/>
                <w:spacing w:val="-6"/>
                <w:highlight w:val="none"/>
              </w:rPr>
              <w:t xml:space="preserve">2.5</w:t>
            </w:r>
            <w:r/>
          </w:p>
        </w:tc>
        <w:tc>
          <w:tcPr>
            <w:tcW w:w="1302" w:type="dxa"/>
            <w:vAlign w:val="center"/>
            <w:textDirection w:val="lrTb"/>
            <w:noWrap w:val="false"/>
          </w:tcPr>
          <w:p>
            <w:pPr>
              <w:ind w:left="0" w:right="0" w:firstLine="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重难点分析</w:t>
            </w:r>
            <w:r/>
          </w:p>
        </w:tc>
        <w:tc>
          <w:tcPr>
            <w:tcW w:w="6704" w:type="dxa"/>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结合校园安保特点，评委根据投标人提供的安保服务的重点、难点分析方案（含安全重点分析、人员及车辆出入管理、重点区域巡逻与监控等）进行综合评分： </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（1）方案符合性、合理性、科学性、可行性强，得 5分； </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（2）方案符合性、合理性、科学性、可行性较强，得 4分； </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（3）方案具有一定的符合性、合理性、科学性、可行性，得 3 分； </w:t>
            </w:r>
            <w:r/>
          </w:p>
          <w:p>
            <w:pPr>
              <w:jc w:val="both"/>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（4）方案不具有符合性、合理性、科学性、可行性，得 2分；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（5）未提供方案的，不得分。</w:t>
            </w:r>
            <w:r/>
          </w:p>
        </w:tc>
        <w:tc>
          <w:tcPr>
            <w:tcW w:w="454"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705"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主观分</w:t>
            </w:r>
            <w:r/>
          </w:p>
        </w:tc>
      </w:tr>
      <w:tr>
        <w:trPr>
          <w:jc w:val="center"/>
          <w:trHeight w:val="2268"/>
        </w:trPr>
        <w:tc>
          <w:tcPr>
            <w:tcW w:w="545" w:type="dxa"/>
            <w:vAlign w:val="center"/>
            <w:textDirection w:val="lrTb"/>
            <w:noWrap w:val="false"/>
          </w:tcPr>
          <w:p>
            <w:pPr>
              <w:pStyle w:val="858"/>
              <w:ind w:left="0" w:right="0" w:firstLine="0"/>
              <w:jc w:val="center"/>
              <w:spacing w:before="68" w:line="182" w:lineRule="auto"/>
              <w:rPr>
                <w:rFonts w:hint="eastAsia"/>
                <w:spacing w:val="-6"/>
                <w:highlight w:val="none"/>
                <w:lang w:val="en-US" w:eastAsia="zh-CN"/>
              </w:rPr>
            </w:pPr>
            <w:r>
              <w:rPr>
                <w:rFonts w:hint="eastAsia"/>
                <w:spacing w:val="-6"/>
                <w:highlight w:val="none"/>
                <w:lang w:val="en-US" w:eastAsia="zh-CN"/>
              </w:rPr>
              <w:t xml:space="preserve">2.6</w:t>
            </w:r>
            <w:r/>
          </w:p>
        </w:tc>
        <w:tc>
          <w:tcPr>
            <w:shd w:val="clear" w:color="auto" w:fill="auto"/>
            <w:tcW w:w="1302" w:type="dxa"/>
            <w:vAlign w:val="center"/>
            <w:textDirection w:val="lrTb"/>
            <w:noWrap w:val="false"/>
          </w:tcPr>
          <w:p>
            <w:pPr>
              <w:pStyle w:val="858"/>
              <w:ind w:left="0" w:right="0" w:firstLine="0"/>
              <w:jc w:val="center"/>
              <w:keepLines w:val="0"/>
              <w:keepNext w:val="0"/>
              <w:pageBreakBefore w:val="0"/>
              <w:spacing w:before="68" w:line="240" w:lineRule="auto"/>
              <w:widowControl/>
              <w:rPr>
                <w:rFonts w:hint="eastAsia" w:ascii="宋体" w:hAnsi="宋体" w:eastAsia="宋体" w:cs="宋体"/>
                <w:color w:val="000000"/>
                <w:spacing w:val="-6"/>
                <w:sz w:val="21"/>
                <w:szCs w:val="21"/>
                <w:highlight w:val="none"/>
                <w:lang w:val="en-US" w:eastAsia="zh-CN" w:bidi="ar-SA"/>
              </w:rPr>
            </w:pPr>
            <w:r>
              <w:rPr>
                <w:rFonts w:hint="eastAsia"/>
                <w:spacing w:val="-6"/>
                <w:highlight w:val="none"/>
                <w:lang w:val="en-US" w:eastAsia="zh-CN"/>
              </w:rPr>
              <w:t xml:space="preserve">学校重大活动服务方案</w:t>
            </w:r>
            <w:r/>
          </w:p>
        </w:tc>
        <w:tc>
          <w:tcPr>
            <w:shd w:val="clear" w:color="auto" w:fill="auto"/>
            <w:tcW w:w="6704" w:type="dxa"/>
            <w:vAlign w:val="top"/>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结合校园安保特点，</w:t>
            </w:r>
            <w:r>
              <w:rPr>
                <w:rFonts w:hint="eastAsia" w:ascii="宋体" w:hAnsi="宋体" w:eastAsia="宋体" w:cs="宋体"/>
                <w:color w:val="auto"/>
                <w:sz w:val="21"/>
                <w:szCs w:val="21"/>
                <w:highlight w:val="none"/>
                <w:lang w:val="en-US" w:eastAsia="en-US" w:bidi="ar-SA"/>
              </w:rPr>
              <w:t xml:space="preserve">评委根据投标人提供的</w:t>
            </w:r>
            <w:r>
              <w:rPr>
                <w:rFonts w:hint="eastAsia" w:ascii="宋体" w:hAnsi="宋体" w:eastAsia="宋体" w:cs="宋体"/>
                <w:color w:val="auto"/>
                <w:sz w:val="21"/>
                <w:szCs w:val="21"/>
                <w:highlight w:val="none"/>
                <w:lang w:val="en-US" w:eastAsia="zh-CN" w:bidi="ar-SA"/>
              </w:rPr>
              <w:t xml:space="preserve">学校重大活动服务方案</w:t>
            </w:r>
            <w:r>
              <w:rPr>
                <w:rFonts w:hint="eastAsia" w:ascii="宋体" w:hAnsi="宋体" w:eastAsia="宋体" w:cs="宋体"/>
                <w:color w:val="auto"/>
                <w:sz w:val="21"/>
                <w:szCs w:val="21"/>
                <w:highlight w:val="none"/>
                <w:lang w:val="en-US" w:eastAsia="en-US" w:bidi="ar-SA"/>
              </w:rPr>
              <w:t xml:space="preserve">（</w:t>
            </w:r>
            <w:r>
              <w:rPr>
                <w:rFonts w:hint="eastAsia" w:ascii="宋体" w:hAnsi="宋体" w:eastAsia="宋体" w:cs="宋体"/>
                <w:color w:val="auto"/>
                <w:sz w:val="21"/>
                <w:szCs w:val="21"/>
                <w:highlight w:val="none"/>
                <w:lang w:val="en-US" w:eastAsia="zh-CN" w:bidi="ar-SA"/>
              </w:rPr>
              <w:t xml:space="preserve">重大活动</w:t>
            </w:r>
            <w:r>
              <w:rPr>
                <w:rFonts w:hint="eastAsia" w:ascii="宋体" w:hAnsi="宋体" w:eastAsia="宋体" w:cs="宋体"/>
                <w:color w:val="auto"/>
                <w:sz w:val="21"/>
                <w:szCs w:val="21"/>
                <w:highlight w:val="none"/>
                <w:lang w:val="en-US" w:eastAsia="en-US" w:bidi="ar-SA"/>
              </w:rPr>
              <w:t xml:space="preserve">含</w:t>
            </w:r>
            <w:r>
              <w:rPr>
                <w:rFonts w:hint="eastAsia" w:ascii="宋体" w:hAnsi="宋体" w:eastAsia="宋体" w:cs="宋体"/>
                <w:color w:val="auto"/>
                <w:sz w:val="21"/>
                <w:szCs w:val="21"/>
                <w:highlight w:val="none"/>
                <w:lang w:val="en-US" w:eastAsia="zh-CN" w:bidi="ar-SA"/>
              </w:rPr>
              <w:t xml:space="preserve">庆祝纪念类、学术科技类、体育竞技类</w:t>
            </w:r>
            <w:r>
              <w:rPr>
                <w:rFonts w:hint="eastAsia" w:ascii="宋体" w:hAnsi="宋体" w:eastAsia="宋体" w:cs="宋体"/>
                <w:color w:val="auto"/>
                <w:sz w:val="21"/>
                <w:szCs w:val="21"/>
                <w:highlight w:val="none"/>
                <w:lang w:val="en-US" w:eastAsia="en-US" w:bidi="ar-SA"/>
              </w:rPr>
              <w:t xml:space="preserve">等）进行综合评分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（1）方案符合性、合理性、科学性、可行性强，得</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（2）方案符合性、合理性、科学性、可行性较强，得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（3）方案具有一定的符合性、合理性、科学性、可行性，得</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（4）方案不具有符合性、合理性、科学性、可行性，得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en-US" w:bidi="ar-SA"/>
              </w:rPr>
              <w:t xml:space="preserve">未提供方案的，不得分</w:t>
            </w:r>
            <w:r>
              <w:rPr>
                <w:rFonts w:hint="eastAsia" w:ascii="宋体" w:hAnsi="宋体" w:eastAsia="宋体" w:cs="宋体"/>
                <w:color w:val="auto"/>
                <w:sz w:val="21"/>
                <w:szCs w:val="21"/>
                <w:highlight w:val="none"/>
                <w:lang w:val="en-US" w:eastAsia="zh-CN" w:bidi="ar-SA"/>
              </w:rPr>
              <w:t xml:space="preserve">。</w:t>
            </w:r>
            <w:r/>
          </w:p>
        </w:tc>
        <w:tc>
          <w:tcPr>
            <w:shd w:val="clear" w:color="auto" w:fill="auto"/>
            <w:tcW w:w="454" w:type="dxa"/>
            <w:vAlign w:val="center"/>
            <w:textDirection w:val="lrTb"/>
            <w:noWrap w:val="false"/>
          </w:tcPr>
          <w:p>
            <w:pPr>
              <w:pStyle w:val="858"/>
              <w:ind w:left="0" w:right="0" w:firstLine="0"/>
              <w:jc w:val="center"/>
              <w:spacing w:before="68" w:line="182" w:lineRule="auto"/>
              <w:rPr>
                <w:rFonts w:hint="eastAsia" w:ascii="宋体" w:hAnsi="宋体" w:eastAsia="宋体" w:cs="宋体"/>
                <w:color w:val="auto"/>
                <w:spacing w:val="-6"/>
                <w:sz w:val="21"/>
                <w:szCs w:val="21"/>
                <w:highlight w:val="none"/>
                <w:lang w:val="en-US" w:eastAsia="zh-CN" w:bidi="ar-SA"/>
              </w:rPr>
            </w:pPr>
            <w:r>
              <w:rPr>
                <w:rFonts w:hint="eastAsia"/>
                <w:color w:val="ff0000"/>
                <w:spacing w:val="-6"/>
                <w:highlight w:val="none"/>
                <w:lang w:val="en-US" w:eastAsia="zh-CN"/>
              </w:rPr>
              <w:t xml:space="preserve">4</w:t>
            </w:r>
            <w:r/>
          </w:p>
        </w:tc>
        <w:tc>
          <w:tcPr>
            <w:shd w:val="clear" w:color="auto" w:fill="auto"/>
            <w:tcW w:w="705" w:type="dxa"/>
            <w:vAlign w:val="center"/>
            <w:textDirection w:val="lrTb"/>
            <w:noWrap w:val="false"/>
          </w:tcPr>
          <w:p>
            <w:pPr>
              <w:pStyle w:val="858"/>
              <w:ind w:left="0" w:right="0" w:firstLine="0"/>
              <w:jc w:val="center"/>
              <w:spacing w:before="68" w:line="182" w:lineRule="auto"/>
              <w:rPr>
                <w:rFonts w:hint="eastAsia" w:ascii="宋体" w:hAnsi="宋体" w:eastAsia="宋体" w:cs="宋体"/>
                <w:color w:val="000000"/>
                <w:spacing w:val="-6"/>
                <w:sz w:val="21"/>
                <w:szCs w:val="21"/>
                <w:highlight w:val="none"/>
                <w:lang w:val="en-US" w:eastAsia="zh-CN" w:bidi="ar-SA"/>
              </w:rPr>
            </w:pPr>
            <w:r>
              <w:rPr>
                <w:rFonts w:hint="eastAsia"/>
                <w:spacing w:val="-6"/>
                <w:highlight w:val="none"/>
              </w:rPr>
              <w:t xml:space="preserve">主观分</w:t>
            </w:r>
            <w:r/>
          </w:p>
        </w:tc>
      </w:tr>
      <w:tr>
        <w:trPr>
          <w:jc w:val="center"/>
          <w:trHeight w:val="465"/>
        </w:trPr>
        <w:tc>
          <w:tcPr>
            <w:gridSpan w:val="5"/>
            <w:tcW w:w="9710" w:type="dxa"/>
            <w:vAlign w:val="center"/>
            <w:textDirection w:val="lrTb"/>
            <w:noWrap w:val="false"/>
          </w:tcPr>
          <w:p>
            <w:pPr>
              <w:ind w:left="105"/>
              <w:jc w:val="both"/>
              <w:keepLines w:val="0"/>
              <w:keepNext w:val="0"/>
              <w:pageBreakBefore w:val="0"/>
              <w:widowControl/>
              <w:rPr>
                <w:rFonts w:hint="eastAsia" w:ascii="宋体" w:hAnsi="宋体" w:eastAsia="宋体" w:cs="宋体"/>
                <w:b/>
                <w:bCs/>
                <w:spacing w:val="-3"/>
                <w:highlight w:val="none"/>
                <w:lang w:val="en-US" w:eastAsia="zh-CN"/>
              </w:rPr>
            </w:pPr>
            <w:r>
              <w:rPr>
                <w:rFonts w:hint="eastAsia" w:ascii="宋体" w:hAnsi="宋体" w:eastAsia="宋体" w:cs="宋体"/>
                <w:b/>
                <w:bCs/>
                <w:spacing w:val="-3"/>
                <w:highlight w:val="none"/>
                <w:lang w:val="en-US" w:eastAsia="zh-CN"/>
              </w:rPr>
              <w:t xml:space="preserve">3.人员</w:t>
            </w:r>
            <w:r/>
          </w:p>
        </w:tc>
      </w:tr>
      <w:tr>
        <w:trPr>
          <w:jc w:val="center"/>
          <w:trHeight w:val="634"/>
        </w:trPr>
        <w:tc>
          <w:tcPr>
            <w:tcW w:w="545" w:type="dxa"/>
            <w:vAlign w:val="center"/>
            <w:textDirection w:val="lrTb"/>
            <w:noWrap w:val="false"/>
          </w:tcPr>
          <w:p>
            <w:pPr>
              <w:ind w:left="0" w:right="0" w:firstLine="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3.1</w:t>
            </w:r>
            <w:r/>
          </w:p>
        </w:tc>
        <w:tc>
          <w:tcPr>
            <w:tcW w:w="1302" w:type="dxa"/>
            <w:vAlign w:val="center"/>
            <w:textDirection w:val="lrTb"/>
            <w:noWrap w:val="false"/>
          </w:tcPr>
          <w:p>
            <w:pPr>
              <w:ind w:left="0" w:right="0" w:firstLine="0"/>
              <w:jc w:val="center"/>
              <w:rPr>
                <w:rFonts w:hint="default"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项目负责人</w:t>
            </w:r>
            <w:r/>
          </w:p>
        </w:tc>
        <w:tc>
          <w:tcPr>
            <w:tcW w:w="6704" w:type="dxa"/>
            <w:vAlign w:val="center"/>
            <w:textDirection w:val="lrTb"/>
            <w:noWrap w:val="false"/>
          </w:tcPr>
          <w:p>
            <w:pPr>
              <w:jc w:val="both"/>
              <w:spacing w:line="360" w:lineRule="auto"/>
              <w:widowControl/>
              <w:rPr>
                <w:rFonts w:hint="default"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1.投标人投入本项目负责人具有本科及以上学历证书的，得3分；具有高级(三级)保安员证书的，得3分，共计6分。</w:t>
            </w:r>
            <w:r/>
          </w:p>
          <w:p>
            <w:pPr>
              <w:jc w:val="both"/>
              <w:spacing w:line="360" w:lineRule="auto"/>
              <w:widowControl/>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2.拟派项目负责人持有中级（四级）及以上等级消防设施操作员证书得3分。</w:t>
            </w:r>
            <w:r/>
          </w:p>
          <w:p>
            <w:pPr>
              <w:jc w:val="both"/>
              <w:spacing w:line="360" w:lineRule="auto"/>
              <w:widowControl/>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注：①提供相关证书等证明材料复印件以及投标供应商近半年内（2025年12月-2026年5月）任意一个月份为相关人员缴纳社保的证明资料并加盖投标供应商公章；</w:t>
            </w:r>
            <w:r/>
          </w:p>
        </w:tc>
        <w:tc>
          <w:tcPr>
            <w:tcW w:w="454" w:type="dxa"/>
            <w:vAlign w:val="center"/>
            <w:textDirection w:val="lrTb"/>
            <w:noWrap w:val="false"/>
          </w:tcPr>
          <w:p>
            <w:pPr>
              <w:pStyle w:val="858"/>
              <w:jc w:val="center"/>
              <w:spacing w:before="68" w:line="182" w:lineRule="auto"/>
              <w:rPr>
                <w:rFonts w:hint="default" w:cs="宋体"/>
                <w:color w:val="ff0000"/>
                <w:spacing w:val="-6"/>
                <w:highlight w:val="none"/>
                <w:lang w:val="en-US" w:eastAsia="zh-CN"/>
              </w:rPr>
            </w:pPr>
            <w:r>
              <w:rPr>
                <w:rFonts w:hint="eastAsia" w:cs="宋体"/>
                <w:color w:val="auto"/>
                <w:spacing w:val="-6"/>
                <w:highlight w:val="none"/>
                <w:lang w:val="en-US" w:eastAsia="zh-CN"/>
              </w:rPr>
              <w:t xml:space="preserve">9</w:t>
            </w:r>
            <w:r/>
          </w:p>
        </w:tc>
        <w:tc>
          <w:tcPr>
            <w:tcW w:w="705" w:type="dxa"/>
            <w:vAlign w:val="center"/>
            <w:textDirection w:val="lrTb"/>
            <w:noWrap w:val="false"/>
          </w:tcPr>
          <w:p>
            <w:pPr>
              <w:pStyle w:val="858"/>
              <w:jc w:val="center"/>
              <w:spacing w:before="68" w:line="182" w:lineRule="auto"/>
              <w:rPr>
                <w:rFonts w:hint="eastAsia" w:ascii="宋体" w:hAnsi="宋体" w:eastAsia="宋体" w:cs="宋体"/>
                <w:spacing w:val="-6"/>
                <w:highlight w:val="none"/>
                <w:lang w:eastAsia="zh-CN"/>
              </w:rPr>
            </w:pPr>
            <w:r>
              <w:rPr>
                <w:rFonts w:hint="eastAsia" w:cs="宋体"/>
                <w:spacing w:val="-6"/>
                <w:highlight w:val="none"/>
                <w:lang w:eastAsia="zh-CN"/>
              </w:rPr>
              <w:t xml:space="preserve">客观分</w:t>
            </w:r>
            <w:r/>
          </w:p>
        </w:tc>
      </w:tr>
      <w:tr>
        <w:trPr>
          <w:jc w:val="center"/>
          <w:trHeight w:val="634"/>
        </w:trPr>
        <w:tc>
          <w:tcPr>
            <w:tcW w:w="545" w:type="dxa"/>
            <w:vAlign w:val="center"/>
            <w:textDirection w:val="lrTb"/>
            <w:noWrap w:val="false"/>
          </w:tcPr>
          <w:p>
            <w:pPr>
              <w:ind w:left="0" w:right="0" w:firstLine="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3.2</w:t>
            </w:r>
            <w:r/>
          </w:p>
        </w:tc>
        <w:tc>
          <w:tcPr>
            <w:tcW w:w="1302" w:type="dxa"/>
            <w:vAlign w:val="center"/>
            <w:textDirection w:val="lrTb"/>
            <w:noWrap w:val="false"/>
          </w:tcPr>
          <w:p>
            <w:pPr>
              <w:ind w:left="0" w:right="0" w:firstLine="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项目组成员</w:t>
            </w:r>
            <w:r/>
          </w:p>
        </w:tc>
        <w:tc>
          <w:tcPr>
            <w:tcW w:w="6704" w:type="dxa"/>
            <w:vAlign w:val="center"/>
            <w:textDirection w:val="lrTb"/>
            <w:noWrap w:val="false"/>
          </w:tcPr>
          <w:p>
            <w:pPr>
              <w:jc w:val="both"/>
              <w:spacing w:line="360" w:lineRule="auto"/>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1、投标人拟派驻本项目每个采购包满员</w:t>
            </w:r>
            <w:r>
              <w:rPr>
                <w:rFonts w:hint="eastAsia" w:ascii="宋体" w:hAnsi="宋体" w:eastAsia="宋体" w:cs="宋体"/>
                <w:color w:val="000000"/>
                <w:sz w:val="21"/>
                <w:szCs w:val="21"/>
                <w:highlight w:val="none"/>
                <w:lang w:val="en-US" w:eastAsia="zh-CN" w:bidi="ar-SA"/>
              </w:rPr>
              <w:t xml:space="preserve">及</w:t>
            </w:r>
            <w:r>
              <w:rPr>
                <w:rFonts w:hint="eastAsia" w:ascii="宋体" w:hAnsi="宋体" w:eastAsia="宋体" w:cs="宋体"/>
                <w:color w:val="000000"/>
                <w:sz w:val="21"/>
                <w:szCs w:val="21"/>
                <w:highlight w:val="none"/>
                <w:lang w:val="en-US" w:eastAsia="zh-CN" w:bidi="ar-SA"/>
              </w:rPr>
              <w:t xml:space="preserve">以上的保安人员具有保安员证书的，得9分，90名（含）-每个采购包满员（</w:t>
            </w:r>
            <w:r>
              <w:rPr>
                <w:rFonts w:hint="eastAsia" w:ascii="宋体" w:hAnsi="宋体" w:eastAsia="宋体" w:cs="宋体"/>
                <w:color w:val="000000"/>
                <w:sz w:val="21"/>
                <w:szCs w:val="21"/>
                <w:highlight w:val="none"/>
                <w:lang w:val="en-US" w:eastAsia="zh-CN" w:bidi="ar-SA"/>
              </w:rPr>
              <w:t xml:space="preserve">不</w:t>
            </w:r>
            <w:r>
              <w:rPr>
                <w:rFonts w:hint="eastAsia" w:ascii="宋体" w:hAnsi="宋体" w:eastAsia="宋体" w:cs="宋体"/>
                <w:color w:val="000000"/>
                <w:sz w:val="21"/>
                <w:szCs w:val="21"/>
                <w:highlight w:val="none"/>
                <w:lang w:val="en-US" w:eastAsia="zh-CN" w:bidi="ar-SA"/>
              </w:rPr>
              <w:t xml:space="preserve">含）的得6分，60名-89名得3分。</w:t>
            </w:r>
            <w:r/>
          </w:p>
          <w:p>
            <w:pPr>
              <w:jc w:val="both"/>
              <w:spacing w:line="360" w:lineRule="auto"/>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2、投标人拟派驻本项目保安人员中至少15名（含）保安人员具有消防中级证书的，得9分，10名（含）-14名得6分，10名以下得3分</w:t>
            </w:r>
            <w:r>
              <w:rPr>
                <w:rFonts w:hint="eastAsia" w:ascii="宋体" w:hAnsi="宋体" w:eastAsia="宋体" w:cs="宋体"/>
                <w:color w:val="000000"/>
                <w:sz w:val="21"/>
                <w:szCs w:val="21"/>
                <w:highlight w:val="none"/>
                <w:lang w:val="en-US" w:eastAsia="zh-CN" w:bidi="ar-SA"/>
              </w:rPr>
              <w:t xml:space="preserve">。</w:t>
            </w:r>
            <w:r/>
          </w:p>
          <w:p>
            <w:pPr>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注：提供相关证书、有合法有效的健康证明和劳动合同复印件及近三个月缴纳的社保证明加盖公章。</w:t>
            </w:r>
            <w:r/>
          </w:p>
        </w:tc>
        <w:tc>
          <w:tcPr>
            <w:tcW w:w="454" w:type="dxa"/>
            <w:vAlign w:val="center"/>
            <w:textDirection w:val="lrTb"/>
            <w:noWrap w:val="false"/>
          </w:tcPr>
          <w:p>
            <w:pPr>
              <w:pStyle w:val="858"/>
              <w:jc w:val="center"/>
              <w:spacing w:before="68" w:line="182" w:lineRule="auto"/>
              <w:rPr>
                <w:rFonts w:hint="default" w:cs="宋体"/>
                <w:color w:val="auto"/>
                <w:spacing w:val="-6"/>
                <w:highlight w:val="none"/>
                <w:lang w:val="en-US" w:eastAsia="zh-CN"/>
              </w:rPr>
            </w:pPr>
            <w:r>
              <w:rPr>
                <w:rFonts w:hint="eastAsia" w:cs="宋体"/>
                <w:color w:val="auto"/>
                <w:spacing w:val="-6"/>
                <w:highlight w:val="none"/>
                <w:lang w:val="en-US" w:eastAsia="zh-CN"/>
              </w:rPr>
              <w:t xml:space="preserve">18</w:t>
            </w:r>
            <w:r/>
          </w:p>
        </w:tc>
        <w:tc>
          <w:tcPr>
            <w:tcW w:w="705" w:type="dxa"/>
            <w:vAlign w:val="center"/>
            <w:textDirection w:val="lrTb"/>
            <w:noWrap w:val="false"/>
          </w:tcPr>
          <w:p>
            <w:pPr>
              <w:pStyle w:val="858"/>
              <w:jc w:val="center"/>
              <w:spacing w:before="68" w:line="182" w:lineRule="auto"/>
              <w:rPr>
                <w:rFonts w:hint="eastAsia" w:cs="宋体"/>
                <w:spacing w:val="-6"/>
                <w:highlight w:val="none"/>
                <w:lang w:eastAsia="zh-CN"/>
              </w:rPr>
            </w:pPr>
            <w:r>
              <w:rPr>
                <w:rFonts w:hint="eastAsia" w:cs="宋体"/>
                <w:spacing w:val="-6"/>
                <w:highlight w:val="none"/>
                <w:lang w:eastAsia="zh-CN"/>
              </w:rPr>
              <w:t xml:space="preserve">客观分</w:t>
            </w:r>
            <w:r/>
          </w:p>
        </w:tc>
      </w:tr>
      <w:tr>
        <w:trPr>
          <w:jc w:val="center"/>
          <w:trHeight w:val="465"/>
        </w:trPr>
        <w:tc>
          <w:tcPr>
            <w:gridSpan w:val="5"/>
            <w:tcW w:w="9710" w:type="dxa"/>
            <w:textDirection w:val="lrTb"/>
            <w:noWrap w:val="false"/>
          </w:tcPr>
          <w:p>
            <w:pPr>
              <w:pStyle w:val="858"/>
              <w:ind w:left="105"/>
              <w:jc w:val="both"/>
              <w:keepLines w:val="0"/>
              <w:keepNext w:val="0"/>
              <w:pageBreakBefore w:val="0"/>
              <w:spacing w:before="121" w:line="221" w:lineRule="auto"/>
              <w:widowControl/>
              <w:rPr>
                <w:highlight w:val="none"/>
              </w:rPr>
            </w:pPr>
            <w:r>
              <w:rPr>
                <w:rFonts w:hint="eastAsia" w:cs="宋体"/>
                <w:b/>
                <w:bCs/>
                <w:color w:val="000000"/>
                <w:spacing w:val="-3"/>
                <w:sz w:val="21"/>
                <w:szCs w:val="21"/>
                <w:highlight w:val="none"/>
                <w:lang w:val="en-US" w:eastAsia="zh-CN" w:bidi="ar-SA"/>
              </w:rPr>
              <w:t xml:space="preserve">4.</w:t>
            </w:r>
            <w:r>
              <w:rPr>
                <w:rFonts w:hint="eastAsia" w:ascii="宋体" w:hAnsi="宋体" w:eastAsia="宋体" w:cs="宋体"/>
                <w:b/>
                <w:bCs/>
                <w:color w:val="000000"/>
                <w:spacing w:val="-3"/>
                <w:sz w:val="21"/>
                <w:szCs w:val="21"/>
                <w:highlight w:val="none"/>
                <w:lang w:val="en-US" w:eastAsia="zh-CN" w:bidi="ar-SA"/>
              </w:rPr>
              <w:t xml:space="preserve">业绩</w:t>
            </w:r>
            <w:r/>
          </w:p>
        </w:tc>
      </w:tr>
      <w:tr>
        <w:trPr>
          <w:jc w:val="center"/>
          <w:trHeight w:val="380"/>
        </w:trPr>
        <w:tc>
          <w:tcPr>
            <w:tcW w:w="545" w:type="dxa"/>
            <w:vAlign w:val="center"/>
            <w:textDirection w:val="lrTb"/>
            <w:noWrap w:val="false"/>
          </w:tcPr>
          <w:p>
            <w:pPr>
              <w:ind w:left="0" w:right="0" w:firstLine="0"/>
              <w:jc w:val="cente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4.1</w:t>
            </w:r>
            <w:r/>
          </w:p>
        </w:tc>
        <w:tc>
          <w:tcPr>
            <w:tcW w:w="1302" w:type="dxa"/>
            <w:vAlign w:val="center"/>
            <w:textDirection w:val="lrTb"/>
            <w:noWrap w:val="false"/>
          </w:tcPr>
          <w:p>
            <w:pPr>
              <w:ind w:left="0" w:right="0" w:firstLine="0"/>
              <w:jc w:val="cente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投标人业绩</w:t>
            </w:r>
            <w:r/>
          </w:p>
        </w:tc>
        <w:tc>
          <w:tcPr>
            <w:tcW w:w="6704" w:type="dxa"/>
            <w:vAlign w:val="center"/>
            <w:textDirection w:val="lrTb"/>
            <w:noWrap w:val="false"/>
          </w:tcPr>
          <w:p>
            <w:pPr>
              <w:jc w:val="both"/>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单位提供自2023年1月1日（含）以来具有类似安保服务项目的业绩，每提供一个业绩得3分，最多得9分。（提供中标通知书、合同复印件和所签合同期内任意一个月及以上的付款凭证扫描件并加盖投标人公章，合同须能体现签订时间、服务内容等相关信息，同一单位只能算一份有效合同，否则视为未提供本项不得分。）</w:t>
            </w:r>
            <w:r/>
          </w:p>
        </w:tc>
        <w:tc>
          <w:tcPr>
            <w:tcW w:w="454" w:type="dxa"/>
            <w:textDirection w:val="lrTb"/>
            <w:noWrap w:val="false"/>
          </w:tcPr>
          <w:p>
            <w:pPr>
              <w:pStyle w:val="858"/>
              <w:jc w:val="center"/>
              <w:spacing w:before="68" w:line="182" w:lineRule="auto"/>
              <w:rPr>
                <w:rFonts w:hint="eastAsia"/>
                <w:spacing w:val="-6"/>
                <w:highlight w:val="none"/>
                <w:lang w:val="en-US" w:eastAsia="en-US"/>
              </w:rPr>
            </w:pPr>
            <w:r>
              <w:rPr>
                <w:rFonts w:hint="eastAsia"/>
                <w:spacing w:val="-6"/>
                <w:highlight w:val="none"/>
                <w:lang w:val="en-US" w:eastAsia="en-US"/>
              </w:rPr>
            </w:r>
            <w:r/>
          </w:p>
          <w:p>
            <w:pPr>
              <w:pStyle w:val="858"/>
              <w:jc w:val="center"/>
              <w:spacing w:before="68" w:line="182" w:lineRule="auto"/>
              <w:rPr>
                <w:rFonts w:hint="eastAsia"/>
                <w:spacing w:val="-6"/>
                <w:highlight w:val="none"/>
                <w:lang w:val="en-US" w:eastAsia="en-US"/>
              </w:rPr>
            </w:pPr>
            <w:r>
              <w:rPr>
                <w:rFonts w:hint="eastAsia"/>
                <w:spacing w:val="-6"/>
                <w:highlight w:val="none"/>
                <w:lang w:val="en-US" w:eastAsia="en-US"/>
              </w:rPr>
            </w:r>
            <w:r/>
          </w:p>
          <w:p>
            <w:pPr>
              <w:pStyle w:val="858"/>
              <w:jc w:val="center"/>
              <w:spacing w:before="68" w:line="182" w:lineRule="auto"/>
              <w:rPr>
                <w:rFonts w:hint="eastAsia"/>
                <w:spacing w:val="-6"/>
                <w:highlight w:val="none"/>
                <w:lang w:val="en-US" w:eastAsia="en-US"/>
              </w:rPr>
            </w:pPr>
            <w:r>
              <w:rPr>
                <w:rFonts w:hint="eastAsia"/>
                <w:spacing w:val="-6"/>
                <w:highlight w:val="none"/>
                <w:lang w:val="en-US" w:eastAsia="en-US"/>
              </w:rPr>
            </w:r>
            <w:r/>
          </w:p>
          <w:p>
            <w:pPr>
              <w:pStyle w:val="858"/>
              <w:jc w:val="center"/>
              <w:spacing w:before="68" w:line="182" w:lineRule="auto"/>
              <w:rPr>
                <w:rFonts w:hint="default"/>
                <w:spacing w:val="-6"/>
                <w:highlight w:val="none"/>
                <w:lang w:val="en-US" w:eastAsia="zh-CN"/>
              </w:rPr>
            </w:pPr>
            <w:r>
              <w:rPr>
                <w:rFonts w:hint="eastAsia"/>
                <w:spacing w:val="-6"/>
                <w:highlight w:val="none"/>
                <w:lang w:val="en-US" w:eastAsia="zh-CN"/>
              </w:rPr>
              <w:t xml:space="preserve">9</w:t>
            </w:r>
            <w:r/>
          </w:p>
        </w:tc>
        <w:tc>
          <w:tcPr>
            <w:tcW w:w="705" w:type="dxa"/>
            <w:textDirection w:val="lrTb"/>
            <w:noWrap w:val="false"/>
          </w:tcPr>
          <w:p>
            <w:pPr>
              <w:pStyle w:val="858"/>
              <w:jc w:val="center"/>
              <w:spacing w:before="68" w:line="182" w:lineRule="auto"/>
              <w:rPr>
                <w:rFonts w:hint="eastAsia"/>
                <w:spacing w:val="-6"/>
                <w:highlight w:val="none"/>
                <w:lang w:val="en-US" w:eastAsia="en-US"/>
              </w:rPr>
            </w:pPr>
            <w:r>
              <w:rPr>
                <w:rFonts w:hint="eastAsia"/>
                <w:spacing w:val="-6"/>
                <w:highlight w:val="none"/>
                <w:lang w:val="en-US" w:eastAsia="en-US"/>
              </w:rPr>
            </w:r>
            <w:r/>
          </w:p>
          <w:p>
            <w:pPr>
              <w:pStyle w:val="858"/>
              <w:jc w:val="center"/>
              <w:spacing w:before="68" w:line="182" w:lineRule="auto"/>
              <w:rPr>
                <w:rFonts w:hint="eastAsia"/>
                <w:spacing w:val="-6"/>
                <w:highlight w:val="none"/>
                <w:lang w:val="en-US" w:eastAsia="en-US"/>
              </w:rPr>
            </w:pPr>
            <w:r>
              <w:rPr>
                <w:rFonts w:hint="eastAsia"/>
                <w:spacing w:val="-6"/>
                <w:highlight w:val="none"/>
                <w:lang w:val="en-US" w:eastAsia="en-US"/>
              </w:rPr>
            </w:r>
            <w:r/>
          </w:p>
          <w:p>
            <w:pPr>
              <w:pStyle w:val="858"/>
              <w:jc w:val="center"/>
              <w:spacing w:before="68" w:line="182" w:lineRule="auto"/>
              <w:rPr>
                <w:rFonts w:hint="eastAsia"/>
                <w:spacing w:val="-6"/>
                <w:highlight w:val="none"/>
                <w:lang w:val="en-US" w:eastAsia="zh-CN"/>
              </w:rPr>
            </w:pPr>
            <w:r>
              <w:rPr>
                <w:rFonts w:hint="eastAsia"/>
                <w:spacing w:val="-6"/>
                <w:highlight w:val="none"/>
                <w:lang w:val="en-US" w:eastAsia="zh-CN"/>
              </w:rPr>
            </w:r>
            <w:r/>
          </w:p>
          <w:p>
            <w:pPr>
              <w:pStyle w:val="858"/>
              <w:jc w:val="center"/>
              <w:spacing w:before="68" w:line="182" w:lineRule="auto"/>
              <w:rPr>
                <w:rFonts w:hint="eastAsia"/>
                <w:spacing w:val="-6"/>
                <w:highlight w:val="none"/>
                <w:lang w:val="en-US" w:eastAsia="en-US"/>
              </w:rPr>
            </w:pPr>
            <w:r>
              <w:rPr>
                <w:rFonts w:hint="eastAsia"/>
                <w:spacing w:val="-6"/>
                <w:highlight w:val="none"/>
                <w:lang w:val="en-US" w:eastAsia="zh-CN"/>
              </w:rPr>
              <w:t xml:space="preserve">客</w:t>
            </w:r>
            <w:r>
              <w:rPr>
                <w:rFonts w:hint="eastAsia"/>
                <w:spacing w:val="-6"/>
                <w:highlight w:val="none"/>
                <w:lang w:val="en-US" w:eastAsia="en-US"/>
              </w:rPr>
              <w:t xml:space="preserve">观分</w:t>
            </w:r>
            <w:r/>
          </w:p>
        </w:tc>
      </w:tr>
      <w:tr>
        <w:trPr>
          <w:jc w:val="center"/>
          <w:trHeight w:val="380"/>
        </w:trPr>
        <w:tc>
          <w:tcPr>
            <w:gridSpan w:val="5"/>
            <w:tcW w:w="9710" w:type="dxa"/>
            <w:vAlign w:val="center"/>
            <w:textDirection w:val="lrTb"/>
            <w:noWrap w:val="false"/>
          </w:tcPr>
          <w:p>
            <w:pPr>
              <w:pStyle w:val="858"/>
              <w:jc w:val="both"/>
              <w:keepLines w:val="0"/>
              <w:keepNext w:val="0"/>
              <w:pageBreakBefore w:val="0"/>
              <w:spacing w:before="121" w:line="221" w:lineRule="auto"/>
              <w:widowControl/>
              <w:rPr>
                <w:rFonts w:hint="eastAsia"/>
                <w:spacing w:val="-6"/>
                <w:highlight w:val="none"/>
                <w:lang w:val="en-US" w:eastAsia="zh-CN"/>
              </w:rPr>
            </w:pPr>
            <w:r>
              <w:rPr>
                <w:rFonts w:hint="eastAsia" w:ascii="宋体" w:hAnsi="宋体" w:eastAsia="宋体" w:cs="宋体"/>
                <w:b/>
                <w:bCs/>
                <w:color w:val="000000"/>
                <w:spacing w:val="-3"/>
                <w:sz w:val="21"/>
                <w:szCs w:val="21"/>
                <w:highlight w:val="none"/>
                <w:lang w:val="en-US" w:eastAsia="zh-CN" w:bidi="ar-SA"/>
              </w:rPr>
              <w:t xml:space="preserve">5.</w:t>
            </w:r>
            <w:r>
              <w:rPr>
                <w:rFonts w:hint="eastAsia" w:ascii="宋体" w:hAnsi="宋体" w:eastAsia="宋体" w:cs="宋体"/>
                <w:b/>
                <w:bCs/>
                <w:color w:val="000000"/>
                <w:spacing w:val="-3"/>
                <w:sz w:val="21"/>
                <w:szCs w:val="21"/>
                <w:highlight w:val="none"/>
                <w:lang w:val="en-US" w:eastAsia="zh" w:bidi="ar-SA"/>
              </w:rPr>
              <w:t xml:space="preserve">增值服务</w:t>
            </w:r>
            <w:r/>
          </w:p>
        </w:tc>
      </w:tr>
      <w:tr>
        <w:trPr>
          <w:jc w:val="center"/>
          <w:trHeight w:val="380"/>
        </w:trPr>
        <w:tc>
          <w:tcPr>
            <w:tcW w:w="545" w:type="dxa"/>
            <w:vAlign w:val="center"/>
            <w:textDirection w:val="lrTb"/>
            <w:noWrap w:val="false"/>
          </w:tcPr>
          <w:p>
            <w:pPr>
              <w:ind w:left="0" w:right="0" w:firstLine="0"/>
              <w:jc w:val="center"/>
              <w:rPr>
                <w:rFonts w:hint="eastAsia" w:ascii="宋体" w:hAnsi="宋体" w:eastAsia="宋体" w:cs="宋体"/>
                <w:highlight w:val="none"/>
                <w:lang w:val="en-US" w:eastAsia="en-US"/>
              </w:rPr>
            </w:pPr>
            <w:r>
              <w:rPr>
                <w:rFonts w:hint="eastAsia" w:ascii="宋体" w:hAnsi="宋体" w:eastAsia="宋体" w:cs="宋体"/>
                <w:highlight w:val="none"/>
                <w:lang w:val="en-US" w:eastAsia="zh"/>
              </w:rPr>
              <w:t xml:space="preserve">5</w:t>
            </w:r>
            <w:r/>
          </w:p>
        </w:tc>
        <w:tc>
          <w:tcPr>
            <w:tcW w:w="1302" w:type="dxa"/>
            <w:vAlign w:val="center"/>
            <w:textDirection w:val="lrTb"/>
            <w:noWrap w:val="false"/>
          </w:tcPr>
          <w:p>
            <w:pPr>
              <w:ind w:left="0" w:right="0" w:firstLine="0"/>
              <w:jc w:val="center"/>
              <w:rPr>
                <w:rFonts w:hint="eastAsia" w:ascii="宋体" w:hAnsi="宋体" w:eastAsia="宋体" w:cs="宋体"/>
                <w:highlight w:val="none"/>
                <w:lang w:val="en-US" w:eastAsia="en-US"/>
              </w:rPr>
            </w:pPr>
            <w:r>
              <w:rPr>
                <w:rFonts w:hint="eastAsia" w:ascii="宋体" w:hAnsi="宋体" w:eastAsia="宋体" w:cs="宋体"/>
                <w:highlight w:val="none"/>
                <w:lang w:val="en-US" w:eastAsia="zh"/>
              </w:rPr>
              <w:t xml:space="preserve">增值服务</w:t>
            </w:r>
            <w:r/>
          </w:p>
        </w:tc>
        <w:tc>
          <w:tcPr>
            <w:tcW w:w="6704" w:type="dxa"/>
            <w:vAlign w:val="center"/>
            <w:textDirection w:val="lrTb"/>
            <w:noWrap w:val="false"/>
          </w:tcPr>
          <w:p>
            <w:pPr>
              <w:ind w:left="0" w:right="0" w:firstLine="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highlight w:val="none"/>
                <w:lang w:val="en-US" w:eastAsia="zh-CN"/>
              </w:rPr>
              <w:t xml:space="preserve">投标人提供的增值服务</w:t>
            </w:r>
            <w:r>
              <w:rPr>
                <w:rFonts w:hint="eastAsia" w:ascii="宋体" w:hAnsi="宋体" w:eastAsia="宋体" w:cs="宋体"/>
                <w:highlight w:val="none"/>
                <w:lang w:val="en-US" w:eastAsia="zh"/>
              </w:rPr>
              <w:t xml:space="preserve">承诺</w:t>
            </w:r>
            <w:r>
              <w:rPr>
                <w:rFonts w:hint="eastAsia" w:ascii="宋体" w:hAnsi="宋体" w:eastAsia="宋体" w:cs="宋体"/>
                <w:highlight w:val="none"/>
                <w:lang w:val="en-US" w:eastAsia="zh-CN"/>
              </w:rPr>
              <w:t xml:space="preserve">（应急处突机动力量支援、</w:t>
            </w:r>
            <w:r>
              <w:rPr>
                <w:rFonts w:hint="eastAsia" w:ascii="宋体" w:hAnsi="宋体" w:eastAsia="宋体" w:cs="宋体"/>
                <w:highlight w:val="none"/>
                <w:lang w:val="en-US" w:eastAsia="zh"/>
              </w:rPr>
              <w:t xml:space="preserve">消防培训与演练支持、高科技安防设备无偿调配、新入住期驻场督导过渡</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
              </w:rPr>
              <w:t xml:space="preserve">，每提供一个得1分，总计4分</w:t>
            </w:r>
            <w:r/>
          </w:p>
        </w:tc>
        <w:tc>
          <w:tcPr>
            <w:tcW w:w="454" w:type="dxa"/>
            <w:vAlign w:val="center"/>
            <w:textDirection w:val="lrTb"/>
            <w:noWrap w:val="false"/>
          </w:tcPr>
          <w:p>
            <w:pPr>
              <w:pStyle w:val="858"/>
              <w:jc w:val="center"/>
              <w:spacing w:before="68" w:line="182" w:lineRule="auto"/>
              <w:rPr>
                <w:rFonts w:hint="eastAsia"/>
                <w:spacing w:val="-6"/>
                <w:highlight w:val="none"/>
                <w:lang w:val="en-US" w:eastAsia="zh"/>
              </w:rPr>
            </w:pPr>
            <w:r>
              <w:rPr>
                <w:rFonts w:hint="eastAsia"/>
                <w:spacing w:val="-6"/>
                <w:highlight w:val="none"/>
                <w:lang w:val="en-US" w:eastAsia="zh"/>
              </w:rPr>
              <w:t xml:space="preserve">4</w:t>
            </w:r>
            <w:r/>
          </w:p>
        </w:tc>
        <w:tc>
          <w:tcPr>
            <w:tcW w:w="705" w:type="dxa"/>
            <w:vAlign w:val="center"/>
            <w:textDirection w:val="lrTb"/>
            <w:noWrap w:val="false"/>
          </w:tcPr>
          <w:p>
            <w:pPr>
              <w:pStyle w:val="858"/>
              <w:jc w:val="center"/>
              <w:spacing w:before="68" w:line="182" w:lineRule="auto"/>
              <w:rPr>
                <w:rFonts w:hint="eastAsia"/>
                <w:spacing w:val="-6"/>
                <w:highlight w:val="none"/>
                <w:lang w:val="en-US" w:eastAsia="zh"/>
              </w:rPr>
            </w:pPr>
            <w:r>
              <w:rPr>
                <w:rFonts w:hint="eastAsia"/>
                <w:spacing w:val="-6"/>
                <w:highlight w:val="none"/>
                <w:lang w:val="en-US" w:eastAsia="zh"/>
              </w:rPr>
              <w:t xml:space="preserve">客观分</w:t>
            </w:r>
            <w:r/>
          </w:p>
        </w:tc>
      </w:tr>
      <w:tr>
        <w:trPr>
          <w:jc w:val="center"/>
          <w:trHeight w:val="422"/>
        </w:trPr>
        <w:tc>
          <w:tcPr>
            <w:tcW w:w="545"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合计</w:t>
            </w:r>
            <w:r/>
          </w:p>
        </w:tc>
        <w:tc>
          <w:tcPr>
            <w:gridSpan w:val="2"/>
            <w:tcW w:w="80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159" w:type="dxa"/>
            <w:vAlign w:val="center"/>
            <w:textDirection w:val="lrTb"/>
            <w:noWrap w:val="false"/>
          </w:tcPr>
          <w:p>
            <w:pPr>
              <w:pStyle w:val="858"/>
              <w:jc w:val="center"/>
              <w:spacing w:before="68" w:line="182" w:lineRule="auto"/>
              <w:rPr>
                <w:rFonts w:hint="default" w:eastAsia="宋体"/>
                <w:spacing w:val="-6"/>
                <w:highlight w:val="none"/>
                <w:lang w:val="en-US" w:eastAsia="zh-CN"/>
              </w:rPr>
            </w:pPr>
            <w:r>
              <w:rPr>
                <w:rFonts w:hint="eastAsia"/>
                <w:spacing w:val="-6"/>
                <w:highlight w:val="none"/>
                <w:lang w:val="en-US" w:eastAsia="zh-CN"/>
              </w:rPr>
              <w:t xml:space="preserve">100分</w:t>
            </w:r>
            <w:r/>
          </w:p>
        </w:tc>
      </w:tr>
    </w:tbl>
    <w:p>
      <w:pPr>
        <w:spacing w:line="95" w:lineRule="exact"/>
        <w:rPr>
          <w:highlight w:val="none"/>
        </w:rPr>
      </w:pPr>
      <w:r>
        <w:rPr>
          <w:highlight w:val="none"/>
        </w:rPr>
      </w:r>
      <w:r/>
    </w:p>
    <w:p>
      <w:pPr>
        <w:jc w:val="left"/>
        <w:rPr>
          <w:rFonts w:hint="eastAsia"/>
          <w:highlight w:val="none"/>
          <w:lang w:val="en-US" w:eastAsia="zh-CN"/>
        </w:rPr>
        <w:sectPr>
          <w:footerReference w:type="default" r:id="rId8"/>
          <w:footnotePr/>
          <w:endnotePr/>
          <w:type w:val="nextPage"/>
          <w:pgSz w:w="12240" w:h="15840" w:orient="portrait"/>
          <w:pgMar w:top="1134" w:right="1134" w:bottom="1134" w:left="1134" w:header="0" w:footer="907" w:gutter="0"/>
          <w:pgNumType w:start="2"/>
          <w:cols w:num="1" w:sep="0" w:space="0" w:equalWidth="1"/>
          <w:docGrid w:linePitch="360"/>
        </w:sectPr>
      </w:pPr>
      <w:r>
        <w:rPr>
          <w:rFonts w:hint="eastAsia"/>
          <w:highlight w:val="none"/>
          <w:lang w:val="en-US" w:eastAsia="zh-CN"/>
        </w:rPr>
      </w:r>
      <w:r/>
    </w:p>
    <w:p>
      <w:pPr>
        <w:pStyle w:val="684"/>
        <w:ind w:left="3229"/>
        <w:spacing w:before="130" w:line="221" w:lineRule="auto"/>
        <w:rPr>
          <w:rFonts w:hint="eastAsia"/>
          <w:spacing w:val="11"/>
          <w:sz w:val="40"/>
          <w:szCs w:val="40"/>
          <w:highlight w:val="none"/>
          <w:lang w:val="en-US" w:eastAsia="zh-CN"/>
          <w14:textOutline w14:w="7355" w14:cap="flat" w14:cmpd="sng">
            <w14:solidFill>
              <w14:srgbClr w14:val="000000"/>
            </w14:solidFill>
            <w14:prstDash w14:val="solid"/>
            <w14:miter/>
          </w14:textOutline>
        </w:rPr>
        <w:outlineLvl w:val="0"/>
      </w:pPr>
      <w:r>
        <w:rPr>
          <w:rFonts w:hint="eastAsia"/>
          <w:spacing w:val="11"/>
          <w:sz w:val="40"/>
          <w:szCs w:val="40"/>
          <w:highlight w:val="none"/>
          <w:lang w:val="en-US" w:eastAsia="zh-CN"/>
          <w14:textOutline w14:w="7355" w14:cap="flat" w14:cmpd="sng">
            <w14:solidFill>
              <w14:srgbClr w14:val="000000"/>
            </w14:solidFill>
            <w14:prstDash w14:val="solid"/>
            <w14:miter/>
          </w14:textOutline>
        </w:rPr>
        <w:t xml:space="preserve">第六章  投标文件格式</w:t>
      </w:r>
      <w:r/>
    </w:p>
    <w:p>
      <w:pPr>
        <w:jc w:val="center"/>
        <w:spacing w:line="240" w:lineRule="auto"/>
        <w:widowControl w:val="off"/>
        <w:rPr>
          <w:rFonts w:hint="eastAsia" w:ascii="宋体" w:hAnsi="宋体" w:eastAsia="宋体" w:cs="Times New Roman"/>
          <w:b/>
          <w:sz w:val="72"/>
          <w:highlight w:val="none"/>
          <w:lang w:eastAsia="zh-CN"/>
        </w:rPr>
      </w:pPr>
      <w:r/>
      <w:bookmarkStart w:id="137" w:name="_Hlt26671244"/>
      <w:r/>
      <w:bookmarkEnd w:id="137"/>
      <w:r/>
      <w:bookmarkStart w:id="138" w:name="_Hlt26955039"/>
      <w:r/>
      <w:bookmarkEnd w:id="138"/>
      <w:r/>
      <w:bookmarkStart w:id="139" w:name="_Toc49090576"/>
      <w:r/>
      <w:bookmarkStart w:id="140" w:name="_Toc120614282"/>
      <w:r/>
      <w:bookmarkStart w:id="141" w:name="_Toc26554094"/>
      <w:r/>
      <w:r/>
    </w:p>
    <w:p>
      <w:pPr>
        <w:jc w:val="center"/>
        <w:spacing w:line="240" w:lineRule="auto"/>
        <w:widowControl w:val="off"/>
        <w:rPr>
          <w:rFonts w:hint="eastAsia" w:ascii="宋体" w:hAnsi="宋体" w:eastAsia="宋体" w:cs="Times New Roman"/>
          <w:b/>
          <w:sz w:val="72"/>
          <w:highlight w:val="none"/>
          <w:lang w:eastAsia="zh-CN"/>
        </w:rPr>
      </w:pPr>
      <w:r>
        <w:rPr>
          <w:rFonts w:hint="eastAsia" w:ascii="宋体" w:hAnsi="宋体" w:eastAsia="宋体" w:cs="Times New Roman"/>
          <w:b/>
          <w:sz w:val="72"/>
          <w:highlight w:val="none"/>
          <w:lang w:eastAsia="zh-CN"/>
        </w:rPr>
        <w:t xml:space="preserve">投  标  文  件</w:t>
      </w:r>
      <w:r/>
    </w:p>
    <w:p>
      <w:pPr>
        <w:jc w:val="center"/>
        <w:spacing w:line="240" w:lineRule="auto"/>
        <w:widowControl w:val="off"/>
        <w:rPr>
          <w:rFonts w:hint="eastAsia" w:ascii="宋体" w:hAnsi="宋体" w:eastAsia="宋体" w:cs="Times New Roman"/>
          <w:b/>
          <w:sz w:val="72"/>
          <w:highlight w:val="none"/>
          <w:lang w:eastAsia="zh-CN"/>
        </w:rPr>
      </w:pPr>
      <w:r>
        <w:rPr>
          <w:rFonts w:hint="eastAsia" w:ascii="宋体" w:hAnsi="宋体" w:eastAsia="宋体" w:cs="Times New Roman"/>
          <w:b/>
          <w:sz w:val="72"/>
          <w:highlight w:val="none"/>
          <w:lang w:eastAsia="zh-CN"/>
        </w:rPr>
      </w:r>
      <w:r/>
    </w:p>
    <w:p>
      <w:pPr>
        <w:jc w:val="center"/>
        <w:spacing w:line="240" w:lineRule="auto"/>
        <w:widowControl w:val="off"/>
        <w:rPr>
          <w:rFonts w:hint="eastAsia" w:ascii="宋体" w:hAnsi="宋体" w:eastAsia="宋体" w:cs="Times New Roman"/>
          <w:b/>
          <w:sz w:val="72"/>
          <w:highlight w:val="none"/>
          <w:lang w:eastAsia="zh-CN"/>
        </w:rPr>
      </w:pPr>
      <w:r>
        <w:rPr>
          <w:rFonts w:hint="eastAsia" w:ascii="宋体" w:hAnsi="宋体" w:eastAsia="宋体" w:cs="Times New Roman"/>
          <w:b/>
          <w:sz w:val="72"/>
          <w:highlight w:val="none"/>
          <w:lang w:eastAsia="zh-CN"/>
        </w:rPr>
      </w:r>
      <w:r/>
    </w:p>
    <w:p>
      <w:pPr>
        <w:jc w:val="center"/>
        <w:spacing w:line="240" w:lineRule="auto"/>
        <w:widowControl w:val="off"/>
        <w:rPr>
          <w:rFonts w:hint="eastAsia" w:ascii="宋体" w:hAnsi="宋体" w:eastAsia="宋体" w:cs="Times New Roman"/>
          <w:b/>
          <w:sz w:val="36"/>
          <w:highlight w:val="none"/>
          <w:lang w:eastAsia="zh-CN"/>
        </w:rPr>
      </w:pPr>
      <w:r>
        <w:rPr>
          <w:rFonts w:hint="eastAsia" w:ascii="宋体" w:hAnsi="宋体" w:eastAsia="宋体" w:cs="Times New Roman"/>
          <w:b/>
          <w:sz w:val="36"/>
          <w:highlight w:val="none"/>
          <w:lang w:eastAsia="zh-CN"/>
        </w:rPr>
      </w:r>
      <w:r/>
    </w:p>
    <w:p>
      <w:pPr>
        <w:jc w:val="center"/>
        <w:spacing w:line="240" w:lineRule="auto"/>
        <w:widowControl w:val="off"/>
        <w:rPr>
          <w:rFonts w:hint="eastAsia" w:ascii="宋体" w:hAnsi="宋体" w:eastAsia="宋体" w:cs="Times New Roman"/>
          <w:b/>
          <w:sz w:val="36"/>
          <w:highlight w:val="none"/>
          <w:lang w:eastAsia="zh-CN"/>
        </w:rPr>
      </w:pPr>
      <w:r>
        <w:rPr>
          <w:rFonts w:hint="eastAsia" w:ascii="宋体" w:hAnsi="宋体" w:eastAsia="宋体" w:cs="Times New Roman"/>
          <w:b/>
          <w:sz w:val="36"/>
          <w:highlight w:val="none"/>
          <w:lang w:eastAsia="zh-CN"/>
        </w:rPr>
      </w:r>
      <w:r/>
    </w:p>
    <w:p>
      <w:pPr>
        <w:jc w:val="center"/>
        <w:spacing w:line="240" w:lineRule="auto"/>
        <w:widowControl w:val="off"/>
        <w:rPr>
          <w:rFonts w:hint="eastAsia" w:ascii="宋体" w:hAnsi="宋体" w:eastAsia="宋体" w:cs="Times New Roman"/>
          <w:b/>
          <w:sz w:val="36"/>
          <w:highlight w:val="none"/>
          <w:lang w:eastAsia="zh-CN"/>
        </w:rPr>
      </w:pPr>
      <w:r>
        <w:rPr>
          <w:rFonts w:hint="eastAsia" w:ascii="宋体" w:hAnsi="宋体" w:eastAsia="宋体" w:cs="Times New Roman"/>
          <w:b/>
          <w:sz w:val="36"/>
          <w:highlight w:val="none"/>
          <w:lang w:eastAsia="zh-CN"/>
        </w:rPr>
      </w:r>
      <w:r/>
    </w:p>
    <w:p>
      <w:pPr>
        <w:ind w:firstLine="1084"/>
        <w:jc w:val="both"/>
        <w:spacing w:line="240" w:lineRule="auto"/>
        <w:widowControl w:val="off"/>
        <w:rPr>
          <w:rFonts w:hint="eastAsia" w:ascii="宋体" w:hAnsi="宋体" w:eastAsia="宋体" w:cs="Times New Roman"/>
          <w:b/>
          <w:sz w:val="36"/>
          <w:highlight w:val="none"/>
          <w:lang w:eastAsia="zh-CN"/>
        </w:rPr>
      </w:pPr>
      <w:r>
        <w:rPr>
          <w:rFonts w:hint="eastAsia" w:ascii="宋体" w:hAnsi="宋体" w:eastAsia="宋体" w:cs="Times New Roman"/>
          <w:b/>
          <w:sz w:val="36"/>
          <w:highlight w:val="none"/>
          <w:lang w:eastAsia="zh-CN"/>
        </w:rPr>
        <w:t xml:space="preserve">项 目 名 称：</w:t>
      </w:r>
      <w:r>
        <w:rPr>
          <w:rFonts w:hint="eastAsia" w:ascii="宋体" w:hAnsi="宋体" w:eastAsia="宋体" w:cs="Times New Roman"/>
          <w:b/>
          <w:sz w:val="36"/>
          <w:highlight w:val="none"/>
          <w:u w:val="single"/>
          <w:lang w:eastAsia="zh-CN"/>
        </w:rPr>
        <w:t xml:space="preserve">                   </w:t>
      </w:r>
      <w:r/>
    </w:p>
    <w:p>
      <w:pPr>
        <w:ind w:firstLine="1084"/>
        <w:jc w:val="both"/>
        <w:spacing w:line="240" w:lineRule="auto"/>
        <w:widowControl w:val="off"/>
        <w:rPr>
          <w:rFonts w:hint="eastAsia" w:ascii="宋体" w:hAnsi="宋体" w:eastAsia="宋体" w:cs="Times New Roman"/>
          <w:b/>
          <w:sz w:val="36"/>
          <w:highlight w:val="none"/>
          <w:u w:val="single"/>
          <w:lang w:eastAsia="zh-CN"/>
        </w:rPr>
      </w:pPr>
      <w:r>
        <w:rPr>
          <w:rFonts w:hint="eastAsia" w:ascii="宋体" w:hAnsi="宋体" w:eastAsia="宋体" w:cs="Times New Roman"/>
          <w:b/>
          <w:sz w:val="36"/>
          <w:highlight w:val="none"/>
          <w:lang w:eastAsia="zh-CN"/>
        </w:rPr>
        <w:t xml:space="preserve">项 目 编 号：</w:t>
      </w:r>
      <w:r>
        <w:rPr>
          <w:rFonts w:hint="eastAsia" w:ascii="宋体" w:hAnsi="宋体" w:eastAsia="宋体" w:cs="Times New Roman"/>
          <w:b/>
          <w:sz w:val="36"/>
          <w:highlight w:val="none"/>
          <w:u w:val="single"/>
          <w:lang w:eastAsia="zh-CN"/>
        </w:rPr>
        <w:t xml:space="preserve">                   </w:t>
      </w:r>
      <w:r/>
    </w:p>
    <w:p>
      <w:pPr>
        <w:jc w:val="both"/>
        <w:spacing w:line="240" w:lineRule="auto"/>
        <w:widowControl w:val="off"/>
        <w:rPr>
          <w:rFonts w:hint="eastAsia" w:ascii="宋体" w:hAnsi="宋体" w:eastAsia="宋体" w:cs="Times New Roman"/>
          <w:b/>
          <w:sz w:val="36"/>
          <w:highlight w:val="none"/>
          <w:u w:val="single"/>
          <w:lang w:eastAsia="zh-CN"/>
        </w:rPr>
      </w:pPr>
      <w:r>
        <w:rPr>
          <w:rFonts w:hint="eastAsia" w:ascii="宋体" w:hAnsi="宋体" w:eastAsia="宋体" w:cs="Times New Roman"/>
          <w:b/>
          <w:sz w:val="36"/>
          <w:highlight w:val="none"/>
          <w:lang w:eastAsia="zh-CN"/>
        </w:rPr>
        <w:t xml:space="preserve">      投标人名称 ：</w:t>
      </w:r>
      <w:r>
        <w:rPr>
          <w:rFonts w:hint="eastAsia" w:ascii="宋体" w:hAnsi="宋体" w:eastAsia="宋体" w:cs="Times New Roman"/>
          <w:b/>
          <w:sz w:val="36"/>
          <w:highlight w:val="none"/>
          <w:u w:val="single"/>
          <w:lang w:eastAsia="zh-CN"/>
        </w:rPr>
        <w:t xml:space="preserve">（加盖电子公章）   </w:t>
      </w:r>
      <w:r/>
    </w:p>
    <w:p>
      <w:pPr>
        <w:jc w:val="both"/>
        <w:spacing w:line="240" w:lineRule="auto"/>
        <w:widowControl w:val="off"/>
        <w:rPr>
          <w:rFonts w:hint="eastAsia" w:ascii="宋体" w:hAnsi="宋体" w:eastAsia="宋体" w:cs="Times New Roman"/>
          <w:b/>
          <w:sz w:val="36"/>
          <w:highlight w:val="none"/>
          <w:u w:val="single"/>
          <w:lang w:eastAsia="zh-CN"/>
        </w:rPr>
      </w:pPr>
      <w:r>
        <w:rPr>
          <w:rFonts w:hint="eastAsia" w:ascii="宋体" w:hAnsi="宋体" w:eastAsia="宋体" w:cs="Times New Roman"/>
          <w:b/>
          <w:sz w:val="36"/>
          <w:highlight w:val="none"/>
          <w:lang w:eastAsia="zh-CN"/>
        </w:rPr>
        <w:t xml:space="preserve">      日      期 ：</w:t>
      </w:r>
      <w:r>
        <w:rPr>
          <w:rFonts w:hint="eastAsia" w:ascii="宋体" w:hAnsi="宋体" w:eastAsia="宋体" w:cs="Times New Roman"/>
          <w:b/>
          <w:sz w:val="36"/>
          <w:highlight w:val="none"/>
          <w:u w:val="single"/>
          <w:lang w:eastAsia="zh-CN"/>
        </w:rPr>
        <w:t xml:space="preserve">                   </w:t>
      </w:r>
      <w:r/>
    </w:p>
    <w:p>
      <w:pPr>
        <w:jc w:val="center"/>
        <w:spacing w:line="440" w:lineRule="exact"/>
        <w:widowControl w:val="off"/>
        <w:rPr>
          <w:rFonts w:hint="eastAsia" w:ascii="宋体" w:hAnsi="宋体" w:eastAsia="宋体" w:cs="Times New Roman"/>
          <w:b/>
          <w:bCs/>
          <w:sz w:val="32"/>
          <w:szCs w:val="32"/>
          <w:highlight w:val="none"/>
          <w:lang w:eastAsia="zh-CN"/>
        </w:rPr>
      </w:pPr>
      <w:r>
        <w:rPr>
          <w:rFonts w:hint="eastAsia" w:ascii="宋体" w:hAnsi="宋体" w:eastAsia="宋体" w:cs="Times New Roman"/>
          <w:b/>
          <w:bCs/>
          <w:sz w:val="32"/>
          <w:szCs w:val="32"/>
          <w:highlight w:val="none"/>
          <w:lang w:eastAsia="zh-CN"/>
        </w:rPr>
      </w:r>
      <w:r/>
    </w:p>
    <w:p>
      <w:pPr>
        <w:jc w:val="both"/>
        <w:spacing w:line="440" w:lineRule="exact"/>
        <w:widowControl w:val="off"/>
        <w:rPr>
          <w:rFonts w:hint="eastAsia" w:ascii="宋体" w:hAnsi="宋体" w:eastAsia="宋体" w:cs="Times New Roman"/>
          <w:highlight w:val="none"/>
          <w:lang w:eastAsia="zh-CN"/>
        </w:rPr>
      </w:pPr>
      <w:r>
        <w:rPr>
          <w:rFonts w:hint="eastAsia" w:ascii="宋体" w:hAnsi="宋体" w:eastAsia="宋体" w:cs="Times New Roman"/>
          <w:highlight w:val="none"/>
          <w:lang w:eastAsia="zh-CN"/>
        </w:rPr>
      </w:r>
      <w:r/>
    </w:p>
    <w:p>
      <w:pPr>
        <w:jc w:val="center"/>
        <w:spacing w:line="240" w:lineRule="auto"/>
        <w:widowControl w:val="off"/>
        <w:rPr>
          <w:rFonts w:hint="eastAsia" w:ascii="方正黑体_GBK" w:hAnsi="方正黑体_GBK" w:eastAsia="方正黑体_GBK" w:cs="方正黑体_GBK"/>
          <w:sz w:val="32"/>
          <w:szCs w:val="32"/>
          <w:highlight w:val="none"/>
          <w:lang w:eastAsia="zh-CN"/>
        </w:rPr>
      </w:pPr>
      <w:r>
        <w:rPr>
          <w:rFonts w:hint="default" w:ascii="宋体" w:hAnsi="宋体" w:eastAsia="宋体" w:cs="Times New Roman"/>
          <w:b/>
          <w:sz w:val="36"/>
          <w:highlight w:val="none"/>
          <w:u w:val="single"/>
          <w:lang w:eastAsia="zh-CN"/>
        </w:rPr>
        <w:br w:type="page" w:clear="all"/>
      </w:r>
      <w:r>
        <w:rPr>
          <w:rFonts w:hint="eastAsia" w:ascii="方正黑体_GBK" w:hAnsi="方正黑体_GBK" w:eastAsia="方正黑体_GBK" w:cs="方正黑体_GBK"/>
          <w:sz w:val="32"/>
          <w:szCs w:val="32"/>
          <w:highlight w:val="none"/>
          <w:lang w:eastAsia="zh-CN"/>
        </w:rPr>
        <w:t xml:space="preserve">投标文件目录</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一、供应商信用承诺函</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二、满足特定资格要求的证明文件（如有特定资格要求）</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三、法人授权书</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四、投标函</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五、开标一览表</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六、投标报价明细表</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七、技术要求响应及偏离表</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八、商务要求响应及偏离表</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九、中小企业声明函</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十、残疾人福利性单位声明函（如有）</w:t>
      </w:r>
      <w:r/>
    </w:p>
    <w:p>
      <w:pPr>
        <w:ind w:firstLine="480"/>
        <w:jc w:val="both"/>
        <w:spacing w:line="44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44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44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44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44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left="120"/>
        <w:jc w:val="both"/>
        <w:widowControl w:val="off"/>
        <w:rPr>
          <w:rFonts w:hint="eastAsia" w:ascii="宋体" w:hAnsi="宋体" w:eastAsia="宋体" w:cs="宋体"/>
          <w:sz w:val="24"/>
          <w:szCs w:val="21"/>
          <w:highlight w:val="none"/>
          <w:lang w:val="zh-CN" w:eastAsia="zh-CN" w:bidi="zh-CN"/>
        </w:rPr>
      </w:pPr>
      <w:r>
        <w:rPr>
          <w:rFonts w:hint="eastAsia" w:ascii="宋体" w:hAnsi="宋体" w:eastAsia="宋体" w:cs="宋体"/>
          <w:sz w:val="24"/>
          <w:szCs w:val="21"/>
          <w:highlight w:val="none"/>
          <w:lang w:val="zh-CN" w:eastAsia="zh-CN" w:bidi="zh-CN"/>
        </w:rPr>
      </w:r>
      <w:r/>
    </w:p>
    <w:p>
      <w:pPr>
        <w:ind w:left="120"/>
        <w:jc w:val="both"/>
        <w:widowControl w:val="off"/>
        <w:rPr>
          <w:rFonts w:hint="eastAsia" w:ascii="宋体" w:hAnsi="宋体" w:eastAsia="宋体" w:cs="宋体"/>
          <w:sz w:val="24"/>
          <w:szCs w:val="21"/>
          <w:highlight w:val="none"/>
          <w:lang w:val="zh-CN" w:eastAsia="zh-CN" w:bidi="zh-CN"/>
        </w:rPr>
      </w:pPr>
      <w:r>
        <w:rPr>
          <w:rFonts w:hint="eastAsia" w:ascii="宋体" w:hAnsi="宋体" w:eastAsia="宋体" w:cs="宋体"/>
          <w:sz w:val="24"/>
          <w:szCs w:val="21"/>
          <w:highlight w:val="none"/>
          <w:lang w:val="zh-CN" w:eastAsia="zh-CN" w:bidi="zh-CN"/>
        </w:rPr>
      </w:r>
      <w:r/>
    </w:p>
    <w:p>
      <w:pPr>
        <w:ind w:left="120"/>
        <w:jc w:val="both"/>
        <w:widowControl w:val="off"/>
        <w:rPr>
          <w:rFonts w:hint="eastAsia" w:ascii="宋体" w:hAnsi="宋体" w:eastAsia="宋体" w:cs="宋体"/>
          <w:sz w:val="24"/>
          <w:szCs w:val="21"/>
          <w:highlight w:val="none"/>
          <w:lang w:val="zh-CN" w:eastAsia="zh-CN" w:bidi="zh-CN"/>
        </w:rPr>
      </w:pPr>
      <w:r>
        <w:rPr>
          <w:rFonts w:hint="eastAsia" w:ascii="宋体" w:hAnsi="宋体" w:eastAsia="宋体" w:cs="宋体"/>
          <w:sz w:val="24"/>
          <w:szCs w:val="21"/>
          <w:highlight w:val="none"/>
          <w:lang w:val="zh-CN" w:eastAsia="zh-CN" w:bidi="zh-CN"/>
        </w:rPr>
      </w:r>
      <w:bookmarkEnd w:id="139"/>
      <w:r/>
      <w:bookmarkEnd w:id="140"/>
      <w:r/>
      <w:bookmarkEnd w:id="141"/>
      <w:r/>
      <w:r/>
    </w:p>
    <w:p>
      <w:pPr>
        <w:ind w:left="120"/>
        <w:jc w:val="both"/>
        <w:widowControl w:val="off"/>
        <w:rPr>
          <w:rFonts w:hint="eastAsia" w:ascii="宋体" w:hAnsi="宋体" w:eastAsia="宋体" w:cs="宋体"/>
          <w:sz w:val="24"/>
          <w:szCs w:val="21"/>
          <w:highlight w:val="none"/>
          <w:lang w:val="zh-CN" w:eastAsia="zh-CN" w:bidi="zh-CN"/>
        </w:rPr>
      </w:pPr>
      <w:r>
        <w:rPr>
          <w:rFonts w:hint="eastAsia" w:ascii="宋体" w:hAnsi="宋体" w:eastAsia="宋体" w:cs="宋体"/>
          <w:sz w:val="24"/>
          <w:szCs w:val="21"/>
          <w:highlight w:val="none"/>
          <w:lang w:val="zh-CN" w:eastAsia="zh-CN" w:bidi="zh-CN"/>
        </w:rPr>
      </w:r>
      <w:r/>
    </w:p>
    <w:p>
      <w:pPr>
        <w:ind w:left="120"/>
        <w:jc w:val="both"/>
        <w:widowControl w:val="off"/>
        <w:rPr>
          <w:rFonts w:hint="eastAsia" w:ascii="宋体" w:hAnsi="宋体" w:eastAsia="宋体" w:cs="宋体"/>
          <w:sz w:val="24"/>
          <w:szCs w:val="21"/>
          <w:highlight w:val="none"/>
          <w:lang w:val="zh-CN" w:eastAsia="zh-CN" w:bidi="zh-CN"/>
        </w:rPr>
      </w:pPr>
      <w:r>
        <w:rPr>
          <w:rFonts w:hint="eastAsia" w:ascii="宋体" w:hAnsi="宋体" w:eastAsia="宋体" w:cs="宋体"/>
          <w:sz w:val="24"/>
          <w:szCs w:val="21"/>
          <w:highlight w:val="none"/>
          <w:lang w:val="zh-CN" w:eastAsia="zh-CN" w:bidi="zh-CN"/>
        </w:rPr>
      </w:r>
      <w:r/>
    </w:p>
    <w:p>
      <w:pPr>
        <w:jc w:val="left"/>
        <w:spacing w:line="24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br w:type="page" w:clear="all"/>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一、供应商信用承诺函</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供应商信用承诺函</w:t>
      </w:r>
      <w:r/>
    </w:p>
    <w:p>
      <w:pPr>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南京市公共资源交易中心浦口分中心：</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我公司</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（供应商名称）郑重承诺：</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我公司符合下列要求：</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(一)具有独立承担民事责任的能力；</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(二)具有良好的商业信誉和健全的财务会计制度；</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(三)具有履行合同所必需的设备和专业技术能力；</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(四)有依法缴纳税收和社会保障资金的良好记录；</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(五)参加政府采购活动前三年内，在经营活动中没有重大违法记录。</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如果我公司中标，将在中标结果公示后七个工作日内向采购人提供下列材料核验：</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（1）营业执照副本或事业单位法人登记证书；</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（2）参加本次政府采购活动前一年的经审计的</w:t>
      </w:r>
      <w:bookmarkStart w:id="142" w:name="OLE_LINK3"/>
      <w:r>
        <w:rPr>
          <w:rFonts w:hint="eastAsia" w:ascii="宋体" w:hAnsi="宋体" w:eastAsia="宋体" w:cs="Times New Roman"/>
          <w:sz w:val="24"/>
          <w:szCs w:val="24"/>
          <w:highlight w:val="none"/>
          <w:lang w:eastAsia="zh-CN"/>
        </w:rPr>
        <w:t xml:space="preserve">财务报告</w:t>
      </w:r>
      <w:bookmarkEnd w:id="142"/>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提供2024年度或2025的财务报表，</w:t>
      </w:r>
      <w:r>
        <w:rPr>
          <w:rFonts w:hint="eastAsia" w:ascii="宋体" w:hAnsi="宋体" w:eastAsia="宋体" w:cs="Times New Roman"/>
          <w:sz w:val="24"/>
          <w:szCs w:val="24"/>
          <w:highlight w:val="none"/>
          <w:lang w:eastAsia="zh-CN"/>
        </w:rPr>
        <w:t xml:space="preserve">包括“四表一注”，法人成立满一年的提供）或参加本次政府采购活动前一年内的银行资信证明（法人或其他组织提供）或其他证明材料；</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（3）履行合同所必需的设备和专业技术能力证明材料；</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（4）参加本次政府采购活动前一年内至少一个月依法缴纳税收和社会保障资金的证明材料。</w:t>
      </w:r>
      <w:r/>
    </w:p>
    <w:p>
      <w:pPr>
        <w:ind w:firstLine="492"/>
        <w:jc w:val="both"/>
        <w:spacing w:line="460" w:lineRule="exact"/>
        <w:widowControl w:val="off"/>
        <w:rPr>
          <w:rFonts w:hint="default"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本公司对上述承诺内容的真实性、合法性、有效性负责，如有虚假，将依法承担相应责任。</w:t>
      </w:r>
      <w:r/>
    </w:p>
    <w:p>
      <w:pPr>
        <w:ind w:firstLine="492"/>
        <w:jc w:val="both"/>
        <w:spacing w:line="460" w:lineRule="exact"/>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r>
      <w:r/>
    </w:p>
    <w:p>
      <w:pPr>
        <w:jc w:val="center"/>
        <w:widowControl w:val="off"/>
        <w:rPr>
          <w:rFonts w:hint="default" w:ascii="Times New Roman" w:hAnsi="Times New Roman" w:eastAsia="宋体" w:cs="Times New Roman"/>
          <w:b/>
          <w:bCs/>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r>
      <w:r/>
    </w:p>
    <w:p>
      <w:pPr>
        <w:ind w:right="181" w:firstLine="6000"/>
        <w:jc w:val="both"/>
        <w:keepLines w:val="0"/>
        <w:keepNext w:val="0"/>
        <w:pageBreakBefore w:val="0"/>
        <w:spacing w:line="5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供应商名称：（加盖电子公章）</w:t>
      </w:r>
      <w:r/>
    </w:p>
    <w:p>
      <w:pPr>
        <w:ind w:right="181" w:firstLine="6000"/>
        <w:jc w:val="both"/>
        <w:keepLines w:val="0"/>
        <w:keepNext w:val="0"/>
        <w:pageBreakBefore w:val="0"/>
        <w:spacing w:line="5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日  期：</w:t>
      </w:r>
      <w:r/>
    </w:p>
    <w:p>
      <w:pPr>
        <w:jc w:val="both"/>
        <w:spacing w:line="240" w:lineRule="auto"/>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r>
      <w:r/>
    </w:p>
    <w:p>
      <w:pPr>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jc w:val="both"/>
        <w:widowControl w:val="off"/>
        <w:rPr>
          <w:rFonts w:hint="default" w:ascii="宋体" w:hAnsi="宋体" w:eastAsia="Arial" w:cs="Arial"/>
          <w:b/>
          <w:bCs/>
          <w:sz w:val="21"/>
          <w:szCs w:val="21"/>
          <w:highlight w:val="none"/>
          <w:lang w:val="en-US" w:eastAsia="zh-CN" w:bidi="ar-SA"/>
        </w:rPr>
      </w:pPr>
      <w:r>
        <w:rPr>
          <w:rFonts w:hint="default" w:ascii="宋体" w:hAnsi="宋体" w:eastAsia="Arial" w:cs="Arial"/>
          <w:b/>
          <w:bCs/>
          <w:sz w:val="21"/>
          <w:szCs w:val="21"/>
          <w:highlight w:val="none"/>
          <w:lang w:val="en-US" w:eastAsia="zh-CN" w:bidi="ar-SA"/>
        </w:rPr>
      </w:r>
      <w:r/>
    </w:p>
    <w:p>
      <w:pPr>
        <w:jc w:val="both"/>
        <w:spacing w:line="240" w:lineRule="auto"/>
        <w:widowControl w:val="off"/>
        <w:rPr>
          <w:rFonts w:hint="eastAsia" w:ascii="宋体" w:hAnsi="宋体" w:eastAsia="宋体" w:cs="Times New Roman"/>
          <w:b/>
          <w:bCs/>
          <w:highlight w:val="none"/>
          <w:lang w:eastAsia="zh-CN"/>
        </w:rPr>
      </w:pPr>
      <w:r>
        <w:rPr>
          <w:rFonts w:hint="eastAsia" w:ascii="宋体" w:hAnsi="宋体" w:eastAsia="宋体" w:cs="Times New Roman"/>
          <w:b/>
          <w:bCs/>
          <w:highlight w:val="none"/>
          <w:lang w:eastAsia="zh-CN"/>
        </w:rPr>
      </w:r>
      <w:r/>
    </w:p>
    <w:p>
      <w:pPr>
        <w:ind w:left="0" w:firstLine="420"/>
        <w:jc w:val="both"/>
        <w:spacing w:after="0"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p>
      <w:pPr>
        <w:ind w:left="0" w:firstLine="420"/>
        <w:jc w:val="both"/>
        <w:spacing w:after="0"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p>
      <w:pPr>
        <w:jc w:val="both"/>
        <w:spacing w:line="24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sz w:val="32"/>
          <w:szCs w:val="32"/>
          <w:highlight w:val="none"/>
          <w:lang w:eastAsia="zh-CN"/>
        </w:rPr>
        <w:t xml:space="preserve">二、满足特定资格要求的证明文件</w:t>
      </w:r>
      <w:r/>
    </w:p>
    <w:p>
      <w:pPr>
        <w:ind w:firstLine="480"/>
        <w:jc w:val="both"/>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本项目申请人的特定资格要求中要求提供的材料。</w:t>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widowControl w:val="off"/>
        <w:rPr>
          <w:rFonts w:hint="default" w:ascii="Arial" w:hAnsi="Arial" w:eastAsia="Arial" w:cs="Arial"/>
          <w:sz w:val="21"/>
          <w:szCs w:val="21"/>
          <w:highlight w:val="none"/>
          <w:lang w:val="en-US" w:eastAsia="zh-CN" w:bidi="ar-SA"/>
        </w:rPr>
      </w:pPr>
      <w:r>
        <w:rPr>
          <w:rFonts w:hint="default" w:ascii="Arial" w:hAnsi="Arial" w:eastAsia="Arial" w:cs="Arial"/>
          <w:sz w:val="21"/>
          <w:szCs w:val="21"/>
          <w:highlight w:val="none"/>
          <w:lang w:val="en-US" w:eastAsia="zh-CN" w:bidi="ar-SA"/>
        </w:rPr>
      </w:r>
      <w:r/>
    </w:p>
    <w:p>
      <w:pPr>
        <w:jc w:val="both"/>
        <w:spacing w:line="240" w:lineRule="auto"/>
        <w:widowControl w:val="off"/>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三、法人授权书</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法人授权书</w:t>
      </w:r>
      <w:r/>
    </w:p>
    <w:p>
      <w:pPr>
        <w:ind w:firstLine="480"/>
        <w:jc w:val="both"/>
        <w:spacing w:line="42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本授权书声明：</w:t>
      </w:r>
      <w:r>
        <w:rPr>
          <w:rFonts w:hint="eastAsia" w:ascii="宋体" w:hAnsi="宋体" w:eastAsia="宋体" w:cs="宋体"/>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 xml:space="preserve">（投标人名称）授权</w:t>
      </w:r>
      <w:r>
        <w:rPr>
          <w:rFonts w:hint="eastAsia" w:ascii="宋体" w:hAnsi="宋体" w:eastAsia="宋体" w:cs="宋体"/>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 xml:space="preserve">（被授权人姓名）作为我方参加编号为</w:t>
      </w:r>
      <w:r>
        <w:rPr>
          <w:rFonts w:hint="eastAsia" w:ascii="宋体" w:hAnsi="宋体"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 xml:space="preserve">项目采购活动的合法代理人，以本单位名义全权处理一切与该项目采购有关的事务。</w:t>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本授权书自______年____月____日起生效，特此声明。</w:t>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被授权人身份证号码：</w:t>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u w:val="single"/>
          <w:lang w:val="en-US" w:eastAsia="zh-CN" w:bidi="ar-SA"/>
        </w:rPr>
      </w:pPr>
      <w:r>
        <w:rPr>
          <w:rFonts w:hint="eastAsia" w:ascii="Times New Roman" w:hAnsi="Times New Roman" w:eastAsia="宋体" w:cs="Times New Roman"/>
          <w:sz w:val="24"/>
          <w:szCs w:val="24"/>
          <w:highlight w:val="none"/>
          <w:lang w:val="en-US" w:eastAsia="zh-CN" w:bidi="ar-SA"/>
        </w:rPr>
        <w:t xml:space="preserve">被授权人联系电话：（手机）</w:t>
      </w:r>
      <w:r/>
    </w:p>
    <w:p>
      <w:pPr>
        <w:ind w:firstLine="468"/>
        <w:jc w:val="both"/>
        <w:spacing w:line="48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单位名称：</w:t>
      </w:r>
      <w:r>
        <w:rPr>
          <w:rFonts w:hint="eastAsia" w:ascii="宋体" w:hAnsi="宋体" w:eastAsia="宋体" w:cs="宋体"/>
          <w:sz w:val="24"/>
          <w:szCs w:val="24"/>
          <w:highlight w:val="none"/>
          <w:lang w:val="en-US" w:eastAsia="zh-CN" w:bidi="ar-SA"/>
        </w:rPr>
        <w:t xml:space="preserve">（加盖电子公章）</w:t>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u w:val="single"/>
          <w:lang w:val="en-US" w:eastAsia="zh-CN" w:bidi="ar-SA"/>
        </w:rPr>
      </w:pPr>
      <w:r>
        <w:rPr>
          <w:rFonts w:hint="eastAsia" w:ascii="Times New Roman" w:hAnsi="Times New Roman" w:eastAsia="宋体" w:cs="Times New Roman"/>
          <w:sz w:val="24"/>
          <w:szCs w:val="24"/>
          <w:highlight w:val="none"/>
          <w:lang w:val="en-US" w:eastAsia="zh-CN" w:bidi="ar-SA"/>
        </w:rPr>
        <w:t xml:space="preserve">单位地址：</w:t>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日    期：</w:t>
      </w:r>
      <w:bookmarkStart w:id="143" w:name="_Hlt26955070"/>
      <w:r/>
      <w:bookmarkEnd w:id="143"/>
      <w:r/>
      <w:bookmarkStart w:id="144" w:name="_Hlt26671380"/>
      <w:r/>
      <w:bookmarkEnd w:id="144"/>
      <w:r/>
      <w:bookmarkStart w:id="145" w:name="_格式3__银行出具的资信证明"/>
      <w:r/>
      <w:bookmarkEnd w:id="145"/>
      <w:r/>
      <w:r/>
    </w:p>
    <w:p>
      <w:pPr>
        <w:ind w:firstLine="420"/>
        <w:jc w:val="both"/>
        <w:widowControl w:val="off"/>
        <w:rPr>
          <w:rFonts w:hint="default" w:ascii="Times New Roman" w:hAnsi="Times New Roman" w:eastAsia="宋体" w:cs="Times New Roman"/>
          <w:i/>
          <w:sz w:val="24"/>
          <w:szCs w:val="24"/>
          <w:highlight w:val="none"/>
          <w:u w:val="single"/>
          <w:lang w:val="en-US" w:eastAsia="zh-CN" w:bidi="ar-SA"/>
        </w:rPr>
      </w:pPr>
      <w:r>
        <w:rPr>
          <w:rFonts w:hint="default" w:ascii="Times New Roman" w:hAnsi="Times New Roman" w:eastAsia="宋体" w:cs="Times New Roman"/>
          <w:i/>
          <w:sz w:val="24"/>
          <w:szCs w:val="24"/>
          <w:highlight w:val="none"/>
          <w:u w:val="single"/>
          <w:lang w:val="en-US" w:eastAsia="zh-CN" w:bidi="ar-SA"/>
        </w:rPr>
      </w:r>
      <w:r/>
    </w:p>
    <w:p>
      <w:pPr>
        <w:ind w:firstLine="0"/>
        <w:jc w:val="both"/>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jc w:val="both"/>
        <w:spacing w:line="460" w:lineRule="exact"/>
        <w:widowControl w:val="off"/>
        <w:rPr>
          <w:rFonts w:hint="eastAsia" w:ascii="楷体" w:hAnsi="楷体" w:eastAsia="楷体" w:cs="Times New Roman"/>
          <w:bCs/>
          <w:sz w:val="24"/>
          <w:szCs w:val="24"/>
          <w:highlight w:val="none"/>
          <w:lang w:eastAsia="zh-CN"/>
        </w:rPr>
      </w:pPr>
      <w:r>
        <w:rPr>
          <w:rFonts w:hint="eastAsia" w:ascii="楷体" w:hAnsi="楷体" w:eastAsia="楷体" w:cs="Times New Roman"/>
          <w:bCs/>
          <w:sz w:val="24"/>
          <w:szCs w:val="24"/>
          <w:highlight w:val="none"/>
          <w:lang w:eastAsia="zh-CN"/>
        </w:rPr>
      </w:r>
      <w:r/>
    </w:p>
    <w:p>
      <w:pPr>
        <w:jc w:val="both"/>
        <w:spacing w:line="460" w:lineRule="exact"/>
        <w:widowControl w:val="off"/>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r>
      <w:r/>
    </w:p>
    <w:p>
      <w:pPr>
        <w:ind w:left="120"/>
        <w:jc w:val="both"/>
        <w:widowControl w:val="off"/>
        <w:rPr>
          <w:rFonts w:hint="eastAsia" w:ascii="宋体" w:hAnsi="宋体" w:eastAsia="宋体" w:cs="宋体"/>
          <w:bCs/>
          <w:sz w:val="24"/>
          <w:szCs w:val="21"/>
          <w:highlight w:val="none"/>
          <w:lang w:val="zh-CN" w:eastAsia="zh-CN" w:bidi="zh-CN"/>
        </w:rPr>
      </w:pPr>
      <w:r>
        <w:rPr>
          <w:rFonts w:hint="eastAsia" w:ascii="宋体" w:hAnsi="宋体" w:eastAsia="宋体" w:cs="宋体"/>
          <w:bCs/>
          <w:sz w:val="24"/>
          <w:szCs w:val="21"/>
          <w:highlight w:val="none"/>
          <w:lang w:val="zh-CN" w:eastAsia="zh-CN" w:bidi="zh-CN"/>
        </w:rPr>
      </w:r>
      <w:r/>
    </w:p>
    <w:p>
      <w:pPr>
        <w:ind w:left="120"/>
        <w:jc w:val="both"/>
        <w:widowControl w:val="off"/>
        <w:rPr>
          <w:rFonts w:hint="eastAsia" w:ascii="宋体" w:hAnsi="宋体" w:eastAsia="宋体" w:cs="宋体"/>
          <w:bCs/>
          <w:sz w:val="24"/>
          <w:szCs w:val="21"/>
          <w:highlight w:val="none"/>
          <w:lang w:val="zh-CN" w:eastAsia="zh-CN" w:bidi="zh-CN"/>
        </w:rPr>
      </w:pPr>
      <w:r>
        <w:rPr>
          <w:rFonts w:hint="eastAsia" w:ascii="宋体" w:hAnsi="宋体" w:eastAsia="宋体" w:cs="宋体"/>
          <w:bCs/>
          <w:sz w:val="24"/>
          <w:szCs w:val="21"/>
          <w:highlight w:val="none"/>
          <w:lang w:val="zh-CN" w:eastAsia="zh-CN" w:bidi="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四、投标函</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投标函</w:t>
      </w:r>
      <w:r/>
    </w:p>
    <w:p>
      <w:pPr>
        <w:jc w:val="left"/>
        <w:spacing w:before="0" w:after="0" w:line="420" w:lineRule="exact"/>
        <w:widowControl w:val="off"/>
        <w:rPr>
          <w:rFonts w:hint="default"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致：南京市公共资源交易中心浦口分中心</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根据贵方编号为</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 xml:space="preserve">的</w:t>
      </w:r>
      <w:r>
        <w:rPr>
          <w:rFonts w:hint="eastAsia" w:ascii="宋体" w:hAnsi="宋体" w:eastAsia="宋体" w:cs="Times New Roman"/>
          <w:sz w:val="24"/>
          <w:szCs w:val="21"/>
          <w:highlight w:val="none"/>
          <w:lang w:val="en-US" w:eastAsia="zh-CN" w:bidi="ar-SA"/>
        </w:rPr>
        <w:t xml:space="preserve">项目招标文件，我方正式提</w:t>
      </w:r>
      <w:r>
        <w:rPr>
          <w:rFonts w:hint="eastAsia" w:ascii="宋体" w:hAnsi="宋体" w:eastAsia="宋体" w:cs="宋体"/>
          <w:sz w:val="24"/>
          <w:szCs w:val="24"/>
          <w:highlight w:val="none"/>
          <w:lang w:val="en-US" w:eastAsia="zh-CN" w:bidi="ar-SA"/>
        </w:rPr>
        <w:t xml:space="preserve">交投标函，</w:t>
      </w:r>
      <w:r>
        <w:rPr>
          <w:rFonts w:hint="eastAsia" w:ascii="宋体" w:hAnsi="宋体" w:eastAsia="宋体" w:cs="Times New Roman"/>
          <w:sz w:val="24"/>
          <w:szCs w:val="21"/>
          <w:highlight w:val="none"/>
          <w:lang w:val="en-US" w:eastAsia="zh-CN" w:bidi="ar-SA"/>
        </w:rPr>
        <w:t xml:space="preserve">并宣布同意如下内容：</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1.按招标文件规定的各项要求，向买方提供所需服务（包含与服务相关的货物）。</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2.我们完全理解贵方不一定将合同授予最低报价的投标人。</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3.我们已详细审核全部招标文件及其有效补充文件，我们知道必须放弃提出含糊不清或误解问题的权利。</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4.我们同意从规定的开标日期起遵循本投标文件，并在规定的投标有效期期满之前均具有约束力。</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default" w:ascii="宋体" w:hAnsi="宋体" w:eastAsia="宋体" w:cs="Times New Roman"/>
          <w:sz w:val="24"/>
          <w:szCs w:val="21"/>
          <w:highlight w:val="none"/>
          <w:lang w:val="en-US" w:eastAsia="zh-CN" w:bidi="ar-SA"/>
        </w:rPr>
        <w:t xml:space="preserve">5</w:t>
      </w:r>
      <w:r>
        <w:rPr>
          <w:rFonts w:hint="eastAsia" w:ascii="宋体" w:hAnsi="宋体" w:eastAsia="宋体" w:cs="Times New Roman"/>
          <w:sz w:val="24"/>
          <w:szCs w:val="21"/>
          <w:highlight w:val="none"/>
          <w:lang w:val="en-US" w:eastAsia="zh-CN" w:bidi="ar-SA"/>
        </w:rPr>
        <w:t xml:space="preserve">.同意向贵方提供贵方可能另外要求的与投标有关的任何证据或资料，并保证我方已提供和将要提供的文件是真实的、准确的。</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default" w:ascii="宋体" w:hAnsi="宋体" w:eastAsia="宋体" w:cs="Times New Roman"/>
          <w:sz w:val="24"/>
          <w:szCs w:val="21"/>
          <w:highlight w:val="none"/>
          <w:lang w:val="en-US" w:eastAsia="zh-CN" w:bidi="ar-SA"/>
        </w:rPr>
        <w:t xml:space="preserve">6</w:t>
      </w:r>
      <w:r>
        <w:rPr>
          <w:rFonts w:hint="eastAsia" w:ascii="宋体" w:hAnsi="宋体" w:eastAsia="宋体" w:cs="Times New Roman"/>
          <w:sz w:val="24"/>
          <w:szCs w:val="21"/>
          <w:highlight w:val="none"/>
          <w:lang w:val="en-US" w:eastAsia="zh-CN" w:bidi="ar-SA"/>
        </w:rPr>
        <w:t xml:space="preserve">.一旦我方中标，我方将根据招标文件的规定，严格履行合同的责任和义务，并保证在招标文件规定的时间完成项目，交付买方验收、使用。</w:t>
      </w:r>
      <w:r/>
    </w:p>
    <w:p>
      <w:pPr>
        <w:ind w:firstLine="480"/>
        <w:jc w:val="left"/>
        <w:spacing w:line="42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7.我方为：</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大型企业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中型企业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小型企业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微型企业（在对应</w:t>
      </w:r>
      <w:r>
        <w:rPr>
          <w:rFonts w:hint="default" w:ascii="Wingdings" w:hAnsi="Wingdings" w:eastAsia="Wingdings" w:cs="Wingdings"/>
          <w:sz w:val="24"/>
          <w:szCs w:val="24"/>
          <w:highlight w:val="none"/>
          <w:lang w:eastAsia="zh-CN"/>
        </w:rPr>
        <w:t xml:space="preserve"></w:t>
      </w:r>
      <w:r>
        <w:rPr>
          <w:rFonts w:hint="eastAsia" w:ascii="宋体" w:hAnsi="宋体" w:eastAsia="宋体" w:cs="宋体"/>
          <w:sz w:val="24"/>
          <w:szCs w:val="24"/>
          <w:highlight w:val="none"/>
          <w:lang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eastAsia="宋体" w:cs="Verdana"/>
          <w:sz w:val="24"/>
          <w:szCs w:val="24"/>
          <w:highlight w:val="none"/>
          <w:lang w:val="zh-CN" w:eastAsia="zh-CN"/>
        </w:rPr>
        <w:t xml:space="preserve">“√”</w:t>
      </w:r>
      <w:r>
        <w:rPr>
          <w:rFonts w:hint="eastAsia" w:ascii="宋体" w:hAnsi="宋体" w:eastAsia="宋体" w:cs="Times New Roman"/>
          <w:sz w:val="24"/>
          <w:szCs w:val="24"/>
          <w:highlight w:val="none"/>
          <w:lang w:eastAsia="zh-CN"/>
        </w:rPr>
        <w:t xml:space="preserve">）</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8.我方与本次投标有关信息</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地  址：</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邮  编：</w:t>
      </w:r>
      <w:r/>
    </w:p>
    <w:p>
      <w:pPr>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电  话：</w:t>
      </w:r>
      <w:r/>
    </w:p>
    <w:p>
      <w:pPr>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传  真：</w:t>
      </w:r>
      <w:r/>
    </w:p>
    <w:p>
      <w:pPr>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开户行：</w:t>
      </w:r>
      <w:r/>
    </w:p>
    <w:p>
      <w:pPr>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账  号：</w:t>
      </w:r>
      <w:r/>
    </w:p>
    <w:p>
      <w:pPr>
        <w:ind w:right="180" w:firstLine="480"/>
        <w:jc w:val="both"/>
        <w:spacing w:line="5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投标人名称：（加盖电子公章）</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日  期：</w:t>
      </w:r>
      <w:r/>
    </w:p>
    <w:p>
      <w:pPr>
        <w:ind w:left="420"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r>
      <w:r/>
    </w:p>
    <w:p>
      <w:pPr>
        <w:ind w:firstLine="240"/>
        <w:jc w:val="center"/>
        <w:spacing w:line="560" w:lineRule="exact"/>
        <w:widowControl w:val="off"/>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r>
      <w:r/>
    </w:p>
    <w:p>
      <w:pPr>
        <w:ind w:firstLine="240"/>
        <w:jc w:val="center"/>
        <w:spacing w:line="560" w:lineRule="exact"/>
        <w:widowControl w:val="off"/>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五、开标一览表（以苏采云格式为准）</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开标一览表</w:t>
      </w:r>
      <w:r/>
    </w:p>
    <w:p>
      <w:pPr>
        <w:jc w:val="both"/>
        <w:spacing w:line="48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投标人名称：（加盖电子公章）</w:t>
      </w:r>
      <w:r/>
    </w:p>
    <w:p>
      <w:pPr>
        <w:jc w:val="both"/>
        <w:spacing w:line="480" w:lineRule="auto"/>
        <w:widowControl w:val="off"/>
        <w:rPr>
          <w:rFonts w:hint="default" w:ascii="Times New Roman" w:hAnsi="Times New Roman"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项目名称：</w:t>
      </w:r>
      <w:r/>
    </w:p>
    <w:p>
      <w:pPr>
        <w:jc w:val="both"/>
        <w:spacing w:line="48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项目编号：                                   </w:t>
      </w:r>
      <w:r>
        <w:rPr>
          <w:rFonts w:hint="eastAsia" w:ascii="宋体" w:hAnsi="宋体" w:eastAsia="宋体" w:cs="Times New Roman"/>
          <w:sz w:val="24"/>
          <w:szCs w:val="24"/>
          <w:highlight w:val="none"/>
          <w:lang w:val="en-US" w:eastAsia="zh-CN"/>
        </w:rPr>
        <w:t xml:space="preserve">编</w:t>
      </w:r>
      <w:r>
        <w:rPr>
          <w:rFonts w:hint="eastAsia" w:ascii="宋体" w:hAnsi="宋体" w:eastAsia="宋体" w:cs="Times New Roman"/>
          <w:sz w:val="24"/>
          <w:szCs w:val="24"/>
          <w:highlight w:val="none"/>
          <w:lang w:eastAsia="zh-CN"/>
        </w:rPr>
        <w:t xml:space="preserve">号：</w:t>
      </w:r>
      <w:r/>
    </w:p>
    <w:tbl>
      <w:tblPr>
        <w:tblStyle w:val="679"/>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投标报价</w:t>
            </w:r>
            <w:r/>
          </w:p>
        </w:tc>
      </w:tr>
      <w:tr>
        <w:trPr>
          <w:cantSplit/>
          <w:trHeight w:val="780"/>
        </w:trPr>
        <w:tc>
          <w:tcPr>
            <w:tcW w:w="9311" w:type="dxa"/>
            <w:vAlign w:val="center"/>
            <w:textDirection w:val="lrTb"/>
            <w:noWrap w:val="false"/>
          </w:tcPr>
          <w:p>
            <w:pPr>
              <w:ind w:firstLine="0"/>
              <w:jc w:val="left"/>
              <w:spacing w:before="0" w:after="0" w:line="480" w:lineRule="auto"/>
              <w:widowControl w:val="off"/>
              <w:rPr>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p>
        </w:tc>
      </w:tr>
      <w:tr>
        <w:trPr>
          <w:cantSplit/>
          <w:trHeight w:val="780"/>
        </w:trPr>
        <w:tc>
          <w:tcPr>
            <w:tcW w:w="9311" w:type="dxa"/>
            <w:vAlign w:val="center"/>
            <w:textDirection w:val="lrTb"/>
            <w:noWrap w:val="false"/>
          </w:tcPr>
          <w:p>
            <w:pPr>
              <w:ind w:firstLine="0"/>
              <w:jc w:val="left"/>
              <w:spacing w:before="0" w:after="0" w:line="48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大写（元）：</w:t>
            </w:r>
            <w:r/>
          </w:p>
        </w:tc>
      </w:tr>
    </w:tbl>
    <w:p>
      <w:pPr>
        <w:jc w:val="both"/>
        <w:spacing w:line="48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8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                                              日  期：</w:t>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六、投标报价明细表</w:t>
      </w:r>
      <w:r/>
    </w:p>
    <w:p>
      <w:pPr>
        <w:jc w:val="center"/>
        <w:spacing w:line="480" w:lineRule="auto"/>
        <w:widowControl w:val="off"/>
        <w:rPr>
          <w:rFonts w:hint="eastAsia" w:ascii="黑体" w:hAnsi="黑体" w:eastAsia="黑体" w:cs="黑体"/>
          <w:sz w:val="32"/>
          <w:szCs w:val="32"/>
          <w:highlight w:val="none"/>
          <w:lang w:eastAsia="zh-CN"/>
        </w:rPr>
        <w:outlineLvl w:val="1"/>
      </w:pPr>
      <w:r>
        <w:rPr>
          <w:rFonts w:hint="eastAsia" w:ascii="黑体" w:hAnsi="黑体" w:eastAsia="黑体" w:cs="黑体"/>
          <w:sz w:val="32"/>
          <w:szCs w:val="32"/>
          <w:highlight w:val="none"/>
          <w:lang w:eastAsia="zh-CN"/>
        </w:rPr>
        <w:t xml:space="preserve">投标报价明细表</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投标人名称：（加盖电子公章）</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项目名称：</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项目编号：</w:t>
      </w:r>
      <w:r/>
    </w:p>
    <w:p>
      <w:pPr>
        <w:jc w:val="both"/>
        <w:spacing w:line="240" w:lineRule="auto"/>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采购包号：</w:t>
      </w:r>
      <w:r/>
    </w:p>
    <w:tbl>
      <w:tblPr>
        <w:tblStyle w:val="679"/>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272"/>
        <w:gridCol w:w="5165"/>
        <w:gridCol w:w="1966"/>
      </w:tblGrid>
      <w:tr>
        <w:trPr>
          <w:jc w:val="center"/>
          <w:trHeight w:val="263"/>
        </w:trPr>
        <w:tc>
          <w:tcPr>
            <w:tcBorders>
              <w:top w:val="single" w:color="auto" w:sz="4" w:space="0"/>
              <w:left w:val="single" w:color="auto" w:sz="4" w:space="0"/>
              <w:right w:val="single" w:color="auto" w:sz="4" w:space="0"/>
            </w:tcBorders>
            <w:tcW w:w="360"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1121"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zh-CN" w:eastAsia="zh-CN"/>
              </w:rPr>
              <w:t xml:space="preserve">项目名称</w:t>
            </w:r>
            <w:r/>
          </w:p>
        </w:tc>
        <w:tc>
          <w:tcPr>
            <w:tcBorders>
              <w:top w:val="single" w:color="auto" w:sz="4" w:space="0"/>
              <w:left w:val="single" w:color="auto" w:sz="4" w:space="0"/>
              <w:right w:val="single" w:color="auto" w:sz="4" w:space="0"/>
            </w:tcBorders>
            <w:tcW w:w="2548" w:type="pct"/>
            <w:vAlign w:val="center"/>
            <w:textDirection w:val="lrTb"/>
            <w:noWrap w:val="false"/>
          </w:tcPr>
          <w:p>
            <w:pPr>
              <w:jc w:val="center"/>
              <w:spacing w:line="240" w:lineRule="auto"/>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每人/年工资</w:t>
            </w:r>
            <w:r/>
          </w:p>
        </w:tc>
        <w:tc>
          <w:tcPr>
            <w:tcBorders>
              <w:top w:val="single" w:color="auto" w:sz="4" w:space="0"/>
              <w:left w:val="single" w:color="auto" w:sz="4" w:space="0"/>
              <w:right w:val="single" w:color="auto" w:sz="4" w:space="0"/>
            </w:tcBorders>
            <w:tcW w:w="970"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备注</w:t>
            </w:r>
            <w:r/>
          </w:p>
        </w:tc>
      </w:tr>
      <w:tr>
        <w:trPr>
          <w:jc w:val="center"/>
          <w:trHeight w:val="1338"/>
        </w:trPr>
        <w:tc>
          <w:tcPr>
            <w:gridSpan w:val="2"/>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ind w:left="0" w:right="0" w:firstLine="0"/>
              <w:jc w:val="center"/>
              <w:spacing w:line="240" w:lineRule="auto"/>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安保人员最终报价/年</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24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tc>
        <w:tc>
          <w:tcPr>
            <w:tcBorders>
              <w:top w:val="single" w:color="auto" w:sz="4" w:space="0"/>
              <w:left w:val="single" w:color="auto" w:sz="4" w:space="0"/>
              <w:right w:val="single" w:color="auto" w:sz="4" w:space="0"/>
            </w:tcBorders>
            <w:tcW w:w="970" w:type="pct"/>
            <w:vAlign w:val="center"/>
            <w:textDirection w:val="lrTb"/>
            <w:noWrap w:val="false"/>
          </w:tcPr>
          <w:p>
            <w:pPr>
              <w:jc w:val="center"/>
              <w:spacing w:line="24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含员工工资、商业保险、员工福利、相关补贴、服装装备费、管理费、税金、国家强制社保资金、住房公积金和供应商认为需要的其他费用</w:t>
            </w:r>
            <w:r/>
          </w:p>
        </w:tc>
      </w:tr>
      <w:tr>
        <w:trPr>
          <w:jc w:val="center"/>
        </w:trPr>
        <w:tc>
          <w:tcPr>
            <w:gridSpan w:val="2"/>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spacing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val="en-US" w:eastAsia="zh-CN"/>
              </w:rPr>
              <w:t xml:space="preserve">投标报价总</w:t>
            </w:r>
            <w:r>
              <w:rPr>
                <w:rFonts w:hint="eastAsia" w:ascii="仿宋" w:hAnsi="仿宋" w:eastAsia="仿宋" w:cs="仿宋"/>
                <w:b/>
                <w:bCs/>
                <w:sz w:val="24"/>
                <w:szCs w:val="24"/>
                <w:highlight w:val="none"/>
                <w:lang w:eastAsia="zh-CN"/>
              </w:rPr>
              <w:t xml:space="preserve">合计</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24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none"/>
                <w:lang w:val="en-US" w:eastAsia="zh-CN"/>
              </w:rPr>
              <w:t xml:space="preserve">元</w:t>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jc w:val="center"/>
              <w:spacing w:line="240" w:lineRule="auto"/>
              <w:widowControl w:val="off"/>
              <w:rPr>
                <w:rFonts w:hint="default" w:ascii="仿宋" w:hAnsi="仿宋" w:eastAsia="仿宋" w:cs="仿宋"/>
                <w:b/>
                <w:bCs/>
                <w:sz w:val="24"/>
                <w:szCs w:val="24"/>
                <w:highlight w:val="none"/>
                <w:u w:val="single"/>
                <w:lang w:val="en-US" w:eastAsia="zh-CN"/>
              </w:rPr>
            </w:pPr>
            <w:r>
              <w:rPr>
                <w:rFonts w:hint="eastAsia" w:ascii="仿宋" w:hAnsi="仿宋" w:eastAsia="仿宋" w:cs="仿宋"/>
                <w:sz w:val="24"/>
                <w:szCs w:val="24"/>
                <w:highlight w:val="none"/>
                <w:lang w:val="en-US" w:eastAsia="zh-CN"/>
              </w:rPr>
              <w:t xml:space="preserve">投标报价总合计=安保人员</w:t>
            </w:r>
            <w:r>
              <w:rPr>
                <w:rFonts w:hint="eastAsia" w:ascii="仿宋" w:hAnsi="仿宋" w:eastAsia="仿宋" w:cs="仿宋"/>
                <w:b/>
                <w:bCs/>
                <w:sz w:val="24"/>
                <w:szCs w:val="24"/>
                <w:highlight w:val="none"/>
                <w:lang w:val="en-US" w:eastAsia="zh-CN"/>
              </w:rPr>
              <w:t xml:space="preserve">最终报价/年*数量</w:t>
            </w:r>
            <w:r/>
          </w:p>
        </w:tc>
      </w:tr>
      <w:tr>
        <w:trPr>
          <w:jc w:val="center"/>
        </w:trPr>
        <w:tc>
          <w:tcPr>
            <w:gridSpan w:val="2"/>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项目负责人</w:t>
            </w:r>
            <w:r/>
          </w:p>
        </w:tc>
        <w:tc>
          <w:tcPr>
            <w:gridSpan w:val="2"/>
            <w:tcBorders>
              <w:top w:val="single" w:color="auto" w:sz="4" w:space="0"/>
              <w:left w:val="single" w:color="auto" w:sz="4" w:space="0"/>
              <w:bottom w:val="single" w:color="auto" w:sz="4" w:space="0"/>
              <w:right w:val="single" w:color="auto" w:sz="4" w:space="0"/>
            </w:tcBorders>
            <w:tcW w:w="3518"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u w:val="single"/>
                <w:lang w:val="en-US" w:eastAsia="zh-CN"/>
              </w:rPr>
            </w:pPr>
            <w:r>
              <w:rPr>
                <w:rFonts w:hint="eastAsia" w:ascii="仿宋" w:hAnsi="仿宋" w:eastAsia="仿宋" w:cs="仿宋"/>
                <w:b/>
                <w:bCs/>
                <w:sz w:val="24"/>
                <w:szCs w:val="24"/>
                <w:highlight w:val="none"/>
                <w:u w:val="single"/>
                <w:lang w:val="en-US" w:eastAsia="zh-CN"/>
              </w:rPr>
            </w:r>
            <w:r/>
          </w:p>
        </w:tc>
      </w:tr>
      <w:tr>
        <w:trPr>
          <w:jc w:val="center"/>
        </w:trPr>
        <w:tc>
          <w:tcPr>
            <w:gridSpan w:val="2"/>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供应商是否属于小微型企业</w:t>
            </w:r>
            <w:r/>
          </w:p>
        </w:tc>
        <w:tc>
          <w:tcPr>
            <w:gridSpan w:val="2"/>
            <w:tcBorders>
              <w:top w:val="single" w:color="auto" w:sz="4" w:space="0"/>
              <w:left w:val="single" w:color="auto" w:sz="4" w:space="0"/>
              <w:bottom w:val="single" w:color="auto" w:sz="4" w:space="0"/>
              <w:right w:val="single" w:color="auto" w:sz="4" w:space="0"/>
            </w:tcBorders>
            <w:tcW w:w="3518"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u w:val="single"/>
                <w:lang w:val="en-US" w:eastAsia="zh-CN"/>
              </w:rPr>
            </w:pPr>
            <w:r>
              <w:rPr>
                <w:rFonts w:hint="eastAsia" w:ascii="仿宋" w:hAnsi="仿宋" w:eastAsia="仿宋" w:cs="仿宋"/>
                <w:b/>
                <w:bCs/>
                <w:sz w:val="24"/>
                <w:szCs w:val="24"/>
                <w:highlight w:val="none"/>
                <w:u w:val="single"/>
                <w:lang w:val="en-US" w:eastAsia="zh-CN"/>
              </w:rPr>
            </w:r>
            <w:r/>
          </w:p>
        </w:tc>
      </w:tr>
    </w:tbl>
    <w:p>
      <w:pPr>
        <w:ind w:left="0" w:firstLine="0"/>
        <w:jc w:val="left"/>
        <w:pageBreakBefore w:val="0"/>
        <w:spacing w:beforeAutospacing="0"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left="0" w:firstLine="0"/>
        <w:jc w:val="left"/>
        <w:pageBreakBefore w:val="0"/>
        <w:spacing w:beforeAutospacing="0"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日            期：          年    月    日</w:t>
      </w:r>
      <w:r/>
    </w:p>
    <w:p>
      <w:pPr>
        <w:ind w:left="0" w:firstLine="0"/>
        <w:jc w:val="left"/>
        <w:pageBreakBefore w:val="0"/>
        <w:spacing w:beforeAutospacing="0"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说明：</w:t>
      </w:r>
      <w:r/>
    </w:p>
    <w:p>
      <w:pPr>
        <w:ind w:left="0" w:firstLine="0"/>
        <w:jc w:val="left"/>
        <w:pageBreakBefore w:val="0"/>
        <w:spacing w:beforeAutospacing="0" w:line="360" w:lineRule="auto"/>
        <w:widowControl/>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1、本服务仅接受一个价格，不得填报有选择性报价方案。若有优惠条款须注明，但不得影响报价，影响产品整体功能。</w:t>
      </w:r>
      <w:r/>
    </w:p>
    <w:p>
      <w:pPr>
        <w:ind w:left="0" w:firstLine="0"/>
        <w:jc w:val="left"/>
        <w:pageBreakBefore w:val="0"/>
        <w:spacing w:beforeAutospacing="0" w:line="360" w:lineRule="auto"/>
        <w:widowControl/>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2、“供应商是否属于小微型企业”栏内填写“是”或“否”。如填写“是”，投标人需提供《中小企业声明函》，如未按要求填写或相关内容表述不清的，不得享受价格扣除。</w:t>
      </w:r>
      <w:r/>
    </w:p>
    <w:p>
      <w:pPr>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br w:type="page" w:clear="all"/>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七、技术要求响应及偏离表</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技术要求响应及偏离表</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序号</w:t>
            </w:r>
            <w:r/>
          </w:p>
        </w:tc>
        <w:tc>
          <w:tcPr>
            <w:tcW w:w="2925"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招标文件要求</w:t>
            </w:r>
            <w:r/>
          </w:p>
        </w:tc>
        <w:tc>
          <w:tcPr>
            <w:tcW w:w="2832"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投标响应情况</w:t>
            </w:r>
            <w:r/>
          </w:p>
        </w:tc>
        <w:tc>
          <w:tcPr>
            <w:tcW w:w="3346"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Times New Roman" w:hAnsi="Times New Roman" w:eastAsia="宋体" w:cs="宋体"/>
                <w:sz w:val="24"/>
                <w:szCs w:val="24"/>
                <w:highlight w:val="none"/>
                <w:lang w:eastAsia="zh-CN"/>
              </w:rPr>
              <w:t xml:space="preserve">正偏离、无偏离或负偏离</w:t>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bl>
    <w:p>
      <w:pPr>
        <w:jc w:val="both"/>
        <w:spacing w:before="0" w:beforeAutospacing="0" w:after="0" w:afterAutospacing="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180" w:firstLine="48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投标人名称：（加盖电子公章）</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备注： </w:t>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1.供应商须对招标文件技术要求中的实质性要求（斜体下划线内容或打“★”内容）做出明确响应，否则视为无效投标。</w:t>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2.行数不够，可自行添加。</w:t>
      </w:r>
      <w:r/>
    </w:p>
    <w:p>
      <w:pPr>
        <w:jc w:val="center"/>
        <w:spacing w:line="240" w:lineRule="auto"/>
        <w:widowControl w:val="off"/>
        <w:rPr>
          <w:rFonts w:hint="default" w:ascii="黑体" w:hAnsi="Arial" w:eastAsia="黑体" w:cs="Times New Roman"/>
          <w:b/>
          <w:sz w:val="36"/>
          <w:highlight w:val="none"/>
          <w:lang w:eastAsia="zh-CN"/>
        </w:rPr>
      </w:pPr>
      <w:r>
        <w:rPr>
          <w:rFonts w:hint="default" w:ascii="黑体" w:hAnsi="Arial" w:eastAsia="黑体" w:cs="Times New Roman"/>
          <w:b/>
          <w:sz w:val="36"/>
          <w:highlight w:val="none"/>
          <w:lang w:eastAsia="zh-CN"/>
        </w:rPr>
      </w:r>
      <w:r/>
    </w:p>
    <w:p>
      <w:pPr>
        <w:jc w:val="both"/>
        <w:spacing w:line="240" w:lineRule="auto"/>
        <w:widowControl w:val="off"/>
        <w:rPr>
          <w:rFonts w:hint="eastAsia" w:ascii="黑体" w:hAnsi="黑体" w:eastAsia="黑体" w:cs="Times New Roman"/>
          <w:iCs/>
          <w:sz w:val="32"/>
          <w:szCs w:val="32"/>
          <w:highlight w:val="none"/>
          <w:lang w:eastAsia="zh-CN"/>
        </w:rPr>
      </w:pPr>
      <w:r/>
      <w:bookmarkStart w:id="146" w:name="_Hlt26955054"/>
      <w:r/>
      <w:bookmarkEnd w:id="146"/>
      <w:r/>
      <w:r/>
    </w:p>
    <w:p>
      <w:pPr>
        <w:rPr>
          <w:rFonts w:hint="eastAsia" w:ascii="黑体" w:hAnsi="黑体" w:eastAsia="黑体" w:cs="Times New Roman"/>
          <w:iCs/>
          <w:sz w:val="32"/>
          <w:szCs w:val="32"/>
          <w:highlight w:val="none"/>
          <w:lang w:eastAsia="zh-CN"/>
        </w:rPr>
      </w:pPr>
      <w:r>
        <w:rPr>
          <w:rFonts w:hint="eastAsia" w:ascii="黑体" w:hAnsi="黑体" w:eastAsia="黑体" w:cs="Times New Roman"/>
          <w:iCs/>
          <w:sz w:val="32"/>
          <w:szCs w:val="32"/>
          <w:highlight w:val="none"/>
          <w:lang w:eastAsia="zh-CN"/>
        </w:rPr>
        <w:br w:type="page" w:clear="all"/>
      </w:r>
      <w:r/>
    </w:p>
    <w:p>
      <w:pPr>
        <w:jc w:val="both"/>
        <w:spacing w:line="240" w:lineRule="auto"/>
        <w:widowControl w:val="off"/>
        <w:rPr>
          <w:rFonts w:hint="eastAsia" w:ascii="黑体" w:hAnsi="黑体" w:eastAsia="黑体" w:cs="Times New Roman"/>
          <w:iCs/>
          <w:sz w:val="32"/>
          <w:szCs w:val="32"/>
          <w:highlight w:val="none"/>
          <w:lang w:eastAsia="zh-CN"/>
        </w:rPr>
      </w:pPr>
      <w:r>
        <w:rPr>
          <w:rFonts w:hint="eastAsia" w:ascii="黑体" w:hAnsi="黑体" w:eastAsia="黑体" w:cs="Times New Roman"/>
          <w:iCs/>
          <w:sz w:val="32"/>
          <w:szCs w:val="32"/>
          <w:highlight w:val="none"/>
          <w:lang w:eastAsia="zh-CN"/>
        </w:rPr>
        <w:t xml:space="preserve">八、商务要求响应及偏离表</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商务要求响应及偏离表</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bookmarkStart w:id="147" w:name="_Hlt26609391"/>
            <w:r/>
            <w:bookmarkEnd w:id="147"/>
            <w:r/>
            <w:bookmarkStart w:id="148" w:name="_Hlt26955064"/>
            <w:r/>
            <w:bookmarkEnd w:id="148"/>
            <w:r/>
            <w:bookmarkStart w:id="149" w:name="_Hlt26782999"/>
            <w:r/>
            <w:bookmarkEnd w:id="149"/>
            <w:r/>
            <w:bookmarkStart w:id="150" w:name="_Hlt26671372"/>
            <w:r/>
            <w:bookmarkEnd w:id="150"/>
            <w:r/>
            <w:bookmarkStart w:id="151" w:name="_Hlt26671343"/>
            <w:r/>
            <w:bookmarkEnd w:id="151"/>
            <w:r/>
            <w:bookmarkStart w:id="152" w:name="_Hlt26955056"/>
            <w:r/>
            <w:bookmarkEnd w:id="152"/>
            <w:r/>
            <w:bookmarkStart w:id="153" w:name="_Hlt26580838"/>
            <w:r/>
            <w:bookmarkEnd w:id="153"/>
            <w:r/>
            <w:bookmarkStart w:id="154" w:name="_Hlt24879081"/>
            <w:r/>
            <w:bookmarkEnd w:id="154"/>
            <w:r>
              <w:rPr>
                <w:rFonts w:hint="eastAsia" w:ascii="宋体" w:hAnsi="宋体" w:eastAsia="宋体" w:cs="Times New Roman"/>
                <w:sz w:val="24"/>
                <w:szCs w:val="24"/>
                <w:highlight w:val="none"/>
                <w:lang w:eastAsia="zh-CN"/>
              </w:rPr>
              <w:t xml:space="preserve">序号</w:t>
            </w:r>
            <w:r/>
          </w:p>
        </w:tc>
        <w:tc>
          <w:tcPr>
            <w:tcW w:w="2838"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招标文件要求</w:t>
            </w:r>
            <w:r/>
          </w:p>
        </w:tc>
        <w:tc>
          <w:tcPr>
            <w:tcW w:w="2832"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投标响应情况</w:t>
            </w:r>
            <w:r/>
          </w:p>
        </w:tc>
        <w:tc>
          <w:tcPr>
            <w:tcW w:w="3346"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Times New Roman" w:hAnsi="Times New Roman" w:eastAsia="宋体" w:cs="宋体"/>
                <w:sz w:val="24"/>
                <w:szCs w:val="24"/>
                <w:highlight w:val="none"/>
                <w:lang w:eastAsia="zh-CN"/>
              </w:rPr>
              <w:t xml:space="preserve">正偏离、无偏离或负偏离</w:t>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bl>
    <w:p>
      <w:pPr>
        <w:jc w:val="both"/>
        <w:spacing w:before="0" w:beforeAutospacing="0" w:after="0" w:afterAutospacing="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180" w:firstLine="48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投标人名称：（加盖电子公章）</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 </w:t>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1.供应商须对招标文件商务要求中的实质性要求（斜体下划线内容或打“★”内容）做出明确响应，否则视为无效投标。</w:t>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2.行数不够，可自行添加。</w:t>
      </w:r>
      <w:r/>
    </w:p>
    <w:p>
      <w:pPr>
        <w:jc w:val="both"/>
        <w:spacing w:line="240" w:lineRule="auto"/>
        <w:widowControl w:val="off"/>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p>
      <w:pPr>
        <w:jc w:val="center"/>
        <w:spacing w:line="240" w:lineRule="auto"/>
        <w:widowControl w:val="off"/>
        <w:rPr>
          <w:rFonts w:hint="eastAsia" w:ascii="宋体" w:hAnsi="宋体" w:eastAsia="宋体" w:cs="仿宋"/>
          <w:b/>
          <w:bCs/>
          <w:sz w:val="32"/>
          <w:szCs w:val="32"/>
          <w:highlight w:val="none"/>
          <w:lang w:eastAsia="zh-CN"/>
        </w:rPr>
      </w:pPr>
      <w:r>
        <w:rPr>
          <w:rFonts w:hint="eastAsia" w:ascii="宋体" w:hAnsi="宋体" w:eastAsia="宋体" w:cs="仿宋"/>
          <w:b/>
          <w:bCs/>
          <w:sz w:val="32"/>
          <w:szCs w:val="32"/>
          <w:highlight w:val="none"/>
          <w:lang w:eastAsia="zh-CN"/>
        </w:rPr>
      </w:r>
      <w:r/>
    </w:p>
    <w:p>
      <w:pPr>
        <w:ind w:left="1260"/>
        <w:jc w:val="both"/>
        <w:widowControl w:val="off"/>
        <w:rPr>
          <w:rFonts w:hint="default" w:ascii="宋体" w:hAnsi="宋体" w:eastAsia="Calibri" w:cs="仿宋"/>
          <w:b/>
          <w:bCs/>
          <w:sz w:val="32"/>
          <w:szCs w:val="32"/>
          <w:highlight w:val="none"/>
          <w:lang w:val="zh-CN" w:eastAsia="zh-CN" w:bidi="ar-SA"/>
        </w:rPr>
      </w:pPr>
      <w:r>
        <w:rPr>
          <w:rFonts w:hint="default" w:ascii="宋体" w:hAnsi="宋体" w:eastAsia="Calibri" w:cs="仿宋"/>
          <w:b/>
          <w:bCs/>
          <w:sz w:val="32"/>
          <w:szCs w:val="32"/>
          <w:highlight w:val="none"/>
          <w:lang w:val="zh-CN" w:eastAsia="zh-CN" w:bidi="ar-SA"/>
        </w:rPr>
      </w:r>
      <w:r/>
    </w:p>
    <w:p>
      <w:pPr>
        <w:rPr>
          <w:rFonts w:hint="eastAsia" w:ascii="黑体" w:hAnsi="黑体" w:eastAsia="黑体" w:cs="Times New Roman"/>
          <w:iCs/>
          <w:sz w:val="32"/>
          <w:szCs w:val="32"/>
          <w:highlight w:val="none"/>
          <w:lang w:eastAsia="zh-CN"/>
        </w:rPr>
      </w:pPr>
      <w:r>
        <w:rPr>
          <w:rFonts w:hint="eastAsia" w:ascii="黑体" w:hAnsi="黑体" w:eastAsia="黑体" w:cs="Times New Roman"/>
          <w:iCs/>
          <w:sz w:val="32"/>
          <w:szCs w:val="32"/>
          <w:highlight w:val="none"/>
          <w:lang w:eastAsia="zh-CN"/>
        </w:rPr>
        <w:br w:type="page" w:clear="all"/>
      </w:r>
      <w:r/>
    </w:p>
    <w:p>
      <w:pPr>
        <w:jc w:val="both"/>
        <w:spacing w:line="240" w:lineRule="auto"/>
        <w:widowControl w:val="off"/>
        <w:rPr>
          <w:rFonts w:hint="eastAsia" w:ascii="黑体" w:hAnsi="黑体" w:eastAsia="黑体" w:cs="Times New Roman"/>
          <w:iCs/>
          <w:sz w:val="32"/>
          <w:szCs w:val="32"/>
          <w:highlight w:val="none"/>
          <w:lang w:eastAsia="zh-CN"/>
        </w:rPr>
      </w:pPr>
      <w:r>
        <w:rPr>
          <w:rFonts w:hint="eastAsia" w:ascii="黑体" w:hAnsi="黑体" w:eastAsia="黑体" w:cs="Times New Roman"/>
          <w:iCs/>
          <w:sz w:val="32"/>
          <w:szCs w:val="32"/>
          <w:highlight w:val="none"/>
          <w:lang w:eastAsia="zh-CN"/>
        </w:rPr>
        <w:t xml:space="preserve">九、中小企业声明函</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中小企业声明函（服务）</w:t>
      </w:r>
      <w:r/>
    </w:p>
    <w:p>
      <w:pPr>
        <w:ind w:firstLine="48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lang w:eastAsia="zh-CN"/>
        </w:rPr>
        <w:t xml:space="preserve">XXXXXXXXXXXXXXXXXXXXXXXXX</w:t>
      </w:r>
      <w:r>
        <w:rPr>
          <w:rFonts w:hint="eastAsia" w:ascii="宋体" w:hAnsi="宋体" w:eastAsia="宋体" w:cs="Times New Roman"/>
          <w:sz w:val="24"/>
          <w:szCs w:val="24"/>
          <w:highlight w:val="none"/>
          <w:lang w:eastAsia="zh-CN"/>
        </w:rPr>
        <w:t xml:space="preserve">（单位名称）采购编号为</w:t>
      </w:r>
      <w:r>
        <w:rPr>
          <w:rFonts w:hint="eastAsia" w:ascii="宋体" w:hAnsi="宋体" w:eastAsia="宋体" w:cs="Times New Roman"/>
          <w:sz w:val="24"/>
          <w:szCs w:val="24"/>
          <w:highlight w:val="none"/>
          <w:u w:val="single"/>
          <w:lang w:eastAsia="zh-CN"/>
        </w:rPr>
        <w:t xml:space="preserve">XXXXXXXXXXXXXXXXXXXXXXXXX</w:t>
      </w:r>
      <w:r>
        <w:rPr>
          <w:rFonts w:hint="eastAsia" w:ascii="宋体" w:hAnsi="宋体" w:eastAsia="宋体" w:cs="Times New Roman"/>
          <w:sz w:val="24"/>
          <w:szCs w:val="24"/>
          <w:highlight w:val="none"/>
          <w:lang w:eastAsia="zh-CN"/>
        </w:rPr>
        <w:t xml:space="preserve">项目（分包号：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lang w:eastAsia="zh-CN"/>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lang w:eastAsia="zh-CN"/>
        </w:rPr>
        <w:t xml:space="preserve">〔</w:t>
      </w:r>
      <w:r>
        <w:rPr>
          <w:rFonts w:hint="eastAsia" w:ascii="宋体" w:hAnsi="宋体" w:eastAsia="宋体" w:cs="Times New Roman"/>
          <w:sz w:val="24"/>
          <w:szCs w:val="24"/>
          <w:highlight w:val="none"/>
          <w:lang w:eastAsia="zh-CN"/>
        </w:rPr>
        <w:t xml:space="preserve">2011</w:t>
      </w:r>
      <w:r>
        <w:rPr>
          <w:rFonts w:hint="eastAsia" w:ascii="仿宋_GB2312" w:hAnsi="仿宋_GB2312" w:eastAsia="仿宋_GB2312" w:cs="仿宋_GB2312"/>
          <w:sz w:val="24"/>
          <w:szCs w:val="24"/>
          <w:highlight w:val="none"/>
          <w:lang w:eastAsia="zh-CN"/>
        </w:rPr>
        <w:t xml:space="preserve">〕</w:t>
      </w:r>
      <w:r>
        <w:rPr>
          <w:rFonts w:hint="eastAsia" w:ascii="宋体" w:hAnsi="宋体" w:eastAsia="宋体" w:cs="Times New Roman"/>
          <w:sz w:val="24"/>
          <w:szCs w:val="24"/>
          <w:highlight w:val="none"/>
          <w:lang w:eastAsia="zh-CN"/>
        </w:rPr>
        <w:t xml:space="preserve">300号)的规定，相关企业（含联合体中的小微企业、签订分包意向协议的中小企业）的具体情况如下：</w:t>
      </w:r>
      <w:r/>
    </w:p>
    <w:p>
      <w:pPr>
        <w:ind w:firstLine="480"/>
        <w:jc w:val="both"/>
        <w:spacing w:line="360" w:lineRule="auto"/>
        <w:widowControl w:val="off"/>
        <w:rPr>
          <w:rFonts w:hint="eastAsia" w:ascii="宋体" w:hAnsi="宋体" w:eastAsia="宋体" w:cs="Times New Roman"/>
          <w:i/>
          <w:sz w:val="24"/>
          <w:szCs w:val="24"/>
          <w:highlight w:val="none"/>
          <w:u w:val="single"/>
          <w:lang w:eastAsia="zh-CN"/>
        </w:rPr>
      </w:pPr>
      <w:r>
        <w:rPr>
          <w:rFonts w:hint="eastAsia" w:ascii="宋体" w:hAnsi="宋体" w:eastAsia="宋体" w:cs="Times New Roman"/>
          <w:sz w:val="24"/>
          <w:szCs w:val="24"/>
          <w:highlight w:val="none"/>
          <w:lang w:eastAsia="zh-CN"/>
        </w:rPr>
        <w:t xml:space="preserve">1.</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（标的名称）属于</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行业（招标文件中明确的所属行业）；承接企业为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（企业名称），从业人员</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人，营业收入为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万元，资产总额为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万元</w:t>
      </w:r>
      <w:r>
        <w:rPr>
          <w:rFonts w:hint="eastAsia" w:ascii="宋体" w:hAnsi="宋体" w:eastAsia="宋体" w:cs="Times New Roman"/>
          <w:sz w:val="24"/>
          <w:szCs w:val="24"/>
          <w:highlight w:val="none"/>
          <w:vertAlign w:val="superscript"/>
          <w:lang w:eastAsia="zh-CN"/>
        </w:rPr>
        <w:t xml:space="preserve">1</w:t>
      </w:r>
      <w:r>
        <w:rPr>
          <w:rFonts w:hint="eastAsia" w:ascii="宋体" w:hAnsi="宋体" w:eastAsia="宋体" w:cs="Times New Roman"/>
          <w:sz w:val="24"/>
          <w:szCs w:val="24"/>
          <w:highlight w:val="none"/>
          <w:lang w:eastAsia="zh-CN"/>
        </w:rPr>
        <w:t xml:space="preserve">，属于</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中型企业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小型企业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微型企业。</w:t>
      </w:r>
      <w:r/>
    </w:p>
    <w:p>
      <w:pPr>
        <w:ind w:firstLine="480"/>
        <w:jc w:val="both"/>
        <w:spacing w:line="360" w:lineRule="auto"/>
        <w:widowControl w:val="off"/>
        <w:rPr>
          <w:rFonts w:hint="eastAsia" w:ascii="宋体" w:hAnsi="宋体" w:eastAsia="宋体" w:cs="Times New Roman"/>
          <w:i/>
          <w:sz w:val="24"/>
          <w:szCs w:val="24"/>
          <w:highlight w:val="none"/>
          <w:lang w:eastAsia="zh-CN"/>
        </w:rPr>
      </w:pPr>
      <w:r>
        <w:rPr>
          <w:rFonts w:hint="eastAsia" w:ascii="宋体" w:hAnsi="宋体" w:eastAsia="宋体" w:cs="Times New Roman"/>
          <w:sz w:val="24"/>
          <w:szCs w:val="24"/>
          <w:highlight w:val="none"/>
          <w:lang w:eastAsia="zh-CN"/>
        </w:rPr>
        <w:t xml:space="preserve">2.</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（标的名称）属于</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行业（招标文件中明确的所属行业）；承接企业为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（企业名称），从业人员</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人，营业收入为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万元，资产总额为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万元</w:t>
      </w:r>
      <w:r>
        <w:rPr>
          <w:rFonts w:hint="eastAsia" w:ascii="宋体" w:hAnsi="宋体" w:eastAsia="宋体" w:cs="Times New Roman"/>
          <w:sz w:val="24"/>
          <w:szCs w:val="24"/>
          <w:highlight w:val="none"/>
          <w:vertAlign w:val="superscript"/>
          <w:lang w:eastAsia="zh-CN"/>
        </w:rPr>
        <w:t xml:space="preserve">1</w:t>
      </w:r>
      <w:r>
        <w:rPr>
          <w:rFonts w:hint="eastAsia" w:ascii="宋体" w:hAnsi="宋体" w:eastAsia="宋体" w:cs="Times New Roman"/>
          <w:sz w:val="24"/>
          <w:szCs w:val="24"/>
          <w:highlight w:val="none"/>
          <w:lang w:eastAsia="zh-CN"/>
        </w:rPr>
        <w:t xml:space="preserve">，属于</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中型企业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小型企业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微型企业。</w:t>
      </w:r>
      <w:r/>
    </w:p>
    <w:p>
      <w:pPr>
        <w:ind w:firstLine="36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w:t>
      </w:r>
      <w:r/>
    </w:p>
    <w:p>
      <w:pPr>
        <w:ind w:firstLine="48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以上企业，不属于大企业的分支机构，不存在控股股东为大企业的情形，也不存在与大企业的负责人为同一人的情形。</w:t>
      </w:r>
      <w:r/>
    </w:p>
    <w:p>
      <w:pPr>
        <w:ind w:firstLine="48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本企业对上述声明内容的真实性负责，如有虚假，将依法承担相应责任。</w:t>
      </w:r>
      <w:r/>
    </w:p>
    <w:p>
      <w:pPr>
        <w:ind w:left="1260"/>
        <w:jc w:val="both"/>
        <w:spacing w:line="360" w:lineRule="auto"/>
        <w:widowControl w:val="off"/>
        <w:rPr>
          <w:rFonts w:hint="default" w:ascii="宋体" w:hAnsi="宋体" w:eastAsia="Calibri" w:cs="宋体"/>
          <w:sz w:val="24"/>
          <w:szCs w:val="24"/>
          <w:highlight w:val="none"/>
          <w:lang w:val="zh-CN" w:eastAsia="zh-CN" w:bidi="ar-SA"/>
        </w:rPr>
      </w:pPr>
      <w:r>
        <w:rPr>
          <w:rFonts w:hint="default" w:ascii="宋体" w:hAnsi="宋体" w:eastAsia="Calibri" w:cs="宋体"/>
          <w:sz w:val="24"/>
          <w:szCs w:val="24"/>
          <w:highlight w:val="none"/>
          <w:lang w:val="zh-CN" w:eastAsia="zh-CN" w:bidi="ar-SA"/>
        </w:rPr>
      </w:r>
      <w:r/>
    </w:p>
    <w:p>
      <w:pPr>
        <w:jc w:val="both"/>
        <w:spacing w:line="360" w:lineRule="auto"/>
        <w:widowControl w:val="off"/>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p>
      <w:pPr>
        <w:ind w:right="180" w:firstLine="360"/>
        <w:jc w:val="center"/>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                                           企业名称：（加盖电子公章）</w:t>
      </w:r>
      <w:r/>
    </w:p>
    <w:p>
      <w:pPr>
        <w:ind w:firstLine="6000"/>
        <w:jc w:val="both"/>
        <w:spacing w:line="360" w:lineRule="auto"/>
        <w:widowControl w:val="off"/>
        <w:rPr>
          <w:rFonts w:hint="eastAsia" w:ascii="宋体" w:hAnsi="宋体"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日    期：</w:t>
      </w:r>
      <w:r/>
    </w:p>
    <w:p>
      <w:pPr>
        <w:ind w:firstLine="480"/>
        <w:jc w:val="both"/>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360" w:lineRule="auto"/>
        <w:widowControl w:val="off"/>
        <w:rPr>
          <w:rFonts w:hint="eastAsia" w:ascii="黑体" w:hAnsi="黑体" w:eastAsia="黑体" w:cs="Times New Roman"/>
          <w:sz w:val="32"/>
          <w:szCs w:val="32"/>
          <w:highlight w:val="none"/>
          <w:lang w:eastAsia="zh-CN"/>
        </w:rPr>
      </w:pPr>
      <w:r>
        <w:rPr>
          <w:rFonts w:hint="eastAsia" w:ascii="宋体" w:hAnsi="宋体" w:eastAsia="宋体" w:cs="Times New Roman"/>
          <w:sz w:val="24"/>
          <w:szCs w:val="24"/>
          <w:highlight w:val="none"/>
          <w:lang w:eastAsia="zh-CN"/>
        </w:rPr>
        <w:t xml:space="preserve">备注：1.从业人员、营业收入、资产总额填报上一年度数据，无上一年度数据的新成立企业可不填报。2.在所属企业类型前的</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default" w:ascii="黑体" w:hAnsi="黑体" w:eastAsia="黑体" w:cs="Times New Roman"/>
          <w:b/>
          <w:sz w:val="32"/>
          <w:szCs w:val="32"/>
          <w:highlight w:val="none"/>
          <w:lang w:eastAsia="zh-CN"/>
        </w:rPr>
        <w:br w:type="page" w:clear="all"/>
      </w:r>
      <w:r>
        <w:rPr>
          <w:rFonts w:hint="eastAsia" w:ascii="黑体" w:hAnsi="黑体" w:eastAsia="黑体" w:cs="Times New Roman"/>
          <w:iCs/>
          <w:sz w:val="32"/>
          <w:szCs w:val="32"/>
          <w:highlight w:val="none"/>
          <w:lang w:eastAsia="zh-CN"/>
        </w:rPr>
        <w:t xml:space="preserve">十、</w:t>
      </w:r>
      <w:r>
        <w:rPr>
          <w:rFonts w:hint="eastAsia" w:ascii="黑体" w:hAnsi="黑体" w:eastAsia="黑体" w:cs="Times New Roman"/>
          <w:sz w:val="32"/>
          <w:szCs w:val="32"/>
          <w:highlight w:val="none"/>
          <w:lang w:eastAsia="zh-CN"/>
        </w:rPr>
        <w:t xml:space="preserve">残疾人福利性单位声明函</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残疾人福利性单位声明函</w:t>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lang w:eastAsia="zh-CN"/>
        </w:rPr>
        <w:t xml:space="preserve">参加</w:t>
      </w:r>
      <w:r>
        <w:rPr>
          <w:rFonts w:hint="eastAsia" w:ascii="宋体" w:hAnsi="宋体" w:eastAsia="宋体" w:cs="Times New Roman"/>
          <w:sz w:val="24"/>
          <w:szCs w:val="24"/>
          <w:highlight w:val="none"/>
          <w:u w:val="single"/>
          <w:lang w:eastAsia="zh-CN"/>
        </w:rPr>
        <w:t xml:space="preserve">XXXXXXXXXXXXXXXXXXXXXXXXX</w:t>
      </w:r>
      <w:r>
        <w:rPr>
          <w:rFonts w:hint="eastAsia" w:ascii="宋体" w:hAnsi="宋体" w:eastAsia="宋体" w:cs="Times New Roman"/>
          <w:sz w:val="24"/>
          <w:szCs w:val="24"/>
          <w:highlight w:val="none"/>
          <w:lang w:eastAsia="zh-CN"/>
        </w:rPr>
        <w:t xml:space="preserve">（单位名称）采购编号为</w:t>
      </w:r>
      <w:r>
        <w:rPr>
          <w:rFonts w:hint="eastAsia" w:ascii="宋体" w:hAnsi="宋体" w:eastAsia="宋体" w:cs="Times New Roman"/>
          <w:sz w:val="24"/>
          <w:szCs w:val="24"/>
          <w:highlight w:val="none"/>
          <w:u w:val="single"/>
          <w:lang w:eastAsia="zh-CN"/>
        </w:rPr>
        <w:t xml:space="preserve">XXXXXXXXXXXXXXXXXXXXXXXXX</w:t>
      </w:r>
      <w:r>
        <w:rPr>
          <w:rFonts w:hint="eastAsia" w:ascii="宋体" w:hAnsi="宋体" w:eastAsia="宋体" w:cs="Times New Roman"/>
          <w:sz w:val="24"/>
          <w:szCs w:val="24"/>
          <w:highlight w:val="none"/>
          <w:lang w:eastAsia="zh-CN"/>
        </w:rPr>
        <w:t xml:space="preserve">项目（分包号：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lang w:eastAsia="zh-CN"/>
        </w:rPr>
        <w:t xml:space="preserve">）的采购活动</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szCs w:val="24"/>
          <w:highlight w:val="none"/>
          <w:lang w:eastAsia="zh-CN"/>
        </w:rPr>
        <w:t xml:space="preserve">服务全部由本单位提供</w:t>
      </w:r>
      <w:r>
        <w:rPr>
          <w:rFonts w:hint="eastAsia" w:ascii="宋体" w:hAnsi="宋体" w:eastAsia="宋体" w:cs="Times New Roman"/>
          <w:sz w:val="24"/>
          <w:highlight w:val="none"/>
          <w:lang w:eastAsia="zh-CN"/>
        </w:rPr>
        <w:t xml:space="preserve">。</w:t>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本单位对上述声明的真实性负责，如有虚假，将依法承担相应责任。</w:t>
      </w:r>
      <w:r/>
    </w:p>
    <w:p>
      <w:pPr>
        <w:ind w:left="1260"/>
        <w:jc w:val="both"/>
        <w:spacing w:line="360" w:lineRule="auto"/>
        <w:widowControl w:val="off"/>
        <w:rPr>
          <w:rFonts w:hint="default" w:ascii="宋体" w:hAnsi="宋体" w:eastAsia="Calibri" w:cs="宋体"/>
          <w:sz w:val="24"/>
          <w:szCs w:val="24"/>
          <w:highlight w:val="none"/>
          <w:lang w:val="zh-CN" w:eastAsia="zh-CN" w:bidi="ar-SA"/>
        </w:rPr>
      </w:pPr>
      <w:r>
        <w:rPr>
          <w:rFonts w:hint="default" w:ascii="宋体" w:hAnsi="宋体" w:eastAsia="Calibri" w:cs="宋体"/>
          <w:sz w:val="24"/>
          <w:szCs w:val="24"/>
          <w:highlight w:val="none"/>
          <w:lang w:val="zh-CN" w:eastAsia="zh-CN" w:bidi="ar-SA"/>
        </w:rPr>
      </w:r>
      <w:r/>
    </w:p>
    <w:p>
      <w:pPr>
        <w:jc w:val="both"/>
        <w:spacing w:line="360" w:lineRule="auto"/>
        <w:widowControl w:val="off"/>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p>
      <w:pPr>
        <w:ind w:right="180" w:firstLine="360"/>
        <w:jc w:val="center"/>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                                           企业名称：（加盖电子公章）</w:t>
      </w:r>
      <w:r/>
    </w:p>
    <w:p>
      <w:pPr>
        <w:ind w:firstLine="6000"/>
        <w:jc w:val="both"/>
        <w:spacing w:line="360" w:lineRule="auto"/>
        <w:widowControl w:val="off"/>
        <w:rPr>
          <w:rFonts w:hint="eastAsia" w:ascii="宋体" w:hAnsi="宋体"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日    期：</w:t>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备注：</w:t>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1.投标人如不提供此声明函，价格将不作相应扣除。</w:t>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2.中标人为残疾人福利性单位的，此声明函将随中标结果同时公告，接受社会监督。</w:t>
      </w:r>
      <w:r/>
    </w:p>
    <w:p>
      <w:pPr>
        <w:ind w:firstLine="480"/>
        <w:jc w:val="both"/>
        <w:spacing w:line="48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质疑函范本</w:t>
      </w:r>
      <w:r/>
    </w:p>
    <w:p>
      <w:pPr>
        <w:jc w:val="both"/>
        <w:spacing w:before="240" w:line="360" w:lineRule="auto"/>
        <w:widowControl w:val="off"/>
        <w:rPr>
          <w:rFonts w:hint="eastAsia" w:ascii="方正黑体_GBK" w:hAnsi="方正黑体_GBK" w:eastAsia="方正黑体_GBK" w:cs="方正黑体_GBK"/>
          <w:bCs/>
          <w:sz w:val="24"/>
          <w:szCs w:val="24"/>
          <w:highlight w:val="none"/>
          <w:lang w:eastAsia="zh-CN"/>
        </w:rPr>
      </w:pPr>
      <w:r>
        <w:rPr>
          <w:rFonts w:hint="eastAsia" w:ascii="方正黑体_GBK" w:hAnsi="方正黑体_GBK" w:eastAsia="方正黑体_GBK" w:cs="方正黑体_GBK"/>
          <w:bCs/>
          <w:sz w:val="24"/>
          <w:szCs w:val="24"/>
          <w:highlight w:val="none"/>
          <w:lang w:eastAsia="zh-CN"/>
        </w:rPr>
        <w:t xml:space="preserve">一、质疑供应商基本信息</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供应商名称：</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地址：</w:t>
      </w:r>
      <w:r>
        <w:rPr>
          <w:rFonts w:hint="eastAsia" w:ascii="宋体" w:hAnsi="宋体" w:eastAsia="宋体" w:cs="仿宋"/>
          <w:sz w:val="24"/>
          <w:szCs w:val="24"/>
          <w:highlight w:val="none"/>
          <w:u w:val="single"/>
          <w:lang w:eastAsia="zh-CN"/>
        </w:rPr>
        <w:t xml:space="preserve">                             </w:t>
      </w:r>
      <w:r>
        <w:rPr>
          <w:rFonts w:hint="eastAsia" w:ascii="宋体" w:hAnsi="宋体" w:eastAsia="宋体" w:cs="仿宋"/>
          <w:sz w:val="24"/>
          <w:szCs w:val="24"/>
          <w:highlight w:val="none"/>
          <w:lang w:eastAsia="zh-CN"/>
        </w:rPr>
        <w:t xml:space="preserve">邮编：</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联系人：</w:t>
      </w:r>
      <w:r>
        <w:rPr>
          <w:rFonts w:hint="eastAsia" w:ascii="宋体" w:hAnsi="宋体" w:eastAsia="宋体" w:cs="仿宋"/>
          <w:sz w:val="24"/>
          <w:szCs w:val="24"/>
          <w:highlight w:val="none"/>
          <w:u w:val="single"/>
          <w:lang w:eastAsia="zh-CN"/>
        </w:rPr>
        <w:t xml:space="preserve">                      </w:t>
      </w:r>
      <w:r>
        <w:rPr>
          <w:rFonts w:hint="eastAsia" w:ascii="宋体" w:hAnsi="宋体" w:eastAsia="宋体" w:cs="仿宋"/>
          <w:sz w:val="24"/>
          <w:szCs w:val="24"/>
          <w:highlight w:val="none"/>
          <w:lang w:eastAsia="zh-CN"/>
        </w:rPr>
        <w:t xml:space="preserve">联系电话：</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授权代表：</w:t>
      </w:r>
      <w:r>
        <w:rPr>
          <w:rFonts w:hint="eastAsia" w:ascii="宋体" w:hAnsi="宋体" w:eastAsia="宋体" w:cs="仿宋"/>
          <w:sz w:val="24"/>
          <w:szCs w:val="24"/>
          <w:highlight w:val="none"/>
          <w:u w:val="single"/>
          <w:lang w:eastAsia="zh-CN"/>
        </w:rPr>
        <w:t xml:space="preserve">                    </w:t>
      </w:r>
      <w:r>
        <w:rPr>
          <w:rFonts w:hint="eastAsia" w:ascii="宋体" w:hAnsi="宋体" w:eastAsia="宋体" w:cs="仿宋"/>
          <w:sz w:val="24"/>
          <w:szCs w:val="24"/>
          <w:highlight w:val="none"/>
          <w:lang w:eastAsia="zh-CN"/>
        </w:rPr>
        <w:t xml:space="preserve">联系电话：</w:t>
      </w:r>
      <w:r>
        <w:rPr>
          <w:rFonts w:hint="eastAsia" w:ascii="宋体" w:hAnsi="宋体" w:eastAsia="宋体" w:cs="仿宋"/>
          <w:sz w:val="24"/>
          <w:szCs w:val="24"/>
          <w:highlight w:val="none"/>
          <w:u w:val="single"/>
          <w:lang w:eastAsia="zh-CN"/>
        </w:rPr>
        <w:t xml:space="preserve">                  </w:t>
      </w:r>
      <w:r/>
    </w:p>
    <w:p>
      <w:pPr>
        <w:jc w:val="both"/>
        <w:spacing w:before="240" w:line="360" w:lineRule="auto"/>
        <w:widowControl w:val="off"/>
        <w:rPr>
          <w:rFonts w:hint="eastAsia" w:ascii="方正黑体_GBK" w:hAnsi="方正黑体_GBK" w:eastAsia="方正黑体_GBK" w:cs="方正黑体_GBK"/>
          <w:bCs/>
          <w:sz w:val="24"/>
          <w:szCs w:val="24"/>
          <w:highlight w:val="none"/>
          <w:lang w:eastAsia="zh-CN"/>
        </w:rPr>
      </w:pPr>
      <w:r>
        <w:rPr>
          <w:rFonts w:hint="eastAsia" w:ascii="方正黑体_GBK" w:hAnsi="方正黑体_GBK" w:eastAsia="方正黑体_GBK" w:cs="方正黑体_GBK"/>
          <w:bCs/>
          <w:sz w:val="24"/>
          <w:szCs w:val="24"/>
          <w:highlight w:val="none"/>
          <w:lang w:eastAsia="zh-CN"/>
        </w:rPr>
        <w:t xml:space="preserve">二、质疑项目基本情况</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项目名称：</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项目编号：</w:t>
      </w:r>
      <w:r>
        <w:rPr>
          <w:rFonts w:hint="eastAsia" w:ascii="宋体" w:hAnsi="宋体" w:eastAsia="宋体" w:cs="仿宋"/>
          <w:sz w:val="24"/>
          <w:szCs w:val="24"/>
          <w:highlight w:val="none"/>
          <w:u w:val="single"/>
          <w:lang w:eastAsia="zh-CN"/>
        </w:rPr>
        <w:t xml:space="preserve">                               </w:t>
      </w:r>
      <w:r>
        <w:rPr>
          <w:rFonts w:hint="eastAsia" w:ascii="宋体" w:hAnsi="宋体" w:eastAsia="宋体" w:cs="仿宋"/>
          <w:sz w:val="24"/>
          <w:szCs w:val="24"/>
          <w:highlight w:val="none"/>
          <w:lang w:eastAsia="zh-CN"/>
        </w:rPr>
        <w:t xml:space="preserve">分包号：</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采购人名称：</w:t>
      </w:r>
      <w:r>
        <w:rPr>
          <w:rFonts w:hint="eastAsia" w:ascii="宋体" w:hAnsi="宋体" w:eastAsia="宋体" w:cs="仿宋"/>
          <w:sz w:val="24"/>
          <w:szCs w:val="24"/>
          <w:highlight w:val="none"/>
          <w:u w:val="single"/>
          <w:lang w:eastAsia="zh-CN"/>
        </w:rPr>
        <w:t xml:space="preserve">                                                              </w:t>
      </w:r>
      <w:r/>
    </w:p>
    <w:p>
      <w:pPr>
        <w:jc w:val="both"/>
        <w:spacing w:before="240" w:line="360" w:lineRule="auto"/>
        <w:widowControl w:val="off"/>
        <w:rPr>
          <w:rFonts w:hint="eastAsia" w:ascii="方正黑体_GBK" w:hAnsi="方正黑体_GBK" w:eastAsia="方正黑体_GBK" w:cs="方正黑体_GBK"/>
          <w:bCs/>
          <w:sz w:val="24"/>
          <w:szCs w:val="24"/>
          <w:highlight w:val="none"/>
          <w:lang w:eastAsia="zh-CN"/>
        </w:rPr>
      </w:pPr>
      <w:r>
        <w:rPr>
          <w:rFonts w:hint="eastAsia" w:ascii="方正黑体_GBK" w:hAnsi="方正黑体_GBK" w:eastAsia="方正黑体_GBK" w:cs="方正黑体_GBK"/>
          <w:bCs/>
          <w:sz w:val="24"/>
          <w:szCs w:val="24"/>
          <w:highlight w:val="none"/>
          <w:lang w:eastAsia="zh-CN"/>
        </w:rPr>
        <w:t xml:space="preserve">三、质疑事项具体内容</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质疑事项1：</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事实依据：</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法律依据：</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质疑事项2：</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w:t>
      </w:r>
      <w:r/>
    </w:p>
    <w:p>
      <w:pPr>
        <w:jc w:val="both"/>
        <w:spacing w:before="240" w:line="360" w:lineRule="auto"/>
        <w:widowControl w:val="off"/>
        <w:rPr>
          <w:rFonts w:hint="eastAsia" w:ascii="方正黑体_GBK" w:hAnsi="方正黑体_GBK" w:eastAsia="方正黑体_GBK" w:cs="方正黑体_GBK"/>
          <w:bCs/>
          <w:sz w:val="24"/>
          <w:szCs w:val="24"/>
          <w:highlight w:val="none"/>
          <w:lang w:eastAsia="zh-CN"/>
        </w:rPr>
      </w:pPr>
      <w:r>
        <w:rPr>
          <w:rFonts w:hint="eastAsia" w:ascii="方正黑体_GBK" w:hAnsi="方正黑体_GBK" w:eastAsia="方正黑体_GBK" w:cs="方正黑体_GBK"/>
          <w:bCs/>
          <w:sz w:val="24"/>
          <w:szCs w:val="24"/>
          <w:highlight w:val="none"/>
          <w:lang w:eastAsia="zh-CN"/>
        </w:rPr>
        <w:t xml:space="preserve">四、质疑事项相关请求</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请求：</w:t>
      </w:r>
      <w:r>
        <w:rPr>
          <w:rFonts w:hint="eastAsia" w:ascii="宋体" w:hAnsi="宋体" w:eastAsia="宋体" w:cs="仿宋"/>
          <w:sz w:val="24"/>
          <w:szCs w:val="24"/>
          <w:highlight w:val="none"/>
          <w:u w:val="single"/>
          <w:lang w:eastAsia="zh-CN"/>
        </w:rPr>
        <w:t xml:space="preserve">                                                                    </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签  字(签章)：                                 公  章：                      </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日  期：    </w:t>
      </w:r>
      <w:r/>
    </w:p>
    <w:p>
      <w:pPr>
        <w:jc w:val="both"/>
        <w:spacing w:line="480" w:lineRule="exact"/>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r>
      <w:r/>
    </w:p>
    <w:p>
      <w:pPr>
        <w:ind w:firstLine="480"/>
        <w:jc w:val="both"/>
        <w:spacing w:line="480" w:lineRule="exact"/>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r>
      <w:r/>
    </w:p>
    <w:p>
      <w:pPr>
        <w:ind w:firstLine="480"/>
        <w:jc w:val="both"/>
        <w:spacing w:line="480" w:lineRule="exact"/>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r>
      <w:r/>
    </w:p>
    <w:p>
      <w:pPr>
        <w:ind w:firstLine="480"/>
        <w:jc w:val="both"/>
        <w:spacing w:line="480" w:lineRule="exact"/>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r>
      <w:r/>
    </w:p>
    <w:p>
      <w:pPr>
        <w:ind w:firstLine="480"/>
        <w:jc w:val="both"/>
        <w:spacing w:line="480" w:lineRule="exact"/>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相关说明：</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1.供应商提出质疑，应提交《质疑函》和必要的证明材料。</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2.由授权代表负责质疑事宜的，《质疑函》附件中应提交由质疑供应商法定代表人签署的《授权委托书》。</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3.质疑供应商针对项目的某一分包进行质疑的，《质疑函》中应明确分包号。</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4.《质疑函》的质疑事项应具体、明确，并有必要的事实依据和法律依据。</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5.《质疑函》的质疑请求应与质疑事项相关。</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6.质疑供应商为自然人的，《质疑函》应由本人签字；质疑供应商为法人或者其他组织的，《质疑函》应由法定代表人、主要负责人，或者其授权代表签字或者签章，并加盖公章。</w:t>
      </w:r>
      <w:r/>
    </w:p>
    <w:p>
      <w:pPr>
        <w:rPr>
          <w:rFonts w:hint="eastAsia"/>
          <w:highlight w:val="none"/>
          <w:lang w:eastAsia="zh-CN"/>
        </w:rPr>
      </w:pPr>
      <w:r>
        <w:rPr>
          <w:rFonts w:hint="eastAsia" w:ascii="宋体" w:hAnsi="宋体" w:eastAsia="宋体" w:cs="仿宋"/>
          <w:sz w:val="24"/>
          <w:szCs w:val="24"/>
          <w:highlight w:val="none"/>
          <w:lang w:eastAsia="zh-CN"/>
        </w:rPr>
        <w:t xml:space="preserve">7.质疑</w:t>
      </w:r>
      <w:r>
        <w:rPr>
          <w:rFonts w:hint="eastAsia" w:ascii="宋体" w:hAnsi="宋体" w:eastAsia="宋体" w:cs="仿宋"/>
          <w:sz w:val="24"/>
          <w:szCs w:val="24"/>
          <w:highlight w:val="none"/>
          <w:lang w:val="zh-CN" w:eastAsia="zh-CN"/>
        </w:rPr>
        <w:t xml:space="preserve">供应商</w:t>
      </w:r>
      <w:r>
        <w:rPr>
          <w:rFonts w:hint="eastAsia" w:ascii="宋体" w:hAnsi="宋体" w:eastAsia="宋体" w:cs="仿宋"/>
          <w:sz w:val="24"/>
          <w:szCs w:val="24"/>
          <w:highlight w:val="none"/>
          <w:lang w:eastAsia="zh-CN"/>
        </w:rPr>
        <w:t xml:space="preserve">为</w:t>
      </w:r>
      <w:r>
        <w:rPr>
          <w:rFonts w:hint="eastAsia" w:ascii="宋体" w:hAnsi="宋体" w:eastAsia="宋体" w:cs="仿宋"/>
          <w:sz w:val="24"/>
          <w:szCs w:val="24"/>
          <w:highlight w:val="none"/>
          <w:lang w:val="zh-CN" w:eastAsia="zh-CN"/>
        </w:rPr>
        <w:t xml:space="preserve">联合体</w:t>
      </w:r>
      <w:r>
        <w:rPr>
          <w:rFonts w:hint="eastAsia" w:ascii="宋体" w:hAnsi="宋体" w:eastAsia="宋体" w:cs="仿宋"/>
          <w:sz w:val="24"/>
          <w:szCs w:val="24"/>
          <w:highlight w:val="none"/>
          <w:lang w:eastAsia="zh-CN"/>
        </w:rPr>
        <w:t xml:space="preserve">的</w:t>
      </w:r>
      <w:r>
        <w:rPr>
          <w:rFonts w:hint="eastAsia" w:ascii="宋体" w:hAnsi="宋体" w:eastAsia="宋体" w:cs="仿宋"/>
          <w:sz w:val="24"/>
          <w:szCs w:val="24"/>
          <w:highlight w:val="none"/>
          <w:lang w:val="zh-CN" w:eastAsia="zh-CN"/>
        </w:rPr>
        <w:t xml:space="preserve">，则《质疑函》中要求加盖公章之处，联合体各方均须按要求加盖公章。</w:t>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jc w:val="both"/>
        <w:spacing w:before="120" w:after="120" w:line="264" w:lineRule="auto"/>
        <w:widowControl w:val="off"/>
        <w:rPr>
          <w:highlight w:val="none"/>
        </w:rPr>
        <w:outlineLvl w:val="9"/>
      </w:pPr>
      <w:r>
        <w:rPr>
          <w:highlight w:val="none"/>
        </w:rPr>
      </w:r>
      <w:r/>
    </w:p>
    <w:sectPr>
      <w:footnotePr/>
      <w:endnotePr/>
      <w:type w:val="nextPage"/>
      <w:pgSz w:w="12240" w:h="15840" w:orient="portrait"/>
      <w:pgMar w:top="1134" w:right="1134" w:bottom="1134" w:left="1134" w:header="0"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楷体">
    <w:panose1 w:val="02010609060101010101"/>
  </w:font>
  <w:font w:name="Courier New">
    <w:panose1 w:val="02070309020205020404"/>
  </w:font>
  <w:font w:name="方正楷体_GBK">
    <w:panose1 w:val="020B0503020202020204"/>
  </w:font>
  <w:font w:name="Showcard Gothic">
    <w:panose1 w:val="04020904020102020604"/>
  </w:font>
  <w:font w:name="方正仿宋_GBK">
    <w:panose1 w:val="020B0503020202020204"/>
  </w:font>
  <w:font w:name="方正黑体_GBK">
    <w:panose1 w:val="020B0503020202020204"/>
  </w:font>
  <w:font w:name="Segoe UI">
    <w:panose1 w:val="020B0502040204020203"/>
  </w:font>
  <w:font w:name="方正仿宋_GB2312">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ind w:left="0" w:right="0" w:firstLine="0"/>
      <w:jc w:val="cente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3099435</wp:posOffset>
              </wp:positionH>
              <wp:positionV relativeFrom="paragraph">
                <wp:posOffset>0</wp:posOffset>
              </wp:positionV>
              <wp:extent cx="155575" cy="12382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55574" cy="123825"/>
                      </a:xfrm>
                      <a:prstGeom prst="rect">
                        <a:avLst/>
                      </a:prstGeom>
                      <a:ln>
                        <a:noFill/>
                      </a:ln>
                    </wps:spPr>
                    <wps:txbx>
                      <w:txbxContent>
                        <w:p>
                          <w:pPr>
                            <w:pStyle w:val="691"/>
                          </w:pPr>
                          <w:r>
                            <w:fldChar w:fldCharType="begin"/>
                          </w:r>
                          <w:r>
                            <w:instrText xml:space="preserve"> PAGE  \* MERGEFORMAT </w:instrText>
                          </w:r>
                          <w:r>
                            <w:fldChar w:fldCharType="separate"/>
                          </w:r>
                          <w:r>
                            <w:t xml:space="preserve">2</w:t>
                          </w:r>
                          <w:r>
                            <w:fldChar w:fldCharType="end"/>
                          </w:r>
                          <w:r/>
                        </w:p>
                      </w:txbxContent>
                    </wps:txbx>
                    <wps:bodyPr vert="horz" wrap="square" lIns="0" tIns="0" rIns="0" bIns="0" anchor="t" upright="0">
                      <a:noAutofit/>
                    </wps:bodyPr>
                  </wps:wsp>
                </a:graphicData>
              </a:graphic>
            </wp:anchor>
          </w:drawing>
        </mc:Choice>
        <mc:Fallback>
          <w:pict>
            <v:shape id="shape 0" o:spid="_x0000_s0" o:spt="1" type="#_x0000_t1" style="position:absolute;z-index:251659264;o:allowoverlap:true;o:allowincell:true;mso-position-horizontal-relative:margin;margin-left:244.0pt;mso-position-horizontal:absolute;mso-position-vertical-relative:text;margin-top:0.0pt;mso-position-vertical:absolute;width:12.2pt;height:9.8pt;mso-wrap-distance-left:0.0pt;mso-wrap-distance-top:0.0pt;mso-wrap-distance-right:0.0pt;mso-wrap-distance-bottom:0.0pt;v-text-anchor:top;visibility:visible;" filled="f" stroked="f">
              <v:textbox inset="0,0,0,0">
                <w:txbxContent>
                  <w:p>
                    <w:pPr>
                      <w:pStyle w:val="69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left"/>
      <w:spacing w:line="240" w:lineRule="auto"/>
    </w:pPr>
    <w:rPr>
      <w:rFonts w:hint="default" w:ascii="Arial" w:hAnsi="Arial" w:eastAsia="Arial" w:cs="Arial"/>
      <w:color w:val="000000"/>
      <w:sz w:val="21"/>
      <w:szCs w:val="21"/>
      <w:lang w:val="en-US" w:eastAsia="en-US" w:bidi="ar-SA"/>
    </w:rPr>
  </w:style>
  <w:style w:type="paragraph" w:styleId="669">
    <w:name w:val="Heading 1"/>
    <w:basedOn w:val="668"/>
    <w:next w:val="668"/>
    <w:link w:val="859"/>
    <w:uiPriority w:val="0"/>
    <w:qFormat/>
    <w:pPr>
      <w:keepLines/>
      <w:keepNext/>
      <w:spacing w:before="340" w:beforeAutospacing="0" w:after="330" w:afterAutospacing="0" w:line="576" w:lineRule="auto"/>
      <w:outlineLvl w:val="0"/>
    </w:pPr>
    <w:rPr>
      <w:b/>
      <w:sz w:val="44"/>
    </w:rPr>
  </w:style>
  <w:style w:type="paragraph" w:styleId="670">
    <w:name w:val="Heading 2"/>
    <w:basedOn w:val="668"/>
    <w:next w:val="668"/>
    <w:link w:val="709"/>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80"/>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80"/>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2"/>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3"/>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5"/>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6"/>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0"/>
    <w:qFormat/>
  </w:style>
  <w:style w:type="table" w:styleId="679" w:default="1">
    <w:name w:val="Normal Table"/>
    <w:uiPriority w:val="99"/>
    <w:qFormat/>
    <w:tblPr>
      <w:tblCellMar>
        <w:left w:w="108" w:type="dxa"/>
        <w:top w:w="0" w:type="dxa"/>
        <w:right w:w="108" w:type="dxa"/>
        <w:bottom w:w="0" w:type="dxa"/>
      </w:tblCellMar>
    </w:tblPr>
  </w:style>
  <w:style w:type="paragraph" w:styleId="680">
    <w:name w:val="Normal Indent"/>
    <w:basedOn w:val="668"/>
    <w:uiPriority w:val="0"/>
    <w:qFormat/>
    <w:pPr>
      <w:ind w:firstLine="420"/>
    </w:pPr>
    <w:rPr>
      <w:szCs w:val="21"/>
    </w:rPr>
  </w:style>
  <w:style w:type="paragraph" w:styleId="681">
    <w:name w:val="toc 7"/>
    <w:basedOn w:val="668"/>
    <w:next w:val="668"/>
    <w:uiPriority w:val="39"/>
    <w:unhideWhenUsed/>
    <w:qFormat/>
    <w:pPr>
      <w:ind w:left="1701" w:right="0" w:firstLine="0"/>
      <w:spacing w:after="57"/>
    </w:pPr>
  </w:style>
  <w:style w:type="paragraph" w:styleId="682">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annotation text"/>
    <w:basedOn w:val="668"/>
    <w:uiPriority w:val="0"/>
    <w:qFormat/>
    <w:pPr>
      <w:jc w:val="left"/>
    </w:pPr>
  </w:style>
  <w:style w:type="paragraph" w:styleId="684">
    <w:name w:val="Body Text"/>
    <w:basedOn w:val="668"/>
    <w:uiPriority w:val="0"/>
    <w:qFormat/>
    <w:rPr>
      <w:rFonts w:ascii="宋体" w:hAnsi="宋体" w:eastAsia="宋体" w:cs="宋体"/>
      <w:sz w:val="37"/>
      <w:szCs w:val="37"/>
      <w:lang w:val="en-US" w:eastAsia="en-US" w:bidi="ar-SA"/>
    </w:rPr>
  </w:style>
  <w:style w:type="paragraph" w:styleId="685">
    <w:name w:val="Body Text Indent"/>
    <w:basedOn w:val="668"/>
    <w:next w:val="686"/>
    <w:uiPriority w:val="0"/>
    <w:unhideWhenUsed/>
    <w:qFormat/>
    <w:pPr>
      <w:ind w:left="420"/>
      <w:spacing w:after="120"/>
    </w:pPr>
  </w:style>
  <w:style w:type="paragraph" w:styleId="686">
    <w:name w:val="Body Text First Indent 2"/>
    <w:basedOn w:val="685"/>
    <w:uiPriority w:val="0"/>
    <w:qFormat/>
    <w:pPr>
      <w:ind w:left="0" w:firstLine="420"/>
      <w:spacing w:after="0" w:line="360" w:lineRule="auto"/>
    </w:pPr>
    <w:rPr>
      <w:rFonts w:ascii="宋体" w:hAnsi="宋体"/>
      <w:szCs w:val="20"/>
    </w:rPr>
  </w:style>
  <w:style w:type="paragraph" w:styleId="687">
    <w:name w:val="toc 5"/>
    <w:basedOn w:val="668"/>
    <w:next w:val="668"/>
    <w:uiPriority w:val="39"/>
    <w:unhideWhenUsed/>
    <w:qFormat/>
    <w:pPr>
      <w:ind w:left="1134" w:right="0" w:firstLine="0"/>
      <w:spacing w:after="57"/>
    </w:pPr>
  </w:style>
  <w:style w:type="paragraph" w:styleId="688">
    <w:name w:val="toc 3"/>
    <w:basedOn w:val="668"/>
    <w:next w:val="668"/>
    <w:uiPriority w:val="39"/>
    <w:unhideWhenUsed/>
    <w:qFormat/>
    <w:pPr>
      <w:ind w:left="567" w:right="0" w:firstLine="0"/>
      <w:spacing w:after="57"/>
    </w:pPr>
  </w:style>
  <w:style w:type="paragraph" w:styleId="689">
    <w:name w:val="toc 8"/>
    <w:basedOn w:val="668"/>
    <w:next w:val="668"/>
    <w:uiPriority w:val="39"/>
    <w:unhideWhenUsed/>
    <w:qFormat/>
    <w:pPr>
      <w:ind w:left="1984" w:right="0" w:firstLine="0"/>
      <w:spacing w:after="57"/>
    </w:pPr>
  </w:style>
  <w:style w:type="paragraph" w:styleId="690">
    <w:name w:val="endnote text"/>
    <w:basedOn w:val="668"/>
    <w:link w:val="854"/>
    <w:uiPriority w:val="99"/>
    <w:semiHidden/>
    <w:unhideWhenUsed/>
    <w:qFormat/>
    <w:pPr>
      <w:spacing w:after="0" w:line="240" w:lineRule="auto"/>
    </w:pPr>
    <w:rPr>
      <w:sz w:val="20"/>
    </w:rPr>
  </w:style>
  <w:style w:type="paragraph" w:styleId="691">
    <w:name w:val="Footer"/>
    <w:basedOn w:val="668"/>
    <w:uiPriority w:val="0"/>
    <w:qFormat/>
    <w:pPr>
      <w:jc w:val="left"/>
      <w:tabs>
        <w:tab w:val="center" w:pos="4153" w:leader="none"/>
        <w:tab w:val="right" w:pos="8306" w:leader="none"/>
      </w:tabs>
    </w:pPr>
    <w:rPr>
      <w:sz w:val="18"/>
    </w:rPr>
  </w:style>
  <w:style w:type="paragraph" w:styleId="692">
    <w:name w:val="Header"/>
    <w:basedOn w:val="66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93">
    <w:name w:val="toc 1"/>
    <w:basedOn w:val="668"/>
    <w:next w:val="668"/>
    <w:uiPriority w:val="39"/>
    <w:unhideWhenUsed/>
    <w:qFormat/>
    <w:pPr>
      <w:ind w:left="0" w:right="0" w:firstLine="0"/>
      <w:spacing w:after="57"/>
    </w:pPr>
  </w:style>
  <w:style w:type="paragraph" w:styleId="694">
    <w:name w:val="toc 4"/>
    <w:basedOn w:val="668"/>
    <w:next w:val="668"/>
    <w:uiPriority w:val="39"/>
    <w:unhideWhenUsed/>
    <w:qFormat/>
    <w:pPr>
      <w:ind w:left="850" w:right="0" w:firstLine="0"/>
      <w:spacing w:after="57"/>
    </w:pPr>
  </w:style>
  <w:style w:type="paragraph" w:styleId="695">
    <w:name w:val="Subtitle"/>
    <w:basedOn w:val="668"/>
    <w:next w:val="668"/>
    <w:link w:val="720"/>
    <w:uiPriority w:val="11"/>
    <w:qFormat/>
    <w:pPr>
      <w:spacing w:before="200" w:after="200"/>
    </w:pPr>
    <w:rPr>
      <w:sz w:val="24"/>
      <w:szCs w:val="24"/>
    </w:rPr>
  </w:style>
  <w:style w:type="paragraph" w:styleId="696">
    <w:name w:val="footnote text"/>
    <w:basedOn w:val="668"/>
    <w:uiPriority w:val="0"/>
    <w:qFormat/>
    <w:pPr>
      <w:jc w:val="left"/>
    </w:pPr>
    <w:rPr>
      <w:sz w:val="18"/>
    </w:rPr>
  </w:style>
  <w:style w:type="paragraph" w:styleId="697">
    <w:name w:val="toc 6"/>
    <w:basedOn w:val="668"/>
    <w:next w:val="668"/>
    <w:uiPriority w:val="39"/>
    <w:unhideWhenUsed/>
    <w:qFormat/>
    <w:pPr>
      <w:ind w:left="1417" w:right="0" w:firstLine="0"/>
      <w:spacing w:after="57"/>
    </w:pPr>
  </w:style>
  <w:style w:type="paragraph" w:styleId="698">
    <w:name w:val="table of figures"/>
    <w:basedOn w:val="668"/>
    <w:next w:val="668"/>
    <w:uiPriority w:val="99"/>
    <w:unhideWhenUsed/>
    <w:qFormat/>
    <w:pPr>
      <w:spacing w:after="0" w:afterAutospacing="0"/>
    </w:pPr>
  </w:style>
  <w:style w:type="paragraph" w:styleId="699">
    <w:name w:val="toc 2"/>
    <w:basedOn w:val="668"/>
    <w:next w:val="668"/>
    <w:uiPriority w:val="39"/>
    <w:unhideWhenUsed/>
    <w:qFormat/>
    <w:pPr>
      <w:ind w:left="283" w:right="0" w:firstLine="0"/>
      <w:spacing w:after="57"/>
    </w:pPr>
  </w:style>
  <w:style w:type="paragraph" w:styleId="700">
    <w:name w:val="toc 9"/>
    <w:basedOn w:val="668"/>
    <w:next w:val="668"/>
    <w:uiPriority w:val="39"/>
    <w:unhideWhenUsed/>
    <w:qFormat/>
    <w:pPr>
      <w:ind w:left="2268" w:right="0" w:firstLine="0"/>
      <w:spacing w:after="57"/>
    </w:pPr>
  </w:style>
  <w:style w:type="paragraph" w:styleId="701">
    <w:name w:val="Normal (Web)"/>
    <w:basedOn w:val="668"/>
    <w:uiPriority w:val="0"/>
    <w:qFormat/>
    <w:pPr>
      <w:ind w:left="0" w:right="0"/>
      <w:jc w:val="left"/>
      <w:spacing w:before="0" w:beforeAutospacing="1" w:after="0" w:afterAutospacing="1"/>
    </w:pPr>
    <w:rPr>
      <w:sz w:val="24"/>
      <w:lang w:val="en-US" w:eastAsia="zh-CN"/>
    </w:rPr>
  </w:style>
  <w:style w:type="paragraph" w:styleId="702">
    <w:name w:val="Title"/>
    <w:basedOn w:val="668"/>
    <w:next w:val="668"/>
    <w:link w:val="719"/>
    <w:uiPriority w:val="10"/>
    <w:qFormat/>
    <w:pPr>
      <w:contextualSpacing/>
      <w:spacing w:before="300" w:after="200"/>
    </w:pPr>
    <w:rPr>
      <w:sz w:val="48"/>
      <w:szCs w:val="48"/>
    </w:rPr>
  </w:style>
  <w:style w:type="table" w:styleId="7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78"/>
    <w:uiPriority w:val="0"/>
    <w:qFormat/>
    <w:rPr>
      <w:b/>
    </w:rPr>
  </w:style>
  <w:style w:type="character" w:styleId="705">
    <w:name w:val="endnote reference"/>
    <w:basedOn w:val="678"/>
    <w:uiPriority w:val="99"/>
    <w:semiHidden/>
    <w:unhideWhenUsed/>
    <w:qFormat/>
    <w:rPr>
      <w:vertAlign w:val="superscript"/>
    </w:rPr>
  </w:style>
  <w:style w:type="character" w:styleId="706">
    <w:name w:val="Hyperlink"/>
    <w:basedOn w:val="678"/>
    <w:uiPriority w:val="0"/>
    <w:qFormat/>
    <w:rPr>
      <w:color w:val="0000ff"/>
      <w:u w:val="single"/>
    </w:rPr>
  </w:style>
  <w:style w:type="character" w:styleId="707">
    <w:name w:val="footnote reference"/>
    <w:basedOn w:val="678"/>
    <w:uiPriority w:val="0"/>
    <w:qFormat/>
    <w:rPr>
      <w:vertAlign w:val="superscript"/>
    </w:rPr>
  </w:style>
  <w:style w:type="character" w:styleId="708" w:customStyle="1">
    <w:name w:val="Heading 1 Char"/>
    <w:basedOn w:val="678"/>
    <w:uiPriority w:val="9"/>
    <w:qFormat/>
    <w:rPr>
      <w:rFonts w:ascii="Arial" w:hAnsi="Arial" w:eastAsia="Arial" w:cs="Arial"/>
      <w:sz w:val="40"/>
      <w:szCs w:val="40"/>
    </w:rPr>
  </w:style>
  <w:style w:type="character" w:styleId="709" w:customStyle="1">
    <w:name w:val="Heading 2 Char"/>
    <w:basedOn w:val="678"/>
    <w:link w:val="670"/>
    <w:uiPriority w:val="9"/>
    <w:qFormat/>
    <w:rPr>
      <w:rFonts w:ascii="Arial" w:hAnsi="Arial" w:eastAsia="Arial" w:cs="Arial"/>
      <w:sz w:val="34"/>
    </w:rPr>
  </w:style>
  <w:style w:type="character" w:styleId="710" w:customStyle="1">
    <w:name w:val="Heading 3 Char"/>
    <w:basedOn w:val="678"/>
    <w:uiPriority w:val="9"/>
    <w:qFormat/>
    <w:rPr>
      <w:rFonts w:ascii="Arial" w:hAnsi="Arial" w:eastAsia="Arial" w:cs="Arial"/>
      <w:sz w:val="30"/>
      <w:szCs w:val="30"/>
    </w:rPr>
  </w:style>
  <w:style w:type="character" w:styleId="711" w:customStyle="1">
    <w:name w:val="Heading 4 Char"/>
    <w:basedOn w:val="678"/>
    <w:uiPriority w:val="9"/>
    <w:qFormat/>
    <w:rPr>
      <w:rFonts w:ascii="Arial" w:hAnsi="Arial" w:eastAsia="Arial" w:cs="Arial"/>
      <w:b/>
      <w:bCs/>
      <w:sz w:val="26"/>
      <w:szCs w:val="26"/>
    </w:rPr>
  </w:style>
  <w:style w:type="character" w:styleId="712" w:customStyle="1">
    <w:name w:val="Heading 5 Char"/>
    <w:basedOn w:val="678"/>
    <w:link w:val="673"/>
    <w:uiPriority w:val="9"/>
    <w:qFormat/>
    <w:rPr>
      <w:rFonts w:ascii="Arial" w:hAnsi="Arial" w:eastAsia="Arial" w:cs="Arial"/>
      <w:b/>
      <w:bCs/>
      <w:sz w:val="24"/>
      <w:szCs w:val="24"/>
    </w:rPr>
  </w:style>
  <w:style w:type="character" w:styleId="713" w:customStyle="1">
    <w:name w:val="Heading 6 Char"/>
    <w:basedOn w:val="678"/>
    <w:link w:val="674"/>
    <w:uiPriority w:val="9"/>
    <w:qFormat/>
    <w:rPr>
      <w:rFonts w:ascii="Arial" w:hAnsi="Arial" w:eastAsia="Arial" w:cs="Arial"/>
      <w:b/>
      <w:bCs/>
      <w:sz w:val="22"/>
      <w:szCs w:val="22"/>
    </w:rPr>
  </w:style>
  <w:style w:type="character" w:styleId="714" w:customStyle="1">
    <w:name w:val="Heading 7 Char"/>
    <w:basedOn w:val="678"/>
    <w:link w:val="675"/>
    <w:uiPriority w:val="9"/>
    <w:qFormat/>
    <w:rPr>
      <w:rFonts w:ascii="Arial" w:hAnsi="Arial" w:eastAsia="Arial" w:cs="Arial"/>
      <w:b/>
      <w:bCs/>
      <w:i/>
      <w:iCs/>
      <w:sz w:val="22"/>
      <w:szCs w:val="22"/>
    </w:rPr>
  </w:style>
  <w:style w:type="character" w:styleId="715" w:customStyle="1">
    <w:name w:val="Heading 8 Char"/>
    <w:basedOn w:val="678"/>
    <w:link w:val="676"/>
    <w:uiPriority w:val="9"/>
    <w:qFormat/>
    <w:rPr>
      <w:rFonts w:ascii="Arial" w:hAnsi="Arial" w:eastAsia="Arial" w:cs="Arial"/>
      <w:i/>
      <w:iCs/>
      <w:sz w:val="22"/>
      <w:szCs w:val="22"/>
    </w:rPr>
  </w:style>
  <w:style w:type="character" w:styleId="716" w:customStyle="1">
    <w:name w:val="Heading 9 Char"/>
    <w:basedOn w:val="678"/>
    <w:link w:val="677"/>
    <w:uiPriority w:val="9"/>
    <w:qFormat/>
    <w:rPr>
      <w:rFonts w:ascii="Arial" w:hAnsi="Arial" w:eastAsia="Arial" w:cs="Arial"/>
      <w:i/>
      <w:iCs/>
      <w:sz w:val="21"/>
      <w:szCs w:val="21"/>
    </w:rPr>
  </w:style>
  <w:style w:type="paragraph" w:styleId="717">
    <w:name w:val="List Paragraph"/>
    <w:basedOn w:val="668"/>
    <w:uiPriority w:val="34"/>
    <w:qFormat/>
    <w:pPr>
      <w:contextualSpacing/>
      <w:ind w:left="720"/>
    </w:p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basedOn w:val="678"/>
    <w:link w:val="702"/>
    <w:uiPriority w:val="10"/>
    <w:qFormat/>
    <w:rPr>
      <w:sz w:val="48"/>
      <w:szCs w:val="48"/>
    </w:rPr>
  </w:style>
  <w:style w:type="character" w:styleId="720" w:customStyle="1">
    <w:name w:val="Subtitle Char"/>
    <w:basedOn w:val="678"/>
    <w:link w:val="695"/>
    <w:uiPriority w:val="11"/>
    <w:qFormat/>
    <w:rPr>
      <w:sz w:val="24"/>
      <w:szCs w:val="24"/>
    </w:rPr>
  </w:style>
  <w:style w:type="paragraph" w:styleId="721">
    <w:name w:val="Quote"/>
    <w:basedOn w:val="668"/>
    <w:next w:val="668"/>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68"/>
    <w:next w:val="66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basedOn w:val="678"/>
    <w:uiPriority w:val="99"/>
    <w:qFormat/>
  </w:style>
  <w:style w:type="character" w:styleId="726" w:customStyle="1">
    <w:name w:val="Footer Char"/>
    <w:basedOn w:val="678"/>
    <w:uiPriority w:val="99"/>
    <w:qFormat/>
  </w:style>
  <w:style w:type="character" w:styleId="727" w:customStyle="1">
    <w:name w:val="Caption Char"/>
    <w:uiPriority w:val="99"/>
    <w:qFormat/>
  </w:style>
  <w:style w:type="table" w:styleId="728" w:customStyle="1">
    <w:name w:val="Table Grid Light"/>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basedOn w:val="6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basedOn w:val="6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basedOn w:val="6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basedOn w:val="6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basedOn w:val="6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basedOn w:val="6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basedOn w:val="6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basedOn w:val="6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basedOn w:val="6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basedOn w:val="6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basedOn w:val="6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basedOn w:val="6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basedOn w:val="6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basedOn w:val="6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basedOn w:val="6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basedOn w:val="6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basedOn w:val="6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basedOn w:val="6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basedOn w:val="6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basedOn w:val="6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basedOn w:val="6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basedOn w:val="6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basedOn w:val="6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basedOn w:val="6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basedOn w:val="6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basedOn w:val="6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basedOn w:val="6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basedOn w:val="6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basedOn w:val="6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basedOn w:val="6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basedOn w:val="6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basedOn w:val="6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basedOn w:val="6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basedOn w:val="6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basedOn w:val="6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basedOn w:val="6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basedOn w:val="6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basedOn w:val="6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basedOn w:val="6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basedOn w:val="6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basedOn w:val="6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basedOn w:val="6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basedOn w:val="6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basedOn w:val="6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basedOn w:val="6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basedOn w:val="6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basedOn w:val="6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basedOn w:val="6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basedOn w:val="6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basedOn w:val="6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basedOn w:val="6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basedOn w:val="6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basedOn w:val="6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basedOn w:val="6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basedOn w:val="6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basedOn w:val="6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basedOn w:val="6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basedOn w:val="6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basedOn w:val="6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basedOn w:val="6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basedOn w:val="6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basedOn w:val="6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basedOn w:val="6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basedOn w:val="6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basedOn w:val="6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basedOn w:val="6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uiPriority w:val="99"/>
    <w:qFormat/>
    <w:rPr>
      <w:sz w:val="18"/>
    </w:rPr>
  </w:style>
  <w:style w:type="character" w:styleId="854" w:customStyle="1">
    <w:name w:val="Endnote Text Char"/>
    <w:link w:val="690"/>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索引 41"/>
    <w:basedOn w:val="668"/>
    <w:next w:val="668"/>
    <w:uiPriority w:val="0"/>
    <w:qFormat/>
    <w:pPr>
      <w:ind w:left="1260"/>
    </w:pPr>
    <w:rPr>
      <w:rFonts w:ascii="Calibri" w:hAnsi="Calibri" w:eastAsia="Calibri" w:cs="宋体"/>
      <w:sz w:val="20"/>
      <w:lang w:val="zh-CN"/>
    </w:rPr>
  </w:style>
  <w:style w:type="table" w:styleId="857" w:customStyle="1">
    <w:name w:val="Table Normal"/>
    <w:uiPriority w:val="0"/>
    <w:qFormat/>
    <w:tblPr>
      <w:tblCellMar>
        <w:left w:w="0" w:type="dxa"/>
        <w:top w:w="0" w:type="dxa"/>
        <w:right w:w="0" w:type="dxa"/>
        <w:bottom w:w="0" w:type="dxa"/>
      </w:tblCellMar>
    </w:tblPr>
  </w:style>
  <w:style w:type="paragraph" w:styleId="858" w:customStyle="1">
    <w:name w:val="Table Text"/>
    <w:basedOn w:val="668"/>
    <w:uiPriority w:val="0"/>
    <w:qFormat/>
    <w:rPr>
      <w:rFonts w:ascii="宋体" w:hAnsi="宋体" w:eastAsia="宋体" w:cs="宋体"/>
      <w:sz w:val="21"/>
      <w:szCs w:val="21"/>
      <w:lang w:val="en-US" w:eastAsia="en-US" w:bidi="ar-SA"/>
    </w:rPr>
  </w:style>
  <w:style w:type="character" w:styleId="859" w:customStyle="1">
    <w:name w:val="标题 1 Char"/>
    <w:link w:val="669"/>
    <w:uiPriority w:val="0"/>
    <w:qFormat/>
    <w:rPr>
      <w:b/>
      <w:sz w:val="44"/>
    </w:rPr>
  </w:style>
  <w:style w:type="paragraph" w:styleId="860" w:customStyle="1">
    <w:name w:val="标题 31"/>
    <w:basedOn w:val="668"/>
    <w:next w:val="861"/>
    <w:uiPriority w:val="0"/>
    <w:qFormat/>
    <w:pPr>
      <w:keepLines/>
      <w:keepNext/>
      <w:spacing w:before="260" w:after="260" w:line="416" w:lineRule="auto"/>
      <w:outlineLvl w:val="2"/>
    </w:pPr>
    <w:rPr>
      <w:b/>
      <w:bCs/>
      <w:sz w:val="32"/>
      <w:szCs w:val="32"/>
    </w:rPr>
  </w:style>
  <w:style w:type="paragraph" w:styleId="861" w:customStyle="1">
    <w:name w:val="正文缩进11"/>
    <w:basedOn w:val="668"/>
    <w:uiPriority w:val="0"/>
    <w:qFormat/>
    <w:pPr>
      <w:ind w:firstLine="420"/>
    </w:pPr>
  </w:style>
  <w:style w:type="character" w:styleId="862" w:customStyle="1">
    <w:name w:val="font101"/>
    <w:uiPriority w:val="0"/>
    <w:qFormat/>
    <w:rPr>
      <w:rFonts w:hint="eastAsia" w:ascii="宋体" w:hAnsi="宋体" w:eastAsia="宋体" w:cs="宋体"/>
      <w:color w:val="ff0000"/>
      <w:sz w:val="20"/>
      <w:szCs w:val="20"/>
      <w:u w:val="none"/>
    </w:rPr>
  </w:style>
  <w:style w:type="paragraph" w:styleId="863" w:customStyle="1">
    <w:name w:val="标题 312"/>
    <w:next w:val="864"/>
    <w:uiPriority w:val="0"/>
    <w:qFormat/>
    <w:pPr>
      <w:jc w:val="both"/>
      <w:keepLines/>
      <w:keepNext/>
      <w:spacing w:before="320" w:after="200"/>
      <w:widowControl w:val="off"/>
      <w:outlineLvl w:val="2"/>
    </w:pPr>
    <w:rPr>
      <w:rFonts w:hint="default" w:ascii="Arial" w:hAnsi="Arial" w:eastAsia="Arial" w:cs="Arial"/>
      <w:sz w:val="30"/>
      <w:szCs w:val="30"/>
      <w:lang w:eastAsia="zh-CN" w:bidi="ar-SA"/>
    </w:rPr>
  </w:style>
  <w:style w:type="paragraph" w:styleId="864" w:customStyle="1">
    <w:name w:val="正文缩进12"/>
    <w:uiPriority w:val="0"/>
    <w:qFormat/>
    <w:pPr>
      <w:ind w:firstLine="420"/>
      <w:jc w:val="both"/>
      <w:widowControl w:val="off"/>
    </w:pPr>
    <w:rPr>
      <w:rFonts w:hint="default" w:ascii="Times New Roman" w:hAnsi="Times New Roman" w:eastAsia="宋体" w:cs="Times New Roman"/>
      <w:sz w:val="21"/>
      <w:szCs w:val="21"/>
      <w:lang w:eastAsia="zh-CN"/>
    </w:rPr>
  </w:style>
  <w:style w:type="paragraph" w:styleId="865" w:customStyle="1">
    <w:name w:val="标题 411"/>
    <w:next w:val="864"/>
    <w:uiPriority w:val="0"/>
    <w:qFormat/>
    <w:pPr>
      <w:jc w:val="both"/>
      <w:keepLines/>
      <w:keepNext/>
      <w:spacing w:before="320" w:after="200"/>
      <w:widowControl w:val="off"/>
      <w:outlineLvl w:val="3"/>
    </w:pPr>
    <w:rPr>
      <w:rFonts w:hint="default" w:ascii="Arial" w:hAnsi="Arial" w:eastAsia="Arial" w:cs="Arial"/>
      <w:b/>
      <w:bCs/>
      <w:sz w:val="26"/>
      <w:szCs w:val="26"/>
      <w:lang w:eastAsia="zh-CN" w:bidi="ar-SA"/>
    </w:rPr>
  </w:style>
  <w:style w:type="character" w:styleId="866" w:customStyle="1">
    <w:name w:val="font11"/>
    <w:basedOn w:val="678"/>
    <w:uiPriority w:val="0"/>
    <w:qFormat/>
    <w:rPr>
      <w:rFonts w:hint="eastAsia" w:ascii="黑体" w:hAnsi="宋体" w:eastAsia="黑体" w:cs="黑体"/>
      <w:color w:val="000000"/>
      <w:sz w:val="21"/>
      <w:szCs w:val="21"/>
      <w:u w:val="none"/>
    </w:rPr>
  </w:style>
  <w:style w:type="character" w:styleId="867" w:customStyle="1">
    <w:name w:val="font31"/>
    <w:basedOn w:val="678"/>
    <w:uiPriority w:val="0"/>
    <w:qFormat/>
    <w:rPr>
      <w:rFonts w:hint="eastAsia" w:ascii="方正仿宋_GB2312" w:hAnsi="方正仿宋_GB2312" w:eastAsia="方正仿宋_GB2312" w:cs="方正仿宋_GB2312"/>
      <w:color w:val="000000"/>
      <w:sz w:val="21"/>
      <w:szCs w:val="21"/>
      <w:u w:val="none"/>
    </w:rPr>
  </w:style>
  <w:style w:type="character" w:styleId="868" w:customStyle="1">
    <w:name w:val="font21"/>
    <w:basedOn w:val="678"/>
    <w:uiPriority w:val="0"/>
    <w:qFormat/>
    <w:rPr>
      <w:rFonts w:hint="default" w:ascii="Times New Roman" w:hAnsi="Times New Roman" w:cs="Times New Roman"/>
      <w:color w:val="000000"/>
      <w:sz w:val="21"/>
      <w:szCs w:val="21"/>
      <w:u w:val="none"/>
    </w:rPr>
  </w:style>
  <w:style w:type="character" w:styleId="869" w:customStyle="1">
    <w:name w:val="font91"/>
    <w:basedOn w:val="678"/>
    <w:uiPriority w:val="0"/>
    <w:qFormat/>
    <w:rPr>
      <w:rFonts w:hint="eastAsia" w:ascii="方正仿宋_GB2312" w:hAnsi="方正仿宋_GB2312" w:eastAsia="方正仿宋_GB2312" w:cs="方正仿宋_GB2312"/>
      <w:color w:val="000000"/>
      <w:sz w:val="21"/>
      <w:szCs w:val="21"/>
      <w:u w:val="none"/>
    </w:rPr>
  </w:style>
  <w:style w:type="character" w:styleId="870" w:customStyle="1">
    <w:name w:val="font61"/>
    <w:basedOn w:val="678"/>
    <w:uiPriority w:val="0"/>
    <w:qFormat/>
    <w:rPr>
      <w:rFonts w:ascii="方正仿宋_GBK" w:hAnsi="方正仿宋_GBK" w:eastAsia="方正仿宋_GBK" w:cs="方正仿宋_GBK"/>
      <w:color w:val="000000"/>
      <w:sz w:val="24"/>
      <w:szCs w:val="24"/>
      <w:u w:val="none"/>
    </w:rPr>
  </w:style>
  <w:style w:type="character" w:styleId="871" w:customStyle="1">
    <w:name w:val="font71"/>
    <w:basedOn w:val="678"/>
    <w:uiPriority w:val="0"/>
    <w:qFormat/>
    <w:rPr>
      <w:rFonts w:hint="eastAsia" w:ascii="方正仿宋_GBK" w:hAnsi="方正仿宋_GBK" w:eastAsia="方正仿宋_GBK" w:cs="方正仿宋_GBK"/>
      <w:color w:val="000000"/>
      <w:sz w:val="22"/>
      <w:szCs w:val="22"/>
      <w:u w:val="none"/>
    </w:rPr>
  </w:style>
  <w:style w:type="character" w:styleId="872" w:customStyle="1">
    <w:name w:val="font51"/>
    <w:basedOn w:val="678"/>
    <w:uiPriority w:val="0"/>
    <w:qFormat/>
    <w:rPr>
      <w:rFonts w:hint="default" w:ascii="Times New Roman" w:hAnsi="Times New Roman" w:cs="Times New Roman"/>
      <w:color w:val="000000"/>
      <w:sz w:val="24"/>
      <w:szCs w:val="24"/>
      <w:u w:val="none"/>
    </w:rPr>
  </w:style>
  <w:style w:type="numbering" w:styleId="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戴霜霜</cp:lastModifiedBy>
  <cp:revision>2</cp:revision>
  <dcterms:created xsi:type="dcterms:W3CDTF">2024-01-11T01:07:00Z</dcterms:created>
  <dcterms:modified xsi:type="dcterms:W3CDTF">2026-06-30T07:46:44Z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2024-10-23T14:00:06Z</vt:filetime>
  </property>
  <property fmtid="{D5CDD505-2E9C-101B-9397-08002B2CF9AE}" pid="4" name="KSOProductBuildVer">
    <vt:lpwstr>2052-12.1.0.26895</vt:lpwstr>
  </property>
  <property fmtid="{D5CDD505-2E9C-101B-9397-08002B2CF9AE}" pid="5" name="ICV">
    <vt:lpwstr>E80E017AF3544439A1DFE0717EA6AA63_13</vt:lpwstr>
  </property>
  <property fmtid="{D5CDD505-2E9C-101B-9397-08002B2CF9AE}" pid="6" name="KSOTemplateDocerSaveRecord">
    <vt:lpwstr>eyJoZGlkIjoiNzU2YjQxN2MzMzlmNGJiZDFhNGRlNzc4M2Q3MzE4M2IiLCJ1c2VySWQiOiI1MjgwOTg3MzkifQ==</vt:lpwstr>
  </property>
</Properties>
</file>