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DD" w:rsidRDefault="00924B25">
      <w:pPr>
        <w:spacing w:before="145" w:after="145" w:line="360" w:lineRule="auto"/>
        <w:jc w:val="center"/>
        <w:outlineLvl w:val="0"/>
        <w:rPr>
          <w:rFonts w:ascii="宋体" w:hAnsi="宋体"/>
          <w:b/>
          <w:sz w:val="30"/>
        </w:rPr>
      </w:pPr>
      <w:r>
        <w:rPr>
          <w:rFonts w:ascii="宋体" w:hAnsi="宋体" w:hint="eastAsia"/>
          <w:b/>
          <w:sz w:val="30"/>
        </w:rPr>
        <w:t>《轿子山污水处理站运行管理服务外包项目合同》补充协议</w:t>
      </w:r>
    </w:p>
    <w:p w:rsidR="001742DD" w:rsidRDefault="00924B25">
      <w:pPr>
        <w:spacing w:before="145" w:after="145" w:line="360" w:lineRule="auto"/>
        <w:jc w:val="center"/>
        <w:outlineLvl w:val="0"/>
        <w:rPr>
          <w:rFonts w:ascii="宋体" w:hAnsi="宋体"/>
          <w:b/>
          <w:sz w:val="30"/>
        </w:rPr>
      </w:pPr>
      <w:r>
        <w:rPr>
          <w:rFonts w:ascii="宋体" w:hAnsi="宋体" w:hint="eastAsia"/>
          <w:b/>
          <w:sz w:val="30"/>
        </w:rPr>
        <w:t>（合同附件）</w:t>
      </w:r>
    </w:p>
    <w:p w:rsidR="001742DD" w:rsidRDefault="00924B25">
      <w:pPr>
        <w:spacing w:line="360" w:lineRule="auto"/>
        <w:ind w:firstLineChars="200" w:firstLine="480"/>
        <w:jc w:val="left"/>
        <w:rPr>
          <w:rFonts w:ascii="宋体" w:hAnsi="宋体"/>
          <w:b/>
          <w:w w:val="105"/>
          <w:sz w:val="28"/>
          <w:szCs w:val="28"/>
        </w:rPr>
      </w:pPr>
      <w:r>
        <w:rPr>
          <w:rFonts w:hAnsi="宋体"/>
          <w:sz w:val="24"/>
          <w:szCs w:val="24"/>
        </w:rPr>
        <w:t>甲、乙双方根据</w:t>
      </w:r>
      <w:r>
        <w:rPr>
          <w:rFonts w:hAnsi="宋体" w:hint="eastAsia"/>
          <w:sz w:val="24"/>
          <w:szCs w:val="24"/>
        </w:rPr>
        <w:t>南京市公共资源交易中心</w:t>
      </w:r>
      <w:r>
        <w:rPr>
          <w:rFonts w:ascii="宋体" w:hAnsi="宋体" w:cs="Courier New" w:hint="eastAsia"/>
          <w:color w:val="000000"/>
          <w:sz w:val="24"/>
          <w:szCs w:val="24"/>
          <w:u w:val="single"/>
        </w:rPr>
        <w:t>轿子山污水处理站运行管理服务外包</w:t>
      </w:r>
      <w:r>
        <w:rPr>
          <w:rFonts w:hAnsi="宋体"/>
          <w:sz w:val="24"/>
          <w:szCs w:val="24"/>
        </w:rPr>
        <w:t>项目公开招标的结果，</w:t>
      </w:r>
      <w:r>
        <w:rPr>
          <w:rFonts w:hAnsi="宋体" w:hint="eastAsia"/>
          <w:sz w:val="24"/>
          <w:szCs w:val="24"/>
        </w:rPr>
        <w:t>结合招标文件要求</w:t>
      </w:r>
      <w:r>
        <w:rPr>
          <w:rFonts w:ascii="宋体" w:hAnsi="宋体" w:cs="宋体" w:hint="eastAsia"/>
          <w:sz w:val="24"/>
        </w:rPr>
        <w:t>签订本</w:t>
      </w:r>
      <w:r>
        <w:rPr>
          <w:rFonts w:ascii="宋体" w:hAnsi="宋体" w:cs="宋体" w:hint="eastAsia"/>
          <w:sz w:val="24"/>
        </w:rPr>
        <w:t>补充协议作为</w:t>
      </w:r>
      <w:r>
        <w:rPr>
          <w:rFonts w:ascii="宋体" w:hAnsi="宋体" w:cs="宋体" w:hint="eastAsia"/>
          <w:sz w:val="24"/>
        </w:rPr>
        <w:t>合同</w:t>
      </w:r>
      <w:r>
        <w:rPr>
          <w:rFonts w:ascii="宋体" w:hAnsi="宋体" w:cs="宋体" w:hint="eastAsia"/>
          <w:sz w:val="24"/>
        </w:rPr>
        <w:t>附件</w:t>
      </w:r>
      <w:r>
        <w:rPr>
          <w:rFonts w:ascii="宋体" w:hAnsi="宋体" w:cs="宋体" w:hint="eastAsia"/>
          <w:sz w:val="24"/>
        </w:rPr>
        <w:t>。</w:t>
      </w:r>
    </w:p>
    <w:p w:rsidR="001742DD" w:rsidRDefault="00924B25">
      <w:pPr>
        <w:autoSpaceDE w:val="0"/>
        <w:autoSpaceDN w:val="0"/>
        <w:adjustRightInd w:val="0"/>
        <w:spacing w:line="360" w:lineRule="auto"/>
        <w:ind w:firstLineChars="200" w:firstLine="482"/>
        <w:jc w:val="left"/>
        <w:rPr>
          <w:rFonts w:ascii="宋体" w:hAnsi="宋体" w:cs="宋体"/>
          <w:b/>
          <w:sz w:val="24"/>
        </w:rPr>
      </w:pPr>
      <w:r>
        <w:rPr>
          <w:rFonts w:ascii="宋体" w:hAnsi="宋体" w:cs="宋体" w:hint="eastAsia"/>
          <w:b/>
          <w:sz w:val="24"/>
        </w:rPr>
        <w:t>一</w:t>
      </w:r>
      <w:r>
        <w:rPr>
          <w:rFonts w:ascii="宋体" w:hAnsi="宋体" w:cs="宋体" w:hint="eastAsia"/>
          <w:b/>
          <w:sz w:val="24"/>
        </w:rPr>
        <w:t>、合作范围及服务内容</w:t>
      </w:r>
    </w:p>
    <w:p w:rsidR="001742DD" w:rsidRDefault="00924B25">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1</w:t>
      </w:r>
      <w:r>
        <w:rPr>
          <w:rFonts w:ascii="宋体" w:hAnsi="宋体" w:cs="宋体" w:hint="eastAsia"/>
          <w:b/>
          <w:bCs/>
          <w:sz w:val="24"/>
        </w:rPr>
        <w:t>、委托运行管理服务期限</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本项目委托运行管理服务期限自</w:t>
      </w:r>
      <w:r>
        <w:rPr>
          <w:rFonts w:ascii="宋体" w:hAnsi="宋体" w:cs="宋体" w:hint="eastAsia"/>
          <w:sz w:val="24"/>
          <w:u w:val="single"/>
        </w:rPr>
        <w:t>2024</w:t>
      </w:r>
      <w:r>
        <w:rPr>
          <w:rFonts w:ascii="宋体" w:hAnsi="宋体" w:cs="宋体" w:hint="eastAsia"/>
          <w:sz w:val="24"/>
        </w:rPr>
        <w:t>年</w:t>
      </w:r>
      <w:r>
        <w:rPr>
          <w:rFonts w:ascii="宋体" w:hAnsi="宋体" w:cs="宋体" w:hint="eastAsia"/>
          <w:sz w:val="24"/>
          <w:u w:val="single"/>
        </w:rPr>
        <w:t>6</w:t>
      </w:r>
      <w:r>
        <w:rPr>
          <w:rFonts w:ascii="宋体" w:hAnsi="宋体" w:cs="宋体" w:hint="eastAsia"/>
          <w:sz w:val="24"/>
        </w:rPr>
        <w:t>月</w:t>
      </w:r>
      <w:r>
        <w:rPr>
          <w:rFonts w:ascii="宋体" w:hAnsi="宋体" w:cs="宋体" w:hint="eastAsia"/>
          <w:sz w:val="24"/>
          <w:u w:val="single"/>
        </w:rPr>
        <w:t xml:space="preserve"> 17 </w:t>
      </w:r>
      <w:r>
        <w:rPr>
          <w:rFonts w:ascii="宋体" w:hAnsi="宋体" w:cs="宋体" w:hint="eastAsia"/>
          <w:sz w:val="24"/>
        </w:rPr>
        <w:t>日起至</w:t>
      </w:r>
      <w:r>
        <w:rPr>
          <w:rFonts w:ascii="宋体" w:hAnsi="宋体" w:cs="宋体" w:hint="eastAsia"/>
          <w:sz w:val="24"/>
          <w:u w:val="single"/>
        </w:rPr>
        <w:t>2025</w:t>
      </w:r>
      <w:r>
        <w:rPr>
          <w:rFonts w:ascii="宋体" w:hAnsi="宋体" w:cs="宋体" w:hint="eastAsia"/>
          <w:sz w:val="24"/>
        </w:rPr>
        <w:t>年</w:t>
      </w:r>
      <w:r>
        <w:rPr>
          <w:rFonts w:ascii="宋体" w:hAnsi="宋体" w:cs="宋体" w:hint="eastAsia"/>
          <w:sz w:val="24"/>
          <w:u w:val="single"/>
        </w:rPr>
        <w:t>6</w:t>
      </w:r>
      <w:r>
        <w:rPr>
          <w:rFonts w:ascii="宋体" w:hAnsi="宋体" w:cs="宋体" w:hint="eastAsia"/>
          <w:sz w:val="24"/>
        </w:rPr>
        <w:t>月</w:t>
      </w:r>
      <w:r>
        <w:rPr>
          <w:rFonts w:ascii="宋体" w:hAnsi="宋体" w:cs="宋体" w:hint="eastAsia"/>
          <w:sz w:val="24"/>
          <w:u w:val="single"/>
        </w:rPr>
        <w:t xml:space="preserve"> 16 </w:t>
      </w:r>
      <w:r>
        <w:rPr>
          <w:rFonts w:ascii="宋体" w:hAnsi="宋体" w:cs="宋体" w:hint="eastAsia"/>
          <w:sz w:val="24"/>
        </w:rPr>
        <w:t>日。</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在服务期限内，污水处理设施年运行时间按</w:t>
      </w:r>
      <w:r>
        <w:rPr>
          <w:rFonts w:ascii="宋体" w:hAnsi="宋体" w:cs="宋体" w:hint="eastAsia"/>
          <w:sz w:val="24"/>
        </w:rPr>
        <w:t>350</w:t>
      </w:r>
      <w:r>
        <w:rPr>
          <w:rFonts w:ascii="宋体" w:hAnsi="宋体" w:cs="宋体" w:hint="eastAsia"/>
          <w:sz w:val="24"/>
        </w:rPr>
        <w:t>个日历日计，每天按</w:t>
      </w:r>
      <w:r w:rsidRPr="00D324EA">
        <w:rPr>
          <w:rFonts w:ascii="宋体" w:hAnsi="宋体" w:cs="宋体" w:hint="eastAsia"/>
          <w:sz w:val="24"/>
        </w:rPr>
        <w:t>进</w:t>
      </w:r>
      <w:r w:rsidRPr="00D324EA">
        <w:rPr>
          <w:rFonts w:ascii="宋体" w:hAnsi="宋体" w:cs="宋体" w:hint="eastAsia"/>
          <w:sz w:val="24"/>
        </w:rPr>
        <w:t>水量</w:t>
      </w:r>
      <w:r>
        <w:rPr>
          <w:rFonts w:ascii="宋体" w:hAnsi="宋体" w:cs="宋体" w:hint="eastAsia"/>
          <w:sz w:val="24"/>
        </w:rPr>
        <w:t>计价。保证系统正常运行率达到</w:t>
      </w:r>
      <w:r>
        <w:rPr>
          <w:rFonts w:ascii="宋体" w:hAnsi="宋体" w:cs="宋体" w:hint="eastAsia"/>
          <w:sz w:val="24"/>
        </w:rPr>
        <w:t xml:space="preserve"> 90%</w:t>
      </w:r>
      <w:r>
        <w:rPr>
          <w:rFonts w:ascii="宋体" w:hAnsi="宋体" w:cs="宋体" w:hint="eastAsia"/>
          <w:sz w:val="24"/>
        </w:rPr>
        <w:t>以上。</w:t>
      </w:r>
    </w:p>
    <w:p w:rsidR="001742DD" w:rsidRPr="00D324EA" w:rsidRDefault="00924B25">
      <w:pPr>
        <w:autoSpaceDE w:val="0"/>
        <w:autoSpaceDN w:val="0"/>
        <w:adjustRightInd w:val="0"/>
        <w:spacing w:line="360" w:lineRule="auto"/>
        <w:ind w:firstLineChars="200" w:firstLine="480"/>
        <w:jc w:val="left"/>
        <w:rPr>
          <w:rFonts w:ascii="宋体" w:hAnsi="宋体" w:cs="宋体"/>
          <w:sz w:val="24"/>
        </w:rPr>
      </w:pPr>
      <w:r w:rsidRPr="00D324EA">
        <w:rPr>
          <w:rFonts w:ascii="宋体" w:hAnsi="宋体" w:cs="宋体" w:hint="eastAsia"/>
          <w:sz w:val="24"/>
        </w:rPr>
        <w:t>本项目</w:t>
      </w:r>
      <w:r w:rsidRPr="00D324EA">
        <w:rPr>
          <w:rFonts w:ascii="宋体" w:hAnsi="宋体" w:cs="宋体" w:hint="eastAsia"/>
          <w:sz w:val="24"/>
        </w:rPr>
        <w:t>设计处理能力</w:t>
      </w:r>
      <w:r w:rsidRPr="00D324EA">
        <w:rPr>
          <w:rFonts w:ascii="宋体" w:hAnsi="宋体" w:cs="宋体" w:hint="eastAsia"/>
          <w:sz w:val="24"/>
        </w:rPr>
        <w:t>400m</w:t>
      </w:r>
      <w:r w:rsidRPr="00D324EA">
        <w:rPr>
          <w:rFonts w:ascii="宋体" w:hAnsi="宋体" w:cs="宋体" w:hint="eastAsia"/>
          <w:sz w:val="24"/>
        </w:rPr>
        <w:t>³</w:t>
      </w:r>
      <w:r w:rsidRPr="00D324EA">
        <w:rPr>
          <w:rFonts w:ascii="宋体" w:hAnsi="宋体" w:cs="宋体" w:hint="eastAsia"/>
          <w:sz w:val="24"/>
        </w:rPr>
        <w:t>/d</w:t>
      </w:r>
      <w:r w:rsidRPr="00D324EA">
        <w:rPr>
          <w:rFonts w:ascii="宋体" w:hAnsi="宋体" w:cs="宋体" w:hint="eastAsia"/>
          <w:sz w:val="24"/>
        </w:rPr>
        <w:t>，采用“均质池</w:t>
      </w:r>
      <w:r w:rsidRPr="00D324EA">
        <w:rPr>
          <w:rFonts w:ascii="宋体" w:hAnsi="宋体" w:cs="宋体" w:hint="eastAsia"/>
          <w:sz w:val="24"/>
        </w:rPr>
        <w:t>+</w:t>
      </w:r>
      <w:r w:rsidRPr="00D324EA">
        <w:rPr>
          <w:rFonts w:ascii="宋体" w:hAnsi="宋体" w:cs="宋体" w:hint="eastAsia"/>
          <w:sz w:val="24"/>
        </w:rPr>
        <w:t>两</w:t>
      </w:r>
      <w:r w:rsidRPr="00D324EA">
        <w:rPr>
          <w:rFonts w:ascii="宋体" w:hAnsi="宋体" w:cs="宋体" w:hint="eastAsia"/>
          <w:sz w:val="24"/>
        </w:rPr>
        <w:t>级</w:t>
      </w:r>
      <w:r w:rsidRPr="00D324EA">
        <w:rPr>
          <w:rFonts w:ascii="宋体" w:hAnsi="宋体" w:cs="宋体" w:hint="eastAsia"/>
          <w:sz w:val="24"/>
        </w:rPr>
        <w:t>A/O-MBR</w:t>
      </w:r>
      <w:r w:rsidRPr="00D324EA">
        <w:rPr>
          <w:rFonts w:ascii="宋体" w:hAnsi="宋体" w:cs="宋体" w:hint="eastAsia"/>
          <w:sz w:val="24"/>
        </w:rPr>
        <w:t>（</w:t>
      </w:r>
      <w:r w:rsidRPr="00D324EA">
        <w:rPr>
          <w:rFonts w:ascii="宋体" w:hAnsi="宋体" w:cs="宋体" w:hint="eastAsia"/>
          <w:sz w:val="24"/>
        </w:rPr>
        <w:t>外置式超滤</w:t>
      </w:r>
      <w:r w:rsidRPr="00D324EA">
        <w:rPr>
          <w:rFonts w:ascii="宋体" w:hAnsi="宋体" w:cs="宋体" w:hint="eastAsia"/>
          <w:sz w:val="24"/>
        </w:rPr>
        <w:t>）</w:t>
      </w:r>
      <w:r w:rsidRPr="00D324EA">
        <w:rPr>
          <w:rFonts w:ascii="宋体" w:hAnsi="宋体" w:cs="宋体" w:hint="eastAsia"/>
          <w:sz w:val="24"/>
        </w:rPr>
        <w:t>+</w:t>
      </w:r>
      <w:r w:rsidRPr="00D324EA">
        <w:rPr>
          <w:rFonts w:ascii="宋体" w:hAnsi="宋体" w:cs="宋体" w:hint="eastAsia"/>
          <w:sz w:val="24"/>
        </w:rPr>
        <w:t>纳滤</w:t>
      </w:r>
      <w:r w:rsidRPr="00D324EA">
        <w:rPr>
          <w:rFonts w:ascii="宋体" w:hAnsi="宋体" w:cs="宋体" w:hint="eastAsia"/>
          <w:sz w:val="24"/>
        </w:rPr>
        <w:t>+</w:t>
      </w:r>
      <w:r w:rsidRPr="00D324EA">
        <w:rPr>
          <w:rFonts w:ascii="宋体" w:hAnsi="宋体" w:cs="宋体" w:hint="eastAsia"/>
          <w:sz w:val="24"/>
        </w:rPr>
        <w:t>两级物料系统</w:t>
      </w:r>
      <w:r w:rsidRPr="00D324EA">
        <w:rPr>
          <w:rFonts w:ascii="宋体" w:hAnsi="宋体" w:cs="宋体" w:hint="eastAsia"/>
          <w:sz w:val="24"/>
        </w:rPr>
        <w:t>+</w:t>
      </w:r>
      <w:r w:rsidRPr="00D324EA">
        <w:rPr>
          <w:rFonts w:ascii="宋体" w:hAnsi="宋体" w:cs="宋体" w:hint="eastAsia"/>
          <w:sz w:val="24"/>
        </w:rPr>
        <w:t>改性沉淀</w:t>
      </w:r>
      <w:r w:rsidRPr="00D324EA">
        <w:rPr>
          <w:rFonts w:ascii="宋体" w:hAnsi="宋体" w:cs="宋体" w:hint="eastAsia"/>
          <w:sz w:val="24"/>
        </w:rPr>
        <w:t>+</w:t>
      </w:r>
      <w:r w:rsidRPr="00D324EA">
        <w:rPr>
          <w:rFonts w:ascii="宋体" w:hAnsi="宋体" w:cs="宋体" w:hint="eastAsia"/>
          <w:sz w:val="24"/>
        </w:rPr>
        <w:t>臭氧催化氧化系统（</w:t>
      </w:r>
      <w:r w:rsidRPr="00D324EA">
        <w:rPr>
          <w:rFonts w:ascii="宋体" w:hAnsi="宋体" w:cs="宋体" w:hint="eastAsia"/>
          <w:sz w:val="24"/>
        </w:rPr>
        <w:t>AOP</w:t>
      </w:r>
      <w:r w:rsidRPr="00D324EA">
        <w:rPr>
          <w:rFonts w:ascii="宋体" w:hAnsi="宋体" w:cs="宋体" w:hint="eastAsia"/>
          <w:sz w:val="24"/>
        </w:rPr>
        <w:t>）”的全量化处理工艺，污泥经离心脱水机脱水后</w:t>
      </w:r>
      <w:bookmarkStart w:id="0" w:name="_GoBack"/>
      <w:bookmarkEnd w:id="0"/>
      <w:r w:rsidRPr="00D324EA">
        <w:rPr>
          <w:rFonts w:ascii="宋体" w:hAnsi="宋体" w:cs="宋体" w:hint="eastAsia"/>
          <w:sz w:val="24"/>
        </w:rPr>
        <w:t>外运处置。出水满足《生活垃圾填埋场污染控制标准》</w:t>
      </w:r>
      <w:r w:rsidRPr="00D324EA">
        <w:rPr>
          <w:rFonts w:ascii="宋体" w:hAnsi="宋体" w:cs="宋体" w:hint="eastAsia"/>
          <w:sz w:val="24"/>
        </w:rPr>
        <w:t>GB16889-2008</w:t>
      </w:r>
      <w:r w:rsidRPr="00D324EA">
        <w:rPr>
          <w:rFonts w:ascii="宋体" w:hAnsi="宋体" w:cs="宋体" w:hint="eastAsia"/>
          <w:sz w:val="24"/>
        </w:rPr>
        <w:t>中的表</w:t>
      </w:r>
      <w:r w:rsidRPr="00D324EA">
        <w:rPr>
          <w:rFonts w:ascii="宋体" w:hAnsi="宋体" w:cs="宋体" w:hint="eastAsia"/>
          <w:sz w:val="24"/>
        </w:rPr>
        <w:t>2</w:t>
      </w:r>
      <w:r w:rsidRPr="00D324EA">
        <w:rPr>
          <w:rFonts w:ascii="宋体" w:hAnsi="宋体" w:cs="宋体" w:hint="eastAsia"/>
          <w:sz w:val="24"/>
        </w:rPr>
        <w:t>排放标准相关要求。</w:t>
      </w:r>
    </w:p>
    <w:p w:rsidR="001742DD" w:rsidRDefault="00924B25">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b/>
          <w:bCs/>
          <w:sz w:val="24"/>
        </w:rPr>
        <w:t>2</w:t>
      </w:r>
      <w:r>
        <w:rPr>
          <w:rFonts w:ascii="宋体" w:hAnsi="宋体" w:cs="宋体" w:hint="eastAsia"/>
          <w:b/>
          <w:bCs/>
          <w:sz w:val="24"/>
        </w:rPr>
        <w:t>、服务范围</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）在运营期内，供应商应只对采购人收集的污水提供处理。未经采购人事先书面同意，不得接受任何第三方的污水进行处理。</w:t>
      </w:r>
      <w:r>
        <w:rPr>
          <w:rFonts w:ascii="宋体" w:hAnsi="宋体" w:cs="宋体" w:hint="eastAsia"/>
          <w:sz w:val="24"/>
        </w:rPr>
        <w:t>(</w:t>
      </w:r>
      <w:r>
        <w:rPr>
          <w:rFonts w:ascii="宋体" w:hAnsi="宋体" w:cs="宋体" w:hint="eastAsia"/>
          <w:sz w:val="24"/>
        </w:rPr>
        <w:t>污水处理项目自身产生的污水除外</w:t>
      </w:r>
      <w:r>
        <w:rPr>
          <w:rFonts w:ascii="宋体" w:hAnsi="宋体" w:cs="宋体" w:hint="eastAsia"/>
          <w:sz w:val="24"/>
        </w:rPr>
        <w:t>)</w:t>
      </w:r>
      <w:r>
        <w:rPr>
          <w:rFonts w:ascii="宋体" w:hAnsi="宋体" w:cs="宋体" w:hint="eastAsia"/>
          <w:sz w:val="24"/>
        </w:rPr>
        <w:t>。</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）项目运营</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项目建成后，供应商承担本项目范围内所有污水处理、维护的内容。</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在整个服务期限内，供应商应自行承担费用</w:t>
      </w:r>
      <w:r>
        <w:rPr>
          <w:rFonts w:ascii="宋体" w:hAnsi="宋体" w:cs="宋体" w:hint="eastAsia"/>
          <w:sz w:val="24"/>
        </w:rPr>
        <w:t>和风险，管理、运营和维护项目设施；依据适用法律和规范性文件、合同的约定、运营惯例等规范运营项目，确保项目设施始终处于良好营运状态并能够以安全、连续和稳定的方式提供污水处理服务；确保项目各项污染物达标排放；接受政府的监管与检查。</w:t>
      </w:r>
      <w:r>
        <w:rPr>
          <w:rFonts w:ascii="宋体" w:hAnsi="宋体" w:cs="宋体" w:hint="eastAsia"/>
          <w:sz w:val="24"/>
        </w:rPr>
        <w:t xml:space="preserve"> </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如果供应商未按照合同的约定规范运营和维护项目，并造成不良影响，则采购人有权介入运营和维护，费用和风险由供应商承担。</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）项目要求：详见招标文件采购需求。</w:t>
      </w:r>
    </w:p>
    <w:p w:rsidR="001742DD" w:rsidRDefault="00924B25">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3</w:t>
      </w:r>
      <w:r>
        <w:rPr>
          <w:rFonts w:ascii="宋体" w:hAnsi="宋体" w:cs="宋体" w:hint="eastAsia"/>
          <w:b/>
          <w:bCs/>
          <w:sz w:val="24"/>
        </w:rPr>
        <w:t>、设备维护</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在整个运营期内，供应商自行管理、运营和维护设施。供应商确保在整个运</w:t>
      </w:r>
      <w:r>
        <w:rPr>
          <w:rFonts w:ascii="宋体" w:hAnsi="宋体" w:cs="宋体" w:hint="eastAsia"/>
          <w:sz w:val="24"/>
        </w:rPr>
        <w:lastRenderedPageBreak/>
        <w:t>营期内，始终根据下列规定运营并维护项目设施。</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国家、省、市现行的企业运行的有关法律法规，污水处理的有关法律法规、标准和规范，本项目有关批准文件的要求。</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本合同规定的质量保证、质量控制和安全生产的要求。</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运行维护手册以及设备制造商提供的说明手册和指导。</w:t>
      </w:r>
    </w:p>
    <w:p w:rsidR="001742DD" w:rsidRDefault="00924B25">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4</w:t>
      </w:r>
      <w:r>
        <w:rPr>
          <w:rFonts w:ascii="宋体" w:hAnsi="宋体" w:cs="宋体" w:hint="eastAsia"/>
          <w:b/>
          <w:bCs/>
          <w:sz w:val="24"/>
        </w:rPr>
        <w:t>、报告制度</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供应商应建立健全水质检测、检验和定期报告制度，按照国家或行业规定的检测项目、检测频次和有关标准、方法定期检测进水和出水等项目，做好各项检测分析资料和水质报表的汇总、归档。确保处理系统能全年运行。</w:t>
      </w:r>
    </w:p>
    <w:p w:rsidR="001742DD" w:rsidRDefault="00924B25">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5</w:t>
      </w:r>
      <w:r>
        <w:rPr>
          <w:rFonts w:ascii="宋体" w:hAnsi="宋体" w:cs="宋体" w:hint="eastAsia"/>
          <w:b/>
          <w:bCs/>
          <w:sz w:val="24"/>
        </w:rPr>
        <w:t>、连续运行</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供应商应保持项目连续运行，不得擅自停运。实施设备、设施大修、检修等，应通过调节工艺运行状态保证污水处理的规模和出水水质。供应商应对设施建立定期检修保养制度，对各项设施的图纸资料进行收集、归类和整理，完善公用设施信息化管理系统，保持处理设施处于良好使用状态，并按采购人要求将设施运行情况报告给采购人。</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供应商应按适用法律法规和合理的商业标准以及谨慎运行惯例认真而有效地处理其业务。</w:t>
      </w:r>
    </w:p>
    <w:p w:rsidR="001742DD" w:rsidRDefault="00924B25">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6</w:t>
      </w:r>
      <w:r>
        <w:rPr>
          <w:rFonts w:ascii="宋体" w:hAnsi="宋体" w:cs="宋体" w:hint="eastAsia"/>
          <w:b/>
          <w:bCs/>
          <w:sz w:val="24"/>
        </w:rPr>
        <w:t>、环境保护</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供应商在日常生产经营活动中，应充分考虑环境影响，保护生态环境。</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供应商应始终遵守有关公共卫生和安全的适用法律法规</w:t>
      </w:r>
      <w:r>
        <w:rPr>
          <w:rFonts w:ascii="宋体" w:hAnsi="宋体" w:cs="宋体" w:hint="eastAsia"/>
          <w:sz w:val="24"/>
        </w:rPr>
        <w:t>及本合同的规定。</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供应商不应因项目设施的建设、运营和维护而造成污水处理站场地和排水干管</w:t>
      </w:r>
      <w:r>
        <w:rPr>
          <w:rFonts w:ascii="宋体" w:hAnsi="宋体" w:cs="宋体" w:hint="eastAsia"/>
          <w:sz w:val="24"/>
        </w:rPr>
        <w:t>(</w:t>
      </w:r>
      <w:r>
        <w:rPr>
          <w:rFonts w:ascii="宋体" w:hAnsi="宋体" w:cs="宋体" w:hint="eastAsia"/>
          <w:sz w:val="24"/>
        </w:rPr>
        <w:t>如果有</w:t>
      </w:r>
      <w:r>
        <w:rPr>
          <w:rFonts w:ascii="宋体" w:hAnsi="宋体" w:cs="宋体" w:hint="eastAsia"/>
          <w:sz w:val="24"/>
        </w:rPr>
        <w:t>)</w:t>
      </w:r>
      <w:r>
        <w:rPr>
          <w:rFonts w:ascii="宋体" w:hAnsi="宋体" w:cs="宋体" w:hint="eastAsia"/>
          <w:sz w:val="24"/>
        </w:rPr>
        <w:t>土地</w:t>
      </w:r>
      <w:r>
        <w:rPr>
          <w:rFonts w:ascii="宋体" w:hAnsi="宋体" w:cs="宋体" w:hint="eastAsia"/>
          <w:sz w:val="24"/>
        </w:rPr>
        <w:t>(</w:t>
      </w:r>
      <w:r>
        <w:rPr>
          <w:rFonts w:ascii="宋体" w:hAnsi="宋体" w:cs="宋体" w:hint="eastAsia"/>
          <w:sz w:val="24"/>
        </w:rPr>
        <w:t>包括土壤、地下水或地表水及空气</w:t>
      </w:r>
      <w:r>
        <w:rPr>
          <w:rFonts w:ascii="宋体" w:hAnsi="宋体" w:cs="宋体" w:hint="eastAsia"/>
          <w:sz w:val="24"/>
        </w:rPr>
        <w:t>)</w:t>
      </w:r>
      <w:r>
        <w:rPr>
          <w:rFonts w:ascii="宋体" w:hAnsi="宋体" w:cs="宋体" w:hint="eastAsia"/>
          <w:sz w:val="24"/>
        </w:rPr>
        <w:t>或周围环境的环境污染。</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供应商在项目运营和维护期间应采取一切合理措施来避免或尽量减少对项目设施周围建筑物和居民区的干扰。</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但对生效日期前已经存在的或潜在的，因第三方的作为或不作为引起的，或者采购人导致的环境污染及安全隐患，供应商不承担责任。</w:t>
      </w:r>
    </w:p>
    <w:p w:rsidR="001742DD" w:rsidRDefault="00924B25">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7</w:t>
      </w:r>
      <w:r>
        <w:rPr>
          <w:rFonts w:ascii="宋体" w:hAnsi="宋体" w:cs="宋体" w:hint="eastAsia"/>
          <w:b/>
          <w:bCs/>
          <w:sz w:val="24"/>
        </w:rPr>
        <w:t>、维护手册</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供应商应编制运行与维护手册。该手册应包括生产运行、日常维护、设备检修等内容，并在开始商业运营日之前报送采</w:t>
      </w:r>
      <w:r>
        <w:rPr>
          <w:rFonts w:ascii="宋体" w:hAnsi="宋体" w:cs="宋体" w:hint="eastAsia"/>
          <w:sz w:val="24"/>
        </w:rPr>
        <w:t>购人备查。</w:t>
      </w:r>
    </w:p>
    <w:p w:rsidR="001742DD" w:rsidRDefault="00924B25">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lastRenderedPageBreak/>
        <w:t>8</w:t>
      </w:r>
      <w:r>
        <w:rPr>
          <w:rFonts w:ascii="宋体" w:hAnsi="宋体" w:cs="宋体" w:hint="eastAsia"/>
          <w:b/>
          <w:bCs/>
          <w:sz w:val="24"/>
        </w:rPr>
        <w:t>、水样的采集和储存</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水样的采集和储存应满足相应要求。</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用于检测水质的进水水样和出水水样应分别在污水进水检测点和污水出水检测点采集。</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采购人有权指定代表或委派监督员在任何时候对供应商的检测程序、结果、设备和仪器进行现场检查和检测。</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采购人核实或抽查的结果与供应商自检结果不一致时，以双方指定的有资质的第三方检测机构检测结果为准，如与采购人一致，第三方检测的费用由供应商承担。否则，由采购人承担。</w:t>
      </w:r>
    </w:p>
    <w:p w:rsidR="001742DD" w:rsidRDefault="00924B25">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b/>
          <w:bCs/>
          <w:sz w:val="24"/>
        </w:rPr>
        <w:t>9</w:t>
      </w:r>
      <w:r>
        <w:rPr>
          <w:rFonts w:ascii="宋体" w:hAnsi="宋体" w:cs="宋体" w:hint="eastAsia"/>
          <w:b/>
          <w:bCs/>
          <w:sz w:val="24"/>
        </w:rPr>
        <w:t>、水量的计量</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）供应商应在按照相关技术文件要求在相关部位安装计量检测装置，</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并在进水口、出水口安装在线计量监测装置，计量处理设施的进水量及出水量。计量装置须定期检测，在开始运行日或双方约定的时间，双方应将所有流量计设立一个基础读数来确定每一污水流量计的原始值。流量计由供应商在每月最后一日抄表，以确定</w:t>
      </w:r>
      <w:r w:rsidRPr="00D324EA">
        <w:rPr>
          <w:rFonts w:ascii="宋体" w:hAnsi="宋体" w:cs="宋体" w:hint="eastAsia"/>
          <w:sz w:val="24"/>
        </w:rPr>
        <w:t>进</w:t>
      </w:r>
      <w:r>
        <w:rPr>
          <w:rFonts w:ascii="宋体" w:hAnsi="宋体" w:cs="宋体" w:hint="eastAsia"/>
          <w:sz w:val="24"/>
        </w:rPr>
        <w:t>出水量。水量以</w:t>
      </w:r>
      <w:r>
        <w:rPr>
          <w:rFonts w:ascii="宋体" w:hAnsi="宋体" w:cs="宋体" w:hint="eastAsia"/>
          <w:sz w:val="24"/>
        </w:rPr>
        <w:t>m</w:t>
      </w:r>
      <w:r>
        <w:rPr>
          <w:rFonts w:ascii="宋体" w:hAnsi="宋体" w:cs="宋体" w:hint="eastAsia"/>
          <w:sz w:val="24"/>
        </w:rPr>
        <w:t>³计算。采购人有权随时核查供应商的抄表记录。</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）供应商应使用符合要求的流量计连续测量、计算和记录在进水计量点提取的进水数量在出水计量点提取的出水数量。</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）一个月内的</w:t>
      </w:r>
      <w:r w:rsidRPr="00D324EA">
        <w:rPr>
          <w:rFonts w:ascii="宋体" w:hAnsi="宋体" w:cs="宋体" w:hint="eastAsia"/>
          <w:sz w:val="24"/>
        </w:rPr>
        <w:t>进</w:t>
      </w:r>
      <w:r w:rsidRPr="00D324EA">
        <w:rPr>
          <w:rFonts w:ascii="宋体" w:hAnsi="宋体" w:cs="宋体" w:hint="eastAsia"/>
          <w:sz w:val="24"/>
        </w:rPr>
        <w:t>水</w:t>
      </w:r>
      <w:r>
        <w:rPr>
          <w:rFonts w:ascii="宋体" w:hAnsi="宋体" w:cs="宋体" w:hint="eastAsia"/>
          <w:sz w:val="24"/>
        </w:rPr>
        <w:t>总水量应等于</w:t>
      </w:r>
      <w:r w:rsidRPr="00D324EA">
        <w:rPr>
          <w:rFonts w:ascii="宋体" w:hAnsi="宋体" w:cs="宋体" w:hint="eastAsia"/>
          <w:sz w:val="24"/>
        </w:rPr>
        <w:t>进</w:t>
      </w:r>
      <w:r>
        <w:rPr>
          <w:rFonts w:ascii="宋体" w:hAnsi="宋体" w:cs="宋体" w:hint="eastAsia"/>
          <w:sz w:val="24"/>
        </w:rPr>
        <w:t>水流量计所记录的数量减去该流量计上月记录的水量。</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）自来水量</w:t>
      </w:r>
      <w:r>
        <w:rPr>
          <w:rFonts w:ascii="宋体" w:hAnsi="宋体" w:cs="宋体" w:hint="eastAsia"/>
          <w:sz w:val="24"/>
        </w:rPr>
        <w:t>1</w:t>
      </w:r>
      <w:r>
        <w:rPr>
          <w:rFonts w:ascii="宋体" w:hAnsi="宋体" w:cs="宋体" w:hint="eastAsia"/>
          <w:sz w:val="24"/>
        </w:rPr>
        <w:t>万吨</w:t>
      </w:r>
      <w:r>
        <w:rPr>
          <w:rFonts w:ascii="宋体" w:hAnsi="宋体" w:cs="宋体" w:hint="eastAsia"/>
          <w:sz w:val="24"/>
        </w:rPr>
        <w:t>/</w:t>
      </w:r>
      <w:r>
        <w:rPr>
          <w:rFonts w:ascii="宋体" w:hAnsi="宋体" w:cs="宋体" w:hint="eastAsia"/>
          <w:sz w:val="24"/>
        </w:rPr>
        <w:t>年，超过此限额的话，</w:t>
      </w:r>
      <w:r>
        <w:rPr>
          <w:rFonts w:ascii="宋体" w:hAnsi="宋体" w:cs="宋体" w:hint="eastAsia"/>
          <w:sz w:val="24"/>
        </w:rPr>
        <w:t>12</w:t>
      </w:r>
      <w:r>
        <w:rPr>
          <w:rFonts w:ascii="宋体" w:hAnsi="宋体" w:cs="宋体" w:hint="eastAsia"/>
          <w:sz w:val="24"/>
        </w:rPr>
        <w:t>月份月度考核扣</w:t>
      </w:r>
      <w:r>
        <w:rPr>
          <w:rFonts w:ascii="宋体" w:hAnsi="宋体" w:cs="宋体" w:hint="eastAsia"/>
          <w:sz w:val="24"/>
        </w:rPr>
        <w:t>5</w:t>
      </w:r>
      <w:r>
        <w:rPr>
          <w:rFonts w:ascii="宋体" w:hAnsi="宋体" w:cs="宋体" w:hint="eastAsia"/>
          <w:sz w:val="24"/>
        </w:rPr>
        <w:t>分。</w:t>
      </w:r>
    </w:p>
    <w:p w:rsidR="001742DD" w:rsidRDefault="00924B25">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10</w:t>
      </w:r>
      <w:r>
        <w:rPr>
          <w:rFonts w:ascii="宋体" w:hAnsi="宋体" w:cs="宋体" w:hint="eastAsia"/>
          <w:b/>
          <w:bCs/>
          <w:sz w:val="24"/>
        </w:rPr>
        <w:t>、安全防范</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项目现场发生的社会安全、防火、工伤、人身损害、事故等安全和经济责任</w:t>
      </w:r>
    </w:p>
    <w:p w:rsidR="001742DD" w:rsidRDefault="00924B25">
      <w:pPr>
        <w:autoSpaceDE w:val="0"/>
        <w:autoSpaceDN w:val="0"/>
        <w:adjustRightInd w:val="0"/>
        <w:spacing w:line="360" w:lineRule="auto"/>
        <w:jc w:val="left"/>
        <w:rPr>
          <w:rFonts w:ascii="宋体" w:hAnsi="宋体" w:cs="宋体"/>
          <w:sz w:val="24"/>
        </w:rPr>
      </w:pPr>
      <w:r>
        <w:rPr>
          <w:rFonts w:ascii="宋体" w:hAnsi="宋体" w:cs="宋体" w:hint="eastAsia"/>
          <w:sz w:val="24"/>
        </w:rPr>
        <w:t>全部由供应商负责，供应商可以请求采购人协助进行处理。</w:t>
      </w:r>
    </w:p>
    <w:p w:rsidR="001742DD" w:rsidRDefault="00924B25">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二</w:t>
      </w:r>
      <w:r>
        <w:rPr>
          <w:rFonts w:ascii="宋体" w:hAnsi="宋体" w:cs="宋体" w:hint="eastAsia"/>
          <w:b/>
          <w:bCs/>
          <w:sz w:val="24"/>
        </w:rPr>
        <w:t>、双方责任</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、运营期采购人的主要责任</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采购人应确保在整个运营期内，收集和输送污水至污水处理项目交付点。</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在整个运营期内，应督促供应商认真执行国家行业标准《生活垃圾填埋场污染物控制标准》</w:t>
      </w:r>
      <w:r>
        <w:rPr>
          <w:rFonts w:ascii="宋体" w:hAnsi="宋体" w:cs="宋体" w:hint="eastAsia"/>
          <w:sz w:val="24"/>
        </w:rPr>
        <w:t xml:space="preserve"> (GB16889-2008)</w:t>
      </w:r>
      <w:r>
        <w:rPr>
          <w:rFonts w:ascii="宋体" w:hAnsi="宋体" w:cs="宋体" w:hint="eastAsia"/>
          <w:sz w:val="24"/>
        </w:rPr>
        <w:t>。</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lastRenderedPageBreak/>
        <w:t xml:space="preserve"> 2</w:t>
      </w:r>
      <w:r>
        <w:rPr>
          <w:rFonts w:ascii="宋体" w:hAnsi="宋体" w:cs="宋体" w:hint="eastAsia"/>
          <w:sz w:val="24"/>
        </w:rPr>
        <w:t>、供应商的主要责任</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 xml:space="preserve"> (1)</w:t>
      </w:r>
      <w:r>
        <w:rPr>
          <w:rFonts w:ascii="宋体" w:hAnsi="宋体" w:cs="宋体" w:hint="eastAsia"/>
          <w:sz w:val="24"/>
        </w:rPr>
        <w:t>从运营服务开始之日起，供应商应每日二十四</w:t>
      </w:r>
      <w:r>
        <w:rPr>
          <w:rFonts w:ascii="宋体" w:hAnsi="宋体" w:cs="宋体" w:hint="eastAsia"/>
          <w:sz w:val="24"/>
        </w:rPr>
        <w:t>(24)</w:t>
      </w:r>
      <w:r>
        <w:rPr>
          <w:rFonts w:ascii="宋体" w:hAnsi="宋体" w:cs="宋体" w:hint="eastAsia"/>
          <w:sz w:val="24"/>
        </w:rPr>
        <w:t>小时，每年三百五十</w:t>
      </w:r>
      <w:r>
        <w:rPr>
          <w:rFonts w:ascii="宋体" w:hAnsi="宋体" w:cs="宋体" w:hint="eastAsia"/>
          <w:sz w:val="24"/>
        </w:rPr>
        <w:t xml:space="preserve"> (350)</w:t>
      </w:r>
      <w:r>
        <w:rPr>
          <w:rFonts w:ascii="宋体" w:hAnsi="宋体" w:cs="宋体" w:hint="eastAsia"/>
          <w:sz w:val="24"/>
        </w:rPr>
        <w:t>日连续接受和处理污水，将从接收点排入的进水经处理达到出水质量标准后，排放至出水口。</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 xml:space="preserve"> (2)</w:t>
      </w:r>
      <w:r>
        <w:rPr>
          <w:rFonts w:ascii="宋体" w:hAnsi="宋体" w:cs="宋体" w:hint="eastAsia"/>
          <w:sz w:val="24"/>
        </w:rPr>
        <w:t>如果污水的出水量超过污水处理项目合同规定的能力，应及时通知采购人，同时提出拟采取的措施，通知发出</w:t>
      </w:r>
      <w:r>
        <w:rPr>
          <w:rFonts w:ascii="宋体" w:hAnsi="宋体" w:cs="宋体" w:hint="eastAsia"/>
          <w:sz w:val="24"/>
        </w:rPr>
        <w:t>15</w:t>
      </w:r>
      <w:r>
        <w:rPr>
          <w:rFonts w:ascii="宋体" w:hAnsi="宋体" w:cs="宋体" w:hint="eastAsia"/>
          <w:sz w:val="24"/>
        </w:rPr>
        <w:t>个工作日内采购人没有表示意见，则被视为同意项目单位的措施建议。</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供应商应按适用法律和合理的商业标准及惯例认真而有效地处理其业务与事务。</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在整个运营期内，供应商应认真执行国家行业标准《生活垃圾填埋场污染物控制标准》</w:t>
      </w:r>
      <w:r>
        <w:rPr>
          <w:rFonts w:ascii="宋体" w:hAnsi="宋体" w:cs="宋体" w:hint="eastAsia"/>
          <w:sz w:val="24"/>
        </w:rPr>
        <w:t>(GB16889-</w:t>
      </w:r>
      <w:r>
        <w:rPr>
          <w:rFonts w:ascii="宋体" w:hAnsi="宋体" w:cs="宋体" w:hint="eastAsia"/>
          <w:sz w:val="24"/>
        </w:rPr>
        <w:t>2008)</w:t>
      </w:r>
      <w:r>
        <w:rPr>
          <w:rFonts w:ascii="宋体" w:hAnsi="宋体" w:cs="宋体" w:hint="eastAsia"/>
          <w:sz w:val="24"/>
        </w:rPr>
        <w:t>，并建立健全水质检测和检验制度，按照国家规定的检测项目、检测频次和有关标准、方法定期检测出水水质，做好各项检测分析资料和水质报表的汇总、归档，接受当地环保部门的检查与监督。</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 xml:space="preserve"> (5)</w:t>
      </w:r>
      <w:r>
        <w:rPr>
          <w:rFonts w:ascii="宋体" w:hAnsi="宋体" w:cs="宋体" w:hint="eastAsia"/>
          <w:sz w:val="24"/>
        </w:rPr>
        <w:t>供应商对垃圾污水处理设施的状况及性能建立定期检修保养制度，对各项设施的图纸资料进行收集、归类和整理，完善公用设施信息化管理系统，保持水处理设施处于良好使用状态，并在采购人的要求下将设施运行情况报告给采购人。</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供应商在日常生产经营活动中，应充分考虑环境影响，维护生态环境。</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(7)</w:t>
      </w:r>
      <w:r>
        <w:rPr>
          <w:rFonts w:ascii="宋体" w:hAnsi="宋体" w:cs="宋体" w:hint="eastAsia"/>
          <w:sz w:val="24"/>
        </w:rPr>
        <w:t>供应商应建立完善安全生产制度和事故紧</w:t>
      </w:r>
      <w:r>
        <w:rPr>
          <w:rFonts w:ascii="宋体" w:hAnsi="宋体" w:cs="宋体" w:hint="eastAsia"/>
          <w:sz w:val="24"/>
        </w:rPr>
        <w:t>急应急机制，并报采购人备案；供应商应保障生产和服务的稳定和安全，防止事故发生。如出现重大意外事故，供应商应及时通报采购人，并尽最大人力、物力进行抢救，尽快恢复生产与服务；在事故影响期间，供应商应采取各种应急措施进行补救，尽量减少事故对公众的影响。同时承担一切事故处理责任及发生费用。</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 xml:space="preserve"> (8)</w:t>
      </w:r>
      <w:r>
        <w:rPr>
          <w:rFonts w:ascii="宋体" w:hAnsi="宋体" w:cs="宋体" w:hint="eastAsia"/>
          <w:sz w:val="24"/>
        </w:rPr>
        <w:t>供应商应与环保部门积极沟通处理协调某些突发事件。</w:t>
      </w:r>
    </w:p>
    <w:p w:rsidR="001742DD" w:rsidRDefault="00924B25">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三</w:t>
      </w:r>
      <w:r>
        <w:rPr>
          <w:rFonts w:ascii="宋体" w:hAnsi="宋体" w:cs="宋体" w:hint="eastAsia"/>
          <w:b/>
          <w:bCs/>
          <w:sz w:val="24"/>
        </w:rPr>
        <w:t>、质量保证及后续服务</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、人员培训</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承包运营期结束前一个月，供应商应就其所提供的设备及操作系统，对采购人的操作人员和维修人员进行操作、安全保护措施和维护保养方面的</w:t>
      </w:r>
      <w:r>
        <w:rPr>
          <w:rFonts w:ascii="宋体" w:hAnsi="宋体" w:cs="宋体" w:hint="eastAsia"/>
          <w:sz w:val="24"/>
        </w:rPr>
        <w:t>培训。</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培训工作在现场及厂家进行，培训人数</w:t>
      </w:r>
      <w:r>
        <w:rPr>
          <w:rFonts w:ascii="宋体" w:hAnsi="宋体" w:cs="宋体" w:hint="eastAsia"/>
          <w:sz w:val="24"/>
        </w:rPr>
        <w:t>10~15</w:t>
      </w:r>
      <w:r>
        <w:rPr>
          <w:rFonts w:ascii="宋体" w:hAnsi="宋体" w:cs="宋体" w:hint="eastAsia"/>
          <w:sz w:val="24"/>
        </w:rPr>
        <w:t>人，培训费用含在投标报价</w:t>
      </w:r>
      <w:r>
        <w:rPr>
          <w:rFonts w:ascii="宋体" w:hAnsi="宋体" w:cs="宋体" w:hint="eastAsia"/>
          <w:sz w:val="24"/>
        </w:rPr>
        <w:lastRenderedPageBreak/>
        <w:t>中。</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培训内容包括主要设备的结构介绍、使用性能、操作程序、安全措施和维护修理程序和方法。培训方式包括理论讲课和实际操作。</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供应商应为培训人员提供正规的培训手册。</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、项目移交</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2.1</w:t>
      </w:r>
      <w:r>
        <w:rPr>
          <w:rFonts w:ascii="宋体" w:hAnsi="宋体" w:cs="宋体" w:hint="eastAsia"/>
          <w:sz w:val="24"/>
        </w:rPr>
        <w:t>承包运营结束后</w:t>
      </w:r>
      <w:r>
        <w:rPr>
          <w:rFonts w:ascii="宋体" w:hAnsi="宋体" w:cs="宋体" w:hint="eastAsia"/>
          <w:sz w:val="24"/>
        </w:rPr>
        <w:t>15</w:t>
      </w:r>
      <w:r>
        <w:rPr>
          <w:rFonts w:ascii="宋体" w:hAnsi="宋体" w:cs="宋体" w:hint="eastAsia"/>
          <w:sz w:val="24"/>
        </w:rPr>
        <w:t>个工作日内，由采购人对设备运行状况按照相关标准、技术规范及技术文件的规定组织验收，全部数据检测合格，且系统无任何故障后，按照采购人要求，供应商将全部项目移交给采购人</w:t>
      </w:r>
      <w:r>
        <w:rPr>
          <w:rFonts w:ascii="宋体" w:hAnsi="宋体" w:cs="宋体" w:hint="eastAsia"/>
          <w:sz w:val="24"/>
        </w:rPr>
        <w:t>(</w:t>
      </w:r>
      <w:r>
        <w:rPr>
          <w:rFonts w:ascii="宋体" w:hAnsi="宋体" w:cs="宋体" w:hint="eastAsia"/>
          <w:sz w:val="24"/>
        </w:rPr>
        <w:t>或者采购人指定的单位</w:t>
      </w:r>
      <w:r>
        <w:rPr>
          <w:rFonts w:ascii="宋体" w:hAnsi="宋体" w:cs="宋体" w:hint="eastAsia"/>
          <w:sz w:val="24"/>
        </w:rPr>
        <w:t>)</w:t>
      </w:r>
      <w:r>
        <w:rPr>
          <w:rFonts w:ascii="宋体" w:hAnsi="宋体" w:cs="宋体" w:hint="eastAsia"/>
          <w:sz w:val="24"/>
        </w:rPr>
        <w:t>；</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2.2</w:t>
      </w:r>
      <w:r>
        <w:rPr>
          <w:rFonts w:ascii="宋体" w:hAnsi="宋体" w:cs="宋体" w:hint="eastAsia"/>
          <w:sz w:val="24"/>
        </w:rPr>
        <w:t>移交范围</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w:t>
      </w:r>
      <w:r>
        <w:rPr>
          <w:rFonts w:ascii="宋体" w:hAnsi="宋体" w:cs="宋体" w:hint="eastAsia"/>
          <w:sz w:val="24"/>
        </w:rPr>
        <w:t>商对污水处理设施的所有权利和利益，包括：</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污水处理项目设施的建筑物和构筑物；</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与污水处理项目设施相关使用的所有机械和设备；</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所有备件和配件、化学药品以及其他动产；</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运营维护项目设施所要求的所有技术和技术诀窍、知识产权等无形资产</w:t>
      </w:r>
      <w:r>
        <w:rPr>
          <w:rFonts w:ascii="宋体" w:hAnsi="宋体" w:cs="宋体" w:hint="eastAsia"/>
          <w:sz w:val="24"/>
        </w:rPr>
        <w:t>(</w:t>
      </w:r>
      <w:r>
        <w:rPr>
          <w:rFonts w:ascii="宋体" w:hAnsi="宋体" w:cs="宋体" w:hint="eastAsia"/>
          <w:sz w:val="24"/>
        </w:rPr>
        <w:t>包括以许可方式取得的</w:t>
      </w:r>
      <w:r>
        <w:rPr>
          <w:rFonts w:ascii="宋体" w:hAnsi="宋体" w:cs="宋体" w:hint="eastAsia"/>
          <w:sz w:val="24"/>
        </w:rPr>
        <w:t>)</w:t>
      </w:r>
      <w:r>
        <w:rPr>
          <w:rFonts w:ascii="宋体" w:hAnsi="宋体" w:cs="宋体" w:hint="eastAsia"/>
          <w:sz w:val="24"/>
        </w:rPr>
        <w:t>。</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在用的各类管理章程和运营手册包括专有技术、生产档案、技术档案、文秘档案、图书资料、设计图纸、文件和其他资料，以使污水处理项目能平稳地正常地继续运营。</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这些资产在向采购人移交时应不存在任何留置权、债权、抵押、担保物权或任何种类的其它请求权。污水处理项目场地在移交日应不存在任何环境问题和环境遗留问题。</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2.3</w:t>
      </w:r>
      <w:r>
        <w:rPr>
          <w:rFonts w:ascii="宋体" w:hAnsi="宋体" w:cs="宋体" w:hint="eastAsia"/>
          <w:sz w:val="24"/>
        </w:rPr>
        <w:t>采购人在接受工程时，要对以下各项条件逐一检查合格后再接受：全套的技术资料</w:t>
      </w:r>
      <w:r>
        <w:rPr>
          <w:rFonts w:ascii="宋体" w:hAnsi="宋体" w:cs="宋体" w:hint="eastAsia"/>
          <w:sz w:val="24"/>
        </w:rPr>
        <w:t>(</w:t>
      </w:r>
      <w:r>
        <w:rPr>
          <w:rFonts w:ascii="宋体" w:hAnsi="宋体" w:cs="宋体" w:hint="eastAsia"/>
          <w:sz w:val="24"/>
        </w:rPr>
        <w:t>包括工艺流程图、构物总布置图、设备设施的说明书、合格证、保证、设施设备的操作手册、检测报告、运行总结报告、设备设施维护说明书、整个系统的操作规程</w:t>
      </w:r>
      <w:r>
        <w:rPr>
          <w:rFonts w:ascii="宋体" w:hAnsi="宋体" w:cs="宋体" w:hint="eastAsia"/>
          <w:sz w:val="24"/>
        </w:rPr>
        <w:t>)</w:t>
      </w:r>
      <w:r>
        <w:rPr>
          <w:rFonts w:ascii="宋体" w:hAnsi="宋体" w:cs="宋体" w:hint="eastAsia"/>
          <w:sz w:val="24"/>
        </w:rPr>
        <w:t>。</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、最后恢复性大修和性能测试</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3.1</w:t>
      </w:r>
      <w:r>
        <w:rPr>
          <w:rFonts w:ascii="宋体" w:hAnsi="宋体" w:cs="宋体" w:hint="eastAsia"/>
          <w:sz w:val="24"/>
        </w:rPr>
        <w:t>最后恢复性大修</w:t>
      </w:r>
    </w:p>
    <w:p w:rsidR="001742DD" w:rsidRDefault="00924B25">
      <w:pPr>
        <w:numPr>
          <w:ilvl w:val="0"/>
          <w:numId w:val="1"/>
        </w:num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在移交日之前不早于三个月，供应商应按照与采购人商定的最后恢复性大修计划对污水处理</w:t>
      </w:r>
      <w:r>
        <w:rPr>
          <w:rFonts w:ascii="宋体" w:hAnsi="宋体" w:cs="宋体" w:hint="eastAsia"/>
          <w:sz w:val="24"/>
        </w:rPr>
        <w:t>项目设施进行大修，但此大修必须于移交日一个月之前完成。</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lastRenderedPageBreak/>
        <w:t>(2)</w:t>
      </w:r>
      <w:r>
        <w:rPr>
          <w:rFonts w:ascii="宋体" w:hAnsi="宋体" w:cs="宋体" w:hint="eastAsia"/>
          <w:sz w:val="24"/>
        </w:rPr>
        <w:t>通过最后恢复性大修，供应商应确保污水处理厂关键设备的整体完好率达到</w:t>
      </w:r>
      <w:r>
        <w:rPr>
          <w:rFonts w:ascii="宋体" w:hAnsi="宋体" w:cs="宋体"/>
          <w:sz w:val="24"/>
        </w:rPr>
        <w:t>95%</w:t>
      </w:r>
      <w:r>
        <w:rPr>
          <w:rFonts w:ascii="宋体" w:hAnsi="宋体" w:cs="宋体"/>
          <w:sz w:val="24"/>
        </w:rPr>
        <w:t>、其他设备的整体完好率达到</w:t>
      </w:r>
      <w:r>
        <w:rPr>
          <w:rFonts w:ascii="宋体" w:hAnsi="宋体" w:cs="宋体"/>
          <w:sz w:val="24"/>
        </w:rPr>
        <w:t>90%</w:t>
      </w:r>
      <w:r>
        <w:rPr>
          <w:rFonts w:ascii="宋体" w:hAnsi="宋体" w:cs="宋体"/>
          <w:sz w:val="24"/>
        </w:rPr>
        <w:t>、污水</w:t>
      </w:r>
      <w:r>
        <w:rPr>
          <w:rFonts w:ascii="宋体" w:hAnsi="宋体" w:cs="宋体" w:hint="eastAsia"/>
          <w:sz w:val="24"/>
        </w:rPr>
        <w:t>处理站站内构筑物不存在重大破损。</w:t>
      </w:r>
      <w:r>
        <w:rPr>
          <w:rFonts w:ascii="宋体" w:hAnsi="宋体" w:cs="宋体" w:hint="eastAsia"/>
          <w:sz w:val="24"/>
        </w:rPr>
        <w:t xml:space="preserve"> </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如果供应商不能根据上述要求进行最后恢复性大修或达到大修标准，采购人应有权提取履约保证金自行进行大修。在此情况下，应向供应商提供所发生的支出的详细记录。</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3.2</w:t>
      </w:r>
      <w:r>
        <w:rPr>
          <w:rFonts w:ascii="宋体" w:hAnsi="宋体" w:cs="宋体" w:hint="eastAsia"/>
          <w:sz w:val="24"/>
        </w:rPr>
        <w:t>性能测试</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在移交日之前，采购人应进行污水处理项目设施的性能测试。供应商有责任使测试所得各项性能参数都能符合技术规范的要求，如果所测参数仍有差</w:t>
      </w:r>
      <w:r>
        <w:rPr>
          <w:rFonts w:ascii="宋体" w:hAnsi="宋体" w:cs="宋体" w:hint="eastAsia"/>
          <w:sz w:val="24"/>
        </w:rPr>
        <w:t>距，采购人有权从未返还的履约保证金中支取费用以修正上述缺陷，若采购人这样做时则需将发生的支出详细记录提交给供应商。</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 xml:space="preserve"> 4</w:t>
      </w:r>
      <w:r>
        <w:rPr>
          <w:rFonts w:ascii="宋体" w:hAnsi="宋体" w:cs="宋体" w:hint="eastAsia"/>
          <w:sz w:val="24"/>
        </w:rPr>
        <w:t>、备品备件</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4.1</w:t>
      </w:r>
      <w:r>
        <w:rPr>
          <w:rFonts w:ascii="宋体" w:hAnsi="宋体" w:cs="宋体" w:hint="eastAsia"/>
          <w:sz w:val="24"/>
        </w:rPr>
        <w:t>在移交日，供应商应向采购人无偿移交按技术规范要求的在六个月期间污水处理项目设施正常运行需要的消耗性备件和事故抢修的零备件，并提交备件的详细清单。</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4.2</w:t>
      </w:r>
      <w:r>
        <w:rPr>
          <w:rFonts w:ascii="宋体" w:hAnsi="宋体" w:cs="宋体" w:hint="eastAsia"/>
          <w:sz w:val="24"/>
        </w:rPr>
        <w:t>供应商应向采购人提交生产、销售污水处理项目设施所需全部备品备件的格型号和厂商名单。如采购人提出要求，供应商应按照投标时所承诺的质量和价格协助采购人采购。</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、售后服务</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5.1</w:t>
      </w:r>
      <w:r>
        <w:rPr>
          <w:rFonts w:ascii="宋体" w:hAnsi="宋体" w:cs="宋体" w:hint="eastAsia"/>
          <w:sz w:val="24"/>
        </w:rPr>
        <w:t>承包运营期结束后，如在质量保证期内，一旦接到采购</w:t>
      </w:r>
      <w:r>
        <w:rPr>
          <w:rFonts w:ascii="宋体" w:hAnsi="宋体" w:cs="宋体" w:hint="eastAsia"/>
          <w:sz w:val="24"/>
        </w:rPr>
        <w:t>人的报修电话后，如电话指导不能解决问题，供应商应在</w:t>
      </w:r>
      <w:r>
        <w:rPr>
          <w:rFonts w:ascii="宋体" w:hAnsi="宋体" w:cs="宋体" w:hint="eastAsia"/>
          <w:sz w:val="24"/>
        </w:rPr>
        <w:t>12</w:t>
      </w:r>
      <w:r>
        <w:rPr>
          <w:rFonts w:ascii="宋体" w:hAnsi="宋体" w:cs="宋体" w:hint="eastAsia"/>
          <w:sz w:val="24"/>
        </w:rPr>
        <w:t>小时内派遣有经验的维修工程师到现场提供免费维修服务。</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5.2</w:t>
      </w:r>
      <w:r>
        <w:rPr>
          <w:rFonts w:ascii="宋体" w:hAnsi="宋体" w:cs="宋体" w:hint="eastAsia"/>
          <w:sz w:val="24"/>
        </w:rPr>
        <w:t>维修工程师赴现场后应及时对故障设备进行检修，对于一般故障应在</w:t>
      </w:r>
      <w:r>
        <w:rPr>
          <w:rFonts w:ascii="宋体" w:hAnsi="宋体" w:cs="宋体" w:hint="eastAsia"/>
          <w:sz w:val="24"/>
        </w:rPr>
        <w:t>24</w:t>
      </w:r>
      <w:r>
        <w:rPr>
          <w:rFonts w:ascii="宋体" w:hAnsi="宋体" w:cs="宋体" w:hint="eastAsia"/>
          <w:sz w:val="24"/>
        </w:rPr>
        <w:t>小时内修复；对于重大故障应在</w:t>
      </w:r>
      <w:r>
        <w:rPr>
          <w:rFonts w:ascii="宋体" w:hAnsi="宋体" w:cs="宋体" w:hint="eastAsia"/>
          <w:sz w:val="24"/>
        </w:rPr>
        <w:t>72</w:t>
      </w:r>
      <w:r>
        <w:rPr>
          <w:rFonts w:ascii="宋体" w:hAnsi="宋体" w:cs="宋体" w:hint="eastAsia"/>
          <w:sz w:val="24"/>
        </w:rPr>
        <w:t>小时内修复。</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5.3</w:t>
      </w:r>
      <w:r>
        <w:rPr>
          <w:rFonts w:ascii="宋体" w:hAnsi="宋体" w:cs="宋体" w:hint="eastAsia"/>
          <w:sz w:val="24"/>
        </w:rPr>
        <w:t>在每次报修结束后的</w:t>
      </w:r>
      <w:r>
        <w:rPr>
          <w:rFonts w:ascii="宋体" w:hAnsi="宋体" w:cs="宋体" w:hint="eastAsia"/>
          <w:sz w:val="24"/>
        </w:rPr>
        <w:t>8</w:t>
      </w:r>
      <w:r>
        <w:rPr>
          <w:rFonts w:ascii="宋体" w:hAnsi="宋体" w:cs="宋体" w:hint="eastAsia"/>
          <w:sz w:val="24"/>
        </w:rPr>
        <w:t>小时内送交采购人一份维修报告，标明采购人报修时间、维修工程师到场时间、故障原因、采取的维修措施及系统恢复时间。</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5.4</w:t>
      </w:r>
      <w:r>
        <w:rPr>
          <w:rFonts w:ascii="宋体" w:hAnsi="宋体" w:cs="宋体" w:hint="eastAsia"/>
          <w:sz w:val="24"/>
        </w:rPr>
        <w:t>设备质保期限为设备通过最终验收后</w:t>
      </w:r>
      <w:r>
        <w:rPr>
          <w:rFonts w:ascii="宋体" w:hAnsi="宋体" w:cs="宋体" w:hint="eastAsia"/>
          <w:sz w:val="24"/>
        </w:rPr>
        <w:t>12</w:t>
      </w:r>
      <w:r>
        <w:rPr>
          <w:rFonts w:ascii="宋体" w:hAnsi="宋体" w:cs="宋体" w:hint="eastAsia"/>
          <w:sz w:val="24"/>
        </w:rPr>
        <w:t>个月或设备到达项目现场各方共同初验后</w:t>
      </w:r>
      <w:r>
        <w:rPr>
          <w:rFonts w:ascii="宋体" w:hAnsi="宋体" w:cs="宋体" w:hint="eastAsia"/>
          <w:sz w:val="24"/>
        </w:rPr>
        <w:t>18</w:t>
      </w:r>
      <w:r>
        <w:rPr>
          <w:rFonts w:ascii="宋体" w:hAnsi="宋体" w:cs="宋体" w:hint="eastAsia"/>
          <w:sz w:val="24"/>
        </w:rPr>
        <w:t>个月，两者以先到的为准。</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5.5</w:t>
      </w:r>
      <w:r>
        <w:rPr>
          <w:rFonts w:ascii="宋体" w:hAnsi="宋体" w:cs="宋体" w:hint="eastAsia"/>
          <w:sz w:val="24"/>
        </w:rPr>
        <w:t>服务承诺及担保：</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lastRenderedPageBreak/>
        <w:t>1)</w:t>
      </w:r>
      <w:r>
        <w:rPr>
          <w:rFonts w:ascii="宋体" w:hAnsi="宋体" w:cs="宋体" w:hint="eastAsia"/>
          <w:sz w:val="24"/>
        </w:rPr>
        <w:t>售后服务措施及</w:t>
      </w:r>
      <w:r>
        <w:rPr>
          <w:rFonts w:ascii="宋体" w:hAnsi="宋体" w:cs="宋体" w:hint="eastAsia"/>
          <w:sz w:val="24"/>
        </w:rPr>
        <w:t>承诺；</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对处理系统运行功能和膜处理使用寿命的担保；</w:t>
      </w:r>
    </w:p>
    <w:p w:rsidR="001742DD" w:rsidRDefault="00924B2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对处理系统运行费用不高于运行费用计算表中计算值的担保。</w:t>
      </w:r>
    </w:p>
    <w:p w:rsidR="001742DD" w:rsidRDefault="00924B25">
      <w:pPr>
        <w:autoSpaceDE w:val="0"/>
        <w:autoSpaceDN w:val="0"/>
        <w:adjustRightInd w:val="0"/>
        <w:spacing w:line="360" w:lineRule="auto"/>
        <w:ind w:firstLineChars="200" w:firstLine="482"/>
        <w:jc w:val="left"/>
        <w:rPr>
          <w:b/>
          <w:bCs/>
          <w:sz w:val="24"/>
        </w:rPr>
      </w:pPr>
      <w:r>
        <w:rPr>
          <w:rFonts w:hint="eastAsia"/>
          <w:b/>
          <w:bCs/>
          <w:sz w:val="24"/>
        </w:rPr>
        <w:t>四</w:t>
      </w:r>
      <w:r>
        <w:rPr>
          <w:rFonts w:hint="eastAsia"/>
          <w:b/>
          <w:bCs/>
          <w:sz w:val="24"/>
        </w:rPr>
        <w:t>、合同期限及其他</w:t>
      </w:r>
    </w:p>
    <w:p w:rsidR="001742DD" w:rsidRDefault="00924B25">
      <w:pPr>
        <w:autoSpaceDE w:val="0"/>
        <w:autoSpaceDN w:val="0"/>
        <w:adjustRightInd w:val="0"/>
        <w:spacing w:line="360" w:lineRule="auto"/>
        <w:ind w:firstLineChars="200" w:firstLine="480"/>
        <w:jc w:val="left"/>
        <w:rPr>
          <w:sz w:val="24"/>
        </w:rPr>
      </w:pPr>
      <w:r>
        <w:rPr>
          <w:rFonts w:hint="eastAsia"/>
          <w:sz w:val="24"/>
        </w:rPr>
        <w:t>1</w:t>
      </w:r>
      <w:r>
        <w:rPr>
          <w:rFonts w:hint="eastAsia"/>
          <w:sz w:val="24"/>
        </w:rPr>
        <w:t>、由于非供应商的原因导致合同期延长，甲、乙双方应按约定签定补充协议。</w:t>
      </w:r>
    </w:p>
    <w:p w:rsidR="001742DD" w:rsidRDefault="00924B25">
      <w:pPr>
        <w:autoSpaceDE w:val="0"/>
        <w:autoSpaceDN w:val="0"/>
        <w:adjustRightInd w:val="0"/>
        <w:spacing w:line="360" w:lineRule="auto"/>
        <w:ind w:firstLineChars="200" w:firstLine="480"/>
        <w:jc w:val="left"/>
        <w:rPr>
          <w:sz w:val="24"/>
        </w:rPr>
      </w:pPr>
      <w:r>
        <w:rPr>
          <w:rFonts w:hint="eastAsia"/>
          <w:sz w:val="24"/>
        </w:rPr>
        <w:t>2</w:t>
      </w:r>
      <w:r>
        <w:rPr>
          <w:rFonts w:hint="eastAsia"/>
          <w:sz w:val="24"/>
        </w:rPr>
        <w:t>、若实际成交量或合同期因故发生重大变化，双方均可提出合同变更请求并应签订补充协议，但所有补充合同的采购金额不得超过原合同采购金额的</w:t>
      </w:r>
      <w:r>
        <w:rPr>
          <w:rFonts w:hint="eastAsia"/>
          <w:sz w:val="24"/>
        </w:rPr>
        <w:t>10%</w:t>
      </w:r>
      <w:r>
        <w:rPr>
          <w:rFonts w:hint="eastAsia"/>
          <w:sz w:val="24"/>
        </w:rPr>
        <w:t>。</w:t>
      </w:r>
    </w:p>
    <w:p w:rsidR="001742DD" w:rsidRDefault="00924B25">
      <w:pPr>
        <w:autoSpaceDE w:val="0"/>
        <w:autoSpaceDN w:val="0"/>
        <w:adjustRightInd w:val="0"/>
        <w:spacing w:line="360" w:lineRule="auto"/>
        <w:ind w:firstLineChars="200" w:firstLine="480"/>
        <w:jc w:val="left"/>
        <w:rPr>
          <w:rFonts w:ascii="黑体" w:eastAsia="黑体"/>
          <w:bCs/>
          <w:sz w:val="44"/>
          <w:szCs w:val="28"/>
        </w:rPr>
      </w:pPr>
      <w:r>
        <w:rPr>
          <w:rFonts w:hint="eastAsia"/>
          <w:sz w:val="24"/>
        </w:rPr>
        <w:t>3</w:t>
      </w:r>
      <w:r>
        <w:rPr>
          <w:rFonts w:hint="eastAsia"/>
          <w:sz w:val="24"/>
        </w:rPr>
        <w:t>、采购人招标文件、供应商投标文件、会议记录、补充合同均为本合同的组成部分，具有同等法律效力。</w:t>
      </w:r>
    </w:p>
    <w:tbl>
      <w:tblPr>
        <w:tblW w:w="8544" w:type="dxa"/>
        <w:tblInd w:w="-108" w:type="dxa"/>
        <w:tblLayout w:type="fixed"/>
        <w:tblCellMar>
          <w:left w:w="0" w:type="dxa"/>
          <w:right w:w="0" w:type="dxa"/>
        </w:tblCellMar>
        <w:tblLook w:val="04A0"/>
      </w:tblPr>
      <w:tblGrid>
        <w:gridCol w:w="5053"/>
        <w:gridCol w:w="3491"/>
      </w:tblGrid>
      <w:tr w:rsidR="001742DD">
        <w:tc>
          <w:tcPr>
            <w:tcW w:w="5053" w:type="dxa"/>
            <w:tcBorders>
              <w:top w:val="nil"/>
              <w:left w:val="nil"/>
              <w:bottom w:val="nil"/>
              <w:right w:val="nil"/>
            </w:tcBorders>
          </w:tcPr>
          <w:p w:rsidR="001742DD" w:rsidRDefault="00924B25">
            <w:pPr>
              <w:pStyle w:val="10"/>
              <w:spacing w:before="120" w:after="120" w:line="360" w:lineRule="auto"/>
              <w:jc w:val="left"/>
              <w:rPr>
                <w:sz w:val="24"/>
                <w:lang w:val="zh-CN"/>
              </w:rPr>
            </w:pPr>
            <w:r>
              <w:rPr>
                <w:rFonts w:hAnsi="宋体" w:hint="eastAsia"/>
                <w:sz w:val="24"/>
                <w:szCs w:val="24"/>
              </w:rPr>
              <w:t>甲方</w:t>
            </w:r>
            <w:r>
              <w:rPr>
                <w:rFonts w:hint="eastAsia"/>
                <w:sz w:val="24"/>
                <w:lang w:val="zh-CN"/>
              </w:rPr>
              <w:t>：</w:t>
            </w:r>
            <w:r>
              <w:rPr>
                <w:rFonts w:hAnsi="宋体" w:hint="eastAsia"/>
                <w:sz w:val="24"/>
                <w:szCs w:val="24"/>
              </w:rPr>
              <w:t>（公章）</w:t>
            </w:r>
          </w:p>
          <w:p w:rsidR="001742DD" w:rsidRDefault="00924B25">
            <w:pPr>
              <w:autoSpaceDE w:val="0"/>
              <w:autoSpaceDN w:val="0"/>
              <w:adjustRightInd w:val="0"/>
              <w:spacing w:line="360" w:lineRule="auto"/>
              <w:jc w:val="left"/>
              <w:rPr>
                <w:rFonts w:ascii="宋体"/>
                <w:sz w:val="24"/>
                <w:lang w:val="zh-CN"/>
              </w:rPr>
            </w:pPr>
            <w:r>
              <w:rPr>
                <w:rFonts w:ascii="宋体" w:hAnsi="宋体" w:hint="eastAsia"/>
                <w:sz w:val="24"/>
              </w:rPr>
              <w:t>南京市城市管理生活废弃物处置指导中心</w:t>
            </w:r>
          </w:p>
        </w:tc>
        <w:tc>
          <w:tcPr>
            <w:tcW w:w="3491" w:type="dxa"/>
            <w:tcBorders>
              <w:top w:val="nil"/>
              <w:left w:val="nil"/>
              <w:bottom w:val="nil"/>
              <w:right w:val="nil"/>
            </w:tcBorders>
          </w:tcPr>
          <w:p w:rsidR="001742DD" w:rsidRDefault="00924B25">
            <w:pPr>
              <w:pStyle w:val="10"/>
              <w:spacing w:before="120" w:after="120" w:line="360" w:lineRule="auto"/>
              <w:jc w:val="left"/>
              <w:rPr>
                <w:rFonts w:hAnsi="宋体"/>
                <w:sz w:val="24"/>
                <w:szCs w:val="24"/>
              </w:rPr>
            </w:pPr>
            <w:r>
              <w:rPr>
                <w:rFonts w:hAnsi="宋体" w:hint="eastAsia"/>
                <w:sz w:val="24"/>
                <w:szCs w:val="24"/>
              </w:rPr>
              <w:t>乙方</w:t>
            </w:r>
            <w:r>
              <w:rPr>
                <w:rFonts w:hAnsi="宋体" w:hint="eastAsia"/>
                <w:sz w:val="24"/>
                <w:szCs w:val="24"/>
                <w:lang w:val="zh-CN"/>
              </w:rPr>
              <w:t>：</w:t>
            </w:r>
            <w:r>
              <w:rPr>
                <w:rFonts w:hAnsi="宋体" w:hint="eastAsia"/>
                <w:sz w:val="24"/>
                <w:szCs w:val="24"/>
              </w:rPr>
              <w:t>（公章）</w:t>
            </w:r>
          </w:p>
          <w:p w:rsidR="001742DD" w:rsidRDefault="00924B25">
            <w:pPr>
              <w:pStyle w:val="10"/>
              <w:tabs>
                <w:tab w:val="left" w:pos="390"/>
              </w:tabs>
              <w:spacing w:before="120" w:after="120" w:line="360" w:lineRule="auto"/>
              <w:jc w:val="left"/>
              <w:rPr>
                <w:sz w:val="24"/>
                <w:lang w:val="zh-CN"/>
              </w:rPr>
            </w:pPr>
            <w:r>
              <w:rPr>
                <w:rFonts w:hAnsi="宋体" w:hint="eastAsia"/>
                <w:sz w:val="24"/>
                <w:szCs w:val="24"/>
              </w:rPr>
              <w:t>南京环美科技股份有限公司</w:t>
            </w:r>
          </w:p>
        </w:tc>
      </w:tr>
      <w:tr w:rsidR="001742DD">
        <w:trPr>
          <w:trHeight w:val="753"/>
        </w:trPr>
        <w:tc>
          <w:tcPr>
            <w:tcW w:w="5053" w:type="dxa"/>
            <w:tcBorders>
              <w:top w:val="nil"/>
              <w:left w:val="nil"/>
              <w:bottom w:val="nil"/>
              <w:right w:val="nil"/>
            </w:tcBorders>
          </w:tcPr>
          <w:p w:rsidR="001742DD" w:rsidRDefault="00924B25">
            <w:pPr>
              <w:autoSpaceDE w:val="0"/>
              <w:autoSpaceDN w:val="0"/>
              <w:adjustRightInd w:val="0"/>
              <w:spacing w:line="360" w:lineRule="auto"/>
              <w:jc w:val="left"/>
              <w:rPr>
                <w:sz w:val="24"/>
              </w:rPr>
            </w:pPr>
            <w:r>
              <w:rPr>
                <w:rFonts w:hAnsi="宋体" w:hint="eastAsia"/>
                <w:sz w:val="24"/>
                <w:szCs w:val="24"/>
              </w:rPr>
              <w:t>地址：</w:t>
            </w:r>
            <w:r>
              <w:rPr>
                <w:rFonts w:ascii="宋体" w:hint="eastAsia"/>
                <w:sz w:val="24"/>
              </w:rPr>
              <w:t>江苏省南京市</w:t>
            </w:r>
          </w:p>
        </w:tc>
        <w:tc>
          <w:tcPr>
            <w:tcW w:w="3491" w:type="dxa"/>
            <w:tcBorders>
              <w:top w:val="nil"/>
              <w:left w:val="nil"/>
              <w:bottom w:val="nil"/>
              <w:right w:val="nil"/>
            </w:tcBorders>
          </w:tcPr>
          <w:p w:rsidR="001742DD" w:rsidRDefault="00924B25">
            <w:pPr>
              <w:autoSpaceDE w:val="0"/>
              <w:autoSpaceDN w:val="0"/>
              <w:adjustRightInd w:val="0"/>
              <w:spacing w:line="360" w:lineRule="auto"/>
              <w:jc w:val="left"/>
              <w:rPr>
                <w:rFonts w:ascii="宋体"/>
                <w:sz w:val="24"/>
              </w:rPr>
            </w:pPr>
            <w:r>
              <w:rPr>
                <w:rFonts w:hAnsi="宋体" w:hint="eastAsia"/>
                <w:sz w:val="24"/>
                <w:szCs w:val="24"/>
              </w:rPr>
              <w:t>地址</w:t>
            </w:r>
            <w:r>
              <w:rPr>
                <w:rFonts w:ascii="宋体" w:hint="eastAsia"/>
                <w:sz w:val="24"/>
                <w:lang w:val="zh-CN"/>
              </w:rPr>
              <w:t>：</w:t>
            </w:r>
            <w:r>
              <w:rPr>
                <w:rFonts w:ascii="宋体" w:hint="eastAsia"/>
                <w:sz w:val="24"/>
              </w:rPr>
              <w:t>江苏省南京市</w:t>
            </w:r>
          </w:p>
        </w:tc>
      </w:tr>
      <w:tr w:rsidR="001742DD">
        <w:trPr>
          <w:trHeight w:val="723"/>
        </w:trPr>
        <w:tc>
          <w:tcPr>
            <w:tcW w:w="5053" w:type="dxa"/>
            <w:tcBorders>
              <w:top w:val="nil"/>
              <w:left w:val="nil"/>
              <w:bottom w:val="nil"/>
              <w:right w:val="nil"/>
            </w:tcBorders>
          </w:tcPr>
          <w:p w:rsidR="001742DD" w:rsidRDefault="00924B25">
            <w:pPr>
              <w:autoSpaceDE w:val="0"/>
              <w:autoSpaceDN w:val="0"/>
              <w:adjustRightInd w:val="0"/>
              <w:spacing w:line="360" w:lineRule="auto"/>
              <w:jc w:val="left"/>
              <w:rPr>
                <w:rFonts w:hAnsi="宋体"/>
                <w:sz w:val="24"/>
                <w:szCs w:val="24"/>
              </w:rPr>
            </w:pPr>
            <w:r>
              <w:rPr>
                <w:rFonts w:hAnsi="宋体" w:hint="eastAsia"/>
                <w:sz w:val="24"/>
                <w:szCs w:val="24"/>
              </w:rPr>
              <w:t>法定代表人或授权代表：</w:t>
            </w:r>
          </w:p>
        </w:tc>
        <w:tc>
          <w:tcPr>
            <w:tcW w:w="3491" w:type="dxa"/>
            <w:tcBorders>
              <w:top w:val="nil"/>
              <w:left w:val="nil"/>
              <w:bottom w:val="nil"/>
              <w:right w:val="nil"/>
            </w:tcBorders>
          </w:tcPr>
          <w:p w:rsidR="001742DD" w:rsidRDefault="00924B25">
            <w:pPr>
              <w:autoSpaceDE w:val="0"/>
              <w:autoSpaceDN w:val="0"/>
              <w:adjustRightInd w:val="0"/>
              <w:spacing w:line="360" w:lineRule="auto"/>
              <w:jc w:val="left"/>
              <w:rPr>
                <w:rFonts w:hAnsi="宋体"/>
                <w:sz w:val="24"/>
                <w:szCs w:val="24"/>
              </w:rPr>
            </w:pPr>
            <w:r>
              <w:rPr>
                <w:rFonts w:hAnsi="宋体" w:hint="eastAsia"/>
                <w:sz w:val="24"/>
                <w:szCs w:val="24"/>
              </w:rPr>
              <w:t>法定代表人或授权代表：</w:t>
            </w:r>
          </w:p>
        </w:tc>
      </w:tr>
      <w:tr w:rsidR="001742DD">
        <w:trPr>
          <w:trHeight w:val="663"/>
        </w:trPr>
        <w:tc>
          <w:tcPr>
            <w:tcW w:w="5053" w:type="dxa"/>
            <w:tcBorders>
              <w:top w:val="nil"/>
              <w:left w:val="nil"/>
              <w:bottom w:val="nil"/>
              <w:right w:val="nil"/>
            </w:tcBorders>
          </w:tcPr>
          <w:p w:rsidR="001742DD" w:rsidRDefault="00924B25">
            <w:pPr>
              <w:autoSpaceDE w:val="0"/>
              <w:autoSpaceDN w:val="0"/>
              <w:adjustRightInd w:val="0"/>
              <w:spacing w:line="360" w:lineRule="auto"/>
              <w:jc w:val="left"/>
              <w:rPr>
                <w:rFonts w:hAnsi="宋体"/>
                <w:sz w:val="24"/>
                <w:szCs w:val="24"/>
              </w:rPr>
            </w:pPr>
            <w:r>
              <w:rPr>
                <w:rFonts w:hAnsi="宋体" w:cs="Courier New" w:hint="eastAsia"/>
                <w:sz w:val="24"/>
                <w:szCs w:val="24"/>
              </w:rPr>
              <w:t>联系电话：</w:t>
            </w:r>
            <w:r>
              <w:rPr>
                <w:rFonts w:hAnsi="宋体" w:cs="Courier New" w:hint="eastAsia"/>
                <w:sz w:val="24"/>
                <w:szCs w:val="24"/>
              </w:rPr>
              <w:t xml:space="preserve">   </w:t>
            </w:r>
          </w:p>
        </w:tc>
        <w:tc>
          <w:tcPr>
            <w:tcW w:w="3491" w:type="dxa"/>
            <w:tcBorders>
              <w:top w:val="nil"/>
              <w:left w:val="nil"/>
              <w:bottom w:val="nil"/>
              <w:right w:val="nil"/>
            </w:tcBorders>
          </w:tcPr>
          <w:p w:rsidR="001742DD" w:rsidRDefault="00924B25">
            <w:pPr>
              <w:autoSpaceDE w:val="0"/>
              <w:autoSpaceDN w:val="0"/>
              <w:adjustRightInd w:val="0"/>
              <w:spacing w:line="360" w:lineRule="auto"/>
              <w:jc w:val="left"/>
              <w:rPr>
                <w:rFonts w:hAnsi="宋体"/>
                <w:sz w:val="24"/>
                <w:szCs w:val="24"/>
              </w:rPr>
            </w:pPr>
            <w:r>
              <w:rPr>
                <w:rFonts w:hAnsi="宋体" w:cs="Courier New" w:hint="eastAsia"/>
                <w:sz w:val="24"/>
                <w:szCs w:val="24"/>
              </w:rPr>
              <w:t>联系电话：</w:t>
            </w:r>
            <w:r>
              <w:rPr>
                <w:rFonts w:hAnsi="宋体" w:cs="Courier New" w:hint="eastAsia"/>
                <w:sz w:val="24"/>
                <w:szCs w:val="24"/>
              </w:rPr>
              <w:t xml:space="preserve">   </w:t>
            </w:r>
          </w:p>
        </w:tc>
      </w:tr>
    </w:tbl>
    <w:p w:rsidR="001742DD" w:rsidRDefault="00924B25">
      <w:pPr>
        <w:pStyle w:val="10"/>
        <w:spacing w:before="120" w:after="120" w:line="360" w:lineRule="auto"/>
        <w:jc w:val="center"/>
        <w:rPr>
          <w:rFonts w:hAnsi="宋体" w:cs="Courier New"/>
          <w:sz w:val="24"/>
          <w:szCs w:val="24"/>
        </w:rPr>
      </w:pPr>
      <w:r>
        <w:rPr>
          <w:rFonts w:hAnsi="宋体" w:cs="Courier New" w:hint="eastAsia"/>
          <w:sz w:val="24"/>
          <w:szCs w:val="24"/>
        </w:rPr>
        <w:t>签订日期：</w:t>
      </w:r>
      <w:r>
        <w:rPr>
          <w:rFonts w:hAnsi="宋体" w:cs="Courier New" w:hint="eastAsia"/>
          <w:sz w:val="24"/>
          <w:szCs w:val="24"/>
        </w:rPr>
        <w:t>2024</w:t>
      </w:r>
      <w:r>
        <w:rPr>
          <w:rFonts w:hAnsi="宋体" w:cs="Courier New" w:hint="eastAsia"/>
          <w:sz w:val="24"/>
          <w:szCs w:val="24"/>
        </w:rPr>
        <w:t>年</w:t>
      </w:r>
      <w:r>
        <w:rPr>
          <w:rFonts w:hAnsi="宋体" w:cs="Courier New" w:hint="eastAsia"/>
          <w:sz w:val="24"/>
          <w:szCs w:val="24"/>
        </w:rPr>
        <w:t xml:space="preserve"> 6</w:t>
      </w:r>
      <w:r>
        <w:rPr>
          <w:rFonts w:hAnsi="宋体" w:cs="Courier New" w:hint="eastAsia"/>
          <w:sz w:val="24"/>
          <w:szCs w:val="24"/>
        </w:rPr>
        <w:t xml:space="preserve"> </w:t>
      </w:r>
      <w:r>
        <w:rPr>
          <w:rFonts w:hAnsi="宋体" w:cs="Courier New" w:hint="eastAsia"/>
          <w:sz w:val="24"/>
          <w:szCs w:val="24"/>
        </w:rPr>
        <w:t>月</w:t>
      </w:r>
      <w:r>
        <w:rPr>
          <w:rFonts w:hAnsi="宋体" w:cs="Courier New" w:hint="eastAsia"/>
          <w:sz w:val="24"/>
          <w:szCs w:val="24"/>
        </w:rPr>
        <w:t>16</w:t>
      </w:r>
      <w:r>
        <w:rPr>
          <w:rFonts w:hAnsi="宋体" w:cs="Courier New" w:hint="eastAsia"/>
          <w:sz w:val="24"/>
          <w:szCs w:val="24"/>
        </w:rPr>
        <w:t xml:space="preserve"> </w:t>
      </w:r>
      <w:r>
        <w:rPr>
          <w:rFonts w:hAnsi="宋体" w:cs="Courier New" w:hint="eastAsia"/>
          <w:sz w:val="24"/>
          <w:szCs w:val="24"/>
        </w:rPr>
        <w:t>日</w:t>
      </w:r>
    </w:p>
    <w:p w:rsidR="001742DD" w:rsidRDefault="001742DD"/>
    <w:sectPr w:rsidR="001742DD" w:rsidSect="001742D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B25" w:rsidRDefault="00924B25" w:rsidP="001742DD">
      <w:r>
        <w:separator/>
      </w:r>
    </w:p>
  </w:endnote>
  <w:endnote w:type="continuationSeparator" w:id="1">
    <w:p w:rsidR="00924B25" w:rsidRDefault="00924B25" w:rsidP="001742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DD" w:rsidRDefault="001742D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742DD" w:rsidRDefault="001742DD">
                <w:pPr>
                  <w:pStyle w:val="a4"/>
                </w:pPr>
                <w:r>
                  <w:fldChar w:fldCharType="begin"/>
                </w:r>
                <w:r w:rsidR="00924B25">
                  <w:instrText xml:space="preserve"> PAGE  \* MERGEFORMAT </w:instrText>
                </w:r>
                <w:r>
                  <w:fldChar w:fldCharType="separate"/>
                </w:r>
                <w:r w:rsidR="00D324EA">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B25" w:rsidRDefault="00924B25" w:rsidP="001742DD">
      <w:r>
        <w:separator/>
      </w:r>
    </w:p>
  </w:footnote>
  <w:footnote w:type="continuationSeparator" w:id="1">
    <w:p w:rsidR="00924B25" w:rsidRDefault="00924B25" w:rsidP="00174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C3E9AF"/>
    <w:multiLevelType w:val="singleLevel"/>
    <w:tmpl w:val="FEC3E9AF"/>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117069A"/>
    <w:rsid w:val="001742DD"/>
    <w:rsid w:val="00924B25"/>
    <w:rsid w:val="00D324EA"/>
    <w:rsid w:val="165977E4"/>
    <w:rsid w:val="2117069A"/>
    <w:rsid w:val="2BAF6295"/>
    <w:rsid w:val="3FD85478"/>
    <w:rsid w:val="584E13F8"/>
    <w:rsid w:val="60A069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1"/>
    <w:qFormat/>
    <w:rsid w:val="001742DD"/>
    <w:pPr>
      <w:widowControl w:val="0"/>
      <w:jc w:val="both"/>
    </w:pPr>
    <w:rPr>
      <w:rFonts w:ascii="Times New Roman" w:eastAsia="宋体" w:hAnsi="Times New Roman" w:cs="Times New Roman"/>
      <w:sz w:val="21"/>
      <w:szCs w:val="21"/>
    </w:rPr>
  </w:style>
  <w:style w:type="paragraph" w:styleId="1">
    <w:name w:val="heading 1"/>
    <w:basedOn w:val="a"/>
    <w:next w:val="a"/>
    <w:qFormat/>
    <w:rsid w:val="001742DD"/>
    <w:pPr>
      <w:keepNext/>
      <w:keepLines/>
      <w:spacing w:beforeLines="50" w:afterLines="50" w:line="360" w:lineRule="auto"/>
      <w:jc w:val="left"/>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索引 41"/>
    <w:basedOn w:val="a"/>
    <w:next w:val="a"/>
    <w:autoRedefine/>
    <w:semiHidden/>
    <w:qFormat/>
    <w:rsid w:val="001742DD"/>
    <w:pPr>
      <w:ind w:left="1260"/>
    </w:pPr>
    <w:rPr>
      <w:rFonts w:ascii="Calibri" w:eastAsia="Calibri" w:hAnsi="Calibri" w:cs="宋体"/>
      <w:sz w:val="20"/>
      <w:lang w:val="zh-CN"/>
    </w:rPr>
  </w:style>
  <w:style w:type="paragraph" w:styleId="a3">
    <w:name w:val="annotation text"/>
    <w:basedOn w:val="a"/>
    <w:qFormat/>
    <w:rsid w:val="001742DD"/>
    <w:pPr>
      <w:jc w:val="left"/>
    </w:pPr>
  </w:style>
  <w:style w:type="paragraph" w:styleId="a4">
    <w:name w:val="footer"/>
    <w:basedOn w:val="a"/>
    <w:qFormat/>
    <w:rsid w:val="001742DD"/>
    <w:pPr>
      <w:tabs>
        <w:tab w:val="center" w:pos="4153"/>
        <w:tab w:val="right" w:pos="8306"/>
      </w:tabs>
      <w:snapToGrid w:val="0"/>
      <w:jc w:val="left"/>
    </w:pPr>
    <w:rPr>
      <w:sz w:val="18"/>
    </w:rPr>
  </w:style>
  <w:style w:type="paragraph" w:customStyle="1" w:styleId="10">
    <w:name w:val="纯文本1"/>
    <w:basedOn w:val="a"/>
    <w:autoRedefine/>
    <w:qFormat/>
    <w:rsid w:val="001742DD"/>
    <w:rPr>
      <w:rFonts w:ascii="宋体" w:hAnsi="Courier New"/>
      <w:sz w:val="20"/>
    </w:rPr>
  </w:style>
  <w:style w:type="paragraph" w:styleId="a5">
    <w:name w:val="header"/>
    <w:basedOn w:val="a"/>
    <w:link w:val="Char"/>
    <w:rsid w:val="00D324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324E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七月</dc:creator>
  <cp:lastModifiedBy>白晶</cp:lastModifiedBy>
  <cp:revision>2</cp:revision>
  <dcterms:created xsi:type="dcterms:W3CDTF">2025-02-13T07:17:00Z</dcterms:created>
  <dcterms:modified xsi:type="dcterms:W3CDTF">2025-02-13T07:17:00Z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00B27281A0214D99934EB288CB6EA641_11</vt:lpwstr>
  </property>
  <property fmtid="{D5CDD505-2E9C-101B-9397-08002B2CF9AE}" pid="4" name="KSOTemplateDocerSaveRecord">
    <vt:lpwstr>eyJoZGlkIjoiOWIyMGUyOTEzMDk5Y2M1M2ZhMzQxOGNlNmQ5MWY4OWQiLCJ1c2VySWQiOiIyODg3MjMyMTIifQ==</vt:lpwstr>
  </property>
</Properties>
</file>