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8C649C">
      <w:pPr>
        <w:rPr>
          <w:rFonts w:eastAsia="宋体"/>
          <w:color w:val="000000" w:themeColor="text1"/>
          <w:sz w:val="20"/>
          <w:szCs w:val="20"/>
          <w:lang w:eastAsia="zh-CN"/>
          <w14:textFill>
            <w14:solidFill>
              <w14:schemeClr w14:val="tx1"/>
            </w14:solidFill>
          </w14:textFill>
        </w:rPr>
      </w:pPr>
    </w:p>
    <w:p w14:paraId="24915836">
      <w:pPr>
        <w:pStyle w:val="13"/>
        <w:ind w:firstLine="0"/>
        <w:rPr>
          <w:rFonts w:eastAsia="宋体"/>
          <w:color w:val="000000" w:themeColor="text1"/>
          <w:lang w:eastAsia="zh-CN"/>
          <w14:textFill>
            <w14:solidFill>
              <w14:schemeClr w14:val="tx1"/>
            </w14:solidFill>
          </w14:textFill>
        </w:rPr>
      </w:pPr>
    </w:p>
    <w:p w14:paraId="591B850E">
      <w:pPr>
        <w:rPr>
          <w:rFonts w:eastAsia="Times New Roman"/>
          <w:color w:val="000000" w:themeColor="text1"/>
          <w:sz w:val="20"/>
          <w:szCs w:val="20"/>
          <w14:textFill>
            <w14:solidFill>
              <w14:schemeClr w14:val="tx1"/>
            </w14:solidFill>
          </w14:textFill>
        </w:rPr>
      </w:pPr>
    </w:p>
    <w:p w14:paraId="6A1B49DA">
      <w:pPr>
        <w:rPr>
          <w:rFonts w:eastAsia="Times New Roman"/>
          <w:color w:val="000000" w:themeColor="text1"/>
          <w:sz w:val="20"/>
          <w:szCs w:val="20"/>
          <w14:textFill>
            <w14:solidFill>
              <w14:schemeClr w14:val="tx1"/>
            </w14:solidFill>
          </w14:textFill>
        </w:rPr>
      </w:pPr>
    </w:p>
    <w:p w14:paraId="09FF95E8">
      <w:pPr>
        <w:rPr>
          <w:rFonts w:eastAsia="Times New Roman"/>
          <w:color w:val="000000" w:themeColor="text1"/>
          <w:sz w:val="20"/>
          <w:szCs w:val="20"/>
          <w14:textFill>
            <w14:solidFill>
              <w14:schemeClr w14:val="tx1"/>
            </w14:solidFill>
          </w14:textFill>
        </w:rPr>
      </w:pPr>
    </w:p>
    <w:p w14:paraId="17448388">
      <w:pPr>
        <w:rPr>
          <w:rFonts w:eastAsia="Times New Roman"/>
          <w:color w:val="000000" w:themeColor="text1"/>
          <w:sz w:val="20"/>
          <w:szCs w:val="20"/>
          <w14:textFill>
            <w14:solidFill>
              <w14:schemeClr w14:val="tx1"/>
            </w14:solidFill>
          </w14:textFill>
        </w:rPr>
      </w:pPr>
    </w:p>
    <w:p w14:paraId="7E6BF859">
      <w:pPr>
        <w:spacing w:before="5"/>
        <w:rPr>
          <w:rFonts w:eastAsia="Times New Roman"/>
          <w:color w:val="000000" w:themeColor="text1"/>
          <w:sz w:val="29"/>
          <w:szCs w:val="29"/>
          <w14:textFill>
            <w14:solidFill>
              <w14:schemeClr w14:val="tx1"/>
            </w14:solidFill>
          </w14:textFill>
        </w:rPr>
      </w:pPr>
    </w:p>
    <w:p w14:paraId="4343EB01">
      <w:pPr>
        <w:spacing w:line="820" w:lineRule="exact"/>
        <w:jc w:val="center"/>
        <w:rPr>
          <w:rFonts w:cs="黑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5"/>
          <w:sz w:val="72"/>
          <w:szCs w:val="72"/>
          <w:lang w:eastAsia="zh-CN"/>
          <w14:textFill>
            <w14:solidFill>
              <w14:schemeClr w14:val="tx1"/>
            </w14:solidFill>
          </w14:textFill>
        </w:rPr>
        <w:t>竞争性磋商文件</w:t>
      </w:r>
    </w:p>
    <w:p w14:paraId="70E9D540">
      <w:pPr>
        <w:spacing w:before="9"/>
        <w:jc w:val="center"/>
        <w:rPr>
          <w:rFonts w:ascii="黑体" w:hAnsi="黑体" w:eastAsia="黑体"/>
          <w:color w:val="000000" w:themeColor="text1"/>
          <w:sz w:val="52"/>
          <w:szCs w:val="52"/>
          <w:lang w:eastAsia="zh-CN"/>
          <w14:textFill>
            <w14:solidFill>
              <w14:schemeClr w14:val="tx1"/>
            </w14:solidFill>
          </w14:textFill>
        </w:rPr>
      </w:pPr>
    </w:p>
    <w:p w14:paraId="67C4AB3E">
      <w:pPr>
        <w:spacing w:before="9"/>
        <w:jc w:val="center"/>
        <w:rPr>
          <w:rFonts w:ascii="黑体" w:hAnsi="黑体" w:eastAsia="黑体"/>
          <w:color w:val="000000" w:themeColor="text1"/>
          <w:sz w:val="52"/>
          <w:szCs w:val="52"/>
          <w:lang w:eastAsia="zh-CN"/>
          <w14:textFill>
            <w14:solidFill>
              <w14:schemeClr w14:val="tx1"/>
            </w14:solidFill>
          </w14:textFill>
        </w:rPr>
      </w:pPr>
    </w:p>
    <w:p w14:paraId="0C741403">
      <w:pPr>
        <w:ind w:left="698"/>
        <w:rPr>
          <w:rFonts w:ascii="宋体" w:hAnsi="宋体" w:eastAsia="宋体" w:cs="宋体"/>
          <w:b/>
          <w:bCs/>
          <w:color w:val="000000" w:themeColor="text1"/>
          <w:lang w:eastAsia="zh-CN"/>
          <w14:textFill>
            <w14:solidFill>
              <w14:schemeClr w14:val="tx1"/>
            </w14:solidFill>
          </w14:textFill>
        </w:rPr>
      </w:pPr>
    </w:p>
    <w:p w14:paraId="3E5CEDBF">
      <w:pPr>
        <w:ind w:left="698"/>
        <w:rPr>
          <w:rFonts w:ascii="宋体" w:hAnsi="宋体" w:eastAsia="宋体" w:cs="宋体"/>
          <w:b/>
          <w:bCs/>
          <w:color w:val="000000" w:themeColor="text1"/>
          <w:lang w:eastAsia="zh-CN"/>
          <w14:textFill>
            <w14:solidFill>
              <w14:schemeClr w14:val="tx1"/>
            </w14:solidFill>
          </w14:textFill>
        </w:rPr>
      </w:pPr>
    </w:p>
    <w:p w14:paraId="7F6046A9">
      <w:pPr>
        <w:ind w:left="698"/>
        <w:rPr>
          <w:rFonts w:ascii="宋体" w:hAnsi="宋体" w:eastAsia="宋体" w:cs="宋体"/>
          <w:b/>
          <w:bCs/>
          <w:color w:val="000000" w:themeColor="text1"/>
          <w:lang w:eastAsia="zh-CN"/>
          <w14:textFill>
            <w14:solidFill>
              <w14:schemeClr w14:val="tx1"/>
            </w14:solidFill>
          </w14:textFill>
        </w:rPr>
      </w:pPr>
    </w:p>
    <w:p w14:paraId="17B5A58E">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35B90DB">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3284EB68">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112D551">
      <w:pPr>
        <w:spacing w:line="480" w:lineRule="auto"/>
        <w:ind w:firstLine="1124"/>
        <w:rPr>
          <w:rFonts w:ascii="宋体" w:hAnsi="宋体" w:eastAsia="宋体" w:cs="宋体"/>
          <w:b/>
          <w:bCs/>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z w:val="28"/>
          <w:szCs w:val="28"/>
          <w:highlight w:val="none"/>
          <w:lang w:eastAsia="zh-CN"/>
          <w14:textFill>
            <w14:solidFill>
              <w14:schemeClr w14:val="tx1"/>
            </w14:solidFill>
          </w14:textFill>
        </w:rPr>
        <w:t>项目编号：</w:t>
      </w:r>
      <w:r>
        <w:rPr>
          <w:rFonts w:hint="eastAsia" w:ascii="宋体" w:hAnsi="宋体" w:eastAsia="宋体" w:cs="宋体"/>
          <w:b/>
          <w:bCs/>
          <w:color w:val="000000" w:themeColor="text1"/>
          <w:sz w:val="28"/>
          <w:szCs w:val="28"/>
          <w:highlight w:val="none"/>
          <w:lang w:eastAsia="zh-CN"/>
          <w14:textFill>
            <w14:solidFill>
              <w14:schemeClr w14:val="tx1"/>
            </w14:solidFill>
          </w14:textFill>
        </w:rPr>
        <w:t>JSZC-320104-LJKJ-C2025-0001</w:t>
      </w:r>
    </w:p>
    <w:p w14:paraId="697CB756">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项目名称：南京市秦淮区机关办公大楼幕墙维</w:t>
      </w:r>
      <w:r>
        <w:rPr>
          <w:rFonts w:hint="eastAsia" w:ascii="宋体" w:hAnsi="宋体" w:eastAsia="宋体" w:cs="宋体"/>
          <w:b/>
          <w:bCs/>
          <w:color w:val="000000" w:themeColor="text1"/>
          <w:sz w:val="28"/>
          <w:szCs w:val="28"/>
          <w:lang w:eastAsia="zh-CN"/>
          <w14:textFill>
            <w14:solidFill>
              <w14:schemeClr w14:val="tx1"/>
            </w14:solidFill>
          </w14:textFill>
        </w:rPr>
        <w:t>修项目</w:t>
      </w:r>
    </w:p>
    <w:p w14:paraId="53A547DE">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 购 人：南京市秦淮区人民政府办公室</w:t>
      </w:r>
    </w:p>
    <w:p w14:paraId="25F64A90">
      <w:pPr>
        <w:spacing w:line="360" w:lineRule="auto"/>
        <w:ind w:firstLine="1124" w:firstLineChars="40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采购代理机构：江苏领界科技有限公司</w:t>
      </w:r>
    </w:p>
    <w:p w14:paraId="434CDE9B">
      <w:pPr>
        <w:pStyle w:val="71"/>
        <w:rPr>
          <w:rFonts w:eastAsiaTheme="minorEastAsia"/>
          <w:color w:val="000000" w:themeColor="text1"/>
          <w:lang w:eastAsia="zh-CN"/>
          <w14:textFill>
            <w14:solidFill>
              <w14:schemeClr w14:val="tx1"/>
            </w14:solidFill>
          </w14:textFill>
        </w:rPr>
      </w:pPr>
    </w:p>
    <w:p w14:paraId="03A05E2E">
      <w:pPr>
        <w:pStyle w:val="71"/>
        <w:rPr>
          <w:rFonts w:eastAsiaTheme="minorEastAsia"/>
          <w:color w:val="000000" w:themeColor="text1"/>
          <w:lang w:eastAsia="zh-CN"/>
          <w14:textFill>
            <w14:solidFill>
              <w14:schemeClr w14:val="tx1"/>
            </w14:solidFill>
          </w14:textFill>
        </w:rPr>
      </w:pPr>
    </w:p>
    <w:p w14:paraId="59497FE5">
      <w:pPr>
        <w:pStyle w:val="71"/>
        <w:rPr>
          <w:rFonts w:eastAsiaTheme="minorEastAsia"/>
          <w:color w:val="000000" w:themeColor="text1"/>
          <w:lang w:eastAsia="zh-CN"/>
          <w14:textFill>
            <w14:solidFill>
              <w14:schemeClr w14:val="tx1"/>
            </w14:solidFill>
          </w14:textFill>
        </w:rPr>
      </w:pPr>
    </w:p>
    <w:p w14:paraId="4D845537">
      <w:pPr>
        <w:pStyle w:val="71"/>
        <w:rPr>
          <w:rFonts w:eastAsiaTheme="minorEastAsia"/>
          <w:color w:val="000000" w:themeColor="text1"/>
          <w:lang w:eastAsia="zh-CN"/>
          <w14:textFill>
            <w14:solidFill>
              <w14:schemeClr w14:val="tx1"/>
            </w14:solidFill>
          </w14:textFill>
        </w:rPr>
      </w:pPr>
    </w:p>
    <w:p w14:paraId="3760F6F3">
      <w:pPr>
        <w:pStyle w:val="71"/>
        <w:rPr>
          <w:rFonts w:eastAsiaTheme="minorEastAsia"/>
          <w:color w:val="000000" w:themeColor="text1"/>
          <w:lang w:eastAsia="zh-CN"/>
          <w14:textFill>
            <w14:solidFill>
              <w14:schemeClr w14:val="tx1"/>
            </w14:solidFill>
          </w14:textFill>
        </w:rPr>
      </w:pPr>
    </w:p>
    <w:p w14:paraId="112D75FC">
      <w:pPr>
        <w:pStyle w:val="71"/>
        <w:rPr>
          <w:rFonts w:eastAsiaTheme="minorEastAsia"/>
          <w:color w:val="000000" w:themeColor="text1"/>
          <w:lang w:eastAsia="zh-CN"/>
          <w14:textFill>
            <w14:solidFill>
              <w14:schemeClr w14:val="tx1"/>
            </w14:solidFill>
          </w14:textFill>
        </w:rPr>
      </w:pPr>
    </w:p>
    <w:p w14:paraId="6F31DBEC">
      <w:pPr>
        <w:spacing w:line="360" w:lineRule="auto"/>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二○二五年</w:t>
      </w:r>
      <w:r>
        <w:rPr>
          <w:rFonts w:hint="eastAsia" w:ascii="宋体" w:hAnsi="宋体" w:eastAsia="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lang w:eastAsia="zh-CN"/>
          <w14:textFill>
            <w14:solidFill>
              <w14:schemeClr w14:val="tx1"/>
            </w14:solidFill>
          </w14:textFill>
        </w:rPr>
        <w:t>月</w:t>
      </w:r>
    </w:p>
    <w:p w14:paraId="7205CB5E">
      <w:pPr>
        <w:spacing w:line="357" w:lineRule="auto"/>
        <w:jc w:val="center"/>
        <w:rPr>
          <w:rFonts w:ascii="黑体" w:hAnsi="黑体" w:eastAsia="黑体" w:cs="黑体"/>
          <w:color w:val="000000" w:themeColor="text1"/>
          <w:sz w:val="36"/>
          <w:szCs w:val="36"/>
          <w:lang w:eastAsia="zh-CN"/>
          <w14:textFill>
            <w14:solidFill>
              <w14:schemeClr w14:val="tx1"/>
            </w14:solidFill>
          </w14:textFill>
        </w:rPr>
      </w:pPr>
      <w:r>
        <w:rPr>
          <w:rFonts w:ascii="黑体" w:hAnsi="黑体" w:eastAsia="黑体" w:cs="黑体"/>
          <w:color w:val="000000" w:themeColor="text1"/>
          <w:sz w:val="36"/>
          <w:szCs w:val="36"/>
          <w:lang w:eastAsia="zh-CN"/>
          <w14:textFill>
            <w14:solidFill>
              <w14:schemeClr w14:val="tx1"/>
            </w14:solidFill>
          </w14:textFill>
        </w:rPr>
        <w:br w:type="page" w:clear="all"/>
      </w:r>
      <w:bookmarkStart w:id="0" w:name="_bookmark0"/>
      <w:bookmarkEnd w:id="0"/>
      <w:bookmarkStart w:id="1" w:name="第一章__竞争性磋商邀请"/>
      <w:bookmarkEnd w:id="1"/>
      <w:r>
        <w:rPr>
          <w:rFonts w:hint="eastAsia" w:ascii="宋体" w:hAnsi="宋体" w:eastAsia="宋体" w:cs="宋体"/>
          <w:b/>
          <w:bCs/>
          <w:color w:val="000000" w:themeColor="text1"/>
          <w:sz w:val="24"/>
          <w:szCs w:val="24"/>
          <w:lang w:eastAsia="zh-CN"/>
          <w14:textFill>
            <w14:solidFill>
              <w14:schemeClr w14:val="tx1"/>
            </w14:solidFill>
          </w14:textFill>
        </w:rPr>
        <w:t>目  录</w:t>
      </w:r>
    </w:p>
    <w:p w14:paraId="3612A3F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rPr>
          <w:rFonts w:hint="eastAsia" w:cs="宋体"/>
          <w:b w:val="0"/>
          <w:bCs w:val="0"/>
          <w:color w:val="000000" w:themeColor="text1"/>
          <w14:textFill>
            <w14:solidFill>
              <w14:schemeClr w14:val="tx1"/>
            </w14:solidFill>
          </w14:textFill>
        </w:rPr>
        <w:fldChar w:fldCharType="begin"/>
      </w:r>
      <w:r>
        <w:rPr>
          <w:rFonts w:hint="eastAsia" w:cs="宋体"/>
          <w:b w:val="0"/>
          <w:bCs w:val="0"/>
          <w:color w:val="000000" w:themeColor="text1"/>
          <w14:textFill>
            <w14:solidFill>
              <w14:schemeClr w14:val="tx1"/>
            </w14:solidFill>
          </w14:textFill>
        </w:rPr>
        <w:instrText xml:space="preserve">TOC \o "1-1" \h \u </w:instrText>
      </w:r>
      <w:r>
        <w:rPr>
          <w:rFonts w:hint="eastAsia" w:cs="宋体"/>
          <w:b w:val="0"/>
          <w:bCs w:val="0"/>
          <w:color w:val="000000" w:themeColor="text1"/>
          <w14:textFill>
            <w14:solidFill>
              <w14:schemeClr w14:val="tx1"/>
            </w14:solidFill>
          </w14:textFill>
        </w:rPr>
        <w:fldChar w:fldCharType="separate"/>
      </w:r>
      <w:r>
        <w:fldChar w:fldCharType="begin"/>
      </w:r>
      <w:r>
        <w:instrText xml:space="preserve"> HYPERLINK \l "_Toc184199380" </w:instrText>
      </w:r>
      <w:r>
        <w:fldChar w:fldCharType="separate"/>
      </w:r>
      <w:r>
        <w:rPr>
          <w:rStyle w:val="65"/>
          <w:rFonts w:hint="eastAsia" w:cs="宋体"/>
          <w:color w:val="000000" w:themeColor="text1"/>
          <w:lang w:eastAsia="zh-CN"/>
          <w14:textFill>
            <w14:solidFill>
              <w14:schemeClr w14:val="tx1"/>
            </w14:solidFill>
          </w14:textFill>
        </w:rPr>
        <w:t>第一章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DE3C6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"_Toc184199381" </w:instrText>
      </w:r>
      <w:r>
        <w:fldChar w:fldCharType="separate"/>
      </w:r>
      <w:r>
        <w:rPr>
          <w:rStyle w:val="65"/>
          <w:rFonts w:hint="eastAsia" w:cs="宋体"/>
          <w:color w:val="000000" w:themeColor="text1"/>
          <w:lang w:eastAsia="zh-CN"/>
          <w14:textFill>
            <w14:solidFill>
              <w14:schemeClr w14:val="tx1"/>
            </w14:solidFill>
          </w14:textFill>
        </w:rPr>
        <w:t>第二章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4279D4F">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"_Toc184199382" </w:instrText>
      </w:r>
      <w:r>
        <w:fldChar w:fldCharType="separate"/>
      </w:r>
      <w:r>
        <w:rPr>
          <w:rStyle w:val="65"/>
          <w:rFonts w:hint="eastAsia" w:cs="宋体"/>
          <w:color w:val="000000" w:themeColor="text1"/>
          <w:lang w:eastAsia="zh-CN"/>
          <w14:textFill>
            <w14:solidFill>
              <w14:schemeClr w14:val="tx1"/>
            </w14:solidFill>
          </w14:textFill>
        </w:rPr>
        <w:t>第三章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成交标准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D0BAF7">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"_Toc184199383" </w:instrText>
      </w:r>
      <w:r>
        <w:fldChar w:fldCharType="separate"/>
      </w:r>
      <w:r>
        <w:rPr>
          <w:rStyle w:val="65"/>
          <w:rFonts w:hint="eastAsia" w:cs="宋体"/>
          <w:color w:val="000000" w:themeColor="text1"/>
          <w:lang w:val="zh-CN" w:eastAsia="zh-CN"/>
          <w14:textFill>
            <w14:solidFill>
              <w14:schemeClr w14:val="tx1"/>
            </w14:solidFill>
          </w14:textFill>
        </w:rPr>
        <w:t>第四章</w:t>
      </w:r>
      <w:r>
        <w:rPr>
          <w:rStyle w:val="65"/>
          <w:rFonts w:cs="宋体"/>
          <w:color w:val="000000" w:themeColor="text1"/>
          <w:lang w:val="zh-CN"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384200">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"_Toc184199384" </w:instrText>
      </w:r>
      <w:r>
        <w:fldChar w:fldCharType="separate"/>
      </w:r>
      <w:r>
        <w:rPr>
          <w:rStyle w:val="65"/>
          <w:rFonts w:hint="eastAsia" w:cs="宋体"/>
          <w:color w:val="000000" w:themeColor="text1"/>
          <w:lang w:val="zh-CN" w:eastAsia="zh-CN"/>
          <w14:textFill>
            <w14:solidFill>
              <w14:schemeClr w14:val="tx1"/>
            </w14:solidFill>
          </w14:textFill>
        </w:rPr>
        <w:t>第五章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合同草案条款及格式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B15CD5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"_Toc184199385" </w:instrText>
      </w:r>
      <w:r>
        <w:fldChar w:fldCharType="separate"/>
      </w:r>
      <w:r>
        <w:rPr>
          <w:rStyle w:val="65"/>
          <w:rFonts w:hint="eastAsia" w:cs="宋体"/>
          <w:color w:val="000000" w:themeColor="text1"/>
          <w:lang w:eastAsia="zh-CN"/>
          <w14:textFill>
            <w14:solidFill>
              <w14:schemeClr w14:val="tx1"/>
            </w14:solidFill>
          </w14:textFill>
        </w:rPr>
        <w:t>第六章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7D2028">
      <w:pPr>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end"/>
      </w:r>
    </w:p>
    <w:p w14:paraId="63571640">
      <w:pPr>
        <w:tabs>
          <w:tab w:val="left" w:pos="4171"/>
        </w:tabs>
        <w:spacing w:line="360" w:lineRule="auto"/>
        <w:jc w:val="center"/>
        <w:outlineLvl w:val="0"/>
        <w:rPr>
          <w:rFonts w:ascii="宋体" w:hAnsi="宋体" w:eastAsia="宋体" w:cs="宋体"/>
          <w:color w:val="000000" w:themeColor="text1"/>
          <w:sz w:val="28"/>
          <w:szCs w:val="28"/>
          <w:lang w:eastAsia="zh-CN"/>
          <w14:textFill>
            <w14:solidFill>
              <w14:schemeClr w14:val="tx1"/>
            </w14:solidFill>
          </w14:textFill>
        </w:rPr>
        <w:sectPr>
          <w:footerReference r:id="rId5" w:type="first"/>
          <w:headerReference r:id="rId3" w:type="default"/>
          <w:footerReference r:id="rId4" w:type="default"/>
          <w:pgSz w:w="11910" w:h="16840"/>
          <w:pgMar w:top="1083" w:right="1123" w:bottom="918" w:left="1298" w:header="879" w:footer="726" w:gutter="0"/>
          <w:pgNumType w:start="1"/>
          <w:cols w:space="1701" w:num="1"/>
          <w:docGrid w:linePitch="360" w:charSpace="0"/>
        </w:sectPr>
      </w:pPr>
    </w:p>
    <w:p w14:paraId="1D6B9232">
      <w:pPr>
        <w:tabs>
          <w:tab w:val="left" w:pos="4171"/>
        </w:tabs>
        <w:spacing w:line="360" w:lineRule="auto"/>
        <w:jc w:val="center"/>
        <w:outlineLvl w:val="0"/>
        <w:rPr>
          <w:rFonts w:ascii="宋体" w:hAnsi="宋体" w:eastAsia="宋体" w:cs="宋体"/>
          <w:b/>
          <w:bCs/>
          <w:color w:val="000000" w:themeColor="text1"/>
          <w:sz w:val="28"/>
          <w:szCs w:val="28"/>
          <w:highlight w:val="none"/>
          <w:lang w:eastAsia="zh-CN"/>
          <w14:textFill>
            <w14:solidFill>
              <w14:schemeClr w14:val="tx1"/>
            </w14:solidFill>
          </w14:textFill>
        </w:rPr>
      </w:pPr>
      <w:bookmarkStart w:id="2" w:name="_Toc184199380"/>
      <w:r>
        <w:rPr>
          <w:rFonts w:hint="eastAsia" w:ascii="宋体" w:hAnsi="宋体" w:eastAsia="宋体" w:cs="宋体"/>
          <w:b/>
          <w:bCs/>
          <w:color w:val="000000" w:themeColor="text1"/>
          <w:sz w:val="28"/>
          <w:szCs w:val="28"/>
          <w:highlight w:val="none"/>
          <w:lang w:eastAsia="zh-CN"/>
          <w14:textFill>
            <w14:solidFill>
              <w14:schemeClr w14:val="tx1"/>
            </w14:solidFill>
          </w14:textFill>
        </w:rPr>
        <w:t>第一章 竞争性磋商公告</w:t>
      </w:r>
      <w:bookmarkEnd w:id="2"/>
    </w:p>
    <w:p w14:paraId="443C5445">
      <w:pPr>
        <w:spacing w:line="360" w:lineRule="auto"/>
        <w:rPr>
          <w:rFonts w:ascii="宋体" w:hAnsi="宋体" w:eastAsia="宋体" w:cs="宋体"/>
          <w:b/>
          <w:color w:val="000000" w:themeColor="text1"/>
          <w:sz w:val="21"/>
          <w:szCs w:val="21"/>
          <w:highlight w:val="none"/>
          <w:lang w:eastAsia="zh-CN"/>
          <w14:textFill>
            <w14:solidFill>
              <w14:schemeClr w14:val="tx1"/>
            </w14:solidFill>
          </w14:textFill>
        </w:rPr>
      </w:pPr>
      <w:bookmarkStart w:id="3" w:name="_Toc35393629"/>
      <w:bookmarkStart w:id="4" w:name="_Toc35393798"/>
      <w:bookmarkStart w:id="5" w:name="_Toc28359089"/>
      <w:bookmarkStart w:id="6" w:name="_Toc28359012"/>
      <w:r>
        <w:rPr>
          <w:rFonts w:hint="eastAsia" w:ascii="宋体" w:hAnsi="宋体" w:eastAsia="宋体" w:cs="宋体"/>
          <w:b/>
          <w:color w:val="000000" w:themeColor="text1"/>
          <w:sz w:val="21"/>
          <w:szCs w:val="21"/>
          <w:highlight w:val="none"/>
          <w:lang w:eastAsia="zh-CN"/>
          <w14:textFill>
            <w14:solidFill>
              <w14:schemeClr w14:val="tx1"/>
            </w14:solidFill>
          </w14:textFill>
        </w:rPr>
        <w:t>项目概况</w:t>
      </w:r>
    </w:p>
    <w:p w14:paraId="4F041E3A">
      <w:pPr>
        <w:spacing w:line="360" w:lineRule="auto"/>
        <w:ind w:firstLine="422"/>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u w:val="single"/>
          <w:lang w:eastAsia="zh-CN"/>
          <w14:textFill>
            <w14:solidFill>
              <w14:schemeClr w14:val="tx1"/>
            </w14:solidFill>
          </w14:textFill>
        </w:rPr>
        <w:t>南京市秦淮区机关办公</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大楼幕墙维修项目  JSZC-320104-LJKJ-C2025-0001 </w:t>
      </w:r>
      <w:r>
        <w:rPr>
          <w:rFonts w:hint="eastAsia" w:ascii="宋体" w:hAnsi="宋体" w:eastAsia="宋体" w:cs="宋体"/>
          <w:color w:val="000000" w:themeColor="text1"/>
          <w:sz w:val="21"/>
          <w:szCs w:val="21"/>
          <w:highlight w:val="none"/>
          <w:lang w:eastAsia="zh-CN"/>
          <w14:textFill>
            <w14:solidFill>
              <w14:schemeClr w14:val="tx1"/>
            </w14:solidFill>
          </w14:textFill>
        </w:rPr>
        <w:t>采购项目的潜在供应商应在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“苏采云”政府采购交易系统</w:t>
      </w:r>
      <w:r>
        <w:rPr>
          <w:rFonts w:hint="eastAsia" w:ascii="宋体" w:hAnsi="宋体" w:eastAsia="宋体" w:cs="宋体"/>
          <w:color w:val="000000" w:themeColor="text1"/>
          <w:sz w:val="21"/>
          <w:szCs w:val="21"/>
          <w:highlight w:val="none"/>
          <w:lang w:eastAsia="zh-CN"/>
          <w14:textFill>
            <w14:solidFill>
              <w14:schemeClr w14:val="tx1"/>
            </w14:solidFill>
          </w14:textFill>
        </w:rPr>
        <w:t>获取采购文件，并于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04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09：30</w:t>
      </w:r>
      <w:r>
        <w:rPr>
          <w:rFonts w:hint="eastAsia" w:ascii="宋体" w:hAnsi="宋体" w:eastAsia="宋体" w:cs="宋体"/>
          <w:color w:val="000000" w:themeColor="text1"/>
          <w:sz w:val="21"/>
          <w:szCs w:val="21"/>
          <w:highlight w:val="none"/>
          <w:lang w:eastAsia="zh-CN"/>
          <w14:textFill>
            <w14:solidFill>
              <w14:schemeClr w14:val="tx1"/>
            </w14:solidFill>
          </w14:textFill>
        </w:rPr>
        <w:t>（北京时间）前提交响应文件。</w:t>
      </w:r>
    </w:p>
    <w:p w14:paraId="616F51DB">
      <w:pPr>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一、项目基本情况</w:t>
      </w:r>
      <w:bookmarkEnd w:id="3"/>
      <w:bookmarkEnd w:id="4"/>
      <w:bookmarkEnd w:id="5"/>
      <w:bookmarkEnd w:id="6"/>
    </w:p>
    <w:p w14:paraId="03256572">
      <w:pPr>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项目编号：JSZC-320104-LJKJ-C2025-0001</w:t>
      </w:r>
    </w:p>
    <w:p w14:paraId="3DA3E7B2">
      <w:pPr>
        <w:tabs>
          <w:tab w:val="center" w:pos="4865"/>
        </w:tabs>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项目名称：南京市秦淮区机关办公大楼幕墙维修项目</w:t>
      </w:r>
    </w:p>
    <w:p w14:paraId="11AE2F71">
      <w:pPr>
        <w:tabs>
          <w:tab w:val="center" w:pos="4865"/>
        </w:tabs>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采购方式：竞</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争性磋商 </w:t>
      </w:r>
      <w:r>
        <w:rPr>
          <w:rFonts w:hint="eastAsia" w:ascii="宋体" w:hAnsi="宋体" w:eastAsia="宋体" w:cs="宋体"/>
          <w:color w:val="000000" w:themeColor="text1"/>
          <w:sz w:val="21"/>
          <w:szCs w:val="21"/>
          <w:highlight w:val="none"/>
          <w:lang w:eastAsia="zh-CN"/>
          <w14:textFill>
            <w14:solidFill>
              <w14:schemeClr w14:val="tx1"/>
            </w14:solidFill>
          </w14:textFill>
        </w:rPr>
        <w:tab/>
      </w:r>
    </w:p>
    <w:p w14:paraId="0180F3A0">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预算金额：3</w:t>
      </w: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color w:val="000000" w:themeColor="text1"/>
          <w:sz w:val="21"/>
          <w:szCs w:val="21"/>
          <w:highlight w:val="none"/>
          <w:lang w:eastAsia="zh-CN"/>
          <w14:textFill>
            <w14:solidFill>
              <w14:schemeClr w14:val="tx1"/>
            </w14:solidFill>
          </w14:textFill>
        </w:rPr>
        <w:t>.00万元</w:t>
      </w:r>
    </w:p>
    <w:p w14:paraId="4473E969">
      <w:pPr>
        <w:pStyle w:val="2"/>
        <w:ind w:left="0" w:leftChars="0" w:firstLine="420" w:firstLineChars="200"/>
        <w:rPr>
          <w:rFonts w:eastAsia="宋体" w:cs="宋体"/>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最高限价（如有）：</w:t>
      </w:r>
      <w:r>
        <w:rPr>
          <w:rFonts w:hint="eastAsia" w:ascii="宋体" w:hAnsi="宋体" w:eastAsia="宋体" w:cs="宋体"/>
          <w:b w:val="0"/>
          <w:bCs w:val="0"/>
          <w:color w:val="000000"/>
          <w:sz w:val="21"/>
          <w:szCs w:val="21"/>
          <w:highlight w:val="none"/>
        </w:rPr>
        <w:t>384</w:t>
      </w:r>
      <w:r>
        <w:rPr>
          <w:rFonts w:hint="eastAsia" w:eastAsia="宋体" w:cs="宋体"/>
          <w:b w:val="0"/>
          <w:bCs w:val="0"/>
          <w:color w:val="000000"/>
          <w:sz w:val="21"/>
          <w:szCs w:val="21"/>
          <w:highlight w:val="none"/>
          <w:lang w:val="en-US" w:eastAsia="zh-CN"/>
        </w:rPr>
        <w:t>9006.52</w:t>
      </w:r>
      <w:r>
        <w:rPr>
          <w:rFonts w:hint="eastAsia" w:eastAsia="宋体" w:cs="宋体"/>
          <w:color w:val="000000" w:themeColor="text1"/>
          <w:sz w:val="21"/>
          <w:szCs w:val="21"/>
          <w:highlight w:val="none"/>
          <w:lang w:eastAsia="zh-CN"/>
          <w14:textFill>
            <w14:solidFill>
              <w14:schemeClr w14:val="tx1"/>
            </w14:solidFill>
          </w14:textFill>
        </w:rPr>
        <w:t>元（</w:t>
      </w:r>
      <w:r>
        <w:rPr>
          <w:rFonts w:hint="eastAsia" w:eastAsia="宋体" w:cs="宋体"/>
          <w:color w:val="000000" w:themeColor="text1"/>
          <w:sz w:val="21"/>
          <w:szCs w:val="21"/>
          <w:highlight w:val="none"/>
          <w:lang w:val="en-US" w:eastAsia="zh-CN"/>
          <w14:textFill>
            <w14:solidFill>
              <w14:schemeClr w14:val="tx1"/>
            </w14:solidFill>
          </w14:textFill>
        </w:rPr>
        <w:t>含两个包，其中包1最高限价为</w:t>
      </w:r>
      <w:r>
        <w:rPr>
          <w:rFonts w:hint="eastAsia" w:eastAsia="宋体" w:cs="宋体"/>
          <w:color w:val="000000" w:themeColor="text1"/>
          <w:sz w:val="21"/>
          <w:szCs w:val="21"/>
          <w:highlight w:val="none"/>
          <w:lang w:val="en-US" w:eastAsia="zh-CN" w:bidi="ar-SA"/>
          <w14:textFill>
            <w14:solidFill>
              <w14:schemeClr w14:val="tx1"/>
            </w14:solidFill>
          </w14:textFill>
        </w:rPr>
        <w:t>1089021.22元（老办公大楼</w:t>
      </w:r>
      <w:r>
        <w:rPr>
          <w:rFonts w:hint="eastAsia" w:eastAsia="宋体" w:cs="宋体"/>
          <w:color w:val="000000" w:themeColor="text1"/>
          <w:sz w:val="21"/>
          <w:szCs w:val="21"/>
          <w:highlight w:val="none"/>
          <w:lang w:val="en-US" w:eastAsia="zh-CN"/>
          <w14:textFill>
            <w14:solidFill>
              <w14:schemeClr w14:val="tx1"/>
            </w14:solidFill>
          </w14:textFill>
        </w:rPr>
        <w:t>）</w:t>
      </w:r>
      <w:r>
        <w:rPr>
          <w:rFonts w:hint="eastAsia" w:eastAsia="宋体" w:cs="宋体"/>
          <w:color w:val="000000" w:themeColor="text1"/>
          <w:sz w:val="21"/>
          <w:szCs w:val="21"/>
          <w:highlight w:val="none"/>
          <w:lang w:val="en-US" w:eastAsia="zh-CN" w:bidi="ar-SA"/>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包2最高限价为</w:t>
      </w:r>
      <w:r>
        <w:rPr>
          <w:rFonts w:hint="eastAsia" w:eastAsia="宋体" w:cs="宋体"/>
          <w:color w:val="000000" w:themeColor="text1"/>
          <w:sz w:val="21"/>
          <w:szCs w:val="21"/>
          <w:highlight w:val="none"/>
          <w:lang w:val="en-US" w:eastAsia="zh-CN" w:bidi="ar-SA"/>
          <w14:textFill>
            <w14:solidFill>
              <w14:schemeClr w14:val="tx1"/>
            </w14:solidFill>
          </w14:textFill>
        </w:rPr>
        <w:t>2759985.3元（新办公大楼</w:t>
      </w:r>
      <w:r>
        <w:rPr>
          <w:rFonts w:hint="eastAsia" w:eastAsia="宋体" w:cs="宋体"/>
          <w:color w:val="000000" w:themeColor="text1"/>
          <w:sz w:val="21"/>
          <w:szCs w:val="21"/>
          <w:highlight w:val="none"/>
          <w:lang w:val="en-US" w:eastAsia="zh-CN"/>
          <w14:textFill>
            <w14:solidFill>
              <w14:schemeClr w14:val="tx1"/>
            </w14:solidFill>
          </w14:textFill>
        </w:rPr>
        <w:t>）</w:t>
      </w:r>
      <w:bookmarkStart w:id="764" w:name="_GoBack"/>
      <w:bookmarkEnd w:id="764"/>
      <w:r>
        <w:rPr>
          <w:rFonts w:hint="eastAsia" w:eastAsia="宋体" w:cs="宋体"/>
          <w:color w:val="000000" w:themeColor="text1"/>
          <w:sz w:val="21"/>
          <w:szCs w:val="21"/>
          <w:highlight w:val="none"/>
          <w:lang w:val="en-US" w:eastAsia="zh-CN" w:bidi="ar-SA"/>
          <w14:textFill>
            <w14:solidFill>
              <w14:schemeClr w14:val="tx1"/>
            </w14:solidFill>
          </w14:textFill>
        </w:rPr>
        <w:t>，须兼投兼中，投标报价均不得超过最高限价金额，否则按无效投标处理）</w:t>
      </w:r>
      <w:r>
        <w:rPr>
          <w:rFonts w:hint="eastAsia" w:eastAsia="宋体" w:cs="宋体"/>
          <w:color w:val="000000" w:themeColor="text1"/>
          <w:sz w:val="21"/>
          <w:szCs w:val="21"/>
          <w:highlight w:val="none"/>
          <w:lang w:eastAsia="zh-CN"/>
          <w14:textFill>
            <w14:solidFill>
              <w14:schemeClr w14:val="tx1"/>
            </w14:solidFill>
          </w14:textFill>
        </w:rPr>
        <w:t>。</w:t>
      </w:r>
    </w:p>
    <w:p w14:paraId="43ED647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采购需求：南京市秦淮区机关办公大楼幕墙维修项目，具体详见工程量清单。</w:t>
      </w:r>
    </w:p>
    <w:p w14:paraId="4A3471EC">
      <w:pPr>
        <w:spacing w:line="360" w:lineRule="auto"/>
        <w:ind w:firstLine="420"/>
        <w:rPr>
          <w:rFonts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eastAsia="zh-CN"/>
          <w14:textFill>
            <w14:solidFill>
              <w14:schemeClr w14:val="tx1"/>
            </w14:solidFill>
          </w14:textFill>
        </w:rPr>
        <w:t>天</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7FB89A5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本项目（是/否）接受联合体：否。</w:t>
      </w:r>
    </w:p>
    <w:p w14:paraId="056A9EBD">
      <w:pPr>
        <w:spacing w:line="360" w:lineRule="auto"/>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二、申请人的资格要求：</w:t>
      </w:r>
    </w:p>
    <w:p w14:paraId="0D0CBF03">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（一）满足《中华人民共和国政府采购法》第二十二条规定：</w:t>
      </w:r>
    </w:p>
    <w:p w14:paraId="690E14F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1.具有独立承担民事责任的能力（提供法人或者其他组织的营业执照等证明材料，自然人的身份证明）；</w:t>
      </w:r>
    </w:p>
    <w:p w14:paraId="53286BC1">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2.具有良好</w:t>
      </w:r>
      <w:r>
        <w:rPr>
          <w:rFonts w:hint="eastAsia" w:ascii="宋体" w:hAnsi="宋体" w:eastAsia="宋体" w:cs="宋体"/>
          <w:color w:val="000000" w:themeColor="text1"/>
          <w:sz w:val="21"/>
          <w:szCs w:val="21"/>
          <w:highlight w:val="none"/>
          <w:lang w:eastAsia="zh-CN"/>
          <w14:textFill>
            <w14:solidFill>
              <w14:schemeClr w14:val="tx1"/>
            </w14:solidFill>
          </w14:textFill>
        </w:rPr>
        <w:t>的商业信誉和健全的财务会计制度（提供参加本次政府采购活动前的会计报表或经审计的财务报告（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含4表1附注</w:t>
      </w:r>
      <w:r>
        <w:rPr>
          <w:rFonts w:hint="eastAsia" w:ascii="宋体" w:hAnsi="宋体" w:eastAsia="宋体" w:cs="宋体"/>
          <w:color w:val="000000" w:themeColor="text1"/>
          <w:sz w:val="21"/>
          <w:szCs w:val="21"/>
          <w:highlight w:val="none"/>
          <w:lang w:eastAsia="zh-CN"/>
          <w14:textFill>
            <w14:solidFill>
              <w14:schemeClr w14:val="tx1"/>
            </w14:solidFill>
          </w14:textFill>
        </w:rPr>
        <w:t>），成立不满一年无需提供）；</w:t>
      </w:r>
    </w:p>
    <w:p w14:paraId="252973BE">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3.具有履行合同所必需的设备和专业技术能力（根据项目需求提供履行合同所必需的设备和专业技术能力的声明）；</w:t>
      </w:r>
    </w:p>
    <w:p w14:paraId="6D63EA9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4.有依法缴纳税收和社会保障资金的良好记录（提供本次政府采购活动前六个月内中任一月份的依法缴纳税收和社会保障资金的相关材料）；</w:t>
      </w:r>
    </w:p>
    <w:p w14:paraId="2A211C17">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5.参加政府采购活动前三年内，在经营活动中没有重大违法记录（提供参加本次政府采购活动前3年内在经营活动中没有重大违法记录的书面声明）。</w:t>
      </w:r>
    </w:p>
    <w:p w14:paraId="7043E46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6.符合法律、行政法规规定的其他条件。</w:t>
      </w:r>
    </w:p>
    <w:p w14:paraId="7CBD8888">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 落实政府采购政策需满足的资格条件：</w:t>
      </w:r>
    </w:p>
    <w:p w14:paraId="5C1AFFA8">
      <w:pPr>
        <w:widowControl/>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本项目专门面向中小企业（或监狱企业或残疾人福利性单位）采购，供应商须提供《中小企业声明函》（或残疾人福利性单位声明函、属于监狱企业的证明文件）。</w:t>
      </w:r>
    </w:p>
    <w:p w14:paraId="6191DDCA">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 本项目的特</w:t>
      </w:r>
      <w:r>
        <w:rPr>
          <w:rFonts w:hint="eastAsia" w:ascii="宋体" w:hAnsi="宋体" w:eastAsia="宋体" w:cs="宋体"/>
          <w:color w:val="000000" w:themeColor="text1"/>
          <w:sz w:val="21"/>
          <w:szCs w:val="21"/>
          <w:highlight w:val="none"/>
          <w:lang w:eastAsia="zh-CN"/>
          <w14:textFill>
            <w14:solidFill>
              <w14:schemeClr w14:val="tx1"/>
            </w14:solidFill>
          </w14:textFill>
        </w:rPr>
        <w:t>定资格要求：</w:t>
      </w:r>
    </w:p>
    <w:p w14:paraId="3829E98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1.企业资质：建筑幕墙工程专业承包二级(含)及</w:t>
      </w:r>
      <w:r>
        <w:rPr>
          <w:rFonts w:hint="eastAsia" w:ascii="宋体" w:hAnsi="宋体" w:eastAsia="宋体" w:cs="宋体"/>
          <w:color w:val="000000" w:themeColor="text1"/>
          <w:sz w:val="21"/>
          <w:szCs w:val="21"/>
          <w:highlight w:val="none"/>
          <w:lang w:val="en-US" w:eastAsia="zh-CN"/>
          <w14:textFill>
            <w14:solidFill>
              <w14:schemeClr w14:val="tx1"/>
            </w14:solidFill>
          </w14:textFill>
        </w:rPr>
        <w:t>防水防腐保温工程专业承包</w:t>
      </w:r>
      <w:r>
        <w:rPr>
          <w:rFonts w:hint="eastAsia" w:ascii="宋体" w:hAnsi="宋体" w:eastAsia="宋体" w:cs="宋体"/>
          <w:color w:val="000000" w:themeColor="text1"/>
          <w:sz w:val="21"/>
          <w:szCs w:val="21"/>
          <w:highlight w:val="none"/>
          <w:lang w:eastAsia="zh-CN"/>
          <w14:textFill>
            <w14:solidFill>
              <w14:schemeClr w14:val="tx1"/>
            </w14:solidFill>
          </w14:textFill>
        </w:rPr>
        <w:t>二级（含）以上且具有有效期内的安全生产许可证（提供证书加盖公章）。</w:t>
      </w:r>
    </w:p>
    <w:p w14:paraId="43D6283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2.项目负责人资质：注册建造师证建筑</w:t>
      </w:r>
      <w:r>
        <w:rPr>
          <w:rFonts w:hint="eastAsia" w:ascii="宋体" w:hAnsi="宋体" w:eastAsia="宋体" w:cs="宋体"/>
          <w:color w:val="000000" w:themeColor="text1"/>
          <w:sz w:val="21"/>
          <w:szCs w:val="21"/>
          <w:lang w:eastAsia="zh-CN"/>
          <w14:textFill>
            <w14:solidFill>
              <w14:schemeClr w14:val="tx1"/>
            </w14:solidFill>
          </w14:textFill>
        </w:rPr>
        <w:t>工程二级(含)以上且具备有效期内的安全生产考核B类合格证（提供证书加盖公章）。</w:t>
      </w:r>
    </w:p>
    <w:p w14:paraId="308F733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3.供应商须提供拟投入本项目的项目经理有效劳动合同、近半年（2024年1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月至2025年</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月）供应商为其连续缴纳的社保缴纳凭证（高校设计院或军队的事业编制人员无法提供社保证明，须提供所在单位上级人事组织或编制主管部门出具的人员编制核准证明材料，退休人员需提供退休证明）。</w:t>
      </w:r>
    </w:p>
    <w:p w14:paraId="3E95C0A2">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（四）拒绝下述供应商参加本次采购活动：</w:t>
      </w:r>
      <w:r>
        <w:rPr>
          <w:rFonts w:hint="eastAsia" w:ascii="宋体" w:hAnsi="宋体" w:cs="宋体"/>
          <w:b/>
          <w:bCs/>
          <w:color w:val="000000" w:themeColor="text1"/>
          <w:sz w:val="24"/>
          <w:lang w:eastAsia="zh-CN"/>
          <w14:textFill>
            <w14:solidFill>
              <w14:schemeClr w14:val="tx1"/>
            </w14:solidFill>
          </w14:textFill>
        </w:rPr>
        <w:t xml:space="preserve"> </w:t>
      </w:r>
    </w:p>
    <w:p w14:paraId="7E24C314">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1.供应商单位负责人为同一人或者存在直接控股、管理关系的不同供应商，不得参加同一合同项下的政府采购活动。 </w:t>
      </w:r>
    </w:p>
    <w:p w14:paraId="18D75227">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2.凡为采购项目提供整体设计、规范编制或者项目管理、监理、检测等服务的供应商，不得再参加本项目的采购活动。 </w:t>
      </w:r>
    </w:p>
    <w:p w14:paraId="49072D5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3.供应商被</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信用中国</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网站、</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中国政府采购网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列入失信被执行人、重大税收违法案件当事人名单、政府采购严重违法失信行为记录名单。</w:t>
      </w:r>
    </w:p>
    <w:p w14:paraId="6AE31FB9">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（五）供应商诚信档案注册登记</w:t>
      </w:r>
    </w:p>
    <w:p w14:paraId="1F755836">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关于在政府采购活动中推行信用承诺制的通知》宁财购通〔2021〕5号规定，参加南京地区政府采购活动的供应商，应以书面形式向采购人或政府采购代理机构作出信用承诺。供应商应尽早做好承诺工作，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南京公共采购信息网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首页 （https://njgc.jfh.com/）</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南京市政府采购供应商诚信档案</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系统链接打开系统页面（http://180.101.238.212:8280/hodeframe2018_cxda/index.action;jsessionid=769BA9C8E1729422E7173B991C8EC1E5）登录（未注册的供应商应先点击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供应商注册点这里</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并按要求完成注册），然后在</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模块页面点击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信用记录打印</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下载本单位《南京市政府采购供应商信用记录表暨信用承诺书》，由法人代表签字</w:t>
      </w:r>
      <w:r>
        <w:rPr>
          <w:rFonts w:hint="eastAsia" w:ascii="宋体" w:hAnsi="宋体" w:eastAsia="宋体" w:cs="宋体"/>
          <w:b/>
          <w:color w:val="000000" w:themeColor="text1"/>
          <w:sz w:val="24"/>
          <w:lang w:eastAsia="zh-CN"/>
          <w14:textFill>
            <w14:solidFill>
              <w14:schemeClr w14:val="tx1"/>
            </w14:solidFill>
          </w14:textFill>
        </w:rPr>
        <w:t>并盖单位公章</w:t>
      </w:r>
      <w:r>
        <w:rPr>
          <w:rFonts w:hint="eastAsia" w:ascii="宋体" w:hAnsi="宋体" w:eastAsia="宋体" w:cs="宋体"/>
          <w:color w:val="000000" w:themeColor="text1"/>
          <w:sz w:val="24"/>
          <w:lang w:eastAsia="zh-CN"/>
          <w14:textFill>
            <w14:solidFill>
              <w14:schemeClr w14:val="tx1"/>
            </w14:solidFill>
          </w14:textFill>
        </w:rPr>
        <w:t>，随响应文件一并递交。</w:t>
      </w:r>
      <w:r>
        <w:rPr>
          <w:rFonts w:hint="eastAsia" w:ascii="宋体" w:hAnsi="宋体" w:eastAsia="宋体" w:cs="宋体"/>
          <w:b/>
          <w:bCs/>
          <w:color w:val="000000" w:themeColor="text1"/>
          <w:sz w:val="24"/>
          <w:lang w:eastAsia="zh-CN"/>
          <w14:textFill>
            <w14:solidFill>
              <w14:schemeClr w14:val="tx1"/>
            </w14:solidFill>
          </w14:textFill>
        </w:rPr>
        <w:t>打印时间为本竞争性磋商公告发布之日起至递交响应文件截止日前，未按上述要求提供信用记录表的，响应文件可能被拒绝接收。</w:t>
      </w:r>
      <w:r>
        <w:rPr>
          <w:rFonts w:hint="eastAsia" w:ascii="宋体" w:hAnsi="宋体" w:eastAsia="宋体" w:cs="宋体"/>
          <w:color w:val="000000" w:themeColor="text1"/>
          <w:sz w:val="21"/>
          <w:szCs w:val="21"/>
          <w:lang w:eastAsia="zh-CN"/>
          <w14:textFill>
            <w14:solidFill>
              <w14:schemeClr w14:val="tx1"/>
            </w14:solidFill>
          </w14:textFill>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w:t>
      </w:r>
    </w:p>
    <w:p w14:paraId="2C019C4B">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供应商涉及以下情形的，不适用信用承诺：</w:t>
      </w:r>
    </w:p>
    <w:p w14:paraId="56487619">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（1）供应商被列入严重失信主体名单；</w:t>
      </w:r>
    </w:p>
    <w:p w14:paraId="4A0F30CA">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（2）被相关监管部门作出行政处罚且尚在处罚有效期内；</w:t>
      </w:r>
    </w:p>
    <w:p w14:paraId="124CBABD">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（3）其他法律、行政法规规定的不适用信用承诺的情形。</w:t>
      </w:r>
    </w:p>
    <w:p w14:paraId="3597ED67">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供应商对信用</w:t>
      </w:r>
      <w:r>
        <w:rPr>
          <w:rFonts w:hint="eastAsia" w:ascii="宋体" w:hAnsi="宋体" w:eastAsia="宋体" w:cs="宋体"/>
          <w:color w:val="000000" w:themeColor="text1"/>
          <w:sz w:val="21"/>
          <w:szCs w:val="21"/>
          <w:highlight w:val="none"/>
          <w:lang w:eastAsia="zh-CN"/>
          <w14:textFill>
            <w14:solidFill>
              <w14:schemeClr w14:val="tx1"/>
            </w14:solidFill>
          </w14:textFill>
        </w:rPr>
        <w:t>承诺内容的真实性、合法性、有效性负责。如作出虚假信用承诺，视同为</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提供虚假材料谋取中标、成交</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的违法行为。</w:t>
      </w:r>
    </w:p>
    <w:p w14:paraId="341F9531">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三、获取采购文件</w:t>
      </w:r>
    </w:p>
    <w:p w14:paraId="61C6B94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时间：自磋商文件公告发布之日起5个工作日；</w:t>
      </w:r>
    </w:p>
    <w:p w14:paraId="14BD13B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地点：“苏采云”政府采购交易系统</w:t>
      </w:r>
    </w:p>
    <w:p w14:paraId="77F7FFA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方式：在苏采云电子交易平台首页点击供应商→使用CA锁登录系统(新用户需进行“平台用户注册”)→“项目参与”进行登记，在“可参与项目”中选择“我要参与”，参与成功后到“已参与项目”界面中找到该项目下载电子标书并进行操作。</w:t>
      </w:r>
    </w:p>
    <w:p w14:paraId="637CA24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售价：0.00元。</w:t>
      </w:r>
    </w:p>
    <w:p w14:paraId="783A09B2">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四、响应文件提交</w:t>
      </w:r>
    </w:p>
    <w:p w14:paraId="14C8622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截止时间：2025-0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12091DD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068CF42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五、开启</w:t>
      </w:r>
    </w:p>
    <w:p w14:paraId="79F56474">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时间：2025-</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0581F6B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679ADEB8">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六、公告期限</w:t>
      </w:r>
    </w:p>
    <w:p w14:paraId="2C7CB3C5">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自本公告发布之日起3个工作日。</w:t>
      </w:r>
    </w:p>
    <w:p w14:paraId="5C0CEB5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七、其他补充事宜</w:t>
      </w:r>
    </w:p>
    <w:p w14:paraId="09E1211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 勘察现场及答疑：采购人不组织，供应商如果对采购需求有疑问请和采购单位联系人沟通。</w:t>
      </w:r>
    </w:p>
    <w:p w14:paraId="3E6F312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2.有关本次招标的事项若存在变动或修改，敬请及时关注“江苏政府采购网”、“</w:t>
      </w:r>
      <w:r>
        <w:rPr>
          <w:rFonts w:ascii="宋体" w:hAnsi="宋体" w:eastAsia="宋体" w:cs="宋体"/>
          <w:color w:val="000000" w:themeColor="text1"/>
          <w:sz w:val="21"/>
          <w:szCs w:val="21"/>
          <w:highlight w:val="none"/>
          <w:lang w:eastAsia="zh-CN"/>
          <w14:textFill>
            <w14:solidFill>
              <w14:schemeClr w14:val="tx1"/>
            </w14:solidFill>
          </w14:textFill>
        </w:rPr>
        <w:t>南京公共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信息网</w:t>
      </w:r>
      <w:r>
        <w:rPr>
          <w:rFonts w:hint="eastAsia" w:ascii="宋体" w:hAnsi="宋体" w:eastAsia="宋体" w:cs="宋体"/>
          <w:color w:val="000000" w:themeColor="text1"/>
          <w:sz w:val="21"/>
          <w:szCs w:val="21"/>
          <w:highlight w:val="none"/>
          <w:lang w:eastAsia="zh-CN"/>
          <w14:textFill>
            <w14:solidFill>
              <w14:schemeClr w14:val="tx1"/>
            </w14:solidFill>
          </w14:textFill>
        </w:rPr>
        <w:t>”发布的信息更正</w:t>
      </w:r>
      <w:r>
        <w:rPr>
          <w:rFonts w:hint="eastAsia" w:ascii="宋体" w:hAnsi="宋体" w:eastAsia="宋体" w:cs="宋体"/>
          <w:color w:val="000000" w:themeColor="text1"/>
          <w:sz w:val="21"/>
          <w:szCs w:val="21"/>
          <w:lang w:eastAsia="zh-CN"/>
          <w14:textFill>
            <w14:solidFill>
              <w14:schemeClr w14:val="tx1"/>
            </w14:solidFill>
          </w14:textFill>
        </w:rPr>
        <w:t>公告。</w:t>
      </w:r>
    </w:p>
    <w:p w14:paraId="4F022DE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苏采云”政府采购交易系统（以下简称苏采云系统）使用江苏省电子政务证书认证中心CA数字证书和方正国际软件（北京）有限公司电子签章。供应商通过苏采云系统参与政府采购项目，具体联系方式见《苏采云系统供应商操作手册》（以下简称《操作手册》）。</w:t>
      </w:r>
    </w:p>
    <w:p w14:paraId="5209B69F">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供应商按《苏采云系统供应商操作手册》要求进行注册，并制作上传电子投标文件（“苏采云”南京地区客服热线025-83633744、025-83633743）。江苏省政府采购管理交易系统供应商操作指南，下载地址：</w:t>
      </w:r>
    </w:p>
    <w:p w14:paraId="76BFB1A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http://www.ccgpjiangsu.gov.cn/jiangsu/zlxz/ee/ee3a4bc5a3454aa2b0d9312230633ce9.html</w:t>
      </w:r>
    </w:p>
    <w:p w14:paraId="4F0280F4">
      <w:pPr>
        <w:widowControl/>
        <w:spacing w:line="44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八、凡对本次采购提出询问，请按以下方式联系</w:t>
      </w:r>
    </w:p>
    <w:p w14:paraId="772D2C58">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1.采购人信息</w:t>
      </w:r>
    </w:p>
    <w:p w14:paraId="124CF5BD">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称：南京市秦淮区人民政府办公室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D133226">
      <w:pPr>
        <w:widowControl/>
        <w:spacing w:line="44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址：南京市秦淮区太平南路69号</w:t>
      </w:r>
    </w:p>
    <w:p w14:paraId="3FD014B1">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童老师</w:t>
      </w:r>
    </w:p>
    <w:p w14:paraId="16DA4BF0">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025-84550651</w:t>
      </w:r>
    </w:p>
    <w:p w14:paraId="0C70BCD2">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2.采购代理机构信息</w:t>
      </w:r>
    </w:p>
    <w:p w14:paraId="18FA339D">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称：江苏领界科技有限公司</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A1D13BA">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地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址：南京市</w:t>
      </w:r>
      <w:r>
        <w:rPr>
          <w:rFonts w:hint="eastAsia" w:ascii="宋体" w:hAnsi="宋体" w:eastAsia="宋体" w:cs="宋体"/>
          <w:color w:val="000000" w:themeColor="text1"/>
          <w:sz w:val="21"/>
          <w:szCs w:val="21"/>
          <w:lang w:val="en-US" w:eastAsia="zh-CN"/>
          <w14:textFill>
            <w14:solidFill>
              <w14:schemeClr w14:val="tx1"/>
            </w14:solidFill>
          </w14:textFill>
        </w:rPr>
        <w:t>建邺区白龙江东街19号舜禹大厦17层A室</w:t>
      </w:r>
    </w:p>
    <w:p w14:paraId="24AF21C1">
      <w:pPr>
        <w:widowControl/>
        <w:spacing w:line="440" w:lineRule="exact"/>
        <w:ind w:left="418" w:leftChars="190" w:firstLine="0" w:firstLineChars="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曹工、徐工</w:t>
      </w:r>
    </w:p>
    <w:p w14:paraId="5828FC9A">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联系电话：025-5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7792985、13951913943</w:t>
      </w:r>
    </w:p>
    <w:p w14:paraId="30BAB51C">
      <w:pPr>
        <w:widowControl/>
        <w:shd w:val="clear" w:color="auto" w:fill="FFFFFF"/>
        <w:spacing w:line="360" w:lineRule="auto"/>
        <w:ind w:firstLine="398"/>
        <w:jc w:val="both"/>
        <w:rPr>
          <w:rFonts w:ascii="宋体" w:hAnsi="宋体" w:eastAsia="宋体" w:cs="宋体"/>
          <w:color w:val="000000" w:themeColor="text1"/>
          <w:sz w:val="21"/>
          <w:szCs w:val="21"/>
          <w:highlight w:val="yellow"/>
          <w:lang w:eastAsia="zh-CN"/>
          <w14:textFill>
            <w14:solidFill>
              <w14:schemeClr w14:val="tx1"/>
            </w14:solidFill>
          </w14:textFill>
        </w:rPr>
      </w:pPr>
    </w:p>
    <w:p w14:paraId="0121F9DA">
      <w:pPr>
        <w:pStyle w:val="71"/>
        <w:rPr>
          <w:rFonts w:eastAsia="宋体"/>
          <w:color w:val="000000" w:themeColor="text1"/>
          <w:lang w:eastAsia="zh-CN"/>
          <w14:textFill>
            <w14:solidFill>
              <w14:schemeClr w14:val="tx1"/>
            </w14:solidFill>
          </w14:textFill>
        </w:rPr>
      </w:pPr>
    </w:p>
    <w:p w14:paraId="5DE78530">
      <w:pPr>
        <w:pStyle w:val="71"/>
        <w:rPr>
          <w:rFonts w:eastAsia="宋体"/>
          <w:color w:val="000000" w:themeColor="text1"/>
          <w:lang w:eastAsia="zh-CN"/>
          <w14:textFill>
            <w14:solidFill>
              <w14:schemeClr w14:val="tx1"/>
            </w14:solidFill>
          </w14:textFill>
        </w:rPr>
      </w:pPr>
    </w:p>
    <w:p w14:paraId="4D7F536E">
      <w:pPr>
        <w:pStyle w:val="71"/>
        <w:rPr>
          <w:rFonts w:eastAsia="宋体"/>
          <w:color w:val="000000" w:themeColor="text1"/>
          <w:lang w:eastAsia="zh-CN"/>
          <w14:textFill>
            <w14:solidFill>
              <w14:schemeClr w14:val="tx1"/>
            </w14:solidFill>
          </w14:textFill>
        </w:rPr>
      </w:pPr>
    </w:p>
    <w:p w14:paraId="1A40BBD4">
      <w:pPr>
        <w:widowControl/>
        <w:shd w:val="clear" w:color="auto" w:fill="FFFFFF"/>
        <w:spacing w:line="360" w:lineRule="auto"/>
        <w:jc w:val="center"/>
        <w:outlineLvl w:val="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clear="all"/>
      </w:r>
      <w:bookmarkStart w:id="7" w:name="一、总____则"/>
      <w:bookmarkEnd w:id="7"/>
      <w:bookmarkStart w:id="8" w:name="_bookmark2"/>
      <w:bookmarkEnd w:id="8"/>
      <w:bookmarkStart w:id="9" w:name="_Toc120614211"/>
      <w:bookmarkStart w:id="10" w:name="_Toc184199381"/>
      <w:r>
        <w:rPr>
          <w:rFonts w:hint="eastAsia" w:ascii="宋体" w:hAnsi="宋体" w:eastAsia="宋体" w:cs="宋体"/>
          <w:b/>
          <w:bCs/>
          <w:color w:val="000000" w:themeColor="text1"/>
          <w:sz w:val="28"/>
          <w:szCs w:val="28"/>
          <w:lang w:eastAsia="zh-CN"/>
          <w14:textFill>
            <w14:solidFill>
              <w14:schemeClr w14:val="tx1"/>
            </w14:solidFill>
          </w14:textFill>
        </w:rPr>
        <w:t>第二章</w:t>
      </w:r>
      <w:bookmarkEnd w:id="9"/>
      <w:r>
        <w:rPr>
          <w:rFonts w:hint="eastAsia" w:ascii="宋体" w:hAnsi="宋体" w:eastAsia="宋体" w:cs="宋体"/>
          <w:b/>
          <w:bCs/>
          <w:color w:val="000000" w:themeColor="text1"/>
          <w:sz w:val="28"/>
          <w:szCs w:val="28"/>
          <w:lang w:eastAsia="zh-CN"/>
          <w14:textFill>
            <w14:solidFill>
              <w14:schemeClr w14:val="tx1"/>
            </w14:solidFill>
          </w14:textFill>
        </w:rPr>
        <w:t xml:space="preserve"> 供应商须知</w:t>
      </w:r>
      <w:bookmarkEnd w:id="10"/>
    </w:p>
    <w:p w14:paraId="6E3F35D6">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 w:name="_Toc20823275"/>
      <w:bookmarkStart w:id="12" w:name="_Toc513029203"/>
      <w:bookmarkStart w:id="13" w:name="_Toc16938519"/>
      <w:bookmarkStart w:id="14" w:name="_Toc120614214"/>
      <w:r>
        <w:rPr>
          <w:rFonts w:hint="eastAsia"/>
          <w:b/>
          <w:bCs/>
          <w:color w:val="000000" w:themeColor="text1"/>
          <w:sz w:val="21"/>
          <w:szCs w:val="21"/>
          <w14:textFill>
            <w14:solidFill>
              <w14:schemeClr w14:val="tx1"/>
            </w14:solidFill>
          </w14:textFill>
        </w:rPr>
        <w:t>一、总则</w:t>
      </w:r>
      <w:bookmarkEnd w:id="11"/>
      <w:bookmarkEnd w:id="12"/>
      <w:bookmarkEnd w:id="13"/>
      <w:bookmarkEnd w:id="14"/>
    </w:p>
    <w:p w14:paraId="4DDC8BF7">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bookmarkStart w:id="15" w:name="_Toc16938523"/>
      <w:bookmarkStart w:id="16" w:name="_Toc20823279"/>
      <w:bookmarkStart w:id="17" w:name="_Toc462564067"/>
      <w:bookmarkStart w:id="18" w:name="_Toc513029207"/>
      <w:bookmarkStart w:id="19" w:name="_Hlt16619475"/>
      <w:r>
        <w:rPr>
          <w:rFonts w:hint="eastAsia" w:ascii="宋体" w:hAnsi="宋体" w:eastAsia="宋体" w:cs="宋体"/>
          <w:b/>
          <w:color w:val="000000" w:themeColor="text1"/>
          <w:sz w:val="21"/>
          <w:szCs w:val="21"/>
          <w:lang w:val="zh-CN" w:eastAsia="zh-CN"/>
          <w14:textFill>
            <w14:solidFill>
              <w14:schemeClr w14:val="tx1"/>
            </w14:solidFill>
          </w14:textFill>
        </w:rPr>
        <w:t>1、适用法律</w:t>
      </w:r>
    </w:p>
    <w:p w14:paraId="26AEE89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《中华人民共和国政府采购法》、《中华人民共和国政府采购法实施条例》、《</w:t>
      </w:r>
      <w:r>
        <w:rPr>
          <w:rFonts w:hint="eastAsia" w:ascii="宋体" w:hAnsi="宋体" w:eastAsia="宋体" w:cs="宋体"/>
          <w:color w:val="000000" w:themeColor="text1"/>
          <w:sz w:val="21"/>
          <w:szCs w:val="21"/>
          <w:lang w:eastAsia="zh-CN"/>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val="zh-CN" w:eastAsia="zh-CN"/>
          <w14:textFill>
            <w14:solidFill>
              <w14:schemeClr w14:val="tx1"/>
            </w14:solidFill>
          </w14:textFill>
        </w:rPr>
        <w:t>有关法律、规章和规定等。</w:t>
      </w:r>
    </w:p>
    <w:p w14:paraId="60DCB38B">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2、定义</w:t>
      </w:r>
    </w:p>
    <w:p w14:paraId="0DFC0EB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2.1 “采购人”是指依法进行政府采购的国家机关、事业单位、团体组织。</w:t>
      </w:r>
    </w:p>
    <w:p w14:paraId="09158DBB">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 “供应商”是指参加竞争性磋商，并符合采购文件规定资格条件的法人、其他组织或者自然人。</w:t>
      </w:r>
    </w:p>
    <w:p w14:paraId="3E1ABCA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 “货物、服务和工程”指本采购文件中所述产品、相关服务以及工程。</w:t>
      </w:r>
    </w:p>
    <w:p w14:paraId="294EB9AE">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2.4 “用户或使用单位”是指使用服务的单位。</w:t>
      </w:r>
    </w:p>
    <w:p w14:paraId="6EED48A0">
      <w:pPr>
        <w:widowControl/>
        <w:shd w:val="clear" w:color="auto" w:fill="FFFFFF"/>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3、政策功能</w:t>
      </w:r>
    </w:p>
    <w:p w14:paraId="26A09105">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3.1政府采购促进中小企业发展，</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小企业(含小型、微型企业)提供的产品和服务在评标时将获得优势，参加投标的</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小企业，应当提供《中小企业声明函》（“中小企业划型标准”详见《关于印发中小企业划型标准规定的通知》工信部联企业〔2011) 300号）。</w:t>
      </w:r>
    </w:p>
    <w:p w14:paraId="339C1682">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0679D9E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 141号。</w:t>
      </w:r>
    </w:p>
    <w:p w14:paraId="34143DC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r>
        <w:rPr>
          <w:rFonts w:hint="eastAsia" w:ascii="宋体" w:hAnsi="宋体" w:eastAsia="宋体" w:cs="宋体"/>
          <w:color w:val="000000" w:themeColor="text1"/>
          <w:sz w:val="21"/>
          <w:szCs w:val="21"/>
          <w:lang w:eastAsia="zh-CN"/>
          <w14:textFill>
            <w14:solidFill>
              <w14:schemeClr w14:val="tx1"/>
            </w14:solidFill>
          </w14:textFill>
        </w:rPr>
        <w:t>项目所属行业：根据《关于印发中小企业划型标准规定的通知》（工信部联企业〔2011〕300号）及《国家统计局关于印发&lt;统计上大中小微型企业划分办法〔2017〕&gt;的通知》（国统字〔2017〕213号）等文件规定，本项目所属行业为建筑业。</w:t>
      </w:r>
    </w:p>
    <w:p w14:paraId="55E942EB">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 xml:space="preserve"> 节能产品、环境标志产品政策</w:t>
      </w:r>
    </w:p>
    <w:p w14:paraId="47D62BD3">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（1）政府采购节能产品、环境标志产品实施品目清单管理。</w:t>
      </w:r>
    </w:p>
    <w:p w14:paraId="5CAD911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（2）拟采购产品属于节能产品、环境标志产品品目清单规定必须强制采购的，实行强制采购。</w:t>
      </w:r>
    </w:p>
    <w:p w14:paraId="1ADF874F">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（3）对国家认定的节能产品和环保产品给予报价的5%价格扣除，用扣除后的价格参与评</w:t>
      </w:r>
    </w:p>
    <w:p w14:paraId="1776C72E">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审（特别说明：节能、环保产品必须纳入“中国政府采购网 http://www.ccgp.gov.cn”等官方网站“环保产品查询系统”，且以提供的证书为准）。</w:t>
      </w:r>
    </w:p>
    <w:p w14:paraId="3B5494C9">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（4）参加政府采购活动的节能产品、环境标志产品供应商应当提供国家确定的认证机构出具的、处于有效期之内的节能产品、环境标志产品认证证书。</w:t>
      </w:r>
    </w:p>
    <w:p w14:paraId="3570EFEB">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3.3 进口产品政策</w:t>
      </w:r>
    </w:p>
    <w:p w14:paraId="4FA11A65">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（1）除在磋商文件另有规定外，不允许进口产品参加。进口产品认定依照《财政部关于政府采购进口产品管理有关问题的通知》（财办库〔2008〕248号）的规定。</w:t>
      </w:r>
    </w:p>
    <w:p w14:paraId="1AEB470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（2）允许进口产品参加的，满足需求的国内产品可以参加。</w:t>
      </w:r>
    </w:p>
    <w:p w14:paraId="2F9791AC">
      <w:pPr>
        <w:pStyle w:val="49"/>
        <w:keepNext/>
        <w:keepLines/>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（3）允许进口产品参加的，优先采购向我国企业转让技术、与我国企业签订消化吸收再创新方案的供应商的进口产品。</w:t>
      </w:r>
    </w:p>
    <w:p w14:paraId="28DC0FEC">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4、磋商费用</w:t>
      </w:r>
      <w:bookmarkEnd w:id="15"/>
      <w:bookmarkEnd w:id="16"/>
      <w:bookmarkEnd w:id="17"/>
      <w:bookmarkEnd w:id="18"/>
    </w:p>
    <w:p w14:paraId="362D1B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 供应商应自行承担所有与参加本次磋商有关的费用，无论磋商过程中的做法和结果如何，采购人和采购代理机构在任何情况下均无义务和责任承担这些费用。</w:t>
      </w:r>
    </w:p>
    <w:p w14:paraId="5D612E0A">
      <w:pPr>
        <w:widowControl/>
        <w:shd w:val="clear" w:color="auto" w:fill="FFFFFF"/>
        <w:spacing w:line="360" w:lineRule="auto"/>
        <w:ind w:firstLine="420" w:firstLineChars="200"/>
        <w:rPr>
          <w:rFonts w:hint="eastAsia" w:ascii="宋体" w:hAnsi="宋体" w:cs="宋体"/>
          <w:b/>
          <w:bCs w:val="0"/>
          <w:kern w:val="0"/>
          <w:szCs w:val="21"/>
          <w:highlight w:val="none"/>
        </w:rPr>
      </w:pPr>
      <w:r>
        <w:rPr>
          <w:rFonts w:hint="eastAsia"/>
          <w:b/>
          <w:bCs/>
          <w:color w:val="000000" w:themeColor="text1"/>
          <w:sz w:val="21"/>
          <w:szCs w:val="21"/>
          <w14:textFill>
            <w14:solidFill>
              <w14:schemeClr w14:val="tx1"/>
            </w14:solidFill>
          </w14:textFill>
        </w:rPr>
        <w:t>4.2本次招标代理服务费</w:t>
      </w:r>
      <w:r>
        <w:rPr>
          <w:rFonts w:hint="eastAsia" w:eastAsia="宋体"/>
          <w:b/>
          <w:bCs/>
          <w:color w:val="000000" w:themeColor="text1"/>
          <w:sz w:val="21"/>
          <w:szCs w:val="21"/>
          <w:lang w:eastAsia="zh-CN"/>
          <w14:textFill>
            <w14:solidFill>
              <w14:schemeClr w14:val="tx1"/>
            </w14:solidFill>
          </w14:textFill>
        </w:rPr>
        <w:t>：</w:t>
      </w:r>
      <w:r>
        <w:rPr>
          <w:rFonts w:hint="eastAsia"/>
          <w:b/>
          <w:bCs/>
          <w:color w:val="000000" w:themeColor="text1"/>
          <w:sz w:val="21"/>
          <w:szCs w:val="21"/>
          <w14:textFill>
            <w14:solidFill>
              <w14:schemeClr w14:val="tx1"/>
            </w14:solidFill>
          </w14:textFill>
        </w:rPr>
        <w:t>按计价格（2002）1980号文件标准80%计算，代理服务费不足3000元的以3000元计;工程量清单及招标控</w:t>
      </w:r>
      <w:r>
        <w:rPr>
          <w:rFonts w:hint="eastAsia"/>
          <w:b/>
          <w:bCs/>
          <w:color w:val="000000" w:themeColor="text1"/>
          <w:sz w:val="21"/>
          <w:szCs w:val="21"/>
          <w:highlight w:val="none"/>
          <w14:textFill>
            <w14:solidFill>
              <w14:schemeClr w14:val="tx1"/>
            </w14:solidFill>
          </w14:textFill>
        </w:rPr>
        <w:t>制价编制费按照江苏省物价局苏价服[2014]383号文件规定标准60%执行</w:t>
      </w:r>
      <w:r>
        <w:rPr>
          <w:rFonts w:hint="eastAsia" w:eastAsia="宋体"/>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清单编制费不足3000元的以3000元计</w:t>
      </w:r>
      <w:r>
        <w:rPr>
          <w:rFonts w:hint="eastAsia"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kern w:val="0"/>
          <w:szCs w:val="21"/>
          <w:highlight w:val="none"/>
          <w:lang w:val="en-US" w:eastAsia="zh-CN"/>
        </w:rPr>
        <w:t>上述费用</w:t>
      </w:r>
      <w:r>
        <w:rPr>
          <w:rFonts w:hint="eastAsia" w:ascii="宋体" w:hAnsi="宋体" w:cs="宋体"/>
          <w:b/>
          <w:bCs w:val="0"/>
          <w:kern w:val="0"/>
          <w:szCs w:val="21"/>
          <w:highlight w:val="none"/>
        </w:rPr>
        <w:t>均由中标供应商在领取中标通知书</w:t>
      </w:r>
      <w:r>
        <w:rPr>
          <w:rFonts w:hint="eastAsia" w:ascii="宋体" w:hAnsi="宋体" w:eastAsia="宋体" w:cs="宋体"/>
          <w:b/>
          <w:bCs w:val="0"/>
          <w:kern w:val="0"/>
          <w:szCs w:val="21"/>
          <w:highlight w:val="none"/>
          <w:lang w:val="en-US" w:eastAsia="zh-CN"/>
        </w:rPr>
        <w:t>时</w:t>
      </w:r>
      <w:r>
        <w:rPr>
          <w:rFonts w:hint="eastAsia" w:ascii="宋体" w:hAnsi="宋体" w:cs="宋体"/>
          <w:b/>
          <w:bCs w:val="0"/>
          <w:kern w:val="0"/>
          <w:szCs w:val="21"/>
          <w:highlight w:val="none"/>
        </w:rPr>
        <w:t>向采购代理机构支付。</w:t>
      </w:r>
    </w:p>
    <w:p w14:paraId="62D6F392">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4.3相关费用</w:t>
      </w:r>
      <w:r>
        <w:rPr>
          <w:rFonts w:hint="eastAsia"/>
          <w:bCs/>
          <w:color w:val="000000" w:themeColor="text1"/>
          <w:sz w:val="21"/>
          <w:szCs w:val="21"/>
          <w:highlight w:val="none"/>
          <w14:textFill>
            <w14:solidFill>
              <w14:schemeClr w14:val="tx1"/>
            </w14:solidFill>
          </w14:textFill>
        </w:rPr>
        <w:t>由投标单位自行考虑，后期</w:t>
      </w:r>
      <w:r>
        <w:rPr>
          <w:rFonts w:hint="eastAsia"/>
          <w:bCs/>
          <w:color w:val="000000" w:themeColor="text1"/>
          <w:sz w:val="21"/>
          <w:szCs w:val="21"/>
          <w14:textFill>
            <w14:solidFill>
              <w14:schemeClr w14:val="tx1"/>
            </w14:solidFill>
          </w14:textFill>
        </w:rPr>
        <w:t>不纳入与采购人结算中。</w:t>
      </w:r>
    </w:p>
    <w:p w14:paraId="35BDE9E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5、磋商文件的约束力</w:t>
      </w:r>
    </w:p>
    <w:p w14:paraId="3F70BE0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 供应商一旦参加本项目采购活动，即被认为接受了本磋商文件的规定和约束。</w:t>
      </w:r>
    </w:p>
    <w:p w14:paraId="624F2B14">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20" w:name="_Toc513029209"/>
      <w:bookmarkStart w:id="21" w:name="_Toc120614215"/>
      <w:bookmarkStart w:id="22" w:name="_Toc20823281"/>
      <w:bookmarkStart w:id="23" w:name="_Toc16938525"/>
      <w:r>
        <w:rPr>
          <w:rFonts w:hint="eastAsia"/>
          <w:b/>
          <w:bCs/>
          <w:color w:val="000000" w:themeColor="text1"/>
          <w:sz w:val="21"/>
          <w:szCs w:val="21"/>
          <w14:textFill>
            <w14:solidFill>
              <w14:schemeClr w14:val="tx1"/>
            </w14:solidFill>
          </w14:textFill>
        </w:rPr>
        <w:t>二、</w:t>
      </w:r>
      <w:bookmarkEnd w:id="20"/>
      <w:bookmarkEnd w:id="21"/>
      <w:bookmarkEnd w:id="22"/>
      <w:bookmarkEnd w:id="23"/>
      <w:r>
        <w:rPr>
          <w:rFonts w:hint="eastAsia"/>
          <w:b/>
          <w:bCs/>
          <w:color w:val="000000" w:themeColor="text1"/>
          <w:sz w:val="21"/>
          <w:szCs w:val="21"/>
          <w14:textFill>
            <w14:solidFill>
              <w14:schemeClr w14:val="tx1"/>
            </w14:solidFill>
          </w14:textFill>
        </w:rPr>
        <w:t>磋商文件</w:t>
      </w:r>
    </w:p>
    <w:p w14:paraId="6FCFA18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4" w:name="_Toc16938526"/>
      <w:bookmarkStart w:id="25" w:name="_Toc20823282"/>
      <w:bookmarkStart w:id="26" w:name="_Toc513029210"/>
      <w:r>
        <w:rPr>
          <w:rFonts w:hint="eastAsia"/>
          <w:b/>
          <w:bCs/>
          <w:color w:val="000000" w:themeColor="text1"/>
          <w:sz w:val="21"/>
          <w:szCs w:val="21"/>
          <w14:textFill>
            <w14:solidFill>
              <w14:schemeClr w14:val="tx1"/>
            </w14:solidFill>
          </w14:textFill>
        </w:rPr>
        <w:t>6、磋商文件构成</w:t>
      </w:r>
      <w:bookmarkEnd w:id="24"/>
      <w:bookmarkEnd w:id="25"/>
      <w:bookmarkEnd w:id="26"/>
    </w:p>
    <w:p w14:paraId="67C835A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 磋商文件由以下部分组成：</w:t>
      </w:r>
    </w:p>
    <w:p w14:paraId="0401AD5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（1）竞争性磋商公告</w:t>
      </w:r>
    </w:p>
    <w:p w14:paraId="6A39E6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（2）供应商须知</w:t>
      </w:r>
    </w:p>
    <w:p w14:paraId="3D8F746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（3）成交标准</w:t>
      </w:r>
    </w:p>
    <w:p w14:paraId="5F4B803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（4）采购需求</w:t>
      </w:r>
    </w:p>
    <w:p w14:paraId="580888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（5）合同草案条款及格式</w:t>
      </w:r>
    </w:p>
    <w:p w14:paraId="615C227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（6）响应文件格式</w:t>
      </w:r>
    </w:p>
    <w:p w14:paraId="3D56F42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（7）附件</w:t>
      </w:r>
    </w:p>
    <w:p w14:paraId="4D7BC4C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请仔细检查磋商文件是否齐全，如有缺漏请立即与采购代理机构联系解决。</w:t>
      </w:r>
    </w:p>
    <w:p w14:paraId="654FF4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BF13EDA">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7" w:name="_Toc462564070"/>
      <w:bookmarkStart w:id="28" w:name="_Toc16938527"/>
      <w:bookmarkStart w:id="29" w:name="_Toc513029211"/>
      <w:bookmarkStart w:id="30" w:name="_Toc20823283"/>
      <w:r>
        <w:rPr>
          <w:rFonts w:hint="eastAsia"/>
          <w:b/>
          <w:bCs/>
          <w:color w:val="000000" w:themeColor="text1"/>
          <w:sz w:val="21"/>
          <w:szCs w:val="21"/>
          <w14:textFill>
            <w14:solidFill>
              <w14:schemeClr w14:val="tx1"/>
            </w14:solidFill>
          </w14:textFill>
        </w:rPr>
        <w:t>7、磋商文件的澄清</w:t>
      </w:r>
      <w:bookmarkEnd w:id="27"/>
      <w:bookmarkEnd w:id="28"/>
      <w:bookmarkEnd w:id="29"/>
      <w:bookmarkEnd w:id="30"/>
    </w:p>
    <w:p w14:paraId="2B21B52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 任何要求对磋商文件进行澄清的供应商，应在磋商截止期5日前按磋商公告中的通讯地址，以书面形式通知采购代理机构。</w:t>
      </w:r>
    </w:p>
    <w:p w14:paraId="369470C3">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31" w:name="_Toc20823284"/>
      <w:bookmarkStart w:id="32" w:name="_Toc462564071"/>
      <w:bookmarkStart w:id="33" w:name="_Toc513029212"/>
      <w:bookmarkStart w:id="34" w:name="_Toc16938528"/>
      <w:r>
        <w:rPr>
          <w:rFonts w:hint="eastAsia"/>
          <w:b/>
          <w:bCs/>
          <w:color w:val="000000" w:themeColor="text1"/>
          <w:sz w:val="21"/>
          <w:szCs w:val="21"/>
          <w14:textFill>
            <w14:solidFill>
              <w14:schemeClr w14:val="tx1"/>
            </w14:solidFill>
          </w14:textFill>
        </w:rPr>
        <w:t>8、磋商文件的澄清和修改</w:t>
      </w:r>
      <w:bookmarkEnd w:id="31"/>
      <w:bookmarkEnd w:id="32"/>
      <w:bookmarkEnd w:id="33"/>
      <w:bookmarkEnd w:id="34"/>
    </w:p>
    <w:p w14:paraId="3161FD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 在响应文件提交截止时间前，采购代理机构可以对磋商文件进行澄清和修改,澄清或者修改的内容作为磋商文件的组成部分。澄清或者修改的内容可能影响响应文件编制的，采购代理机构将在提交首次响应文件截止时间至少5日前，在“江苏政府采购网、南京公共采购信息网”上发布书面更正公告形式通知所有获取磋商文件的供应商，更正公告内容将作为磋商文件的组成部分，并对供应商具有约束力。不足5日的，采购代理机构将顺延提交首次响应文件截止时间。</w:t>
      </w:r>
    </w:p>
    <w:p w14:paraId="76CD82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 采购代理机构可以视采购项目的具体情况，组织供应商进行现场考察或召开磋商前答疑会，但不单独或分别组织只有一个供应商参加的现场考察和答疑会。</w:t>
      </w:r>
    </w:p>
    <w:p w14:paraId="5D3899D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35" w:name="_Toc120614216"/>
      <w:bookmarkStart w:id="36" w:name="_Toc513029213"/>
      <w:bookmarkStart w:id="37" w:name="_Toc16938529"/>
      <w:bookmarkStart w:id="38" w:name="_Toc462564072"/>
      <w:bookmarkStart w:id="39" w:name="_Toc20823285"/>
      <w:r>
        <w:rPr>
          <w:rFonts w:hint="eastAsia"/>
          <w:b/>
          <w:bCs/>
          <w:color w:val="000000" w:themeColor="text1"/>
          <w:sz w:val="21"/>
          <w:szCs w:val="21"/>
          <w14:textFill>
            <w14:solidFill>
              <w14:schemeClr w14:val="tx1"/>
            </w14:solidFill>
          </w14:textFill>
        </w:rPr>
        <w:t>三、响应文件的编制</w:t>
      </w:r>
      <w:bookmarkEnd w:id="35"/>
      <w:bookmarkEnd w:id="36"/>
      <w:bookmarkEnd w:id="37"/>
      <w:bookmarkEnd w:id="38"/>
      <w:bookmarkEnd w:id="39"/>
    </w:p>
    <w:p w14:paraId="03E8338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0" w:name="_Toc20823286"/>
      <w:bookmarkStart w:id="41" w:name="_Toc462564073"/>
      <w:bookmarkStart w:id="42" w:name="_Toc16938530"/>
      <w:bookmarkStart w:id="43" w:name="_Toc513029214"/>
      <w:r>
        <w:rPr>
          <w:rFonts w:hint="eastAsia"/>
          <w:b/>
          <w:bCs/>
          <w:color w:val="000000" w:themeColor="text1"/>
          <w:sz w:val="21"/>
          <w:szCs w:val="21"/>
          <w14:textFill>
            <w14:solidFill>
              <w14:schemeClr w14:val="tx1"/>
            </w14:solidFill>
          </w14:textFill>
        </w:rPr>
        <w:t>9、</w:t>
      </w:r>
      <w:bookmarkEnd w:id="40"/>
      <w:bookmarkEnd w:id="41"/>
      <w:bookmarkEnd w:id="42"/>
      <w:bookmarkEnd w:id="43"/>
      <w:r>
        <w:rPr>
          <w:rFonts w:hint="eastAsia"/>
          <w:b/>
          <w:bCs/>
          <w:color w:val="000000" w:themeColor="text1"/>
          <w:sz w:val="21"/>
          <w:szCs w:val="21"/>
          <w14:textFill>
            <w14:solidFill>
              <w14:schemeClr w14:val="tx1"/>
            </w14:solidFill>
          </w14:textFill>
        </w:rPr>
        <w:t>响应文件的语言、计量单位、货币和编制</w:t>
      </w:r>
    </w:p>
    <w:p w14:paraId="13F469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784789F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9.2 供应商所使用的计量单位应为国家法定计量单位。</w:t>
      </w:r>
    </w:p>
    <w:p w14:paraId="6F40CB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9.3 供应商应用人民币报价。报价产品如果是进口产品的，应提供人民币与外币之间的汇率；报价单位为“元”。</w:t>
      </w:r>
    </w:p>
    <w:p w14:paraId="03563C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9.4 磋商响应文件应字迹清楚、内容齐全、不得涂改。如有修改，修改处须有供应商公章或投标专用章和法定代表人或其授权磋商代表签字。</w:t>
      </w:r>
    </w:p>
    <w:p w14:paraId="057DD02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9.5 供应商应在磋商响应文件中写清相应的项目编号、项目名称、供应商全称、地址、电话、传真等。</w:t>
      </w:r>
    </w:p>
    <w:p w14:paraId="0AE4935D">
      <w:pPr>
        <w:pStyle w:val="49"/>
        <w:keepNext/>
        <w:keepLines/>
        <w:widowControl w:val="0"/>
        <w:spacing w:before="0" w:beforeAutospacing="0" w:after="0" w:afterAutospacing="0" w:line="360" w:lineRule="auto"/>
        <w:ind w:firstLine="422"/>
        <w:jc w:val="both"/>
        <w:rPr>
          <w:rFonts w:hint="eastAsia" w:eastAsia="宋体"/>
          <w:b w:val="0"/>
          <w:bCs w:val="0"/>
          <w:color w:val="000000" w:themeColor="text1"/>
          <w:sz w:val="21"/>
          <w:szCs w:val="21"/>
          <w:lang w:eastAsia="zh-CN"/>
          <w14:textFill>
            <w14:solidFill>
              <w14:schemeClr w14:val="tx1"/>
            </w14:solidFill>
          </w14:textFill>
        </w:rPr>
      </w:pPr>
      <w:bookmarkStart w:id="44" w:name="_Toc462564074"/>
      <w:bookmarkStart w:id="45" w:name="_Toc16938531"/>
      <w:bookmarkStart w:id="46" w:name="_Toc513029215"/>
      <w:bookmarkStart w:id="47" w:name="_Toc20823287"/>
      <w:r>
        <w:rPr>
          <w:rFonts w:hint="eastAsia"/>
          <w:b/>
          <w:bCs/>
          <w:color w:val="000000" w:themeColor="text1"/>
          <w:sz w:val="21"/>
          <w:szCs w:val="21"/>
          <w14:textFill>
            <w14:solidFill>
              <w14:schemeClr w14:val="tx1"/>
            </w14:solidFill>
          </w14:textFill>
        </w:rPr>
        <w:t>10、响应文件构成</w:t>
      </w:r>
      <w:bookmarkEnd w:id="44"/>
      <w:bookmarkEnd w:id="45"/>
      <w:bookmarkEnd w:id="46"/>
      <w:bookmarkEnd w:id="47"/>
      <w:r>
        <w:rPr>
          <w:rFonts w:hint="eastAsia"/>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其中加</w:t>
      </w:r>
      <w:r>
        <w:rPr>
          <w:rFonts w:hint="eastAsia" w:cs="宋体"/>
          <w:b w:val="0"/>
          <w:bCs w:val="0"/>
          <w:color w:val="000000" w:themeColor="text1"/>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项目不得有缺失或无效</w:t>
      </w:r>
      <w:r>
        <w:rPr>
          <w:rFonts w:hint="eastAsia" w:ascii="宋体" w:hAnsi="宋体" w:eastAsia="宋体" w:cs="宋体"/>
          <w:b w:val="0"/>
          <w:bCs w:val="0"/>
          <w:color w:val="000000" w:themeColor="text1"/>
          <w:sz w:val="21"/>
          <w:szCs w:val="21"/>
          <w:lang w:eastAsia="zh-CN"/>
          <w14:textFill>
            <w14:solidFill>
              <w14:schemeClr w14:val="tx1"/>
            </w14:solidFill>
          </w14:textFill>
        </w:rPr>
        <w:t>，否则竞争性磋商小组有权否决供应商的投标</w:t>
      </w:r>
      <w:r>
        <w:rPr>
          <w:rFonts w:hint="eastAsia"/>
          <w:b w:val="0"/>
          <w:bCs w:val="0"/>
          <w:color w:val="000000" w:themeColor="text1"/>
          <w:sz w:val="21"/>
          <w:szCs w:val="21"/>
          <w:lang w:eastAsia="zh-CN"/>
          <w14:textFill>
            <w14:solidFill>
              <w14:schemeClr w14:val="tx1"/>
            </w14:solidFill>
          </w14:textFill>
        </w:rPr>
        <w:t>）</w:t>
      </w:r>
    </w:p>
    <w:p w14:paraId="7BAD0A4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14:textFill>
            <w14:solidFill>
              <w14:schemeClr w14:val="tx1"/>
            </w14:solidFill>
          </w14:textFill>
        </w:rPr>
        <w:t>供应商应当根据竞争性磋商文件要求编制磋商</w:t>
      </w:r>
      <w:r>
        <w:rPr>
          <w:rFonts w:hint="eastAsia" w:ascii="宋体" w:hAnsi="宋体" w:eastAsia="宋体" w:cs="宋体"/>
          <w:color w:val="000000" w:themeColor="text1"/>
          <w:sz w:val="21"/>
          <w:szCs w:val="21"/>
          <w:lang w:eastAsia="zh-CN"/>
          <w14:textFill>
            <w14:solidFill>
              <w14:schemeClr w14:val="tx1"/>
            </w14:solidFill>
          </w14:textFill>
        </w:rPr>
        <w:t>电子</w:t>
      </w:r>
      <w:r>
        <w:rPr>
          <w:rFonts w:hint="eastAsia" w:ascii="宋体" w:hAnsi="宋体" w:eastAsia="宋体" w:cs="宋体"/>
          <w:color w:val="000000" w:themeColor="text1"/>
          <w:sz w:val="21"/>
          <w:szCs w:val="21"/>
          <w:lang w:val="zh-CN" w:eastAsia="zh-CN"/>
          <w14:textFill>
            <w14:solidFill>
              <w14:schemeClr w14:val="tx1"/>
            </w14:solidFill>
          </w14:textFill>
        </w:rPr>
        <w:t>响应文件，并根据自己的商务能力、技术水平对竞争性磋商文件提出的要求和条件逐条标明是否响应。</w:t>
      </w:r>
    </w:p>
    <w:p w14:paraId="66D999A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.2 磋商响应文件由商务部分、技术部分、价格部分，以及其他部分组成。</w:t>
      </w:r>
    </w:p>
    <w:p w14:paraId="2C7D469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10.3 本次采购的最小单位是包。采购项目的技术要求中未分包的，供应商对要求提供的服务不得部分投标；采购项目的技术要求中已经分包的，可以以包为单位投标。</w:t>
      </w:r>
    </w:p>
    <w:p w14:paraId="5F42C39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10.4 如标书制作工具中格式和内容与“江苏政府采购网、南京公共采购信息网”发布的磋商文件不一致，请以“江苏政府采购网、南京公共采购信息网”发布的磋商文件为准。</w:t>
      </w:r>
    </w:p>
    <w:p w14:paraId="4DAFEA63">
      <w:pPr>
        <w:spacing w:line="360" w:lineRule="auto"/>
        <w:ind w:firstLine="420"/>
        <w:rPr>
          <w:rFonts w:ascii="宋体" w:hAnsi="宋体" w:eastAsia="宋体" w:cs="宋体"/>
          <w:b w:val="0"/>
          <w:bCs w:val="0"/>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5</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磋商响应文件的商务部分。</w:t>
      </w:r>
      <w:r>
        <w:rPr>
          <w:rFonts w:hint="eastAsia" w:ascii="宋体" w:hAnsi="宋体" w:eastAsia="宋体" w:cs="宋体"/>
          <w:color w:val="000000" w:themeColor="text1"/>
          <w:sz w:val="21"/>
          <w:szCs w:val="21"/>
          <w:lang w:val="zh-CN" w:eastAsia="zh-CN"/>
          <w14:textFill>
            <w14:solidFill>
              <w14:schemeClr w14:val="tx1"/>
            </w14:solidFill>
          </w14:textFill>
        </w:rPr>
        <w:t>商务部分是证明供应商有资格参加磋商和成交后有能力履行合同的文件，</w:t>
      </w:r>
      <w:r>
        <w:rPr>
          <w:rFonts w:hint="eastAsia" w:ascii="宋体" w:hAnsi="宋体" w:eastAsia="宋体" w:cs="宋体"/>
          <w:color w:val="000000" w:themeColor="text1"/>
          <w:sz w:val="21"/>
          <w:szCs w:val="21"/>
          <w:lang w:eastAsia="zh-CN"/>
          <w14:textFill>
            <w14:solidFill>
              <w14:schemeClr w14:val="tx1"/>
            </w14:solidFill>
          </w14:textFill>
        </w:rPr>
        <w:t>这些文件应能满足竞争性磋商采购的要求</w:t>
      </w:r>
      <w:r>
        <w:rPr>
          <w:rFonts w:hint="eastAsia" w:ascii="宋体" w:hAnsi="宋体" w:eastAsia="宋体" w:cs="宋体"/>
          <w:color w:val="000000" w:themeColor="text1"/>
          <w:sz w:val="21"/>
          <w:szCs w:val="21"/>
          <w:lang w:val="zh-CN" w:eastAsia="zh-CN"/>
          <w14:textFill>
            <w14:solidFill>
              <w14:schemeClr w14:val="tx1"/>
            </w14:solidFill>
          </w14:textFill>
        </w:rPr>
        <w:t>，包括但不限于下列文件</w:t>
      </w:r>
      <w:r>
        <w:rPr>
          <w:rFonts w:hint="eastAsia" w:ascii="宋体" w:hAnsi="宋体" w:eastAsia="宋体" w:cs="宋体"/>
          <w:b w:val="0"/>
          <w:bCs w:val="0"/>
          <w:color w:val="000000" w:themeColor="text1"/>
          <w:sz w:val="21"/>
          <w:szCs w:val="21"/>
          <w:lang w:val="zh-CN" w:eastAsia="zh-CN"/>
          <w14:textFill>
            <w14:solidFill>
              <w14:schemeClr w14:val="tx1"/>
            </w14:solidFill>
          </w14:textFill>
        </w:rPr>
        <w:t>：</w:t>
      </w:r>
    </w:p>
    <w:p w14:paraId="728795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竞争性磋商申请及声明</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117367F1">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法定代表人授权委托书及委托代理人的身份证</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02723318">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w:t>
      </w:r>
      <w:r>
        <w:rPr>
          <w:rFonts w:hint="eastAsia" w:ascii="宋体" w:hAnsi="宋体"/>
          <w:color w:val="000000" w:themeColor="text1"/>
          <w:sz w:val="21"/>
          <w:szCs w:val="21"/>
          <w:lang w:eastAsia="zh-CN"/>
          <w14:textFill>
            <w14:solidFill>
              <w14:schemeClr w14:val="tx1"/>
            </w14:solidFill>
          </w14:textFill>
        </w:rPr>
        <w:t>满足《中华人民共和国政府采购法》</w:t>
      </w:r>
      <w:r>
        <w:rPr>
          <w:rFonts w:hint="eastAsia" w:ascii="宋体" w:hAnsi="宋体" w:eastAsia="宋体" w:cs="宋体"/>
          <w:color w:val="000000" w:themeColor="text1"/>
          <w:sz w:val="21"/>
          <w:szCs w:val="21"/>
          <w:lang w:eastAsia="zh-CN"/>
          <w14:textFill>
            <w14:solidFill>
              <w14:schemeClr w14:val="tx1"/>
            </w14:solidFill>
          </w14:textFill>
        </w:rPr>
        <w:t>第二十二条规定的资格条件证明文件；</w:t>
      </w:r>
    </w:p>
    <w:p w14:paraId="4C7414DF">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第一章竞争性磋商公告中本项目的特定资格要求规定的证明文件；</w:t>
      </w:r>
    </w:p>
    <w:p w14:paraId="01246980">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b/>
          <w:color w:val="000000" w:themeColor="text1"/>
          <w:sz w:val="21"/>
          <w:szCs w:val="21"/>
          <w:lang w:eastAsia="zh-CN"/>
          <w14:textFill>
            <w14:solidFill>
              <w14:schemeClr w14:val="tx1"/>
            </w14:solidFill>
          </w14:textFill>
        </w:rPr>
        <w:t>南京市政府采购供应商信用记录表暨信用承诺书</w:t>
      </w:r>
      <w:r>
        <w:rPr>
          <w:rFonts w:hint="eastAsia"/>
          <w:bCs/>
          <w:color w:val="000000" w:themeColor="text1"/>
          <w:sz w:val="21"/>
          <w:szCs w:val="21"/>
          <w:lang w:eastAsia="zh-CN"/>
          <w14:textFill>
            <w14:solidFill>
              <w14:schemeClr w14:val="tx1"/>
            </w14:solidFill>
          </w14:textFill>
        </w:rPr>
        <w:t>；</w:t>
      </w:r>
    </w:p>
    <w:p w14:paraId="65FE543D">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磋商报价表</w:t>
      </w:r>
      <w:r>
        <w:rPr>
          <w:rFonts w:hint="eastAsia" w:ascii="宋体" w:hAnsi="宋体" w:eastAsia="宋体" w:cs="宋体"/>
          <w:bCs/>
          <w:color w:val="000000" w:themeColor="text1"/>
          <w:sz w:val="21"/>
          <w:szCs w:val="21"/>
          <w:lang w:eastAsia="zh-CN"/>
          <w14:textFill>
            <w14:solidFill>
              <w14:schemeClr w14:val="tx1"/>
            </w14:solidFill>
          </w14:textFill>
        </w:rPr>
        <w:t>；</w:t>
      </w:r>
    </w:p>
    <w:p w14:paraId="77FEB1F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w:t>
      </w:r>
      <w:r>
        <w:rPr>
          <w:rFonts w:hint="eastAsia" w:ascii="宋体" w:hAnsi="宋体" w:eastAsia="宋体" w:cs="宋体"/>
          <w:color w:val="000000" w:themeColor="text1"/>
          <w:sz w:val="21"/>
          <w:szCs w:val="21"/>
          <w:lang w:val="zh-CN" w:eastAsia="zh-CN"/>
          <w14:textFill>
            <w14:solidFill>
              <w14:schemeClr w14:val="tx1"/>
            </w14:solidFill>
          </w14:textFill>
        </w:rPr>
        <w:t>分项报价表；</w:t>
      </w:r>
    </w:p>
    <w:p w14:paraId="498E2EA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《商务条款偏离表》；</w:t>
      </w:r>
    </w:p>
    <w:p w14:paraId="080EC50A">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）供应商认为需要提供的其他资格证明文件和商务资料。</w:t>
      </w:r>
    </w:p>
    <w:p w14:paraId="566B773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6</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磋商响应文件的技术部分。</w:t>
      </w:r>
      <w:r>
        <w:rPr>
          <w:rFonts w:hint="eastAsia" w:ascii="宋体" w:hAnsi="宋体" w:eastAsia="宋体" w:cs="宋体"/>
          <w:color w:val="000000" w:themeColor="text1"/>
          <w:sz w:val="21"/>
          <w:szCs w:val="21"/>
          <w:lang w:val="zh-CN" w:eastAsia="zh-CN"/>
          <w14:textFill>
            <w14:solidFill>
              <w14:schemeClr w14:val="tx1"/>
            </w14:solidFill>
          </w14:textFill>
        </w:rPr>
        <w:t>技术部分是证明</w:t>
      </w:r>
      <w:r>
        <w:rPr>
          <w:rFonts w:hint="eastAsia" w:ascii="宋体" w:hAnsi="宋体" w:eastAsia="宋体" w:cs="宋体"/>
          <w:color w:val="000000" w:themeColor="text1"/>
          <w:sz w:val="21"/>
          <w:szCs w:val="21"/>
          <w:lang w:eastAsia="zh-CN"/>
          <w14:textFill>
            <w14:solidFill>
              <w14:schemeClr w14:val="tx1"/>
            </w14:solidFill>
          </w14:textFill>
        </w:rPr>
        <w:t>供应商提供的</w:t>
      </w:r>
      <w:r>
        <w:rPr>
          <w:rFonts w:hint="eastAsia" w:ascii="宋体" w:hAnsi="宋体" w:eastAsia="宋体" w:cs="宋体"/>
          <w:color w:val="000000" w:themeColor="text1"/>
          <w:sz w:val="21"/>
          <w:szCs w:val="21"/>
          <w:lang w:val="zh-CN" w:eastAsia="zh-CN"/>
          <w14:textFill>
            <w14:solidFill>
              <w14:schemeClr w14:val="tx1"/>
            </w14:solidFill>
          </w14:textFill>
        </w:rPr>
        <w:t>服务</w:t>
      </w:r>
      <w:r>
        <w:rPr>
          <w:rFonts w:hint="eastAsia" w:ascii="宋体" w:hAnsi="宋体" w:eastAsia="宋体" w:cs="宋体"/>
          <w:color w:val="000000" w:themeColor="text1"/>
          <w:sz w:val="21"/>
          <w:szCs w:val="21"/>
          <w:lang w:eastAsia="zh-CN"/>
          <w14:textFill>
            <w14:solidFill>
              <w14:schemeClr w14:val="tx1"/>
            </w14:solidFill>
          </w14:textFill>
        </w:rPr>
        <w:t>或工程是合格的、并符合竞争性磋商文件要求的证明文件，以及</w:t>
      </w:r>
      <w:r>
        <w:rPr>
          <w:rFonts w:hint="eastAsia" w:ascii="宋体" w:hAnsi="宋体" w:eastAsia="宋体" w:cs="宋体"/>
          <w:color w:val="000000" w:themeColor="text1"/>
          <w:sz w:val="21"/>
          <w:szCs w:val="21"/>
          <w:lang w:val="zh-CN" w:eastAsia="zh-CN"/>
          <w14:textFill>
            <w14:solidFill>
              <w14:schemeClr w14:val="tx1"/>
            </w14:solidFill>
          </w14:textFill>
        </w:rPr>
        <w:t>对服务</w:t>
      </w:r>
      <w:r>
        <w:rPr>
          <w:rFonts w:hint="eastAsia" w:ascii="宋体" w:hAnsi="宋体" w:eastAsia="宋体" w:cs="宋体"/>
          <w:color w:val="000000" w:themeColor="text1"/>
          <w:sz w:val="21"/>
          <w:szCs w:val="21"/>
          <w:lang w:eastAsia="zh-CN"/>
          <w14:textFill>
            <w14:solidFill>
              <w14:schemeClr w14:val="tx1"/>
            </w14:solidFill>
          </w14:textFill>
        </w:rPr>
        <w:t>或工程</w:t>
      </w:r>
      <w:r>
        <w:rPr>
          <w:rFonts w:hint="eastAsia" w:ascii="宋体" w:hAnsi="宋体" w:eastAsia="宋体" w:cs="宋体"/>
          <w:color w:val="000000" w:themeColor="text1"/>
          <w:sz w:val="21"/>
          <w:szCs w:val="21"/>
          <w:lang w:val="zh-CN" w:eastAsia="zh-CN"/>
          <w14:textFill>
            <w14:solidFill>
              <w14:schemeClr w14:val="tx1"/>
            </w14:solidFill>
          </w14:textFill>
        </w:rPr>
        <w:t>的详细说明，这些文件可以是文字资料、图纸和数据等。提供的服务如与竞争性磋商文件要求有不符之处，应说明其差别之所在。包括但不限于下列文件：</w:t>
      </w:r>
    </w:p>
    <w:p w14:paraId="65C2694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实施方案（</w:t>
      </w:r>
      <w:r>
        <w:rPr>
          <w:rFonts w:hint="eastAsia" w:ascii="宋体" w:hAnsi="宋体" w:eastAsia="宋体" w:cs="宋体"/>
          <w:color w:val="000000" w:themeColor="text1"/>
          <w:sz w:val="21"/>
          <w:szCs w:val="21"/>
          <w:lang w:val="en-US" w:eastAsia="zh-CN"/>
          <w14:textFill>
            <w14:solidFill>
              <w14:schemeClr w14:val="tx1"/>
            </w14:solidFill>
          </w14:textFill>
        </w:rPr>
        <w:t>需包含：①</w:t>
      </w:r>
      <w:r>
        <w:rPr>
          <w:rFonts w:hint="eastAsia" w:ascii="宋体" w:hAnsi="宋体" w:eastAsia="宋体" w:cs="宋体"/>
          <w:bCs/>
          <w:color w:val="auto"/>
          <w:kern w:val="0"/>
          <w:highlight w:val="none"/>
        </w:rPr>
        <w:t>施工进度计划和各阶段进度的保证措施</w:t>
      </w:r>
      <w:r>
        <w:rPr>
          <w:rFonts w:hint="eastAsia" w:ascii="宋体" w:hAnsi="宋体" w:eastAsia="宋体" w:cs="宋体"/>
          <w:bCs/>
          <w:color w:val="auto"/>
          <w:kern w:val="0"/>
          <w:highlight w:val="none"/>
          <w:lang w:eastAsia="zh-CN"/>
        </w:rPr>
        <w:t>；</w:t>
      </w:r>
      <w:r>
        <w:rPr>
          <w:rFonts w:hint="eastAsia" w:ascii="宋体" w:hAnsi="宋体" w:eastAsia="宋体" w:cs="宋体"/>
          <w:bCs/>
          <w:color w:val="auto"/>
          <w:kern w:val="0"/>
          <w:highlight w:val="none"/>
          <w:lang w:val="en-US" w:eastAsia="zh-CN"/>
        </w:rPr>
        <w:t>②</w:t>
      </w:r>
      <w:r>
        <w:rPr>
          <w:rFonts w:hint="eastAsia" w:ascii="宋体" w:hAnsi="宋体" w:eastAsia="宋体" w:cs="宋体"/>
          <w:bCs/>
          <w:color w:val="auto"/>
          <w:kern w:val="0"/>
          <w:highlight w:val="none"/>
        </w:rPr>
        <w:t>安全文明</w:t>
      </w:r>
      <w:r>
        <w:rPr>
          <w:rFonts w:hint="eastAsia" w:ascii="宋体" w:hAnsi="宋体" w:eastAsia="宋体" w:cs="宋体"/>
          <w:bCs/>
          <w:color w:val="auto"/>
          <w:kern w:val="0"/>
          <w:highlight w:val="none"/>
          <w:lang w:val="en-US" w:eastAsia="zh-CN"/>
        </w:rPr>
        <w:t>施工方案③</w:t>
      </w:r>
      <w:r>
        <w:rPr>
          <w:rFonts w:hint="eastAsia" w:ascii="宋体" w:hAnsi="宋体" w:eastAsia="宋体" w:cs="宋体"/>
          <w:bCs/>
          <w:color w:val="auto"/>
          <w:kern w:val="0"/>
          <w:highlight w:val="none"/>
        </w:rPr>
        <w:t>劳动力、机械设备和材料投入计划</w:t>
      </w: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rPr>
        <w:t>各分部分项工程的施工方案及质量保证</w:t>
      </w:r>
      <w:r>
        <w:rPr>
          <w:rFonts w:hint="eastAsia" w:ascii="宋体" w:hAnsi="宋体" w:eastAsia="宋体" w:cs="宋体"/>
          <w:bCs/>
          <w:color w:val="auto"/>
          <w:kern w:val="0"/>
          <w:highlight w:val="none"/>
          <w:lang w:val="en-US" w:eastAsia="zh-CN"/>
        </w:rPr>
        <w:t>⑤</w:t>
      </w:r>
      <w:r>
        <w:rPr>
          <w:rFonts w:hint="eastAsia" w:ascii="宋体" w:hAnsi="宋体" w:eastAsia="宋体" w:cs="宋体"/>
          <w:bCs/>
          <w:color w:val="auto"/>
          <w:kern w:val="0"/>
          <w:highlight w:val="none"/>
        </w:rPr>
        <w:t>关键施工技术、工艺及工程项目实施的重点、难点和解决方案</w:t>
      </w:r>
      <w:r>
        <w:rPr>
          <w:rFonts w:hint="eastAsia" w:ascii="宋体" w:hAnsi="宋体" w:eastAsia="宋体" w:cs="宋体"/>
          <w:color w:val="000000" w:themeColor="text1"/>
          <w:sz w:val="21"/>
          <w:szCs w:val="21"/>
          <w:lang w:val="zh-CN" w:eastAsia="zh-CN"/>
          <w14:textFill>
            <w14:solidFill>
              <w14:schemeClr w14:val="tx1"/>
            </w14:solidFill>
          </w14:textFill>
        </w:rPr>
        <w:t>）；</w:t>
      </w:r>
    </w:p>
    <w:p w14:paraId="1003C692">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）服务承诺；</w:t>
      </w:r>
    </w:p>
    <w:p w14:paraId="37B66C6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《技术条款偏离表》；</w:t>
      </w:r>
    </w:p>
    <w:p w14:paraId="0AE4241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）供应商认为需要提供的其他技术资料。</w:t>
      </w:r>
    </w:p>
    <w:p w14:paraId="46086DCE">
      <w:pPr>
        <w:spacing w:line="360" w:lineRule="auto"/>
        <w:ind w:firstLine="420"/>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10.7</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b/>
          <w:color w:val="000000" w:themeColor="text1"/>
          <w:sz w:val="21"/>
          <w:szCs w:val="21"/>
          <w:lang w:val="zh-CN" w:eastAsia="zh-CN"/>
          <w14:textFill>
            <w14:solidFill>
              <w14:schemeClr w14:val="tx1"/>
            </w14:solidFill>
          </w14:textFill>
        </w:rPr>
        <w:t>磋商响应文件的价格部分</w:t>
      </w:r>
    </w:p>
    <w:p w14:paraId="5585E650">
      <w:pPr>
        <w:numPr>
          <w:ilvl w:val="0"/>
          <w:numId w:val="2"/>
        </w:num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价格部分是对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价格构成的说明，竞争性磋商文件如没有特别说明的话，对每一项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仅接受一个价格。</w:t>
      </w:r>
    </w:p>
    <w:p w14:paraId="50CCEF0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（2）报价应包含与磋商项目有关的所</w:t>
      </w:r>
      <w:r>
        <w:rPr>
          <w:rFonts w:hint="eastAsia" w:ascii="宋体" w:hAnsi="宋体" w:eastAsia="宋体" w:cs="宋体"/>
          <w:color w:val="000000" w:themeColor="text1"/>
          <w:sz w:val="21"/>
          <w:szCs w:val="21"/>
          <w:lang w:eastAsia="zh-CN"/>
          <w14:textFill>
            <w14:solidFill>
              <w14:schemeClr w14:val="tx1"/>
            </w14:solidFill>
          </w14:textFill>
        </w:rPr>
        <w:t>有</w:t>
      </w:r>
      <w:r>
        <w:rPr>
          <w:rFonts w:hint="eastAsia" w:ascii="宋体" w:hAnsi="宋体" w:eastAsia="宋体" w:cs="宋体"/>
          <w:color w:val="000000" w:themeColor="text1"/>
          <w:sz w:val="21"/>
          <w:szCs w:val="21"/>
          <w:lang w:val="zh-CN" w:eastAsia="zh-CN"/>
          <w14:textFill>
            <w14:solidFill>
              <w14:schemeClr w14:val="tx1"/>
            </w14:solidFill>
          </w14:textFill>
        </w:rPr>
        <w:t>费用，以及技术资料、支付给员工的工资和国家强制缴纳的各种社会保障资金，以及供应商认为需要的其他费用等。</w:t>
      </w:r>
    </w:p>
    <w:p w14:paraId="78969CDC">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（3）供应商应以表格形式详细说明</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的价格构成，以及价格构成各项因素的单价和总价。</w:t>
      </w:r>
    </w:p>
    <w:p w14:paraId="58C2917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（4）供应商应充分考虑到市场价格变动，以及项目实施过程中的不可预见因素，一旦成交，总价格不变。如果有漏项，视同让利。</w:t>
      </w:r>
    </w:p>
    <w:p w14:paraId="5BFE89C9">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（5）响应文件所报的投标价格不得超过磋商文件规定的最高限价，超过磋商文件规定的最高限价的响应文件，按无效投标处理。</w:t>
      </w:r>
    </w:p>
    <w:p w14:paraId="48F7A452">
      <w:pPr>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）经磋商后，如果成交价</w:t>
      </w:r>
      <w:r>
        <w:rPr>
          <w:rFonts w:hint="eastAsia" w:ascii="宋体" w:hAnsi="宋体" w:eastAsia="宋体" w:cs="宋体"/>
          <w:color w:val="000000" w:themeColor="text1"/>
          <w:sz w:val="21"/>
          <w:szCs w:val="21"/>
          <w:lang w:eastAsia="zh-CN"/>
          <w14:textFill>
            <w14:solidFill>
              <w14:schemeClr w14:val="tx1"/>
            </w14:solidFill>
          </w14:textFill>
        </w:rPr>
        <w:t>高于或</w:t>
      </w:r>
      <w:r>
        <w:rPr>
          <w:rFonts w:hint="eastAsia" w:ascii="宋体" w:hAnsi="宋体" w:eastAsia="宋体" w:cs="宋体"/>
          <w:color w:val="000000" w:themeColor="text1"/>
          <w:sz w:val="21"/>
          <w:szCs w:val="21"/>
          <w:lang w:val="zh-CN" w:eastAsia="zh-CN"/>
          <w14:textFill>
            <w14:solidFill>
              <w14:schemeClr w14:val="tx1"/>
            </w14:solidFill>
          </w14:textFill>
        </w:rPr>
        <w:t>低于供应商在磋商响应文件报价的话，除特别注明外，分项报价同比例调整。</w:t>
      </w:r>
    </w:p>
    <w:p w14:paraId="08EFBE86">
      <w:pPr>
        <w:pStyle w:val="49"/>
        <w:widowControl w:val="0"/>
        <w:spacing w:before="0" w:beforeAutospacing="0" w:after="0" w:afterAutospacing="0" w:line="360" w:lineRule="auto"/>
        <w:ind w:firstLine="420"/>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10.</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lang w:val="zh-CN"/>
          <w14:textFill>
            <w14:solidFill>
              <w14:schemeClr w14:val="tx1"/>
            </w14:solidFill>
          </w14:textFill>
        </w:rPr>
        <w:t>磋商响应文件的其他部分。其他部分由供应商根据编制磋商响应文件需要提供的其他相关文件组成。</w:t>
      </w:r>
    </w:p>
    <w:p w14:paraId="48CBC16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8" w:name="_Toc14577357"/>
      <w:bookmarkStart w:id="49" w:name="_Toc513029216"/>
      <w:bookmarkStart w:id="50" w:name="_Toc49090509"/>
      <w:bookmarkStart w:id="51" w:name="_Toc49090508"/>
      <w:bookmarkStart w:id="52" w:name="_Toc14577354"/>
      <w:bookmarkStart w:id="53" w:name="_Toc14577355"/>
      <w:bookmarkStart w:id="54" w:name="_Toc513029219"/>
      <w:bookmarkStart w:id="55" w:name="_Toc49090507"/>
      <w:bookmarkStart w:id="56" w:name="_Hlt26670360"/>
      <w:bookmarkStart w:id="57" w:name="_Hlt26668975"/>
      <w:bookmarkStart w:id="58" w:name="_Hlt26954838"/>
      <w:r>
        <w:rPr>
          <w:rFonts w:hint="eastAsia"/>
          <w:b/>
          <w:bCs/>
          <w:color w:val="000000" w:themeColor="text1"/>
          <w:sz w:val="21"/>
          <w:szCs w:val="21"/>
          <w14:textFill>
            <w14:solidFill>
              <w14:schemeClr w14:val="tx1"/>
            </w14:solidFill>
          </w14:textFill>
        </w:rPr>
        <w:t>11、证明磋商响应标的符合磋商文件规定的文件</w:t>
      </w:r>
      <w:bookmarkEnd w:id="48"/>
      <w:bookmarkEnd w:id="49"/>
      <w:bookmarkEnd w:id="50"/>
      <w:bookmarkEnd w:id="51"/>
      <w:bookmarkEnd w:id="52"/>
      <w:bookmarkEnd w:id="53"/>
      <w:bookmarkEnd w:id="54"/>
      <w:bookmarkEnd w:id="55"/>
    </w:p>
    <w:p w14:paraId="0C93A99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 供应商应按照磋商文件要求提交证明文件，证明其及磋商响应标的符合磋商文件规定。</w:t>
      </w:r>
    </w:p>
    <w:p w14:paraId="68061E3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 磋商文件对证明文件无明确形式要求的，证明文件可以以文字资料、图纸和数据等形式提交。</w:t>
      </w:r>
    </w:p>
    <w:p w14:paraId="243E6C54">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12、分项报价表</w:t>
      </w:r>
    </w:p>
    <w:p w14:paraId="1371E6A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 供应商应填报分项报价表。</w:t>
      </w:r>
    </w:p>
    <w:p w14:paraId="326807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 磋商货币。响应文件中的单价和总价无特殊规定的采用人民币报价，以元为单位标注。磋商文件中另有规定的按规定执行。</w:t>
      </w:r>
    </w:p>
    <w:p w14:paraId="52C90D5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59" w:name="_Hlt26670486"/>
      <w:bookmarkStart w:id="60" w:name="_Hlt26954731"/>
      <w:bookmarkStart w:id="61" w:name="_Hlt26954848"/>
      <w:bookmarkStart w:id="62" w:name="_Hlt26670482"/>
      <w:bookmarkStart w:id="63" w:name="_Hlt26954846"/>
      <w:r>
        <w:rPr>
          <w:rFonts w:hint="eastAsia"/>
          <w:b/>
          <w:bCs/>
          <w:color w:val="000000" w:themeColor="text1"/>
          <w:sz w:val="21"/>
          <w:szCs w:val="21"/>
          <w14:textFill>
            <w14:solidFill>
              <w14:schemeClr w14:val="tx1"/>
            </w14:solidFill>
          </w14:textFill>
        </w:rPr>
        <w:t>13、技术要求响应及偏离表、商务要求响应及偏离表</w:t>
      </w:r>
    </w:p>
    <w:p w14:paraId="14EB2B1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 供应商需对磋商文件中的技术要求与商务要求逐项作出响应或偏离。</w:t>
      </w:r>
    </w:p>
    <w:p w14:paraId="6230018A">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13.2 供应商可在响应文件中提供认为需要的其他</w:t>
      </w:r>
      <w:r>
        <w:rPr>
          <w:rFonts w:hint="eastAsia"/>
          <w:color w:val="000000" w:themeColor="text1"/>
          <w:sz w:val="21"/>
          <w:szCs w:val="21"/>
          <w:highlight w:val="none"/>
          <w14:textFill>
            <w14:solidFill>
              <w14:schemeClr w14:val="tx1"/>
            </w14:solidFill>
          </w14:textFill>
        </w:rPr>
        <w:t>技术文件或说明。</w:t>
      </w:r>
    </w:p>
    <w:p w14:paraId="2933A93C">
      <w:pPr>
        <w:pStyle w:val="49"/>
        <w:keepNext/>
        <w:keepLines/>
        <w:widowControl w:val="0"/>
        <w:spacing w:before="0" w:beforeAutospacing="0" w:after="0" w:afterAutospacing="0" w:line="360" w:lineRule="auto"/>
        <w:ind w:firstLine="422"/>
        <w:jc w:val="both"/>
        <w:rPr>
          <w:color w:val="000000" w:themeColor="text1"/>
          <w:sz w:val="21"/>
          <w:szCs w:val="21"/>
          <w:highlight w:val="none"/>
          <w14:textFill>
            <w14:solidFill>
              <w14:schemeClr w14:val="tx1"/>
            </w14:solidFill>
          </w14:textFill>
        </w:rPr>
      </w:pPr>
      <w:bookmarkStart w:id="64" w:name="_Toc14577359"/>
      <w:bookmarkStart w:id="65" w:name="_Toc49090510"/>
      <w:r>
        <w:rPr>
          <w:rFonts w:hint="eastAsia"/>
          <w:b/>
          <w:bCs/>
          <w:color w:val="000000" w:themeColor="text1"/>
          <w:sz w:val="21"/>
          <w:szCs w:val="21"/>
          <w:highlight w:val="none"/>
          <w14:textFill>
            <w14:solidFill>
              <w14:schemeClr w14:val="tx1"/>
            </w14:solidFill>
          </w14:textFill>
        </w:rPr>
        <w:t>14、</w:t>
      </w:r>
      <w:bookmarkEnd w:id="64"/>
      <w:bookmarkEnd w:id="65"/>
      <w:r>
        <w:rPr>
          <w:rFonts w:hint="eastAsia"/>
          <w:b/>
          <w:bCs/>
          <w:color w:val="000000" w:themeColor="text1"/>
          <w:sz w:val="21"/>
          <w:szCs w:val="21"/>
          <w:highlight w:val="none"/>
          <w14:textFill>
            <w14:solidFill>
              <w14:schemeClr w14:val="tx1"/>
            </w14:solidFill>
          </w14:textFill>
        </w:rPr>
        <w:t>竞争性磋商申请及声明</w:t>
      </w:r>
    </w:p>
    <w:p w14:paraId="383C23B8">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14.1 供应商应按照磋商文件中提供的格式完整、正确填写竞争性磋商申请及声明。</w:t>
      </w:r>
    </w:p>
    <w:p w14:paraId="79D96710">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bookmarkStart w:id="66" w:name="_Toc49090511"/>
      <w:bookmarkStart w:id="67" w:name="_Toc14577360"/>
      <w:r>
        <w:rPr>
          <w:rFonts w:hint="eastAsia"/>
          <w:b/>
          <w:bCs/>
          <w:color w:val="000000" w:themeColor="text1"/>
          <w:sz w:val="21"/>
          <w:szCs w:val="21"/>
          <w:highlight w:val="none"/>
          <w14:textFill>
            <w14:solidFill>
              <w14:schemeClr w14:val="tx1"/>
            </w14:solidFill>
          </w14:textFill>
        </w:rPr>
        <w:t>15、磋商有效期</w:t>
      </w:r>
      <w:bookmarkEnd w:id="66"/>
      <w:bookmarkEnd w:id="67"/>
    </w:p>
    <w:p w14:paraId="6515B80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15.1 磋商有效期为采购代理机构规定的提交响应文件截止之日后</w:t>
      </w:r>
      <w:r>
        <w:rPr>
          <w:rFonts w:hint="eastAsia"/>
          <w:b/>
          <w:bCs/>
          <w:color w:val="000000" w:themeColor="text1"/>
          <w:sz w:val="21"/>
          <w:szCs w:val="21"/>
          <w:highlight w:val="none"/>
          <w:u w:val="single"/>
          <w14:textFill>
            <w14:solidFill>
              <w14:schemeClr w14:val="tx1"/>
            </w14:solidFill>
          </w14:textFill>
        </w:rPr>
        <w:t>六十（60）天</w:t>
      </w:r>
      <w:r>
        <w:rPr>
          <w:rFonts w:hint="eastAsia"/>
          <w:color w:val="000000" w:themeColor="text1"/>
          <w:sz w:val="21"/>
          <w:szCs w:val="21"/>
          <w:highlight w:val="none"/>
          <w14:textFill>
            <w14:solidFill>
              <w14:schemeClr w14:val="tx1"/>
            </w14:solidFill>
          </w14:textFill>
        </w:rPr>
        <w:t>。磋商有效期比规定短的将被视为非实质性响应磋商文件而予以拒绝。</w:t>
      </w:r>
    </w:p>
    <w:p w14:paraId="43470D54">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16、磋商有效期的延长</w:t>
      </w:r>
    </w:p>
    <w:p w14:paraId="7834E0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16.1 在特殊情况下，采购代理机构于原磋商有效期满之前，可向供应商提出延长磋商有效期的要求。这种要求与答复均应采用书面形式。供应商可以拒绝采购代理机构的这一要</w:t>
      </w:r>
      <w:r>
        <w:rPr>
          <w:rFonts w:hint="eastAsia"/>
          <w:color w:val="000000" w:themeColor="text1"/>
          <w:sz w:val="21"/>
          <w:szCs w:val="21"/>
          <w14:textFill>
            <w14:solidFill>
              <w14:schemeClr w14:val="tx1"/>
            </w14:solidFill>
          </w14:textFill>
        </w:rPr>
        <w:t>求而放弃磋商，同意延长磋商有效期的供应商既不能要求也不允许修改其响应文件。受磋商有效期约束的所有权利与义务均延长至新的有效期。</w:t>
      </w:r>
    </w:p>
    <w:p w14:paraId="1824D2A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68" w:name="_Toc16938540"/>
      <w:bookmarkStart w:id="69" w:name="_Toc513029224"/>
      <w:bookmarkStart w:id="70" w:name="_Toc120614217"/>
      <w:bookmarkStart w:id="71" w:name="_Toc20823296"/>
      <w:bookmarkStart w:id="72" w:name="_Hlt26954852"/>
      <w:bookmarkStart w:id="73" w:name="_Hlt26954739"/>
      <w:r>
        <w:rPr>
          <w:rFonts w:hint="eastAsia"/>
          <w:b/>
          <w:bCs/>
          <w:color w:val="000000" w:themeColor="text1"/>
          <w:sz w:val="21"/>
          <w:szCs w:val="21"/>
          <w14:textFill>
            <w14:solidFill>
              <w14:schemeClr w14:val="tx1"/>
            </w14:solidFill>
          </w14:textFill>
        </w:rPr>
        <w:t>四、响应文件的递交</w:t>
      </w:r>
      <w:bookmarkEnd w:id="68"/>
      <w:bookmarkEnd w:id="69"/>
      <w:bookmarkEnd w:id="70"/>
      <w:bookmarkEnd w:id="71"/>
    </w:p>
    <w:p w14:paraId="2249CC5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74" w:name="_Toc513029225"/>
      <w:bookmarkStart w:id="75" w:name="_Toc16938541"/>
      <w:bookmarkStart w:id="76" w:name="_Toc20823297"/>
      <w:bookmarkStart w:id="77" w:name="_Toc462564084"/>
      <w:r>
        <w:rPr>
          <w:rFonts w:hint="eastAsia"/>
          <w:b/>
          <w:bCs/>
          <w:color w:val="000000" w:themeColor="text1"/>
          <w:sz w:val="21"/>
          <w:szCs w:val="21"/>
          <w14:textFill>
            <w14:solidFill>
              <w14:schemeClr w14:val="tx1"/>
            </w14:solidFill>
          </w14:textFill>
        </w:rPr>
        <w:t>17、电子磋商</w:t>
      </w:r>
      <w:bookmarkEnd w:id="74"/>
      <w:bookmarkEnd w:id="75"/>
      <w:bookmarkEnd w:id="76"/>
      <w:bookmarkEnd w:id="77"/>
      <w:r>
        <w:rPr>
          <w:rFonts w:hint="eastAsia"/>
          <w:b/>
          <w:bCs/>
          <w:color w:val="000000" w:themeColor="text1"/>
          <w:sz w:val="21"/>
          <w:szCs w:val="21"/>
          <w14:textFill>
            <w14:solidFill>
              <w14:schemeClr w14:val="tx1"/>
            </w14:solidFill>
          </w14:textFill>
        </w:rPr>
        <w:t>响应文件的递交</w:t>
      </w:r>
    </w:p>
    <w:p w14:paraId="49BCAF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17.1 </w:t>
      </w:r>
      <w:r>
        <w:rPr>
          <w:rFonts w:hint="eastAsia"/>
          <w:color w:val="000000" w:themeColor="text1"/>
          <w:sz w:val="21"/>
          <w:szCs w:val="21"/>
          <w:lang w:val="zh-CN"/>
          <w14:textFill>
            <w14:solidFill>
              <w14:schemeClr w14:val="tx1"/>
            </w14:solidFill>
          </w14:textFill>
        </w:rPr>
        <w:t>响应文件应加盖</w:t>
      </w:r>
      <w:r>
        <w:rPr>
          <w:rFonts w:hint="eastAsia"/>
          <w:color w:val="000000" w:themeColor="text1"/>
          <w:sz w:val="21"/>
          <w:szCs w:val="21"/>
          <w14:textFill>
            <w14:solidFill>
              <w14:schemeClr w14:val="tx1"/>
            </w14:solidFill>
          </w14:textFill>
        </w:rPr>
        <w:t>投标供应商</w:t>
      </w:r>
      <w:r>
        <w:rPr>
          <w:rFonts w:hint="eastAsia"/>
          <w:color w:val="000000" w:themeColor="text1"/>
          <w:sz w:val="21"/>
          <w:szCs w:val="21"/>
          <w:lang w:val="zh-CN"/>
          <w14:textFill>
            <w14:solidFill>
              <w14:schemeClr w14:val="tx1"/>
            </w14:solidFill>
          </w14:textFill>
        </w:rPr>
        <w:t>公章。</w:t>
      </w:r>
      <w:r>
        <w:rPr>
          <w:rFonts w:hint="eastAsia"/>
          <w:color w:val="000000" w:themeColor="text1"/>
          <w:sz w:val="21"/>
          <w:szCs w:val="21"/>
          <w14:textFill>
            <w14:solidFill>
              <w14:schemeClr w14:val="tx1"/>
            </w14:solidFill>
          </w14:textFill>
        </w:rPr>
        <w:t>磋商文件中注明须签字的地方应由供应商的法定代表人或委托代理人签字，如为委托代理人签字的应附“法定代表人授权委托书”。</w:t>
      </w:r>
    </w:p>
    <w:p w14:paraId="61556B7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 供应商应当按照《操作手册》规定，在提交响应文件截止时间前制作并上传电子响应文件。</w:t>
      </w:r>
      <w:bookmarkStart w:id="78" w:name="_Toc20823298"/>
      <w:bookmarkEnd w:id="78"/>
      <w:bookmarkStart w:id="79" w:name="_Toc16938542"/>
      <w:bookmarkEnd w:id="79"/>
      <w:bookmarkStart w:id="80" w:name="_Toc513029226"/>
    </w:p>
    <w:p w14:paraId="741FA4E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18、提交响应文件截止时间</w:t>
      </w:r>
    </w:p>
    <w:p w14:paraId="5E6C589F">
      <w:pPr>
        <w:pStyle w:val="49"/>
        <w:widowControl w:val="0"/>
        <w:spacing w:before="0" w:beforeAutospacing="0" w:after="0" w:afterAutospacing="0" w:line="360" w:lineRule="auto"/>
        <w:ind w:firstLine="420"/>
        <w:jc w:val="both"/>
        <w:rPr>
          <w:i/>
          <w:iCs/>
          <w:color w:val="000000" w:themeColor="text1"/>
          <w:sz w:val="21"/>
          <w:szCs w:val="21"/>
          <w14:textFill>
            <w14:solidFill>
              <w14:schemeClr w14:val="tx1"/>
            </w14:solidFill>
          </w14:textFill>
        </w:rPr>
      </w:pPr>
      <w:r>
        <w:rPr>
          <w:rFonts w:hint="eastAsia"/>
          <w:i/>
          <w:iCs/>
          <w:color w:val="000000" w:themeColor="text1"/>
          <w:sz w:val="21"/>
          <w:szCs w:val="21"/>
          <w:u w:val="single"/>
          <w14:textFill>
            <w14:solidFill>
              <w14:schemeClr w14:val="tx1"/>
            </w14:solidFill>
          </w14:textFill>
        </w:rPr>
        <w:t>18.1 供应商上传电子响应文件的时间不得迟于磋商公告中规定的提交响应文件截止时间。</w:t>
      </w:r>
    </w:p>
    <w:p w14:paraId="2E8AB30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18.2 供应商应充分考虑到网络环境、网络带宽等风险因素，如因供应商自身原因造成的电子响应文件上传不成功的按照本磋商文件第二章第</w:t>
      </w:r>
      <w:r>
        <w:rPr>
          <w:rFonts w:hint="eastAsia"/>
          <w:b/>
          <w:bCs/>
          <w:color w:val="000000" w:themeColor="text1"/>
          <w:sz w:val="21"/>
          <w:szCs w:val="21"/>
          <w14:textFill>
            <w14:solidFill>
              <w14:schemeClr w14:val="tx1"/>
            </w14:solidFill>
          </w14:textFill>
        </w:rPr>
        <w:t>25.3.2</w:t>
      </w:r>
      <w:r>
        <w:rPr>
          <w:rFonts w:hint="eastAsia"/>
          <w:color w:val="000000" w:themeColor="text1"/>
          <w:sz w:val="21"/>
          <w:szCs w:val="21"/>
          <w14:textFill>
            <w14:solidFill>
              <w14:schemeClr w14:val="tx1"/>
            </w14:solidFill>
          </w14:textFill>
        </w:rPr>
        <w:t>条规定做无效响应处理。</w:t>
      </w:r>
    </w:p>
    <w:p w14:paraId="5C44EB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18.3 采购代理机构可以按照规定，通过修改磋商文件酌情延长提交响应文件截止日期，在此情况下，供应商的所有权利和义务以及供应商受制的截止日期均应以延长后新的截止日期为准。</w:t>
      </w:r>
    </w:p>
    <w:p w14:paraId="621380A6">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81" w:name="_Toc20823299"/>
      <w:bookmarkStart w:id="82" w:name="_Toc16938543"/>
      <w:bookmarkStart w:id="83" w:name="_Toc513029227"/>
      <w:r>
        <w:rPr>
          <w:rFonts w:hint="eastAsia"/>
          <w:b/>
          <w:bCs/>
          <w:color w:val="000000" w:themeColor="text1"/>
          <w:sz w:val="21"/>
          <w:szCs w:val="21"/>
          <w14:textFill>
            <w14:solidFill>
              <w14:schemeClr w14:val="tx1"/>
            </w14:solidFill>
          </w14:textFill>
        </w:rPr>
        <w:t>19、响应文件</w:t>
      </w:r>
      <w:bookmarkEnd w:id="81"/>
      <w:bookmarkEnd w:id="82"/>
      <w:bookmarkEnd w:id="83"/>
      <w:r>
        <w:rPr>
          <w:rFonts w:hint="eastAsia"/>
          <w:b/>
          <w:bCs/>
          <w:color w:val="000000" w:themeColor="text1"/>
          <w:sz w:val="21"/>
          <w:szCs w:val="21"/>
          <w14:textFill>
            <w14:solidFill>
              <w14:schemeClr w14:val="tx1"/>
            </w14:solidFill>
          </w14:textFill>
        </w:rPr>
        <w:t>的拒收</w:t>
      </w:r>
    </w:p>
    <w:p w14:paraId="0B375A1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19.1 采购代理机构拒绝接收在其规定的提交响应文件截止时间后上传的任何电子响应文件。</w:t>
      </w:r>
    </w:p>
    <w:p w14:paraId="3BAF9EDC">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4" w:name="_Toc513029228"/>
      <w:bookmarkStart w:id="85" w:name="_Toc20823300"/>
      <w:bookmarkStart w:id="86" w:name="_Toc16938544"/>
      <w:r>
        <w:rPr>
          <w:rFonts w:hint="eastAsia"/>
          <w:b/>
          <w:bCs/>
          <w:color w:val="000000" w:themeColor="text1"/>
          <w:sz w:val="21"/>
          <w:szCs w:val="21"/>
          <w14:textFill>
            <w14:solidFill>
              <w14:schemeClr w14:val="tx1"/>
            </w14:solidFill>
          </w14:textFill>
        </w:rPr>
        <w:t>20、响应文件的撤回和修改</w:t>
      </w:r>
      <w:bookmarkEnd w:id="84"/>
      <w:bookmarkEnd w:id="85"/>
      <w:bookmarkEnd w:id="86"/>
    </w:p>
    <w:p w14:paraId="2BD1BE38">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20.1响应文件的撤回</w:t>
      </w:r>
    </w:p>
    <w:p w14:paraId="2F56A1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20.1.1 电子响应文件的撤回</w:t>
      </w:r>
    </w:p>
    <w:p w14:paraId="52A1AB6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供应商可在提交响应文件截止时间前，撤回其电子响应文件，具体操作方法见《操作手册》。</w:t>
      </w:r>
    </w:p>
    <w:p w14:paraId="11BE512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20.1.2 供应商撤回电子响应文件，则认为其不再参与本项目磋商活动。</w:t>
      </w:r>
    </w:p>
    <w:p w14:paraId="39952AB3">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20.2响应文件的修改</w:t>
      </w:r>
    </w:p>
    <w:p w14:paraId="100FE06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 供应商可在提交响应文件截止时间前，对其电子响应文件进行修改，具体操作方法见《操作手册》。</w:t>
      </w:r>
    </w:p>
    <w:p w14:paraId="188F8A8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20.2.2 在提交响应文件截止时间之后，供应商不得对其电子响应文件</w:t>
      </w:r>
      <w:r>
        <w:rPr>
          <w:rFonts w:hint="eastAsia"/>
          <w:color w:val="000000" w:themeColor="text1"/>
          <w:sz w:val="21"/>
          <w:szCs w:val="21"/>
          <w:lang w:val="en-US" w:eastAsia="zh-CN"/>
          <w14:textFill>
            <w14:solidFill>
              <w14:schemeClr w14:val="tx1"/>
            </w14:solidFill>
          </w14:textFill>
        </w:rPr>
        <w:t>做</w:t>
      </w:r>
      <w:r>
        <w:rPr>
          <w:rFonts w:hint="eastAsia"/>
          <w:color w:val="000000" w:themeColor="text1"/>
          <w:sz w:val="21"/>
          <w:szCs w:val="21"/>
          <w14:textFill>
            <w14:solidFill>
              <w14:schemeClr w14:val="tx1"/>
            </w14:solidFill>
          </w14:textFill>
        </w:rPr>
        <w:t>任何修改。</w:t>
      </w:r>
    </w:p>
    <w:p w14:paraId="20DB760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20.2.3 在提交响应文件截止时间至磋商文件中规定的磋商有效期满之间的这段时间内，供应商不得撤回其响应文件。</w:t>
      </w:r>
    </w:p>
    <w:p w14:paraId="1A01D08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7" w:name="_Toc120614218"/>
      <w:bookmarkStart w:id="88" w:name="_Toc513029229"/>
      <w:bookmarkStart w:id="89" w:name="_Toc16938545"/>
      <w:bookmarkStart w:id="90" w:name="_Toc20823301"/>
      <w:r>
        <w:rPr>
          <w:rFonts w:hint="eastAsia"/>
          <w:b/>
          <w:bCs/>
          <w:color w:val="000000" w:themeColor="text1"/>
          <w:sz w:val="21"/>
          <w:szCs w:val="21"/>
          <w14:textFill>
            <w14:solidFill>
              <w14:schemeClr w14:val="tx1"/>
            </w14:solidFill>
          </w14:textFill>
        </w:rPr>
        <w:t>五、响应文件的解密与评审</w:t>
      </w:r>
      <w:bookmarkEnd w:id="87"/>
      <w:bookmarkEnd w:id="88"/>
      <w:bookmarkEnd w:id="89"/>
      <w:bookmarkEnd w:id="90"/>
    </w:p>
    <w:p w14:paraId="77AC7837">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1" w:name="_Toc513029230"/>
      <w:bookmarkStart w:id="92" w:name="_Toc20823302"/>
      <w:bookmarkStart w:id="93" w:name="_Toc16938546"/>
      <w:r>
        <w:rPr>
          <w:rFonts w:hint="eastAsia"/>
          <w:b/>
          <w:bCs/>
          <w:color w:val="000000" w:themeColor="text1"/>
          <w:sz w:val="21"/>
          <w:szCs w:val="21"/>
          <w14:textFill>
            <w14:solidFill>
              <w14:schemeClr w14:val="tx1"/>
            </w14:solidFill>
          </w14:textFill>
        </w:rPr>
        <w:t>21、</w:t>
      </w:r>
      <w:bookmarkEnd w:id="91"/>
      <w:bookmarkEnd w:id="92"/>
      <w:bookmarkEnd w:id="93"/>
      <w:r>
        <w:rPr>
          <w:rFonts w:hint="eastAsia"/>
          <w:b/>
          <w:bCs/>
          <w:color w:val="000000" w:themeColor="text1"/>
          <w:sz w:val="21"/>
          <w:szCs w:val="21"/>
          <w14:textFill>
            <w14:solidFill>
              <w14:schemeClr w14:val="tx1"/>
            </w14:solidFill>
          </w14:textFill>
        </w:rPr>
        <w:t>响应文件解密</w:t>
      </w:r>
    </w:p>
    <w:p w14:paraId="0B98F55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 供应商应当按照《操作手册》规定，在苏采云系统规定的时间内对磋商响应文件进行解密。</w:t>
      </w:r>
    </w:p>
    <w:p w14:paraId="674F969E">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4" w:name="_Toc513029231"/>
      <w:bookmarkStart w:id="95" w:name="_Toc16938547"/>
      <w:bookmarkStart w:id="96" w:name="_Toc20823303"/>
      <w:r>
        <w:rPr>
          <w:rFonts w:hint="eastAsia"/>
          <w:b/>
          <w:bCs/>
          <w:color w:val="000000" w:themeColor="text1"/>
          <w:sz w:val="21"/>
          <w:szCs w:val="21"/>
          <w14:textFill>
            <w14:solidFill>
              <w14:schemeClr w14:val="tx1"/>
            </w14:solidFill>
          </w14:textFill>
        </w:rPr>
        <w:t>22、磋商小组</w:t>
      </w:r>
      <w:bookmarkEnd w:id="94"/>
      <w:bookmarkEnd w:id="95"/>
      <w:bookmarkEnd w:id="96"/>
    </w:p>
    <w:p w14:paraId="307425A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 采购代理机构将组织磋商小组对响应文件进行评审。磋商小组由采购人代表和有关技术、经济等方面的专家组成，且人员构成符合政府采购有关规定。</w:t>
      </w:r>
    </w:p>
    <w:p w14:paraId="73E6D65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 磋商小组独立工作，负责评审所有响应文件并确定成交</w:t>
      </w:r>
      <w:r>
        <w:rPr>
          <w:rFonts w:hint="eastAsia"/>
          <w:color w:val="000000" w:themeColor="text1"/>
          <w:sz w:val="21"/>
          <w:szCs w:val="21"/>
          <w:lang w:eastAsia="zh-CN"/>
          <w14:textFill>
            <w14:solidFill>
              <w14:schemeClr w14:val="tx1"/>
            </w14:solidFill>
          </w14:textFill>
        </w:rPr>
        <w:t>候选人</w:t>
      </w:r>
      <w:r>
        <w:rPr>
          <w:rFonts w:hint="eastAsia"/>
          <w:color w:val="000000" w:themeColor="text1"/>
          <w:sz w:val="21"/>
          <w:szCs w:val="21"/>
          <w14:textFill>
            <w14:solidFill>
              <w14:schemeClr w14:val="tx1"/>
            </w14:solidFill>
          </w14:textFill>
        </w:rPr>
        <w:t>。</w:t>
      </w:r>
    </w:p>
    <w:p w14:paraId="35851002">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23、评审过程的保密与公正</w:t>
      </w:r>
    </w:p>
    <w:p w14:paraId="4C3B198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23.1 磋商小组、采购人和采购代理机构工作人员、相关监督人员等与评审工作有关的人员，对评审情况以及在评审过程中获悉的国家秘密、商业秘密负有保密责任。</w:t>
      </w:r>
    </w:p>
    <w:p w14:paraId="3CDCB3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23.2 在评审过程中，供应商不得以任何行为影响磋商评审过程，否则其响应文件将被作为无效响应文件。</w:t>
      </w:r>
    </w:p>
    <w:p w14:paraId="019A141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23.3 在项目评审期间，采购代理机构将设专门人员与供应商联系。</w:t>
      </w:r>
    </w:p>
    <w:p w14:paraId="3820FE7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23.4 采购代理机构和磋商小组不向未成交的供应商解释未成交原因，也不公布评审过程中的相关细节。</w:t>
      </w:r>
    </w:p>
    <w:p w14:paraId="7B90313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97" w:name="_Toc513029232"/>
      <w:bookmarkStart w:id="98" w:name="_Toc16938548"/>
      <w:bookmarkStart w:id="99" w:name="_Toc20823304"/>
      <w:r>
        <w:rPr>
          <w:rFonts w:hint="eastAsia"/>
          <w:b/>
          <w:bCs/>
          <w:color w:val="000000" w:themeColor="text1"/>
          <w:sz w:val="21"/>
          <w:szCs w:val="21"/>
          <w14:textFill>
            <w14:solidFill>
              <w14:schemeClr w14:val="tx1"/>
            </w14:solidFill>
          </w14:textFill>
        </w:rPr>
        <w:t>24、评审过程中的澄清</w:t>
      </w:r>
      <w:bookmarkEnd w:id="97"/>
      <w:bookmarkEnd w:id="98"/>
      <w:bookmarkEnd w:id="99"/>
    </w:p>
    <w:p w14:paraId="3F6C36C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24.1 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64A4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磋商小组并非对每个供应商都</w:t>
      </w:r>
      <w:r>
        <w:rPr>
          <w:rFonts w:hint="eastAsia"/>
          <w:color w:val="000000" w:themeColor="text1"/>
          <w:sz w:val="21"/>
          <w:szCs w:val="21"/>
          <w:lang w:eastAsia="zh-CN"/>
          <w14:textFill>
            <w14:solidFill>
              <w14:schemeClr w14:val="tx1"/>
            </w14:solidFill>
          </w14:textFill>
        </w:rPr>
        <w:t>做</w:t>
      </w:r>
      <w:r>
        <w:rPr>
          <w:rFonts w:hint="eastAsia"/>
          <w:color w:val="000000" w:themeColor="text1"/>
          <w:sz w:val="21"/>
          <w:szCs w:val="21"/>
          <w14:textFill>
            <w14:solidFill>
              <w14:schemeClr w14:val="tx1"/>
            </w14:solidFill>
          </w14:textFill>
        </w:rPr>
        <w:t>澄清要求。</w:t>
      </w:r>
    </w:p>
    <w:p w14:paraId="62DECAE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24.2 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03D63E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24.3 接到磋商小组澄清、说明和更正要求的供应商如未按规定</w:t>
      </w:r>
      <w:r>
        <w:rPr>
          <w:rFonts w:hint="eastAsia"/>
          <w:color w:val="000000" w:themeColor="text1"/>
          <w:sz w:val="21"/>
          <w:szCs w:val="21"/>
          <w:lang w:eastAsia="zh-CN"/>
          <w14:textFill>
            <w14:solidFill>
              <w14:schemeClr w14:val="tx1"/>
            </w14:solidFill>
          </w14:textFill>
        </w:rPr>
        <w:t>作出</w:t>
      </w:r>
      <w:r>
        <w:rPr>
          <w:rFonts w:hint="eastAsia"/>
          <w:color w:val="000000" w:themeColor="text1"/>
          <w:sz w:val="21"/>
          <w:szCs w:val="21"/>
          <w14:textFill>
            <w14:solidFill>
              <w14:schemeClr w14:val="tx1"/>
            </w14:solidFill>
          </w14:textFill>
        </w:rPr>
        <w:t>澄清、说明和更正，其风险由供应商自行承担。</w:t>
      </w:r>
    </w:p>
    <w:p w14:paraId="1E9D63C5">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00" w:name="_Toc20823305"/>
      <w:bookmarkStart w:id="101" w:name="_Toc16938549"/>
      <w:bookmarkStart w:id="102" w:name="_Toc513029233"/>
      <w:r>
        <w:rPr>
          <w:rFonts w:hint="eastAsia"/>
          <w:b/>
          <w:bCs/>
          <w:color w:val="000000" w:themeColor="text1"/>
          <w:sz w:val="21"/>
          <w:szCs w:val="21"/>
          <w14:textFill>
            <w14:solidFill>
              <w14:schemeClr w14:val="tx1"/>
            </w14:solidFill>
          </w14:textFill>
        </w:rPr>
        <w:t>25、对响应文件的审</w:t>
      </w:r>
      <w:bookmarkEnd w:id="100"/>
      <w:bookmarkEnd w:id="101"/>
      <w:bookmarkEnd w:id="102"/>
      <w:r>
        <w:rPr>
          <w:rFonts w:hint="eastAsia"/>
          <w:b/>
          <w:bCs/>
          <w:color w:val="000000" w:themeColor="text1"/>
          <w:sz w:val="21"/>
          <w:szCs w:val="21"/>
          <w14:textFill>
            <w14:solidFill>
              <w14:schemeClr w14:val="tx1"/>
            </w14:solidFill>
          </w14:textFill>
        </w:rPr>
        <w:t>查</w:t>
      </w:r>
    </w:p>
    <w:p w14:paraId="012DD52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25.1 响应文件审查分为资格审查和符合性审查。</w:t>
      </w:r>
    </w:p>
    <w:p w14:paraId="27126C3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25.1.1 资格审查：由磋商小组依据法律法规和磋商文件的规定，对响应文件中的资格证明文件进行审查，以确定供应商是否具备参加磋商的资格。</w:t>
      </w:r>
    </w:p>
    <w:p w14:paraId="31CC79D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磋商小组在进行资格审查的同时，将在“信用中国”网站（www.creditchina.gov.cn）、“中国政府采购网"(www.ccgp.gov.cn)查询供应商的信用记录，以确定供应商是否具备磋商资格，查询结果留存并归档。</w:t>
      </w:r>
    </w:p>
    <w:p w14:paraId="4A096D2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接受联合体的项目，两个以上的自然人、法人或者其他组织组成一个联合体，以一个供应商的身份共同参加政府采购活动的,联合体成员中任何一方存在不良信用记录的，视同联合体存在不良应用记录。</w:t>
      </w:r>
    </w:p>
    <w:p w14:paraId="6898287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25.1.2 符合性审查：依据磋商文件的规定，由磋商小组从响应文件的有效性、完整性和对磋商文件的响应程度进行审查，以确定是否对磋商文件的实质性要求作出响应。</w:t>
      </w:r>
    </w:p>
    <w:p w14:paraId="13BBC7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25.1.3 未通过资格审查或符合性审查的供应商，磋商小组将在苏采云系统中告知未通过资格审查或符合性审查的原因，评审结束后，磋商小组将不再告知未通过资格审查或符合性审查的原因。</w:t>
      </w:r>
    </w:p>
    <w:p w14:paraId="2A32352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 在详细评审之前，磋商小组将首先审查每份响应文件是否实质性响应了磋商文件的要求。实质性响应的响应文件应该是与磋商文件要求的条款、条件和规格相符，没有重大偏离或保留。</w:t>
      </w:r>
    </w:p>
    <w:p w14:paraId="33E8E6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谓重大偏离或保留是指与磋商文件规定的实质性要求存在负偏离，或者在实质上与磋商文件不一致，而且限制了合同中采购人和采购代理机构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68CF26B">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25.3 未实质性响应磋商文件的情形</w:t>
      </w:r>
    </w:p>
    <w:p w14:paraId="7ABD184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25.3.1 供应商在苏采云系统规定的时间内未成功解密电子响应文件的。</w:t>
      </w:r>
    </w:p>
    <w:p w14:paraId="1720D17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25.3.2 供应商未按照磋商文件要求上传电子响应文件的。</w:t>
      </w:r>
    </w:p>
    <w:p w14:paraId="6081A6E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25.3.3 同一供应商提交两个（含两个）以上不同的响应文件或者最后报价的。</w:t>
      </w:r>
    </w:p>
    <w:p w14:paraId="14164ADC">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25.3.4 供应商不具备磋商文件中规定资格要求的</w:t>
      </w:r>
      <w:r>
        <w:rPr>
          <w:rFonts w:hint="eastAsia"/>
          <w:color w:val="000000" w:themeColor="text1"/>
          <w:sz w:val="21"/>
          <w:szCs w:val="21"/>
          <w:highlight w:val="none"/>
          <w14:textFill>
            <w14:solidFill>
              <w14:schemeClr w14:val="tx1"/>
            </w14:solidFill>
          </w14:textFill>
        </w:rPr>
        <w:t>。</w:t>
      </w:r>
    </w:p>
    <w:p w14:paraId="7566E77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25.3.5 供应商的投标报价超过了最高投标限价。</w:t>
      </w:r>
    </w:p>
    <w:p w14:paraId="0B2C6D69">
      <w:pPr>
        <w:pStyle w:val="49"/>
        <w:widowControl w:val="0"/>
        <w:spacing w:before="0" w:beforeAutospacing="0" w:after="0" w:afterAutospacing="0" w:line="360" w:lineRule="auto"/>
        <w:ind w:firstLine="420"/>
        <w:jc w:val="both"/>
        <w:rPr>
          <w:b w:val="0"/>
          <w:b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25.3.6 不符合磋商文件中规定的实质性要求和条件的</w:t>
      </w:r>
      <w:r>
        <w:rPr>
          <w:rFonts w:hint="eastAsia" w:ascii="宋体" w:hAnsi="宋体" w:eastAsia="宋体" w:cs="宋体"/>
          <w:color w:val="000000" w:themeColor="text1"/>
          <w:sz w:val="21"/>
          <w:szCs w:val="21"/>
          <w:highlight w:val="none"/>
          <w14:textFill>
            <w14:solidFill>
              <w14:schemeClr w14:val="tx1"/>
            </w14:solidFill>
          </w14:textFill>
        </w:rPr>
        <w:t>（本磋商文件中斜体且有下划线部分或者打“★”内容，为实质性要求和条件）。</w:t>
      </w:r>
    </w:p>
    <w:p w14:paraId="0147F54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25.3.7 供应商被 “信用中国”网站（www.creditchina.gov.cn）、“中国政府采购网"(www.ccgp.gov.cn)列入失信被执行人或重大税收违法案件当事人名单或政府采购严重失信行为记录名单。或查询“信用中国、中国政府采购网”网站后发现供应商存在其他不符合《中华人民共和国政府采购法》第二十二条规定条件的信用记录。</w:t>
      </w:r>
    </w:p>
    <w:p w14:paraId="6D244D4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25.3.8 响应文件含有采购人不能接受的附加条件的。</w:t>
      </w:r>
    </w:p>
    <w:p w14:paraId="40013CD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25.3.9 响应文件未按照磋商文件要求加盖CA电子公章或签字的。</w:t>
      </w:r>
    </w:p>
    <w:p w14:paraId="7E365A1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  无效响应的情形</w:t>
      </w:r>
    </w:p>
    <w:p w14:paraId="68A434AD">
      <w:pPr>
        <w:pStyle w:val="49"/>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25.4.1 磋商小组认为供应商最后报价明显低于其他实质响应供应商报价、有可能影响服务质量、难以诚信履约时，要求供应商在合理的时间内提供书面说明，内容包括但不限于其最后报价与首次报价差额的原因、具体可落实环节和理由等。供应商不能按磋商小组要求说明报价合理性的，磋商小组将其按无效响应处理。</w:t>
      </w:r>
    </w:p>
    <w:p w14:paraId="75DA32F0">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25.4.2 未实质性响应磋商文件的响应文件按无效响应处理。</w:t>
      </w:r>
    </w:p>
    <w:p w14:paraId="51449EFE">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 xml:space="preserve">25.4.3 </w:t>
      </w:r>
      <w:r>
        <w:rPr>
          <w:rFonts w:hint="eastAsia" w:ascii="宋体" w:hAnsi="宋体" w:eastAsia="宋体" w:cs="宋体"/>
          <w:b/>
          <w:color w:val="000000" w:themeColor="text1"/>
          <w:sz w:val="21"/>
          <w:szCs w:val="21"/>
          <w:lang w:val="zh-CN" w:eastAsia="zh-CN"/>
          <w14:textFill>
            <w14:solidFill>
              <w14:schemeClr w14:val="tx1"/>
            </w14:solidFill>
          </w14:textFill>
        </w:rPr>
        <w:t>有下列情形之一的，视为供应商串通投标，其投标</w:t>
      </w:r>
      <w:r>
        <w:rPr>
          <w:rFonts w:hint="eastAsia" w:ascii="宋体" w:hAnsi="宋体" w:eastAsia="宋体" w:cs="宋体"/>
          <w:b/>
          <w:bCs/>
          <w:color w:val="000000" w:themeColor="text1"/>
          <w:sz w:val="21"/>
          <w:szCs w:val="21"/>
          <w:lang w:eastAsia="zh-CN"/>
          <w14:textFill>
            <w14:solidFill>
              <w14:schemeClr w14:val="tx1"/>
            </w14:solidFill>
          </w14:textFill>
        </w:rPr>
        <w:t>按无效响应处理</w:t>
      </w:r>
      <w:r>
        <w:rPr>
          <w:rFonts w:hint="eastAsia" w:ascii="宋体" w:hAnsi="宋体" w:eastAsia="宋体" w:cs="宋体"/>
          <w:b/>
          <w:color w:val="000000" w:themeColor="text1"/>
          <w:sz w:val="21"/>
          <w:szCs w:val="21"/>
          <w:lang w:val="zh-CN" w:eastAsia="zh-CN"/>
          <w14:textFill>
            <w14:solidFill>
              <w14:schemeClr w14:val="tx1"/>
            </w14:solidFill>
          </w14:textFill>
        </w:rPr>
        <w:t>：</w:t>
      </w:r>
    </w:p>
    <w:p w14:paraId="4F8CB440">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（1）不同供应商的响应文件由同一单位或者个人编制；</w:t>
      </w:r>
    </w:p>
    <w:p w14:paraId="329980D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（2）不同供应商委托同一单位或者个人办理投标事宜；</w:t>
      </w:r>
    </w:p>
    <w:p w14:paraId="011DD9FA">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（3）不同供应商的响应文件载明的项目管理成员或者联系人员为同一人；</w:t>
      </w:r>
    </w:p>
    <w:p w14:paraId="41FE16A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（4）不同供应商的响应文件异常一致或者投标报价呈规律性差异；</w:t>
      </w:r>
    </w:p>
    <w:p w14:paraId="2925400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（5）不同供应商的MAC地址一致的。</w:t>
      </w:r>
    </w:p>
    <w:p w14:paraId="7D4582BE">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25.5 如果响应文件实质上没有响应磋商文件的要求，磋商小组将予以拒绝，供应商不得通过修改或撤销</w:t>
      </w:r>
      <w:r>
        <w:rPr>
          <w:rFonts w:hint="eastAsia"/>
          <w:b/>
          <w:bCs/>
          <w:color w:val="000000" w:themeColor="text1"/>
          <w:sz w:val="21"/>
          <w:szCs w:val="21"/>
          <w:lang w:eastAsia="zh-CN"/>
          <w14:textFill>
            <w14:solidFill>
              <w14:schemeClr w14:val="tx1"/>
            </w14:solidFill>
          </w14:textFill>
        </w:rPr>
        <w:t>不符</w:t>
      </w:r>
      <w:r>
        <w:rPr>
          <w:rFonts w:hint="eastAsia"/>
          <w:b/>
          <w:bCs/>
          <w:color w:val="000000" w:themeColor="text1"/>
          <w:sz w:val="21"/>
          <w:szCs w:val="21"/>
          <w14:textFill>
            <w14:solidFill>
              <w14:schemeClr w14:val="tx1"/>
            </w14:solidFill>
          </w14:textFill>
        </w:rPr>
        <w:t>合要求的偏离或保留而使其成为实质性响应的文件。</w:t>
      </w:r>
    </w:p>
    <w:p w14:paraId="2DEDE6D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bookmarkStart w:id="103" w:name="_Toc16938550"/>
      <w:bookmarkStart w:id="104" w:name="_Toc513029234"/>
      <w:bookmarkStart w:id="105" w:name="_Toc20823306"/>
      <w:r>
        <w:rPr>
          <w:rFonts w:hint="eastAsia"/>
          <w:color w:val="000000" w:themeColor="text1"/>
          <w:sz w:val="21"/>
          <w:szCs w:val="21"/>
          <w14:textFill>
            <w14:solidFill>
              <w14:schemeClr w14:val="tx1"/>
            </w14:solidFill>
          </w14:textFill>
        </w:rPr>
        <w:t>25.6 供应商在项目评审全过程中应保持通讯畅通，并安排专人与采购代理机构及磋商小组联系。</w:t>
      </w:r>
      <w:bookmarkEnd w:id="103"/>
      <w:bookmarkEnd w:id="104"/>
      <w:bookmarkEnd w:id="105"/>
    </w:p>
    <w:p w14:paraId="377BA0E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26、磋商程序及评审方法和评审标准</w:t>
      </w:r>
    </w:p>
    <w:p w14:paraId="7BAAF231">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26.1 磋商程序</w:t>
      </w:r>
    </w:p>
    <w:p w14:paraId="2981DB34">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26.1.1 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D651EB3">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99C512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26.1.2 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3DBC97E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2CF0D0D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最后报价是供应商响应文件的有效组成部分。符合《政府采购竞争性磋商采购方</w:t>
      </w:r>
      <w:r>
        <w:rPr>
          <w:rFonts w:hint="eastAsia"/>
          <w:color w:val="000000" w:themeColor="text1"/>
          <w:sz w:val="21"/>
          <w:szCs w:val="21"/>
          <w:lang w:eastAsia="zh-CN"/>
          <w14:textFill>
            <w14:solidFill>
              <w14:schemeClr w14:val="tx1"/>
            </w14:solidFill>
          </w14:textFill>
        </w:rPr>
        <w:t>式管</w:t>
      </w:r>
      <w:r>
        <w:rPr>
          <w:rFonts w:hint="eastAsia"/>
          <w:color w:val="000000" w:themeColor="text1"/>
          <w:sz w:val="21"/>
          <w:szCs w:val="21"/>
          <w14:textFill>
            <w14:solidFill>
              <w14:schemeClr w14:val="tx1"/>
            </w14:solidFill>
          </w14:textFill>
        </w:rPr>
        <w:t>理暂行办法》第三条第一款第四项：市场竞争不充分的科研项目，以及需要扶持的科技成果转化项目，提交最后报价的供应商可以为2家，磋商小组将根据供应商最后得分由高到低的顺序推荐成交候选供应商。以及《财政部关于竞争性磋商采购方式管理暂行办法有关问题的补充通知》（财库[2015]124号）规定情形的：采用竞争性磋商采购方式采购的政府购买服务项目（含政府和社会资本合作项目），在采购过程中符合要求的供应商（社会资本）只有2家的，竞争性磋商采购活动可以继续进行。</w:t>
      </w:r>
    </w:p>
    <w:p w14:paraId="00AE436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26.1.3 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DBCCD9B">
      <w:pPr>
        <w:pStyle w:val="49"/>
        <w:widowControl w:val="0"/>
        <w:tabs>
          <w:tab w:val="left" w:pos="901"/>
        </w:tabs>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26.2  评审方法和评审标准</w:t>
      </w:r>
    </w:p>
    <w:p w14:paraId="6E7C017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26.2.1评审方法。经磋商确定最终采购需求和提交最后报价的供应商后，由磋商小组采用综合评分法对提交最后报价的供应商的响应文件和最后报价进行综合评分。</w:t>
      </w:r>
    </w:p>
    <w:p w14:paraId="6341D14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C042711">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26.2.2 评审标准</w:t>
      </w:r>
    </w:p>
    <w:p w14:paraId="74BF784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见本磋商文件第三章规定。</w:t>
      </w:r>
    </w:p>
    <w:p w14:paraId="548AD3AB">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26.3 采购活动终止的情况</w:t>
      </w:r>
    </w:p>
    <w:p w14:paraId="3E82D0A8">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出现下列情形之一的，本次竞争性磋商采购活动将被终止：</w:t>
      </w:r>
    </w:p>
    <w:p w14:paraId="301C6D1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26.3.1 因情况变化，不再符合规定的竞争性磋商采购方式适用情形的。</w:t>
      </w:r>
    </w:p>
    <w:p w14:paraId="476D183C">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26.3.2 出现影响采购公正的违法、违规行为的。</w:t>
      </w:r>
    </w:p>
    <w:p w14:paraId="03CB478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26.3.3 除本磋商文件第二章第26.1.2条第三款规定的情形外，在采购过程中符合要求的供应商或者最后报价未超过采购预算的供应商不足3家的。</w:t>
      </w:r>
    </w:p>
    <w:p w14:paraId="3329D2C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26.3.4 在苏采云系统规定时间内成功解密电子响应文件的供应商不足3家的。</w:t>
      </w:r>
    </w:p>
    <w:p w14:paraId="51CAD2B0">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06" w:name="_Toc20823307"/>
      <w:bookmarkStart w:id="107" w:name="_Toc513029235"/>
      <w:bookmarkStart w:id="108" w:name="_Toc120614219"/>
      <w:bookmarkStart w:id="109" w:name="_Toc16938551"/>
      <w:r>
        <w:rPr>
          <w:rFonts w:hint="eastAsia"/>
          <w:b/>
          <w:bCs/>
          <w:color w:val="000000" w:themeColor="text1"/>
          <w:sz w:val="21"/>
          <w:szCs w:val="21"/>
          <w14:textFill>
            <w14:solidFill>
              <w14:schemeClr w14:val="tx1"/>
            </w14:solidFill>
          </w14:textFill>
        </w:rPr>
        <w:t>六、</w:t>
      </w:r>
      <w:bookmarkEnd w:id="106"/>
      <w:bookmarkEnd w:id="107"/>
      <w:bookmarkEnd w:id="108"/>
      <w:bookmarkEnd w:id="109"/>
      <w:r>
        <w:rPr>
          <w:rFonts w:hint="eastAsia"/>
          <w:b/>
          <w:bCs/>
          <w:color w:val="000000" w:themeColor="text1"/>
          <w:sz w:val="21"/>
          <w:szCs w:val="21"/>
          <w14:textFill>
            <w14:solidFill>
              <w14:schemeClr w14:val="tx1"/>
            </w14:solidFill>
          </w14:textFill>
        </w:rPr>
        <w:t>成交</w:t>
      </w:r>
    </w:p>
    <w:p w14:paraId="0D949103">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0" w:name="_Toc20823310"/>
      <w:bookmarkStart w:id="111" w:name="_Toc16938554"/>
      <w:bookmarkStart w:id="112" w:name="_Toc513029238"/>
      <w:r>
        <w:rPr>
          <w:rFonts w:hint="eastAsia"/>
          <w:b/>
          <w:bCs/>
          <w:color w:val="000000" w:themeColor="text1"/>
          <w:sz w:val="21"/>
          <w:szCs w:val="21"/>
          <w14:textFill>
            <w14:solidFill>
              <w14:schemeClr w14:val="tx1"/>
            </w14:solidFill>
          </w14:textFill>
        </w:rPr>
        <w:t>27、</w:t>
      </w:r>
      <w:bookmarkEnd w:id="110"/>
      <w:r>
        <w:rPr>
          <w:rFonts w:hint="eastAsia"/>
          <w:b/>
          <w:bCs/>
          <w:color w:val="000000" w:themeColor="text1"/>
          <w:sz w:val="21"/>
          <w:szCs w:val="21"/>
          <w14:textFill>
            <w14:solidFill>
              <w14:schemeClr w14:val="tx1"/>
            </w14:solidFill>
          </w14:textFill>
        </w:rPr>
        <w:t>确定</w:t>
      </w:r>
      <w:bookmarkEnd w:id="111"/>
      <w:bookmarkEnd w:id="112"/>
      <w:r>
        <w:rPr>
          <w:rFonts w:hint="eastAsia"/>
          <w:b/>
          <w:bCs/>
          <w:color w:val="000000" w:themeColor="text1"/>
          <w:sz w:val="21"/>
          <w:szCs w:val="21"/>
          <w14:textFill>
            <w14:solidFill>
              <w14:schemeClr w14:val="tx1"/>
            </w14:solidFill>
          </w14:textFill>
        </w:rPr>
        <w:t>成交单位</w:t>
      </w:r>
    </w:p>
    <w:p w14:paraId="125EE2BD">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27.1 磋商小组根据综合评分情况，按照评审得分由高到低顺序推荐3名成交候选供应商，并编写评审报告。符合本磋商文件第二章第26.1.2条情形的，可以推荐2名成交候选供应商。评审得分相同的，按照最后报价由低到高的顺序推荐。评审得分且最后报价相同的，由竞争性磋商小组抽签决定。</w:t>
      </w:r>
    </w:p>
    <w:p w14:paraId="69D093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0EEFADF">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27.2 按以下第（1）种方式确定成交供应商；</w:t>
      </w:r>
    </w:p>
    <w:p w14:paraId="5AF2AE92">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（1）磋商小组直接确定排名第一的成交候选人为成交供应商；</w:t>
      </w:r>
    </w:p>
    <w:p w14:paraId="55415C21">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（2）采购人在磋商小组推荐的3名成交候选人中按顺序确定成交供应商。</w:t>
      </w:r>
    </w:p>
    <w:p w14:paraId="16CF9155">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73505B3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27.3 确定成交供应商后，采购代理机构将在“江苏政府采购网、南京公共</w:t>
      </w:r>
      <w:r>
        <w:rPr>
          <w:rFonts w:hint="eastAsia"/>
          <w:color w:val="000000" w:themeColor="text1"/>
          <w:sz w:val="21"/>
          <w:szCs w:val="21"/>
          <w:lang w:val="en-US" w:eastAsia="zh-CN"/>
          <w14:textFill>
            <w14:solidFill>
              <w14:schemeClr w14:val="tx1"/>
            </w14:solidFill>
          </w14:textFill>
        </w:rPr>
        <w:t>采购</w:t>
      </w:r>
      <w:r>
        <w:rPr>
          <w:rFonts w:hint="eastAsia"/>
          <w:color w:val="000000" w:themeColor="text1"/>
          <w:sz w:val="21"/>
          <w:szCs w:val="21"/>
          <w14:textFill>
            <w14:solidFill>
              <w14:schemeClr w14:val="tx1"/>
            </w14:solidFill>
          </w14:textFill>
        </w:rPr>
        <w:t>信息网”发布成交结果公告，公告期限为1个工作日。</w:t>
      </w:r>
    </w:p>
    <w:p w14:paraId="4C9045A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 若有充分证据证明，成交供应商出现下列情况之一的，一经查实，将被取消成交资格：</w:t>
      </w:r>
    </w:p>
    <w:p w14:paraId="71CAC57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27.4.1 提供虚假材料谋取成交的。</w:t>
      </w:r>
    </w:p>
    <w:p w14:paraId="0959D67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27.4.2 与评审专家、采购人、其他供应商或者采购代理机构工作人员恶意串通的。</w:t>
      </w:r>
    </w:p>
    <w:p w14:paraId="4A6E788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27.4.3 向评审专家、采购人或采购代理机构工作人员行贿或者提供其他不正当利益的。</w:t>
      </w:r>
    </w:p>
    <w:p w14:paraId="6DDF82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27.4.4 恶意竞争，最后报价明显低于其自身合理成本且又无法提供证明的。</w:t>
      </w:r>
    </w:p>
    <w:p w14:paraId="366B0F5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27.4.5 不满足本磋商文件规定的实质性要求，但在评审过程中又未被磋商小组发现的。</w:t>
      </w:r>
    </w:p>
    <w:p w14:paraId="4627B3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27.4.6 成交后无正当理由拒不与采购人签订政府采购合同或者未按照磋商文件确定的事项签订政府采购合同的。</w:t>
      </w:r>
    </w:p>
    <w:p w14:paraId="3462A14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27.4.7 将政府采购合同转包的。</w:t>
      </w:r>
      <w:bookmarkStart w:id="113" w:name="_Toc200451960"/>
    </w:p>
    <w:p w14:paraId="49FB30D6">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w:t>
      </w:r>
      <w:bookmarkEnd w:id="113"/>
      <w:r>
        <w:rPr>
          <w:b/>
          <w:bCs/>
          <w:color w:val="000000" w:themeColor="text1"/>
          <w:sz w:val="21"/>
          <w:szCs w:val="21"/>
          <w14:textFill>
            <w14:solidFill>
              <w14:schemeClr w14:val="tx1"/>
            </w14:solidFill>
          </w14:textFill>
        </w:rPr>
        <w:t>询问、质疑、投诉和诚实信用</w:t>
      </w:r>
    </w:p>
    <w:p w14:paraId="68B5CC40">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28.1 询问</w:t>
      </w:r>
    </w:p>
    <w:p w14:paraId="2090DB0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供应商对采购活动事项有疑问的，可以依法向采购代理机构或采购人提出询问，采购人或者采购代理机构在三个工作日内对供应商依法提出的询问作出答复，但答复的内容不涉及商业秘密。</w:t>
      </w:r>
    </w:p>
    <w:p w14:paraId="7C32086B">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28.2 质疑</w:t>
      </w:r>
    </w:p>
    <w:p w14:paraId="41F2C6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28.2.1 提出质疑的供应商应当是参与所质疑项目采购活动的供应商。潜在供应商依法获取其可质疑的采购文件的，可以对采购文件提出质疑。</w:t>
      </w:r>
    </w:p>
    <w:p w14:paraId="2DC968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28.2.2 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14:paraId="6725392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（1）对可以质疑的采购文件提出质疑的，为收到采购文件之日或者采购文件公告期限届满之日。</w:t>
      </w:r>
    </w:p>
    <w:p w14:paraId="6FC2E6D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（2）对采购过程提出质疑的，为各采购程序环节结束之日。</w:t>
      </w:r>
    </w:p>
    <w:p w14:paraId="5EEC2B7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（3）对成交结果提出质疑的，为成交结果公告期限届满之日。</w:t>
      </w:r>
    </w:p>
    <w:p w14:paraId="2B967D1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28.2.3 供应商应当在法定质疑期内一次性提出针对同一采购程序环节的质疑。供应商如在法定期限内对同一采购程序环节提出多次质疑的，采购代理机构、采购人将只对供应商第一次质疑作出答复。</w:t>
      </w:r>
    </w:p>
    <w:p w14:paraId="1F0B6413">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28.2.4 </w:t>
      </w:r>
      <w:r>
        <w:rPr>
          <w:rFonts w:hint="eastAsia" w:ascii="宋体" w:hAnsi="宋体"/>
          <w:color w:val="000000" w:themeColor="text1"/>
          <w:sz w:val="21"/>
          <w:szCs w:val="21"/>
          <w:lang w:eastAsia="zh-CN"/>
          <w14:textFill>
            <w14:solidFill>
              <w14:schemeClr w14:val="tx1"/>
            </w14:solidFill>
          </w14:textFill>
        </w:rPr>
        <w:t>供应商应按照“谁主张、谁举证”的原则对质疑内容提供相关证明材料，并对质疑内容的真实性承担责任。</w:t>
      </w:r>
      <w:r>
        <w:rPr>
          <w:rFonts w:hint="eastAsia" w:ascii="宋体" w:hAnsi="宋体" w:eastAsia="宋体" w:cs="宋体"/>
          <w:color w:val="000000" w:themeColor="text1"/>
          <w:sz w:val="21"/>
          <w:szCs w:val="21"/>
          <w:lang w:eastAsia="zh-CN"/>
          <w14:textFill>
            <w14:solidFill>
              <w14:schemeClr w14:val="tx1"/>
            </w14:solidFill>
          </w14:textFill>
        </w:rPr>
        <w:t>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0321169">
      <w:pPr>
        <w:spacing w:line="360" w:lineRule="auto"/>
        <w:ind w:firstLine="48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质疑文件应包括以下主要内容：</w:t>
      </w:r>
    </w:p>
    <w:p w14:paraId="1FD0662F">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（1）质疑供应商的姓名或者名称、地址、邮编、联系人及联系电话；</w:t>
      </w:r>
    </w:p>
    <w:p w14:paraId="75707A3B">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（2）质疑项目的名称、编号、公告发布时间、磋商时间；</w:t>
      </w:r>
    </w:p>
    <w:p w14:paraId="7381C060">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（3）具体、明确的质疑事项和与质疑事项相关的请求；</w:t>
      </w:r>
    </w:p>
    <w:p w14:paraId="2E25DF71">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（4）事实依据；</w:t>
      </w:r>
    </w:p>
    <w:p w14:paraId="66B1C2C2">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（5）必要的法律依据；</w:t>
      </w:r>
    </w:p>
    <w:p w14:paraId="422B9143">
      <w:pPr>
        <w:spacing w:line="360" w:lineRule="auto"/>
        <w:ind w:firstLine="480"/>
        <w:jc w:val="both"/>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（6）提出质疑的日期；</w:t>
      </w:r>
    </w:p>
    <w:p w14:paraId="3D527EC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28.2.5 供应商（含潜在供应商）对与本项目有关的所有询问、质疑均请向采购代理机构提出，由采购代理机构负责答复。</w:t>
      </w:r>
    </w:p>
    <w:p w14:paraId="798577AE">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28.2.6 采购代理机构只接收以纸质原件形式送达的质疑。</w:t>
      </w:r>
    </w:p>
    <w:p w14:paraId="5AEFD23D">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采购代理机构质疑接收部门为</w:t>
      </w:r>
      <w:r>
        <w:rPr>
          <w:rFonts w:hint="eastAsia" w:ascii="宋体" w:hAnsi="宋体" w:eastAsia="宋体" w:cs="宋体"/>
          <w:color w:val="000000" w:themeColor="text1"/>
          <w:sz w:val="21"/>
          <w:szCs w:val="21"/>
          <w:highlight w:val="none"/>
          <w:lang w:eastAsia="zh-CN"/>
          <w14:textFill>
            <w14:solidFill>
              <w14:schemeClr w14:val="tx1"/>
            </w14:solidFill>
          </w14:textFill>
        </w:rPr>
        <w:t>江苏领界科技有限公司</w:t>
      </w:r>
      <w:r>
        <w:rPr>
          <w:rFonts w:hint="eastAsia"/>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lang w:eastAsia="zh-CN"/>
          <w14:textFill>
            <w14:solidFill>
              <w14:schemeClr w14:val="tx1"/>
            </w14:solidFill>
          </w14:textFill>
        </w:rPr>
        <w:t>南京市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建邺区白龙江东街19号舜禹大厦17层A室</w:t>
      </w:r>
      <w:r>
        <w:rPr>
          <w:rFonts w:hint="eastAsia"/>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7792985 </w:t>
      </w:r>
      <w:r>
        <w:rPr>
          <w:rFonts w:hint="eastAsia"/>
          <w:color w:val="000000" w:themeColor="text1"/>
          <w:sz w:val="21"/>
          <w:szCs w:val="21"/>
          <w:highlight w:val="none"/>
          <w14:textFill>
            <w14:solidFill>
              <w14:schemeClr w14:val="tx1"/>
            </w14:solidFill>
          </w14:textFill>
        </w:rPr>
        <w:t>。</w:t>
      </w:r>
    </w:p>
    <w:p w14:paraId="6D2DE3F4">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28.2.7 以下情形的质疑不予受理：</w:t>
      </w:r>
    </w:p>
    <w:p w14:paraId="01E3F458">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（1）内容不符合《政府采购质疑和投诉办法》第十二条规定的质疑。</w:t>
      </w:r>
    </w:p>
    <w:p w14:paraId="7B643651">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（2）超出政府采购法定期限的质疑。</w:t>
      </w:r>
    </w:p>
    <w:p w14:paraId="6DE11C8C">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（3）以传真、电子邮件等方式递交的非原件形式的质疑。</w:t>
      </w:r>
    </w:p>
    <w:p w14:paraId="208A75A2">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（4）未参加磋商活动的供应商或在磋商活动中自身权益未受到损害的供应商所提出的质疑。</w:t>
      </w:r>
    </w:p>
    <w:p w14:paraId="3E6F7B60">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（5）供应商组成联合体参加磋商，联合体中任何一方或多方未按要求签字、盖章、加盖公章的质疑。</w:t>
      </w:r>
    </w:p>
    <w:p w14:paraId="43E179DD">
      <w:pPr>
        <w:spacing w:line="360" w:lineRule="auto"/>
        <w:ind w:firstLine="422"/>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28.3、投诉</w:t>
      </w:r>
    </w:p>
    <w:p w14:paraId="603AF741">
      <w:pPr>
        <w:pStyle w:val="19"/>
        <w:spacing w:before="0" w:line="360" w:lineRule="auto"/>
        <w:ind w:left="0" w:firstLine="412"/>
        <w:rPr>
          <w:rFonts w:cs="宋体"/>
          <w:color w:val="000000" w:themeColor="text1"/>
          <w:spacing w:val="-2"/>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28.3.1 质疑供应商对采购人</w:t>
      </w:r>
      <w:r>
        <w:rPr>
          <w:rFonts w:hint="eastAsia" w:cs="宋体"/>
          <w:color w:val="000000" w:themeColor="text1"/>
          <w:spacing w:val="-2"/>
          <w:sz w:val="21"/>
          <w:szCs w:val="21"/>
          <w:lang w:val="en-US" w:eastAsia="zh-CN"/>
          <w14:textFill>
            <w14:solidFill>
              <w14:schemeClr w14:val="tx1"/>
            </w14:solidFill>
          </w14:textFill>
        </w:rPr>
        <w:t>和</w:t>
      </w:r>
      <w:r>
        <w:rPr>
          <w:rFonts w:hint="eastAsia" w:cs="宋体"/>
          <w:color w:val="000000" w:themeColor="text1"/>
          <w:spacing w:val="-2"/>
          <w:sz w:val="21"/>
          <w:szCs w:val="21"/>
          <w:lang w:eastAsia="zh-CN"/>
          <w14:textFill>
            <w14:solidFill>
              <w14:schemeClr w14:val="tx1"/>
            </w14:solidFill>
          </w14:textFill>
        </w:rPr>
        <w:t>采购代理机构的答复不满意或者采购人、采购代理机构未在规定的时间内作出答复的，可以在答复期满后十五个工作日内向同级政府采购监督管理部门投诉。</w:t>
      </w:r>
    </w:p>
    <w:p w14:paraId="01471CD3">
      <w:pPr>
        <w:spacing w:line="360" w:lineRule="auto"/>
        <w:ind w:firstLine="42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28.4、诚实信用</w:t>
      </w:r>
    </w:p>
    <w:p w14:paraId="52C87492">
      <w:pPr>
        <w:pStyle w:val="19"/>
        <w:spacing w:before="0" w:line="360" w:lineRule="auto"/>
        <w:ind w:left="0" w:firstLine="412"/>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28.4.1 供应商之间不得相互串通报价，不得妨碍其他供应商的公平竞争，不得损害采购</w:t>
      </w:r>
      <w:r>
        <w:rPr>
          <w:rFonts w:hint="eastAsia" w:cs="宋体"/>
          <w:color w:val="000000" w:themeColor="text1"/>
          <w:sz w:val="21"/>
          <w:szCs w:val="21"/>
          <w:lang w:eastAsia="zh-CN"/>
          <w14:textFill>
            <w14:solidFill>
              <w14:schemeClr w14:val="tx1"/>
            </w14:solidFill>
          </w14:textFill>
        </w:rPr>
        <w:t>人和其他供应商的合法权益。</w:t>
      </w:r>
    </w:p>
    <w:p w14:paraId="53833204">
      <w:pPr>
        <w:pStyle w:val="19"/>
        <w:spacing w:before="0" w:line="360" w:lineRule="auto"/>
        <w:ind w:left="0" w:firstLine="412"/>
        <w:jc w:val="both"/>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28.4.2 供应商不得向采购代理机构工作人员、磋商小组行贿或者采取其他不正当手段谋取成交。经查实供应商有此行为的，政府采购监督管理部门将供应商列入不良行为记</w:t>
      </w:r>
      <w:r>
        <w:rPr>
          <w:rFonts w:hint="eastAsia" w:cs="宋体"/>
          <w:color w:val="000000" w:themeColor="text1"/>
          <w:spacing w:val="-95"/>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录名单，按照政府采购法有关规定处理。</w:t>
      </w:r>
    </w:p>
    <w:p w14:paraId="63C875B8">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28.4.3</w:t>
      </w:r>
      <w:r>
        <w:rPr>
          <w:rFonts w:hint="eastAsia" w:cs="宋体"/>
          <w:color w:val="000000" w:themeColor="text1"/>
          <w:spacing w:val="-60"/>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供应商不得虚假承诺，否则，按照提供虚假材料谋取成交处理。</w:t>
      </w:r>
    </w:p>
    <w:p w14:paraId="2F835D92">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28.4.4</w:t>
      </w:r>
      <w:r>
        <w:rPr>
          <w:rFonts w:hint="eastAsia" w:cs="宋体"/>
          <w:color w:val="000000" w:themeColor="text1"/>
          <w:spacing w:val="-41"/>
          <w:sz w:val="21"/>
          <w:szCs w:val="21"/>
          <w:lang w:eastAsia="zh-CN"/>
          <w14:textFill>
            <w14:solidFill>
              <w14:schemeClr w14:val="tx1"/>
            </w14:solidFill>
          </w14:textFill>
        </w:rPr>
        <w:t xml:space="preserve">   </w:t>
      </w:r>
      <w:r>
        <w:rPr>
          <w:rFonts w:hint="eastAsia" w:cs="宋体"/>
          <w:color w:val="000000" w:themeColor="text1"/>
          <w:spacing w:val="-7"/>
          <w:sz w:val="21"/>
          <w:szCs w:val="21"/>
          <w:lang w:eastAsia="zh-CN"/>
          <w14:textFill>
            <w14:solidFill>
              <w14:schemeClr w14:val="tx1"/>
            </w14:solidFill>
          </w14:textFill>
        </w:rPr>
        <w:t>供应商应自觉遵守磋商、评审纪律，扰乱磋商、评审现场秩序的，属于失信行为</w:t>
      </w:r>
      <w:r>
        <w:rPr>
          <w:rFonts w:hint="eastAsia" w:cs="宋体"/>
          <w:color w:val="000000" w:themeColor="text1"/>
          <w:sz w:val="21"/>
          <w:szCs w:val="21"/>
          <w:lang w:eastAsia="zh-CN"/>
          <w14:textFill>
            <w14:solidFill>
              <w14:schemeClr w14:val="tx1"/>
            </w14:solidFill>
          </w14:textFill>
        </w:rPr>
        <w:t>。</w:t>
      </w:r>
    </w:p>
    <w:p w14:paraId="7502211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29、成交通知书</w:t>
      </w:r>
    </w:p>
    <w:p w14:paraId="0631045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29.1 成交结果确定后，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98516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29.2 成交通知书将是合同的一个组成部分。对采购人和成交供应商均具有法律效力。成交通知书发出后，采购人改变成交结果的，或者成交供应商放弃成交项目的，应当依法承担法律责任。</w:t>
      </w:r>
    </w:p>
    <w:p w14:paraId="3B44645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29</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成交通知书发出后，采购人或成交供应商拒绝签订合同的，拒绝签订合同的一方应至少向另一方支付与磋商保证金相等的补偿金，以及为磋商所发生的有关费用和双方商定的其他补偿，并承担相应的法律责任。</w:t>
      </w:r>
    </w:p>
    <w:p w14:paraId="04D553EA">
      <w:pPr>
        <w:spacing w:line="360" w:lineRule="auto"/>
        <w:ind w:firstLine="42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29.4 成交通知书发出后，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中华人民共和国政府采购法》第七十七条第一款予以罚款，列入不良行为记录名单，在一至三年内禁止参加政府采购活动，并予以通报。</w:t>
      </w:r>
    </w:p>
    <w:p w14:paraId="26D8C2A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4" w:name="_Toc20823308"/>
      <w:bookmarkStart w:id="115" w:name="_Toc120614220"/>
      <w:bookmarkStart w:id="116" w:name="_Toc16938552"/>
      <w:bookmarkStart w:id="117" w:name="_Toc513029236"/>
      <w:r>
        <w:rPr>
          <w:rFonts w:hint="eastAsia"/>
          <w:b/>
          <w:bCs/>
          <w:color w:val="000000" w:themeColor="text1"/>
          <w:sz w:val="21"/>
          <w:szCs w:val="21"/>
          <w14:textFill>
            <w14:solidFill>
              <w14:schemeClr w14:val="tx1"/>
            </w14:solidFill>
          </w14:textFill>
        </w:rPr>
        <w:t>七、授予合同</w:t>
      </w:r>
      <w:bookmarkEnd w:id="114"/>
      <w:bookmarkEnd w:id="115"/>
      <w:bookmarkEnd w:id="116"/>
      <w:bookmarkEnd w:id="117"/>
    </w:p>
    <w:p w14:paraId="3B2A9A6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18" w:name="_Toc16938553"/>
      <w:bookmarkStart w:id="119" w:name="_Toc513029237"/>
      <w:bookmarkStart w:id="120" w:name="_Toc20823309"/>
      <w:r>
        <w:rPr>
          <w:rFonts w:hint="eastAsia"/>
          <w:b/>
          <w:bCs/>
          <w:color w:val="000000" w:themeColor="text1"/>
          <w:sz w:val="21"/>
          <w:szCs w:val="21"/>
          <w14:textFill>
            <w14:solidFill>
              <w14:schemeClr w14:val="tx1"/>
            </w14:solidFill>
          </w14:textFill>
        </w:rPr>
        <w:t>30. 签订合同</w:t>
      </w:r>
      <w:bookmarkEnd w:id="118"/>
      <w:bookmarkEnd w:id="119"/>
      <w:bookmarkEnd w:id="120"/>
    </w:p>
    <w:p w14:paraId="718759B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30.l成交供应商应当在成交通知书发出之日起三十日内，按照磋商文件确定的事项与采购人签订政府采购合同。</w:t>
      </w:r>
    </w:p>
    <w:p w14:paraId="1C74D14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30.2 磋</w:t>
      </w:r>
      <w:r>
        <w:rPr>
          <w:rFonts w:hint="eastAsia"/>
          <w:color w:val="000000" w:themeColor="text1"/>
          <w:sz w:val="21"/>
          <w:szCs w:val="21"/>
          <w:highlight w:val="none"/>
          <w14:textFill>
            <w14:solidFill>
              <w14:schemeClr w14:val="tx1"/>
            </w14:solidFill>
          </w14:textFill>
        </w:rPr>
        <w:t>商文件、成交供应商的响应文件及磋商过程中有关澄清、承诺文件均应作为合同附件。</w:t>
      </w:r>
    </w:p>
    <w:p w14:paraId="3D23EBC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30.3 签订合同后，</w:t>
      </w:r>
      <w:r>
        <w:rPr>
          <w:rFonts w:hint="eastAsia"/>
          <w:i/>
          <w:iCs/>
          <w:color w:val="000000" w:themeColor="text1"/>
          <w:sz w:val="21"/>
          <w:szCs w:val="21"/>
          <w:highlight w:val="none"/>
          <w:u w:val="single"/>
          <w14:textFill>
            <w14:solidFill>
              <w14:schemeClr w14:val="tx1"/>
            </w14:solidFill>
          </w14:textFill>
        </w:rPr>
        <w:t>成交供应商不得将合同标的进行转包</w:t>
      </w:r>
      <w:r>
        <w:rPr>
          <w:rFonts w:hint="eastAsia"/>
          <w:i/>
          <w:iCs/>
          <w:color w:val="000000" w:themeColor="text1"/>
          <w:sz w:val="21"/>
          <w:szCs w:val="21"/>
          <w:highlight w:val="none"/>
          <w:u w:val="single"/>
          <w:lang w:eastAsia="zh-CN"/>
          <w14:textFill>
            <w14:solidFill>
              <w14:schemeClr w14:val="tx1"/>
            </w14:solidFill>
          </w14:textFill>
        </w:rPr>
        <w:t>（</w:t>
      </w:r>
      <w:r>
        <w:rPr>
          <w:rFonts w:hint="eastAsia"/>
          <w:i/>
          <w:iCs/>
          <w:color w:val="000000" w:themeColor="text1"/>
          <w:sz w:val="21"/>
          <w:szCs w:val="21"/>
          <w:highlight w:val="none"/>
          <w:u w:val="single"/>
          <w:lang w:val="en-US" w:eastAsia="zh-CN"/>
          <w14:textFill>
            <w14:solidFill>
              <w14:schemeClr w14:val="tx1"/>
            </w14:solidFill>
          </w14:textFill>
        </w:rPr>
        <w:t>投标时提供承诺书，格式自拟</w:t>
      </w:r>
      <w:r>
        <w:rPr>
          <w:rFonts w:hint="eastAsia"/>
          <w:i/>
          <w:iCs/>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未经采购人同意，成交供应商也不得采用分包形式履行合同,否则采购人有权终止合同。转包或分包造成采购人损失的，成交供应商应承担相应赔</w:t>
      </w:r>
      <w:r>
        <w:rPr>
          <w:rFonts w:hint="eastAsia"/>
          <w:color w:val="000000" w:themeColor="text1"/>
          <w:sz w:val="21"/>
          <w:szCs w:val="21"/>
          <w14:textFill>
            <w14:solidFill>
              <w14:schemeClr w14:val="tx1"/>
            </w14:solidFill>
          </w14:textFill>
        </w:rPr>
        <w:t>偿责任。</w:t>
      </w:r>
    </w:p>
    <w:p w14:paraId="2755410B">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31、标的物的追加</w:t>
      </w:r>
    </w:p>
    <w:p w14:paraId="3C2E7AE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31.1 政府采购合同履行中，采购人需追加与合同标的相同的货物、服务、工程的，在不改变合同其他条款的前提下，可以与成交供应商协商签订补充合同，但所有补充合同的采购金额不超过原合同金额</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14:textFill>
            <w14:solidFill>
              <w14:schemeClr w14:val="tx1"/>
            </w14:solidFill>
          </w14:textFill>
        </w:rPr>
        <w:t>10%。</w:t>
      </w:r>
      <w:bookmarkEnd w:id="19"/>
      <w:bookmarkEnd w:id="56"/>
      <w:bookmarkEnd w:id="57"/>
      <w:bookmarkEnd w:id="58"/>
      <w:bookmarkEnd w:id="59"/>
      <w:bookmarkEnd w:id="60"/>
      <w:bookmarkEnd w:id="61"/>
      <w:bookmarkEnd w:id="62"/>
      <w:bookmarkEnd w:id="63"/>
      <w:bookmarkEnd w:id="72"/>
      <w:bookmarkEnd w:id="73"/>
      <w:bookmarkEnd w:id="80"/>
    </w:p>
    <w:p w14:paraId="357BF6C8">
      <w:pPr>
        <w:pStyle w:val="19"/>
        <w:spacing w:before="154" w:line="355" w:lineRule="auto"/>
        <w:ind w:left="0" w:right="117"/>
        <w:jc w:val="center"/>
        <w:outlineLvl w:val="0"/>
        <w:rPr>
          <w:color w:val="000000" w:themeColor="text1"/>
          <w:lang w:eastAsia="zh-CN"/>
          <w14:textFill>
            <w14:solidFill>
              <w14:schemeClr w14:val="tx1"/>
            </w14:solidFill>
          </w14:textFill>
        </w:rPr>
      </w:pPr>
      <w:bookmarkStart w:id="121" w:name="_bookmark7"/>
      <w:bookmarkEnd w:id="121"/>
      <w:bookmarkStart w:id="122" w:name="_Toc184199382"/>
      <w:r>
        <w:rPr>
          <w:rFonts w:hint="eastAsia" w:cs="宋体"/>
          <w:b/>
          <w:bCs/>
          <w:color w:val="000000" w:themeColor="text1"/>
          <w:sz w:val="28"/>
          <w:szCs w:val="28"/>
          <w:lang w:eastAsia="zh-CN"/>
          <w14:textFill>
            <w14:solidFill>
              <w14:schemeClr w14:val="tx1"/>
            </w14:solidFill>
          </w14:textFill>
        </w:rPr>
        <w:t>第三章 成交标准</w:t>
      </w:r>
      <w:bookmarkEnd w:id="122"/>
    </w:p>
    <w:p w14:paraId="700A6286">
      <w:pPr>
        <w:spacing w:line="340" w:lineRule="exact"/>
        <w:ind w:firstLine="420"/>
        <w:rPr>
          <w:rFonts w:hint="eastAsia"/>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采用综合评分法，评分统计方法采用百分制（满分100分），将全部磋商小组成员评分直接进行算术平均，小数点后保留2位。按评审后得分由高到低顺序排列，得分相同的，按报价由低到高顺序排列，得分且报价相同的，由竞争性磋商小组现场抽签决定推荐顺序。</w:t>
      </w:r>
      <w:r>
        <w:rPr>
          <w:rFonts w:hint="eastAsia"/>
          <w:color w:val="000000" w:themeColor="text1"/>
          <w:sz w:val="21"/>
          <w:szCs w:val="21"/>
          <w:lang w:eastAsia="zh-CN"/>
          <w14:textFill>
            <w14:solidFill>
              <w14:schemeClr w14:val="tx1"/>
            </w14:solidFill>
          </w14:textFill>
        </w:rPr>
        <w:t>本次采购得分最高者为成交供应商，第二名为备选供应商，当成交供应商不能履行其义务时，由</w:t>
      </w:r>
      <w:r>
        <w:rPr>
          <w:rFonts w:hint="eastAsia"/>
          <w:color w:val="000000" w:themeColor="text1"/>
          <w:sz w:val="21"/>
          <w:szCs w:val="21"/>
          <w:lang w:val="en-US" w:eastAsia="zh-CN"/>
          <w14:textFill>
            <w14:solidFill>
              <w14:schemeClr w14:val="tx1"/>
            </w14:solidFill>
          </w14:textFill>
        </w:rPr>
        <w:t>顺位</w:t>
      </w:r>
      <w:r>
        <w:rPr>
          <w:rFonts w:hint="eastAsia"/>
          <w:color w:val="000000" w:themeColor="text1"/>
          <w:sz w:val="21"/>
          <w:szCs w:val="21"/>
          <w:lang w:eastAsia="zh-CN"/>
          <w14:textFill>
            <w14:solidFill>
              <w14:schemeClr w14:val="tx1"/>
            </w14:solidFill>
          </w14:textFill>
        </w:rPr>
        <w:t>备选供应商</w:t>
      </w:r>
      <w:r>
        <w:rPr>
          <w:rFonts w:hint="eastAsia"/>
          <w:color w:val="000000" w:themeColor="text1"/>
          <w:sz w:val="21"/>
          <w:szCs w:val="21"/>
          <w:lang w:val="en-US" w:eastAsia="zh-CN"/>
          <w14:textFill>
            <w14:solidFill>
              <w14:schemeClr w14:val="tx1"/>
            </w14:solidFill>
          </w14:textFill>
        </w:rPr>
        <w:t>接替</w:t>
      </w:r>
      <w:r>
        <w:rPr>
          <w:rFonts w:hint="eastAsia"/>
          <w:color w:val="000000" w:themeColor="text1"/>
          <w:sz w:val="21"/>
          <w:szCs w:val="21"/>
          <w:lang w:eastAsia="zh-CN"/>
          <w14:textFill>
            <w14:solidFill>
              <w14:schemeClr w14:val="tx1"/>
            </w14:solidFill>
          </w14:textFill>
        </w:rPr>
        <w:t>，成为新的成交供应商，也可重新组织采购。</w:t>
      </w:r>
    </w:p>
    <w:tbl>
      <w:tblPr>
        <w:tblStyle w:val="54"/>
        <w:tblW w:w="9776" w:type="dxa"/>
        <w:tblInd w:w="-176" w:type="dxa"/>
        <w:tblLayout w:type="fixed"/>
        <w:tblCellMar>
          <w:top w:w="0" w:type="dxa"/>
          <w:left w:w="108" w:type="dxa"/>
          <w:bottom w:w="0" w:type="dxa"/>
          <w:right w:w="108" w:type="dxa"/>
        </w:tblCellMar>
      </w:tblPr>
      <w:tblGrid>
        <w:gridCol w:w="710"/>
        <w:gridCol w:w="1381"/>
        <w:gridCol w:w="6834"/>
        <w:gridCol w:w="851"/>
      </w:tblGrid>
      <w:tr w14:paraId="3EF2542F">
        <w:tblPrEx>
          <w:tblCellMar>
            <w:top w:w="0" w:type="dxa"/>
            <w:left w:w="108" w:type="dxa"/>
            <w:bottom w:w="0" w:type="dxa"/>
            <w:right w:w="108" w:type="dxa"/>
          </w:tblCellMar>
        </w:tblPrEx>
        <w:trPr>
          <w:trHeight w:val="498"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14:paraId="1C1BD680">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bookmarkStart w:id="123" w:name="_Hlk43221896"/>
            <w:r>
              <w:rPr>
                <w:rFonts w:hint="eastAsia" w:asciiTheme="minorEastAsia" w:hAnsiTheme="minorEastAsia" w:eastAsiaTheme="minorEastAsia"/>
                <w:b/>
                <w:color w:val="000000" w:themeColor="text1"/>
                <w:sz w:val="21"/>
                <w:szCs w:val="21"/>
                <w:highlight w:val="none"/>
                <w14:textFill>
                  <w14:solidFill>
                    <w14:schemeClr w14:val="tx1"/>
                  </w14:solidFill>
                </w14:textFill>
              </w:rPr>
              <w:t>序号</w:t>
            </w:r>
          </w:p>
        </w:tc>
        <w:tc>
          <w:tcPr>
            <w:tcW w:w="1381" w:type="dxa"/>
            <w:tcBorders>
              <w:top w:val="single" w:color="auto" w:sz="4" w:space="0"/>
              <w:left w:val="nil"/>
              <w:bottom w:val="single" w:color="auto" w:sz="4" w:space="0"/>
              <w:right w:val="single" w:color="auto" w:sz="4" w:space="0"/>
            </w:tcBorders>
            <w:shd w:val="clear" w:color="auto" w:fill="FFFFFF"/>
            <w:vAlign w:val="center"/>
          </w:tcPr>
          <w:p w14:paraId="2583A323">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评分因素</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1971FAF">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评审标准</w:t>
            </w:r>
          </w:p>
        </w:tc>
        <w:tc>
          <w:tcPr>
            <w:tcW w:w="851" w:type="dxa"/>
            <w:tcBorders>
              <w:top w:val="single" w:color="auto" w:sz="4" w:space="0"/>
              <w:left w:val="nil"/>
              <w:bottom w:val="single" w:color="auto" w:sz="4" w:space="0"/>
              <w:right w:val="single" w:color="auto" w:sz="4" w:space="0"/>
            </w:tcBorders>
            <w:shd w:val="clear" w:color="auto" w:fill="FFFFFF"/>
            <w:vAlign w:val="center"/>
          </w:tcPr>
          <w:p w14:paraId="7E746E61">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分值</w:t>
            </w:r>
          </w:p>
        </w:tc>
      </w:tr>
      <w:tr w14:paraId="79F4F19A">
        <w:tblPrEx>
          <w:tblCellMar>
            <w:top w:w="0" w:type="dxa"/>
            <w:left w:w="108" w:type="dxa"/>
            <w:bottom w:w="0" w:type="dxa"/>
            <w:right w:w="108" w:type="dxa"/>
          </w:tblCellMar>
        </w:tblPrEx>
        <w:trPr>
          <w:trHeight w:val="1395" w:hRule="atLeast"/>
        </w:trPr>
        <w:tc>
          <w:tcPr>
            <w:tcW w:w="710" w:type="dxa"/>
            <w:tcBorders>
              <w:top w:val="nil"/>
              <w:left w:val="single" w:color="auto" w:sz="4" w:space="0"/>
              <w:bottom w:val="single" w:color="auto" w:sz="4" w:space="0"/>
              <w:right w:val="single" w:color="auto" w:sz="4" w:space="0"/>
            </w:tcBorders>
            <w:shd w:val="clear" w:color="auto" w:fill="FFFFFF"/>
            <w:vAlign w:val="center"/>
          </w:tcPr>
          <w:p w14:paraId="14F5B19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1" w:type="dxa"/>
            <w:tcBorders>
              <w:top w:val="nil"/>
              <w:left w:val="nil"/>
              <w:bottom w:val="single" w:color="auto" w:sz="4" w:space="0"/>
              <w:right w:val="single" w:color="auto" w:sz="4" w:space="0"/>
            </w:tcBorders>
            <w:shd w:val="clear" w:color="auto" w:fill="FFFFFF"/>
            <w:vAlign w:val="center"/>
          </w:tcPr>
          <w:p w14:paraId="4135F90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价格</w:t>
            </w:r>
          </w:p>
          <w:p w14:paraId="544B1F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（70分）</w:t>
            </w:r>
          </w:p>
        </w:tc>
        <w:tc>
          <w:tcPr>
            <w:tcW w:w="6834" w:type="dxa"/>
            <w:tcBorders>
              <w:top w:val="nil"/>
              <w:left w:val="nil"/>
              <w:bottom w:val="single" w:color="auto" w:sz="4" w:space="0"/>
              <w:right w:val="single" w:color="auto" w:sz="4" w:space="0"/>
            </w:tcBorders>
            <w:shd w:val="clear" w:color="auto" w:fill="FFFFFF"/>
            <w:vAlign w:val="center"/>
          </w:tcPr>
          <w:p w14:paraId="6BEF515E">
            <w:pPr>
              <w:pStyle w:val="19"/>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采用低价优先法计算，即满足磋商文件要求且磋商最终价格最低的磋商报价为评标基准价，其价格分为满分。其他供应商的价格分统一按照下列公式计算：磋商报价得分=(评标基准价/磋商报价)×70（小数点后保留两位）(为保证报价合理性，当供应商报价低于控制价70%时，供应商在投标报价时需提供完整的成本明细说明进行证明，评标委员会将根据供应商所提供的成本明细说明进行论证，分析报价合理性。若供应商提供的成本明细说明不能证明其报价合理性，则评标委员会应当将其作为无效投标处理。)</w:t>
            </w:r>
          </w:p>
        </w:tc>
        <w:tc>
          <w:tcPr>
            <w:tcW w:w="851" w:type="dxa"/>
            <w:tcBorders>
              <w:top w:val="nil"/>
              <w:left w:val="nil"/>
              <w:bottom w:val="single" w:color="auto" w:sz="4" w:space="0"/>
              <w:right w:val="single" w:color="auto" w:sz="4" w:space="0"/>
            </w:tcBorders>
            <w:shd w:val="clear" w:color="auto" w:fill="FFFFFF"/>
            <w:vAlign w:val="center"/>
          </w:tcPr>
          <w:p w14:paraId="31B3647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70分</w:t>
            </w:r>
          </w:p>
        </w:tc>
      </w:tr>
      <w:tr w14:paraId="63474991">
        <w:tblPrEx>
          <w:tblCellMar>
            <w:top w:w="0" w:type="dxa"/>
            <w:left w:w="108" w:type="dxa"/>
            <w:bottom w:w="0" w:type="dxa"/>
            <w:right w:w="108" w:type="dxa"/>
          </w:tblCellMar>
        </w:tblPrEx>
        <w:trPr>
          <w:trHeight w:val="141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3A051A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3068EB2">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企业类似业绩</w:t>
            </w:r>
          </w:p>
          <w:p w14:paraId="7155F82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b w:val="0"/>
                <w:bCs w:val="0"/>
                <w:color w:val="000000" w:themeColor="text1"/>
                <w:highlight w:val="none"/>
                <w:lang w:val="en-US" w:eastAsia="zh-CN"/>
                <w14:textFill>
                  <w14:solidFill>
                    <w14:schemeClr w14:val="tx1"/>
                  </w14:solidFill>
                </w14:textFill>
              </w:rPr>
              <w:t>2</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77540B5E">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供应商自2022年5月1日以来，承担过类似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6296CBC5">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8BAE28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0724EA18">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5A1A4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3</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AADBA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项目负责人类似业绩</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4</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3C33C80">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项目负责人自2022年5月1日以来，在本企业承担过类似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4F733C13">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F83EF5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4F2C611A">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46A797F">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FDF1A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项目管理机构人员配备</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15</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4C2B62E3">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供应商拟投入本项目组成员应包括:</w:t>
            </w:r>
          </w:p>
          <w:p w14:paraId="68B2D282">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(1)技术负责人(非本项目的项目负责人)：具备高级工程师职称的得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分;具备工程师职称的得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w:t>
            </w:r>
          </w:p>
          <w:p w14:paraId="3927E62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(2)供应商拟投入本项目的项目组成员(不含项目负责人、技术负责人)具有施工员、质量员、材料员、安全员、资料员、造价</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师（二级及以上造价师证书）</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相关证书，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总计3分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少一人不得分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(证书类型不得重复，证书不得兼任)。</w:t>
            </w:r>
          </w:p>
          <w:p w14:paraId="2EDE6CF6">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）供应商拟投入本项目的</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特种工人需具有登高证证书，提供人数不少于6人，且年龄不大于50岁，合计10分，每缺少1人扣3分。</w:t>
            </w:r>
          </w:p>
          <w:p w14:paraId="257EA71E">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注:①以上人员必须为本单位人员，同一人不得重复计分；</w:t>
            </w:r>
          </w:p>
          <w:p w14:paraId="024E1BA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②以上人员均须提供近三月(202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月至2025年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月)投标单位为其连续缴纳的由劳动和社会保障部门出具的养老保险缴纳凭证；</w:t>
            </w:r>
          </w:p>
          <w:p w14:paraId="713DE6C9">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高校设计院或军队等事业编制人员无法提供社保证明，须提供所在单位的上级主管部门人事组织或编制主管部门出具的人员编制核准证明材料。③中标后需提供原件核查，若提供不了则按弄虚作假处理。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1428B41">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568D2B40">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D413F7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0FBED2">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设备</w:t>
            </w:r>
          </w:p>
          <w:p w14:paraId="4881E2C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9</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57B9CDBA">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提供</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吊篮、激光投线仪、门窗现场水密性检测仪</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、电焊机。全部满足得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分，否则不得分。(须提供相应有效的证明材料扫描件上传至电子磋商响应文件，未提供不得分。证明材料包括购置发票或所有权证明，中标后需提供原件核查，若提供不了则按弄虚作假处理。)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C87ABD1">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p>
        </w:tc>
      </w:tr>
      <w:tr w14:paraId="5B8626C6">
        <w:tblPrEx>
          <w:tblCellMar>
            <w:top w:w="0" w:type="dxa"/>
            <w:left w:w="108" w:type="dxa"/>
            <w:bottom w:w="0" w:type="dxa"/>
            <w:right w:w="108" w:type="dxa"/>
          </w:tblCellMar>
        </w:tblPrEx>
        <w:trPr>
          <w:trHeight w:val="612" w:hRule="atLeast"/>
        </w:trPr>
        <w:tc>
          <w:tcPr>
            <w:tcW w:w="2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F9EA49">
            <w:pPr>
              <w:widowControl/>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总</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2DB24CD">
            <w:pPr>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CF77819">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100分</w:t>
            </w:r>
            <w:bookmarkEnd w:id="123"/>
          </w:p>
        </w:tc>
      </w:tr>
    </w:tbl>
    <w:p w14:paraId="3EA8F2FC">
      <w:pPr>
        <w:pStyle w:val="2"/>
        <w:rPr>
          <w:lang w:eastAsia="zh-CN"/>
        </w:rPr>
      </w:pPr>
    </w:p>
    <w:p w14:paraId="34160076">
      <w:pPr>
        <w:spacing w:line="3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说明</w:t>
      </w:r>
      <w:r>
        <w:rPr>
          <w:rFonts w:hint="eastAsia" w:ascii="宋体" w:hAnsi="宋体" w:eastAsia="宋体" w:cs="宋体"/>
          <w:color w:val="000000" w:themeColor="text1"/>
          <w:sz w:val="21"/>
          <w:szCs w:val="21"/>
          <w:lang w:eastAsia="zh-CN"/>
          <w14:textFill>
            <w14:solidFill>
              <w14:schemeClr w14:val="tx1"/>
            </w14:solidFill>
          </w14:textFill>
        </w:rPr>
        <w:t>：</w:t>
      </w:r>
    </w:p>
    <w:p w14:paraId="2E144EB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评审评分标准涉及到的所有证书、认证、证明和业绩等材料均以上传原件扫描件加盖公章为依据，需按要求提供相应的证明材料在磋商响应文件中。中标后，成交供应商须提供所有材料的原件由代理公司进行核查，如发现弄虚作假者，取消其中标人资格，并将向政府采购管理部门汇报，将供应商列入不良行为记录名单、并依法予以处罚。</w:t>
      </w:r>
    </w:p>
    <w:p w14:paraId="2D62E14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2.若供应商提供虚假资料，一经查实作无效文件处理。上述评分办法均以磋商文件、评委的判断为准。</w:t>
      </w:r>
    </w:p>
    <w:p w14:paraId="32F7B7FC">
      <w:pPr>
        <w:spacing w:line="340" w:lineRule="exact"/>
        <w:ind w:firstLine="420"/>
        <w:rPr>
          <w:rFonts w:ascii="Ari" w:hAnsi="宋体" w:eastAsia="宋体"/>
          <w:color w:val="000000" w:themeColor="text1"/>
          <w:sz w:val="21"/>
          <w:szCs w:val="21"/>
          <w:highlight w:val="yellow"/>
          <w:lang w:eastAsia="zh-CN"/>
          <w14:textFill>
            <w14:solidFill>
              <w14:schemeClr w14:val="tx1"/>
            </w14:solidFill>
          </w14:textFill>
        </w:rPr>
      </w:pPr>
    </w:p>
    <w:p w14:paraId="0694EF91">
      <w:pPr>
        <w:spacing w:line="340" w:lineRule="exact"/>
        <w:ind w:firstLine="440"/>
        <w:rPr>
          <w:rFonts w:ascii="宋体" w:hAnsi="宋体" w:eastAsia="宋体" w:cs="宋体"/>
          <w:color w:val="000000" w:themeColor="text1"/>
          <w:lang w:eastAsia="zh-CN"/>
          <w14:textFill>
            <w14:solidFill>
              <w14:schemeClr w14:val="tx1"/>
            </w14:solidFill>
          </w14:textFill>
        </w:rPr>
      </w:pPr>
    </w:p>
    <w:p w14:paraId="1A1CDA63">
      <w:pPr>
        <w:ind w:firstLine="440"/>
        <w:rPr>
          <w:color w:val="000000" w:themeColor="text1"/>
          <w:lang w:eastAsia="zh-CN"/>
          <w14:textFill>
            <w14:solidFill>
              <w14:schemeClr w14:val="tx1"/>
            </w14:solidFill>
          </w14:textFill>
        </w:rPr>
      </w:pPr>
    </w:p>
    <w:p w14:paraId="70FF8AE3">
      <w:pPr>
        <w:spacing w:line="360" w:lineRule="auto"/>
        <w:jc w:val="center"/>
        <w:outlineLvl w:val="0"/>
        <w:rPr>
          <w:rFonts w:ascii="黑体" w:hAnsi="黑体" w:eastAsia="黑体" w:cs="黑体"/>
          <w:b/>
          <w:color w:val="000000" w:themeColor="text1"/>
          <w:sz w:val="32"/>
          <w:szCs w:val="32"/>
          <w:highlight w:val="none"/>
          <w:lang w:val="zh-CN" w:eastAsia="zh-CN"/>
          <w14:textFill>
            <w14:solidFill>
              <w14:schemeClr w14:val="tx1"/>
            </w14:solidFill>
          </w14:textFill>
        </w:rPr>
      </w:pPr>
      <w:bookmarkStart w:id="124" w:name="_bookmark8"/>
      <w:bookmarkEnd w:id="124"/>
      <w:bookmarkStart w:id="125" w:name="第四章__采购项目需求"/>
      <w:bookmarkEnd w:id="125"/>
      <w:r>
        <w:rPr>
          <w:rFonts w:hint="eastAsia" w:ascii="宋体" w:hAnsi="宋体" w:eastAsia="宋体" w:cs="宋体"/>
          <w:b/>
          <w:color w:val="000000" w:themeColor="text1"/>
          <w:sz w:val="28"/>
          <w:szCs w:val="28"/>
          <w:lang w:val="zh-CN" w:eastAsia="zh-CN"/>
          <w14:textFill>
            <w14:solidFill>
              <w14:schemeClr w14:val="tx1"/>
            </w14:solidFill>
          </w14:textFill>
        </w:rPr>
        <w:br w:type="column"/>
      </w:r>
      <w:bookmarkStart w:id="126" w:name="_Toc184199383"/>
      <w:r>
        <w:rPr>
          <w:rFonts w:hint="eastAsia" w:ascii="宋体" w:hAnsi="宋体" w:eastAsia="宋体" w:cs="宋体"/>
          <w:b/>
          <w:color w:val="000000" w:themeColor="text1"/>
          <w:sz w:val="28"/>
          <w:szCs w:val="28"/>
          <w:highlight w:val="none"/>
          <w:lang w:val="zh-CN" w:eastAsia="zh-CN"/>
          <w14:textFill>
            <w14:solidFill>
              <w14:schemeClr w14:val="tx1"/>
            </w14:solidFill>
          </w14:textFill>
        </w:rPr>
        <w:t>第四章 采购需求</w:t>
      </w:r>
      <w:bookmarkEnd w:id="126"/>
    </w:p>
    <w:p w14:paraId="30E581C2">
      <w:pPr>
        <w:spacing w:line="360" w:lineRule="auto"/>
        <w:ind w:firstLine="422"/>
        <w:rPr>
          <w:rFonts w:ascii="宋体" w:hAnsi="宋体" w:eastAsia="宋体" w:cs="宋体"/>
          <w:b/>
          <w:bCs/>
          <w:color w:val="000000" w:themeColor="text1"/>
          <w:sz w:val="21"/>
          <w:szCs w:val="21"/>
          <w:highlight w:val="none"/>
          <w:lang w:val="zh-CN" w:eastAsia="zh-CN"/>
          <w14:textFill>
            <w14:solidFill>
              <w14:schemeClr w14:val="tx1"/>
            </w14:solidFill>
          </w14:textFill>
        </w:rPr>
      </w:pPr>
      <w:bookmarkStart w:id="127" w:name="第五章__合同草案条款及格式"/>
      <w:bookmarkEnd w:id="127"/>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一、项目概况</w:t>
      </w:r>
    </w:p>
    <w:p w14:paraId="220C180F">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（一）项目背景</w:t>
      </w:r>
    </w:p>
    <w:p w14:paraId="5ACBABB1">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1、项目建设单位：南京市秦淮区人民政府办公室；</w:t>
      </w:r>
    </w:p>
    <w:p w14:paraId="6202ADBA">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2、项目地点：南京市秦淮区；</w:t>
      </w:r>
    </w:p>
    <w:p w14:paraId="4739710A">
      <w:pPr>
        <w:widowControl/>
        <w:spacing w:line="500" w:lineRule="exact"/>
        <w:ind w:firstLine="420" w:firstLineChars="200"/>
        <w:jc w:val="left"/>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3、项目内容：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为进一步优化办公环境，消除安全隐患，拟对太平库路69号（新办公大楼）、秦虹路1号（老办公大楼）集中办公区建筑外立面及屋顶进行修缮，主要包括玻璃幕墙、石材幕墙的维修，屋面防水层修复等（详见工程量清单）。</w:t>
      </w:r>
    </w:p>
    <w:p w14:paraId="243FB8C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4、项目工期：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val="zh-CN" w:eastAsia="zh-CN"/>
          <w14:textFill>
            <w14:solidFill>
              <w14:schemeClr w14:val="tx1"/>
            </w14:solidFill>
          </w14:textFill>
        </w:rPr>
        <w:t>天；</w:t>
      </w:r>
    </w:p>
    <w:p w14:paraId="421027BC">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（二）建设目标</w:t>
      </w:r>
    </w:p>
    <w:p w14:paraId="76C37F2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1、项目质量要求：</w:t>
      </w:r>
      <w:r>
        <w:rPr>
          <w:rFonts w:ascii="宋体" w:hAnsi="宋体" w:eastAsia="宋体" w:cs="宋体"/>
          <w:color w:val="000000" w:themeColor="text1"/>
          <w:sz w:val="21"/>
          <w:highlight w:val="none"/>
          <w:lang w:eastAsia="zh-CN"/>
          <w14:textFill>
            <w14:solidFill>
              <w14:schemeClr w14:val="tx1"/>
            </w14:solidFill>
          </w14:textFill>
        </w:rPr>
        <w:t>符合国家质量验收合格标准</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1A440C89">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2、项目施工安全要求：满足行政主管部门的要求；</w:t>
      </w:r>
    </w:p>
    <w:p w14:paraId="3BBB7B7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3、环保要求：符合环保部门的要求。</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3B930B5F">
      <w:pPr>
        <w:spacing w:line="360" w:lineRule="auto"/>
        <w:ind w:firstLine="422"/>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lang w:val="zh-CN" w:eastAsia="zh-CN"/>
          <w14:textFill>
            <w14:solidFill>
              <w14:schemeClr w14:val="tx1"/>
            </w14:solidFill>
          </w14:textFill>
        </w:rPr>
        <w:t>、实施要求</w:t>
      </w:r>
    </w:p>
    <w:p w14:paraId="430B6370">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1、报价应按照采购人提供的</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lang w:val="zh-CN" w:eastAsia="zh-CN"/>
          <w14:textFill>
            <w14:solidFill>
              <w14:schemeClr w14:val="tx1"/>
            </w14:solidFill>
          </w14:textFill>
        </w:rPr>
        <w:t>工程量清单的格式</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lang w:val="zh-CN" w:eastAsia="zh-CN"/>
          <w14:textFill>
            <w14:solidFill>
              <w14:schemeClr w14:val="tx1"/>
            </w14:solidFill>
          </w14:textFill>
        </w:rPr>
        <w:t>，不得改变工程量清单，不可竞争费用不得让利，暂列</w:t>
      </w:r>
      <w:r>
        <w:rPr>
          <w:rFonts w:hint="eastAsia" w:ascii="宋体" w:hAnsi="宋体" w:eastAsia="宋体" w:cs="宋体"/>
          <w:color w:val="000000" w:themeColor="text1"/>
          <w:sz w:val="21"/>
          <w:szCs w:val="21"/>
          <w:lang w:eastAsia="zh-CN"/>
          <w14:textFill>
            <w14:solidFill>
              <w14:schemeClr w14:val="tx1"/>
            </w14:solidFill>
          </w14:textFill>
        </w:rPr>
        <w:t>金额不得改动，否则作无效投标处理。</w:t>
      </w:r>
    </w:p>
    <w:p w14:paraId="6C2F864A">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投标供应商</w:t>
      </w:r>
      <w:r>
        <w:rPr>
          <w:rFonts w:hint="eastAsia" w:ascii="宋体" w:hAnsi="宋体" w:eastAsia="宋体" w:cs="宋体"/>
          <w:color w:val="000000" w:themeColor="text1"/>
          <w:sz w:val="21"/>
          <w:szCs w:val="21"/>
          <w:lang w:eastAsia="zh-CN"/>
          <w14:textFill>
            <w14:solidFill>
              <w14:schemeClr w14:val="tx1"/>
            </w14:solidFill>
          </w14:textFill>
        </w:rPr>
        <w:t>自行决定是否到</w:t>
      </w:r>
      <w:r>
        <w:rPr>
          <w:rFonts w:hint="eastAsia" w:ascii="宋体" w:hAnsi="宋体" w:eastAsia="宋体" w:cs="宋体"/>
          <w:color w:val="000000" w:themeColor="text1"/>
          <w:sz w:val="21"/>
          <w:szCs w:val="21"/>
          <w:lang w:val="zh-CN" w:eastAsia="zh-CN"/>
          <w14:textFill>
            <w14:solidFill>
              <w14:schemeClr w14:val="tx1"/>
            </w14:solidFill>
          </w14:textFill>
        </w:rPr>
        <w:t>施工现场认真勘查以充分了解其施工环境，工地位置及任何其他足以影响承包价及工期的情况，采购人对于现有的施工环境及条件将不增加任何投入，请投标供应商自行考虑并计入磋商最后报价中，结算时不作调整。</w:t>
      </w:r>
    </w:p>
    <w:p w14:paraId="4F37264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、对于施工中有要求，清单项目特征没有描述的，请供应商在报价中充分考虑，结算时不得增加相关费用；</w:t>
      </w:r>
    </w:p>
    <w:p w14:paraId="2163FEA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本项目采用固定单价，本项目承包范围为磋商文件、工程量清单等相关的内容。供应商应仔细核对工程量清单，核对内容包括清单数量、清单特征、计量单位等，并将疑问在提问截止时间书面提出，如未提出任何疑问，则视为对采购人提供的工程量清单不存在问题，漏报项视为价格已分摊到其他清单项中，供应商自行承担工程量清单数量偏差、漏项及清单错误的风险。否则自行承担所有损失。</w:t>
      </w:r>
    </w:p>
    <w:p w14:paraId="533FC92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zh-CN" w:eastAsia="zh-CN"/>
          <w14:textFill>
            <w14:solidFill>
              <w14:schemeClr w14:val="tx1"/>
            </w14:solidFill>
          </w14:textFill>
        </w:rPr>
        <w:t>工程量清单特征描述不全时，应结合磋商文件、设计施工图纸（</w:t>
      </w:r>
      <w:r>
        <w:rPr>
          <w:rFonts w:hint="eastAsia" w:ascii="宋体" w:hAnsi="宋体" w:eastAsia="宋体" w:cs="宋体"/>
          <w:color w:val="000000" w:themeColor="text1"/>
          <w:sz w:val="21"/>
          <w:szCs w:val="21"/>
          <w:lang w:eastAsia="zh-CN"/>
          <w14:textFill>
            <w14:solidFill>
              <w14:schemeClr w14:val="tx1"/>
            </w14:solidFill>
          </w14:textFill>
        </w:rPr>
        <w:t>如有</w:t>
      </w:r>
      <w:r>
        <w:rPr>
          <w:rFonts w:hint="eastAsia" w:ascii="宋体" w:hAnsi="宋体" w:eastAsia="宋体" w:cs="宋体"/>
          <w:color w:val="000000" w:themeColor="text1"/>
          <w:sz w:val="21"/>
          <w:szCs w:val="21"/>
          <w:lang w:val="zh-CN" w:eastAsia="zh-CN"/>
          <w14:textFill>
            <w14:solidFill>
              <w14:schemeClr w14:val="tx1"/>
            </w14:solidFill>
          </w14:textFill>
        </w:rPr>
        <w:t>）、技术规范和现场勘察情况，并应当综合考虑施工规范、地方规章等的要求，将所产生的费用计入报价中；清单特征中未描述的，但计价规范中注明的工程内容，承包人在报价中应充分考虑“工程内容”而产生的费用，列入相应报价中；</w:t>
      </w:r>
    </w:p>
    <w:p w14:paraId="4E4662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6、供应商需要采购的部分主要材料应选用国内中档以上品牌，并达到环保要求。在签订合同之前，采购人如认为成交供应商在磋商文件</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 xml:space="preserve">提供的品牌达不到品牌的要求，则采购人可以要求成交供应商选用其它中等以上档次品牌，成交供应商须无条件接受且不增加其磋商报价。 </w:t>
      </w:r>
    </w:p>
    <w:p w14:paraId="44BDA78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7、成交供应商必须服从现场管理，对工序和材料及时报验，原材料及配件必须符合国家标准，经复试合格后方可使用。 </w:t>
      </w:r>
    </w:p>
    <w:p w14:paraId="00D2CA7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8、施工过程中产生的垃圾及时清运，费用由成交供应商承担；建设工程不能影响整体美观，不能影响其他设施、设备的使用及功能，不能影响采购人正常工作开展。 </w:t>
      </w:r>
    </w:p>
    <w:p w14:paraId="64ED23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9、施工过程中，供应商需采取措施保护现场及周边相关财物、物品、设施等，因供应商的不规范操作、误操作等原因造成相关设施的损坏、设备的停用等后果均由供应商承担，由供应商原样修复并自行承担相关费用。 </w:t>
      </w:r>
    </w:p>
    <w:p w14:paraId="2817B3F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属于保修范围和内容的项目，承包人不在约定期限内派人修理，发包人可委托其他人员修理，保修费用从质量保修金内扣除。</w:t>
      </w:r>
    </w:p>
    <w:p w14:paraId="58107EE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发生须紧急抢修事故(如上水跑水、暖气漏水漏气、燃气漏气等)，承包人接到事故通知后，应立即到达事故现场抢修。非承包人施工质量引起的事故，抢修费用由发包人承担。</w:t>
      </w:r>
    </w:p>
    <w:p w14:paraId="2A3D9CA9">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12、供应商成交后应提供施工组织设计方案，以确保项目的顺利进行。</w:t>
      </w:r>
    </w:p>
    <w:p w14:paraId="7227778C">
      <w:pPr>
        <w:pStyle w:val="2"/>
        <w:ind w:left="0" w:leftChars="0"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13、</w:t>
      </w:r>
      <w:r>
        <w:rPr>
          <w:rFonts w:hint="eastAsia" w:ascii="宋体" w:hAnsi="宋体" w:eastAsia="宋体" w:cs="宋体"/>
          <w:color w:val="000000" w:themeColor="text1"/>
          <w:sz w:val="21"/>
          <w:szCs w:val="21"/>
          <w:lang w:val="zh-CN" w:eastAsia="zh-CN" w:bidi="ar-SA"/>
          <w14:textFill>
            <w14:solidFill>
              <w14:schemeClr w14:val="tx1"/>
            </w14:solidFill>
          </w14:textFill>
        </w:rPr>
        <w:t>工程质量必须达到《建筑工程施工质量验收统一标准》（GB 50300-2013）等相关国家规范的规定，</w:t>
      </w:r>
      <w:r>
        <w:rPr>
          <w:rFonts w:hint="eastAsia" w:eastAsia="宋体" w:cs="宋体"/>
          <w:color w:val="000000" w:themeColor="text1"/>
          <w:sz w:val="21"/>
          <w:szCs w:val="21"/>
          <w:lang w:val="en-US" w:eastAsia="zh-CN" w:bidi="ar-SA"/>
          <w14:textFill>
            <w14:solidFill>
              <w14:schemeClr w14:val="tx1"/>
            </w14:solidFill>
          </w14:textFill>
        </w:rPr>
        <w:t>供应商</w:t>
      </w:r>
      <w:r>
        <w:rPr>
          <w:rFonts w:hint="eastAsia" w:ascii="宋体" w:hAnsi="宋体" w:eastAsia="宋体" w:cs="宋体"/>
          <w:color w:val="000000" w:themeColor="text1"/>
          <w:sz w:val="21"/>
          <w:szCs w:val="21"/>
          <w:lang w:val="en-US" w:eastAsia="zh-CN" w:bidi="ar-SA"/>
          <w14:textFill>
            <w14:solidFill>
              <w14:schemeClr w14:val="tx1"/>
            </w14:solidFill>
          </w14:textFill>
        </w:rPr>
        <w:t>提供承诺书格式自拟。</w:t>
      </w:r>
    </w:p>
    <w:p w14:paraId="74DA057A">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14、</w:t>
      </w:r>
      <w:r>
        <w:rPr>
          <w:rFonts w:hint="default" w:ascii="宋体" w:hAnsi="宋体" w:eastAsia="宋体" w:cs="宋体"/>
          <w:color w:val="000000" w:themeColor="text1"/>
          <w:sz w:val="21"/>
          <w:szCs w:val="21"/>
          <w:lang w:val="en-US" w:eastAsia="zh-CN" w:bidi="ar-SA"/>
          <w14:textFill>
            <w14:solidFill>
              <w14:schemeClr w14:val="tx1"/>
            </w14:solidFill>
          </w14:textFill>
        </w:rPr>
        <w:t>人员管理要求</w:t>
      </w:r>
    </w:p>
    <w:p w14:paraId="16CC3B63">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11003D07">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（1）项目负责人每天不少于 6 小时，每周不少于 6 个日历日在本工程现场工作；如发现项目负责人一周内有两天以上不在现场，或者一周内在现场工作时间累计少于 30小时，则视为供应商违约，应按5000元/次支付违约金，且采购人有权就此行为向建设行政主管部门投诉，并要求供应商更换项目负责人。项目技术负责人应组织项目人员进行技术交底，编制施工组织设计，负责项目的技术复核工作等。</w:t>
      </w:r>
    </w:p>
    <w:p w14:paraId="6E7584A8">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（2）未经采购人同意不得擅自更换项目负责人，确需更换的，不得降低相应的资格条件，并履行相关变更手续，报采购人审核批准。</w:t>
      </w:r>
    </w:p>
    <w:p w14:paraId="58D1EF6F">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技术负责人及施工人员（包含质量员、施工员、安全员、资料员、材料员、造价师）必须常驻现场，每周不少于5个工作日，每日不少于8小时。现场进行每日三次打卡考勤，如缺席，每人每次罚款2000元，上不封顶。</w:t>
      </w:r>
    </w:p>
    <w:p w14:paraId="7862F8F2">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（4）供应商法人应书面委托施工现场安全负责人，如发生安全事故一切责任均由供应商承担。</w:t>
      </w:r>
    </w:p>
    <w:p w14:paraId="236535C7">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15、</w:t>
      </w:r>
      <w:r>
        <w:rPr>
          <w:rFonts w:hint="default" w:ascii="宋体" w:hAnsi="宋体" w:eastAsia="宋体" w:cs="宋体"/>
          <w:color w:val="000000" w:themeColor="text1"/>
          <w:sz w:val="21"/>
          <w:szCs w:val="21"/>
          <w:lang w:val="en-US" w:eastAsia="zh-CN" w:bidi="ar-SA"/>
          <w14:textFill>
            <w14:solidFill>
              <w14:schemeClr w14:val="tx1"/>
            </w14:solidFill>
          </w14:textFill>
        </w:rPr>
        <w:t>现场管理要求</w:t>
      </w:r>
    </w:p>
    <w:p w14:paraId="250171B4">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540CC896">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（1）供应商应严格执行建筑施工规范、安全操作规范、安全防火规定、环境保护规定，施工中所发生的一切安全责任事故均由供应商承担，采购人不承担任何责任。</w:t>
      </w:r>
    </w:p>
    <w:p w14:paraId="5B37B5E0">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（2）施工期间必须遵守采购人管理规章制度，按照磋商文件采购项目需求、施工合同以及采购人要求履约完成本项目各项要求。</w:t>
      </w:r>
    </w:p>
    <w:p w14:paraId="6F0571B3">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（3）供应商应做到文明施工，不得扰民，做好施工现场及院内整洁。</w:t>
      </w:r>
    </w:p>
    <w:p w14:paraId="63330277">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（4）供应商所使用的各类材料必须为环保、节能产品。</w:t>
      </w:r>
    </w:p>
    <w:p w14:paraId="0A3B9801">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16、</w:t>
      </w:r>
      <w:r>
        <w:rPr>
          <w:rFonts w:hint="default" w:ascii="宋体" w:hAnsi="宋体" w:eastAsia="宋体" w:cs="宋体"/>
          <w:color w:val="000000" w:themeColor="text1"/>
          <w:sz w:val="21"/>
          <w:szCs w:val="21"/>
          <w:lang w:val="en-US" w:eastAsia="zh-CN" w:bidi="ar-SA"/>
          <w14:textFill>
            <w14:solidFill>
              <w14:schemeClr w14:val="tx1"/>
            </w14:solidFill>
          </w14:textFill>
        </w:rPr>
        <w:t>质保要求</w:t>
      </w:r>
    </w:p>
    <w:p w14:paraId="090F42A0">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006D1005">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工程完工后，在5个日历日内中标供应商做好场地所有清理工作。在合同约定的完工时</w:t>
      </w:r>
      <w:r>
        <w:rPr>
          <w:rFonts w:hint="eastAsia" w:eastAsia="宋体" w:cs="宋体"/>
          <w:color w:val="000000" w:themeColor="text1"/>
          <w:sz w:val="21"/>
          <w:szCs w:val="21"/>
          <w:lang w:val="en-US" w:eastAsia="zh-CN" w:bidi="ar-SA"/>
          <w14:textFill>
            <w14:solidFill>
              <w14:schemeClr w14:val="tx1"/>
            </w14:solidFill>
          </w14:textFill>
        </w:rPr>
        <w:t>间内</w:t>
      </w:r>
      <w:r>
        <w:rPr>
          <w:rFonts w:hint="default" w:ascii="宋体" w:hAnsi="宋体" w:eastAsia="宋体" w:cs="宋体"/>
          <w:color w:val="000000" w:themeColor="text1"/>
          <w:sz w:val="21"/>
          <w:szCs w:val="21"/>
          <w:lang w:val="en-US" w:eastAsia="zh-CN" w:bidi="ar-SA"/>
          <w14:textFill>
            <w14:solidFill>
              <w14:schemeClr w14:val="tx1"/>
            </w14:solidFill>
          </w14:textFill>
        </w:rPr>
        <w:t>通过验收并办理相关手续，并向采购人交齐所有合格的竣工资料，如因供应商原因影响竣工验收或导致不能通过验收，供应商应无偿返工且工期不予顺延，逾期竣工按照5000元/天进行处罚，逾期超过15天采购商有权解除合同并要求供应商赔偿损失。</w:t>
      </w:r>
    </w:p>
    <w:p w14:paraId="3A68AC80">
      <w:pPr>
        <w:pStyle w:val="2"/>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p>
    <w:p w14:paraId="0C6A0F65">
      <w:pPr>
        <w:spacing w:line="360" w:lineRule="auto"/>
        <w:ind w:firstLine="422"/>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lang w:val="zh-CN" w:eastAsia="zh-CN"/>
          <w14:textFill>
            <w14:solidFill>
              <w14:schemeClr w14:val="tx1"/>
            </w14:solidFill>
          </w14:textFill>
        </w:rPr>
        <w:t>、磋商报价编制要求</w:t>
      </w:r>
    </w:p>
    <w:p w14:paraId="76781F0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1、本</w:t>
      </w:r>
      <w:r>
        <w:rPr>
          <w:rFonts w:hint="eastAsia" w:ascii="宋体" w:hAnsi="宋体" w:eastAsia="宋体" w:cs="宋体"/>
          <w:color w:val="000000" w:themeColor="text1"/>
          <w:sz w:val="21"/>
          <w:szCs w:val="21"/>
          <w:lang w:eastAsia="zh-CN"/>
          <w14:textFill>
            <w14:solidFill>
              <w14:schemeClr w14:val="tx1"/>
            </w14:solidFill>
          </w14:textFill>
        </w:rPr>
        <w:t>项目招标</w:t>
      </w:r>
      <w:r>
        <w:rPr>
          <w:rFonts w:hint="eastAsia" w:ascii="宋体" w:hAnsi="宋体" w:eastAsia="宋体" w:cs="宋体"/>
          <w:color w:val="000000" w:themeColor="text1"/>
          <w:sz w:val="21"/>
          <w:szCs w:val="21"/>
          <w:lang w:val="zh-CN" w:eastAsia="zh-CN"/>
          <w14:textFill>
            <w14:solidFill>
              <w14:schemeClr w14:val="tx1"/>
            </w14:solidFill>
          </w14:textFill>
        </w:rPr>
        <w:t>工程量清单应与招标文件及规范一起使用，施工内容、施工材料及施工方法必须满足设计要求或规范要求。</w:t>
      </w:r>
    </w:p>
    <w:p w14:paraId="10BC72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2、工程量清单中每一项目工程量系合同招标工程量，作为发包价的基础，而不能完全作为对承包商进行支付的依据。结算时，按实际发生并经业主和监理认可的工程量为准。</w:t>
      </w:r>
    </w:p>
    <w:p w14:paraId="2390849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3、应根据招标工程量清单、招标文件、招标答疑及现场踏勘情况考虑现场施工时存在的风险，结算时分部分项清单项综合单价不作调整。</w:t>
      </w:r>
    </w:p>
    <w:p w14:paraId="04E864D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4、工程量清单中每一项目的工作内容以《建设工程工程量清单计价规范》GB50500-2013及相关规范为准，施工材料及施工方法均须满足规范要求。</w:t>
      </w:r>
    </w:p>
    <w:p w14:paraId="02F5FB2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5、工程量清单中以项为单位的项目均按综合单价包干，</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7C1700F">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6、清单文件中单价措施项目清单项在</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0E17BC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7、清单文件中总价措施项目清单项以清单文件为准，</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后清单计费项目及费率不再调整，取费项目不再增加。</w:t>
      </w:r>
    </w:p>
    <w:p w14:paraId="681B606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所有磋商报价以人民币表示，供应商报价单位为元。</w:t>
      </w:r>
    </w:p>
    <w:p w14:paraId="2E9EF11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除磋商文件有强制性规定以及不可竞争部分以外，磋商报价应根据磋商文件中的有关计价要求</w:t>
      </w:r>
      <w:r>
        <w:rPr>
          <w:rFonts w:hint="eastAsia" w:ascii="宋体" w:hAnsi="宋体" w:eastAsia="宋体" w:cs="宋体"/>
          <w:color w:val="000000" w:themeColor="text1"/>
          <w:sz w:val="21"/>
          <w:szCs w:val="21"/>
          <w:lang w:eastAsia="zh-CN"/>
          <w14:textFill>
            <w14:solidFill>
              <w14:schemeClr w14:val="tx1"/>
            </w14:solidFill>
          </w14:textFill>
        </w:rPr>
        <w:t>以及</w:t>
      </w:r>
      <w:r>
        <w:rPr>
          <w:rFonts w:hint="eastAsia" w:ascii="宋体" w:hAnsi="宋体" w:eastAsia="宋体" w:cs="宋体"/>
          <w:color w:val="000000" w:themeColor="text1"/>
          <w:sz w:val="21"/>
          <w:szCs w:val="21"/>
          <w:lang w:val="zh-CN" w:eastAsia="zh-CN"/>
          <w14:textFill>
            <w14:solidFill>
              <w14:schemeClr w14:val="tx1"/>
            </w14:solidFill>
          </w14:textFill>
        </w:rPr>
        <w:t>根据工程实际情况和本企业经营管理水平自主合理报价，但不得低于企业成本价。</w:t>
      </w:r>
    </w:p>
    <w:p w14:paraId="4B8AA5A0">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供应商的磋商报价，应当包括完成提供的工程量清单范围内的所有项目以及与本项目相关的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14:paraId="11CA961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属可竞争费用由供应商自主报价的，须满足下列要求：供应商根据企业定额报价的项目，其人工、材料、机械消耗量远低于市场平均水平时，应附有详细分析资料；工程主要材料单价远低于同期南京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国家及省计价规范标准时，应提供详细的分析资料。</w:t>
      </w:r>
    </w:p>
    <w:p w14:paraId="3B33DF5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w:t>
      </w:r>
      <w:r>
        <w:rPr>
          <w:rFonts w:hint="eastAsia" w:ascii="宋体" w:hAnsi="宋体" w:eastAsia="宋体" w:cs="宋体"/>
          <w:color w:val="000000" w:themeColor="text1"/>
          <w:sz w:val="21"/>
          <w:szCs w:val="21"/>
          <w:lang w:val="zh-CN" w:eastAsia="zh-CN"/>
          <w14:textFill>
            <w14:solidFill>
              <w14:schemeClr w14:val="tx1"/>
            </w14:solidFill>
          </w14:textFill>
        </w:rPr>
        <w:t xml:space="preserve"> 供应商成交后根据本单位的最终总报价和首轮明细报价，自行调整各明细单价（原则上除不可竞争费外，其他各分项报价同比例下浮）直至合价和最终总报价（以</w:t>
      </w:r>
      <w:r>
        <w:rPr>
          <w:rFonts w:hint="eastAsia" w:ascii="宋体" w:hAnsi="宋体" w:eastAsia="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lang w:val="zh-CN" w:eastAsia="zh-CN"/>
          <w14:textFill>
            <w14:solidFill>
              <w14:schemeClr w14:val="tx1"/>
            </w14:solidFill>
          </w14:textFill>
        </w:rPr>
        <w:t>为单位，保留两位小数）相符，报采购人审核，审核通过后，后期根据审核后的明细报价，按实结算。</w:t>
      </w:r>
    </w:p>
    <w:p w14:paraId="541CE12D">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磋商分项报价表即按照附件提供的工程量清单的格式进行填报，分别填报单价和合价，要求填报完整，漏报项视为价格已分摊到其他清单项中。</w:t>
      </w:r>
    </w:p>
    <w:p w14:paraId="350166BE">
      <w:pPr>
        <w:spacing w:line="360" w:lineRule="auto"/>
        <w:ind w:firstLine="422"/>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、付款条件</w:t>
      </w:r>
    </w:p>
    <w:p w14:paraId="49E24097">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关于付款周期的约定：</w:t>
      </w:r>
    </w:p>
    <w:p w14:paraId="2AD8D3BB">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val="en-US" w:eastAsia="zh-CN"/>
          <w14:textFill>
            <w14:solidFill>
              <w14:schemeClr w14:val="tx1"/>
            </w14:solidFill>
          </w14:textFill>
        </w:rPr>
        <w:t>合同签订后7日内支付合同总价的30%预付款</w:t>
      </w:r>
      <w:r>
        <w:rPr>
          <w:rFonts w:hint="eastAsia" w:ascii="宋体" w:hAnsi="宋体" w:eastAsia="宋体" w:cs="宋体"/>
          <w:color w:val="000000" w:themeColor="text1"/>
          <w:highlight w:val="none"/>
          <w:u w:val="single"/>
          <w:lang w:eastAsia="zh-CN"/>
          <w14:textFill>
            <w14:solidFill>
              <w14:schemeClr w14:val="tx1"/>
            </w14:solidFill>
          </w14:textFill>
        </w:rPr>
        <w:t>；</w:t>
      </w:r>
    </w:p>
    <w:p w14:paraId="43FAD90D">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工程竣工验收合格后付至</w:t>
      </w:r>
      <w:r>
        <w:rPr>
          <w:rFonts w:hint="eastAsia" w:ascii="宋体" w:hAnsi="宋体" w:eastAsia="宋体" w:cs="宋体"/>
          <w:color w:val="000000" w:themeColor="text1"/>
          <w:highlight w:val="none"/>
          <w:u w:val="single"/>
          <w:lang w:val="en-US" w:eastAsia="zh-CN"/>
          <w14:textFill>
            <w14:solidFill>
              <w14:schemeClr w14:val="tx1"/>
            </w14:solidFill>
          </w14:textFill>
        </w:rPr>
        <w:t>合同总价</w:t>
      </w:r>
      <w:r>
        <w:rPr>
          <w:rFonts w:hint="eastAsia" w:ascii="宋体" w:hAnsi="宋体" w:eastAsia="宋体" w:cs="宋体"/>
          <w:color w:val="000000" w:themeColor="text1"/>
          <w:highlight w:val="none"/>
          <w:u w:val="single"/>
          <w:lang w:eastAsia="zh-CN"/>
          <w14:textFill>
            <w14:solidFill>
              <w14:schemeClr w14:val="tx1"/>
            </w14:solidFill>
          </w14:textFill>
        </w:rPr>
        <w:t>的</w:t>
      </w:r>
      <w:r>
        <w:rPr>
          <w:rFonts w:hint="eastAsia" w:ascii="宋体" w:hAnsi="宋体" w:eastAsia="宋体" w:cs="宋体"/>
          <w:color w:val="000000" w:themeColor="text1"/>
          <w:highlight w:val="none"/>
          <w:u w:val="single"/>
          <w:lang w:val="en-US" w:eastAsia="zh-CN"/>
          <w14:textFill>
            <w14:solidFill>
              <w14:schemeClr w14:val="tx1"/>
            </w14:solidFill>
          </w14:textFill>
        </w:rPr>
        <w:t>85</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2CE62056">
      <w:pPr>
        <w:spacing w:line="400" w:lineRule="exact"/>
        <w:ind w:firstLine="440" w:firstLineChars="2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全部工程经审计结算审核完成后30日内付至结算</w:t>
      </w:r>
      <w:r>
        <w:rPr>
          <w:rFonts w:hint="eastAsia" w:ascii="宋体" w:hAnsi="宋体" w:eastAsia="宋体" w:cs="宋体"/>
          <w:color w:val="000000" w:themeColor="text1"/>
          <w:highlight w:val="none"/>
          <w:u w:val="single"/>
          <w:lang w:val="en-US" w:eastAsia="zh-CN"/>
          <w14:textFill>
            <w14:solidFill>
              <w14:schemeClr w14:val="tx1"/>
            </w14:solidFill>
          </w14:textFill>
        </w:rPr>
        <w:t>总价</w:t>
      </w:r>
      <w:r>
        <w:rPr>
          <w:rFonts w:hint="eastAsia" w:ascii="宋体" w:hAnsi="宋体" w:eastAsia="宋体" w:cs="宋体"/>
          <w:color w:val="000000" w:themeColor="text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宋体" w:hAnsi="宋体" w:eastAsia="宋体" w:cs="宋体"/>
          <w:color w:val="000000" w:themeColor="text1"/>
          <w:highlight w:val="none"/>
          <w:u w:val="single"/>
          <w:lang w:val="en-US" w:eastAsia="zh-CN"/>
          <w14:textFill>
            <w14:solidFill>
              <w14:schemeClr w14:val="tx1"/>
            </w14:solidFill>
          </w14:textFill>
        </w:rPr>
        <w:t>两</w:t>
      </w:r>
      <w:r>
        <w:rPr>
          <w:rFonts w:hint="eastAsia" w:ascii="宋体" w:hAnsi="宋体" w:eastAsia="宋体" w:cs="宋体"/>
          <w:color w:val="000000" w:themeColor="text1"/>
          <w:highlight w:val="none"/>
          <w:u w:val="single"/>
          <w:lang w:eastAsia="zh-CN"/>
          <w14:textFill>
            <w14:solidFill>
              <w14:schemeClr w14:val="tx1"/>
            </w14:solidFill>
          </w14:textFill>
        </w:rPr>
        <w:t>年后</w:t>
      </w:r>
      <w:r>
        <w:rPr>
          <w:rFonts w:hint="eastAsia" w:ascii="宋体" w:hAnsi="宋体" w:eastAsia="宋体" w:cs="宋体"/>
          <w:color w:val="000000" w:themeColor="text1"/>
          <w:highlight w:val="none"/>
          <w:u w:val="single"/>
          <w:lang w:val="en-US" w:eastAsia="zh-CN"/>
          <w14:textFill>
            <w14:solidFill>
              <w14:schemeClr w14:val="tx1"/>
            </w14:solidFill>
          </w14:textFill>
        </w:rPr>
        <w:t>14</w:t>
      </w:r>
      <w:r>
        <w:rPr>
          <w:rFonts w:hint="eastAsia" w:ascii="宋体" w:hAnsi="宋体" w:eastAsia="宋体" w:cs="宋体"/>
          <w:color w:val="000000" w:themeColor="text1"/>
          <w:highlight w:val="none"/>
          <w:u w:val="single"/>
          <w:lang w:eastAsia="zh-CN"/>
          <w14:textFill>
            <w14:solidFill>
              <w14:schemeClr w14:val="tx1"/>
            </w14:solidFill>
          </w14:textFill>
        </w:rPr>
        <w:t>日内一次性无息付清。</w:t>
      </w:r>
    </w:p>
    <w:p w14:paraId="724FED56">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注：每次付款的同时提供正式增值税专用发票。</w:t>
      </w:r>
    </w:p>
    <w:p w14:paraId="0775AF28">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（1）招标人有权根据工程进度的要求调整工程付款的时间和比例，承包人不得因此而提出异议。</w:t>
      </w:r>
    </w:p>
    <w:p w14:paraId="13A659D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（2）所有工程支付款必须由监理签字</w:t>
      </w:r>
      <w:r>
        <w:rPr>
          <w:rFonts w:hint="eastAsia" w:ascii="宋体" w:hAnsi="宋体" w:eastAsia="宋体" w:cs="宋体"/>
          <w:color w:val="000000" w:themeColor="text1"/>
          <w:sz w:val="21"/>
          <w:szCs w:val="21"/>
          <w:lang w:val="zh-CN" w:eastAsia="zh-CN"/>
          <w14:textFill>
            <w14:solidFill>
              <w14:schemeClr w14:val="tx1"/>
            </w14:solidFill>
          </w14:textFill>
        </w:rPr>
        <w:t>确认有效工作量，签发付款单后，发包人才予办理工程款支付的手续；所有合同外增加的工作内容和工程变更调整的价款，一律不得作为进度款支付的计算基数，待竣工结算审计后与工程款同期结算。  </w:t>
      </w:r>
    </w:p>
    <w:p w14:paraId="772C5496">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（3）发包人支付工程预付款、工程进度款的同时，承包人必须提供相应的完税凭证。</w:t>
      </w:r>
    </w:p>
    <w:p w14:paraId="7EC1458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（4）承包人应对合同中明确的付款账号作为本项目的专款专用账号，并对此进行承诺。</w:t>
      </w:r>
    </w:p>
    <w:p w14:paraId="6DE7F24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发包人支付给承包人的工程预付款及进度款，承包人必须专款专用，保证工程所需的一切材料，按时支付劳务费，确保工程按期竣工交付。承包人如将发包人的付款用于本工程以外的用途，应当按照挪用款项的20%向发包人支付违约金。</w:t>
      </w:r>
    </w:p>
    <w:p w14:paraId="094497CA">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五、</w:t>
      </w:r>
      <w:r>
        <w:rPr>
          <w:rFonts w:hint="eastAsia" w:ascii="宋体" w:hAnsi="宋体" w:eastAsia="宋体" w:cs="宋体"/>
          <w:b/>
          <w:bCs/>
          <w:color w:val="000000" w:themeColor="text1"/>
          <w:sz w:val="21"/>
          <w:szCs w:val="21"/>
          <w:lang w:val="zh-CN" w:eastAsia="zh-CN"/>
          <w14:textFill>
            <w14:solidFill>
              <w14:schemeClr w14:val="tx1"/>
            </w14:solidFill>
          </w14:textFill>
        </w:rPr>
        <w:t>其他</w:t>
      </w:r>
    </w:p>
    <w:p w14:paraId="4598191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特别说明：本章所有内容均为实质性要求，不接受负偏离（负偏离作无效投标处理）。</w:t>
      </w:r>
    </w:p>
    <w:p w14:paraId="6700F76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p>
    <w:p w14:paraId="60E5FE7E">
      <w:pPr>
        <w:widowControl/>
        <w:spacing w:line="360" w:lineRule="auto"/>
        <w:rPr>
          <w:rFonts w:ascii="宋体" w:hAnsi="宋体" w:eastAsia="宋体"/>
          <w:color w:val="000000" w:themeColor="text1"/>
          <w:sz w:val="21"/>
          <w:szCs w:val="21"/>
          <w:lang w:eastAsia="zh-CN"/>
          <w14:textFill>
            <w14:solidFill>
              <w14:schemeClr w14:val="tx1"/>
            </w14:solidFill>
          </w14:textFill>
        </w:rPr>
      </w:pPr>
    </w:p>
    <w:p w14:paraId="194FAFAD">
      <w:pPr>
        <w:pStyle w:val="71"/>
        <w:rPr>
          <w:rFonts w:eastAsiaTheme="minorEastAsia"/>
          <w:color w:val="000000" w:themeColor="text1"/>
          <w:lang w:eastAsia="zh-CN"/>
          <w14:textFill>
            <w14:solidFill>
              <w14:schemeClr w14:val="tx1"/>
            </w14:solidFill>
          </w14:textFill>
        </w:rPr>
      </w:pPr>
    </w:p>
    <w:p w14:paraId="7CBD2571">
      <w:pPr>
        <w:pStyle w:val="71"/>
        <w:rPr>
          <w:rFonts w:eastAsiaTheme="minorEastAsia"/>
          <w:color w:val="000000" w:themeColor="text1"/>
          <w:lang w:eastAsia="zh-CN"/>
          <w14:textFill>
            <w14:solidFill>
              <w14:schemeClr w14:val="tx1"/>
            </w14:solidFill>
          </w14:textFill>
        </w:rPr>
      </w:pPr>
    </w:p>
    <w:p w14:paraId="7C46ABDE">
      <w:pPr>
        <w:pStyle w:val="71"/>
        <w:rPr>
          <w:rFonts w:eastAsiaTheme="minorEastAsia"/>
          <w:color w:val="000000" w:themeColor="text1"/>
          <w:lang w:eastAsia="zh-CN"/>
          <w14:textFill>
            <w14:solidFill>
              <w14:schemeClr w14:val="tx1"/>
            </w14:solidFill>
          </w14:textFill>
        </w:rPr>
      </w:pPr>
    </w:p>
    <w:p w14:paraId="41321974">
      <w:pPr>
        <w:pStyle w:val="71"/>
        <w:rPr>
          <w:rFonts w:eastAsiaTheme="minorEastAsia"/>
          <w:color w:val="000000" w:themeColor="text1"/>
          <w:lang w:eastAsia="zh-CN"/>
          <w14:textFill>
            <w14:solidFill>
              <w14:schemeClr w14:val="tx1"/>
            </w14:solidFill>
          </w14:textFill>
        </w:rPr>
      </w:pPr>
    </w:p>
    <w:p w14:paraId="40F56DD8">
      <w:pPr>
        <w:pStyle w:val="71"/>
        <w:rPr>
          <w:rFonts w:eastAsiaTheme="minorEastAsia"/>
          <w:color w:val="000000" w:themeColor="text1"/>
          <w:lang w:eastAsia="zh-CN"/>
          <w14:textFill>
            <w14:solidFill>
              <w14:schemeClr w14:val="tx1"/>
            </w14:solidFill>
          </w14:textFill>
        </w:rPr>
      </w:pPr>
    </w:p>
    <w:p w14:paraId="05075EE6">
      <w:pPr>
        <w:pStyle w:val="71"/>
        <w:rPr>
          <w:rFonts w:eastAsiaTheme="minorEastAsia"/>
          <w:color w:val="000000" w:themeColor="text1"/>
          <w:lang w:eastAsia="zh-CN"/>
          <w14:textFill>
            <w14:solidFill>
              <w14:schemeClr w14:val="tx1"/>
            </w14:solidFill>
          </w14:textFill>
        </w:rPr>
      </w:pPr>
    </w:p>
    <w:p w14:paraId="614B92EA">
      <w:pPr>
        <w:pStyle w:val="71"/>
        <w:rPr>
          <w:rFonts w:eastAsiaTheme="minorEastAsia"/>
          <w:color w:val="000000" w:themeColor="text1"/>
          <w:lang w:eastAsia="zh-CN"/>
          <w14:textFill>
            <w14:solidFill>
              <w14:schemeClr w14:val="tx1"/>
            </w14:solidFill>
          </w14:textFill>
        </w:rPr>
      </w:pPr>
    </w:p>
    <w:p w14:paraId="3C4E55B2">
      <w:pPr>
        <w:pStyle w:val="71"/>
        <w:rPr>
          <w:rFonts w:eastAsiaTheme="minorEastAsia"/>
          <w:color w:val="000000" w:themeColor="text1"/>
          <w:lang w:eastAsia="zh-CN"/>
          <w14:textFill>
            <w14:solidFill>
              <w14:schemeClr w14:val="tx1"/>
            </w14:solidFill>
          </w14:textFill>
        </w:rPr>
      </w:pPr>
    </w:p>
    <w:p w14:paraId="009B6BF0">
      <w:pPr>
        <w:pStyle w:val="71"/>
        <w:rPr>
          <w:rFonts w:eastAsiaTheme="minorEastAsia"/>
          <w:color w:val="000000" w:themeColor="text1"/>
          <w:lang w:eastAsia="zh-CN"/>
          <w14:textFill>
            <w14:solidFill>
              <w14:schemeClr w14:val="tx1"/>
            </w14:solidFill>
          </w14:textFill>
        </w:rPr>
      </w:pPr>
    </w:p>
    <w:p w14:paraId="329EDF56">
      <w:pPr>
        <w:pStyle w:val="71"/>
        <w:rPr>
          <w:rFonts w:eastAsiaTheme="minorEastAsia"/>
          <w:color w:val="000000" w:themeColor="text1"/>
          <w:lang w:eastAsia="zh-CN"/>
          <w14:textFill>
            <w14:solidFill>
              <w14:schemeClr w14:val="tx1"/>
            </w14:solidFill>
          </w14:textFill>
        </w:rPr>
      </w:pPr>
    </w:p>
    <w:p w14:paraId="2AB80252">
      <w:pPr>
        <w:pStyle w:val="71"/>
        <w:rPr>
          <w:rFonts w:eastAsiaTheme="minorEastAsia"/>
          <w:color w:val="000000" w:themeColor="text1"/>
          <w:lang w:eastAsia="zh-CN"/>
          <w14:textFill>
            <w14:solidFill>
              <w14:schemeClr w14:val="tx1"/>
            </w14:solidFill>
          </w14:textFill>
        </w:rPr>
      </w:pPr>
    </w:p>
    <w:p w14:paraId="3D4650FF">
      <w:pPr>
        <w:pStyle w:val="71"/>
        <w:rPr>
          <w:rFonts w:eastAsiaTheme="minorEastAsia"/>
          <w:color w:val="000000" w:themeColor="text1"/>
          <w:lang w:eastAsia="zh-CN"/>
          <w14:textFill>
            <w14:solidFill>
              <w14:schemeClr w14:val="tx1"/>
            </w14:solidFill>
          </w14:textFill>
        </w:rPr>
      </w:pPr>
    </w:p>
    <w:p w14:paraId="35BE1960">
      <w:pPr>
        <w:pStyle w:val="71"/>
        <w:rPr>
          <w:rFonts w:eastAsiaTheme="minorEastAsia"/>
          <w:color w:val="000000" w:themeColor="text1"/>
          <w:lang w:eastAsia="zh-CN"/>
          <w14:textFill>
            <w14:solidFill>
              <w14:schemeClr w14:val="tx1"/>
            </w14:solidFill>
          </w14:textFill>
        </w:rPr>
      </w:pPr>
    </w:p>
    <w:p w14:paraId="0DA452B9">
      <w:pPr>
        <w:pStyle w:val="71"/>
        <w:rPr>
          <w:rFonts w:eastAsiaTheme="minorEastAsia"/>
          <w:color w:val="000000" w:themeColor="text1"/>
          <w:lang w:eastAsia="zh-CN"/>
          <w14:textFill>
            <w14:solidFill>
              <w14:schemeClr w14:val="tx1"/>
            </w14:solidFill>
          </w14:textFill>
        </w:rPr>
      </w:pPr>
    </w:p>
    <w:p w14:paraId="58CA574A">
      <w:pPr>
        <w:pStyle w:val="71"/>
        <w:rPr>
          <w:rFonts w:eastAsiaTheme="minorEastAsia"/>
          <w:color w:val="000000" w:themeColor="text1"/>
          <w:lang w:eastAsia="zh-CN"/>
          <w14:textFill>
            <w14:solidFill>
              <w14:schemeClr w14:val="tx1"/>
            </w14:solidFill>
          </w14:textFill>
        </w:rPr>
      </w:pPr>
    </w:p>
    <w:p w14:paraId="21A52FC1">
      <w:pPr>
        <w:pStyle w:val="71"/>
        <w:rPr>
          <w:rFonts w:eastAsiaTheme="minorEastAsia"/>
          <w:color w:val="000000" w:themeColor="text1"/>
          <w:lang w:eastAsia="zh-CN"/>
          <w14:textFill>
            <w14:solidFill>
              <w14:schemeClr w14:val="tx1"/>
            </w14:solidFill>
          </w14:textFill>
        </w:rPr>
      </w:pPr>
    </w:p>
    <w:p w14:paraId="67A21630">
      <w:pPr>
        <w:spacing w:line="360" w:lineRule="auto"/>
        <w:jc w:val="center"/>
        <w:outlineLvl w:val="0"/>
        <w:rPr>
          <w:rFonts w:hint="eastAsia" w:ascii="宋体" w:hAnsi="宋体" w:eastAsia="宋体" w:cs="宋体"/>
          <w:b/>
          <w:color w:val="000000" w:themeColor="text1"/>
          <w:sz w:val="28"/>
          <w:szCs w:val="28"/>
          <w:lang w:val="zh-CN" w:eastAsia="zh-CN"/>
          <w14:textFill>
            <w14:solidFill>
              <w14:schemeClr w14:val="tx1"/>
            </w14:solidFill>
          </w14:textFill>
        </w:rPr>
      </w:pPr>
      <w:bookmarkStart w:id="128" w:name="_Toc184199384"/>
      <w:r>
        <w:rPr>
          <w:rFonts w:hint="eastAsia" w:ascii="宋体" w:hAnsi="宋体" w:eastAsia="宋体" w:cs="宋体"/>
          <w:b/>
          <w:color w:val="000000" w:themeColor="text1"/>
          <w:sz w:val="28"/>
          <w:szCs w:val="28"/>
          <w:lang w:val="zh-CN" w:eastAsia="zh-CN"/>
          <w14:textFill>
            <w14:solidFill>
              <w14:schemeClr w14:val="tx1"/>
            </w14:solidFill>
          </w14:textFill>
        </w:rPr>
        <w:t>第五章</w:t>
      </w:r>
      <w:r>
        <w:rPr>
          <w:rFonts w:hint="eastAsia" w:ascii="宋体" w:hAnsi="宋体" w:eastAsia="宋体" w:cs="宋体"/>
          <w:b/>
          <w:color w:val="000000" w:themeColor="text1"/>
          <w:sz w:val="28"/>
          <w:szCs w:val="28"/>
          <w:lang w:eastAsia="zh-CN"/>
          <w14:textFill>
            <w14:solidFill>
              <w14:schemeClr w14:val="tx1"/>
            </w14:solidFill>
          </w14:textFill>
        </w:rPr>
        <w:t xml:space="preserve"> </w:t>
      </w:r>
      <w:r>
        <w:rPr>
          <w:rFonts w:hint="eastAsia" w:ascii="宋体" w:hAnsi="宋体" w:eastAsia="宋体" w:cs="宋体"/>
          <w:b/>
          <w:color w:val="000000" w:themeColor="text1"/>
          <w:sz w:val="28"/>
          <w:szCs w:val="28"/>
          <w:lang w:val="zh-CN" w:eastAsia="zh-CN"/>
          <w14:textFill>
            <w14:solidFill>
              <w14:schemeClr w14:val="tx1"/>
            </w14:solidFill>
          </w14:textFill>
        </w:rPr>
        <w:t>合同草案条款及格式</w:t>
      </w:r>
      <w:bookmarkEnd w:id="128"/>
    </w:p>
    <w:p w14:paraId="729967D5">
      <w:pPr>
        <w:pStyle w:val="2"/>
        <w:rPr>
          <w:rFonts w:hint="eastAsia"/>
          <w:lang w:val="zh-CN" w:eastAsia="zh-CN"/>
        </w:rPr>
      </w:pPr>
    </w:p>
    <w:p w14:paraId="6363691B">
      <w:pPr>
        <w:pStyle w:val="2"/>
        <w:rPr>
          <w:rFonts w:hint="eastAsia"/>
          <w:lang w:val="zh-CN" w:eastAsia="zh-CN"/>
        </w:rPr>
      </w:pPr>
    </w:p>
    <w:p w14:paraId="34869482">
      <w:pPr>
        <w:pStyle w:val="29"/>
        <w:ind w:left="440"/>
        <w:jc w:val="center"/>
        <w:rPr>
          <w:rFonts w:ascii="黑体" w:hAnsi="宋体" w:eastAsia="黑体"/>
          <w:b/>
          <w:bCs/>
          <w:color w:val="000000" w:themeColor="text1"/>
          <w:sz w:val="44"/>
          <w:szCs w:val="44"/>
          <w:lang w:eastAsia="zh-CN"/>
          <w14:textFill>
            <w14:solidFill>
              <w14:schemeClr w14:val="tx1"/>
            </w14:solidFill>
          </w14:textFill>
        </w:rPr>
      </w:pPr>
      <w:r>
        <w:rPr>
          <w:rFonts w:hint="eastAsia" w:ascii="黑体" w:hAnsi="宋体" w:eastAsia="黑体"/>
          <w:b/>
          <w:bCs/>
          <w:color w:val="000000" w:themeColor="text1"/>
          <w:sz w:val="44"/>
          <w:szCs w:val="44"/>
          <w:lang w:eastAsia="zh-CN"/>
          <w14:textFill>
            <w14:solidFill>
              <w14:schemeClr w14:val="tx1"/>
            </w14:solidFill>
          </w14:textFill>
        </w:rPr>
        <w:t>南京市政府采购合同</w:t>
      </w:r>
    </w:p>
    <w:p w14:paraId="15341F5C">
      <w:pPr>
        <w:rPr>
          <w:rFonts w:ascii="宋体" w:hAnsi="宋体"/>
          <w:color w:val="000000" w:themeColor="text1"/>
          <w:lang w:eastAsia="zh-CN"/>
          <w14:textFill>
            <w14:solidFill>
              <w14:schemeClr w14:val="tx1"/>
            </w14:solidFill>
          </w14:textFill>
        </w:rPr>
      </w:pPr>
    </w:p>
    <w:p w14:paraId="254A1E2F">
      <w:pPr>
        <w:rPr>
          <w:rFonts w:ascii="宋体" w:hAnsi="宋体"/>
          <w:color w:val="000000" w:themeColor="text1"/>
          <w:lang w:eastAsia="zh-CN"/>
          <w14:textFill>
            <w14:solidFill>
              <w14:schemeClr w14:val="tx1"/>
            </w14:solidFill>
          </w14:textFill>
        </w:rPr>
      </w:pPr>
    </w:p>
    <w:p w14:paraId="7F8BB7FA">
      <w:pPr>
        <w:rPr>
          <w:rFonts w:ascii="宋体" w:hAnsi="宋体"/>
          <w:color w:val="000000" w:themeColor="text1"/>
          <w:lang w:eastAsia="zh-CN"/>
          <w14:textFill>
            <w14:solidFill>
              <w14:schemeClr w14:val="tx1"/>
            </w14:solidFill>
          </w14:textFill>
        </w:rPr>
      </w:pPr>
    </w:p>
    <w:p w14:paraId="62339B22">
      <w:pPr>
        <w:rPr>
          <w:rFonts w:ascii="宋体" w:hAnsi="宋体"/>
          <w:b/>
          <w:color w:val="000000" w:themeColor="text1"/>
          <w:lang w:eastAsia="zh-CN"/>
          <w14:textFill>
            <w14:solidFill>
              <w14:schemeClr w14:val="tx1"/>
            </w14:solidFill>
          </w14:textFill>
        </w:rPr>
      </w:pPr>
    </w:p>
    <w:p w14:paraId="4FD0FC59">
      <w:pPr>
        <w:rPr>
          <w:rFonts w:ascii="宋体" w:hAnsi="宋体"/>
          <w:b/>
          <w:color w:val="000000" w:themeColor="text1"/>
          <w:lang w:eastAsia="zh-CN"/>
          <w14:textFill>
            <w14:solidFill>
              <w14:schemeClr w14:val="tx1"/>
            </w14:solidFill>
          </w14:textFill>
        </w:rPr>
      </w:pPr>
    </w:p>
    <w:p w14:paraId="315DC259">
      <w:pPr>
        <w:rPr>
          <w:rFonts w:ascii="宋体" w:hAnsi="宋体"/>
          <w:b/>
          <w:color w:val="000000" w:themeColor="text1"/>
          <w:lang w:eastAsia="zh-CN"/>
          <w14:textFill>
            <w14:solidFill>
              <w14:schemeClr w14:val="tx1"/>
            </w14:solidFill>
          </w14:textFill>
        </w:rPr>
      </w:pPr>
    </w:p>
    <w:p w14:paraId="219AE4EB">
      <w:pPr>
        <w:rPr>
          <w:rFonts w:ascii="宋体" w:hAnsi="宋体"/>
          <w:b/>
          <w:color w:val="000000" w:themeColor="text1"/>
          <w:lang w:eastAsia="zh-CN"/>
          <w14:textFill>
            <w14:solidFill>
              <w14:schemeClr w14:val="tx1"/>
            </w14:solidFill>
          </w14:textFill>
        </w:rPr>
      </w:pPr>
    </w:p>
    <w:p w14:paraId="446D68BC">
      <w:pPr>
        <w:rPr>
          <w:rFonts w:ascii="宋体" w:hAnsi="宋体"/>
          <w:b/>
          <w:color w:val="000000" w:themeColor="text1"/>
          <w:lang w:eastAsia="zh-CN"/>
          <w14:textFill>
            <w14:solidFill>
              <w14:schemeClr w14:val="tx1"/>
            </w14:solidFill>
          </w14:textFill>
        </w:rPr>
      </w:pPr>
    </w:p>
    <w:p w14:paraId="6D532225">
      <w:pPr>
        <w:rPr>
          <w:rFonts w:ascii="宋体" w:hAnsi="宋体"/>
          <w:b/>
          <w:color w:val="000000" w:themeColor="text1"/>
          <w:lang w:eastAsia="zh-CN"/>
          <w14:textFill>
            <w14:solidFill>
              <w14:schemeClr w14:val="tx1"/>
            </w14:solidFill>
          </w14:textFill>
        </w:rPr>
      </w:pPr>
    </w:p>
    <w:p w14:paraId="4BBFD4F2">
      <w:pPr>
        <w:rPr>
          <w:rFonts w:ascii="宋体" w:hAnsi="宋体"/>
          <w:b/>
          <w:color w:val="000000" w:themeColor="text1"/>
          <w:lang w:eastAsia="zh-CN"/>
          <w14:textFill>
            <w14:solidFill>
              <w14:schemeClr w14:val="tx1"/>
            </w14:solidFill>
          </w14:textFill>
        </w:rPr>
      </w:pPr>
    </w:p>
    <w:p w14:paraId="6DD30C90">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项目编号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361427">
      <w:pPr>
        <w:ind w:left="2502" w:hanging="2493" w:hangingChars="890"/>
        <w:rPr>
          <w:rFonts w:ascii="宋体" w:hAnsi="宋体"/>
          <w:b/>
          <w:color w:val="000000" w:themeColor="text1"/>
          <w:sz w:val="24"/>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 xml:space="preserve">       项目名称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ascii="宋体" w:hAnsi="宋体"/>
          <w:b/>
          <w:color w:val="000000" w:themeColor="text1"/>
          <w:sz w:val="28"/>
          <w:szCs w:val="28"/>
          <w:u w:val="single"/>
          <w:lang w:eastAsia="zh-CN"/>
          <w14:textFill>
            <w14:solidFill>
              <w14:schemeClr w14:val="tx1"/>
            </w14:solidFill>
          </w14:textFill>
        </w:rPr>
        <w:t xml:space="preserve"> </w:t>
      </w:r>
    </w:p>
    <w:p w14:paraId="37D60073">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采购单位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   </w:t>
      </w:r>
    </w:p>
    <w:p w14:paraId="792E9BBC">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供货单位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7D10E7">
      <w:pPr>
        <w:ind w:firstLine="964" w:firstLineChars="344"/>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签订日期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年   月    日          </w:t>
      </w:r>
    </w:p>
    <w:p w14:paraId="4C3B3B43">
      <w:pPr>
        <w:ind w:firstLine="600"/>
        <w:rPr>
          <w:rFonts w:ascii="仿宋_GB2312" w:eastAsia="仿宋_GB2312"/>
          <w:sz w:val="30"/>
          <w:szCs w:val="30"/>
        </w:rPr>
        <w:sectPr>
          <w:footerReference r:id="rId6" w:type="default"/>
          <w:pgSz w:w="11906" w:h="16838"/>
          <w:pgMar w:top="1418" w:right="1555" w:bottom="1418" w:left="1531" w:header="851" w:footer="992" w:gutter="0"/>
          <w:pgNumType w:start="0"/>
          <w:cols w:space="1701" w:num="1"/>
          <w:titlePg/>
          <w:docGrid w:linePitch="360" w:charSpace="0"/>
        </w:sectPr>
      </w:pPr>
      <w:r>
        <w:rPr>
          <w:rFonts w:ascii="Times New Roman" w:hAnsi="Times New Roman"/>
          <w:b w:val="0"/>
          <w:color w:val="000000"/>
        </w:rPr>
        <w:br w:type="page" w:clear="all"/>
      </w:r>
      <w:bookmarkStart w:id="129" w:name="_Toc296503025"/>
      <w:bookmarkStart w:id="130" w:name="_Toc296890982"/>
    </w:p>
    <w:p w14:paraId="54276AC6">
      <w:pPr>
        <w:bidi w:val="0"/>
      </w:pPr>
      <w:bookmarkStart w:id="131" w:name="_Toc351203480"/>
    </w:p>
    <w:p w14:paraId="2E393C9A">
      <w:pPr>
        <w:pStyle w:val="485"/>
        <w:tabs>
          <w:tab w:val="left" w:pos="1215"/>
          <w:tab w:val="center" w:pos="4410"/>
        </w:tabs>
        <w:jc w:val="center"/>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sz w:val="21"/>
          <w:szCs w:val="21"/>
        </w:rPr>
        <w:t>第一部分 合同协议书</w:t>
      </w:r>
      <w:bookmarkEnd w:id="129"/>
      <w:bookmarkEnd w:id="130"/>
      <w:bookmarkEnd w:id="131"/>
    </w:p>
    <w:p w14:paraId="70941E55">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发包人（全称）：</w:t>
      </w:r>
      <w:r>
        <w:rPr>
          <w:rFonts w:hint="eastAsia" w:asciiTheme="minorEastAsia" w:hAnsiTheme="minorEastAsia" w:eastAsiaTheme="minorEastAsia" w:cstheme="minorEastAsia"/>
          <w:b/>
          <w:color w:val="000000"/>
          <w:sz w:val="21"/>
          <w:szCs w:val="21"/>
          <w:u w:val="single"/>
        </w:rPr>
        <w:t xml:space="preserve">                      </w:t>
      </w:r>
    </w:p>
    <w:p w14:paraId="10E17036">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承包人（全称）：</w:t>
      </w:r>
      <w:r>
        <w:rPr>
          <w:rFonts w:hint="eastAsia" w:asciiTheme="minorEastAsia" w:hAnsiTheme="minorEastAsia" w:eastAsiaTheme="minorEastAsia" w:cstheme="minorEastAsia"/>
          <w:b/>
          <w:color w:val="000000"/>
          <w:sz w:val="21"/>
          <w:szCs w:val="21"/>
          <w:u w:val="single"/>
        </w:rPr>
        <w:t xml:space="preserve">                      </w:t>
      </w:r>
    </w:p>
    <w:p w14:paraId="523EAA1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根据《中华人民共和国民法典》、《中华人民共和国建筑法》、《中华人民共和国政府采购法》及有关法律规定，遵循平等、自愿、公平和诚实信用的原则，双方就</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工程施工及有关事项协商一致，共同达成如下协议：</w:t>
      </w:r>
    </w:p>
    <w:p w14:paraId="3348884A">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2" w:name="_Toc351203481"/>
      <w:r>
        <w:rPr>
          <w:rFonts w:hint="eastAsia" w:asciiTheme="minorEastAsia" w:hAnsiTheme="minorEastAsia" w:eastAsiaTheme="minorEastAsia" w:cstheme="minorEastAsia"/>
          <w:b w:val="0"/>
          <w:color w:val="000000"/>
          <w:sz w:val="21"/>
          <w:szCs w:val="21"/>
        </w:rPr>
        <w:t>一、工程概况</w:t>
      </w:r>
      <w:bookmarkEnd w:id="132"/>
    </w:p>
    <w:p w14:paraId="6A1005D3">
      <w:pPr>
        <w:spacing w:line="360" w:lineRule="auto"/>
        <w:ind w:firstLine="588"/>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1.工程名称</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w:t>
      </w:r>
    </w:p>
    <w:p w14:paraId="094349E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2.工程地点：</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96B9791">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3.工程立项批准文号：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ACDA56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4.资金来源：</w:t>
      </w:r>
      <w:r>
        <w:rPr>
          <w:rFonts w:hint="eastAsia" w:asciiTheme="minorEastAsia" w:hAnsiTheme="minorEastAsia" w:eastAsiaTheme="minorEastAsia" w:cstheme="minorEastAsia"/>
          <w:bCs/>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590324D8">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5.工程内容：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DEED05F">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群体工程应附《承包人承揽工程项目一览表》（附件1）。</w:t>
      </w:r>
    </w:p>
    <w:p w14:paraId="0F25B605">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6.工程承包范围：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CA26CAF">
      <w:pPr>
        <w:pStyle w:val="486"/>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 xml:space="preserve">   </w:t>
      </w:r>
      <w:bookmarkStart w:id="133" w:name="_Toc351203482"/>
      <w:r>
        <w:rPr>
          <w:rFonts w:hint="eastAsia" w:asciiTheme="minorEastAsia" w:hAnsiTheme="minorEastAsia" w:eastAsiaTheme="minorEastAsia" w:cstheme="minorEastAsia"/>
          <w:b w:val="0"/>
          <w:color w:val="000000"/>
          <w:sz w:val="21"/>
          <w:szCs w:val="21"/>
        </w:rPr>
        <w:t>二、合同工期</w:t>
      </w:r>
      <w:bookmarkEnd w:id="133"/>
    </w:p>
    <w:p w14:paraId="3D43A3D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计划开工日期：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6AD95B7F">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计划竣工日期：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7B72CA5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工期总日历天数：</w:t>
      </w:r>
      <w:r>
        <w:rPr>
          <w:rFonts w:hint="eastAsia" w:asciiTheme="minorEastAsia" w:hAnsiTheme="minorEastAsia" w:eastAsiaTheme="minorEastAsia" w:cstheme="minorEastAsia"/>
          <w:color w:val="000000"/>
          <w:sz w:val="21"/>
          <w:szCs w:val="21"/>
          <w:u w:val="single"/>
          <w:lang w:val="en-US" w:eastAsia="zh-CN"/>
        </w:rPr>
        <w:t>45</w:t>
      </w:r>
      <w:r>
        <w:rPr>
          <w:rFonts w:hint="eastAsia" w:asciiTheme="minorEastAsia" w:hAnsiTheme="minorEastAsia" w:eastAsiaTheme="minorEastAsia" w:cstheme="minorEastAsia"/>
          <w:color w:val="000000"/>
          <w:sz w:val="21"/>
          <w:szCs w:val="21"/>
        </w:rPr>
        <w:t>天</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工期总日历天数与根据前述计划开竣工日期计算的工期天数不一致的，以工期总日历天数为准。</w:t>
      </w:r>
    </w:p>
    <w:p w14:paraId="14BCAFF1">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34" w:name="_Toc351203483"/>
      <w:r>
        <w:rPr>
          <w:rFonts w:hint="eastAsia" w:asciiTheme="minorEastAsia" w:hAnsiTheme="minorEastAsia" w:eastAsiaTheme="minorEastAsia" w:cstheme="minorEastAsia"/>
          <w:b w:val="0"/>
          <w:color w:val="000000"/>
          <w:sz w:val="21"/>
          <w:szCs w:val="21"/>
        </w:rPr>
        <w:t>三、质量标准</w:t>
      </w:r>
      <w:bookmarkEnd w:id="134"/>
    </w:p>
    <w:p w14:paraId="766A72C0">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工程质量符合</w:t>
      </w:r>
      <w:r>
        <w:rPr>
          <w:rFonts w:hint="eastAsia" w:asciiTheme="minorEastAsia" w:hAnsiTheme="minorEastAsia" w:eastAsiaTheme="minorEastAsia" w:cstheme="minorEastAsia"/>
          <w:color w:val="000000"/>
          <w:sz w:val="21"/>
          <w:szCs w:val="21"/>
          <w:u w:val="single"/>
        </w:rPr>
        <w:t>国家质量验收</w:t>
      </w:r>
      <w:r>
        <w:rPr>
          <w:rFonts w:hint="eastAsia" w:asciiTheme="minorEastAsia" w:hAnsiTheme="minorEastAsia" w:eastAsiaTheme="minorEastAsia" w:cstheme="minorEastAsia"/>
          <w:color w:val="000000"/>
          <w:sz w:val="21"/>
          <w:szCs w:val="21"/>
        </w:rPr>
        <w:t>标准。</w:t>
      </w:r>
    </w:p>
    <w:p w14:paraId="200C63D4">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5" w:name="_Toc351203484"/>
      <w:r>
        <w:rPr>
          <w:rFonts w:hint="eastAsia" w:asciiTheme="minorEastAsia" w:hAnsiTheme="minorEastAsia" w:eastAsiaTheme="minorEastAsia" w:cstheme="minorEastAsia"/>
          <w:b w:val="0"/>
          <w:color w:val="000000"/>
          <w:sz w:val="21"/>
          <w:szCs w:val="21"/>
        </w:rPr>
        <w:t>四、签约合同价与合同价格形式</w:t>
      </w:r>
      <w:bookmarkEnd w:id="135"/>
      <w:r>
        <w:rPr>
          <w:rFonts w:hint="eastAsia" w:asciiTheme="minorEastAsia" w:hAnsiTheme="minorEastAsia" w:eastAsiaTheme="minorEastAsia" w:cstheme="minorEastAsia"/>
          <w:b w:val="0"/>
          <w:color w:val="000000"/>
          <w:sz w:val="21"/>
          <w:szCs w:val="21"/>
        </w:rPr>
        <w:tab/>
      </w:r>
    </w:p>
    <w:p w14:paraId="368D02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1.签约合同价为：</w:t>
      </w:r>
    </w:p>
    <w:p w14:paraId="32D8CC2A">
      <w:pPr>
        <w:spacing w:line="360" w:lineRule="auto"/>
        <w:ind w:firstLine="7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759B35A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w:t>
      </w:r>
    </w:p>
    <w:p w14:paraId="2696EC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（1）安全文明施工费：</w:t>
      </w:r>
    </w:p>
    <w:p w14:paraId="03573664">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6E5D58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（2）材料和工程设备暂估价金额：</w:t>
      </w:r>
    </w:p>
    <w:p w14:paraId="292F26A3">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C5057B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（3）专业工程暂估价金额：</w:t>
      </w:r>
    </w:p>
    <w:p w14:paraId="186D1FC1">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7977B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（4）暂列金额：</w:t>
      </w:r>
    </w:p>
    <w:p w14:paraId="6F03CBDB">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bookmarkStart w:id="136" w:name="OLE_LINK11"/>
      <w:bookmarkStart w:id="137" w:name="OLE_LINK12"/>
      <w:r>
        <w:rPr>
          <w:rFonts w:hint="eastAsia" w:asciiTheme="minorEastAsia" w:hAnsiTheme="minorEastAsia" w:eastAsiaTheme="minorEastAsia" w:cstheme="minorEastAsia"/>
          <w:color w:val="000000"/>
          <w:sz w:val="21"/>
          <w:szCs w:val="21"/>
          <w:u w:val="single"/>
        </w:rPr>
        <w:t xml:space="preserve">              </w:t>
      </w:r>
      <w:bookmarkEnd w:id="136"/>
      <w:bookmarkEnd w:id="137"/>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BB4C3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2.合同价格形式：</w:t>
      </w:r>
      <w:r>
        <w:rPr>
          <w:rFonts w:hint="eastAsia" w:asciiTheme="minorEastAsia" w:hAnsiTheme="minorEastAsia" w:eastAsiaTheme="minorEastAsia" w:cstheme="minorEastAsia"/>
          <w:color w:val="000000"/>
          <w:sz w:val="21"/>
          <w:szCs w:val="21"/>
          <w:u w:val="single"/>
        </w:rPr>
        <w:t>固定单价法</w:t>
      </w:r>
      <w:r>
        <w:rPr>
          <w:rFonts w:hint="eastAsia" w:asciiTheme="minorEastAsia" w:hAnsiTheme="minorEastAsia" w:eastAsiaTheme="minorEastAsia" w:cstheme="minorEastAsia"/>
          <w:color w:val="000000"/>
          <w:sz w:val="21"/>
          <w:szCs w:val="21"/>
        </w:rPr>
        <w:t>。</w:t>
      </w:r>
    </w:p>
    <w:p w14:paraId="56807A26">
      <w:pPr>
        <w:pStyle w:val="486"/>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8" w:name="_Toc351203485"/>
      <w:r>
        <w:rPr>
          <w:rFonts w:hint="eastAsia" w:asciiTheme="minorEastAsia" w:hAnsiTheme="minorEastAsia" w:eastAsiaTheme="minorEastAsia" w:cstheme="minorEastAsia"/>
          <w:b w:val="0"/>
          <w:color w:val="000000"/>
          <w:sz w:val="21"/>
          <w:szCs w:val="21"/>
        </w:rPr>
        <w:t>五、</w:t>
      </w:r>
      <w:bookmarkEnd w:id="138"/>
      <w:r>
        <w:rPr>
          <w:rFonts w:hint="eastAsia" w:asciiTheme="minorEastAsia" w:hAnsiTheme="minorEastAsia" w:eastAsiaTheme="minorEastAsia" w:cstheme="minorEastAsia"/>
          <w:b w:val="0"/>
          <w:color w:val="000000"/>
          <w:sz w:val="21"/>
          <w:szCs w:val="21"/>
        </w:rPr>
        <w:t>项目经理</w:t>
      </w:r>
    </w:p>
    <w:p w14:paraId="69D5F7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承包人项目经理：</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F58D8">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9" w:name="_Toc351203486"/>
      <w:r>
        <w:rPr>
          <w:rFonts w:hint="eastAsia" w:asciiTheme="minorEastAsia" w:hAnsiTheme="minorEastAsia" w:eastAsiaTheme="minorEastAsia" w:cstheme="minorEastAsia"/>
          <w:b w:val="0"/>
          <w:color w:val="000000"/>
          <w:sz w:val="21"/>
          <w:szCs w:val="21"/>
        </w:rPr>
        <w:t>六、合同文件构成</w:t>
      </w:r>
      <w:bookmarkEnd w:id="139"/>
    </w:p>
    <w:p w14:paraId="6322606E">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本协议书与下列文件一起构成合同文件：</w:t>
      </w:r>
    </w:p>
    <w:p w14:paraId="6349871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（1）中标通知书（如果有）；</w:t>
      </w:r>
    </w:p>
    <w:p w14:paraId="424769F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（2）投标函及其附录（如果有）； </w:t>
      </w:r>
    </w:p>
    <w:p w14:paraId="270B18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（3）专用合同条款及其附件；</w:t>
      </w:r>
    </w:p>
    <w:p w14:paraId="1FB94A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（4）通用合同条款；</w:t>
      </w:r>
    </w:p>
    <w:p w14:paraId="6122B02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（5）技术标准和要求；</w:t>
      </w:r>
    </w:p>
    <w:p w14:paraId="46849FF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（6）图纸；</w:t>
      </w:r>
    </w:p>
    <w:p w14:paraId="3ADE623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（7）已标价工程量清单或预算书；</w:t>
      </w:r>
    </w:p>
    <w:p w14:paraId="1E455CC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（8）其他合同文件。</w:t>
      </w:r>
    </w:p>
    <w:p w14:paraId="0CD2D3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在合同订立及履行过程中形成的与合同有关的文件均构成合同文件组成部分。</w:t>
      </w:r>
    </w:p>
    <w:p w14:paraId="11E1D1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5984502">
      <w:pPr>
        <w:pStyle w:val="486"/>
        <w:spacing w:before="120" w:after="120" w:line="360" w:lineRule="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0" w:name="_Toc351203487"/>
      <w:r>
        <w:rPr>
          <w:rFonts w:hint="eastAsia" w:asciiTheme="minorEastAsia" w:hAnsiTheme="minorEastAsia" w:eastAsiaTheme="minorEastAsia" w:cstheme="minorEastAsia"/>
          <w:b w:val="0"/>
          <w:color w:val="000000"/>
          <w:sz w:val="21"/>
          <w:szCs w:val="21"/>
        </w:rPr>
        <w:t>七、承诺</w:t>
      </w:r>
      <w:bookmarkEnd w:id="140"/>
    </w:p>
    <w:p w14:paraId="0988779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1.发包人承诺按照法律规定履行项目审批手续、筹集工程建设资金并按照合同约定的期限和方式支付合同价款。</w:t>
      </w:r>
    </w:p>
    <w:p w14:paraId="44811F26">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57C4361C">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3.发包人和承包人通过招投标形式签订合同的，双方理解并承诺不再就同一工程另行签订与合同实质性内容相背离的协议。</w:t>
      </w:r>
    </w:p>
    <w:p w14:paraId="75F2B53D">
      <w:pPr>
        <w:spacing w:line="360" w:lineRule="auto"/>
        <w:rPr>
          <w:rFonts w:hint="eastAsia" w:asciiTheme="minorEastAsia" w:hAnsiTheme="minorEastAsia" w:eastAsiaTheme="minorEastAsia" w:cstheme="minorEastAsia"/>
          <w:bCs/>
          <w:color w:val="000000"/>
          <w:sz w:val="21"/>
          <w:szCs w:val="21"/>
        </w:rPr>
      </w:pPr>
      <w:bookmarkStart w:id="141" w:name="_Toc351203488"/>
      <w:r>
        <w:rPr>
          <w:rFonts w:hint="eastAsia" w:asciiTheme="minorEastAsia" w:hAnsiTheme="minorEastAsia" w:eastAsiaTheme="minorEastAsia" w:cstheme="minorEastAsia"/>
          <w:b/>
          <w:color w:val="000000"/>
          <w:sz w:val="21"/>
          <w:szCs w:val="21"/>
        </w:rPr>
        <w:t xml:space="preserve">    八、词语含义</w:t>
      </w:r>
      <w:bookmarkEnd w:id="141"/>
    </w:p>
    <w:p w14:paraId="0BD8DDBA">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本协议书中词语含义与第二部分通用合同条款中赋予的含义相同。</w:t>
      </w:r>
    </w:p>
    <w:p w14:paraId="431490D7">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2" w:name="_Toc351203489"/>
      <w:r>
        <w:rPr>
          <w:rFonts w:hint="eastAsia" w:asciiTheme="minorEastAsia" w:hAnsiTheme="minorEastAsia" w:eastAsiaTheme="minorEastAsia" w:cstheme="minorEastAsia"/>
          <w:b w:val="0"/>
          <w:color w:val="000000"/>
          <w:sz w:val="21"/>
          <w:szCs w:val="21"/>
        </w:rPr>
        <w:t>九、签订时间</w:t>
      </w:r>
      <w:bookmarkEnd w:id="142"/>
    </w:p>
    <w:p w14:paraId="5F267D6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本合同于</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日签订。</w:t>
      </w:r>
    </w:p>
    <w:p w14:paraId="53AEDC89">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3" w:name="_Toc351203490"/>
      <w:r>
        <w:rPr>
          <w:rFonts w:hint="eastAsia" w:asciiTheme="minorEastAsia" w:hAnsiTheme="minorEastAsia" w:eastAsiaTheme="minorEastAsia" w:cstheme="minorEastAsia"/>
          <w:b w:val="0"/>
          <w:color w:val="000000"/>
          <w:sz w:val="21"/>
          <w:szCs w:val="21"/>
        </w:rPr>
        <w:t>十、签订地点</w:t>
      </w:r>
      <w:bookmarkEnd w:id="143"/>
    </w:p>
    <w:p w14:paraId="6EEC35A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本合同在</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签订。</w:t>
      </w:r>
    </w:p>
    <w:p w14:paraId="293D95DB">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4" w:name="_Toc351203491"/>
      <w:r>
        <w:rPr>
          <w:rFonts w:hint="eastAsia" w:asciiTheme="minorEastAsia" w:hAnsiTheme="minorEastAsia" w:eastAsiaTheme="minorEastAsia" w:cstheme="minorEastAsia"/>
          <w:b w:val="0"/>
          <w:color w:val="000000"/>
          <w:sz w:val="21"/>
          <w:szCs w:val="21"/>
        </w:rPr>
        <w:t>十一、补充协议</w:t>
      </w:r>
      <w:bookmarkEnd w:id="144"/>
    </w:p>
    <w:p w14:paraId="73DDB4B0">
      <w:pPr>
        <w:spacing w:line="360" w:lineRule="auto"/>
        <w:ind w:firstLine="6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Cs/>
          <w:color w:val="000000"/>
          <w:sz w:val="21"/>
          <w:szCs w:val="21"/>
        </w:rPr>
        <w:t>合同未尽事宜，合同当事人另行签订补充协议，补充协议是合同的组成部分。</w:t>
      </w:r>
    </w:p>
    <w:p w14:paraId="246DA13C">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5" w:name="_Toc351203492"/>
      <w:r>
        <w:rPr>
          <w:rFonts w:hint="eastAsia" w:asciiTheme="minorEastAsia" w:hAnsiTheme="minorEastAsia" w:eastAsiaTheme="minorEastAsia" w:cstheme="minorEastAsia"/>
          <w:b w:val="0"/>
          <w:color w:val="000000"/>
          <w:sz w:val="21"/>
          <w:szCs w:val="21"/>
        </w:rPr>
        <w:t>十二、合同生效</w:t>
      </w:r>
      <w:bookmarkEnd w:id="145"/>
    </w:p>
    <w:p w14:paraId="356FBC75">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本合同自</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生效。</w:t>
      </w:r>
    </w:p>
    <w:p w14:paraId="2DEFDB02">
      <w:pPr>
        <w:pStyle w:val="486"/>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6" w:name="_Toc351203493"/>
      <w:r>
        <w:rPr>
          <w:rFonts w:hint="eastAsia" w:asciiTheme="minorEastAsia" w:hAnsiTheme="minorEastAsia" w:eastAsiaTheme="minorEastAsia" w:cstheme="minorEastAsia"/>
          <w:b w:val="0"/>
          <w:color w:val="000000"/>
          <w:sz w:val="21"/>
          <w:szCs w:val="21"/>
        </w:rPr>
        <w:t>十三、合同份数</w:t>
      </w:r>
      <w:bookmarkEnd w:id="146"/>
    </w:p>
    <w:p w14:paraId="122C2CB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本合同一式</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份，均具有同等法律效力，发包人执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份，承包人执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w:t>
      </w:r>
    </w:p>
    <w:p w14:paraId="7287FCD2">
      <w:pPr>
        <w:spacing w:line="360" w:lineRule="auto"/>
        <w:rPr>
          <w:rFonts w:hint="eastAsia" w:asciiTheme="minorEastAsia" w:hAnsiTheme="minorEastAsia" w:eastAsiaTheme="minorEastAsia" w:cstheme="minorEastAsia"/>
          <w:bCs/>
          <w:color w:val="000000"/>
          <w:sz w:val="21"/>
          <w:szCs w:val="21"/>
        </w:rPr>
      </w:pPr>
    </w:p>
    <w:p w14:paraId="51CDEF43">
      <w:pPr>
        <w:spacing w:line="360" w:lineRule="auto"/>
        <w:rPr>
          <w:rFonts w:hint="eastAsia" w:asciiTheme="minorEastAsia" w:hAnsiTheme="minorEastAsia" w:eastAsiaTheme="minorEastAsia" w:cstheme="minorEastAsia"/>
          <w:color w:val="000000"/>
          <w:sz w:val="21"/>
          <w:szCs w:val="21"/>
        </w:rPr>
      </w:pPr>
    </w:p>
    <w:p w14:paraId="4BD2070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  (公章)             承包人：  (公章)</w:t>
      </w:r>
    </w:p>
    <w:p w14:paraId="0B99044D">
      <w:pPr>
        <w:spacing w:line="360" w:lineRule="auto"/>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w:t>
      </w:r>
    </w:p>
    <w:p w14:paraId="59C7B889">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  法定代表人或其委托代理人：</w:t>
      </w:r>
    </w:p>
    <w:p w14:paraId="45DAE56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（签字）                    （签字）</w:t>
      </w:r>
    </w:p>
    <w:p w14:paraId="0ADED087">
      <w:pPr>
        <w:spacing w:line="360" w:lineRule="auto"/>
        <w:rPr>
          <w:rFonts w:hint="eastAsia" w:asciiTheme="minorEastAsia" w:hAnsiTheme="minorEastAsia" w:eastAsiaTheme="minorEastAsia" w:cstheme="minorEastAsia"/>
          <w:color w:val="000000"/>
          <w:sz w:val="21"/>
          <w:szCs w:val="21"/>
          <w:u w:val="single"/>
        </w:rPr>
      </w:pPr>
    </w:p>
    <w:p w14:paraId="153767C5">
      <w:pPr>
        <w:tabs>
          <w:tab w:val="left" w:pos="4410"/>
        </w:tabs>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0472822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地  址：</w:t>
      </w:r>
      <w:r>
        <w:rPr>
          <w:rFonts w:hint="eastAsia" w:asciiTheme="minorEastAsia" w:hAnsiTheme="minorEastAsia" w:eastAsiaTheme="minorEastAsia" w:cstheme="minorEastAsia"/>
          <w:color w:val="000000"/>
          <w:sz w:val="21"/>
          <w:szCs w:val="21"/>
          <w:u w:val="single"/>
        </w:rPr>
        <w:t xml:space="preserve">                </w:t>
      </w:r>
    </w:p>
    <w:p w14:paraId="6F5D23E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邮政编码：</w:t>
      </w:r>
      <w:r>
        <w:rPr>
          <w:rFonts w:hint="eastAsia" w:asciiTheme="minorEastAsia" w:hAnsiTheme="minorEastAsia" w:eastAsiaTheme="minorEastAsia" w:cstheme="minorEastAsia"/>
          <w:color w:val="000000"/>
          <w:sz w:val="21"/>
          <w:szCs w:val="21"/>
          <w:u w:val="single"/>
        </w:rPr>
        <w:t xml:space="preserve">             </w:t>
      </w:r>
    </w:p>
    <w:p w14:paraId="7CEDCE2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w:t>
      </w:r>
      <w:r>
        <w:rPr>
          <w:rFonts w:hint="eastAsia" w:asciiTheme="minorEastAsia" w:hAnsiTheme="minorEastAsia" w:eastAsiaTheme="minorEastAsia" w:cstheme="minorEastAsia"/>
          <w:color w:val="000000"/>
          <w:sz w:val="21"/>
          <w:szCs w:val="21"/>
          <w:u w:val="single"/>
        </w:rPr>
        <w:t xml:space="preserve">            </w:t>
      </w:r>
    </w:p>
    <w:p w14:paraId="07EFB37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w:t>
      </w:r>
      <w:r>
        <w:rPr>
          <w:rFonts w:hint="eastAsia" w:asciiTheme="minorEastAsia" w:hAnsiTheme="minorEastAsia" w:eastAsiaTheme="minorEastAsia" w:cstheme="minorEastAsia"/>
          <w:color w:val="000000"/>
          <w:sz w:val="21"/>
          <w:szCs w:val="21"/>
          <w:u w:val="single"/>
        </w:rPr>
        <w:t xml:space="preserve">             </w:t>
      </w:r>
    </w:p>
    <w:p w14:paraId="2DF39F0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  话：</w:t>
      </w:r>
      <w:r>
        <w:rPr>
          <w:rFonts w:hint="eastAsia" w:asciiTheme="minorEastAsia" w:hAnsiTheme="minorEastAsia" w:eastAsiaTheme="minorEastAsia" w:cstheme="minorEastAsia"/>
          <w:color w:val="000000"/>
          <w:sz w:val="21"/>
          <w:szCs w:val="21"/>
          <w:u w:val="single"/>
        </w:rPr>
        <w:t xml:space="preserve">       </w:t>
      </w:r>
    </w:p>
    <w:p w14:paraId="1C1BE5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传  真：</w:t>
      </w:r>
      <w:r>
        <w:rPr>
          <w:rFonts w:hint="eastAsia" w:asciiTheme="minorEastAsia" w:hAnsiTheme="minorEastAsia" w:eastAsiaTheme="minorEastAsia" w:cstheme="minorEastAsia"/>
          <w:color w:val="000000"/>
          <w:sz w:val="21"/>
          <w:szCs w:val="21"/>
          <w:u w:val="single"/>
        </w:rPr>
        <w:t xml:space="preserve">       </w:t>
      </w:r>
    </w:p>
    <w:p w14:paraId="2DAC4C8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电子信箱：</w:t>
      </w:r>
      <w:r>
        <w:rPr>
          <w:rFonts w:hint="eastAsia" w:asciiTheme="minorEastAsia" w:hAnsiTheme="minorEastAsia" w:eastAsiaTheme="minorEastAsia" w:cstheme="minorEastAsia"/>
          <w:color w:val="000000"/>
          <w:sz w:val="21"/>
          <w:szCs w:val="21"/>
          <w:u w:val="single"/>
        </w:rPr>
        <w:t xml:space="preserve">   </w:t>
      </w:r>
    </w:p>
    <w:p w14:paraId="6A6728E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开户银行：</w:t>
      </w:r>
      <w:r>
        <w:rPr>
          <w:rFonts w:hint="eastAsia" w:asciiTheme="minorEastAsia" w:hAnsiTheme="minorEastAsia" w:eastAsiaTheme="minorEastAsia" w:cstheme="minorEastAsia"/>
          <w:color w:val="000000"/>
          <w:sz w:val="21"/>
          <w:szCs w:val="21"/>
          <w:u w:val="single"/>
        </w:rPr>
        <w:t xml:space="preserve">   </w:t>
      </w:r>
    </w:p>
    <w:p w14:paraId="3C6C63E5">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账  号：</w:t>
      </w:r>
      <w:r>
        <w:rPr>
          <w:rFonts w:hint="eastAsia" w:asciiTheme="minorEastAsia" w:hAnsiTheme="minorEastAsia" w:eastAsiaTheme="minorEastAsia" w:cstheme="minorEastAsia"/>
          <w:color w:val="000000"/>
          <w:sz w:val="21"/>
          <w:szCs w:val="21"/>
          <w:u w:val="single"/>
        </w:rPr>
        <w:t xml:space="preserve">     </w:t>
      </w:r>
    </w:p>
    <w:p w14:paraId="65B28BCB">
      <w:pPr>
        <w:pStyle w:val="4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bookmarkStart w:id="147" w:name="_Toc351203494"/>
      <w:r>
        <w:rPr>
          <w:rFonts w:hint="eastAsia" w:asciiTheme="minorEastAsia" w:hAnsiTheme="minorEastAsia" w:eastAsiaTheme="minorEastAsia" w:cstheme="minorEastAsia"/>
          <w:sz w:val="21"/>
          <w:szCs w:val="21"/>
        </w:rPr>
        <w:t>第二部分 通用合同条款</w:t>
      </w:r>
      <w:bookmarkEnd w:id="147"/>
      <w:bookmarkStart w:id="148" w:name="_Toc337558727"/>
    </w:p>
    <w:bookmarkEnd w:id="148"/>
    <w:p w14:paraId="3382052E">
      <w:pPr>
        <w:pStyle w:val="487"/>
        <w:ind w:firstLine="420"/>
        <w:rPr>
          <w:rFonts w:hint="eastAsia" w:asciiTheme="minorEastAsia" w:hAnsiTheme="minorEastAsia" w:eastAsiaTheme="minorEastAsia" w:cstheme="minorEastAsia"/>
          <w:sz w:val="21"/>
          <w:szCs w:val="21"/>
          <w:highlight w:val="none"/>
        </w:rPr>
      </w:pPr>
      <w:bookmarkStart w:id="149" w:name="_Toc351203632"/>
      <w:r>
        <w:rPr>
          <w:rFonts w:hint="eastAsia" w:asciiTheme="minorEastAsia" w:hAnsiTheme="minorEastAsia" w:eastAsiaTheme="minorEastAsia" w:cstheme="minorEastAsia"/>
          <w:sz w:val="21"/>
          <w:szCs w:val="21"/>
          <w:highlight w:val="none"/>
        </w:rPr>
        <w:t>此部分采用《建设工程施工合同》范本中《第二部分  通用条款》</w:t>
      </w:r>
    </w:p>
    <w:p w14:paraId="3327EF59">
      <w:pPr>
        <w:pStyle w:val="4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r>
        <w:rPr>
          <w:rFonts w:hint="eastAsia" w:asciiTheme="minorEastAsia" w:hAnsiTheme="minorEastAsia" w:eastAsiaTheme="minorEastAsia" w:cstheme="minorEastAsia"/>
          <w:sz w:val="21"/>
          <w:szCs w:val="21"/>
        </w:rPr>
        <w:t>第三部分 专用合同条款</w:t>
      </w:r>
      <w:bookmarkEnd w:id="149"/>
    </w:p>
    <w:p w14:paraId="426AF0B0">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150" w:name="_Toc351203633"/>
      <w:r>
        <w:rPr>
          <w:rFonts w:hint="eastAsia" w:asciiTheme="minorEastAsia" w:hAnsiTheme="minorEastAsia" w:eastAsiaTheme="minorEastAsia" w:cstheme="minorEastAsia"/>
          <w:b w:val="0"/>
          <w:color w:val="000000"/>
          <w:sz w:val="21"/>
          <w:szCs w:val="21"/>
        </w:rPr>
        <w:t>1</w:t>
      </w:r>
      <w:bookmarkStart w:id="151" w:name="_Toc296503156"/>
      <w:bookmarkStart w:id="152" w:name="_Toc296891196"/>
      <w:bookmarkStart w:id="153" w:name="_Toc297120456"/>
      <w:bookmarkStart w:id="154" w:name="_Toc296346657"/>
      <w:bookmarkStart w:id="155" w:name="_Toc292559866"/>
      <w:bookmarkStart w:id="156" w:name="_Toc296347155"/>
      <w:bookmarkStart w:id="157" w:name="_Toc296944495"/>
      <w:bookmarkStart w:id="158" w:name="_Toc292559361"/>
      <w:bookmarkStart w:id="159" w:name="_Toc297048342"/>
      <w:bookmarkStart w:id="160" w:name="_Toc296890984"/>
      <w:r>
        <w:rPr>
          <w:rFonts w:hint="eastAsia" w:asciiTheme="minorEastAsia" w:hAnsiTheme="minorEastAsia" w:eastAsiaTheme="minorEastAsia" w:cstheme="minorEastAsia"/>
          <w:b w:val="0"/>
          <w:color w:val="000000"/>
          <w:sz w:val="21"/>
          <w:szCs w:val="21"/>
        </w:rPr>
        <w:t>. 一般约定</w:t>
      </w:r>
      <w:bookmarkEnd w:id="150"/>
      <w:bookmarkEnd w:id="151"/>
      <w:bookmarkEnd w:id="152"/>
      <w:bookmarkEnd w:id="153"/>
      <w:bookmarkEnd w:id="154"/>
      <w:bookmarkEnd w:id="155"/>
      <w:bookmarkEnd w:id="156"/>
      <w:bookmarkEnd w:id="157"/>
      <w:bookmarkEnd w:id="158"/>
      <w:bookmarkEnd w:id="159"/>
      <w:bookmarkEnd w:id="160"/>
    </w:p>
    <w:p w14:paraId="28C8A26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 词语定义</w:t>
      </w:r>
    </w:p>
    <w:p w14:paraId="49921C0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1.1.1合同</w:t>
      </w:r>
    </w:p>
    <w:p w14:paraId="73CCD8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1.1.1.10其他合同文件包括：</w:t>
      </w:r>
      <w:r>
        <w:rPr>
          <w:rFonts w:hint="eastAsia" w:asciiTheme="minorEastAsia" w:hAnsiTheme="minorEastAsia" w:eastAsiaTheme="minorEastAsia" w:cstheme="minorEastAsia"/>
          <w:color w:val="000000"/>
          <w:sz w:val="21"/>
          <w:szCs w:val="21"/>
          <w:u w:val="single"/>
        </w:rPr>
        <w:t xml:space="preserve">（1）双方洽商的有效的会议纪要、补充协议、签证、设计变更等资料；（2）招标文件；（3）施工组织设计；（4）本合同协议书；（5）中标通知书；（6）投标响应文件及附件；（7）本合同专用条款；（8）本合同通用条款；（9）标准、规范及有关技术文件、技术要求；（10）图纸；（11）工程报价单或预算书。 </w:t>
      </w:r>
      <w:r>
        <w:rPr>
          <w:rFonts w:hint="eastAsia" w:asciiTheme="minorEastAsia" w:hAnsiTheme="minorEastAsia" w:eastAsiaTheme="minorEastAsia" w:cstheme="minorEastAsia"/>
          <w:color w:val="000000"/>
          <w:sz w:val="21"/>
          <w:szCs w:val="21"/>
        </w:rPr>
        <w:t>。</w:t>
      </w:r>
    </w:p>
    <w:p w14:paraId="45E9A49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 合同当事人及其他相关方</w:t>
      </w:r>
    </w:p>
    <w:p w14:paraId="1E6DAB4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1.1.2.4监理人：</w:t>
      </w:r>
    </w:p>
    <w:p w14:paraId="4720687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E6D3A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333EB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D513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03668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4B4B25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1.1.2.5 设计人：</w:t>
      </w:r>
    </w:p>
    <w:p w14:paraId="3463205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F6C6C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3A9CE2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7EFA9D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9324B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44285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 工程和设备</w:t>
      </w:r>
    </w:p>
    <w:p w14:paraId="0F4AC494">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1.1.3.7 作为施工现场组成部分的其他场所包括：</w:t>
      </w:r>
      <w:r>
        <w:rPr>
          <w:rFonts w:hint="eastAsia" w:asciiTheme="minorEastAsia" w:hAnsiTheme="minorEastAsia" w:eastAsiaTheme="minorEastAsia" w:cstheme="minorEastAsia"/>
          <w:color w:val="000000"/>
          <w:sz w:val="21"/>
          <w:szCs w:val="21"/>
          <w:u w:val="single"/>
        </w:rPr>
        <w:t xml:space="preserve">           </w:t>
      </w:r>
    </w:p>
    <w:p w14:paraId="32B903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7F4C8A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1.1.3.9 永久占地包括：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245AE1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1.1.3.10 临时占地包括：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B9D56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1.3法律 </w:t>
      </w:r>
    </w:p>
    <w:p w14:paraId="2352E72D">
      <w:pPr>
        <w:spacing w:line="360" w:lineRule="auto"/>
        <w:ind w:left="596"/>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适用于合同的其他规范性文件：</w:t>
      </w:r>
      <w:r>
        <w:rPr>
          <w:rFonts w:hint="eastAsia" w:asciiTheme="minorEastAsia" w:hAnsiTheme="minorEastAsia" w:eastAsiaTheme="minorEastAsia" w:cstheme="minorEastAsia"/>
          <w:color w:val="000000"/>
          <w:sz w:val="21"/>
          <w:szCs w:val="21"/>
          <w:u w:val="single"/>
        </w:rPr>
        <w:t xml:space="preserve">                          。</w:t>
      </w:r>
    </w:p>
    <w:p w14:paraId="5D715A88">
      <w:pPr>
        <w:spacing w:line="360" w:lineRule="auto"/>
        <w:jc w:val="left"/>
        <w:rPr>
          <w:rFonts w:hint="eastAsia" w:asciiTheme="minorEastAsia" w:hAnsiTheme="minorEastAsia" w:eastAsiaTheme="minorEastAsia" w:cstheme="minorEastAsia"/>
          <w:color w:val="000000"/>
          <w:sz w:val="21"/>
          <w:szCs w:val="21"/>
        </w:rPr>
      </w:pPr>
    </w:p>
    <w:p w14:paraId="2896EF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标准和规范</w:t>
      </w:r>
    </w:p>
    <w:p w14:paraId="7FB51BBD">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1.4.1适用于工程的标准规范包括：</w:t>
      </w:r>
      <w:r>
        <w:rPr>
          <w:rFonts w:hint="eastAsia" w:asciiTheme="minorEastAsia" w:hAnsiTheme="minorEastAsia" w:eastAsiaTheme="minorEastAsia" w:cstheme="minorEastAsia"/>
          <w:color w:val="000000"/>
          <w:sz w:val="21"/>
          <w:szCs w:val="21"/>
          <w:u w:val="single"/>
        </w:rPr>
        <w:t>《中华人民共和国民法典》、《中华人民共和国建筑法》、《中华人民共和国安全生产法》、《建设工程质量管理条例》以及其他有关法律、法规。 《建设工程工程量清单计价规范》（GB50500-2013）江苏省及南京市相关的工程建设管理和工程造价管理的地方性规章和政策性文件。</w:t>
      </w:r>
    </w:p>
    <w:p w14:paraId="7016B68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0B7E4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发包人提供国外标准、规范的份数：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1CF7F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0D29F1">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1.4.3发包人对工程的技术标准和功能要求的特殊要求：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1DA7C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 合同文件的优先顺序</w:t>
      </w:r>
    </w:p>
    <w:p w14:paraId="083211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合同文件组成及优先顺序为：</w:t>
      </w:r>
      <w:r>
        <w:rPr>
          <w:rFonts w:hint="eastAsia" w:asciiTheme="minorEastAsia" w:hAnsiTheme="minorEastAsia" w:eastAsiaTheme="minorEastAsia" w:cstheme="minorEastAsia"/>
          <w:color w:val="000000"/>
          <w:sz w:val="21"/>
          <w:szCs w:val="21"/>
          <w:u w:val="single"/>
        </w:rPr>
        <w:t>1、本合同协议书 2、中标通知书 3、本合同专用条款 4、招标文件及其附件5、本合同通用条款6、标准规范及其有关技术文件、技术要求 7、施工图纸8、工程量清单9、投标书及其附件</w:t>
      </w:r>
      <w:r>
        <w:rPr>
          <w:rFonts w:hint="eastAsia" w:asciiTheme="minorEastAsia" w:hAnsiTheme="minorEastAsia" w:eastAsiaTheme="minorEastAsia" w:cstheme="minorEastAsia"/>
          <w:color w:val="000000"/>
          <w:sz w:val="21"/>
          <w:szCs w:val="21"/>
        </w:rPr>
        <w:t>。</w:t>
      </w:r>
    </w:p>
    <w:p w14:paraId="71A33F7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 图纸和承包人文件</w:t>
      </w:r>
      <w:r>
        <w:rPr>
          <w:rFonts w:hint="eastAsia" w:asciiTheme="minorEastAsia" w:hAnsiTheme="minorEastAsia" w:eastAsiaTheme="minorEastAsia" w:cstheme="minorEastAsia"/>
          <w:color w:val="000000"/>
          <w:sz w:val="21"/>
          <w:szCs w:val="21"/>
        </w:rPr>
        <w:tab/>
      </w:r>
    </w:p>
    <w:p w14:paraId="2795D39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图纸的提供</w:t>
      </w:r>
    </w:p>
    <w:p w14:paraId="4FC3A03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发包人向承包人提供图纸的期限：</w:t>
      </w:r>
      <w:r>
        <w:rPr>
          <w:rFonts w:hint="eastAsia" w:asciiTheme="minorEastAsia" w:hAnsiTheme="minorEastAsia" w:eastAsiaTheme="minorEastAsia" w:cstheme="minorEastAsia"/>
          <w:color w:val="000000"/>
          <w:sz w:val="21"/>
          <w:szCs w:val="21"/>
          <w:u w:val="single"/>
        </w:rPr>
        <w:t>合同签订后7 日之内提供施工图纸</w:t>
      </w:r>
      <w:r>
        <w:rPr>
          <w:rFonts w:hint="eastAsia" w:asciiTheme="minorEastAsia" w:hAnsiTheme="minorEastAsia" w:eastAsiaTheme="minorEastAsia" w:cstheme="minorEastAsia"/>
          <w:color w:val="000000"/>
          <w:sz w:val="21"/>
          <w:szCs w:val="21"/>
        </w:rPr>
        <w:t>；</w:t>
      </w:r>
    </w:p>
    <w:p w14:paraId="73AB210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发包人向承包人提供图纸的数量：</w:t>
      </w:r>
      <w:r>
        <w:rPr>
          <w:rFonts w:hint="eastAsia" w:asciiTheme="minorEastAsia" w:hAnsiTheme="minorEastAsia" w:eastAsiaTheme="minorEastAsia" w:cstheme="minorEastAsia"/>
          <w:color w:val="000000"/>
          <w:sz w:val="21"/>
          <w:szCs w:val="21"/>
          <w:u w:val="single"/>
        </w:rPr>
        <w:t>施工图纸6套(含竣工图3套)，其他有关资料一套。承包方若需要增加图纸套数的，施工方可代为复制，复制费用由承包方承担</w:t>
      </w:r>
      <w:r>
        <w:rPr>
          <w:rFonts w:hint="eastAsia" w:asciiTheme="minorEastAsia" w:hAnsiTheme="minorEastAsia" w:eastAsiaTheme="minorEastAsia" w:cstheme="minorEastAsia"/>
          <w:color w:val="000000"/>
          <w:sz w:val="21"/>
          <w:szCs w:val="21"/>
        </w:rPr>
        <w:t>；</w:t>
      </w:r>
    </w:p>
    <w:p w14:paraId="4751992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发包人向承包人提供图纸的内容：</w:t>
      </w:r>
      <w:r>
        <w:rPr>
          <w:rFonts w:hint="eastAsia" w:asciiTheme="minorEastAsia" w:hAnsiTheme="minorEastAsia" w:eastAsiaTheme="minorEastAsia" w:cstheme="minorEastAsia"/>
          <w:color w:val="000000"/>
          <w:sz w:val="21"/>
          <w:szCs w:val="21"/>
          <w:u w:val="single"/>
        </w:rPr>
        <w:t>施工图纸</w:t>
      </w:r>
      <w:r>
        <w:rPr>
          <w:rFonts w:hint="eastAsia" w:asciiTheme="minorEastAsia" w:hAnsiTheme="minorEastAsia" w:eastAsiaTheme="minorEastAsia" w:cstheme="minorEastAsia"/>
          <w:color w:val="000000"/>
          <w:sz w:val="21"/>
          <w:szCs w:val="21"/>
        </w:rPr>
        <w:t>。</w:t>
      </w:r>
    </w:p>
    <w:p w14:paraId="5FA561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1.6.4 承包人文件</w:t>
      </w:r>
    </w:p>
    <w:p w14:paraId="59622DBA">
      <w:pPr>
        <w:spacing w:line="360" w:lineRule="auto"/>
        <w:ind w:left="59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需要由承包人提供的文件，包括：</w:t>
      </w:r>
      <w:r>
        <w:rPr>
          <w:rFonts w:hint="eastAsia" w:asciiTheme="minorEastAsia" w:hAnsiTheme="minorEastAsia" w:eastAsiaTheme="minorEastAsia" w:cstheme="minorEastAsia"/>
          <w:color w:val="000000"/>
          <w:sz w:val="21"/>
          <w:szCs w:val="21"/>
          <w:u w:val="single"/>
        </w:rPr>
        <w:t>开工前按施工方、监理方要求提供开工申请报告、总进度计划、设备、材料供应总计划、工程款支付计划等资料</w:t>
      </w:r>
      <w:r>
        <w:rPr>
          <w:rFonts w:hint="eastAsia" w:asciiTheme="minorEastAsia" w:hAnsiTheme="minorEastAsia" w:eastAsiaTheme="minorEastAsia" w:cstheme="minorEastAsia"/>
          <w:color w:val="000000"/>
          <w:sz w:val="21"/>
          <w:szCs w:val="21"/>
        </w:rPr>
        <w:t>；</w:t>
      </w:r>
    </w:p>
    <w:p w14:paraId="1542A9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承包人提供的文件的期限为：</w:t>
      </w:r>
      <w:r>
        <w:rPr>
          <w:rFonts w:hint="eastAsia" w:asciiTheme="minorEastAsia" w:hAnsiTheme="minorEastAsia" w:eastAsiaTheme="minorEastAsia" w:cstheme="minorEastAsia"/>
          <w:color w:val="000000"/>
          <w:sz w:val="21"/>
          <w:szCs w:val="21"/>
          <w:u w:val="single"/>
        </w:rPr>
        <w:t>每月25日提供本月实际完成工作量统计表、次月工程进度计划、次月工程建设单位供应材料使用计划及监理或发包人要求提供的其</w:t>
      </w:r>
      <w:r>
        <w:rPr>
          <w:rFonts w:hint="eastAsia" w:asciiTheme="minorEastAsia" w:hAnsiTheme="minorEastAsia" w:eastAsiaTheme="minorEastAsia" w:cstheme="minorEastAsia"/>
          <w:color w:val="000000"/>
          <w:sz w:val="21"/>
          <w:szCs w:val="21"/>
          <w:u w:val="single"/>
          <w:lang w:eastAsia="zh-CN"/>
        </w:rPr>
        <w:t>他</w:t>
      </w:r>
      <w:r>
        <w:rPr>
          <w:rFonts w:hint="eastAsia" w:asciiTheme="minorEastAsia" w:hAnsiTheme="minorEastAsia" w:eastAsiaTheme="minorEastAsia" w:cstheme="minorEastAsia"/>
          <w:color w:val="000000"/>
          <w:sz w:val="21"/>
          <w:szCs w:val="21"/>
          <w:u w:val="single"/>
        </w:rPr>
        <w:t>报表</w:t>
      </w:r>
      <w:r>
        <w:rPr>
          <w:rFonts w:hint="eastAsia" w:asciiTheme="minorEastAsia" w:hAnsiTheme="minorEastAsia" w:eastAsiaTheme="minorEastAsia" w:cstheme="minorEastAsia"/>
          <w:color w:val="000000"/>
          <w:sz w:val="21"/>
          <w:szCs w:val="21"/>
        </w:rPr>
        <w:t>；</w:t>
      </w:r>
    </w:p>
    <w:p w14:paraId="430E79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承包人提供的文件的数量为：</w:t>
      </w:r>
      <w:r>
        <w:rPr>
          <w:rFonts w:hint="eastAsia" w:asciiTheme="minorEastAsia" w:hAnsiTheme="minorEastAsia" w:eastAsiaTheme="minorEastAsia" w:cstheme="minorEastAsia"/>
          <w:color w:val="000000"/>
          <w:sz w:val="21"/>
          <w:szCs w:val="21"/>
          <w:u w:val="single"/>
        </w:rPr>
        <w:t>根据发包人实际要求</w:t>
      </w:r>
      <w:r>
        <w:rPr>
          <w:rFonts w:hint="eastAsia" w:asciiTheme="minorEastAsia" w:hAnsiTheme="minorEastAsia" w:eastAsiaTheme="minorEastAsia" w:cstheme="minorEastAsia"/>
          <w:color w:val="000000"/>
          <w:sz w:val="21"/>
          <w:szCs w:val="21"/>
        </w:rPr>
        <w:t>；</w:t>
      </w:r>
    </w:p>
    <w:p w14:paraId="6956CE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承包人提供的文件的形式为：</w:t>
      </w:r>
      <w:r>
        <w:rPr>
          <w:rFonts w:hint="eastAsia" w:asciiTheme="minorEastAsia" w:hAnsiTheme="minorEastAsia" w:eastAsiaTheme="minorEastAsia" w:cstheme="minorEastAsia"/>
          <w:color w:val="000000"/>
          <w:sz w:val="21"/>
          <w:szCs w:val="21"/>
          <w:u w:val="single"/>
        </w:rPr>
        <w:t>书面形式，以上计划及报表必须经总监理工程师签字认可后报发包人</w:t>
      </w:r>
      <w:r>
        <w:rPr>
          <w:rFonts w:hint="eastAsia" w:asciiTheme="minorEastAsia" w:hAnsiTheme="minorEastAsia" w:eastAsiaTheme="minorEastAsia" w:cstheme="minorEastAsia"/>
          <w:color w:val="000000"/>
          <w:sz w:val="21"/>
          <w:szCs w:val="21"/>
        </w:rPr>
        <w:t>；</w:t>
      </w:r>
    </w:p>
    <w:p w14:paraId="0A896AE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发包人审批承包人文件的期限：</w:t>
      </w:r>
      <w:r>
        <w:rPr>
          <w:rFonts w:hint="eastAsia" w:asciiTheme="minorEastAsia" w:hAnsiTheme="minorEastAsia" w:eastAsiaTheme="minorEastAsia" w:cstheme="minorEastAsia"/>
          <w:color w:val="000000"/>
          <w:sz w:val="21"/>
          <w:szCs w:val="21"/>
          <w:u w:val="single"/>
        </w:rPr>
        <w:t>一周内</w:t>
      </w:r>
      <w:r>
        <w:rPr>
          <w:rFonts w:hint="eastAsia" w:asciiTheme="minorEastAsia" w:hAnsiTheme="minorEastAsia" w:eastAsiaTheme="minorEastAsia" w:cstheme="minorEastAsia"/>
          <w:color w:val="000000"/>
          <w:sz w:val="21"/>
          <w:szCs w:val="21"/>
        </w:rPr>
        <w:t>。</w:t>
      </w:r>
    </w:p>
    <w:p w14:paraId="5C3A21D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1.6.5 现场图纸准备</w:t>
      </w:r>
    </w:p>
    <w:p w14:paraId="7F7170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关于现场图纸准备的约定：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70C160E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 联络</w:t>
      </w:r>
    </w:p>
    <w:p w14:paraId="16C06D6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1.7.1发包人和承包人应当在</w:t>
      </w:r>
      <w:r>
        <w:rPr>
          <w:rFonts w:hint="eastAsia" w:asciiTheme="minorEastAsia" w:hAnsiTheme="minorEastAsia" w:eastAsiaTheme="minorEastAsia" w:cstheme="minorEastAsia"/>
          <w:color w:val="000000"/>
          <w:sz w:val="21"/>
          <w:szCs w:val="21"/>
          <w:u w:val="single"/>
        </w:rPr>
        <w:t xml:space="preserve">7 </w:t>
      </w:r>
      <w:r>
        <w:rPr>
          <w:rFonts w:hint="eastAsia" w:asciiTheme="minorEastAsia" w:hAnsiTheme="minorEastAsia" w:eastAsiaTheme="minorEastAsia" w:cstheme="minorEastAsia"/>
          <w:color w:val="000000"/>
          <w:sz w:val="21"/>
          <w:szCs w:val="21"/>
        </w:rPr>
        <w:t>天内将与合同有关的通知、批准、证明、证书、指示、指令、要求、请求、同意、意见、确定和决定等书面函件送达对方当事人。</w:t>
      </w:r>
    </w:p>
    <w:p w14:paraId="25E7118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1.7.2 发包人接收文件的地点：</w:t>
      </w:r>
      <w:r>
        <w:rPr>
          <w:rFonts w:hint="eastAsia" w:asciiTheme="minorEastAsia" w:hAnsiTheme="minorEastAsia" w:eastAsiaTheme="minorEastAsia" w:cstheme="minorEastAsia"/>
          <w:color w:val="000000"/>
          <w:sz w:val="21"/>
          <w:szCs w:val="21"/>
          <w:u w:val="single"/>
        </w:rPr>
        <w:t>项目所在地发包人项目部</w:t>
      </w:r>
      <w:r>
        <w:rPr>
          <w:rFonts w:hint="eastAsia" w:asciiTheme="minorEastAsia" w:hAnsiTheme="minorEastAsia" w:eastAsiaTheme="minorEastAsia" w:cstheme="minorEastAsia"/>
          <w:color w:val="000000"/>
          <w:sz w:val="21"/>
          <w:szCs w:val="21"/>
        </w:rPr>
        <w:t>；</w:t>
      </w:r>
    </w:p>
    <w:p w14:paraId="23610C3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ABBB8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承包人接收文件的地点：</w:t>
      </w:r>
      <w:r>
        <w:rPr>
          <w:rFonts w:hint="eastAsia" w:asciiTheme="minorEastAsia" w:hAnsiTheme="minorEastAsia" w:eastAsiaTheme="minorEastAsia" w:cstheme="minorEastAsia"/>
          <w:color w:val="000000"/>
          <w:sz w:val="21"/>
          <w:szCs w:val="21"/>
          <w:u w:val="single"/>
        </w:rPr>
        <w:t>项目所在地承包人项目部</w:t>
      </w:r>
      <w:r>
        <w:rPr>
          <w:rFonts w:hint="eastAsia" w:asciiTheme="minorEastAsia" w:hAnsiTheme="minorEastAsia" w:eastAsiaTheme="minorEastAsia" w:cstheme="minorEastAsia"/>
          <w:color w:val="000000"/>
          <w:sz w:val="21"/>
          <w:szCs w:val="21"/>
        </w:rPr>
        <w:t>；</w:t>
      </w:r>
    </w:p>
    <w:p w14:paraId="1150D3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B60BF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监理人接收文件的地点：</w:t>
      </w:r>
      <w:r>
        <w:rPr>
          <w:rFonts w:hint="eastAsia" w:asciiTheme="minorEastAsia" w:hAnsiTheme="minorEastAsia" w:eastAsiaTheme="minorEastAsia" w:cstheme="minorEastAsia"/>
          <w:color w:val="000000"/>
          <w:sz w:val="21"/>
          <w:szCs w:val="21"/>
          <w:u w:val="single"/>
        </w:rPr>
        <w:t>项目所在地监理人办公室</w:t>
      </w:r>
      <w:r>
        <w:rPr>
          <w:rFonts w:hint="eastAsia" w:asciiTheme="minorEastAsia" w:hAnsiTheme="minorEastAsia" w:eastAsiaTheme="minorEastAsia" w:cstheme="minorEastAsia"/>
          <w:color w:val="000000"/>
          <w:sz w:val="21"/>
          <w:szCs w:val="21"/>
        </w:rPr>
        <w:t>；</w:t>
      </w:r>
    </w:p>
    <w:p w14:paraId="1D3E04C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740214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1.10 交通运输</w:t>
      </w:r>
    </w:p>
    <w:p w14:paraId="3578AE54">
      <w:pPr>
        <w:spacing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1" w:name="_Toc304295521"/>
      <w:bookmarkStart w:id="162" w:name="_Toc300934943"/>
      <w:bookmarkStart w:id="163" w:name="_Toc312677986"/>
      <w:bookmarkStart w:id="164" w:name="_Toc318581155"/>
      <w:bookmarkStart w:id="165" w:name="_Toc303539100"/>
      <w:r>
        <w:rPr>
          <w:rFonts w:hint="eastAsia" w:asciiTheme="minorEastAsia" w:hAnsiTheme="minorEastAsia" w:eastAsiaTheme="minorEastAsia" w:cstheme="minorEastAsia"/>
          <w:sz w:val="21"/>
          <w:szCs w:val="21"/>
        </w:rPr>
        <w:t>.10.1 出入现场的权利</w:t>
      </w:r>
    </w:p>
    <w:p w14:paraId="5AEAF817">
      <w:pPr>
        <w:spacing w:line="360" w:lineRule="auto"/>
        <w:ind w:left="5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关于出入现场的权利的约定：</w:t>
      </w:r>
      <w:r>
        <w:rPr>
          <w:rFonts w:hint="eastAsia" w:asciiTheme="minorEastAsia" w:hAnsiTheme="minorEastAsia" w:eastAsiaTheme="minorEastAsia" w:cstheme="minorEastAsia"/>
          <w:color w:val="000000"/>
          <w:sz w:val="21"/>
          <w:szCs w:val="21"/>
          <w:u w:val="single"/>
        </w:rPr>
        <w:t xml:space="preserve">由承包人按发包人要求负责取得出入施工现场所需的批准手续和全部权利，以及取得因施工所需修建道路、桥梁以及其他基础设施的权利，并承担相关手续费用和建设费用   </w:t>
      </w:r>
      <w:r>
        <w:rPr>
          <w:rFonts w:hint="eastAsia" w:asciiTheme="minorEastAsia" w:hAnsiTheme="minorEastAsia" w:eastAsiaTheme="minorEastAsia" w:cstheme="minorEastAsia"/>
          <w:sz w:val="21"/>
          <w:szCs w:val="21"/>
        </w:rPr>
        <w:t>。</w:t>
      </w:r>
      <w:bookmarkEnd w:id="161"/>
      <w:bookmarkEnd w:id="162"/>
      <w:bookmarkEnd w:id="163"/>
      <w:bookmarkEnd w:id="164"/>
      <w:bookmarkEnd w:id="165"/>
    </w:p>
    <w:p w14:paraId="365DA679">
      <w:pPr>
        <w:spacing w:line="360" w:lineRule="auto"/>
        <w:ind w:firstLine="6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6" w:name="_Toc304295522"/>
      <w:bookmarkStart w:id="167" w:name="_Toc300934944"/>
      <w:bookmarkStart w:id="168" w:name="_Toc318581156"/>
      <w:bookmarkStart w:id="169" w:name="_Toc312677987"/>
      <w:bookmarkStart w:id="170" w:name="_Toc303539101"/>
      <w:r>
        <w:rPr>
          <w:rFonts w:hint="eastAsia" w:asciiTheme="minorEastAsia" w:hAnsiTheme="minorEastAsia" w:eastAsiaTheme="minorEastAsia" w:cstheme="minorEastAsia"/>
          <w:sz w:val="21"/>
          <w:szCs w:val="21"/>
        </w:rPr>
        <w:t>.10.3 场内交通</w:t>
      </w:r>
    </w:p>
    <w:p w14:paraId="4EFFB46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关于场外交通和场内交通的边界的约定：</w:t>
      </w:r>
      <w:r>
        <w:rPr>
          <w:rFonts w:hint="eastAsia" w:asciiTheme="minorEastAsia" w:hAnsiTheme="minorEastAsia" w:eastAsiaTheme="minorEastAsia" w:cstheme="minorEastAsia"/>
          <w:color w:val="000000"/>
          <w:sz w:val="21"/>
          <w:szCs w:val="21"/>
          <w:u w:val="single"/>
        </w:rPr>
        <w:t xml:space="preserve">                。</w:t>
      </w:r>
    </w:p>
    <w:p w14:paraId="222CA78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关于发包人向承包人免费提供满足工程施工需要的场内道路和交通设施的约定：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sz w:val="21"/>
          <w:szCs w:val="21"/>
        </w:rPr>
        <w:t>。</w:t>
      </w:r>
      <w:bookmarkEnd w:id="166"/>
      <w:bookmarkEnd w:id="167"/>
      <w:bookmarkEnd w:id="168"/>
      <w:bookmarkEnd w:id="169"/>
      <w:bookmarkEnd w:id="170"/>
      <w:r>
        <w:rPr>
          <w:rFonts w:hint="eastAsia" w:asciiTheme="minorEastAsia" w:hAnsiTheme="minorEastAsia" w:eastAsiaTheme="minorEastAsia" w:cstheme="minorEastAsia"/>
          <w:sz w:val="21"/>
          <w:szCs w:val="21"/>
        </w:rPr>
        <w:t xml:space="preserve">  </w:t>
      </w:r>
      <w:bookmarkStart w:id="171" w:name="_Toc318581157"/>
    </w:p>
    <w:p w14:paraId="4C963EC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1.10.4超大件和超重件的运输</w:t>
      </w:r>
    </w:p>
    <w:p w14:paraId="731EF22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运输超大件或超重件所需的道路和桥梁临时加固改造费用和其他有关费用由</w:t>
      </w:r>
      <w:r>
        <w:rPr>
          <w:rFonts w:hint="eastAsia" w:asciiTheme="minorEastAsia" w:hAnsiTheme="minorEastAsia" w:eastAsiaTheme="minorEastAsia" w:cstheme="minorEastAsia"/>
          <w:sz w:val="21"/>
          <w:szCs w:val="21"/>
          <w:u w:val="single"/>
        </w:rPr>
        <w:t xml:space="preserve">承包人 </w:t>
      </w:r>
      <w:r>
        <w:rPr>
          <w:rFonts w:hint="eastAsia" w:asciiTheme="minorEastAsia" w:hAnsiTheme="minorEastAsia" w:eastAsiaTheme="minorEastAsia" w:cstheme="minorEastAsia"/>
          <w:sz w:val="21"/>
          <w:szCs w:val="21"/>
        </w:rPr>
        <w:t>承担。</w:t>
      </w:r>
      <w:bookmarkEnd w:id="171"/>
    </w:p>
    <w:p w14:paraId="55AFD580">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 知识产权</w:t>
      </w:r>
    </w:p>
    <w:p w14:paraId="69550F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1.11.1关于发包人提供给承包人的图纸、发包人为实施工程自行编制或委托编制的技术规范以及反映发包人关于合同要求或其他类似性质的文件的著作权的属：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5E165B93">
      <w:pPr>
        <w:spacing w:line="360" w:lineRule="auto"/>
        <w:ind w:left="596"/>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关于发包人提供的上述文件的使用限制的要求：</w:t>
      </w:r>
      <w:r>
        <w:rPr>
          <w:rFonts w:hint="eastAsia" w:asciiTheme="minorEastAsia" w:hAnsiTheme="minorEastAsia" w:eastAsiaTheme="minorEastAsia" w:cstheme="minorEastAsia"/>
          <w:color w:val="000000"/>
          <w:sz w:val="21"/>
          <w:szCs w:val="21"/>
          <w:u w:val="single"/>
        </w:rPr>
        <w:t>未经允许，承包方不得将图纸等任何资料提供给第三方（监</w:t>
      </w:r>
    </w:p>
    <w:p w14:paraId="534AA5EF">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理工程师除外）或挪作</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用</w:t>
      </w:r>
      <w:r>
        <w:rPr>
          <w:rFonts w:hint="eastAsia" w:asciiTheme="minorEastAsia" w:hAnsiTheme="minorEastAsia" w:eastAsiaTheme="minorEastAsia" w:cstheme="minorEastAsia"/>
          <w:color w:val="000000"/>
          <w:sz w:val="21"/>
          <w:szCs w:val="21"/>
        </w:rPr>
        <w:t>。</w:t>
      </w:r>
    </w:p>
    <w:p w14:paraId="3A0ECF59">
      <w:pPr>
        <w:spacing w:line="360" w:lineRule="auto"/>
        <w:ind w:left="596"/>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1.11.2 关于承包人为实施工程所编制文件的著作权的归属：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6BA9C35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关于承包人提供的上述文件的使用限制的要求：</w:t>
      </w:r>
      <w:r>
        <w:rPr>
          <w:rFonts w:hint="eastAsia" w:asciiTheme="minorEastAsia" w:hAnsiTheme="minorEastAsia" w:eastAsiaTheme="minorEastAsia" w:cstheme="minorEastAsia"/>
          <w:color w:val="000000"/>
          <w:sz w:val="21"/>
          <w:szCs w:val="21"/>
          <w:u w:val="single"/>
        </w:rPr>
        <w:t>仅限于此工程项目</w:t>
      </w:r>
      <w:r>
        <w:rPr>
          <w:rFonts w:hint="eastAsia" w:asciiTheme="minorEastAsia" w:hAnsiTheme="minorEastAsia" w:eastAsiaTheme="minorEastAsia" w:cstheme="minorEastAsia"/>
          <w:color w:val="000000"/>
          <w:sz w:val="21"/>
          <w:szCs w:val="21"/>
        </w:rPr>
        <w:t>。</w:t>
      </w:r>
    </w:p>
    <w:p w14:paraId="57C2AF13">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1.11.4 承包人在施工过程中所采用的专利、专有技术、技术秘密的使用费的承担方式：</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4785C04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1.13工程量清单错误的修正</w:t>
      </w:r>
    </w:p>
    <w:p w14:paraId="29D498C0">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出现工程量清单错误时，是否调整合同价格：</w:t>
      </w:r>
      <w:r>
        <w:rPr>
          <w:rFonts w:hint="eastAsia" w:asciiTheme="minorEastAsia" w:hAnsiTheme="minorEastAsia" w:eastAsiaTheme="minorEastAsia" w:cstheme="minorEastAsia"/>
          <w:color w:val="000000"/>
          <w:sz w:val="21"/>
          <w:szCs w:val="21"/>
          <w:u w:val="single"/>
          <w:lang w:val="en-US" w:eastAsia="zh-CN"/>
        </w:rPr>
        <w:t xml:space="preserve">否，在竣工结算时调整最终结算价 </w:t>
      </w:r>
      <w:r>
        <w:rPr>
          <w:rFonts w:hint="eastAsia" w:asciiTheme="minorEastAsia" w:hAnsiTheme="minorEastAsia" w:eastAsiaTheme="minorEastAsia" w:cstheme="minorEastAsia"/>
          <w:color w:val="000000"/>
          <w:sz w:val="21"/>
          <w:szCs w:val="21"/>
          <w:u w:val="single"/>
        </w:rPr>
        <w:t>。</w:t>
      </w:r>
    </w:p>
    <w:p w14:paraId="7050046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允许调整合同价格的工程量偏差范围：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41AC8A4">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172" w:name="_Toc351203634"/>
      <w:r>
        <w:rPr>
          <w:rFonts w:hint="eastAsia" w:asciiTheme="minorEastAsia" w:hAnsiTheme="minorEastAsia" w:eastAsiaTheme="minorEastAsia" w:cstheme="minorEastAsia"/>
          <w:b w:val="0"/>
          <w:color w:val="000000"/>
          <w:sz w:val="21"/>
          <w:szCs w:val="21"/>
        </w:rPr>
        <w:t>2</w:t>
      </w:r>
      <w:bookmarkStart w:id="173" w:name="_Toc292559362"/>
      <w:bookmarkStart w:id="174" w:name="_Toc296891197"/>
      <w:bookmarkStart w:id="175" w:name="_Toc297120457"/>
      <w:bookmarkStart w:id="176" w:name="_Toc297048343"/>
      <w:bookmarkStart w:id="177" w:name="_Toc296347156"/>
      <w:bookmarkStart w:id="178" w:name="_Toc296890985"/>
      <w:bookmarkStart w:id="179" w:name="_Toc296503157"/>
      <w:bookmarkStart w:id="180" w:name="_Toc292559867"/>
      <w:bookmarkStart w:id="181" w:name="_Toc296944496"/>
      <w:bookmarkStart w:id="182" w:name="_Toc296346658"/>
      <w:r>
        <w:rPr>
          <w:rFonts w:hint="eastAsia" w:asciiTheme="minorEastAsia" w:hAnsiTheme="minorEastAsia" w:eastAsiaTheme="minorEastAsia" w:cstheme="minorEastAsia"/>
          <w:b w:val="0"/>
          <w:color w:val="000000"/>
          <w:sz w:val="21"/>
          <w:szCs w:val="21"/>
        </w:rPr>
        <w:t>. 发包人</w:t>
      </w:r>
      <w:bookmarkEnd w:id="172"/>
      <w:bookmarkEnd w:id="173"/>
      <w:bookmarkEnd w:id="174"/>
      <w:bookmarkEnd w:id="175"/>
      <w:bookmarkEnd w:id="176"/>
      <w:bookmarkEnd w:id="177"/>
      <w:bookmarkEnd w:id="178"/>
      <w:bookmarkEnd w:id="179"/>
      <w:bookmarkEnd w:id="180"/>
      <w:bookmarkEnd w:id="181"/>
      <w:bookmarkEnd w:id="182"/>
    </w:p>
    <w:p w14:paraId="788A73A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发包人代表</w:t>
      </w:r>
    </w:p>
    <w:p w14:paraId="3C38A9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发包人代表：</w:t>
      </w:r>
    </w:p>
    <w:p w14:paraId="630FFD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8F93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105F1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B74D3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245E8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52CCF6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16FB96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发包人对发包人代表的授权范围如下：</w:t>
      </w:r>
      <w:r>
        <w:rPr>
          <w:rFonts w:hint="eastAsia" w:asciiTheme="minorEastAsia" w:hAnsiTheme="minorEastAsia" w:eastAsiaTheme="minorEastAsia" w:cstheme="minorEastAsia"/>
          <w:color w:val="000000"/>
          <w:sz w:val="21"/>
          <w:szCs w:val="21"/>
          <w:u w:val="single"/>
        </w:rPr>
        <w:t>代表施工方履行本合同中约定的权利和义务，本工程中施工方的所有文件必须经施工方工地总代表（或授权人）签署并加盖施工方公章或专用章后方为有效</w:t>
      </w:r>
      <w:r>
        <w:rPr>
          <w:rFonts w:hint="eastAsia" w:asciiTheme="minorEastAsia" w:hAnsiTheme="minorEastAsia" w:eastAsiaTheme="minorEastAsia" w:cstheme="minorEastAsia"/>
          <w:color w:val="000000"/>
          <w:sz w:val="21"/>
          <w:szCs w:val="21"/>
        </w:rPr>
        <w:t>。</w:t>
      </w:r>
    </w:p>
    <w:p w14:paraId="7D123ABD">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施工现场、施工条件和基础资料的提供</w:t>
      </w:r>
    </w:p>
    <w:p w14:paraId="675939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2.4.1 提供施工现场</w:t>
      </w:r>
    </w:p>
    <w:p w14:paraId="744FD9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关于发包人移交施工现场的期限要求：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E8C4B5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2.4.2 提供施工条件</w:t>
      </w:r>
    </w:p>
    <w:p w14:paraId="1705DED9">
      <w:pPr>
        <w:spacing w:line="360" w:lineRule="auto"/>
        <w:ind w:left="42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关于发包人应负责提供施工所需要的条件，包括：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B07838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 资金来源证明及支付担保</w:t>
      </w:r>
    </w:p>
    <w:p w14:paraId="66C020B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发包人提供资金来源证明的期限要求：</w:t>
      </w:r>
      <w:r>
        <w:rPr>
          <w:rFonts w:hint="eastAsia" w:asciiTheme="minorEastAsia" w:hAnsiTheme="minorEastAsia" w:eastAsiaTheme="minorEastAsia" w:cstheme="minorEastAsia"/>
          <w:color w:val="000000"/>
          <w:sz w:val="21"/>
          <w:szCs w:val="21"/>
          <w:u w:val="single"/>
        </w:rPr>
        <w:t xml:space="preserve">开工前一周提供 </w:t>
      </w:r>
      <w:r>
        <w:rPr>
          <w:rFonts w:hint="eastAsia" w:asciiTheme="minorEastAsia" w:hAnsiTheme="minorEastAsia" w:eastAsiaTheme="minorEastAsia" w:cstheme="minorEastAsia"/>
          <w:color w:val="000000"/>
          <w:sz w:val="21"/>
          <w:szCs w:val="21"/>
        </w:rPr>
        <w:t>。</w:t>
      </w:r>
    </w:p>
    <w:p w14:paraId="05EA2AA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发包人是否提供支付担保：</w:t>
      </w:r>
      <w:r>
        <w:rPr>
          <w:rFonts w:hint="eastAsia" w:asciiTheme="minorEastAsia" w:hAnsiTheme="minorEastAsia" w:eastAsiaTheme="minorEastAsia" w:cstheme="minorEastAsia"/>
          <w:color w:val="000000"/>
          <w:sz w:val="21"/>
          <w:szCs w:val="21"/>
          <w:u w:val="single"/>
        </w:rPr>
        <w:t>否</w:t>
      </w:r>
      <w:r>
        <w:rPr>
          <w:rFonts w:hint="eastAsia" w:asciiTheme="minorEastAsia" w:hAnsiTheme="minorEastAsia" w:eastAsiaTheme="minorEastAsia" w:cstheme="minorEastAsia"/>
          <w:color w:val="000000"/>
          <w:sz w:val="21"/>
          <w:szCs w:val="21"/>
        </w:rPr>
        <w:t>。</w:t>
      </w:r>
    </w:p>
    <w:p w14:paraId="508C93F6">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发包人提供支付担保的形式：</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p>
    <w:p w14:paraId="35D051BA">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183" w:name="_Toc351203635"/>
      <w:r>
        <w:rPr>
          <w:rFonts w:hint="eastAsia" w:asciiTheme="minorEastAsia" w:hAnsiTheme="minorEastAsia" w:eastAsiaTheme="minorEastAsia" w:cstheme="minorEastAsia"/>
          <w:b w:val="0"/>
          <w:color w:val="000000"/>
          <w:sz w:val="21"/>
          <w:szCs w:val="21"/>
        </w:rPr>
        <w:t>3</w:t>
      </w:r>
      <w:bookmarkStart w:id="184" w:name="_Toc297048344"/>
      <w:bookmarkStart w:id="185" w:name="_Toc292559363"/>
      <w:bookmarkStart w:id="186" w:name="_Toc297120458"/>
      <w:bookmarkStart w:id="187" w:name="_Toc296890986"/>
      <w:bookmarkStart w:id="188" w:name="_Toc292559868"/>
      <w:bookmarkStart w:id="189" w:name="_Toc296891198"/>
      <w:bookmarkStart w:id="190" w:name="_Toc296347157"/>
      <w:bookmarkStart w:id="191" w:name="_Toc296503158"/>
      <w:bookmarkStart w:id="192" w:name="_Toc296346659"/>
      <w:bookmarkStart w:id="193" w:name="_Toc296944497"/>
      <w:r>
        <w:rPr>
          <w:rFonts w:hint="eastAsia" w:asciiTheme="minorEastAsia" w:hAnsiTheme="minorEastAsia" w:eastAsiaTheme="minorEastAsia" w:cstheme="minorEastAsia"/>
          <w:b w:val="0"/>
          <w:color w:val="000000"/>
          <w:sz w:val="21"/>
          <w:szCs w:val="21"/>
        </w:rPr>
        <w:t>. 承包人</w:t>
      </w:r>
      <w:bookmarkEnd w:id="183"/>
      <w:bookmarkEnd w:id="184"/>
      <w:bookmarkEnd w:id="185"/>
      <w:bookmarkEnd w:id="186"/>
      <w:bookmarkEnd w:id="187"/>
      <w:bookmarkEnd w:id="188"/>
      <w:bookmarkEnd w:id="189"/>
      <w:bookmarkEnd w:id="190"/>
      <w:bookmarkEnd w:id="191"/>
      <w:bookmarkEnd w:id="192"/>
      <w:bookmarkEnd w:id="193"/>
    </w:p>
    <w:p w14:paraId="4DE3A081">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 承包人的一般义务</w:t>
      </w:r>
    </w:p>
    <w:p w14:paraId="5624F61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3.1.1</w:t>
      </w:r>
      <w:r>
        <w:rPr>
          <w:rFonts w:hint="eastAsia" w:asciiTheme="minorEastAsia" w:hAnsiTheme="minorEastAsia" w:eastAsiaTheme="minorEastAsia" w:cstheme="minorEastAsia"/>
          <w:color w:val="000000"/>
          <w:sz w:val="21"/>
          <w:szCs w:val="21"/>
        </w:rPr>
        <w:t>承包人提交的竣工资料的内容：</w:t>
      </w:r>
      <w:r>
        <w:rPr>
          <w:rFonts w:hint="eastAsia" w:asciiTheme="minorEastAsia" w:hAnsiTheme="minorEastAsia" w:eastAsiaTheme="minorEastAsia" w:cstheme="minorEastAsia"/>
          <w:color w:val="000000"/>
          <w:sz w:val="21"/>
          <w:szCs w:val="21"/>
          <w:u w:val="single"/>
        </w:rPr>
        <w:t>竣工验收申请报告，并附竣工资料，结算报告和完整的结算资料</w:t>
      </w:r>
      <w:r>
        <w:rPr>
          <w:rFonts w:hint="eastAsia" w:asciiTheme="minorEastAsia" w:hAnsiTheme="minorEastAsia" w:eastAsiaTheme="minorEastAsia" w:cstheme="minorEastAsia"/>
          <w:color w:val="000000"/>
          <w:sz w:val="21"/>
          <w:szCs w:val="21"/>
        </w:rPr>
        <w:t>。</w:t>
      </w:r>
    </w:p>
    <w:p w14:paraId="24DC3A5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承包人需要提交的竣工资料套数：</w:t>
      </w:r>
      <w:r>
        <w:rPr>
          <w:rFonts w:hint="eastAsia" w:asciiTheme="minorEastAsia" w:hAnsiTheme="minorEastAsia" w:eastAsiaTheme="minorEastAsia" w:cstheme="minorEastAsia"/>
          <w:color w:val="000000"/>
          <w:sz w:val="21"/>
          <w:szCs w:val="21"/>
          <w:u w:val="single"/>
        </w:rPr>
        <w:t>5套</w:t>
      </w:r>
      <w:r>
        <w:rPr>
          <w:rFonts w:hint="eastAsia" w:asciiTheme="minorEastAsia" w:hAnsiTheme="minorEastAsia" w:eastAsiaTheme="minorEastAsia" w:cstheme="minorEastAsia"/>
          <w:color w:val="000000"/>
          <w:sz w:val="21"/>
          <w:szCs w:val="21"/>
        </w:rPr>
        <w:t>。</w:t>
      </w:r>
    </w:p>
    <w:p w14:paraId="0999559D">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承包人提交的竣工资料的费用承担：</w:t>
      </w:r>
      <w:r>
        <w:rPr>
          <w:rFonts w:hint="eastAsia" w:asciiTheme="minorEastAsia" w:hAnsiTheme="minorEastAsia" w:eastAsiaTheme="minorEastAsia" w:cstheme="minorEastAsia"/>
          <w:color w:val="000000"/>
          <w:sz w:val="21"/>
          <w:szCs w:val="21"/>
          <w:u w:val="single"/>
        </w:rPr>
        <w:t>由承包人自行承担</w:t>
      </w:r>
      <w:r>
        <w:rPr>
          <w:rFonts w:hint="eastAsia" w:asciiTheme="minorEastAsia" w:hAnsiTheme="minorEastAsia" w:eastAsiaTheme="minorEastAsia" w:cstheme="minorEastAsia"/>
          <w:color w:val="000000"/>
          <w:sz w:val="21"/>
          <w:szCs w:val="21"/>
        </w:rPr>
        <w:t>。</w:t>
      </w:r>
    </w:p>
    <w:p w14:paraId="197AACD3">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承包人提交的竣工资料移交时间：</w:t>
      </w:r>
      <w:r>
        <w:rPr>
          <w:rFonts w:hint="eastAsia" w:asciiTheme="minorEastAsia" w:hAnsiTheme="minorEastAsia" w:eastAsiaTheme="minorEastAsia" w:cstheme="minorEastAsia"/>
          <w:color w:val="000000"/>
          <w:sz w:val="21"/>
          <w:szCs w:val="21"/>
          <w:u w:val="single"/>
        </w:rPr>
        <w:t>工程通过竣工验收后，承包人应在发包人对竣工验收报告签认后的7日内向发包人递交竣工结算报告和完整的结算资料</w:t>
      </w:r>
      <w:r>
        <w:rPr>
          <w:rFonts w:hint="eastAsia" w:asciiTheme="minorEastAsia" w:hAnsiTheme="minorEastAsia" w:eastAsiaTheme="minorEastAsia" w:cstheme="minorEastAsia"/>
          <w:color w:val="000000"/>
          <w:sz w:val="21"/>
          <w:szCs w:val="21"/>
        </w:rPr>
        <w:t>。</w:t>
      </w:r>
    </w:p>
    <w:p w14:paraId="5E4B2F2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承包人提交的竣工资料形式要求：</w:t>
      </w:r>
      <w:r>
        <w:rPr>
          <w:rFonts w:hint="eastAsia" w:asciiTheme="minorEastAsia" w:hAnsiTheme="minorEastAsia" w:eastAsiaTheme="minorEastAsia" w:cstheme="minorEastAsia"/>
          <w:color w:val="000000"/>
          <w:sz w:val="21"/>
          <w:szCs w:val="21"/>
          <w:u w:val="single"/>
        </w:rPr>
        <w:t>书面和电子形式</w:t>
      </w:r>
      <w:r>
        <w:rPr>
          <w:rFonts w:hint="eastAsia" w:asciiTheme="minorEastAsia" w:hAnsiTheme="minorEastAsia" w:eastAsiaTheme="minorEastAsia" w:cstheme="minorEastAsia"/>
          <w:color w:val="000000"/>
          <w:sz w:val="21"/>
          <w:szCs w:val="21"/>
        </w:rPr>
        <w:t>。</w:t>
      </w:r>
    </w:p>
    <w:p w14:paraId="54F353E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3.1.2</w:t>
      </w:r>
      <w:r>
        <w:rPr>
          <w:rFonts w:hint="eastAsia" w:asciiTheme="minorEastAsia" w:hAnsiTheme="minorEastAsia" w:eastAsiaTheme="minorEastAsia" w:cstheme="minorEastAsia"/>
          <w:color w:val="000000"/>
          <w:sz w:val="21"/>
          <w:szCs w:val="21"/>
        </w:rPr>
        <w:t>承包人应履行的其他义务：</w:t>
      </w:r>
      <w:r>
        <w:rPr>
          <w:rFonts w:hint="eastAsia" w:asciiTheme="minorEastAsia" w:hAnsiTheme="minorEastAsia" w:eastAsiaTheme="minorEastAsia" w:cstheme="minorEastAsia"/>
          <w:color w:val="000000"/>
          <w:sz w:val="21"/>
          <w:szCs w:val="21"/>
          <w:u w:val="single"/>
        </w:rPr>
        <w:t xml:space="preserve"> 在工程竣工验收合格并接到发包人通知后</w:t>
      </w:r>
      <w:r>
        <w:rPr>
          <w:rFonts w:hint="eastAsia" w:asciiTheme="minorEastAsia" w:hAnsiTheme="minorEastAsia" w:eastAsiaTheme="minorEastAsia" w:cstheme="minorEastAsia"/>
          <w:color w:val="000000"/>
          <w:sz w:val="21"/>
          <w:szCs w:val="21"/>
          <w:u w:val="single"/>
          <w:lang w:val="en-US" w:eastAsia="zh-CN"/>
        </w:rPr>
        <w:t>5</w:t>
      </w:r>
      <w:r>
        <w:rPr>
          <w:rFonts w:hint="eastAsia" w:asciiTheme="minorEastAsia" w:hAnsiTheme="minorEastAsia" w:eastAsiaTheme="minorEastAsia" w:cstheme="minorEastAsia"/>
          <w:color w:val="000000"/>
          <w:sz w:val="21"/>
          <w:szCs w:val="21"/>
          <w:u w:val="single"/>
        </w:rPr>
        <w:t>日内全部撤离现场并清除全部临时设施、建筑垃圾等，费用由承包人自理，清除的标准应征得发包人同意，否则发生再次清理的费用由承包人承担</w:t>
      </w:r>
      <w:r>
        <w:rPr>
          <w:rFonts w:hint="eastAsia" w:asciiTheme="minorEastAsia" w:hAnsiTheme="minorEastAsia" w:eastAsiaTheme="minorEastAsia" w:cstheme="minorEastAsia"/>
          <w:color w:val="000000"/>
          <w:sz w:val="21"/>
          <w:szCs w:val="21"/>
        </w:rPr>
        <w:t>。</w:t>
      </w:r>
    </w:p>
    <w:p w14:paraId="193EAB9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 项目经理</w:t>
      </w:r>
    </w:p>
    <w:p w14:paraId="69D2310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3.2.1 项目经理：</w:t>
      </w:r>
    </w:p>
    <w:p w14:paraId="50BA34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CDA349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95CEE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建造师执业资格等级：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29F13C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建造师注册证书号：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42F2B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建造师执业印章号：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677CE9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安全生产考核合格证书号：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2A883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561944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DE5EA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3C8417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承包人对项目经理的授权范围如下：</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C604D1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关于项目经理每月在施工现场的时间要求：</w:t>
      </w:r>
      <w:r>
        <w:rPr>
          <w:rFonts w:hint="eastAsia" w:asciiTheme="minorEastAsia" w:hAnsiTheme="minorEastAsia" w:eastAsiaTheme="minorEastAsia" w:cstheme="minorEastAsia"/>
          <w:color w:val="000000"/>
          <w:sz w:val="21"/>
          <w:szCs w:val="21"/>
          <w:u w:val="single"/>
        </w:rPr>
        <w:t>每天不少于8小时，每周不少于5天</w:t>
      </w:r>
      <w:r>
        <w:rPr>
          <w:rFonts w:hint="eastAsia" w:asciiTheme="minorEastAsia" w:hAnsiTheme="minorEastAsia" w:eastAsiaTheme="minorEastAsia" w:cstheme="minorEastAsia"/>
          <w:color w:val="000000"/>
          <w:sz w:val="21"/>
          <w:szCs w:val="21"/>
        </w:rPr>
        <w:t>。</w:t>
      </w:r>
    </w:p>
    <w:p w14:paraId="34C67A4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承包人未提交劳动合同，以及没有为项目经理缴纳社会保险证明的违约责任：</w:t>
      </w:r>
      <w:r>
        <w:rPr>
          <w:rFonts w:hint="eastAsia" w:asciiTheme="minorEastAsia" w:hAnsiTheme="minorEastAsia" w:eastAsiaTheme="minorEastAsia" w:cstheme="minorEastAsia"/>
          <w:color w:val="000000"/>
          <w:sz w:val="21"/>
          <w:szCs w:val="21"/>
          <w:u w:val="single"/>
        </w:rPr>
        <w:t>承包人投标响应文件所载明的项目经理必须常驻现场，不得擅自离开施工现场，否则发包人每发现1次，罚</w:t>
      </w:r>
      <w:r>
        <w:rPr>
          <w:rFonts w:hint="eastAsia" w:asciiTheme="minorEastAsia" w:hAnsiTheme="minorEastAsia" w:eastAsiaTheme="minorEastAsia" w:cstheme="minorEastAsia"/>
          <w:color w:val="000000"/>
          <w:sz w:val="21"/>
          <w:szCs w:val="21"/>
          <w:highlight w:val="none"/>
          <w:u w:val="single"/>
        </w:rPr>
        <w:t>款</w:t>
      </w:r>
      <w:r>
        <w:rPr>
          <w:rFonts w:hint="eastAsia" w:asciiTheme="minorEastAsia" w:hAnsiTheme="minorEastAsia" w:eastAsiaTheme="minorEastAsia" w:cstheme="minorEastAsia"/>
          <w:color w:val="000000"/>
          <w:sz w:val="21"/>
          <w:szCs w:val="21"/>
          <w:highlight w:val="none"/>
          <w:u w:val="single"/>
          <w:lang w:val="en-US" w:eastAsia="zh-CN"/>
        </w:rPr>
        <w:t>5</w:t>
      </w:r>
      <w:r>
        <w:rPr>
          <w:rFonts w:hint="eastAsia" w:asciiTheme="minorEastAsia" w:hAnsiTheme="minorEastAsia" w:eastAsiaTheme="minorEastAsia" w:cstheme="minorEastAsia"/>
          <w:color w:val="000000"/>
          <w:sz w:val="21"/>
          <w:szCs w:val="21"/>
          <w:highlight w:val="none"/>
          <w:u w:val="single"/>
        </w:rPr>
        <w:t>000</w:t>
      </w:r>
      <w:r>
        <w:rPr>
          <w:rFonts w:hint="eastAsia" w:asciiTheme="minorEastAsia" w:hAnsiTheme="minorEastAsia" w:eastAsiaTheme="minorEastAsia" w:cstheme="minorEastAsia"/>
          <w:color w:val="000000"/>
          <w:sz w:val="21"/>
          <w:szCs w:val="21"/>
          <w:u w:val="single"/>
        </w:rPr>
        <w:t>元；超过5次，视为违约，发包人有权终止合同</w:t>
      </w:r>
      <w:r>
        <w:rPr>
          <w:rFonts w:hint="eastAsia" w:asciiTheme="minorEastAsia" w:hAnsiTheme="minorEastAsia" w:eastAsiaTheme="minorEastAsia" w:cstheme="minorEastAsia"/>
          <w:color w:val="000000"/>
          <w:sz w:val="21"/>
          <w:szCs w:val="21"/>
        </w:rPr>
        <w:t>。</w:t>
      </w:r>
    </w:p>
    <w:p w14:paraId="584D7BD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项目经理未经批准，擅自离开施工现场的违约责任：</w:t>
      </w:r>
      <w:r>
        <w:rPr>
          <w:rFonts w:hint="eastAsia" w:asciiTheme="minorEastAsia" w:hAnsiTheme="minorEastAsia" w:eastAsiaTheme="minorEastAsia" w:cstheme="minorEastAsia"/>
          <w:color w:val="000000"/>
          <w:sz w:val="21"/>
          <w:szCs w:val="21"/>
          <w:u w:val="single"/>
        </w:rPr>
        <w:t xml:space="preserve">项目经理如离开工地，应向发包人代表请假并经批准，否则承包人向发包人支付违约金 </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000元／次，累计计算，在甲方支付乙方工程款时甲方扣回。直至终止合同，并报相关建设行政主管部门</w:t>
      </w:r>
      <w:r>
        <w:rPr>
          <w:rFonts w:hint="eastAsia" w:asciiTheme="minorEastAsia" w:hAnsiTheme="minorEastAsia" w:eastAsiaTheme="minorEastAsia" w:cstheme="minorEastAsia"/>
          <w:color w:val="000000"/>
          <w:sz w:val="21"/>
          <w:szCs w:val="21"/>
        </w:rPr>
        <w:t>。</w:t>
      </w:r>
    </w:p>
    <w:p w14:paraId="183BE4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3.2.3 承包人擅自更换项目经理的违约责任：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万元，从工程款中直接扣除</w:t>
      </w:r>
      <w:r>
        <w:rPr>
          <w:rFonts w:hint="eastAsia" w:asciiTheme="minorEastAsia" w:hAnsiTheme="minorEastAsia" w:eastAsiaTheme="minorEastAsia" w:cstheme="minorEastAsia"/>
          <w:color w:val="000000"/>
          <w:sz w:val="21"/>
          <w:szCs w:val="21"/>
        </w:rPr>
        <w:t>。</w:t>
      </w:r>
    </w:p>
    <w:p w14:paraId="05421420">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3.2.4 承包人无正当理由拒绝更换项目经理的违约责任：</w:t>
      </w:r>
      <w:r>
        <w:rPr>
          <w:rFonts w:hint="eastAsia" w:asciiTheme="minorEastAsia" w:hAnsiTheme="minorEastAsia" w:eastAsiaTheme="minorEastAsia" w:cstheme="minorEastAsia"/>
          <w:color w:val="000000"/>
          <w:sz w:val="21"/>
          <w:szCs w:val="21"/>
          <w:u w:val="single"/>
        </w:rPr>
        <w:t>承包人未经监理工程师和甲方批准，不得更换项目经理。项目经理因刑事犯罪、伤病丧失工作能力等确属不能履行职责需要变更的，须经监理工程师和甲方批准更换，其接替人员的资格、业绩和信誉不得低于被替换人员，如承包人无正当理由拒绝更换项目经理，需交纳违约金1万元人民币</w:t>
      </w:r>
      <w:r>
        <w:rPr>
          <w:rFonts w:hint="eastAsia" w:asciiTheme="minorEastAsia" w:hAnsiTheme="minorEastAsia" w:eastAsiaTheme="minorEastAsia" w:cstheme="minorEastAsia"/>
          <w:color w:val="000000"/>
          <w:sz w:val="21"/>
          <w:szCs w:val="21"/>
        </w:rPr>
        <w:t>。</w:t>
      </w:r>
    </w:p>
    <w:p w14:paraId="33D89D0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 承包人人员</w:t>
      </w:r>
    </w:p>
    <w:p w14:paraId="54E0BE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3.3.1 承包人提交项目管理机构及施工现场管理人员安排报告的期限：</w:t>
      </w:r>
      <w:r>
        <w:rPr>
          <w:rFonts w:hint="eastAsia" w:asciiTheme="minorEastAsia" w:hAnsiTheme="minorEastAsia" w:eastAsiaTheme="minorEastAsia" w:cstheme="minorEastAsia"/>
          <w:color w:val="000000"/>
          <w:sz w:val="21"/>
          <w:szCs w:val="21"/>
          <w:u w:val="single"/>
        </w:rPr>
        <w:t>承包人应在接到开工通知后28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Theme="minorEastAsia" w:hAnsiTheme="minorEastAsia" w:eastAsiaTheme="minorEastAsia" w:cstheme="minorEastAsia"/>
          <w:color w:val="000000"/>
          <w:sz w:val="21"/>
          <w:szCs w:val="21"/>
        </w:rPr>
        <w:t>。</w:t>
      </w:r>
    </w:p>
    <w:p w14:paraId="757CEA3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3.3.3 承包人无正当理由拒绝撤换主要施工管理人员的违约责任：</w:t>
      </w:r>
      <w:r>
        <w:rPr>
          <w:rFonts w:hint="eastAsia" w:asciiTheme="minorEastAsia" w:hAnsiTheme="minorEastAsia" w:eastAsiaTheme="minorEastAsia" w:cstheme="minorEastAsia"/>
          <w:color w:val="000000"/>
          <w:sz w:val="21"/>
          <w:szCs w:val="21"/>
          <w:u w:val="single"/>
        </w:rPr>
        <w:t>承包人应对其主要施工管理人员进行有效的管理。监理人和发包人要求撤换不能胜任本职工作、行为不端或玩忽职守的承包人主要施工管理人员的，承包人应予以撤换，否则1次罚款5000元</w:t>
      </w:r>
      <w:r>
        <w:rPr>
          <w:rFonts w:hint="eastAsia" w:asciiTheme="minorEastAsia" w:hAnsiTheme="minorEastAsia" w:eastAsiaTheme="minorEastAsia" w:cstheme="minorEastAsia"/>
          <w:color w:val="000000"/>
          <w:sz w:val="21"/>
          <w:szCs w:val="21"/>
        </w:rPr>
        <w:t>。</w:t>
      </w:r>
    </w:p>
    <w:p w14:paraId="49AAF677">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3.3.4 承包人主要施工管理人员离开施工现场的批准要求：   </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900431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3.3.5承包人擅自更换主要施工管理人员的违约责任：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承包人投标响应文件所载明的项目经理不得变更，如擅自变更，视为违约，发包人有权终止合同；如经发包人确认变更的，每变更1次罚款1万元，从工程款中直接扣除</w:t>
      </w:r>
      <w:r>
        <w:rPr>
          <w:rFonts w:hint="eastAsia" w:asciiTheme="minorEastAsia" w:hAnsiTheme="minorEastAsia" w:eastAsiaTheme="minorEastAsia" w:cstheme="minorEastAsia"/>
          <w:color w:val="000000"/>
          <w:sz w:val="21"/>
          <w:szCs w:val="21"/>
        </w:rPr>
        <w:t>。</w:t>
      </w:r>
    </w:p>
    <w:p w14:paraId="1819EF2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承包人主要施工管理人员擅自离开施工现场的违约责任：</w:t>
      </w:r>
      <w:r>
        <w:rPr>
          <w:rFonts w:hint="eastAsia" w:asciiTheme="minorEastAsia" w:hAnsiTheme="minorEastAsia" w:eastAsiaTheme="minorEastAsia" w:cstheme="minorEastAsia"/>
          <w:color w:val="000000"/>
          <w:sz w:val="21"/>
          <w:szCs w:val="21"/>
          <w:u w:val="single"/>
        </w:rPr>
        <w:t xml:space="preserve">  承包人投标响应文件所载明的主要施工管理人员必须常驻现场，不得擅自离开施工现场，否则发包人每发现1次，罚款1000元；超过5次，视为违约，发包人有权终止合同</w:t>
      </w:r>
      <w:r>
        <w:rPr>
          <w:rFonts w:hint="eastAsia" w:asciiTheme="minorEastAsia" w:hAnsiTheme="minorEastAsia" w:eastAsiaTheme="minorEastAsia" w:cstheme="minorEastAsia"/>
          <w:color w:val="000000"/>
          <w:sz w:val="21"/>
          <w:szCs w:val="21"/>
        </w:rPr>
        <w:t>。</w:t>
      </w:r>
    </w:p>
    <w:p w14:paraId="45065F4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bookmarkStart w:id="194" w:name="_Toc297120459"/>
      <w:bookmarkStart w:id="195" w:name="_Toc297048345"/>
      <w:bookmarkStart w:id="196" w:name="_Toc292559869"/>
      <w:bookmarkStart w:id="197" w:name="_Toc297123492"/>
      <w:bookmarkStart w:id="198" w:name="_Toc296891199"/>
      <w:bookmarkStart w:id="199" w:name="_Toc292559364"/>
      <w:bookmarkStart w:id="200" w:name="_Toc296503159"/>
      <w:bookmarkStart w:id="201" w:name="_Toc296346660"/>
      <w:bookmarkStart w:id="202" w:name="_Toc303539102"/>
      <w:bookmarkStart w:id="203" w:name="_Toc300934945"/>
      <w:bookmarkStart w:id="204" w:name="_Toc304295523"/>
      <w:bookmarkStart w:id="205" w:name="_Toc297216151"/>
      <w:bookmarkStart w:id="206" w:name="_Toc312677988"/>
      <w:bookmarkStart w:id="207" w:name="_Toc296347158"/>
      <w:bookmarkStart w:id="208" w:name="_Toc296944498"/>
      <w:bookmarkStart w:id="209" w:name="_Toc296890987"/>
      <w:r>
        <w:rPr>
          <w:rFonts w:hint="eastAsia" w:asciiTheme="minorEastAsia" w:hAnsiTheme="minorEastAsia" w:eastAsiaTheme="minorEastAsia" w:cstheme="minorEastAsia"/>
          <w:color w:val="000000"/>
          <w:sz w:val="21"/>
          <w:szCs w:val="21"/>
        </w:rPr>
        <w:t>.5 分包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2B492CD">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bookmarkStart w:id="210" w:name="_Toc297123493"/>
      <w:bookmarkStart w:id="211" w:name="_Toc297048346"/>
      <w:bookmarkStart w:id="212" w:name="_Toc297120460"/>
      <w:bookmarkStart w:id="213" w:name="_Toc304295524"/>
      <w:bookmarkStart w:id="214" w:name="_Toc303539103"/>
      <w:bookmarkStart w:id="215" w:name="_Toc292559870"/>
      <w:bookmarkStart w:id="216" w:name="_Toc296347159"/>
      <w:bookmarkStart w:id="217" w:name="_Toc312677989"/>
      <w:bookmarkStart w:id="218" w:name="_Toc296346661"/>
      <w:bookmarkStart w:id="219" w:name="_Toc297216152"/>
      <w:bookmarkStart w:id="220" w:name="_Toc296891200"/>
      <w:bookmarkStart w:id="221" w:name="_Toc300934946"/>
      <w:bookmarkStart w:id="222" w:name="_Toc296503160"/>
      <w:bookmarkStart w:id="223" w:name="_Toc296944499"/>
      <w:bookmarkStart w:id="224" w:name="_Toc318581158"/>
      <w:bookmarkStart w:id="225" w:name="_Toc292559365"/>
      <w:bookmarkStart w:id="226" w:name="_Toc296890988"/>
      <w:r>
        <w:rPr>
          <w:rFonts w:hint="eastAsia" w:asciiTheme="minorEastAsia" w:hAnsiTheme="minorEastAsia" w:eastAsiaTheme="minorEastAsia" w:cstheme="minorEastAsia"/>
          <w:sz w:val="21"/>
          <w:szCs w:val="21"/>
        </w:rPr>
        <w:t>.5.1 分包的一般约定</w:t>
      </w:r>
    </w:p>
    <w:p w14:paraId="21E4AA6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禁止分包的工程包括：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AF4E1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主体结构、关键性工作的范围：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27" w:name="_Toc296944500"/>
      <w:bookmarkEnd w:id="227"/>
      <w:bookmarkStart w:id="228" w:name="_Toc297120461"/>
      <w:bookmarkEnd w:id="228"/>
      <w:bookmarkStart w:id="229" w:name="_Toc297048347"/>
      <w:bookmarkEnd w:id="229"/>
      <w:bookmarkStart w:id="230" w:name="_Toc303539104"/>
      <w:bookmarkEnd w:id="230"/>
      <w:bookmarkStart w:id="231" w:name="_Toc296891201"/>
      <w:bookmarkEnd w:id="231"/>
      <w:bookmarkStart w:id="232" w:name="_Toc296347160"/>
      <w:bookmarkEnd w:id="232"/>
      <w:bookmarkStart w:id="233" w:name="_Toc304295525"/>
      <w:bookmarkEnd w:id="233"/>
      <w:bookmarkStart w:id="234" w:name="_Toc300934947"/>
      <w:bookmarkEnd w:id="234"/>
      <w:bookmarkStart w:id="235" w:name="_Toc296346662"/>
      <w:bookmarkEnd w:id="235"/>
      <w:bookmarkStart w:id="236" w:name="_Toc296503161"/>
      <w:bookmarkEnd w:id="236"/>
      <w:bookmarkStart w:id="237" w:name="_Toc297216153"/>
      <w:bookmarkEnd w:id="237"/>
      <w:bookmarkStart w:id="238" w:name="_Toc297123494"/>
      <w:bookmarkEnd w:id="238"/>
      <w:bookmarkStart w:id="239" w:name="_Toc296890989"/>
      <w:bookmarkEnd w:id="239"/>
    </w:p>
    <w:p w14:paraId="69679CB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bookmarkStart w:id="240" w:name="_Toc312677990"/>
      <w:bookmarkStart w:id="241" w:name="_Toc318581159"/>
      <w:r>
        <w:rPr>
          <w:rFonts w:hint="eastAsia" w:asciiTheme="minorEastAsia" w:hAnsiTheme="minorEastAsia" w:eastAsiaTheme="minorEastAsia" w:cstheme="minorEastAsia"/>
          <w:sz w:val="21"/>
          <w:szCs w:val="21"/>
        </w:rPr>
        <w:t>.5.2分包的确定</w:t>
      </w:r>
    </w:p>
    <w:p w14:paraId="67A98AD9">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允许分包的专业工程包括：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29F1C2B">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其他关于分包的约定：</w:t>
      </w:r>
      <w:r>
        <w:rPr>
          <w:rFonts w:hint="eastAsia" w:asciiTheme="minorEastAsia" w:hAnsiTheme="minorEastAsia" w:eastAsiaTheme="minorEastAsia" w:cstheme="minorEastAsia"/>
          <w:color w:val="000000"/>
          <w:sz w:val="21"/>
          <w:szCs w:val="21"/>
          <w:u w:val="single"/>
        </w:rPr>
        <w:t>本工程不允许承包方有任何形式的转包和未经投标方允许的分包，否则投标方有权终止合同，一切损失由承包方承担</w:t>
      </w:r>
      <w:r>
        <w:rPr>
          <w:rFonts w:hint="eastAsia" w:asciiTheme="minorEastAsia" w:hAnsiTheme="minorEastAsia" w:eastAsiaTheme="minorEastAsia" w:cstheme="minorEastAsia"/>
          <w:color w:val="000000"/>
          <w:sz w:val="21"/>
          <w:szCs w:val="21"/>
        </w:rPr>
        <w:t>。</w:t>
      </w:r>
    </w:p>
    <w:p w14:paraId="50B22743">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 分包合同价款</w:t>
      </w:r>
    </w:p>
    <w:p w14:paraId="6E6CE365">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关于分包合同价款支付的约定：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bookmarkEnd w:id="240"/>
      <w:bookmarkEnd w:id="241"/>
    </w:p>
    <w:p w14:paraId="4223ACE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3.6 工程照管与成品、半成品保护</w:t>
      </w:r>
    </w:p>
    <w:p w14:paraId="6EECC656">
      <w:pPr>
        <w:spacing w:before="120" w:after="120"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承包人负责照管工程及工程相关的材料、工程设备的起始时间：</w:t>
      </w:r>
      <w:r>
        <w:rPr>
          <w:rFonts w:hint="eastAsia" w:asciiTheme="minorEastAsia" w:hAnsiTheme="minorEastAsia" w:eastAsiaTheme="minorEastAsia" w:cstheme="minorEastAsia"/>
          <w:color w:val="000000"/>
          <w:sz w:val="21"/>
          <w:szCs w:val="21"/>
          <w:u w:val="single"/>
        </w:rPr>
        <w:t>承包人进场开工开始负责照管工程及工程相关的材料、工程设备，直至工程竣工</w:t>
      </w:r>
      <w:r>
        <w:rPr>
          <w:rFonts w:hint="eastAsia" w:asciiTheme="minorEastAsia" w:hAnsiTheme="minorEastAsia" w:eastAsiaTheme="minorEastAsia" w:cstheme="minorEastAsia"/>
          <w:color w:val="000000"/>
          <w:sz w:val="21"/>
          <w:szCs w:val="21"/>
        </w:rPr>
        <w:t>。</w:t>
      </w:r>
    </w:p>
    <w:p w14:paraId="46A6A71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 履约担保</w:t>
      </w:r>
    </w:p>
    <w:p w14:paraId="03A9AD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承包人是否提供履约担保：</w:t>
      </w:r>
      <w:r>
        <w:rPr>
          <w:rFonts w:hint="eastAsia" w:asciiTheme="minorEastAsia" w:hAnsiTheme="minorEastAsia" w:eastAsiaTheme="minorEastAsia" w:cstheme="minorEastAsia"/>
          <w:color w:val="000000"/>
          <w:sz w:val="21"/>
          <w:szCs w:val="21"/>
          <w:u w:val="single"/>
          <w:lang w:val="en-US" w:eastAsia="zh-CN"/>
        </w:rPr>
        <w:t>否</w:t>
      </w:r>
      <w:r>
        <w:rPr>
          <w:rFonts w:hint="eastAsia" w:asciiTheme="minorEastAsia" w:hAnsiTheme="minorEastAsia" w:eastAsiaTheme="minorEastAsia" w:cstheme="minorEastAsia"/>
          <w:color w:val="000000"/>
          <w:sz w:val="21"/>
          <w:szCs w:val="21"/>
        </w:rPr>
        <w:t>。</w:t>
      </w:r>
    </w:p>
    <w:p w14:paraId="1F0700C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承包人提供履约担保的形式、金额及</w:t>
      </w:r>
      <w:r>
        <w:rPr>
          <w:rFonts w:hint="eastAsia" w:asciiTheme="minorEastAsia" w:hAnsiTheme="minorEastAsia" w:eastAsiaTheme="minorEastAsia" w:cstheme="minorEastAsia"/>
          <w:color w:val="000000"/>
          <w:sz w:val="21"/>
          <w:szCs w:val="21"/>
          <w:lang w:eastAsia="zh-CN"/>
        </w:rPr>
        <w:t>期限</w:t>
      </w:r>
      <w:r>
        <w:rPr>
          <w:rFonts w:hint="eastAsia" w:asciiTheme="minorEastAsia" w:hAnsiTheme="minorEastAsia" w:eastAsiaTheme="minorEastAsia" w:cstheme="minorEastAsia"/>
          <w:color w:val="000000"/>
          <w:sz w:val="21"/>
          <w:szCs w:val="21"/>
        </w:rPr>
        <w:t>：</w:t>
      </w:r>
    </w:p>
    <w:p w14:paraId="18B007F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支票、汇票、本票、保函</w:t>
      </w:r>
      <w:r>
        <w:rPr>
          <w:rFonts w:hint="eastAsia" w:asciiTheme="minorEastAsia" w:hAnsiTheme="minorEastAsia" w:eastAsiaTheme="minorEastAsia" w:cstheme="minorEastAsia"/>
          <w:color w:val="000000"/>
          <w:sz w:val="21"/>
          <w:szCs w:val="21"/>
          <w:u w:val="single"/>
          <w:lang w:val="en-US" w:eastAsia="zh-CN"/>
        </w:rPr>
        <w:t>等</w:t>
      </w:r>
      <w:r>
        <w:rPr>
          <w:rFonts w:hint="eastAsia" w:asciiTheme="minorEastAsia" w:hAnsiTheme="minorEastAsia" w:eastAsiaTheme="minorEastAsia" w:cstheme="minorEastAsia"/>
          <w:color w:val="000000"/>
          <w:sz w:val="21"/>
          <w:szCs w:val="21"/>
          <w:u w:val="single"/>
        </w:rPr>
        <w:t>。</w:t>
      </w:r>
    </w:p>
    <w:p w14:paraId="6FCC832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中标价的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w:t>
      </w:r>
    </w:p>
    <w:p w14:paraId="4587E0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中标人在领取中标通知书后向招标人提交履约担保</w:t>
      </w:r>
      <w:r>
        <w:rPr>
          <w:rFonts w:hint="eastAsia" w:asciiTheme="minorEastAsia" w:hAnsiTheme="minorEastAsia" w:eastAsiaTheme="minorEastAsia" w:cstheme="minorEastAsia"/>
          <w:color w:val="000000"/>
          <w:sz w:val="21"/>
          <w:szCs w:val="21"/>
        </w:rPr>
        <w:t>。</w:t>
      </w:r>
    </w:p>
    <w:p w14:paraId="1DB66137">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42" w:name="_Toc351203636"/>
      <w:r>
        <w:rPr>
          <w:rFonts w:hint="eastAsia" w:asciiTheme="minorEastAsia" w:hAnsiTheme="minorEastAsia" w:eastAsiaTheme="minorEastAsia" w:cstheme="minorEastAsia"/>
          <w:b w:val="0"/>
          <w:color w:val="000000"/>
          <w:sz w:val="21"/>
          <w:szCs w:val="21"/>
        </w:rPr>
        <w:t>4</w:t>
      </w:r>
      <w:bookmarkStart w:id="243" w:name="_Toc296347161"/>
      <w:bookmarkStart w:id="244" w:name="_Toc292559366"/>
      <w:bookmarkStart w:id="245" w:name="_Toc296503162"/>
      <w:bookmarkStart w:id="246" w:name="_Toc297120462"/>
      <w:bookmarkStart w:id="247" w:name="_Toc267251413"/>
      <w:bookmarkStart w:id="248" w:name="_Toc292559871"/>
      <w:bookmarkStart w:id="249" w:name="_Toc296346663"/>
      <w:bookmarkStart w:id="250" w:name="_Toc296890990"/>
      <w:bookmarkStart w:id="251" w:name="_Toc296891202"/>
      <w:bookmarkStart w:id="252" w:name="_Toc296944501"/>
      <w:bookmarkStart w:id="253" w:name="_Toc297048348"/>
      <w:r>
        <w:rPr>
          <w:rFonts w:hint="eastAsia" w:asciiTheme="minorEastAsia" w:hAnsiTheme="minorEastAsia" w:eastAsiaTheme="minorEastAsia" w:cstheme="minorEastAsia"/>
          <w:b w:val="0"/>
          <w:color w:val="000000"/>
          <w:sz w:val="21"/>
          <w:szCs w:val="21"/>
        </w:rPr>
        <w:t>. 监</w:t>
      </w:r>
      <w:bookmarkEnd w:id="243"/>
      <w:bookmarkEnd w:id="244"/>
      <w:bookmarkEnd w:id="245"/>
      <w:bookmarkEnd w:id="246"/>
      <w:bookmarkEnd w:id="247"/>
      <w:bookmarkEnd w:id="248"/>
      <w:bookmarkEnd w:id="249"/>
      <w:bookmarkEnd w:id="250"/>
      <w:bookmarkEnd w:id="251"/>
      <w:bookmarkEnd w:id="252"/>
      <w:bookmarkEnd w:id="253"/>
      <w:r>
        <w:rPr>
          <w:rFonts w:hint="eastAsia" w:asciiTheme="minorEastAsia" w:hAnsiTheme="minorEastAsia" w:eastAsiaTheme="minorEastAsia" w:cstheme="minorEastAsia"/>
          <w:b w:val="0"/>
          <w:color w:val="000000"/>
          <w:sz w:val="21"/>
          <w:szCs w:val="21"/>
        </w:rPr>
        <w:t>理人</w:t>
      </w:r>
      <w:bookmarkEnd w:id="242"/>
    </w:p>
    <w:p w14:paraId="2AEE775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4.1监理人的一般规定</w:t>
      </w:r>
    </w:p>
    <w:p w14:paraId="0EB9AAC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关于监理人的监理内容：</w:t>
      </w:r>
      <w:r>
        <w:rPr>
          <w:rFonts w:hint="eastAsia" w:asciiTheme="minorEastAsia" w:hAnsiTheme="minorEastAsia" w:eastAsiaTheme="minorEastAsia" w:cstheme="minorEastAsia"/>
          <w:color w:val="000000"/>
          <w:sz w:val="21"/>
          <w:szCs w:val="21"/>
          <w:u w:val="single"/>
        </w:rPr>
        <w:t>施工及保修阶段工程质量、进度、造价、安全控制；信息、合同管理；现场协调，详见监理合同</w:t>
      </w:r>
      <w:r>
        <w:rPr>
          <w:rFonts w:hint="eastAsia" w:asciiTheme="minorEastAsia" w:hAnsiTheme="minorEastAsia" w:eastAsiaTheme="minorEastAsia" w:cstheme="minorEastAsia"/>
          <w:color w:val="000000"/>
          <w:sz w:val="21"/>
          <w:szCs w:val="21"/>
        </w:rPr>
        <w:t>。</w:t>
      </w:r>
    </w:p>
    <w:p w14:paraId="2D9873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关于监理人的监理权限：</w:t>
      </w:r>
      <w:r>
        <w:rPr>
          <w:rFonts w:hint="eastAsia" w:asciiTheme="minorEastAsia" w:hAnsiTheme="minorEastAsia" w:eastAsiaTheme="minorEastAsia" w:cstheme="minorEastAsia"/>
          <w:color w:val="000000"/>
          <w:sz w:val="21"/>
          <w:szCs w:val="21"/>
          <w:u w:val="single"/>
        </w:rPr>
        <w:t>所有涉及工程造价的签证单、施工中和图纸中的建议、变更单及开工令、停工令、复工令等，详见监理合同。隐蔽工程验收单，标准的确认，分包单位（如有）的确认</w:t>
      </w:r>
      <w:r>
        <w:rPr>
          <w:rFonts w:hint="eastAsia" w:asciiTheme="minorEastAsia" w:hAnsiTheme="minorEastAsia" w:eastAsiaTheme="minorEastAsia" w:cstheme="minorEastAsia"/>
          <w:color w:val="000000"/>
          <w:sz w:val="21"/>
          <w:szCs w:val="21"/>
        </w:rPr>
        <w:t xml:space="preserve">。 </w:t>
      </w:r>
    </w:p>
    <w:p w14:paraId="4F8B86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关于监理人在施工现场的办公场所、生活场所的提供和费用承担的约定：</w:t>
      </w:r>
      <w:r>
        <w:rPr>
          <w:rFonts w:hint="eastAsia" w:asciiTheme="minorEastAsia" w:hAnsiTheme="minorEastAsia" w:eastAsiaTheme="minorEastAsia" w:cstheme="minorEastAsia"/>
          <w:color w:val="000000"/>
          <w:sz w:val="21"/>
          <w:szCs w:val="21"/>
          <w:u w:val="single"/>
        </w:rPr>
        <w:t>承包人应积极配合向监理人提供施工现场的办</w:t>
      </w:r>
      <w:r>
        <w:rPr>
          <w:rFonts w:hint="eastAsia" w:asciiTheme="minorEastAsia" w:hAnsiTheme="minorEastAsia" w:eastAsiaTheme="minorEastAsia" w:cstheme="minorEastAsia"/>
          <w:color w:val="000000"/>
          <w:sz w:val="21"/>
          <w:szCs w:val="21"/>
          <w:u w:val="single"/>
          <w:lang w:val="en-US" w:eastAsia="zh-CN"/>
        </w:rPr>
        <w:t>公</w:t>
      </w:r>
      <w:r>
        <w:rPr>
          <w:rFonts w:hint="eastAsia" w:asciiTheme="minorEastAsia" w:hAnsiTheme="minorEastAsia" w:eastAsiaTheme="minorEastAsia" w:cstheme="minorEastAsia"/>
          <w:color w:val="000000"/>
          <w:sz w:val="21"/>
          <w:szCs w:val="21"/>
          <w:u w:val="single"/>
        </w:rPr>
        <w:t>用房和必要的办公设施，一切费用由承包人承担</w:t>
      </w:r>
      <w:r>
        <w:rPr>
          <w:rFonts w:hint="eastAsia" w:asciiTheme="minorEastAsia" w:hAnsiTheme="minorEastAsia" w:eastAsiaTheme="minorEastAsia" w:cstheme="minorEastAsia"/>
          <w:color w:val="000000"/>
          <w:sz w:val="21"/>
          <w:szCs w:val="21"/>
        </w:rPr>
        <w:t>。</w:t>
      </w:r>
    </w:p>
    <w:p w14:paraId="5E197A9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 监理人员</w:t>
      </w:r>
    </w:p>
    <w:p w14:paraId="1A3F64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总监理工程师：</w:t>
      </w:r>
    </w:p>
    <w:p w14:paraId="01D067E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FE6A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520F5D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监理工程师执业资格证书号：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B83F4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C7E3CE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ED0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2915E1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关于监理人的其他约定：</w:t>
      </w:r>
      <w:r>
        <w:rPr>
          <w:rFonts w:hint="eastAsia" w:asciiTheme="minorEastAsia" w:hAnsiTheme="minorEastAsia" w:eastAsiaTheme="minorEastAsia" w:cstheme="minorEastAsia"/>
          <w:color w:val="000000"/>
          <w:sz w:val="21"/>
          <w:szCs w:val="21"/>
          <w:u w:val="single"/>
        </w:rPr>
        <w:t>具体详见监理合同</w:t>
      </w:r>
      <w:r>
        <w:rPr>
          <w:rFonts w:hint="eastAsia" w:asciiTheme="minorEastAsia" w:hAnsiTheme="minorEastAsia" w:eastAsiaTheme="minorEastAsia" w:cstheme="minorEastAsia"/>
          <w:color w:val="000000"/>
          <w:sz w:val="21"/>
          <w:szCs w:val="21"/>
        </w:rPr>
        <w:t>。</w:t>
      </w:r>
    </w:p>
    <w:p w14:paraId="4043373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 商定或确定</w:t>
      </w:r>
    </w:p>
    <w:p w14:paraId="78A1152E">
      <w:pPr>
        <w:spacing w:line="360" w:lineRule="auto"/>
        <w:ind w:firstLine="600"/>
        <w:rPr>
          <w:rFonts w:hint="eastAsia" w:asciiTheme="minorEastAsia" w:hAnsiTheme="minorEastAsia" w:eastAsiaTheme="minorEastAsia" w:cstheme="minorEastAsia"/>
          <w:color w:val="000000"/>
          <w:sz w:val="21"/>
          <w:szCs w:val="21"/>
        </w:rPr>
      </w:pPr>
      <w:bookmarkStart w:id="254" w:name="_Toc267251418"/>
      <w:r>
        <w:rPr>
          <w:rFonts w:hint="eastAsia" w:asciiTheme="minorEastAsia" w:hAnsiTheme="minorEastAsia" w:eastAsiaTheme="minorEastAsia" w:cstheme="minorEastAsia"/>
          <w:color w:val="000000"/>
          <w:sz w:val="21"/>
          <w:szCs w:val="21"/>
        </w:rPr>
        <w:t>在发包人和承包人不能通过协商达成一致意见时，发包人授权监理人对以下事项进行确定：</w:t>
      </w:r>
    </w:p>
    <w:p w14:paraId="76B372E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2264B9AD">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55" w:name="_Toc351203637"/>
      <w:r>
        <w:rPr>
          <w:rFonts w:hint="eastAsia" w:asciiTheme="minorEastAsia" w:hAnsiTheme="minorEastAsia" w:eastAsiaTheme="minorEastAsia" w:cstheme="minorEastAsia"/>
          <w:b w:val="0"/>
          <w:color w:val="000000"/>
          <w:sz w:val="21"/>
          <w:szCs w:val="21"/>
        </w:rPr>
        <w:t>5</w:t>
      </w:r>
      <w:bookmarkEnd w:id="254"/>
      <w:bookmarkStart w:id="256" w:name="_Toc296347162"/>
      <w:bookmarkStart w:id="257" w:name="_Toc297120463"/>
      <w:bookmarkStart w:id="258" w:name="_Toc297048349"/>
      <w:bookmarkStart w:id="259" w:name="_Toc292559872"/>
      <w:bookmarkStart w:id="260" w:name="_Toc292559367"/>
      <w:bookmarkStart w:id="261" w:name="_Toc296503163"/>
      <w:bookmarkStart w:id="262" w:name="_Toc296891203"/>
      <w:bookmarkStart w:id="263" w:name="_Toc296890991"/>
      <w:bookmarkStart w:id="264" w:name="_Toc296944502"/>
      <w:bookmarkStart w:id="265" w:name="_Toc296346664"/>
      <w:r>
        <w:rPr>
          <w:rFonts w:hint="eastAsia" w:asciiTheme="minorEastAsia" w:hAnsiTheme="minorEastAsia" w:eastAsiaTheme="minorEastAsia" w:cstheme="minorEastAsia"/>
          <w:b w:val="0"/>
          <w:color w:val="000000"/>
          <w:sz w:val="21"/>
          <w:szCs w:val="21"/>
        </w:rPr>
        <w:t>. 工程质量</w:t>
      </w:r>
      <w:bookmarkEnd w:id="255"/>
    </w:p>
    <w:p w14:paraId="06A417E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 质量要求</w:t>
      </w:r>
    </w:p>
    <w:p w14:paraId="1CB2E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bookmarkStart w:id="266" w:name="_Toc304295527"/>
      <w:bookmarkStart w:id="267" w:name="_Toc318581164"/>
      <w:bookmarkStart w:id="268" w:name="_Toc297216155"/>
      <w:bookmarkStart w:id="269" w:name="_Toc297123496"/>
      <w:bookmarkStart w:id="270" w:name="_Toc300934949"/>
      <w:bookmarkStart w:id="271" w:name="_Toc312677997"/>
      <w:bookmarkStart w:id="272" w:name="_Toc303539106"/>
      <w:r>
        <w:rPr>
          <w:rFonts w:hint="eastAsia" w:asciiTheme="minorEastAsia" w:hAnsiTheme="minorEastAsia" w:eastAsiaTheme="minorEastAsia" w:cstheme="minorEastAsia"/>
          <w:sz w:val="21"/>
          <w:szCs w:val="21"/>
        </w:rPr>
        <w:t>.1.1 特殊质量标准和要求：</w:t>
      </w:r>
      <w:r>
        <w:rPr>
          <w:rFonts w:hint="eastAsia" w:asciiTheme="minorEastAsia" w:hAnsiTheme="minorEastAsia" w:eastAsiaTheme="minorEastAsia" w:cstheme="minorEastAsia"/>
          <w:sz w:val="21"/>
          <w:szCs w:val="21"/>
          <w:u w:val="single"/>
        </w:rPr>
        <w:t>符合国家质量验收标准</w:t>
      </w:r>
      <w:r>
        <w:rPr>
          <w:rFonts w:hint="eastAsia" w:asciiTheme="minorEastAsia" w:hAnsiTheme="minorEastAsia" w:eastAsiaTheme="minorEastAsia" w:cstheme="minorEastAsia"/>
          <w:sz w:val="21"/>
          <w:szCs w:val="21"/>
        </w:rPr>
        <w:t>。</w:t>
      </w:r>
    </w:p>
    <w:p w14:paraId="09E919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关于工程奖项的约定：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32B0A15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 隐蔽工程检查</w:t>
      </w:r>
    </w:p>
    <w:p w14:paraId="795D6A9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5.3.2承包人提前通知监理人隐蔽工程检查的期限的约定：</w:t>
      </w:r>
      <w:r>
        <w:rPr>
          <w:rFonts w:hint="eastAsia" w:asciiTheme="minorEastAsia" w:hAnsiTheme="minorEastAsia" w:eastAsiaTheme="minorEastAsia" w:cstheme="minorEastAsia"/>
          <w:sz w:val="21"/>
          <w:szCs w:val="21"/>
          <w:u w:val="single"/>
        </w:rPr>
        <w:t>分部分项工程具备隐蔽条件或达到本合同约定的中间验收部位时，承包方自检合格后，按规范通知施工方和监理验收，并准备验收资料</w:t>
      </w:r>
      <w:r>
        <w:rPr>
          <w:rFonts w:hint="eastAsia" w:asciiTheme="minorEastAsia" w:hAnsiTheme="minorEastAsia" w:eastAsiaTheme="minorEastAsia" w:cstheme="minorEastAsia"/>
          <w:sz w:val="21"/>
          <w:szCs w:val="21"/>
        </w:rPr>
        <w:t>。</w:t>
      </w:r>
    </w:p>
    <w:p w14:paraId="2BBD760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监理人不能按时进行检查时，应提前</w:t>
      </w:r>
      <w:r>
        <w:rPr>
          <w:rFonts w:hint="eastAsia" w:asciiTheme="minorEastAsia" w:hAnsiTheme="minorEastAsia" w:eastAsiaTheme="minorEastAsia" w:cstheme="minorEastAsia"/>
          <w:sz w:val="21"/>
          <w:szCs w:val="21"/>
          <w:u w:val="single"/>
        </w:rPr>
        <w:t>24</w:t>
      </w:r>
      <w:r>
        <w:rPr>
          <w:rFonts w:hint="eastAsia" w:asciiTheme="minorEastAsia" w:hAnsiTheme="minorEastAsia" w:eastAsiaTheme="minorEastAsia" w:cstheme="minorEastAsia"/>
          <w:sz w:val="21"/>
          <w:szCs w:val="21"/>
        </w:rPr>
        <w:t>小时提交书面延期要求。</w:t>
      </w:r>
    </w:p>
    <w:p w14:paraId="76F4F0E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 xml:space="preserve">48 </w:t>
      </w:r>
      <w:r>
        <w:rPr>
          <w:rFonts w:hint="eastAsia" w:asciiTheme="minorEastAsia" w:hAnsiTheme="minorEastAsia" w:eastAsiaTheme="minorEastAsia" w:cstheme="minorEastAsia"/>
          <w:sz w:val="21"/>
          <w:szCs w:val="21"/>
        </w:rPr>
        <w:t>小时。</w:t>
      </w:r>
    </w:p>
    <w:p w14:paraId="76CBAE0E">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73" w:name="_Toc351203638"/>
      <w:r>
        <w:rPr>
          <w:rFonts w:hint="eastAsia" w:asciiTheme="minorEastAsia" w:hAnsiTheme="minorEastAsia" w:eastAsiaTheme="minorEastAsia" w:cstheme="minorEastAsia"/>
          <w:b w:val="0"/>
          <w:color w:val="000000"/>
          <w:sz w:val="21"/>
          <w:szCs w:val="21"/>
        </w:rPr>
        <w:t>6. 安全文明施工与环境保护</w:t>
      </w:r>
      <w:bookmarkEnd w:id="273"/>
    </w:p>
    <w:p w14:paraId="2C58423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6.1安全文明施工</w:t>
      </w:r>
    </w:p>
    <w:p w14:paraId="5C34E62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w:t>
      </w:r>
      <w:r>
        <w:rPr>
          <w:rFonts w:hint="eastAsia" w:asciiTheme="minorEastAsia" w:hAnsiTheme="minorEastAsia" w:eastAsiaTheme="minorEastAsia" w:cstheme="minorEastAsia"/>
          <w:color w:val="000000"/>
          <w:sz w:val="21"/>
          <w:szCs w:val="21"/>
        </w:rPr>
        <w:t xml:space="preserve"> 项目安全生产的达标目标及相应事项的约定：</w:t>
      </w:r>
      <w:r>
        <w:rPr>
          <w:rFonts w:hint="eastAsia" w:asciiTheme="minorEastAsia" w:hAnsiTheme="minorEastAsia" w:eastAsiaTheme="minorEastAsia" w:cstheme="minorEastAsia"/>
          <w:sz w:val="21"/>
          <w:szCs w:val="21"/>
          <w:u w:val="single"/>
        </w:rPr>
        <w:t>承包人必须承担施工安全保卫工作及非夜间施工照明的责任，费用含在合同价款内，由此引发的事故均由承包方负责</w:t>
      </w:r>
      <w:r>
        <w:rPr>
          <w:rFonts w:hint="eastAsia" w:asciiTheme="minorEastAsia" w:hAnsiTheme="minorEastAsia" w:eastAsiaTheme="minorEastAsia" w:cstheme="minorEastAsia"/>
          <w:sz w:val="21"/>
          <w:szCs w:val="21"/>
        </w:rPr>
        <w:t>。</w:t>
      </w:r>
    </w:p>
    <w:p w14:paraId="6143BCF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6.1.4 关于治安保卫的特别约定：</w:t>
      </w:r>
      <w:r>
        <w:rPr>
          <w:rFonts w:hint="eastAsia" w:asciiTheme="minorEastAsia" w:hAnsiTheme="minorEastAsia" w:eastAsiaTheme="minorEastAsia" w:cstheme="minorEastAsia"/>
          <w:sz w:val="21"/>
          <w:szCs w:val="21"/>
          <w:u w:val="single"/>
        </w:rPr>
        <w:t>承包人全面负责工地安全及施工工地保卫工作，负责施工人员的治安教育和管理工作；负责外单位车辆及人员进入场地的登记和安全保卫及教育工作，由此发生的安全事故和损失均由承包人负责</w:t>
      </w:r>
      <w:r>
        <w:rPr>
          <w:rFonts w:hint="eastAsia" w:asciiTheme="minorEastAsia" w:hAnsiTheme="minorEastAsia" w:eastAsiaTheme="minorEastAsia" w:cstheme="minorEastAsia"/>
          <w:sz w:val="21"/>
          <w:szCs w:val="21"/>
        </w:rPr>
        <w:t>。</w:t>
      </w:r>
    </w:p>
    <w:p w14:paraId="46B6597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关于编制施工场地治安管理计划的约定：</w:t>
      </w:r>
      <w:r>
        <w:rPr>
          <w:rFonts w:hint="eastAsia" w:asciiTheme="minorEastAsia" w:hAnsiTheme="minorEastAsia" w:eastAsiaTheme="minorEastAsia" w:cstheme="minorEastAsia"/>
          <w:sz w:val="21"/>
          <w:szCs w:val="21"/>
          <w:u w:val="single"/>
        </w:rPr>
        <w:t xml:space="preserve">发包人和承包人应在工程开工前，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r>
        <w:rPr>
          <w:rFonts w:hint="eastAsia" w:asciiTheme="minorEastAsia" w:hAnsiTheme="minorEastAsia" w:eastAsiaTheme="minorEastAsia" w:cstheme="minorEastAsia"/>
          <w:sz w:val="21"/>
          <w:szCs w:val="21"/>
        </w:rPr>
        <w:t>。</w:t>
      </w:r>
    </w:p>
    <w:p w14:paraId="296E0B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 文明施工</w:t>
      </w:r>
    </w:p>
    <w:p w14:paraId="6E91E5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合同当事人对文明施工的要求：</w:t>
      </w:r>
      <w:r>
        <w:rPr>
          <w:rFonts w:hint="eastAsia" w:asciiTheme="minorEastAsia" w:hAnsiTheme="minorEastAsia" w:eastAsiaTheme="minorEastAsia" w:cstheme="minorEastAsia"/>
          <w:sz w:val="21"/>
          <w:szCs w:val="21"/>
          <w:u w:val="single"/>
        </w:rPr>
        <w:t>按标准化施工现场要求办理。承包人所有人员进入工地后必须遵守市容等有关主管部门及发包人管理规定，做到文明施工、规范施工。承包人违反规定造成的损失和罚款由承包人负责</w:t>
      </w:r>
      <w:r>
        <w:rPr>
          <w:rFonts w:hint="eastAsia" w:asciiTheme="minorEastAsia" w:hAnsiTheme="minorEastAsia" w:eastAsiaTheme="minorEastAsia" w:cstheme="minorEastAsia"/>
          <w:sz w:val="21"/>
          <w:szCs w:val="21"/>
        </w:rPr>
        <w:t>。</w:t>
      </w:r>
    </w:p>
    <w:p w14:paraId="7C63979B">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6.1.6 关于安全文明施工费支付比例和支付期限的约定：</w:t>
      </w:r>
      <w:r>
        <w:rPr>
          <w:rFonts w:hint="eastAsia" w:asciiTheme="minorEastAsia" w:hAnsiTheme="minorEastAsia" w:eastAsiaTheme="minorEastAsia" w:cstheme="minorEastAsia"/>
          <w:sz w:val="21"/>
          <w:szCs w:val="21"/>
          <w:u w:val="single"/>
        </w:rPr>
        <w:t>另行协商</w:t>
      </w:r>
      <w:r>
        <w:rPr>
          <w:rFonts w:hint="eastAsia" w:asciiTheme="minorEastAsia" w:hAnsiTheme="minorEastAsia" w:eastAsiaTheme="minorEastAsia" w:cstheme="minorEastAsia"/>
          <w:sz w:val="21"/>
          <w:szCs w:val="21"/>
        </w:rPr>
        <w:t>。</w:t>
      </w:r>
    </w:p>
    <w:bookmarkEnd w:id="266"/>
    <w:bookmarkEnd w:id="267"/>
    <w:bookmarkEnd w:id="268"/>
    <w:bookmarkEnd w:id="269"/>
    <w:bookmarkEnd w:id="270"/>
    <w:bookmarkEnd w:id="271"/>
    <w:bookmarkEnd w:id="272"/>
    <w:p w14:paraId="25BB143A">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274" w:name="_Toc351203639"/>
      <w:r>
        <w:rPr>
          <w:rFonts w:hint="eastAsia" w:asciiTheme="minorEastAsia" w:hAnsiTheme="minorEastAsia" w:eastAsiaTheme="minorEastAsia" w:cstheme="minorEastAsia"/>
          <w:b w:val="0"/>
          <w:color w:val="000000"/>
          <w:sz w:val="21"/>
          <w:szCs w:val="21"/>
        </w:rPr>
        <w:t>7. 工期和进度</w:t>
      </w:r>
      <w:bookmarkEnd w:id="274"/>
    </w:p>
    <w:p w14:paraId="75FAB20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 施工组织设计</w:t>
      </w:r>
    </w:p>
    <w:p w14:paraId="242F78F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7.1.1 </w:t>
      </w:r>
      <w:r>
        <w:rPr>
          <w:rFonts w:hint="eastAsia" w:asciiTheme="minorEastAsia" w:hAnsiTheme="minorEastAsia" w:eastAsiaTheme="minorEastAsia" w:cstheme="minorEastAsia"/>
          <w:color w:val="000000"/>
          <w:sz w:val="21"/>
          <w:szCs w:val="21"/>
        </w:rPr>
        <w:t>合同当事人约定的施工组织设计应包括的其他内容：</w:t>
      </w:r>
      <w:r>
        <w:rPr>
          <w:rFonts w:hint="eastAsia" w:asciiTheme="minorEastAsia" w:hAnsiTheme="minorEastAsia" w:eastAsiaTheme="minorEastAsia" w:cstheme="minorEastAsia"/>
          <w:sz w:val="21"/>
          <w:szCs w:val="21"/>
          <w:u w:val="single"/>
        </w:rPr>
        <w:t>主要技术经济指标、工程概况、各项资源需求量计划</w:t>
      </w:r>
      <w:r>
        <w:rPr>
          <w:rFonts w:hint="eastAsia" w:asciiTheme="minorEastAsia" w:hAnsiTheme="minorEastAsia" w:eastAsiaTheme="minorEastAsia" w:cstheme="minorEastAsia"/>
          <w:sz w:val="21"/>
          <w:szCs w:val="21"/>
        </w:rPr>
        <w:t>。</w:t>
      </w:r>
    </w:p>
    <w:p w14:paraId="2A631E5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7.1.2</w:t>
      </w:r>
      <w:r>
        <w:rPr>
          <w:rFonts w:hint="eastAsia" w:asciiTheme="minorEastAsia" w:hAnsiTheme="minorEastAsia" w:eastAsiaTheme="minorEastAsia" w:cstheme="minorEastAsia"/>
          <w:color w:val="000000"/>
          <w:sz w:val="21"/>
          <w:szCs w:val="21"/>
        </w:rPr>
        <w:t xml:space="preserve"> 施工组织设计的提交和修改</w:t>
      </w:r>
    </w:p>
    <w:p w14:paraId="1F57836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承包人提交详细施工组织设计的期限的约定：</w:t>
      </w:r>
      <w:r>
        <w:rPr>
          <w:rFonts w:hint="eastAsia" w:asciiTheme="minorEastAsia" w:hAnsiTheme="minorEastAsia" w:eastAsiaTheme="minorEastAsia" w:cstheme="minorEastAsia"/>
          <w:sz w:val="21"/>
          <w:szCs w:val="21"/>
          <w:u w:val="single"/>
        </w:rPr>
        <w:t xml:space="preserve">发包人提供全套施工图纸后七天内 </w:t>
      </w:r>
      <w:r>
        <w:rPr>
          <w:rFonts w:hint="eastAsia" w:asciiTheme="minorEastAsia" w:hAnsiTheme="minorEastAsia" w:eastAsiaTheme="minorEastAsia" w:cstheme="minorEastAsia"/>
          <w:sz w:val="21"/>
          <w:szCs w:val="21"/>
        </w:rPr>
        <w:t>。</w:t>
      </w:r>
    </w:p>
    <w:p w14:paraId="3E2287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发包人和监理人在收到详细的施工组织设计后确认或提出修改意见的期限：</w:t>
      </w:r>
      <w:r>
        <w:rPr>
          <w:rFonts w:hint="eastAsia" w:asciiTheme="minorEastAsia" w:hAnsiTheme="minorEastAsia" w:eastAsiaTheme="minorEastAsia" w:cstheme="minorEastAsia"/>
          <w:sz w:val="21"/>
          <w:szCs w:val="21"/>
          <w:u w:val="single"/>
        </w:rPr>
        <w:t xml:space="preserve">1周内  </w:t>
      </w:r>
      <w:r>
        <w:rPr>
          <w:rFonts w:hint="eastAsia" w:asciiTheme="minorEastAsia" w:hAnsiTheme="minorEastAsia" w:eastAsiaTheme="minorEastAsia" w:cstheme="minorEastAsia"/>
          <w:sz w:val="21"/>
          <w:szCs w:val="21"/>
        </w:rPr>
        <w:t>。</w:t>
      </w:r>
    </w:p>
    <w:p w14:paraId="32E77D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75" w:name="_Toc297216173"/>
      <w:bookmarkStart w:id="276" w:name="_Toc297123514"/>
      <w:bookmarkStart w:id="277" w:name="_Toc312678005"/>
      <w:bookmarkStart w:id="278" w:name="_Toc300934966"/>
      <w:bookmarkStart w:id="279" w:name="_Toc312677479"/>
      <w:bookmarkStart w:id="280" w:name="_Toc304295541"/>
      <w:bookmarkStart w:id="281" w:name="_Toc303539123"/>
      <w:r>
        <w:rPr>
          <w:rFonts w:hint="eastAsia" w:asciiTheme="minorEastAsia" w:hAnsiTheme="minorEastAsia" w:eastAsiaTheme="minorEastAsia" w:cstheme="minorEastAsia"/>
          <w:color w:val="000000"/>
          <w:sz w:val="21"/>
          <w:szCs w:val="21"/>
        </w:rPr>
        <w:t>.2 施工进度计划</w:t>
      </w:r>
    </w:p>
    <w:p w14:paraId="0DC4E9F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7.2.2 施工进度计划的修订</w:t>
      </w:r>
    </w:p>
    <w:p w14:paraId="02A4A9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发包人和监理人在收到修订的施工进度计划后确认或提出修改意见的期限：</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p w14:paraId="377E4C2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 开工</w:t>
      </w:r>
    </w:p>
    <w:p w14:paraId="774483A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7.3.1 开工准备</w:t>
      </w:r>
    </w:p>
    <w:p w14:paraId="3688051E">
      <w:pPr>
        <w:spacing w:line="360" w:lineRule="auto"/>
        <w:ind w:firstLine="64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color w:val="000000"/>
          <w:sz w:val="21"/>
          <w:szCs w:val="21"/>
        </w:rPr>
        <w:t>关于承包人提交工程开工报审表的期限：</w:t>
      </w:r>
      <w:r>
        <w:rPr>
          <w:rFonts w:hint="eastAsia" w:asciiTheme="minorEastAsia" w:hAnsiTheme="minorEastAsia" w:eastAsiaTheme="minorEastAsia" w:cstheme="minorEastAsia"/>
          <w:sz w:val="21"/>
          <w:szCs w:val="21"/>
          <w:u w:val="single"/>
        </w:rPr>
        <w:t>在工程准备工作完成后，计划开工日期前7天提交开工报审表</w:t>
      </w:r>
      <w:r>
        <w:rPr>
          <w:rFonts w:hint="eastAsia" w:asciiTheme="minorEastAsia" w:hAnsiTheme="minorEastAsia" w:eastAsiaTheme="minorEastAsia" w:cstheme="minorEastAsia"/>
          <w:sz w:val="21"/>
          <w:szCs w:val="21"/>
        </w:rPr>
        <w:t>。</w:t>
      </w:r>
    </w:p>
    <w:p w14:paraId="462E68C0">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52A7714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关于承包人应完成的其他开工准备工作及期限：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2F3065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7.3.2开工通知</w:t>
      </w:r>
    </w:p>
    <w:p w14:paraId="4B3FDF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因发包人原因造成监理人未能在计划开工日期之日起</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color w:val="000000"/>
          <w:sz w:val="21"/>
          <w:szCs w:val="21"/>
        </w:rPr>
        <w:t>天内发出开工通知的，承包人有权提出价格调整要求，或者解除合同。</w:t>
      </w:r>
      <w:bookmarkEnd w:id="275"/>
      <w:bookmarkEnd w:id="276"/>
      <w:bookmarkEnd w:id="277"/>
      <w:bookmarkEnd w:id="278"/>
      <w:bookmarkEnd w:id="279"/>
      <w:bookmarkEnd w:id="280"/>
      <w:bookmarkEnd w:id="281"/>
    </w:p>
    <w:p w14:paraId="35894F5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7.4 测量放线</w:t>
      </w:r>
    </w:p>
    <w:p w14:paraId="2E6373B8">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7.4.1发包人通过监理人向承包人提供测量基准点、基准线和水准点及其书面资料的期限：</w:t>
      </w:r>
      <w:r>
        <w:rPr>
          <w:rFonts w:hint="eastAsia" w:asciiTheme="minorEastAsia" w:hAnsiTheme="minorEastAsia" w:eastAsiaTheme="minorEastAsia" w:cstheme="minorEastAsia"/>
          <w:sz w:val="21"/>
          <w:szCs w:val="21"/>
          <w:u w:val="single"/>
        </w:rPr>
        <w:t>开工前一周由投标方、承包方在监理单位见证下现场交验，并以书面形式提供给承包方。水准点、</w:t>
      </w:r>
      <w:r>
        <w:rPr>
          <w:rFonts w:hint="eastAsia" w:asciiTheme="minorEastAsia" w:hAnsiTheme="minorEastAsia" w:eastAsiaTheme="minorEastAsia" w:cstheme="minorEastAsia"/>
          <w:sz w:val="21"/>
          <w:szCs w:val="21"/>
          <w:u w:val="single"/>
          <w:lang w:val="en-US" w:eastAsia="zh-CN"/>
        </w:rPr>
        <w:t>坐</w:t>
      </w:r>
      <w:r>
        <w:rPr>
          <w:rFonts w:hint="eastAsia" w:asciiTheme="minorEastAsia" w:hAnsiTheme="minorEastAsia" w:eastAsiaTheme="minorEastAsia" w:cstheme="minorEastAsia"/>
          <w:sz w:val="21"/>
          <w:szCs w:val="21"/>
          <w:u w:val="single"/>
        </w:rPr>
        <w:t>标控制点交验完毕，即由承包方自费负责保护，此后由于破坏或失准带来的重新测量、放点费用及由此造成的其他损失均由承包方承担</w:t>
      </w:r>
      <w:r>
        <w:rPr>
          <w:rFonts w:hint="eastAsia" w:asciiTheme="minorEastAsia" w:hAnsiTheme="minorEastAsia" w:eastAsiaTheme="minorEastAsia" w:cstheme="minorEastAsia"/>
          <w:sz w:val="21"/>
          <w:szCs w:val="21"/>
        </w:rPr>
        <w:t>。</w:t>
      </w:r>
    </w:p>
    <w:p w14:paraId="2053209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82" w:name="_Toc300934968"/>
      <w:bookmarkStart w:id="283" w:name="_Toc297123516"/>
      <w:bookmarkStart w:id="284" w:name="_Toc303539125"/>
      <w:bookmarkStart w:id="285" w:name="_Toc297216175"/>
      <w:bookmarkStart w:id="286" w:name="_Toc312678010"/>
      <w:bookmarkStart w:id="287" w:name="_Toc304295546"/>
      <w:bookmarkStart w:id="288" w:name="_Toc312677484"/>
      <w:r>
        <w:rPr>
          <w:rFonts w:hint="eastAsia" w:asciiTheme="minorEastAsia" w:hAnsiTheme="minorEastAsia" w:eastAsiaTheme="minorEastAsia" w:cstheme="minorEastAsia"/>
          <w:color w:val="000000"/>
          <w:sz w:val="21"/>
          <w:szCs w:val="21"/>
        </w:rPr>
        <w:t>.5 工期延误</w:t>
      </w:r>
      <w:bookmarkEnd w:id="282"/>
      <w:bookmarkEnd w:id="283"/>
      <w:bookmarkEnd w:id="284"/>
      <w:bookmarkEnd w:id="285"/>
      <w:bookmarkEnd w:id="286"/>
      <w:bookmarkEnd w:id="287"/>
      <w:bookmarkEnd w:id="288"/>
    </w:p>
    <w:p w14:paraId="2C7AB9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7.5.1 因发包人原因导致工期延误</w:t>
      </w:r>
    </w:p>
    <w:p w14:paraId="37DB9AC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（7）因发包人原因导致工期延误的其他情形：</w:t>
      </w:r>
      <w:r>
        <w:rPr>
          <w:rFonts w:hint="eastAsia" w:asciiTheme="minorEastAsia" w:hAnsiTheme="minorEastAsia" w:eastAsiaTheme="minorEastAsia" w:cstheme="minorEastAsia"/>
          <w:sz w:val="21"/>
          <w:szCs w:val="21"/>
          <w:u w:val="single"/>
        </w:rPr>
        <w:t>由于施工方原因延误，工期相应顺延。承包方应在情况发生后2天内，就延误的工期以书面报告向施工方提出。施工方在收到报告后14天内予以确认，逾期不予确认也不提出意见，视为同意顺延工期</w:t>
      </w:r>
      <w:r>
        <w:rPr>
          <w:rFonts w:hint="eastAsia" w:asciiTheme="minorEastAsia" w:hAnsiTheme="minorEastAsia" w:eastAsiaTheme="minorEastAsia" w:cstheme="minorEastAsia"/>
          <w:sz w:val="21"/>
          <w:szCs w:val="21"/>
        </w:rPr>
        <w:t>。</w:t>
      </w:r>
    </w:p>
    <w:p w14:paraId="4D953EC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bookmarkStart w:id="289" w:name="_Toc318581169"/>
      <w:bookmarkStart w:id="290" w:name="_Toc312677486"/>
      <w:bookmarkStart w:id="291" w:name="_Toc312678012"/>
      <w:bookmarkStart w:id="292" w:name="_Toc300934970"/>
      <w:bookmarkStart w:id="293" w:name="_Toc304295548"/>
      <w:bookmarkStart w:id="294" w:name="_Toc297216177"/>
      <w:bookmarkStart w:id="295" w:name="_Toc303539127"/>
      <w:bookmarkStart w:id="296" w:name="_Toc297123518"/>
      <w:r>
        <w:rPr>
          <w:rFonts w:hint="eastAsia" w:asciiTheme="minorEastAsia" w:hAnsiTheme="minorEastAsia" w:eastAsiaTheme="minorEastAsia" w:cstheme="minorEastAsia"/>
          <w:sz w:val="21"/>
          <w:szCs w:val="21"/>
        </w:rPr>
        <w:t>.5.2 因承包人原因导致工期延误</w:t>
      </w:r>
      <w:bookmarkEnd w:id="289"/>
      <w:bookmarkEnd w:id="290"/>
      <w:bookmarkEnd w:id="291"/>
    </w:p>
    <w:p w14:paraId="1BF78FD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因</w:t>
      </w:r>
      <w:bookmarkStart w:id="297" w:name="_Toc318581170"/>
      <w:bookmarkStart w:id="298" w:name="_Toc312677487"/>
      <w:bookmarkStart w:id="299" w:name="_Toc312678013"/>
      <w:r>
        <w:rPr>
          <w:rFonts w:hint="eastAsia" w:asciiTheme="minorEastAsia" w:hAnsiTheme="minorEastAsia" w:eastAsiaTheme="minorEastAsia" w:cstheme="minorEastAsia"/>
          <w:sz w:val="21"/>
          <w:szCs w:val="21"/>
        </w:rPr>
        <w:t>承包人原因造成工期延误，逾期竣工违约金的计算方法为：</w:t>
      </w:r>
    </w:p>
    <w:p w14:paraId="2D431BDC">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凡由于承包方造成的工期延误（不可抗力除外），工期不能顺延，由此引起的赶工措施等费用增加均由承包方自行承担；同时承包方应承担违约责任,并向施工方支付违约金,按照该合同工期每推迟一天,违约金为1000元/天。施工方可从应向承包方支付的任何款项中扣除此违约金,此违约金的支付并不能解除承包方完成工程的责任和合同规定的其</w:t>
      </w:r>
      <w:r>
        <w:rPr>
          <w:rFonts w:hint="eastAsia" w:asciiTheme="minorEastAsia" w:hAnsiTheme="minorEastAsia" w:eastAsiaTheme="minorEastAsia" w:cstheme="minorEastAsia"/>
          <w:sz w:val="21"/>
          <w:szCs w:val="21"/>
          <w:u w:val="single"/>
          <w:lang w:val="en-US" w:eastAsia="zh-CN"/>
        </w:rPr>
        <w:t>他</w:t>
      </w:r>
      <w:r>
        <w:rPr>
          <w:rFonts w:hint="eastAsia" w:asciiTheme="minorEastAsia" w:hAnsiTheme="minorEastAsia" w:eastAsiaTheme="minorEastAsia" w:cstheme="minorEastAsia"/>
          <w:sz w:val="21"/>
          <w:szCs w:val="21"/>
          <w:u w:val="single"/>
        </w:rPr>
        <w:t>责任</w:t>
      </w:r>
      <w:r>
        <w:rPr>
          <w:rFonts w:hint="eastAsia" w:asciiTheme="minorEastAsia" w:hAnsiTheme="minorEastAsia" w:eastAsiaTheme="minorEastAsia" w:cstheme="minorEastAsia"/>
          <w:sz w:val="21"/>
          <w:szCs w:val="21"/>
        </w:rPr>
        <w:t>。</w:t>
      </w:r>
      <w:bookmarkEnd w:id="292"/>
      <w:bookmarkEnd w:id="293"/>
      <w:bookmarkEnd w:id="294"/>
      <w:bookmarkEnd w:id="295"/>
      <w:bookmarkEnd w:id="296"/>
      <w:bookmarkEnd w:id="297"/>
      <w:bookmarkEnd w:id="298"/>
      <w:bookmarkEnd w:id="299"/>
    </w:p>
    <w:p w14:paraId="3CF6030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因承包人原因造成工期延误，逾</w:t>
      </w:r>
      <w:bookmarkStart w:id="300" w:name="_Toc318581171"/>
      <w:bookmarkStart w:id="301" w:name="_Toc312678014"/>
      <w:r>
        <w:rPr>
          <w:rFonts w:hint="eastAsia" w:asciiTheme="minorEastAsia" w:hAnsiTheme="minorEastAsia" w:eastAsiaTheme="minorEastAsia" w:cstheme="minorEastAsia"/>
          <w:sz w:val="21"/>
          <w:szCs w:val="21"/>
        </w:rPr>
        <w:t>期竣工违约金的上限：</w:t>
      </w:r>
      <w:r>
        <w:rPr>
          <w:rFonts w:hint="eastAsia" w:asciiTheme="minorEastAsia" w:hAnsiTheme="minorEastAsia" w:eastAsiaTheme="minorEastAsia" w:cstheme="minorEastAsia"/>
          <w:sz w:val="21"/>
          <w:szCs w:val="21"/>
          <w:u w:val="single"/>
        </w:rPr>
        <w:t>不设上限</w:t>
      </w:r>
      <w:r>
        <w:rPr>
          <w:rFonts w:hint="eastAsia" w:asciiTheme="minorEastAsia" w:hAnsiTheme="minorEastAsia" w:eastAsiaTheme="minorEastAsia" w:cstheme="minorEastAsia"/>
          <w:sz w:val="21"/>
          <w:szCs w:val="21"/>
        </w:rPr>
        <w:t>。</w:t>
      </w:r>
      <w:bookmarkEnd w:id="300"/>
      <w:bookmarkEnd w:id="301"/>
    </w:p>
    <w:p w14:paraId="5C68B9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02" w:name="_Toc304295549"/>
      <w:bookmarkStart w:id="303" w:name="_Toc297216178"/>
      <w:bookmarkStart w:id="304" w:name="_Toc303539128"/>
      <w:bookmarkStart w:id="305" w:name="_Toc312678015"/>
      <w:bookmarkStart w:id="306" w:name="_Toc300934971"/>
      <w:bookmarkStart w:id="307" w:name="_Toc297123519"/>
      <w:r>
        <w:rPr>
          <w:rFonts w:hint="eastAsia" w:asciiTheme="minorEastAsia" w:hAnsiTheme="minorEastAsia" w:eastAsiaTheme="minorEastAsia" w:cstheme="minorEastAsia"/>
          <w:color w:val="000000"/>
          <w:sz w:val="21"/>
          <w:szCs w:val="21"/>
        </w:rPr>
        <w:t>.6 不</w:t>
      </w:r>
      <w:bookmarkEnd w:id="302"/>
      <w:bookmarkEnd w:id="303"/>
      <w:bookmarkEnd w:id="304"/>
      <w:bookmarkEnd w:id="305"/>
      <w:bookmarkEnd w:id="306"/>
      <w:bookmarkEnd w:id="307"/>
      <w:r>
        <w:rPr>
          <w:rFonts w:hint="eastAsia" w:asciiTheme="minorEastAsia" w:hAnsiTheme="minorEastAsia" w:eastAsiaTheme="minorEastAsia" w:cstheme="minorEastAsia"/>
          <w:color w:val="000000"/>
          <w:sz w:val="21"/>
          <w:szCs w:val="21"/>
        </w:rPr>
        <w:t>利物质条件</w:t>
      </w:r>
    </w:p>
    <w:p w14:paraId="39D8CA3B">
      <w:pPr>
        <w:spacing w:line="360" w:lineRule="auto"/>
        <w:ind w:firstLine="600"/>
        <w:jc w:val="left"/>
        <w:rPr>
          <w:rFonts w:hint="eastAsia" w:asciiTheme="minorEastAsia" w:hAnsiTheme="minorEastAsia" w:eastAsiaTheme="minorEastAsia" w:cstheme="minorEastAsia"/>
          <w:sz w:val="21"/>
          <w:szCs w:val="21"/>
        </w:rPr>
      </w:pPr>
      <w:bookmarkStart w:id="308" w:name="_Toc304295550"/>
      <w:bookmarkStart w:id="309" w:name="_Toc318581172"/>
      <w:bookmarkStart w:id="310" w:name="_Toc297123520"/>
      <w:bookmarkStart w:id="311" w:name="_Toc303539129"/>
      <w:bookmarkStart w:id="312" w:name="_Toc312678016"/>
      <w:bookmarkStart w:id="313" w:name="_Toc297216179"/>
      <w:bookmarkStart w:id="314" w:name="_Toc300934972"/>
      <w:r>
        <w:rPr>
          <w:rFonts w:hint="eastAsia" w:asciiTheme="minorEastAsia" w:hAnsiTheme="minorEastAsia" w:eastAsiaTheme="minorEastAsia" w:cstheme="minorEastAsia"/>
          <w:sz w:val="21"/>
          <w:szCs w:val="21"/>
        </w:rPr>
        <w:t>不利物质条件的其他情形和有关约定：</w:t>
      </w:r>
      <w:r>
        <w:rPr>
          <w:rFonts w:hint="eastAsia" w:asciiTheme="minorEastAsia" w:hAnsiTheme="minorEastAsia" w:eastAsiaTheme="minorEastAsia" w:cstheme="minorEastAsia"/>
          <w:sz w:val="21"/>
          <w:szCs w:val="21"/>
          <w:u w:val="single"/>
        </w:rPr>
        <w:t>按通用条款执行</w:t>
      </w:r>
      <w:r>
        <w:rPr>
          <w:rFonts w:hint="eastAsia" w:asciiTheme="minorEastAsia" w:hAnsiTheme="minorEastAsia" w:eastAsiaTheme="minorEastAsia" w:cstheme="minorEastAsia"/>
          <w:sz w:val="21"/>
          <w:szCs w:val="21"/>
        </w:rPr>
        <w:t>。</w:t>
      </w:r>
      <w:bookmarkEnd w:id="308"/>
      <w:bookmarkEnd w:id="309"/>
      <w:bookmarkEnd w:id="310"/>
      <w:bookmarkEnd w:id="311"/>
      <w:bookmarkEnd w:id="312"/>
      <w:bookmarkEnd w:id="313"/>
      <w:bookmarkEnd w:id="314"/>
    </w:p>
    <w:p w14:paraId="65AAC774">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15" w:name="_Toc300934973"/>
      <w:bookmarkStart w:id="316" w:name="_Toc297216180"/>
      <w:bookmarkStart w:id="317" w:name="_Toc297123521"/>
      <w:bookmarkStart w:id="318" w:name="_Toc303539130"/>
      <w:bookmarkStart w:id="319" w:name="_Toc312678017"/>
      <w:bookmarkStart w:id="320" w:name="_Toc304295551"/>
      <w:r>
        <w:rPr>
          <w:rFonts w:hint="eastAsia" w:asciiTheme="minorEastAsia" w:hAnsiTheme="minorEastAsia" w:eastAsiaTheme="minorEastAsia" w:cstheme="minorEastAsia"/>
          <w:color w:val="000000"/>
          <w:sz w:val="21"/>
          <w:szCs w:val="21"/>
        </w:rPr>
        <w:t>.7异常恶劣的气候条件</w:t>
      </w:r>
      <w:bookmarkEnd w:id="315"/>
      <w:bookmarkEnd w:id="316"/>
      <w:bookmarkEnd w:id="317"/>
      <w:bookmarkEnd w:id="318"/>
      <w:bookmarkEnd w:id="319"/>
      <w:bookmarkEnd w:id="320"/>
    </w:p>
    <w:p w14:paraId="5F08DBD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发包人和承包人同意以下情形视为异常恶劣的气候条件：</w:t>
      </w:r>
    </w:p>
    <w:p w14:paraId="11738A72">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（1）6级以上持续24小时的大风；</w:t>
      </w:r>
    </w:p>
    <w:p w14:paraId="7D6B94AF">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（2）持续降雨24小时且降雨量200 mm以上；下雪为30mm以上；</w:t>
      </w:r>
    </w:p>
    <w:p w14:paraId="7CD37BEA">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（3）40℃及以上持续24小时的高温。</w:t>
      </w:r>
    </w:p>
    <w:p w14:paraId="286EE01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7.9 提前竣工的奖励</w:t>
      </w:r>
    </w:p>
    <w:p w14:paraId="13076A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7.9.2提前竣工的奖励：</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0B39EFF7">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321" w:name="_Toc351203640"/>
      <w:r>
        <w:rPr>
          <w:rFonts w:hint="eastAsia" w:asciiTheme="minorEastAsia" w:hAnsiTheme="minorEastAsia" w:eastAsiaTheme="minorEastAsia" w:cstheme="minorEastAsia"/>
          <w:b w:val="0"/>
          <w:color w:val="000000"/>
          <w:sz w:val="21"/>
          <w:szCs w:val="21"/>
        </w:rPr>
        <w:t>8. 材料与设备</w:t>
      </w:r>
      <w:bookmarkEnd w:id="256"/>
      <w:bookmarkEnd w:id="257"/>
      <w:bookmarkEnd w:id="258"/>
      <w:bookmarkEnd w:id="259"/>
      <w:bookmarkEnd w:id="260"/>
      <w:bookmarkEnd w:id="261"/>
      <w:bookmarkEnd w:id="262"/>
      <w:bookmarkEnd w:id="263"/>
      <w:bookmarkEnd w:id="264"/>
      <w:bookmarkEnd w:id="265"/>
      <w:bookmarkEnd w:id="321"/>
    </w:p>
    <w:p w14:paraId="2F28E66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322" w:name="_Toc296346668"/>
      <w:bookmarkStart w:id="323" w:name="_Toc292559372"/>
      <w:bookmarkStart w:id="324" w:name="_Toc297048353"/>
      <w:bookmarkStart w:id="325" w:name="_Toc297120467"/>
      <w:bookmarkStart w:id="326" w:name="_Toc296944506"/>
      <w:bookmarkStart w:id="327" w:name="_Toc292559877"/>
      <w:bookmarkStart w:id="328" w:name="_Toc280868654"/>
      <w:bookmarkStart w:id="329" w:name="_Toc303539136"/>
      <w:bookmarkStart w:id="330" w:name="_Toc304295556"/>
      <w:bookmarkStart w:id="331" w:name="_Toc297123527"/>
      <w:bookmarkStart w:id="332" w:name="_Toc296347166"/>
      <w:bookmarkStart w:id="333" w:name="_Toc312678019"/>
      <w:bookmarkStart w:id="334" w:name="_Toc312677493"/>
      <w:bookmarkStart w:id="335" w:name="_Toc296890995"/>
      <w:bookmarkStart w:id="336" w:name="_Toc296891207"/>
      <w:bookmarkStart w:id="337" w:name="_Toc300934979"/>
      <w:bookmarkStart w:id="338" w:name="_Toc296503167"/>
      <w:bookmarkStart w:id="339" w:name="_Toc297216186"/>
      <w:bookmarkStart w:id="340" w:name="_Toc280868655"/>
      <w:bookmarkStart w:id="341" w:name="_Toc280868656"/>
      <w:bookmarkStart w:id="342" w:name="_Toc267251424"/>
      <w:r>
        <w:rPr>
          <w:rFonts w:hint="eastAsia" w:asciiTheme="minorEastAsia" w:hAnsiTheme="minorEastAsia" w:eastAsiaTheme="minorEastAsia" w:cstheme="minorEastAsia"/>
          <w:color w:val="000000"/>
          <w:sz w:val="21"/>
          <w:szCs w:val="21"/>
        </w:rPr>
        <w:t>.4材料与工程设备的保管与使用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4FB93F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Start w:id="343" w:name="_Toc292559878"/>
      <w:bookmarkStart w:id="344" w:name="_Toc292559373"/>
      <w:bookmarkStart w:id="345" w:name="_Toc297216187"/>
      <w:bookmarkStart w:id="346" w:name="_Toc312678020"/>
      <w:bookmarkStart w:id="347" w:name="_Toc297048354"/>
      <w:bookmarkStart w:id="348" w:name="_Toc300934980"/>
      <w:bookmarkStart w:id="349" w:name="_Toc303539137"/>
      <w:bookmarkStart w:id="350" w:name="_Toc318581173"/>
      <w:bookmarkStart w:id="351" w:name="_Toc296944507"/>
      <w:bookmarkStart w:id="352" w:name="_Toc297120468"/>
      <w:bookmarkStart w:id="353" w:name="_Toc296347167"/>
      <w:bookmarkStart w:id="354" w:name="_Toc296503168"/>
      <w:bookmarkStart w:id="355" w:name="_Toc297123528"/>
      <w:bookmarkStart w:id="356" w:name="_Toc304295557"/>
      <w:bookmarkStart w:id="357" w:name="_Toc296891208"/>
      <w:bookmarkStart w:id="358" w:name="_Toc296346669"/>
      <w:bookmarkStart w:id="359" w:name="_Toc312677494"/>
      <w:bookmarkStart w:id="360" w:name="_Toc296890996"/>
      <w:r>
        <w:rPr>
          <w:rFonts w:hint="eastAsia" w:asciiTheme="minorEastAsia" w:hAnsiTheme="minorEastAsia" w:eastAsiaTheme="minorEastAsia" w:cstheme="minorEastAsia"/>
          <w:sz w:val="21"/>
          <w:szCs w:val="21"/>
        </w:rPr>
        <w:t>.4.1发包人供应的材料设备的保管费用的承担：</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bookmarkEnd w:id="343"/>
      <w:bookmarkEnd w:id="344"/>
    </w:p>
    <w:p w14:paraId="1ACAF78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 样品</w:t>
      </w:r>
    </w:p>
    <w:p w14:paraId="60C3AD5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样品的报送与封存</w:t>
      </w:r>
    </w:p>
    <w:p w14:paraId="4B36530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需要承包人报送样品的材料或工程设备，样品的种类、名称、规格、数量要求：</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13F1247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8.8 施工设备和临时设施</w:t>
      </w:r>
    </w:p>
    <w:p w14:paraId="18165B5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8.8.1 承包人提供的施工设备和临时设施</w:t>
      </w:r>
    </w:p>
    <w:p w14:paraId="7E8226B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关于修建临时设施费用承担的约定：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49E92CF8">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361" w:name="_Toc351203641"/>
      <w:r>
        <w:rPr>
          <w:rFonts w:hint="eastAsia" w:asciiTheme="minorEastAsia" w:hAnsiTheme="minorEastAsia" w:eastAsiaTheme="minorEastAsia" w:cstheme="minorEastAsia"/>
          <w:b w:val="0"/>
          <w:color w:val="000000"/>
          <w:sz w:val="21"/>
          <w:szCs w:val="21"/>
        </w:rPr>
        <w:t>9</w:t>
      </w:r>
      <w:bookmarkEnd w:id="340"/>
      <w:bookmarkEnd w:id="341"/>
      <w:bookmarkEnd w:id="342"/>
      <w:bookmarkStart w:id="362" w:name="_Toc300934982"/>
      <w:bookmarkStart w:id="363" w:name="_Toc297216192"/>
      <w:bookmarkStart w:id="364" w:name="_Toc312678021"/>
      <w:bookmarkStart w:id="365" w:name="_Toc297123533"/>
      <w:bookmarkStart w:id="366" w:name="_Toc312677495"/>
      <w:bookmarkStart w:id="367" w:name="_Toc304295559"/>
      <w:bookmarkStart w:id="368" w:name="_Toc303539139"/>
      <w:bookmarkStart w:id="369" w:name="_Toc296347172"/>
      <w:bookmarkStart w:id="370" w:name="_Toc267251428"/>
      <w:bookmarkStart w:id="371" w:name="_Toc296944512"/>
      <w:bookmarkStart w:id="372" w:name="_Toc267251427"/>
      <w:bookmarkStart w:id="373" w:name="_Toc297048359"/>
      <w:bookmarkStart w:id="374" w:name="_Toc296891001"/>
      <w:bookmarkStart w:id="375" w:name="_Toc292559883"/>
      <w:bookmarkStart w:id="376" w:name="_Toc292559378"/>
      <w:bookmarkStart w:id="377" w:name="_Toc297120473"/>
      <w:bookmarkStart w:id="378" w:name="_Toc296346674"/>
      <w:bookmarkStart w:id="379" w:name="_Toc296503173"/>
      <w:bookmarkStart w:id="380" w:name="_Toc296891213"/>
      <w:r>
        <w:rPr>
          <w:rFonts w:hint="eastAsia" w:asciiTheme="minorEastAsia" w:hAnsiTheme="minorEastAsia" w:eastAsiaTheme="minorEastAsia" w:cstheme="minorEastAsia"/>
          <w:b w:val="0"/>
          <w:color w:val="000000"/>
          <w:sz w:val="21"/>
          <w:szCs w:val="21"/>
        </w:rPr>
        <w:t>. 试验与检验</w:t>
      </w:r>
      <w:bookmarkEnd w:id="361"/>
      <w:bookmarkEnd w:id="362"/>
      <w:bookmarkEnd w:id="363"/>
      <w:bookmarkEnd w:id="364"/>
      <w:bookmarkEnd w:id="365"/>
      <w:bookmarkEnd w:id="366"/>
      <w:bookmarkEnd w:id="367"/>
      <w:bookmarkEnd w:id="368"/>
    </w:p>
    <w:p w14:paraId="7527007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bookmarkStart w:id="381" w:name="_Toc297123534"/>
      <w:bookmarkStart w:id="382" w:name="_Toc300934983"/>
      <w:bookmarkStart w:id="383" w:name="_Toc312677496"/>
      <w:bookmarkStart w:id="384" w:name="_Toc312678022"/>
      <w:bookmarkStart w:id="385" w:name="_Toc304295560"/>
      <w:bookmarkStart w:id="386" w:name="_Toc297216193"/>
      <w:bookmarkStart w:id="387" w:name="_Toc303539140"/>
      <w:r>
        <w:rPr>
          <w:rFonts w:hint="eastAsia" w:asciiTheme="minorEastAsia" w:hAnsiTheme="minorEastAsia" w:eastAsiaTheme="minorEastAsia" w:cstheme="minorEastAsia"/>
          <w:color w:val="000000"/>
          <w:sz w:val="21"/>
          <w:szCs w:val="21"/>
        </w:rPr>
        <w:t>.1试验设备与试验人员</w:t>
      </w:r>
      <w:bookmarkEnd w:id="381"/>
      <w:bookmarkEnd w:id="382"/>
      <w:bookmarkEnd w:id="383"/>
      <w:bookmarkEnd w:id="384"/>
      <w:bookmarkEnd w:id="385"/>
      <w:bookmarkEnd w:id="386"/>
      <w:bookmarkEnd w:id="387"/>
    </w:p>
    <w:p w14:paraId="6F871BD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bookmarkStart w:id="388" w:name="_Toc297216194"/>
      <w:bookmarkStart w:id="389" w:name="_Toc304295561"/>
      <w:bookmarkStart w:id="390" w:name="_Toc297123535"/>
      <w:bookmarkStart w:id="391" w:name="_Toc303539141"/>
      <w:bookmarkStart w:id="392" w:name="_Toc312677497"/>
      <w:bookmarkStart w:id="393" w:name="_Toc300934984"/>
      <w:bookmarkStart w:id="394" w:name="_Toc312678023"/>
      <w:bookmarkStart w:id="395" w:name="_Toc318581174"/>
      <w:r>
        <w:rPr>
          <w:rFonts w:hint="eastAsia" w:asciiTheme="minorEastAsia" w:hAnsiTheme="minorEastAsia" w:eastAsiaTheme="minorEastAsia" w:cstheme="minorEastAsia"/>
          <w:sz w:val="21"/>
          <w:szCs w:val="21"/>
        </w:rPr>
        <w:t>.1.2 试验设备</w:t>
      </w:r>
    </w:p>
    <w:p w14:paraId="1B24974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施工现场需要配置的试验场所：</w:t>
      </w:r>
      <w:bookmarkEnd w:id="388"/>
      <w:bookmarkEnd w:id="389"/>
      <w:bookmarkEnd w:id="390"/>
      <w:bookmarkEnd w:id="391"/>
      <w:bookmarkEnd w:id="392"/>
      <w:bookmarkEnd w:id="393"/>
      <w:bookmarkEnd w:id="394"/>
      <w:bookmarkStart w:id="396" w:name="_Toc304295562"/>
      <w:bookmarkStart w:id="397" w:name="_Toc312678024"/>
      <w:bookmarkStart w:id="398" w:name="_Toc300934985"/>
      <w:bookmarkStart w:id="399" w:name="_Toc297216195"/>
      <w:bookmarkStart w:id="400" w:name="_Toc297123536"/>
      <w:bookmarkStart w:id="401" w:name="_Toc303539142"/>
      <w:bookmarkStart w:id="402" w:name="_Toc312677498"/>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 xml:space="preserve">。 </w:t>
      </w:r>
    </w:p>
    <w:p w14:paraId="04D151C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施工现场需要配备的试验设备：</w:t>
      </w:r>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w:t>
      </w:r>
    </w:p>
    <w:p w14:paraId="695BACF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施工现场需要具备的其他试验条件：</w:t>
      </w:r>
      <w:r>
        <w:rPr>
          <w:rFonts w:hint="eastAsia" w:asciiTheme="minorEastAsia" w:hAnsiTheme="minorEastAsia" w:eastAsiaTheme="minorEastAsia" w:cstheme="minorEastAsia"/>
          <w:sz w:val="21"/>
          <w:szCs w:val="21"/>
          <w:u w:val="single"/>
        </w:rPr>
        <w:t xml:space="preserve">根据实际现场需要 </w:t>
      </w:r>
      <w:r>
        <w:rPr>
          <w:rFonts w:hint="eastAsia" w:asciiTheme="minorEastAsia" w:hAnsiTheme="minorEastAsia" w:eastAsiaTheme="minorEastAsia" w:cstheme="minorEastAsia"/>
          <w:sz w:val="21"/>
          <w:szCs w:val="21"/>
        </w:rPr>
        <w:t>。</w:t>
      </w:r>
    </w:p>
    <w:p w14:paraId="67156854">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9.4 现场工艺试验 </w:t>
      </w:r>
    </w:p>
    <w:p w14:paraId="309913B7">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现场工艺试验的有关约定：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95"/>
    <w:bookmarkEnd w:id="396"/>
    <w:bookmarkEnd w:id="397"/>
    <w:bookmarkEnd w:id="398"/>
    <w:bookmarkEnd w:id="399"/>
    <w:bookmarkEnd w:id="400"/>
    <w:bookmarkEnd w:id="401"/>
    <w:bookmarkEnd w:id="402"/>
    <w:p w14:paraId="2AE8B260">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403" w:name="_Toc351203642"/>
      <w:r>
        <w:rPr>
          <w:rFonts w:hint="eastAsia" w:asciiTheme="minorEastAsia" w:hAnsiTheme="minorEastAsia" w:eastAsiaTheme="minorEastAsia" w:cstheme="minorEastAsia"/>
          <w:b w:val="0"/>
          <w:color w:val="000000"/>
          <w:sz w:val="21"/>
          <w:szCs w:val="21"/>
        </w:rPr>
        <w:t>1</w:t>
      </w:r>
      <w:bookmarkEnd w:id="369"/>
      <w:bookmarkEnd w:id="370"/>
      <w:bookmarkEnd w:id="371"/>
      <w:bookmarkEnd w:id="372"/>
      <w:bookmarkEnd w:id="373"/>
      <w:bookmarkEnd w:id="374"/>
      <w:bookmarkEnd w:id="375"/>
      <w:bookmarkEnd w:id="376"/>
      <w:bookmarkEnd w:id="377"/>
      <w:bookmarkEnd w:id="378"/>
      <w:bookmarkEnd w:id="379"/>
      <w:bookmarkEnd w:id="380"/>
      <w:bookmarkStart w:id="404" w:name="_Toc292559903"/>
      <w:bookmarkStart w:id="405" w:name="_Toc312678025"/>
      <w:bookmarkStart w:id="406" w:name="_Toc297120493"/>
      <w:bookmarkStart w:id="407" w:name="_Toc296503193"/>
      <w:bookmarkStart w:id="408" w:name="_Toc296944532"/>
      <w:bookmarkStart w:id="409" w:name="_Toc312677499"/>
      <w:bookmarkStart w:id="410" w:name="_Toc304295566"/>
      <w:bookmarkStart w:id="411" w:name="_Toc303539146"/>
      <w:bookmarkStart w:id="412" w:name="_Toc297123540"/>
      <w:bookmarkStart w:id="413" w:name="_Toc297216199"/>
      <w:bookmarkStart w:id="414" w:name="_Toc292559398"/>
      <w:bookmarkStart w:id="415" w:name="_Toc296346694"/>
      <w:bookmarkStart w:id="416" w:name="_Toc296891233"/>
      <w:bookmarkStart w:id="417" w:name="_Toc300934989"/>
      <w:bookmarkStart w:id="418" w:name="_Toc296347192"/>
      <w:bookmarkStart w:id="419" w:name="_Toc297048379"/>
      <w:bookmarkStart w:id="420" w:name="_Toc296891021"/>
      <w:bookmarkStart w:id="421" w:name="_Toc267251433"/>
      <w:bookmarkStart w:id="422" w:name="_Toc267251441"/>
      <w:bookmarkStart w:id="423" w:name="_Toc267251439"/>
      <w:bookmarkStart w:id="424" w:name="_Toc267251440"/>
      <w:bookmarkStart w:id="425" w:name="_Toc267251437"/>
      <w:bookmarkStart w:id="426" w:name="_Toc267251435"/>
      <w:bookmarkStart w:id="427" w:name="_Toc267251442"/>
      <w:r>
        <w:rPr>
          <w:rFonts w:hint="eastAsia" w:asciiTheme="minorEastAsia" w:hAnsiTheme="minorEastAsia" w:eastAsiaTheme="minorEastAsia" w:cstheme="minorEastAsia"/>
          <w:b w:val="0"/>
          <w:color w:val="000000"/>
          <w:sz w:val="21"/>
          <w:szCs w:val="21"/>
        </w:rPr>
        <w:t>0. 变更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4C6B140">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28" w:name="_Toc297216200"/>
      <w:bookmarkStart w:id="429" w:name="_Toc312677500"/>
      <w:bookmarkStart w:id="430" w:name="_Toc296944533"/>
      <w:bookmarkStart w:id="431" w:name="_Toc304295567"/>
      <w:bookmarkStart w:id="432" w:name="_Toc297123541"/>
      <w:bookmarkStart w:id="433" w:name="_Toc312678026"/>
      <w:bookmarkStart w:id="434" w:name="_Toc297048380"/>
      <w:bookmarkStart w:id="435" w:name="_Toc292559399"/>
      <w:bookmarkStart w:id="436" w:name="_Toc296891022"/>
      <w:bookmarkStart w:id="437" w:name="_Toc297120494"/>
      <w:bookmarkStart w:id="438" w:name="_Toc296503194"/>
      <w:bookmarkStart w:id="439" w:name="_Toc296346695"/>
      <w:bookmarkStart w:id="440" w:name="_Toc296347193"/>
      <w:bookmarkStart w:id="441" w:name="_Toc292559904"/>
      <w:bookmarkStart w:id="442" w:name="_Toc303539147"/>
      <w:bookmarkStart w:id="443" w:name="_Toc300934990"/>
      <w:bookmarkStart w:id="444" w:name="_Toc296891234"/>
      <w:r>
        <w:rPr>
          <w:rFonts w:hint="eastAsia" w:asciiTheme="minorEastAsia" w:hAnsiTheme="minorEastAsia" w:eastAsiaTheme="minorEastAsia" w:cstheme="minorEastAsia"/>
          <w:color w:val="000000"/>
          <w:sz w:val="21"/>
          <w:szCs w:val="21"/>
        </w:rPr>
        <w:t>0.1变更的范围</w:t>
      </w:r>
    </w:p>
    <w:p w14:paraId="358E52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关于变更的范围的约定：</w:t>
      </w:r>
      <w:r>
        <w:rPr>
          <w:rFonts w:hint="eastAsia" w:asciiTheme="minorEastAsia" w:hAnsiTheme="minorEastAsia" w:eastAsiaTheme="minorEastAsia" w:cstheme="minorEastAsia"/>
          <w:color w:val="000000"/>
          <w:sz w:val="21"/>
          <w:szCs w:val="21"/>
          <w:u w:val="single"/>
        </w:rPr>
        <w:t>施工中发包人需对原工程设计变更的，原则上应提前24小时以书面形式向承包人发出变更通知。特殊情况下由相关各方协商解决，如协商不成，应以发包人意见作为最终的施工依据，承包人应无条件服从。</w:t>
      </w:r>
    </w:p>
    <w:p w14:paraId="41DBDC45">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设计变更须有设计方的设计变更通知单、技术核定单，并经发包人签字盖章后认可。</w:t>
      </w:r>
    </w:p>
    <w:p w14:paraId="71A1E25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现场签证须有总监理工程师和发包人派驻现场工程师签字盖章后生效。</w:t>
      </w:r>
    </w:p>
    <w:p w14:paraId="054911C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承包人不得随意更改设计，因承包人原因导致的工程变更，承包人无权要求追加合同价款和工期损失，对因此产生的发包人的损失由承包人承担。</w:t>
      </w:r>
    </w:p>
    <w:p w14:paraId="76069CC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 变更估价</w:t>
      </w:r>
    </w:p>
    <w:p w14:paraId="203AE3A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10.4.1 变更估价原则</w:t>
      </w:r>
    </w:p>
    <w:p w14:paraId="455FCF7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关于变更估价的约定: </w:t>
      </w:r>
      <w:r>
        <w:rPr>
          <w:rFonts w:hint="eastAsia" w:asciiTheme="minorEastAsia" w:hAnsiTheme="minorEastAsia" w:eastAsiaTheme="minorEastAsia" w:cstheme="minorEastAsia"/>
          <w:color w:val="000000"/>
          <w:sz w:val="21"/>
          <w:szCs w:val="21"/>
          <w:u w:val="single"/>
        </w:rPr>
        <w:t>执行通用条款和招标文件有关约定</w:t>
      </w:r>
      <w:r>
        <w:rPr>
          <w:rFonts w:hint="eastAsia" w:asciiTheme="minorEastAsia" w:hAnsiTheme="minorEastAsia" w:eastAsiaTheme="minorEastAsia" w:cstheme="minorEastAsia"/>
          <w:color w:val="000000"/>
          <w:sz w:val="21"/>
          <w:szCs w:val="21"/>
        </w:rPr>
        <w:t>。</w:t>
      </w:r>
    </w:p>
    <w:p w14:paraId="3EE8E12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296503197"/>
      <w:bookmarkStart w:id="446" w:name="_Toc296891237"/>
      <w:bookmarkStart w:id="447" w:name="_Toc297216203"/>
      <w:bookmarkStart w:id="448" w:name="_Toc292559402"/>
      <w:bookmarkStart w:id="449" w:name="_Toc297123544"/>
      <w:bookmarkStart w:id="450" w:name="_Toc303539150"/>
      <w:bookmarkStart w:id="451" w:name="_Toc292559907"/>
      <w:bookmarkStart w:id="452" w:name="_Toc296891025"/>
      <w:bookmarkStart w:id="453" w:name="_Toc296347196"/>
      <w:bookmarkStart w:id="454" w:name="_Toc296944536"/>
      <w:bookmarkStart w:id="455" w:name="_Toc297120497"/>
      <w:bookmarkStart w:id="456" w:name="_Toc300934993"/>
      <w:bookmarkStart w:id="457" w:name="_Toc297048383"/>
      <w:bookmarkStart w:id="458" w:name="_Toc296346698"/>
      <w:bookmarkStart w:id="459" w:name="_Toc312678029"/>
      <w:bookmarkStart w:id="460" w:name="_Toc312677503"/>
      <w:bookmarkStart w:id="461" w:name="_Toc304295570"/>
      <w:r>
        <w:rPr>
          <w:rFonts w:hint="eastAsia" w:asciiTheme="minorEastAsia" w:hAnsiTheme="minorEastAsia" w:eastAsiaTheme="minorEastAsia" w:cstheme="minorEastAsia"/>
          <w:color w:val="000000"/>
          <w:sz w:val="21"/>
          <w:szCs w:val="21"/>
        </w:rPr>
        <w:t>0.5承</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Start w:id="462" w:name="_Toc292559913"/>
      <w:bookmarkStart w:id="463" w:name="_Toc297123545"/>
      <w:bookmarkStart w:id="464" w:name="_Toc297216204"/>
      <w:bookmarkStart w:id="465" w:name="_Toc296891243"/>
      <w:bookmarkStart w:id="466" w:name="_Toc296347202"/>
      <w:bookmarkStart w:id="467" w:name="_Toc297120503"/>
      <w:bookmarkStart w:id="468" w:name="_Toc296944542"/>
      <w:bookmarkStart w:id="469" w:name="_Toc300934994"/>
      <w:bookmarkStart w:id="470" w:name="_Toc296503203"/>
      <w:bookmarkStart w:id="471" w:name="_Toc296891031"/>
      <w:bookmarkStart w:id="472" w:name="_Toc297048389"/>
      <w:bookmarkStart w:id="473" w:name="_Toc296346704"/>
      <w:bookmarkStart w:id="474" w:name="_Toc292559408"/>
      <w:bookmarkStart w:id="475" w:name="_Toc303539151"/>
      <w:r>
        <w:rPr>
          <w:rFonts w:hint="eastAsia" w:asciiTheme="minorEastAsia" w:hAnsiTheme="minorEastAsia" w:eastAsiaTheme="minorEastAsia" w:cstheme="minorEastAsia"/>
          <w:color w:val="000000"/>
          <w:sz w:val="21"/>
          <w:szCs w:val="21"/>
        </w:rPr>
        <w:t>包人的合理化建议</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09F69C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监理人审查承包人合理化建议的期限：</w:t>
      </w:r>
      <w:r>
        <w:rPr>
          <w:rFonts w:hint="eastAsia" w:asciiTheme="minorEastAsia" w:hAnsiTheme="minorEastAsia" w:eastAsiaTheme="minorEastAsia" w:cstheme="minorEastAsia"/>
          <w:sz w:val="21"/>
          <w:szCs w:val="21"/>
          <w:u w:val="single"/>
        </w:rPr>
        <w:t>收到承包人书面合理化建议后7天内</w:t>
      </w:r>
      <w:r>
        <w:rPr>
          <w:rFonts w:hint="eastAsia" w:asciiTheme="minorEastAsia" w:hAnsiTheme="minorEastAsia" w:eastAsiaTheme="minorEastAsia" w:cstheme="minorEastAsia"/>
          <w:sz w:val="21"/>
          <w:szCs w:val="21"/>
        </w:rPr>
        <w:t>。</w:t>
      </w:r>
    </w:p>
    <w:p w14:paraId="64E71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发包人审批承包人合理化建议的期限：</w:t>
      </w:r>
      <w:r>
        <w:rPr>
          <w:rFonts w:hint="eastAsia" w:asciiTheme="minorEastAsia" w:hAnsiTheme="minorEastAsia" w:eastAsiaTheme="minorEastAsia" w:cstheme="minorEastAsia"/>
          <w:sz w:val="21"/>
          <w:szCs w:val="21"/>
          <w:u w:val="single"/>
        </w:rPr>
        <w:t>收到承包人书面合理化建议后，且收到监理人书面意见后7天内</w:t>
      </w:r>
      <w:r>
        <w:rPr>
          <w:rFonts w:hint="eastAsia" w:asciiTheme="minorEastAsia" w:hAnsiTheme="minorEastAsia" w:eastAsiaTheme="minorEastAsia" w:cstheme="minorEastAsia"/>
          <w:sz w:val="21"/>
          <w:szCs w:val="21"/>
        </w:rPr>
        <w:t>。</w:t>
      </w:r>
    </w:p>
    <w:p w14:paraId="7E9C9F6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w:t>
      </w:r>
      <w:bookmarkStart w:id="476" w:name="_Toc297048390"/>
      <w:bookmarkStart w:id="477" w:name="_Toc296347203"/>
      <w:bookmarkStart w:id="478" w:name="_Toc296891032"/>
      <w:bookmarkStart w:id="479" w:name="_Toc303539152"/>
      <w:bookmarkStart w:id="480" w:name="_Toc318581175"/>
      <w:bookmarkStart w:id="481" w:name="_Toc292559409"/>
      <w:bookmarkStart w:id="482" w:name="_Toc296346705"/>
      <w:bookmarkStart w:id="483" w:name="_Toc297216205"/>
      <w:bookmarkStart w:id="484" w:name="_Toc297123546"/>
      <w:bookmarkStart w:id="485" w:name="_Toc304295571"/>
      <w:bookmarkStart w:id="486" w:name="_Toc312677504"/>
      <w:bookmarkStart w:id="487" w:name="_Toc296891244"/>
      <w:bookmarkStart w:id="488" w:name="_Toc312678030"/>
      <w:bookmarkStart w:id="489" w:name="_Toc296944543"/>
      <w:bookmarkStart w:id="490" w:name="_Toc292559914"/>
      <w:bookmarkStart w:id="491" w:name="_Toc296503204"/>
      <w:bookmarkStart w:id="492" w:name="_Toc297120504"/>
      <w:bookmarkStart w:id="493" w:name="_Toc300934995"/>
      <w:r>
        <w:rPr>
          <w:rFonts w:hint="eastAsia" w:asciiTheme="minorEastAsia" w:hAnsiTheme="minorEastAsia" w:eastAsiaTheme="minorEastAsia" w:cstheme="minorEastAsia"/>
          <w:sz w:val="21"/>
          <w:szCs w:val="21"/>
        </w:rPr>
        <w:t>包人提出的合理化建议降低了合同价格或者提高了工程经济效益的奖励的方法和金额为：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E9891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94" w:name="_Toc312678033"/>
      <w:bookmarkStart w:id="495" w:name="_Toc296503199"/>
      <w:bookmarkStart w:id="496" w:name="_Toc297120499"/>
      <w:bookmarkStart w:id="497" w:name="_Toc296347198"/>
      <w:bookmarkStart w:id="498" w:name="_Toc292559404"/>
      <w:bookmarkStart w:id="499" w:name="_Toc300934997"/>
      <w:bookmarkStart w:id="500" w:name="_Toc296944538"/>
      <w:bookmarkStart w:id="501" w:name="_Toc297123548"/>
      <w:bookmarkStart w:id="502" w:name="_Toc296346700"/>
      <w:bookmarkStart w:id="503" w:name="_Toc303539154"/>
      <w:bookmarkStart w:id="504" w:name="_Toc304295574"/>
      <w:bookmarkStart w:id="505" w:name="_Toc312677507"/>
      <w:bookmarkStart w:id="506" w:name="_Toc297216207"/>
      <w:bookmarkStart w:id="507" w:name="_Toc296891239"/>
      <w:bookmarkStart w:id="508" w:name="_Toc296891027"/>
      <w:bookmarkStart w:id="509" w:name="_Toc297048385"/>
      <w:bookmarkStart w:id="510" w:name="_Toc292559909"/>
      <w:r>
        <w:rPr>
          <w:rFonts w:hint="eastAsia" w:asciiTheme="minorEastAsia" w:hAnsiTheme="minorEastAsia" w:eastAsiaTheme="minorEastAsia" w:cstheme="minorEastAsia"/>
          <w:color w:val="000000"/>
          <w:sz w:val="21"/>
          <w:szCs w:val="21"/>
        </w:rPr>
        <w:t>0.7 暂估价</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C86DDC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w:t>
      </w:r>
      <w:bookmarkStart w:id="511" w:name="_Toc312677508"/>
      <w:bookmarkStart w:id="512" w:name="_Toc318581176"/>
      <w:bookmarkStart w:id="513" w:name="_Toc312678034"/>
      <w:r>
        <w:rPr>
          <w:rFonts w:hint="eastAsia" w:asciiTheme="minorEastAsia" w:hAnsiTheme="minorEastAsia" w:eastAsiaTheme="minorEastAsia" w:cstheme="minorEastAsia"/>
          <w:sz w:val="21"/>
          <w:szCs w:val="21"/>
        </w:rPr>
        <w:t>估价材料和工程设备的明细详见：/。</w:t>
      </w:r>
      <w:bookmarkEnd w:id="511"/>
      <w:bookmarkEnd w:id="512"/>
      <w:bookmarkEnd w:id="513"/>
    </w:p>
    <w:p w14:paraId="6B8DA046">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514" w:name="_Toc318581177"/>
      <w:bookmarkStart w:id="515" w:name="_Toc312677509"/>
      <w:bookmarkStart w:id="516" w:name="_Toc312678035"/>
      <w:r>
        <w:rPr>
          <w:rFonts w:hint="eastAsia" w:asciiTheme="minorEastAsia" w:hAnsiTheme="minorEastAsia" w:eastAsiaTheme="minorEastAsia" w:cstheme="minorEastAsia"/>
          <w:sz w:val="21"/>
          <w:szCs w:val="21"/>
        </w:rPr>
        <w:t>0.7.1 依法必须招标的暂估价项目</w:t>
      </w:r>
      <w:bookmarkEnd w:id="514"/>
      <w:bookmarkEnd w:id="515"/>
      <w:bookmarkEnd w:id="516"/>
    </w:p>
    <w:p w14:paraId="4493375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对于依法必须招标的暂估价项目的确认和批准采取第</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种方式确定。</w:t>
      </w:r>
    </w:p>
    <w:p w14:paraId="071BE6B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10.7.2 不属于依法必须招标的暂估价项目</w:t>
      </w:r>
    </w:p>
    <w:p w14:paraId="0FDF21F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对于不属于依法必须招标的暂估价项目的确认和批准采取第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种方式确定。</w:t>
      </w:r>
    </w:p>
    <w:p w14:paraId="3CA4B7A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第3种方式：承包人直接实施的暂估价项目</w:t>
      </w:r>
    </w:p>
    <w:p w14:paraId="4A8F3EF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承包人直接实施的暂估价项目的约定：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5728D44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10.8 暂列金额</w:t>
      </w:r>
    </w:p>
    <w:p w14:paraId="130F3C2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合同当事人关于暂列金额使用的约定：</w:t>
      </w:r>
      <w:r>
        <w:rPr>
          <w:rFonts w:hint="eastAsia" w:asciiTheme="minorEastAsia" w:hAnsiTheme="minorEastAsia" w:eastAsiaTheme="minorEastAsia" w:cstheme="minorEastAsia"/>
          <w:sz w:val="21"/>
          <w:szCs w:val="21"/>
          <w:u w:val="single"/>
        </w:rPr>
        <w:t>按规范处理</w:t>
      </w:r>
      <w:r>
        <w:rPr>
          <w:rFonts w:hint="eastAsia" w:asciiTheme="minorEastAsia" w:hAnsiTheme="minorEastAsia" w:eastAsiaTheme="minorEastAsia" w:cstheme="minorEastAsia"/>
          <w:color w:val="000000"/>
          <w:sz w:val="21"/>
          <w:szCs w:val="21"/>
        </w:rPr>
        <w:t>。</w:t>
      </w:r>
    </w:p>
    <w:p w14:paraId="48AD7D72">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517" w:name="_Toc351203643"/>
      <w:r>
        <w:rPr>
          <w:rFonts w:hint="eastAsia" w:asciiTheme="minorEastAsia" w:hAnsiTheme="minorEastAsia" w:eastAsiaTheme="minorEastAsia" w:cstheme="minorEastAsia"/>
          <w:b w:val="0"/>
          <w:color w:val="000000"/>
          <w:sz w:val="21"/>
          <w:szCs w:val="21"/>
        </w:rPr>
        <w:t>11. 价格调整</w:t>
      </w:r>
      <w:bookmarkEnd w:id="517"/>
    </w:p>
    <w:p w14:paraId="17C65E88">
      <w:pPr>
        <w:spacing w:after="120" w:line="360" w:lineRule="auto"/>
        <w:ind w:firstLine="600"/>
        <w:rPr>
          <w:rFonts w:hint="eastAsia" w:asciiTheme="minorEastAsia" w:hAnsiTheme="minorEastAsia" w:eastAsiaTheme="minorEastAsia" w:cstheme="minorEastAsia"/>
          <w:color w:val="000000"/>
          <w:sz w:val="21"/>
          <w:szCs w:val="21"/>
        </w:rPr>
      </w:pPr>
      <w:bookmarkStart w:id="518" w:name="_Toc303539157"/>
      <w:bookmarkStart w:id="519" w:name="_Toc297120501"/>
      <w:bookmarkStart w:id="520" w:name="_Toc296891029"/>
      <w:bookmarkStart w:id="521" w:name="_Toc296503201"/>
      <w:bookmarkStart w:id="522" w:name="_Toc296944540"/>
      <w:bookmarkStart w:id="523" w:name="_Toc296891241"/>
      <w:bookmarkStart w:id="524" w:name="_Toc300935000"/>
      <w:bookmarkStart w:id="525" w:name="_Toc292559406"/>
      <w:bookmarkStart w:id="526" w:name="_Toc292559911"/>
      <w:bookmarkStart w:id="527" w:name="_Toc297048387"/>
      <w:bookmarkStart w:id="528" w:name="_Toc296346702"/>
      <w:bookmarkStart w:id="529" w:name="_Toc297123550"/>
      <w:bookmarkStart w:id="530" w:name="_Toc304295577"/>
      <w:bookmarkStart w:id="531" w:name="_Toc296347200"/>
      <w:bookmarkStart w:id="532" w:name="_Toc297216209"/>
      <w:bookmarkStart w:id="533" w:name="_Toc312678039"/>
      <w:r>
        <w:rPr>
          <w:rFonts w:hint="eastAsia" w:asciiTheme="minorEastAsia" w:hAnsiTheme="minorEastAsia" w:eastAsiaTheme="minorEastAsia" w:cstheme="minorEastAsia"/>
          <w:color w:val="000000"/>
          <w:sz w:val="21"/>
          <w:szCs w:val="21"/>
        </w:rPr>
        <w:t>11.1 市场价格波动引起的调整</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C35667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市场价格波动是否调整合同价格的约定：</w:t>
      </w:r>
      <w:r>
        <w:rPr>
          <w:rFonts w:hint="eastAsia" w:asciiTheme="minorEastAsia" w:hAnsiTheme="minorEastAsia" w:eastAsiaTheme="minorEastAsia" w:cstheme="minorEastAsia"/>
          <w:sz w:val="21"/>
          <w:szCs w:val="21"/>
          <w:u w:val="single"/>
        </w:rPr>
        <w:t>人工、材料、设备、机械费用的市场价格变化在投标综合单价里已考虑，</w:t>
      </w:r>
      <w:r>
        <w:rPr>
          <w:rFonts w:hint="eastAsia" w:asciiTheme="minorEastAsia" w:hAnsiTheme="minorEastAsia" w:eastAsiaTheme="minorEastAsia" w:cstheme="minorEastAsia"/>
          <w:sz w:val="21"/>
          <w:szCs w:val="21"/>
          <w:u w:val="single"/>
          <w:lang w:eastAsia="zh-CN"/>
        </w:rPr>
        <w:t>不作</w:t>
      </w:r>
      <w:r>
        <w:rPr>
          <w:rFonts w:hint="eastAsia" w:asciiTheme="minorEastAsia" w:hAnsiTheme="minorEastAsia" w:eastAsiaTheme="minorEastAsia" w:cstheme="minorEastAsia"/>
          <w:sz w:val="21"/>
          <w:szCs w:val="21"/>
          <w:u w:val="single"/>
        </w:rPr>
        <w:t>调整</w:t>
      </w:r>
      <w:r>
        <w:rPr>
          <w:rFonts w:hint="eastAsia" w:asciiTheme="minorEastAsia" w:hAnsiTheme="minorEastAsia" w:eastAsiaTheme="minorEastAsia" w:cstheme="minorEastAsia"/>
          <w:sz w:val="21"/>
          <w:szCs w:val="21"/>
        </w:rPr>
        <w:t>。</w:t>
      </w:r>
    </w:p>
    <w:p w14:paraId="70AB346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因市场价格波动调整合同价格，采用以下</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u w:val="single"/>
        </w:rPr>
        <w:t>3</w:t>
      </w:r>
      <w:r>
        <w:rPr>
          <w:rFonts w:hint="eastAsia" w:asciiTheme="minorEastAsia" w:hAnsiTheme="minorEastAsia" w:eastAsiaTheme="minorEastAsia" w:cstheme="minorEastAsia"/>
          <w:color w:val="000000"/>
          <w:sz w:val="21"/>
          <w:szCs w:val="21"/>
        </w:rPr>
        <w:t>种方式对合同价格进行调整：</w:t>
      </w:r>
    </w:p>
    <w:p w14:paraId="01DCA09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第1种方式：采用价格指数进行价格调整。</w:t>
      </w:r>
    </w:p>
    <w:p w14:paraId="4577F95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关于各可调因子、定值和变值权重，以及基本价格指数及其来源的约定：</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 xml:space="preserve">；  </w:t>
      </w:r>
    </w:p>
    <w:p w14:paraId="331AF59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第2种方式：采用造价信息进行价格调整。</w:t>
      </w:r>
    </w:p>
    <w:p w14:paraId="76B0DFE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（2）关于基准价格的约定：</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w:t>
      </w:r>
    </w:p>
    <w:p w14:paraId="5D94B7B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%时，或材料单价跌幅以已标价工程量清单或预算书中载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5EE6A8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%时，材料单价涨幅以已标价工程量清单或预算书中载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054C4E38">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633EFDEB">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第3种方式：其他价格调整方式：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421"/>
    <w:bookmarkEnd w:id="422"/>
    <w:bookmarkEnd w:id="423"/>
    <w:bookmarkEnd w:id="424"/>
    <w:bookmarkEnd w:id="425"/>
    <w:bookmarkEnd w:id="426"/>
    <w:p w14:paraId="67E59006">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534" w:name="_Toc292559915"/>
      <w:bookmarkStart w:id="535" w:name="_Toc297120505"/>
      <w:bookmarkStart w:id="536" w:name="_Toc296503205"/>
      <w:bookmarkStart w:id="537" w:name="_Toc296347204"/>
      <w:bookmarkStart w:id="538" w:name="_Toc296944544"/>
      <w:bookmarkStart w:id="539" w:name="_Toc297048391"/>
      <w:bookmarkStart w:id="540" w:name="_Toc296346706"/>
      <w:bookmarkStart w:id="541" w:name="_Toc292559410"/>
      <w:bookmarkStart w:id="542" w:name="_Toc296891033"/>
      <w:bookmarkStart w:id="543" w:name="_Toc296891245"/>
      <w:bookmarkStart w:id="544" w:name="_Toc351203644"/>
      <w:bookmarkStart w:id="545" w:name="_Toc297216211"/>
      <w:bookmarkStart w:id="546" w:name="_Toc304295579"/>
      <w:bookmarkStart w:id="547" w:name="_Toc303539159"/>
      <w:bookmarkStart w:id="548" w:name="_Toc312678040"/>
      <w:bookmarkStart w:id="549" w:name="_Toc297123552"/>
      <w:bookmarkStart w:id="550" w:name="_Toc300935002"/>
      <w:r>
        <w:rPr>
          <w:rFonts w:hint="eastAsia" w:asciiTheme="minorEastAsia" w:hAnsiTheme="minorEastAsia" w:eastAsiaTheme="minorEastAsia" w:cstheme="minorEastAsia"/>
          <w:b w:val="0"/>
          <w:color w:val="000000"/>
          <w:sz w:val="21"/>
          <w:szCs w:val="21"/>
        </w:rPr>
        <w:t xml:space="preserve">12. </w:t>
      </w:r>
      <w:bookmarkEnd w:id="534"/>
      <w:bookmarkEnd w:id="535"/>
      <w:bookmarkEnd w:id="536"/>
      <w:bookmarkEnd w:id="537"/>
      <w:bookmarkEnd w:id="538"/>
      <w:bookmarkEnd w:id="539"/>
      <w:bookmarkEnd w:id="540"/>
      <w:bookmarkEnd w:id="541"/>
      <w:bookmarkEnd w:id="542"/>
      <w:bookmarkEnd w:id="543"/>
      <w:r>
        <w:rPr>
          <w:rFonts w:hint="eastAsia" w:asciiTheme="minorEastAsia" w:hAnsiTheme="minorEastAsia" w:eastAsiaTheme="minorEastAsia" w:cstheme="minorEastAsia"/>
          <w:b w:val="0"/>
          <w:color w:val="000000"/>
          <w:sz w:val="21"/>
          <w:szCs w:val="21"/>
        </w:rPr>
        <w:t>合同价格、计量与支付</w:t>
      </w:r>
      <w:bookmarkEnd w:id="544"/>
    </w:p>
    <w:bookmarkEnd w:id="545"/>
    <w:bookmarkEnd w:id="546"/>
    <w:bookmarkEnd w:id="547"/>
    <w:bookmarkEnd w:id="548"/>
    <w:bookmarkEnd w:id="549"/>
    <w:bookmarkEnd w:id="550"/>
    <w:p w14:paraId="6A4EAAC8">
      <w:pPr>
        <w:spacing w:after="120" w:line="360" w:lineRule="auto"/>
        <w:ind w:firstLine="600"/>
        <w:rPr>
          <w:rFonts w:hint="eastAsia" w:asciiTheme="minorEastAsia" w:hAnsiTheme="minorEastAsia" w:eastAsiaTheme="minorEastAsia" w:cstheme="minorEastAsia"/>
          <w:color w:val="000000"/>
          <w:sz w:val="21"/>
          <w:szCs w:val="21"/>
        </w:rPr>
      </w:pPr>
      <w:bookmarkStart w:id="551" w:name="_Toc292559411"/>
      <w:bookmarkStart w:id="552" w:name="_Toc292559916"/>
      <w:bookmarkStart w:id="553" w:name="_Toc267251461"/>
      <w:bookmarkStart w:id="554" w:name="_Toc296346707"/>
      <w:bookmarkStart w:id="555" w:name="_Toc296347205"/>
      <w:bookmarkStart w:id="556" w:name="_Toc297120506"/>
      <w:bookmarkStart w:id="557" w:name="_Toc296891246"/>
      <w:bookmarkStart w:id="558" w:name="_Toc297048392"/>
      <w:bookmarkStart w:id="559" w:name="_Toc296944545"/>
      <w:bookmarkStart w:id="560" w:name="_Toc296503206"/>
      <w:bookmarkStart w:id="561" w:name="_Toc296891034"/>
      <w:bookmarkStart w:id="562" w:name="_Toc304295580"/>
      <w:bookmarkStart w:id="563" w:name="_Toc300935003"/>
      <w:bookmarkStart w:id="564" w:name="_Toc312678041"/>
      <w:bookmarkStart w:id="565" w:name="_Toc297123553"/>
      <w:bookmarkStart w:id="566" w:name="_Toc297216212"/>
      <w:bookmarkStart w:id="567" w:name="_Toc303539160"/>
      <w:r>
        <w:rPr>
          <w:rFonts w:hint="eastAsia" w:asciiTheme="minorEastAsia" w:hAnsiTheme="minorEastAsia" w:eastAsiaTheme="minorEastAsia" w:cstheme="minorEastAsia"/>
          <w:color w:val="000000"/>
          <w:sz w:val="21"/>
          <w:szCs w:val="21"/>
        </w:rPr>
        <w:t>12.1 合</w:t>
      </w:r>
      <w:bookmarkEnd w:id="551"/>
      <w:bookmarkEnd w:id="552"/>
      <w:bookmarkEnd w:id="553"/>
      <w:r>
        <w:rPr>
          <w:rFonts w:hint="eastAsia" w:asciiTheme="minorEastAsia" w:hAnsiTheme="minorEastAsia" w:eastAsiaTheme="minorEastAsia" w:cstheme="minorEastAsia"/>
          <w:color w:val="000000"/>
          <w:sz w:val="21"/>
          <w:szCs w:val="21"/>
        </w:rPr>
        <w:t>同价</w:t>
      </w:r>
      <w:bookmarkEnd w:id="554"/>
      <w:bookmarkEnd w:id="555"/>
      <w:bookmarkEnd w:id="556"/>
      <w:bookmarkEnd w:id="557"/>
      <w:bookmarkEnd w:id="558"/>
      <w:bookmarkEnd w:id="559"/>
      <w:bookmarkEnd w:id="560"/>
      <w:bookmarkEnd w:id="561"/>
      <w:r>
        <w:rPr>
          <w:rFonts w:hint="eastAsia" w:asciiTheme="minorEastAsia" w:hAnsiTheme="minorEastAsia" w:eastAsiaTheme="minorEastAsia" w:cstheme="minorEastAsia"/>
          <w:color w:val="000000"/>
          <w:sz w:val="21"/>
          <w:szCs w:val="21"/>
        </w:rPr>
        <w:t>格形式</w:t>
      </w:r>
      <w:bookmarkEnd w:id="562"/>
      <w:bookmarkEnd w:id="563"/>
      <w:bookmarkEnd w:id="564"/>
      <w:bookmarkEnd w:id="565"/>
      <w:bookmarkEnd w:id="566"/>
      <w:bookmarkEnd w:id="567"/>
    </w:p>
    <w:p w14:paraId="64B8D7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w:t>
      </w:r>
    </w:p>
    <w:p w14:paraId="417FAED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综合单价包含的风险范围：</w:t>
      </w:r>
      <w:r>
        <w:rPr>
          <w:rFonts w:hint="eastAsia" w:asciiTheme="minorEastAsia" w:hAnsiTheme="minorEastAsia" w:eastAsiaTheme="minorEastAsia" w:cstheme="minorEastAsia"/>
          <w:color w:val="000000"/>
          <w:sz w:val="21"/>
          <w:szCs w:val="21"/>
          <w:u w:val="single"/>
        </w:rPr>
        <w:t>政府文件规定的不可竞争费用、人工工资价单价执行《建筑工程工程量清单计价规范》(GB50500-2013)、《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相关专业计价表。"人工执行苏建函价[2020]115号文"文件、机械台班价格的投标报价风险、部分市场浮动的风险和部分政策性调整。政府文件规定的不可竞争费用、政策性调整及不可预见外的一切风险。</w:t>
      </w:r>
    </w:p>
    <w:p w14:paraId="7EF227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承包人已充分考虑风险范围及风险程度，风险已含在合同价内，结算时不作调整。</w:t>
      </w:r>
    </w:p>
    <w:p w14:paraId="69E72D0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1、材料价格风险控制费用的计算方法执行"苏建价【2008】67号文"（关于加强建筑材料价格风险控制的指导意见）。承包人投标时充分考虑风险范围并计算风险费用进入报价。判断是否为主要材料的比例计算依据：以招标时发包人设定招标控制价的施工图预算中材料费占工程造价的比例作为计算依据。因发包人原因造成工期延误的，延误期间发生的材料价格上涨差额由发包人承担；因承包人原因造成工期延误的，延误期间发生的材料价格上涨差额由承包人承担。</w:t>
      </w:r>
    </w:p>
    <w:p w14:paraId="165C689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2、本项目工程量清单"汇总表"中预留</w:t>
      </w:r>
      <w:r>
        <w:rPr>
          <w:rFonts w:hint="eastAsia" w:asciiTheme="minorEastAsia" w:hAnsiTheme="minorEastAsia" w:eastAsiaTheme="minorEastAsia" w:cstheme="minorEastAsia"/>
          <w:color w:val="000000"/>
          <w:sz w:val="21"/>
          <w:szCs w:val="21"/>
          <w:u w:val="single"/>
          <w:lang w:val="en-US" w:eastAsia="zh-CN"/>
        </w:rPr>
        <w:t>资</w:t>
      </w:r>
      <w:r>
        <w:rPr>
          <w:rFonts w:hint="eastAsia" w:asciiTheme="minorEastAsia" w:hAnsiTheme="minorEastAsia" w:eastAsiaTheme="minorEastAsia" w:cstheme="minorEastAsia"/>
          <w:color w:val="000000"/>
          <w:sz w:val="21"/>
          <w:szCs w:val="21"/>
          <w:u w:val="single"/>
        </w:rPr>
        <w:t>金，各投标人报价时不可以进行让利，否则按废标处理。预留金为发包人掌握使用的一笔款项，在用于各项价款调整、索赔与现场签证后，若有余额，则余额归发包人；若出现差额，则由发包人补足并反映在相应项目的工程价款中。</w:t>
      </w:r>
    </w:p>
    <w:p w14:paraId="246EE9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3、本项目未使用的暂列金额和暂估价部分所发生的含规费在内的各项费用，由投标人承担，请各投标人在投标报价中进行考虑，结算时</w:t>
      </w:r>
      <w:r>
        <w:rPr>
          <w:rFonts w:hint="eastAsia" w:asciiTheme="minorEastAsia" w:hAnsiTheme="minorEastAsia" w:eastAsiaTheme="minorEastAsia" w:cstheme="minorEastAsia"/>
          <w:color w:val="000000"/>
          <w:sz w:val="21"/>
          <w:szCs w:val="21"/>
          <w:u w:val="single"/>
          <w:lang w:eastAsia="zh-CN"/>
        </w:rPr>
        <w:t>不作</w:t>
      </w:r>
      <w:r>
        <w:rPr>
          <w:rFonts w:hint="eastAsia" w:asciiTheme="minorEastAsia" w:hAnsiTheme="minorEastAsia" w:eastAsiaTheme="minorEastAsia" w:cstheme="minorEastAsia"/>
          <w:color w:val="000000"/>
          <w:sz w:val="21"/>
          <w:szCs w:val="21"/>
          <w:u w:val="single"/>
        </w:rPr>
        <w:t>调整。</w:t>
      </w:r>
    </w:p>
    <w:p w14:paraId="09E84AF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4、发包人将施工用电接至本项目总平</w:t>
      </w:r>
      <w:r>
        <w:rPr>
          <w:rFonts w:hint="eastAsia" w:asciiTheme="minorEastAsia" w:hAnsiTheme="minorEastAsia" w:eastAsiaTheme="minorEastAsia" w:cstheme="minorEastAsia"/>
          <w:color w:val="000000"/>
          <w:sz w:val="21"/>
          <w:szCs w:val="21"/>
          <w:u w:val="single"/>
          <w:lang w:val="en-US" w:eastAsia="zh-CN"/>
        </w:rPr>
        <w:t>面</w:t>
      </w:r>
      <w:r>
        <w:rPr>
          <w:rFonts w:hint="eastAsia" w:asciiTheme="minorEastAsia" w:hAnsiTheme="minorEastAsia" w:eastAsiaTheme="minorEastAsia" w:cstheme="minorEastAsia"/>
          <w:color w:val="000000"/>
          <w:sz w:val="21"/>
          <w:szCs w:val="21"/>
          <w:u w:val="single"/>
        </w:rPr>
        <w:t>图规划用地红线边，承包人负责将施工用电从红线边接至施工标段范围内。因施工范围离规划用地红线距离比较远，施工电缆由各家投标单位按现场的实际情况，充分考虑后列入投标报价中，结算时不予调整。工程中泥浆外运的场地各投标人自行考虑，倾倒泥浆的场地费用及相关其他费用各投标人自行考虑进报价中，结算时不予调整。</w:t>
      </w:r>
    </w:p>
    <w:p w14:paraId="2AD798D1">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5、本工程投标报价时，措施项目清单中企业检验试验费除已考虑施工企业按规定进行建筑材料、构配件等试样的制作、封样和其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 xml:space="preserve">为保证工程质量进行的材料检验试验工作所发生的费用外，也同时考虑根据有关国家标准或施工验收规范要求对地材、钢材、砼试块等所有材料、构配件和建筑物工程质量检测检验发生的支付给检测机构的费用。 </w:t>
      </w:r>
    </w:p>
    <w:p w14:paraId="1880421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6、本工程投标报价时，承包人已充分考虑发包人控制风险范围内的独立费、暂估工程价和暂列金额项目所发生的各项费用（如由此部分所缴纳的交易服务费、安监费、社会保障费及利息等），在措施项目清单中其他项目措施费用中列项报价，结算时不予调整。</w:t>
      </w:r>
    </w:p>
    <w:p w14:paraId="510ED36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7、承包人漏报发包人工程量清单中某分项工程特征描述中某项内容的价款，当实际施工中未发生时，结算时也须将该项费用按定额预算价格扣除。</w:t>
      </w:r>
    </w:p>
    <w:p w14:paraId="587B84E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8、工程量清单中未做项目，结算时按照招标文件规定执行怎么进怎么出的原则进行扣除。</w:t>
      </w:r>
    </w:p>
    <w:p w14:paraId="4B25B5E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9、工程结算时须执行招标文件中投标报价编制要求中有关工程价款计价与结算的规定</w:t>
      </w:r>
      <w:r>
        <w:rPr>
          <w:rFonts w:hint="eastAsia" w:asciiTheme="minorEastAsia" w:hAnsiTheme="minorEastAsia" w:eastAsiaTheme="minorEastAsia" w:cstheme="minorEastAsia"/>
          <w:color w:val="000000"/>
          <w:sz w:val="21"/>
          <w:szCs w:val="21"/>
        </w:rPr>
        <w:t>。</w:t>
      </w:r>
    </w:p>
    <w:p w14:paraId="2AAA885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w:t>
      </w:r>
    </w:p>
    <w:p w14:paraId="7E7013D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总价包含的风险范围：</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73E5F2A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02D96A6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16ED8B6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3、其他价格方式：</w:t>
      </w:r>
      <w:bookmarkStart w:id="568" w:name="_Toc303539161"/>
      <w:bookmarkStart w:id="569" w:name="_Toc300935004"/>
      <w:bookmarkStart w:id="570" w:name="_Toc297123554"/>
      <w:bookmarkStart w:id="571" w:name="_Toc297216213"/>
      <w:bookmarkStart w:id="572" w:name="_Toc304295581"/>
      <w:bookmarkStart w:id="573" w:name="_Toc312678042"/>
      <w:bookmarkStart w:id="574" w:name="_Toc297048393"/>
      <w:bookmarkStart w:id="575" w:name="_Toc296891247"/>
      <w:bookmarkStart w:id="576" w:name="_Toc296891035"/>
      <w:bookmarkStart w:id="577" w:name="_Toc292559412"/>
      <w:bookmarkStart w:id="578" w:name="_Toc296346708"/>
      <w:bookmarkStart w:id="579" w:name="_Toc296944546"/>
      <w:bookmarkStart w:id="580" w:name="_Toc296503207"/>
      <w:bookmarkStart w:id="581" w:name="_Toc296347206"/>
      <w:bookmarkStart w:id="582" w:name="_Toc292559917"/>
      <w:bookmarkStart w:id="583" w:name="_Toc297120507"/>
      <w:r>
        <w:rPr>
          <w:rFonts w:hint="eastAsia" w:asciiTheme="minorEastAsia" w:hAnsiTheme="minorEastAsia" w:eastAsiaTheme="minorEastAsia" w:cstheme="minorEastAsia"/>
          <w:color w:val="000000"/>
          <w:sz w:val="21"/>
          <w:szCs w:val="21"/>
          <w:u w:val="single"/>
        </w:rPr>
        <w:t>无</w:t>
      </w:r>
      <w:bookmarkEnd w:id="568"/>
      <w:bookmarkEnd w:id="569"/>
      <w:bookmarkEnd w:id="570"/>
      <w:bookmarkEnd w:id="571"/>
      <w:bookmarkEnd w:id="572"/>
      <w:bookmarkEnd w:id="573"/>
    </w:p>
    <w:p w14:paraId="74E5637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12.2.1 预付款的支付</w:t>
      </w:r>
    </w:p>
    <w:p w14:paraId="3568185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预付款支付比例或金额：</w:t>
      </w:r>
      <w:r>
        <w:rPr>
          <w:rFonts w:hint="eastAsia" w:asciiTheme="minorEastAsia" w:hAnsiTheme="minorEastAsia" w:eastAsiaTheme="minorEastAsia" w:cstheme="minorEastAsia"/>
          <w:color w:val="000000"/>
          <w:sz w:val="21"/>
          <w:szCs w:val="21"/>
          <w:u w:val="single"/>
        </w:rPr>
        <w:t>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天内（但不迟于开工7天前），支付合同价（扣除暂列金额</w:t>
      </w:r>
      <w:r>
        <w:rPr>
          <w:rFonts w:hint="eastAsia" w:asciiTheme="minorEastAsia" w:hAnsiTheme="minorEastAsia" w:eastAsiaTheme="minorEastAsia" w:cstheme="minorEastAsia"/>
          <w:color w:val="000000"/>
          <w:sz w:val="21"/>
          <w:szCs w:val="21"/>
          <w:u w:val="single"/>
          <w:lang w:eastAsia="zh-CN"/>
        </w:rPr>
        <w:t>、</w:t>
      </w:r>
      <w:r>
        <w:rPr>
          <w:rFonts w:hint="eastAsia" w:asciiTheme="minorEastAsia" w:hAnsiTheme="minorEastAsia" w:eastAsiaTheme="minorEastAsia" w:cstheme="minorEastAsia"/>
          <w:color w:val="000000"/>
          <w:sz w:val="21"/>
          <w:szCs w:val="21"/>
          <w:u w:val="single"/>
          <w:lang w:val="en-US" w:eastAsia="zh-CN"/>
        </w:rPr>
        <w:t>暂估价、甲供材</w:t>
      </w:r>
      <w:r>
        <w:rPr>
          <w:rFonts w:hint="eastAsia" w:asciiTheme="minorEastAsia" w:hAnsiTheme="minorEastAsia" w:eastAsiaTheme="minorEastAsia" w:cstheme="minorEastAsia"/>
          <w:color w:val="000000"/>
          <w:sz w:val="21"/>
          <w:szCs w:val="21"/>
          <w:u w:val="single"/>
        </w:rPr>
        <w:t>）的</w:t>
      </w:r>
      <w:r>
        <w:rPr>
          <w:rFonts w:hint="eastAsia" w:asciiTheme="minorEastAsia" w:hAnsiTheme="minorEastAsia" w:eastAsiaTheme="minorEastAsia" w:cstheme="minorEastAsia"/>
          <w:color w:val="000000"/>
          <w:sz w:val="21"/>
          <w:szCs w:val="21"/>
          <w:u w:val="single"/>
          <w:lang w:val="en-US" w:eastAsia="zh-CN"/>
        </w:rPr>
        <w:t>30</w:t>
      </w:r>
      <w:r>
        <w:rPr>
          <w:rFonts w:hint="eastAsia" w:asciiTheme="minorEastAsia" w:hAnsiTheme="minorEastAsia" w:eastAsiaTheme="minorEastAsia" w:cstheme="minorEastAsia"/>
          <w:color w:val="000000"/>
          <w:sz w:val="21"/>
          <w:szCs w:val="21"/>
          <w:u w:val="single"/>
        </w:rPr>
        <w:t>%作为预付款</w:t>
      </w:r>
      <w:r>
        <w:rPr>
          <w:rFonts w:hint="eastAsia" w:asciiTheme="minorEastAsia" w:hAnsiTheme="minorEastAsia" w:eastAsiaTheme="minorEastAsia" w:cstheme="minorEastAsia"/>
          <w:color w:val="000000"/>
          <w:sz w:val="21"/>
          <w:szCs w:val="21"/>
        </w:rPr>
        <w:t>。</w:t>
      </w:r>
    </w:p>
    <w:p w14:paraId="728E65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预付款支付期限：</w:t>
      </w:r>
      <w:r>
        <w:rPr>
          <w:rFonts w:hint="eastAsia" w:asciiTheme="minorEastAsia" w:hAnsiTheme="minorEastAsia" w:eastAsiaTheme="minorEastAsia" w:cstheme="minorEastAsia"/>
          <w:color w:val="000000"/>
          <w:sz w:val="21"/>
          <w:szCs w:val="21"/>
          <w:u w:val="single"/>
        </w:rPr>
        <w:t>施工合同签订后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 xml:space="preserve">天内（但不迟于开工七天前） </w:t>
      </w:r>
      <w:r>
        <w:rPr>
          <w:rFonts w:hint="eastAsia" w:asciiTheme="minorEastAsia" w:hAnsiTheme="minorEastAsia" w:eastAsiaTheme="minorEastAsia" w:cstheme="minorEastAsia"/>
          <w:color w:val="000000"/>
          <w:sz w:val="21"/>
          <w:szCs w:val="21"/>
        </w:rPr>
        <w:t>。</w:t>
      </w:r>
    </w:p>
    <w:p w14:paraId="64BC48A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预付款扣回的方式：</w:t>
      </w:r>
      <w:r>
        <w:rPr>
          <w:rFonts w:hint="eastAsia" w:asciiTheme="minorEastAsia" w:hAnsiTheme="minorEastAsia" w:eastAsiaTheme="minorEastAsia" w:cstheme="minorEastAsia"/>
          <w:color w:val="000000"/>
          <w:sz w:val="21"/>
          <w:szCs w:val="21"/>
          <w:u w:val="single"/>
        </w:rPr>
        <w:t>按付款比例扣除。工程竣工验收合格后扣回全部工程预付款</w:t>
      </w:r>
      <w:r>
        <w:rPr>
          <w:rFonts w:hint="eastAsia" w:asciiTheme="minorEastAsia" w:hAnsiTheme="minorEastAsia" w:eastAsiaTheme="minorEastAsia" w:cstheme="minorEastAsia"/>
          <w:color w:val="000000"/>
          <w:sz w:val="21"/>
          <w:szCs w:val="21"/>
        </w:rPr>
        <w:t>。</w:t>
      </w:r>
    </w:p>
    <w:p w14:paraId="04A02FD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12.2.2 预付款担保</w:t>
      </w:r>
    </w:p>
    <w:p w14:paraId="7240A41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承包人提交预付款担保的期限：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8FEB4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预付款担保的形式为：</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w:t>
      </w:r>
      <w:bookmarkEnd w:id="574"/>
      <w:bookmarkEnd w:id="575"/>
      <w:bookmarkEnd w:id="576"/>
      <w:bookmarkEnd w:id="577"/>
      <w:bookmarkEnd w:id="578"/>
      <w:bookmarkEnd w:id="579"/>
      <w:bookmarkEnd w:id="580"/>
      <w:bookmarkEnd w:id="581"/>
      <w:bookmarkEnd w:id="582"/>
      <w:bookmarkEnd w:id="583"/>
    </w:p>
    <w:p w14:paraId="1432CD1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 计量</w:t>
      </w:r>
    </w:p>
    <w:p w14:paraId="6B16096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12.3.1 计量原则</w:t>
      </w:r>
    </w:p>
    <w:p w14:paraId="7FE4325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工程量计算规则：</w:t>
      </w:r>
      <w:r>
        <w:rPr>
          <w:rFonts w:hint="eastAsia" w:asciiTheme="minorEastAsia" w:hAnsiTheme="minorEastAsia" w:eastAsiaTheme="minorEastAsia" w:cstheme="minorEastAsia"/>
          <w:color w:val="000000"/>
          <w:sz w:val="21"/>
          <w:szCs w:val="21"/>
          <w:u w:val="single"/>
        </w:rPr>
        <w:t>工程量计算规则执行国家标准"《建设工程工程量清单计价规范》（2013）；江苏省建筑与装饰工程计价定额》（2014）、《江苏省安装工程计价定额》（2014）；《江苏省建设工程费用定额》（2014）和其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相关专业计价表。承包人实际完成的工程量按约定的工程量计算规则和有合同约束力的图纸进行计量</w:t>
      </w:r>
      <w:r>
        <w:rPr>
          <w:rFonts w:hint="eastAsia" w:asciiTheme="minorEastAsia" w:hAnsiTheme="minorEastAsia" w:eastAsiaTheme="minorEastAsia" w:cstheme="minorEastAsia"/>
          <w:color w:val="000000"/>
          <w:sz w:val="21"/>
          <w:szCs w:val="21"/>
        </w:rPr>
        <w:t>。</w:t>
      </w:r>
    </w:p>
    <w:p w14:paraId="3C64C98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12.3.2 计量周期</w:t>
      </w:r>
    </w:p>
    <w:p w14:paraId="41259AC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关于计量周期的约定：</w:t>
      </w:r>
      <w:r>
        <w:rPr>
          <w:rFonts w:hint="eastAsia" w:asciiTheme="minorEastAsia" w:hAnsiTheme="minorEastAsia" w:eastAsiaTheme="minorEastAsia" w:cstheme="minorEastAsia"/>
          <w:color w:val="000000"/>
          <w:sz w:val="21"/>
          <w:szCs w:val="21"/>
          <w:u w:val="single"/>
        </w:rPr>
        <w:t>本合同的计量周期为月,每月25日为当月计量截止日期(不含当日)和下月计量起始日期(含当日)</w:t>
      </w:r>
      <w:r>
        <w:rPr>
          <w:rFonts w:hint="eastAsia" w:asciiTheme="minorEastAsia" w:hAnsiTheme="minorEastAsia" w:eastAsiaTheme="minorEastAsia" w:cstheme="minorEastAsia"/>
          <w:color w:val="000000"/>
          <w:sz w:val="21"/>
          <w:szCs w:val="21"/>
        </w:rPr>
        <w:t>。</w:t>
      </w:r>
    </w:p>
    <w:p w14:paraId="761DDD4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12.3.3 单价合同的计量</w:t>
      </w:r>
    </w:p>
    <w:p w14:paraId="320574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关于单价合同计量的约定：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293DC4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12.3.4 总价合同的计量</w:t>
      </w:r>
    </w:p>
    <w:p w14:paraId="600E186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关于总价合同计量的约定：</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154DA5C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12.3.5总价合同采用支付分解表计量支付的，是否适用第12.3.4 项〔总价合同的计量〕约定进行计量：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269D8A9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12.3.6 其他价格形式合同的计量</w:t>
      </w:r>
    </w:p>
    <w:p w14:paraId="139D68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其他价格形式的计量方式和程序：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0226BD6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 工程进度款支付</w:t>
      </w:r>
    </w:p>
    <w:p w14:paraId="5FF5D65D">
      <w:pPr>
        <w:spacing w:line="360" w:lineRule="auto"/>
        <w:ind w:firstLine="600"/>
        <w:jc w:val="left"/>
        <w:rPr>
          <w:rFonts w:hint="eastAsia" w:asciiTheme="minorEastAsia" w:hAnsiTheme="minorEastAsia" w:eastAsiaTheme="minorEastAsia" w:cstheme="minorEastAsia"/>
          <w:color w:val="000000"/>
          <w:sz w:val="21"/>
          <w:szCs w:val="21"/>
          <w:highlight w:val="none"/>
        </w:rPr>
      </w:pPr>
      <w:bookmarkStart w:id="584" w:name="_Toc297048397"/>
      <w:bookmarkStart w:id="585" w:name="_Toc300935006"/>
      <w:bookmarkStart w:id="586" w:name="_Toc303539163"/>
      <w:bookmarkStart w:id="587" w:name="_Toc292559921"/>
      <w:bookmarkStart w:id="588" w:name="_Toc296944550"/>
      <w:bookmarkStart w:id="589" w:name="_Toc297123556"/>
      <w:bookmarkStart w:id="590" w:name="_Toc296891251"/>
      <w:bookmarkStart w:id="591" w:name="_Toc296891039"/>
      <w:bookmarkStart w:id="592" w:name="_Toc297120511"/>
      <w:bookmarkStart w:id="593" w:name="_Toc297216215"/>
      <w:bookmarkStart w:id="594" w:name="_Toc292559416"/>
      <w:bookmarkStart w:id="595" w:name="_Toc296347210"/>
      <w:bookmarkStart w:id="596" w:name="_Toc296503211"/>
      <w:bookmarkStart w:id="597" w:name="_Toc296346712"/>
      <w:r>
        <w:rPr>
          <w:rFonts w:hint="eastAsia" w:asciiTheme="minorEastAsia" w:hAnsiTheme="minorEastAsia" w:eastAsiaTheme="minorEastAsia" w:cstheme="minorEastAsia"/>
          <w:color w:val="000000"/>
          <w:sz w:val="21"/>
          <w:szCs w:val="21"/>
          <w:highlight w:val="none"/>
        </w:rPr>
        <w:t>12.4.1 付款周期</w:t>
      </w:r>
    </w:p>
    <w:p w14:paraId="555AA4E5">
      <w:pPr>
        <w:spacing w:line="360" w:lineRule="auto"/>
        <w:ind w:firstLine="6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关于付款周期的约定：</w:t>
      </w:r>
    </w:p>
    <w:p w14:paraId="7090F918">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（1）合同签订后7日内支付合同总价的30%预付款</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p>
    <w:p w14:paraId="13CCEED0">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）工程竣工验收合格后付至</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13E799BC">
      <w:pPr>
        <w:numPr>
          <w:ilvl w:val="0"/>
          <w:numId w:val="0"/>
        </w:numPr>
        <w:spacing w:line="360" w:lineRule="auto"/>
        <w:ind w:firstLine="420" w:firstLineChars="200"/>
        <w:jc w:val="left"/>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）全部工程经审计结算审核完成后30日内付至结算</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两</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年后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日内一次性无息付清。</w:t>
      </w:r>
    </w:p>
    <w:p w14:paraId="73D916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u w:val="single"/>
        </w:rPr>
        <w:t>发包人支付给承包人的工程进度款，承包人只能用于本工程有关的劳力、材料、机械等费用，不得移作</w:t>
      </w:r>
      <w:r>
        <w:rPr>
          <w:rFonts w:hint="eastAsia" w:asciiTheme="minorEastAsia" w:hAnsiTheme="minorEastAsia" w:eastAsiaTheme="minorEastAsia" w:cstheme="minorEastAsia"/>
          <w:color w:val="000000"/>
          <w:sz w:val="21"/>
          <w:szCs w:val="21"/>
          <w:highlight w:val="none"/>
          <w:u w:val="single"/>
          <w:lang w:val="en-US" w:eastAsia="zh-CN"/>
        </w:rPr>
        <w:t>他</w:t>
      </w:r>
      <w:r>
        <w:rPr>
          <w:rFonts w:hint="eastAsia" w:asciiTheme="minorEastAsia" w:hAnsiTheme="minorEastAsia" w:eastAsiaTheme="minorEastAsia" w:cstheme="minorEastAsia"/>
          <w:color w:val="000000"/>
          <w:sz w:val="21"/>
          <w:szCs w:val="21"/>
          <w:highlight w:val="none"/>
          <w:u w:val="single"/>
        </w:rPr>
        <w:t>用。发包人有权对承包</w:t>
      </w:r>
      <w:r>
        <w:rPr>
          <w:rFonts w:hint="eastAsia" w:asciiTheme="minorEastAsia" w:hAnsiTheme="minorEastAsia" w:eastAsiaTheme="minorEastAsia" w:cstheme="minorEastAsia"/>
          <w:color w:val="000000"/>
          <w:sz w:val="21"/>
          <w:szCs w:val="21"/>
          <w:u w:val="single"/>
        </w:rPr>
        <w:t xml:space="preserve">人工程款的使用进行监督，如工程进度款用于支付与本工程无关的费用，发包人将立即停止付款。进度款的支付需经发包人、监理认可 </w:t>
      </w:r>
      <w:r>
        <w:rPr>
          <w:rFonts w:hint="eastAsia" w:asciiTheme="minorEastAsia" w:hAnsiTheme="minorEastAsia" w:eastAsiaTheme="minorEastAsia" w:cstheme="minorEastAsia"/>
          <w:color w:val="000000"/>
          <w:sz w:val="21"/>
          <w:szCs w:val="21"/>
        </w:rPr>
        <w:t>。</w:t>
      </w:r>
    </w:p>
    <w:p w14:paraId="2880BD9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12.4.2 进度付款申请单的编制</w:t>
      </w:r>
    </w:p>
    <w:p w14:paraId="09FFC9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关于进度付款申请单编制的约定：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79C6D9E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hint="eastAsia" w:asciiTheme="minorEastAsia" w:hAnsiTheme="minorEastAsia" w:eastAsiaTheme="minorEastAsia" w:cstheme="minorEastAsia"/>
          <w:color w:val="000000"/>
          <w:sz w:val="21"/>
          <w:szCs w:val="21"/>
        </w:rPr>
        <w:t>2.4.3 进度付款申请单的提交</w:t>
      </w:r>
    </w:p>
    <w:p w14:paraId="4CD223A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（1）单价合同进度付款申请单提交的约定：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34F6EAC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7E9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（3）其他价格形式合同进度付款申请单提交的约定：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0B8C8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12.4.4 进度款审核和支付</w:t>
      </w:r>
    </w:p>
    <w:p w14:paraId="2809B23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（1）监理人审查并报送发包人的期限：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34F8957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发包人完成审批并签发进度款支付证书的期限：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5845212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（2）发包人支付进度款的期限：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2C6E38E1">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发包人逾期支付进度款的违约金的计算方式：</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432CF0C">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12.4.6 支付分解表的编制</w:t>
      </w:r>
    </w:p>
    <w:p w14:paraId="7E1E698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42D1B64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3、单价合同的总价项目支付分解表的编制与审批：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bookmarkEnd w:id="427"/>
    <w:p w14:paraId="14705E04">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598" w:name="_Toc300935015"/>
      <w:bookmarkStart w:id="599" w:name="_Toc297120519"/>
      <w:bookmarkStart w:id="600" w:name="_Toc296346720"/>
      <w:bookmarkStart w:id="601" w:name="_Toc303539172"/>
      <w:bookmarkStart w:id="602" w:name="_Toc304295593"/>
      <w:bookmarkStart w:id="603" w:name="_Toc296891259"/>
      <w:bookmarkStart w:id="604" w:name="_Toc296503219"/>
      <w:bookmarkStart w:id="605" w:name="_Toc292559424"/>
      <w:bookmarkStart w:id="606" w:name="_Toc292559929"/>
      <w:bookmarkStart w:id="607" w:name="_Toc297048405"/>
      <w:bookmarkStart w:id="608" w:name="_Toc296944558"/>
      <w:bookmarkStart w:id="609" w:name="_Toc297123564"/>
      <w:bookmarkStart w:id="610" w:name="_Toc312678053"/>
      <w:bookmarkStart w:id="611" w:name="_Toc297216223"/>
      <w:bookmarkStart w:id="612" w:name="_Toc351203645"/>
      <w:bookmarkStart w:id="613" w:name="_Toc296347218"/>
      <w:bookmarkStart w:id="614" w:name="_Toc296891047"/>
      <w:r>
        <w:rPr>
          <w:rFonts w:hint="eastAsia" w:asciiTheme="minorEastAsia" w:hAnsiTheme="minorEastAsia" w:eastAsiaTheme="minorEastAsia" w:cstheme="minorEastAsia"/>
          <w:b w:val="0"/>
          <w:color w:val="000000"/>
          <w:sz w:val="21"/>
          <w:szCs w:val="21"/>
        </w:rPr>
        <w:t>13. 验收和工程试车</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22905B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 分部分项工程验收</w:t>
      </w:r>
    </w:p>
    <w:p w14:paraId="11D5DD1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13.1.2监理人不能按时进行验收时，应提前</w:t>
      </w:r>
      <w:r>
        <w:rPr>
          <w:rFonts w:hint="eastAsia" w:asciiTheme="minorEastAsia" w:hAnsiTheme="minorEastAsia" w:eastAsiaTheme="minorEastAsia" w:cstheme="minorEastAsia"/>
          <w:sz w:val="21"/>
          <w:szCs w:val="21"/>
          <w:u w:val="single"/>
        </w:rPr>
        <w:t xml:space="preserve"> 24 </w:t>
      </w:r>
      <w:r>
        <w:rPr>
          <w:rFonts w:hint="eastAsia" w:asciiTheme="minorEastAsia" w:hAnsiTheme="minorEastAsia" w:eastAsiaTheme="minorEastAsia" w:cstheme="minorEastAsia"/>
          <w:sz w:val="21"/>
          <w:szCs w:val="21"/>
        </w:rPr>
        <w:t>小时提交书面延期要求。</w:t>
      </w:r>
    </w:p>
    <w:p w14:paraId="4BC9CC6C">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48</w:t>
      </w:r>
      <w:r>
        <w:rPr>
          <w:rFonts w:hint="eastAsia" w:asciiTheme="minorEastAsia" w:hAnsiTheme="minorEastAsia" w:eastAsiaTheme="minorEastAsia" w:cstheme="minorEastAsia"/>
          <w:sz w:val="21"/>
          <w:szCs w:val="21"/>
        </w:rPr>
        <w:t>小时。</w:t>
      </w:r>
    </w:p>
    <w:p w14:paraId="22735E55">
      <w:pPr>
        <w:spacing w:after="120" w:line="360" w:lineRule="auto"/>
        <w:ind w:firstLine="600"/>
        <w:rPr>
          <w:rFonts w:hint="eastAsia" w:asciiTheme="minorEastAsia" w:hAnsiTheme="minorEastAsia" w:eastAsiaTheme="minorEastAsia" w:cstheme="minorEastAsia"/>
          <w:color w:val="000000"/>
          <w:sz w:val="21"/>
          <w:szCs w:val="21"/>
        </w:rPr>
      </w:pPr>
      <w:bookmarkStart w:id="615" w:name="_Toc300935016"/>
      <w:bookmarkStart w:id="616" w:name="_Toc292559428"/>
      <w:bookmarkStart w:id="617" w:name="_Toc312678056"/>
      <w:bookmarkStart w:id="618" w:name="_Toc296891051"/>
      <w:bookmarkStart w:id="619" w:name="_Toc303539173"/>
      <w:bookmarkStart w:id="620" w:name="_Toc296944562"/>
      <w:bookmarkStart w:id="621" w:name="_Toc296346724"/>
      <w:bookmarkStart w:id="622" w:name="_Toc292559933"/>
      <w:bookmarkStart w:id="623" w:name="_Toc297048409"/>
      <w:bookmarkStart w:id="624" w:name="_Toc297123565"/>
      <w:bookmarkStart w:id="625" w:name="_Toc296891263"/>
      <w:bookmarkStart w:id="626" w:name="_Toc297216224"/>
      <w:bookmarkStart w:id="627" w:name="_Toc296503223"/>
      <w:bookmarkStart w:id="628" w:name="_Toc296347222"/>
      <w:bookmarkStart w:id="629" w:name="_Toc297120523"/>
      <w:bookmarkStart w:id="630" w:name="_Toc304295596"/>
      <w:bookmarkStart w:id="631" w:name="_Toc267251475"/>
      <w:bookmarkStart w:id="632" w:name="_Toc267251471"/>
      <w:bookmarkStart w:id="633" w:name="_Toc267251472"/>
      <w:bookmarkStart w:id="634" w:name="_Toc267251476"/>
      <w:bookmarkStart w:id="635" w:name="_Toc267251474"/>
      <w:bookmarkStart w:id="636" w:name="_Toc267251470"/>
      <w:bookmarkStart w:id="637" w:name="_Toc267251473"/>
      <w:r>
        <w:rPr>
          <w:rFonts w:hint="eastAsia" w:asciiTheme="minorEastAsia" w:hAnsiTheme="minorEastAsia" w:eastAsiaTheme="minorEastAsia" w:cstheme="minorEastAsia"/>
          <w:color w:val="000000"/>
          <w:sz w:val="21"/>
          <w:szCs w:val="21"/>
        </w:rPr>
        <w:t>13.2 竣工验收</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597A5DDA">
      <w:pPr>
        <w:spacing w:line="360" w:lineRule="auto"/>
        <w:ind w:firstLine="600"/>
        <w:jc w:val="left"/>
        <w:rPr>
          <w:rFonts w:hint="eastAsia" w:asciiTheme="minorEastAsia" w:hAnsiTheme="minorEastAsia" w:eastAsiaTheme="minorEastAsia" w:cstheme="minorEastAsia"/>
          <w:color w:val="000000"/>
          <w:sz w:val="21"/>
          <w:szCs w:val="21"/>
        </w:rPr>
      </w:pPr>
      <w:bookmarkStart w:id="638" w:name="_Toc280868704"/>
      <w:bookmarkStart w:id="639" w:name="_Toc280868705"/>
      <w:bookmarkStart w:id="640" w:name="_Toc280868706"/>
      <w:bookmarkStart w:id="641" w:name="_Toc280868707"/>
      <w:bookmarkStart w:id="642" w:name="_Toc280868708"/>
      <w:bookmarkStart w:id="643" w:name="_Toc280868709"/>
      <w:r>
        <w:rPr>
          <w:rFonts w:hint="eastAsia" w:asciiTheme="minorEastAsia" w:hAnsiTheme="minorEastAsia" w:eastAsiaTheme="minorEastAsia" w:cstheme="minorEastAsia"/>
          <w:color w:val="000000"/>
          <w:sz w:val="21"/>
          <w:szCs w:val="21"/>
        </w:rPr>
        <w:t>13.2.2竣工验收程序</w:t>
      </w:r>
      <w:bookmarkEnd w:id="638"/>
    </w:p>
    <w:p w14:paraId="684AF2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关于竣工验收程序的约定：</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1743994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发包人不按照本项约定组织竣工验收、颁发工程接收证书的违约金的计算方法：</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39"/>
    </w:p>
    <w:p w14:paraId="4DD562D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13.2.5移交、接收全部与部分工程</w:t>
      </w:r>
      <w:bookmarkEnd w:id="640"/>
    </w:p>
    <w:p w14:paraId="01E7A62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承包人向发包人移交工程的期限：</w:t>
      </w:r>
      <w:r>
        <w:rPr>
          <w:rFonts w:hint="eastAsia" w:asciiTheme="minorEastAsia" w:hAnsiTheme="minorEastAsia" w:eastAsiaTheme="minorEastAsia" w:cstheme="minorEastAsia"/>
          <w:color w:val="000000"/>
          <w:sz w:val="21"/>
          <w:szCs w:val="21"/>
          <w:u w:val="single"/>
        </w:rPr>
        <w:t>承包方在竣工验收后10天内向施工方移交完整的竣工资料及竣工图纸三套及相应的电子磁盘资料（竣工资料及竣工图纸必须准确真实</w:t>
      </w:r>
      <w:r>
        <w:rPr>
          <w:rFonts w:hint="eastAsia" w:asciiTheme="minorEastAsia" w:hAnsiTheme="minorEastAsia" w:eastAsiaTheme="minorEastAsia" w:cstheme="minorEastAsia"/>
          <w:color w:val="000000"/>
          <w:sz w:val="21"/>
          <w:szCs w:val="21"/>
          <w:u w:val="single"/>
          <w:lang w:val="en-US" w:eastAsia="zh-CN"/>
        </w:rPr>
        <w:t>地</w:t>
      </w:r>
      <w:r>
        <w:rPr>
          <w:rFonts w:hint="eastAsia" w:asciiTheme="minorEastAsia" w:hAnsiTheme="minorEastAsia" w:eastAsiaTheme="minorEastAsia" w:cstheme="minorEastAsia"/>
          <w:color w:val="000000"/>
          <w:sz w:val="21"/>
          <w:szCs w:val="21"/>
          <w:u w:val="single"/>
        </w:rPr>
        <w:t>反映实际施工情况）。另外，承包方应及时向城市档案馆办理工程资料验收和移交，属于施工方应提供的资料由施工方负责及时提供给承包方，由承包方汇总整理后移交档案馆，承包方未按规定向档案馆移交资料造成的损失由承包方承担</w:t>
      </w:r>
      <w:r>
        <w:rPr>
          <w:rFonts w:hint="eastAsia" w:asciiTheme="minorEastAsia" w:hAnsiTheme="minorEastAsia" w:eastAsiaTheme="minorEastAsia" w:cstheme="minorEastAsia"/>
          <w:color w:val="000000"/>
          <w:sz w:val="21"/>
          <w:szCs w:val="21"/>
        </w:rPr>
        <w:t>。</w:t>
      </w:r>
    </w:p>
    <w:p w14:paraId="707A69E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发包人未按本合同约定接收全部或部分工程的，违约金的计算方法为：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41"/>
    </w:p>
    <w:p w14:paraId="3B19E06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承包人未按时移交工程的，违约金的计算方法为：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逾期付款违约金按中国人民银行同期计收2倍逾期贷款利息标准计算</w:t>
      </w:r>
      <w:r>
        <w:rPr>
          <w:rFonts w:hint="eastAsia" w:asciiTheme="minorEastAsia" w:hAnsiTheme="minorEastAsia" w:eastAsiaTheme="minorEastAsia" w:cstheme="minorEastAsia"/>
          <w:color w:val="000000"/>
          <w:sz w:val="21"/>
          <w:szCs w:val="21"/>
        </w:rPr>
        <w:t>。</w:t>
      </w:r>
    </w:p>
    <w:p w14:paraId="1D5572B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 工程试车</w:t>
      </w:r>
      <w:bookmarkEnd w:id="642"/>
    </w:p>
    <w:p w14:paraId="5355F5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13.3.1 试车程序</w:t>
      </w:r>
    </w:p>
    <w:p w14:paraId="2CF2A81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工程试车内容：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D2988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（1）单机无负荷试车费用由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0B4B8FE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（2）无负荷联动试车费用由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1356AAF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13.3.3 投料试车</w:t>
      </w:r>
    </w:p>
    <w:p w14:paraId="11DEA9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关于投料试车相关事项的约定：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FA620B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 竣工退场</w:t>
      </w:r>
    </w:p>
    <w:p w14:paraId="17D9D30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13.6.1 竣工退场</w:t>
      </w:r>
    </w:p>
    <w:p w14:paraId="560F963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承包人完成竣工退场的期限：</w:t>
      </w:r>
      <w:r>
        <w:rPr>
          <w:rFonts w:hint="eastAsia" w:asciiTheme="minorEastAsia" w:hAnsiTheme="minorEastAsia" w:eastAsiaTheme="minorEastAsia" w:cstheme="minorEastAsia"/>
          <w:color w:val="000000"/>
          <w:sz w:val="21"/>
          <w:szCs w:val="21"/>
          <w:u w:val="single"/>
        </w:rPr>
        <w:t>提交竣工材料之日</w:t>
      </w:r>
      <w:r>
        <w:rPr>
          <w:rFonts w:hint="eastAsia" w:asciiTheme="minorEastAsia" w:hAnsiTheme="minorEastAsia" w:eastAsiaTheme="minorEastAsia" w:cstheme="minorEastAsia"/>
          <w:color w:val="000000"/>
          <w:sz w:val="21"/>
          <w:szCs w:val="21"/>
        </w:rPr>
        <w:t>。</w:t>
      </w:r>
    </w:p>
    <w:p w14:paraId="6D05D12D">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44" w:name="_Toc351203646"/>
      <w:r>
        <w:rPr>
          <w:rFonts w:hint="eastAsia" w:asciiTheme="minorEastAsia" w:hAnsiTheme="minorEastAsia" w:eastAsiaTheme="minorEastAsia" w:cstheme="minorEastAsia"/>
          <w:b w:val="0"/>
          <w:color w:val="000000"/>
          <w:sz w:val="21"/>
          <w:szCs w:val="21"/>
        </w:rPr>
        <w:t>14. 竣工结算</w:t>
      </w:r>
      <w:bookmarkEnd w:id="644"/>
    </w:p>
    <w:p w14:paraId="363C196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 竣工结算申请</w:t>
      </w:r>
    </w:p>
    <w:p w14:paraId="4E4424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承包人提交竣工结算申请单的期限：</w:t>
      </w:r>
      <w:r>
        <w:rPr>
          <w:rFonts w:hint="eastAsia" w:asciiTheme="minorEastAsia" w:hAnsiTheme="minorEastAsia" w:eastAsiaTheme="minorEastAsia" w:cstheme="minorEastAsia"/>
          <w:color w:val="000000"/>
          <w:sz w:val="21"/>
          <w:szCs w:val="21"/>
          <w:u w:val="single"/>
        </w:rPr>
        <w:t>在工程接</w:t>
      </w:r>
      <w:r>
        <w:rPr>
          <w:rFonts w:hint="eastAsia" w:asciiTheme="minorEastAsia" w:hAnsiTheme="minorEastAsia" w:eastAsiaTheme="minorEastAsia" w:cstheme="minorEastAsia"/>
          <w:color w:val="000000"/>
          <w:sz w:val="21"/>
          <w:szCs w:val="21"/>
          <w:u w:val="single"/>
          <w:lang w:val="en-US" w:eastAsia="zh-CN"/>
        </w:rPr>
        <w:t>收</w:t>
      </w:r>
      <w:r>
        <w:rPr>
          <w:rFonts w:hint="eastAsia" w:asciiTheme="minorEastAsia" w:hAnsiTheme="minorEastAsia" w:eastAsiaTheme="minorEastAsia" w:cstheme="minorEastAsia"/>
          <w:color w:val="000000"/>
          <w:sz w:val="21"/>
          <w:szCs w:val="21"/>
          <w:u w:val="single"/>
        </w:rPr>
        <w:t>证书颁发后 14 天内</w:t>
      </w:r>
      <w:r>
        <w:rPr>
          <w:rFonts w:hint="eastAsia" w:asciiTheme="minorEastAsia" w:hAnsiTheme="minorEastAsia" w:eastAsiaTheme="minorEastAsia" w:cstheme="minorEastAsia"/>
          <w:color w:val="000000"/>
          <w:sz w:val="21"/>
          <w:szCs w:val="21"/>
        </w:rPr>
        <w:t>。</w:t>
      </w:r>
    </w:p>
    <w:p w14:paraId="5B66B5F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竣工结算申请单应包括的内容：</w:t>
      </w:r>
      <w:r>
        <w:rPr>
          <w:rFonts w:hint="eastAsia" w:asciiTheme="minorEastAsia" w:hAnsiTheme="minorEastAsia" w:eastAsiaTheme="minorEastAsia" w:cstheme="minorEastAsia"/>
          <w:color w:val="000000"/>
          <w:sz w:val="21"/>
          <w:szCs w:val="21"/>
          <w:u w:val="single"/>
        </w:rPr>
        <w:t>竣工结算合同总价、已支付的工程价款、应扣回的质量保证金、应支付的竣工付款金额等</w:t>
      </w:r>
      <w:r>
        <w:rPr>
          <w:rFonts w:hint="eastAsia" w:asciiTheme="minorEastAsia" w:hAnsiTheme="minorEastAsia" w:eastAsiaTheme="minorEastAsia" w:cstheme="minorEastAsia"/>
          <w:color w:val="000000"/>
          <w:sz w:val="21"/>
          <w:szCs w:val="21"/>
        </w:rPr>
        <w:t>。</w:t>
      </w:r>
    </w:p>
    <w:p w14:paraId="058A190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竣工结算审核</w:t>
      </w:r>
    </w:p>
    <w:p w14:paraId="4E8C62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14.2.1发包人审批竣工付款申请单的期限：</w:t>
      </w:r>
      <w:r>
        <w:rPr>
          <w:rFonts w:hint="eastAsia" w:asciiTheme="minorEastAsia" w:hAnsiTheme="minorEastAsia" w:eastAsiaTheme="minorEastAsia" w:cstheme="minorEastAsia"/>
          <w:color w:val="000000"/>
          <w:sz w:val="21"/>
          <w:szCs w:val="21"/>
          <w:u w:val="single"/>
        </w:rPr>
        <w:t>监理人在收到承包人提交的竣工付款申请单后的14天内</w:t>
      </w:r>
      <w:r>
        <w:rPr>
          <w:rFonts w:hint="eastAsia" w:asciiTheme="minorEastAsia" w:hAnsiTheme="minorEastAsia" w:eastAsiaTheme="minorEastAsia" w:cstheme="minorEastAsia"/>
          <w:color w:val="000000"/>
          <w:sz w:val="21"/>
          <w:szCs w:val="21"/>
          <w:u w:val="single"/>
          <w:lang w:val="en-US" w:eastAsia="zh-CN"/>
        </w:rPr>
        <w:t>完</w:t>
      </w:r>
      <w:r>
        <w:rPr>
          <w:rFonts w:hint="eastAsia" w:asciiTheme="minorEastAsia" w:hAnsiTheme="minorEastAsia" w:eastAsiaTheme="minorEastAsia" w:cstheme="minorEastAsia"/>
          <w:color w:val="000000"/>
          <w:sz w:val="21"/>
          <w:szCs w:val="21"/>
          <w:u w:val="single"/>
        </w:rPr>
        <w:t>成核查，提出发包人到期应支付给承包人的价款送发包人审核并抄送承包人。发包人应在收到后14天内审核完毕，由监理人向承包人出具经发包人签认的竣工付款证书</w:t>
      </w:r>
      <w:r>
        <w:rPr>
          <w:rFonts w:hint="eastAsia" w:asciiTheme="minorEastAsia" w:hAnsiTheme="minorEastAsia" w:eastAsiaTheme="minorEastAsia" w:cstheme="minorEastAsia"/>
          <w:color w:val="000000"/>
          <w:sz w:val="21"/>
          <w:szCs w:val="21"/>
        </w:rPr>
        <w:t>。</w:t>
      </w:r>
    </w:p>
    <w:p w14:paraId="6960B65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14.2.2发包人完成竣工付款的期限：</w:t>
      </w:r>
      <w:r>
        <w:rPr>
          <w:rFonts w:hint="eastAsia" w:asciiTheme="minorEastAsia" w:hAnsiTheme="minorEastAsia" w:eastAsiaTheme="minorEastAsia" w:cstheme="minorEastAsia"/>
          <w:color w:val="000000"/>
          <w:sz w:val="21"/>
          <w:szCs w:val="21"/>
          <w:u w:val="single"/>
        </w:rPr>
        <w:t>发包人应在监理人出具竣工付款证书后的14天内，将应支付款支付给承包人。发包人不按期支付的，按合同约定，将逾期付款违约金支付给承包人</w:t>
      </w:r>
      <w:r>
        <w:rPr>
          <w:rFonts w:hint="eastAsia" w:asciiTheme="minorEastAsia" w:hAnsiTheme="minorEastAsia" w:eastAsiaTheme="minorEastAsia" w:cstheme="minorEastAsia"/>
          <w:color w:val="000000"/>
          <w:sz w:val="21"/>
          <w:szCs w:val="21"/>
        </w:rPr>
        <w:t>。</w:t>
      </w:r>
    </w:p>
    <w:p w14:paraId="732DDE6E">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14.2.3关于竣</w:t>
      </w:r>
      <w:r>
        <w:rPr>
          <w:rFonts w:hint="eastAsia" w:asciiTheme="minorEastAsia" w:hAnsiTheme="minorEastAsia" w:eastAsiaTheme="minorEastAsia" w:cstheme="minorEastAsia"/>
          <w:color w:val="auto"/>
          <w:sz w:val="21"/>
          <w:szCs w:val="21"/>
        </w:rPr>
        <w:t>工付款证书异议部分复核的方式和程序：</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44CADB0">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14.2.4承包人在工程完工后21天内出具结算送审材料，并于14天内完成审计，每延迟1天罚款1000元。</w:t>
      </w:r>
    </w:p>
    <w:p w14:paraId="120E38A7">
      <w:pPr>
        <w:spacing w:line="360" w:lineRule="auto"/>
        <w:ind w:firstLine="6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14.2.5承包人提供的结算书，送审价不得超过合同价的10%，如发包人最终确认的审减额（审减额指最终审计结果与承包人提交的结算价款的差值）小于送审额（送审额指承包人提交的结算价款）的</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%(含），审计费用由发包人承担；如发包人最终确认的审减额超过送审额</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超出部分的</w:t>
      </w:r>
      <w:r>
        <w:rPr>
          <w:rFonts w:hint="eastAsia" w:asciiTheme="minorEastAsia" w:hAnsiTheme="minorEastAsia" w:eastAsiaTheme="minorEastAsia" w:cstheme="minorEastAsia"/>
          <w:color w:val="auto"/>
          <w:sz w:val="21"/>
          <w:szCs w:val="21"/>
        </w:rPr>
        <w:t>审计费由承包人承担</w:t>
      </w:r>
      <w:r>
        <w:rPr>
          <w:rFonts w:hint="eastAsia" w:asciiTheme="minorEastAsia" w:hAnsiTheme="minorEastAsia" w:eastAsiaTheme="minorEastAsia" w:cstheme="minorEastAsia"/>
          <w:color w:val="auto"/>
          <w:sz w:val="21"/>
          <w:szCs w:val="21"/>
          <w:lang w:eastAsia="zh-CN"/>
        </w:rPr>
        <w:t>。</w:t>
      </w:r>
    </w:p>
    <w:p w14:paraId="43D18432">
      <w:pPr>
        <w:spacing w:after="120" w:line="360" w:lineRule="auto"/>
        <w:ind w:firstLine="6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 最终结清</w:t>
      </w:r>
    </w:p>
    <w:p w14:paraId="3013EC33">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.1 最终结清申请单</w:t>
      </w:r>
    </w:p>
    <w:p w14:paraId="08BB4A2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承包人提交最终结清申请单的份数：</w:t>
      </w:r>
      <w:r>
        <w:rPr>
          <w:rFonts w:hint="eastAsia" w:asciiTheme="minorEastAsia" w:hAnsiTheme="minorEastAsia" w:eastAsiaTheme="minorEastAsia" w:cstheme="minorEastAsia"/>
          <w:color w:val="auto"/>
          <w:sz w:val="21"/>
          <w:szCs w:val="21"/>
          <w:u w:val="single"/>
        </w:rPr>
        <w:t>5份</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95B86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承包人提交最终结算申请单的期限：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 xml:space="preserve"> </w:t>
      </w:r>
    </w:p>
    <w:p w14:paraId="27B8D62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 最终结清证书和支付</w:t>
      </w:r>
    </w:p>
    <w:p w14:paraId="7412A40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（1）发包人完成最终结清申请单的审批并颁发最终结清证书的期限：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p w14:paraId="62B5099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（2）发包人完成支付的期限：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bookmarkEnd w:id="631"/>
    <w:bookmarkEnd w:id="632"/>
    <w:bookmarkEnd w:id="633"/>
    <w:bookmarkEnd w:id="634"/>
    <w:bookmarkEnd w:id="635"/>
    <w:bookmarkEnd w:id="636"/>
    <w:bookmarkEnd w:id="637"/>
    <w:bookmarkEnd w:id="643"/>
    <w:p w14:paraId="0E90D95E">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45" w:name="_Toc351203647"/>
      <w:bookmarkStart w:id="646" w:name="_Toc267251483"/>
      <w:bookmarkStart w:id="647" w:name="_Toc267251484"/>
      <w:bookmarkStart w:id="648" w:name="_Toc267251482"/>
      <w:bookmarkStart w:id="649" w:name="_Toc267251485"/>
      <w:bookmarkStart w:id="650" w:name="_Toc267251490"/>
      <w:bookmarkStart w:id="651" w:name="_Toc267251488"/>
      <w:bookmarkStart w:id="652" w:name="_Toc267251486"/>
      <w:bookmarkStart w:id="653" w:name="_Toc267251489"/>
      <w:bookmarkStart w:id="654" w:name="_Toc267251496"/>
      <w:bookmarkStart w:id="655" w:name="_Toc267251503"/>
      <w:bookmarkStart w:id="656" w:name="_Toc267251493"/>
      <w:bookmarkStart w:id="657" w:name="_Toc267251491"/>
      <w:bookmarkStart w:id="658" w:name="_Toc267251497"/>
      <w:bookmarkStart w:id="659" w:name="_Toc267251501"/>
      <w:bookmarkStart w:id="660" w:name="_Toc267251495"/>
      <w:bookmarkStart w:id="661" w:name="_Toc267251499"/>
      <w:bookmarkStart w:id="662" w:name="_Toc267251492"/>
      <w:bookmarkStart w:id="663" w:name="_Toc267251502"/>
      <w:bookmarkStart w:id="664" w:name="_Toc267251498"/>
      <w:bookmarkStart w:id="665" w:name="_Toc267251494"/>
      <w:bookmarkStart w:id="666" w:name="_Toc267251506"/>
      <w:bookmarkStart w:id="667" w:name="_Toc267251504"/>
      <w:bookmarkStart w:id="668" w:name="_Toc267251507"/>
      <w:bookmarkStart w:id="669" w:name="_Toc267251508"/>
      <w:bookmarkStart w:id="670" w:name="_Toc267251510"/>
      <w:bookmarkStart w:id="671" w:name="_Toc267251513"/>
      <w:bookmarkStart w:id="672" w:name="_Toc267251511"/>
      <w:bookmarkStart w:id="673" w:name="_Toc267251509"/>
      <w:bookmarkStart w:id="674" w:name="_Toc267251514"/>
      <w:bookmarkStart w:id="675" w:name="_Toc267251515"/>
      <w:r>
        <w:rPr>
          <w:rFonts w:hint="eastAsia" w:asciiTheme="minorEastAsia" w:hAnsiTheme="minorEastAsia" w:eastAsiaTheme="minorEastAsia" w:cstheme="minorEastAsia"/>
          <w:b w:val="0"/>
          <w:color w:val="000000"/>
          <w:sz w:val="21"/>
          <w:szCs w:val="21"/>
        </w:rPr>
        <w:t>15. 缺陷责任期与保修</w:t>
      </w:r>
      <w:bookmarkEnd w:id="645"/>
    </w:p>
    <w:p w14:paraId="721F0DD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15.2缺陷责任期</w:t>
      </w:r>
      <w:bookmarkEnd w:id="646"/>
    </w:p>
    <w:p w14:paraId="179A51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缺陷责任期的具体期限：</w:t>
      </w:r>
      <w:r>
        <w:rPr>
          <w:rFonts w:hint="eastAsia" w:asciiTheme="minorEastAsia" w:hAnsiTheme="minorEastAsia" w:eastAsiaTheme="minorEastAsia" w:cstheme="minorEastAsia"/>
          <w:color w:val="000000"/>
          <w:sz w:val="21"/>
          <w:szCs w:val="21"/>
          <w:u w:val="single"/>
        </w:rPr>
        <w:t>工程竣工验收合格后2年</w:t>
      </w:r>
      <w:r>
        <w:rPr>
          <w:rFonts w:hint="eastAsia" w:asciiTheme="minorEastAsia" w:hAnsiTheme="minorEastAsia" w:eastAsiaTheme="minorEastAsia" w:cstheme="minorEastAsia"/>
          <w:color w:val="000000"/>
          <w:sz w:val="21"/>
          <w:szCs w:val="21"/>
        </w:rPr>
        <w:t>。</w:t>
      </w:r>
    </w:p>
    <w:p w14:paraId="58C091CD">
      <w:pPr>
        <w:spacing w:after="120" w:line="360" w:lineRule="auto"/>
        <w:ind w:firstLine="600"/>
        <w:outlineLvl w:val="0"/>
        <w:rPr>
          <w:rFonts w:hint="eastAsia" w:asciiTheme="minorEastAsia" w:hAnsiTheme="minorEastAsia" w:eastAsiaTheme="minorEastAsia" w:cstheme="minorEastAsia"/>
          <w:color w:val="000000"/>
          <w:sz w:val="21"/>
          <w:szCs w:val="21"/>
        </w:rPr>
      </w:pPr>
    </w:p>
    <w:p w14:paraId="7CCC778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 质量保证金</w:t>
      </w:r>
    </w:p>
    <w:p w14:paraId="6CCE91F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关于是否扣留质量保证金的约定：</w:t>
      </w:r>
      <w:r>
        <w:rPr>
          <w:rFonts w:hint="eastAsia" w:asciiTheme="minorEastAsia" w:hAnsiTheme="minorEastAsia" w:eastAsiaTheme="minorEastAsia" w:cstheme="minorEastAsia"/>
          <w:color w:val="000000"/>
          <w:sz w:val="21"/>
          <w:szCs w:val="21"/>
          <w:u w:val="single"/>
        </w:rPr>
        <w:t>扣留工程审定价3%作为质量保证</w:t>
      </w:r>
      <w:r>
        <w:rPr>
          <w:rFonts w:hint="eastAsia" w:asciiTheme="minorEastAsia" w:hAnsiTheme="minorEastAsia" w:eastAsiaTheme="minorEastAsia" w:cstheme="minorEastAsia"/>
          <w:color w:val="000000"/>
          <w:sz w:val="21"/>
          <w:szCs w:val="21"/>
        </w:rPr>
        <w:t>。在工程项目竣工前，承包人按专用合同条款第3.7条提供履约担保的，发包人不得同时预留工程质量保证金。</w:t>
      </w:r>
    </w:p>
    <w:p w14:paraId="7D9F13CA">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15.3.1 承包人提供质量保证金的方式</w:t>
      </w:r>
    </w:p>
    <w:p w14:paraId="5415CF7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质量保证金采用以下第</w:t>
      </w:r>
      <w:r>
        <w:rPr>
          <w:rFonts w:hint="eastAsia" w:asciiTheme="minorEastAsia" w:hAnsiTheme="minorEastAsia" w:eastAsiaTheme="minorEastAsia" w:cstheme="minorEastAsia"/>
          <w:color w:val="000000"/>
          <w:sz w:val="21"/>
          <w:szCs w:val="21"/>
          <w:u w:val="single"/>
        </w:rPr>
        <w:t>2</w:t>
      </w:r>
      <w:r>
        <w:rPr>
          <w:rFonts w:hint="eastAsia" w:asciiTheme="minorEastAsia" w:hAnsiTheme="minorEastAsia" w:eastAsiaTheme="minorEastAsia" w:cstheme="minorEastAsia"/>
          <w:color w:val="000000"/>
          <w:sz w:val="21"/>
          <w:szCs w:val="21"/>
        </w:rPr>
        <w:t>种方式：</w:t>
      </w:r>
    </w:p>
    <w:p w14:paraId="56C3EFD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（1）质量保证金保函，保证金额为：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61CE3A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u w:val="single"/>
        </w:rPr>
        <w:t xml:space="preserve">3 </w:t>
      </w:r>
      <w:r>
        <w:rPr>
          <w:rFonts w:hint="eastAsia" w:asciiTheme="minorEastAsia" w:hAnsiTheme="minorEastAsia" w:eastAsiaTheme="minorEastAsia" w:cstheme="minorEastAsia"/>
          <w:color w:val="000000"/>
          <w:sz w:val="21"/>
          <w:szCs w:val="21"/>
        </w:rPr>
        <w:t>%的工程款；</w:t>
      </w:r>
    </w:p>
    <w:p w14:paraId="25F558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1FE662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15.3.2 质量保证金的扣留 </w:t>
      </w:r>
    </w:p>
    <w:p w14:paraId="673F39C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质量保证金的扣留采取以下第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w:t>
      </w:r>
    </w:p>
    <w:p w14:paraId="7D1B87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（1）在支付工程进度款时逐次扣留，在此情形下，质量保证金的计算基数不包括预付款的支付、扣回以及价格调整的金额；</w:t>
      </w:r>
    </w:p>
    <w:p w14:paraId="1C968BF5">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（2）工程竣工结算时一次性扣留质量保证金；</w:t>
      </w:r>
    </w:p>
    <w:p w14:paraId="1EFD2A6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（3）其他扣留方式: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2B2F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关于质量保证金的补充约定：</w:t>
      </w:r>
      <w:r>
        <w:rPr>
          <w:rFonts w:hint="eastAsia" w:asciiTheme="minorEastAsia" w:hAnsiTheme="minorEastAsia" w:eastAsiaTheme="minorEastAsia" w:cstheme="minorEastAsia"/>
          <w:color w:val="000000"/>
          <w:sz w:val="21"/>
          <w:szCs w:val="21"/>
          <w:u w:val="single"/>
        </w:rPr>
        <w:t>3%的质量保修金于缺陷责任期满后1个月内付清</w:t>
      </w:r>
      <w:r>
        <w:rPr>
          <w:rFonts w:hint="eastAsia" w:asciiTheme="minorEastAsia" w:hAnsiTheme="minorEastAsia" w:eastAsiaTheme="minorEastAsia" w:cstheme="minorEastAsia"/>
          <w:color w:val="000000"/>
          <w:sz w:val="21"/>
          <w:szCs w:val="21"/>
        </w:rPr>
        <w:t>。</w:t>
      </w:r>
      <w:bookmarkEnd w:id="647"/>
      <w:bookmarkEnd w:id="648"/>
    </w:p>
    <w:p w14:paraId="56EDAE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15.4保修</w:t>
      </w:r>
      <w:bookmarkEnd w:id="649"/>
    </w:p>
    <w:p w14:paraId="12F07EB2">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15.4.1 保修责任</w:t>
      </w:r>
    </w:p>
    <w:p w14:paraId="5086D671">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工程保修期为：</w:t>
      </w:r>
      <w:r>
        <w:rPr>
          <w:rFonts w:hint="eastAsia" w:asciiTheme="minorEastAsia" w:hAnsiTheme="minorEastAsia" w:eastAsiaTheme="minorEastAsia" w:cstheme="minorEastAsia"/>
          <w:color w:val="000000"/>
          <w:sz w:val="21"/>
          <w:szCs w:val="21"/>
          <w:u w:val="single"/>
        </w:rPr>
        <w:t>详见附件3工程质量保修书</w:t>
      </w:r>
      <w:r>
        <w:rPr>
          <w:rFonts w:hint="eastAsia" w:asciiTheme="minorEastAsia" w:hAnsiTheme="minorEastAsia" w:eastAsiaTheme="minorEastAsia" w:cstheme="minorEastAsia"/>
          <w:color w:val="000000"/>
          <w:sz w:val="21"/>
          <w:szCs w:val="21"/>
        </w:rPr>
        <w:t>。</w:t>
      </w:r>
    </w:p>
    <w:p w14:paraId="07F3DA43">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15.4.3 修复通知</w:t>
      </w:r>
    </w:p>
    <w:p w14:paraId="2EA2FE8B">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承包人收到保修通知并到达工程现场的合理时间：</w:t>
      </w:r>
      <w:r>
        <w:rPr>
          <w:rFonts w:hint="eastAsia" w:asciiTheme="minorEastAsia" w:hAnsiTheme="minorEastAsia" w:eastAsiaTheme="minorEastAsia" w:cstheme="minorEastAsia"/>
          <w:color w:val="000000"/>
          <w:sz w:val="21"/>
          <w:szCs w:val="21"/>
          <w:u w:val="single"/>
        </w:rPr>
        <w:t>承包人收到保修通知后24小时内到达工程现场</w:t>
      </w:r>
      <w:r>
        <w:rPr>
          <w:rFonts w:hint="eastAsia" w:asciiTheme="minorEastAsia" w:hAnsiTheme="minorEastAsia" w:eastAsiaTheme="minorEastAsia" w:cstheme="minorEastAsia"/>
          <w:color w:val="000000"/>
          <w:sz w:val="21"/>
          <w:szCs w:val="21"/>
        </w:rPr>
        <w:t>。</w:t>
      </w:r>
    </w:p>
    <w:bookmarkEnd w:id="650"/>
    <w:bookmarkEnd w:id="651"/>
    <w:bookmarkEnd w:id="652"/>
    <w:bookmarkEnd w:id="653"/>
    <w:p w14:paraId="3C95D31A">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76" w:name="_Toc351203648"/>
      <w:bookmarkStart w:id="677" w:name="_Toc280868717"/>
      <w:bookmarkStart w:id="678" w:name="_Toc280868718"/>
      <w:r>
        <w:rPr>
          <w:rFonts w:hint="eastAsia" w:asciiTheme="minorEastAsia" w:hAnsiTheme="minorEastAsia" w:eastAsiaTheme="minorEastAsia" w:cstheme="minorEastAsia"/>
          <w:b w:val="0"/>
          <w:color w:val="000000"/>
          <w:sz w:val="21"/>
          <w:szCs w:val="21"/>
        </w:rPr>
        <w:t>16. 违约</w:t>
      </w:r>
      <w:bookmarkEnd w:id="676"/>
    </w:p>
    <w:p w14:paraId="3AA3DE01">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发包人违约</w:t>
      </w:r>
    </w:p>
    <w:p w14:paraId="7DFCC9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16.1.1发包人违约的情形</w:t>
      </w:r>
    </w:p>
    <w:p w14:paraId="0A1E5DE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发包人违约的其他情形：</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B0363B5">
      <w:pPr>
        <w:spacing w:line="360" w:lineRule="auto"/>
        <w:ind w:left="1500" w:hanging="15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16.1.2 发包人违约的责任</w:t>
      </w:r>
    </w:p>
    <w:p w14:paraId="0A7C8D9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发包人违约责任的承担方式和计算方法：</w:t>
      </w:r>
    </w:p>
    <w:p w14:paraId="046C52A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（1）因发包人原因未能在计划开工日期前7天内下达开工通知的违约责任：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3910E8F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（2）因发包人原因未能按合同约定支付合同价款的违约责任：</w:t>
      </w:r>
      <w:r>
        <w:rPr>
          <w:rFonts w:hint="eastAsia" w:asciiTheme="minorEastAsia" w:hAnsiTheme="minorEastAsia" w:eastAsiaTheme="minorEastAsia" w:cstheme="minorEastAsia"/>
          <w:color w:val="000000"/>
          <w:sz w:val="21"/>
          <w:szCs w:val="21"/>
          <w:u w:val="single"/>
        </w:rPr>
        <w:t xml:space="preserve">  另行协商 </w:t>
      </w:r>
      <w:r>
        <w:rPr>
          <w:rFonts w:hint="eastAsia" w:asciiTheme="minorEastAsia" w:hAnsiTheme="minorEastAsia" w:eastAsiaTheme="minorEastAsia" w:cstheme="minorEastAsia"/>
          <w:color w:val="000000"/>
          <w:sz w:val="21"/>
          <w:szCs w:val="21"/>
        </w:rPr>
        <w:t>。</w:t>
      </w:r>
    </w:p>
    <w:p w14:paraId="0ABE447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72B2C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（4）发包人提供的材料、工程设备的规格、数量或质量不符合合同约定，或因发包</w:t>
      </w:r>
      <w:r>
        <w:rPr>
          <w:rFonts w:hint="eastAsia" w:asciiTheme="minorEastAsia" w:hAnsiTheme="minorEastAsia" w:eastAsiaTheme="minorEastAsia" w:cstheme="minorEastAsia"/>
          <w:color w:val="000000"/>
          <w:sz w:val="21"/>
          <w:szCs w:val="21"/>
          <w:lang w:eastAsia="zh-CN"/>
        </w:rPr>
        <w:t>人的</w:t>
      </w:r>
      <w:r>
        <w:rPr>
          <w:rFonts w:hint="eastAsia" w:asciiTheme="minorEastAsia" w:hAnsiTheme="minorEastAsia" w:eastAsiaTheme="minorEastAsia" w:cstheme="minorEastAsia"/>
          <w:color w:val="000000"/>
          <w:sz w:val="21"/>
          <w:szCs w:val="21"/>
        </w:rPr>
        <w:t>原因导致交货日期延误或交货地点变更等情况的违约责任：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3D1C6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（5）因发包人违反合同约定造成暂停施工的违约责任：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4C41C1D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（6）发包人无正当理由没有在约定期限内发出复工指示，导致承包人无法复工的违约责任：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18FAF3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（7）其他：</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2FA9C9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16.1.3 因发包人违约解除合同</w:t>
      </w:r>
    </w:p>
    <w:p w14:paraId="6C46C99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承包人按16.1.1项〔发包人违约的情形〕约定暂停施工满</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天后发包人仍不纠正其违约行为并致使合同目的不能实现的，承包人有权解除合同。</w:t>
      </w:r>
    </w:p>
    <w:p w14:paraId="2E3100EB">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 承包人违约</w:t>
      </w:r>
    </w:p>
    <w:p w14:paraId="229124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16.2.1 承包人违约的情形</w:t>
      </w:r>
    </w:p>
    <w:p w14:paraId="0D067B7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承包人违约的其他情形：</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1936BA0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16.2.2承包人违约的责任</w:t>
      </w:r>
    </w:p>
    <w:p w14:paraId="5431102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承包人违约责任的承担方式和计算方法：</w:t>
      </w:r>
      <w:r>
        <w:rPr>
          <w:rFonts w:hint="eastAsia" w:asciiTheme="minorEastAsia" w:hAnsiTheme="minorEastAsia" w:eastAsiaTheme="minorEastAsia" w:cstheme="minorEastAsia"/>
          <w:color w:val="000000"/>
          <w:sz w:val="21"/>
          <w:szCs w:val="21"/>
          <w:u w:val="single"/>
        </w:rPr>
        <w:t>按照该合同工期每推迟一天, 向</w:t>
      </w:r>
      <w:r>
        <w:rPr>
          <w:rFonts w:hint="eastAsia" w:asciiTheme="minorEastAsia" w:hAnsiTheme="minorEastAsia" w:eastAsiaTheme="minorEastAsia" w:cstheme="minorEastAsia"/>
          <w:color w:val="000000"/>
          <w:sz w:val="21"/>
          <w:szCs w:val="21"/>
          <w:u w:val="single"/>
          <w:lang w:eastAsia="zh-CN"/>
        </w:rPr>
        <w:t>发包</w:t>
      </w:r>
      <w:r>
        <w:rPr>
          <w:rFonts w:hint="eastAsia" w:asciiTheme="minorEastAsia" w:hAnsiTheme="minorEastAsia" w:eastAsiaTheme="minorEastAsia" w:cstheme="minorEastAsia"/>
          <w:color w:val="000000"/>
          <w:sz w:val="21"/>
          <w:szCs w:val="21"/>
          <w:u w:val="single"/>
        </w:rPr>
        <w:t>方支付1000元/天</w:t>
      </w:r>
      <w:r>
        <w:rPr>
          <w:rFonts w:hint="eastAsia" w:asciiTheme="minorEastAsia" w:hAnsiTheme="minorEastAsia" w:eastAsiaTheme="minorEastAsia" w:cstheme="minorEastAsia"/>
          <w:color w:val="000000"/>
          <w:sz w:val="21"/>
          <w:szCs w:val="21"/>
        </w:rPr>
        <w:t xml:space="preserve">。    </w:t>
      </w:r>
    </w:p>
    <w:p w14:paraId="70D01E4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16.2.3 因承包人违约解除合同</w:t>
      </w:r>
    </w:p>
    <w:p w14:paraId="4BA02389">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关于承包人违约解除合同的特别约定：</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3213AB57">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055B86E4">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79" w:name="_Toc351203649"/>
      <w:r>
        <w:rPr>
          <w:rFonts w:hint="eastAsia" w:asciiTheme="minorEastAsia" w:hAnsiTheme="minorEastAsia" w:eastAsiaTheme="minorEastAsia" w:cstheme="minorEastAsia"/>
          <w:b w:val="0"/>
          <w:color w:val="000000"/>
          <w:sz w:val="21"/>
          <w:szCs w:val="21"/>
        </w:rPr>
        <w:t>17. 不可抗力</w:t>
      </w:r>
      <w:bookmarkEnd w:id="679"/>
      <w:r>
        <w:rPr>
          <w:rFonts w:hint="eastAsia" w:asciiTheme="minorEastAsia" w:hAnsiTheme="minorEastAsia" w:eastAsiaTheme="minorEastAsia" w:cstheme="minorEastAsia"/>
          <w:b w:val="0"/>
          <w:color w:val="000000"/>
          <w:sz w:val="21"/>
          <w:szCs w:val="21"/>
        </w:rPr>
        <w:t xml:space="preserve"> </w:t>
      </w:r>
      <w:bookmarkEnd w:id="677"/>
    </w:p>
    <w:p w14:paraId="7CA8D65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 不可抗力的确认</w:t>
      </w:r>
    </w:p>
    <w:p w14:paraId="70E1910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除通用合同条款约定的不可抗力事件之外，视为不可抗力的其他情形</w:t>
      </w:r>
      <w:r>
        <w:rPr>
          <w:rFonts w:hint="eastAsia" w:asciiTheme="minorEastAsia" w:hAnsiTheme="minorEastAsia" w:eastAsiaTheme="minorEastAsia" w:cstheme="minorEastAsia"/>
          <w:color w:val="000000"/>
          <w:sz w:val="21"/>
          <w:szCs w:val="21"/>
          <w:u w:val="single"/>
        </w:rPr>
        <w:t>：1、不可抗力包括因战争、动乱、空中飞行物体坠落或其他非施工方承包方责任造成的爆炸、火灾，以及以下方面的自然灾害：</w:t>
      </w:r>
    </w:p>
    <w:p w14:paraId="586C6F0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1.1 烈度为6级以上的地震；</w:t>
      </w:r>
    </w:p>
    <w:p w14:paraId="3021724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1.2 6级以上持续24小时的大风；</w:t>
      </w:r>
    </w:p>
    <w:p w14:paraId="168CF5BA">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1.3 持续降雨24小时且降雨量200 mm以上；下雪为30mm以上；</w:t>
      </w:r>
    </w:p>
    <w:p w14:paraId="6CD918D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1.4 40℃及以上持续24小时的高温；</w:t>
      </w:r>
    </w:p>
    <w:p w14:paraId="70FBD2D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2.不可抗力事件发生后，承包方应立即通知监理，在力所能及的条件下迅速采取措施，尽力减少损失，施工方应协助承包方采取措施。不可抗力事件结束后48小时内承包方向监理通报受害情况和损失情况，及预计清理和修复的费用。 不可抗事件持续发生，承包方应每隔7天向监理报告一次受害情况。不可抗力事件结束后14天内，承包方向监理提交清理和修复费用的正式报告及有关资料。 </w:t>
      </w:r>
    </w:p>
    <w:p w14:paraId="2D08B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3.因不可抗力事件导致的费用由双方按以下方法分别承担： </w:t>
      </w:r>
    </w:p>
    <w:p w14:paraId="4D538922">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3.1 工程本身（承包方施工质量未达标准除外）的损害、因工程损害导致第三人人员伤亡和财产损失以及运至施工场地用于施工的材料和待安装的设备的损害、清理、修复费用，由施工方承担； </w:t>
      </w:r>
    </w:p>
    <w:p w14:paraId="41F86E5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3.2 施工方承包方人员伤亡由其所在单位负责，并承担相应费用； </w:t>
      </w:r>
    </w:p>
    <w:p w14:paraId="4DF97A9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3.3 承包方机械设备损坏及停工损失，由承包方承担； </w:t>
      </w:r>
    </w:p>
    <w:p w14:paraId="0A2E3A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3.4 停工期间，承包方应监理要求留在施工场地的必要的管理人员及保卫人员的费用由施工方承担； </w:t>
      </w:r>
    </w:p>
    <w:p w14:paraId="14818AB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3.5 因合同一方迟延履行合同后发生不可抗力的，不能免除迟延履行方的相应责任。</w:t>
      </w:r>
    </w:p>
    <w:p w14:paraId="6CAB97E2">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17.4 因不可抗力解除合同</w:t>
      </w:r>
    </w:p>
    <w:p w14:paraId="50FD15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合同解除后，发包人应在商定或确定发包人应支付款项后</w:t>
      </w:r>
      <w:r>
        <w:rPr>
          <w:rFonts w:hint="eastAsia" w:asciiTheme="minorEastAsia" w:hAnsiTheme="minorEastAsia" w:eastAsiaTheme="minorEastAsia" w:cstheme="minorEastAsia"/>
          <w:color w:val="000000"/>
          <w:sz w:val="21"/>
          <w:szCs w:val="21"/>
          <w:u w:val="single"/>
        </w:rPr>
        <w:t>30</w:t>
      </w:r>
      <w:r>
        <w:rPr>
          <w:rFonts w:hint="eastAsia" w:asciiTheme="minorEastAsia" w:hAnsiTheme="minorEastAsia" w:eastAsiaTheme="minorEastAsia" w:cstheme="minorEastAsia"/>
          <w:color w:val="000000"/>
          <w:sz w:val="21"/>
          <w:szCs w:val="21"/>
        </w:rPr>
        <w:t>天内完成款项的支付。</w:t>
      </w:r>
    </w:p>
    <w:p w14:paraId="2AF2202E">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80" w:name="_Toc351203650"/>
      <w:r>
        <w:rPr>
          <w:rFonts w:hint="eastAsia" w:asciiTheme="minorEastAsia" w:hAnsiTheme="minorEastAsia" w:eastAsiaTheme="minorEastAsia" w:cstheme="minorEastAsia"/>
          <w:b w:val="0"/>
          <w:color w:val="000000"/>
          <w:sz w:val="21"/>
          <w:szCs w:val="21"/>
        </w:rPr>
        <w:t>18. 保险</w:t>
      </w:r>
      <w:bookmarkEnd w:id="678"/>
      <w:bookmarkEnd w:id="680"/>
    </w:p>
    <w:p w14:paraId="6E448D6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18.1 工程保险</w:t>
      </w:r>
    </w:p>
    <w:p w14:paraId="2C3A838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关于工程保险的特别约定：</w:t>
      </w:r>
      <w:r>
        <w:rPr>
          <w:rFonts w:hint="eastAsia" w:asciiTheme="minorEastAsia" w:hAnsiTheme="minorEastAsia" w:eastAsiaTheme="minorEastAsia" w:cstheme="minorEastAsia"/>
          <w:color w:val="000000"/>
          <w:sz w:val="21"/>
          <w:szCs w:val="21"/>
          <w:u w:val="single"/>
        </w:rPr>
        <w:t>承包人应按照国家强制性规定和自身需要，以承包人或承包人和发包人共同名义投保有关险种，所需费用包含在投标报价中</w:t>
      </w:r>
      <w:r>
        <w:rPr>
          <w:rFonts w:hint="eastAsia" w:asciiTheme="minorEastAsia" w:hAnsiTheme="minorEastAsia" w:eastAsiaTheme="minorEastAsia" w:cstheme="minorEastAsia"/>
          <w:color w:val="000000"/>
          <w:sz w:val="21"/>
          <w:szCs w:val="21"/>
        </w:rPr>
        <w:t>。</w:t>
      </w:r>
    </w:p>
    <w:p w14:paraId="16BF7E5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18.3 其他保险</w:t>
      </w:r>
    </w:p>
    <w:p w14:paraId="0E5CBF9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关于其他保险的约定：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6103B7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承包人是否应为其施工设备等办理财产保险：</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D902D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18.7 通知义务</w:t>
      </w:r>
    </w:p>
    <w:p w14:paraId="6DB320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关于变更保险合同时的通知义务的约定：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654"/>
    <w:bookmarkEnd w:id="655"/>
    <w:bookmarkEnd w:id="656"/>
    <w:bookmarkEnd w:id="657"/>
    <w:bookmarkEnd w:id="658"/>
    <w:bookmarkEnd w:id="659"/>
    <w:bookmarkEnd w:id="660"/>
    <w:bookmarkEnd w:id="661"/>
    <w:bookmarkEnd w:id="662"/>
    <w:bookmarkEnd w:id="663"/>
    <w:bookmarkEnd w:id="664"/>
    <w:bookmarkEnd w:id="665"/>
    <w:p w14:paraId="6FFCC8FF">
      <w:pPr>
        <w:pStyle w:val="486"/>
        <w:spacing w:before="120" w:after="120" w:line="360" w:lineRule="auto"/>
        <w:rPr>
          <w:rFonts w:hint="eastAsia" w:asciiTheme="minorEastAsia" w:hAnsiTheme="minorEastAsia" w:eastAsiaTheme="minorEastAsia" w:cstheme="minorEastAsia"/>
          <w:b w:val="0"/>
          <w:color w:val="000000"/>
          <w:sz w:val="21"/>
          <w:szCs w:val="21"/>
        </w:rPr>
      </w:pPr>
      <w:bookmarkStart w:id="681" w:name="_Toc351203651"/>
      <w:r>
        <w:rPr>
          <w:rFonts w:hint="eastAsia" w:asciiTheme="minorEastAsia" w:hAnsiTheme="minorEastAsia" w:eastAsiaTheme="minorEastAsia" w:cstheme="minorEastAsia"/>
          <w:b w:val="0"/>
          <w:color w:val="000000"/>
          <w:sz w:val="21"/>
          <w:szCs w:val="21"/>
        </w:rPr>
        <w:t>20. 争议解决</w:t>
      </w:r>
      <w:bookmarkEnd w:id="666"/>
      <w:bookmarkEnd w:id="667"/>
      <w:bookmarkEnd w:id="681"/>
    </w:p>
    <w:p w14:paraId="4124308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 争</w:t>
      </w:r>
      <w:bookmarkEnd w:id="668"/>
      <w:r>
        <w:rPr>
          <w:rFonts w:hint="eastAsia" w:asciiTheme="minorEastAsia" w:hAnsiTheme="minorEastAsia" w:eastAsiaTheme="minorEastAsia" w:cstheme="minorEastAsia"/>
          <w:color w:val="000000"/>
          <w:sz w:val="21"/>
          <w:szCs w:val="21"/>
        </w:rPr>
        <w:t>议评审</w:t>
      </w:r>
    </w:p>
    <w:p w14:paraId="4962205A">
      <w:pPr>
        <w:spacing w:line="360" w:lineRule="auto"/>
        <w:ind w:left="149" w:firstLine="45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合同当事人是否同意将工程争议提交争议评审小组决定：</w:t>
      </w:r>
      <w:r>
        <w:rPr>
          <w:rFonts w:hint="eastAsia" w:asciiTheme="minorEastAsia" w:hAnsiTheme="minorEastAsia" w:eastAsiaTheme="minorEastAsia" w:cstheme="minorEastAsia"/>
          <w:color w:val="000000"/>
          <w:sz w:val="21"/>
          <w:szCs w:val="21"/>
          <w:u w:val="single"/>
        </w:rPr>
        <w:t xml:space="preserve">    </w:t>
      </w:r>
    </w:p>
    <w:p w14:paraId="6D8BEEF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54789933">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20.3.1 争议评审小组的确定</w:t>
      </w:r>
    </w:p>
    <w:p w14:paraId="1FA04F3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争议评审小组成员的确定：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1B25E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选定争议评审员的期限：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9A2275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争议评审小组成员的报酬承担方式：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92B52D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185105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20.3.2 争议评审小组的决定</w:t>
      </w:r>
    </w:p>
    <w:p w14:paraId="0F96AE5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合同当事人关于本项的约定：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A3D8B4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20.4仲裁或诉讼</w:t>
      </w:r>
      <w:bookmarkEnd w:id="669"/>
    </w:p>
    <w:p w14:paraId="013E8E2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因合同及合同有关事项发生的争议，按下列第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种方式解决：</w:t>
      </w:r>
    </w:p>
    <w:p w14:paraId="78FF08D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（1）向</w:t>
      </w:r>
      <w:r>
        <w:rPr>
          <w:rFonts w:hint="eastAsia" w:asciiTheme="minorEastAsia" w:hAnsiTheme="minorEastAsia" w:eastAsiaTheme="minorEastAsia" w:cstheme="minorEastAsia"/>
          <w:color w:val="000000"/>
          <w:sz w:val="21"/>
          <w:szCs w:val="21"/>
          <w:u w:val="single"/>
        </w:rPr>
        <w:t>工程所在地</w:t>
      </w:r>
      <w:r>
        <w:rPr>
          <w:rFonts w:hint="eastAsia" w:asciiTheme="minorEastAsia" w:hAnsiTheme="minorEastAsia" w:eastAsiaTheme="minorEastAsia" w:cstheme="minorEastAsia"/>
          <w:color w:val="000000"/>
          <w:sz w:val="21"/>
          <w:szCs w:val="21"/>
        </w:rPr>
        <w:t>仲裁委员会申请仲裁；</w:t>
      </w:r>
    </w:p>
    <w:p w14:paraId="325D44CD">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（2）向</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秦淮区</w:t>
      </w:r>
      <w:r>
        <w:rPr>
          <w:rFonts w:hint="eastAsia" w:asciiTheme="minorEastAsia" w:hAnsiTheme="minorEastAsia" w:eastAsiaTheme="minorEastAsia" w:cstheme="minorEastAsia"/>
          <w:color w:val="000000"/>
          <w:sz w:val="21"/>
          <w:szCs w:val="21"/>
        </w:rPr>
        <w:t>人民法院起诉。</w:t>
      </w:r>
      <w:bookmarkEnd w:id="670"/>
      <w:bookmarkEnd w:id="671"/>
      <w:bookmarkEnd w:id="672"/>
      <w:bookmarkEnd w:id="673"/>
      <w:bookmarkEnd w:id="674"/>
      <w:bookmarkEnd w:id="675"/>
      <w:r>
        <w:rPr>
          <w:rFonts w:hint="eastAsia" w:asciiTheme="minorEastAsia" w:hAnsiTheme="minorEastAsia" w:eastAsiaTheme="minorEastAsia" w:cstheme="minorEastAsia"/>
          <w:color w:val="000000"/>
          <w:sz w:val="21"/>
          <w:szCs w:val="21"/>
        </w:rPr>
        <w:br w:type="page" w:clear="all"/>
      </w:r>
      <w:bookmarkStart w:id="682" w:name="_Toc351203652"/>
      <w:r>
        <w:rPr>
          <w:rFonts w:hint="eastAsia" w:asciiTheme="minorEastAsia" w:hAnsiTheme="minorEastAsia" w:eastAsiaTheme="minorEastAsia" w:cstheme="minorEastAsia"/>
          <w:b/>
          <w:color w:val="000000"/>
          <w:sz w:val="21"/>
          <w:szCs w:val="21"/>
        </w:rPr>
        <w:t>附件</w:t>
      </w:r>
      <w:bookmarkEnd w:id="682"/>
    </w:p>
    <w:p w14:paraId="03AF80FA">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协议书附件：</w:t>
      </w:r>
    </w:p>
    <w:p w14:paraId="5D6B14C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：工程质量保修书</w:t>
      </w:r>
    </w:p>
    <w:p w14:paraId="3FFD552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xml:space="preserve">：廉洁合同 </w:t>
      </w:r>
    </w:p>
    <w:p w14:paraId="68CAD03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：建设工程安全管理协议</w:t>
      </w:r>
    </w:p>
    <w:p w14:paraId="0CF30664">
      <w:pPr>
        <w:spacing w:line="360" w:lineRule="auto"/>
        <w:jc w:val="left"/>
        <w:rPr>
          <w:rFonts w:hint="eastAsia" w:asciiTheme="minorEastAsia" w:hAnsiTheme="minorEastAsia" w:eastAsiaTheme="minorEastAsia" w:cstheme="minorEastAsia"/>
          <w:color w:val="000000"/>
          <w:sz w:val="21"/>
          <w:szCs w:val="21"/>
        </w:rPr>
      </w:pPr>
    </w:p>
    <w:p w14:paraId="131982C4">
      <w:pPr>
        <w:spacing w:line="360" w:lineRule="auto"/>
        <w:jc w:val="left"/>
        <w:rPr>
          <w:rFonts w:hint="eastAsia" w:asciiTheme="minorEastAsia" w:hAnsiTheme="minorEastAsia" w:eastAsiaTheme="minorEastAsia" w:cstheme="minorEastAsia"/>
          <w:color w:val="000000"/>
          <w:sz w:val="21"/>
          <w:szCs w:val="21"/>
        </w:rPr>
      </w:pPr>
    </w:p>
    <w:p w14:paraId="253C1736">
      <w:pPr>
        <w:spacing w:line="360" w:lineRule="auto"/>
        <w:jc w:val="left"/>
        <w:rPr>
          <w:rFonts w:hint="eastAsia" w:asciiTheme="minorEastAsia" w:hAnsiTheme="minorEastAsia" w:eastAsiaTheme="minorEastAsia" w:cstheme="minorEastAsia"/>
          <w:color w:val="000000"/>
          <w:sz w:val="21"/>
          <w:szCs w:val="21"/>
        </w:rPr>
      </w:pPr>
    </w:p>
    <w:p w14:paraId="5D66CE10">
      <w:pPr>
        <w:spacing w:line="360" w:lineRule="auto"/>
        <w:jc w:val="left"/>
        <w:rPr>
          <w:rFonts w:hint="eastAsia" w:asciiTheme="minorEastAsia" w:hAnsiTheme="minorEastAsia" w:eastAsiaTheme="minorEastAsia" w:cstheme="minorEastAsia"/>
          <w:color w:val="000000"/>
          <w:sz w:val="21"/>
          <w:szCs w:val="21"/>
        </w:rPr>
      </w:pPr>
    </w:p>
    <w:p w14:paraId="326BFE36">
      <w:pPr>
        <w:spacing w:line="360" w:lineRule="auto"/>
        <w:jc w:val="left"/>
        <w:rPr>
          <w:rFonts w:hint="eastAsia" w:asciiTheme="minorEastAsia" w:hAnsiTheme="minorEastAsia" w:eastAsiaTheme="minorEastAsia" w:cstheme="minorEastAsia"/>
          <w:color w:val="000000"/>
          <w:sz w:val="21"/>
          <w:szCs w:val="21"/>
        </w:rPr>
      </w:pPr>
    </w:p>
    <w:p w14:paraId="1831F900">
      <w:pPr>
        <w:spacing w:line="360" w:lineRule="auto"/>
        <w:jc w:val="left"/>
        <w:rPr>
          <w:rFonts w:hint="eastAsia" w:asciiTheme="minorEastAsia" w:hAnsiTheme="minorEastAsia" w:eastAsiaTheme="minorEastAsia" w:cstheme="minorEastAsia"/>
          <w:color w:val="000000"/>
          <w:sz w:val="21"/>
          <w:szCs w:val="21"/>
        </w:rPr>
      </w:pPr>
    </w:p>
    <w:p w14:paraId="20E92A6A">
      <w:pPr>
        <w:spacing w:line="360" w:lineRule="auto"/>
        <w:jc w:val="left"/>
        <w:rPr>
          <w:rFonts w:hint="eastAsia" w:asciiTheme="minorEastAsia" w:hAnsiTheme="minorEastAsia" w:eastAsiaTheme="minorEastAsia" w:cstheme="minorEastAsia"/>
          <w:color w:val="000000"/>
          <w:sz w:val="21"/>
          <w:szCs w:val="21"/>
        </w:rPr>
      </w:pPr>
    </w:p>
    <w:p w14:paraId="08C8EDCA">
      <w:pPr>
        <w:spacing w:line="360" w:lineRule="auto"/>
        <w:jc w:val="left"/>
        <w:rPr>
          <w:rFonts w:hint="eastAsia" w:asciiTheme="minorEastAsia" w:hAnsiTheme="minorEastAsia" w:eastAsiaTheme="minorEastAsia" w:cstheme="minorEastAsia"/>
          <w:color w:val="000000"/>
          <w:sz w:val="21"/>
          <w:szCs w:val="21"/>
        </w:rPr>
      </w:pPr>
    </w:p>
    <w:p w14:paraId="526E313E">
      <w:pPr>
        <w:spacing w:line="360" w:lineRule="auto"/>
        <w:jc w:val="left"/>
        <w:rPr>
          <w:rFonts w:hint="eastAsia" w:asciiTheme="minorEastAsia" w:hAnsiTheme="minorEastAsia" w:eastAsiaTheme="minorEastAsia" w:cstheme="minorEastAsia"/>
          <w:color w:val="000000"/>
          <w:sz w:val="21"/>
          <w:szCs w:val="21"/>
        </w:rPr>
      </w:pPr>
    </w:p>
    <w:p w14:paraId="136E65E9">
      <w:pPr>
        <w:spacing w:line="360" w:lineRule="auto"/>
        <w:jc w:val="left"/>
        <w:rPr>
          <w:rFonts w:hint="eastAsia" w:asciiTheme="minorEastAsia" w:hAnsiTheme="minorEastAsia" w:eastAsiaTheme="minorEastAsia" w:cstheme="minorEastAsia"/>
          <w:color w:val="000000"/>
          <w:sz w:val="21"/>
          <w:szCs w:val="21"/>
        </w:rPr>
      </w:pPr>
    </w:p>
    <w:p w14:paraId="05D772BB">
      <w:pPr>
        <w:spacing w:line="360" w:lineRule="auto"/>
        <w:jc w:val="left"/>
        <w:rPr>
          <w:rFonts w:hint="eastAsia" w:asciiTheme="minorEastAsia" w:hAnsiTheme="minorEastAsia" w:eastAsiaTheme="minorEastAsia" w:cstheme="minorEastAsia"/>
          <w:color w:val="000000"/>
          <w:sz w:val="21"/>
          <w:szCs w:val="21"/>
        </w:rPr>
      </w:pPr>
    </w:p>
    <w:p w14:paraId="35F53A94">
      <w:pPr>
        <w:spacing w:line="360" w:lineRule="auto"/>
        <w:jc w:val="left"/>
        <w:rPr>
          <w:rFonts w:hint="eastAsia" w:asciiTheme="minorEastAsia" w:hAnsiTheme="minorEastAsia" w:eastAsiaTheme="minorEastAsia" w:cstheme="minorEastAsia"/>
          <w:color w:val="000000"/>
          <w:sz w:val="21"/>
          <w:szCs w:val="21"/>
        </w:rPr>
      </w:pPr>
    </w:p>
    <w:p w14:paraId="533A1D4B">
      <w:pPr>
        <w:spacing w:line="360" w:lineRule="auto"/>
        <w:jc w:val="left"/>
        <w:rPr>
          <w:rFonts w:hint="eastAsia" w:asciiTheme="minorEastAsia" w:hAnsiTheme="minorEastAsia" w:eastAsiaTheme="minorEastAsia" w:cstheme="minorEastAsia"/>
          <w:color w:val="000000"/>
          <w:sz w:val="21"/>
          <w:szCs w:val="21"/>
        </w:rPr>
      </w:pPr>
    </w:p>
    <w:p w14:paraId="443277DC">
      <w:pPr>
        <w:spacing w:line="360" w:lineRule="auto"/>
        <w:jc w:val="left"/>
        <w:rPr>
          <w:rFonts w:hint="eastAsia" w:asciiTheme="minorEastAsia" w:hAnsiTheme="minorEastAsia" w:eastAsiaTheme="minorEastAsia" w:cstheme="minorEastAsia"/>
          <w:color w:val="000000"/>
          <w:sz w:val="21"/>
          <w:szCs w:val="21"/>
        </w:rPr>
      </w:pPr>
    </w:p>
    <w:p w14:paraId="49AED2F9">
      <w:pPr>
        <w:spacing w:line="360" w:lineRule="auto"/>
        <w:jc w:val="left"/>
        <w:rPr>
          <w:rFonts w:hint="eastAsia" w:asciiTheme="minorEastAsia" w:hAnsiTheme="minorEastAsia" w:eastAsiaTheme="minorEastAsia" w:cstheme="minorEastAsia"/>
          <w:color w:val="000000"/>
          <w:sz w:val="21"/>
          <w:szCs w:val="21"/>
        </w:rPr>
      </w:pPr>
    </w:p>
    <w:p w14:paraId="16B725A2">
      <w:pPr>
        <w:spacing w:line="360" w:lineRule="auto"/>
        <w:jc w:val="left"/>
        <w:rPr>
          <w:rFonts w:hint="eastAsia" w:asciiTheme="minorEastAsia" w:hAnsiTheme="minorEastAsia" w:eastAsiaTheme="minorEastAsia" w:cstheme="minorEastAsia"/>
          <w:color w:val="000000"/>
          <w:sz w:val="21"/>
          <w:szCs w:val="21"/>
        </w:rPr>
      </w:pPr>
    </w:p>
    <w:p w14:paraId="04B62A60">
      <w:pPr>
        <w:spacing w:line="360" w:lineRule="auto"/>
        <w:jc w:val="left"/>
        <w:rPr>
          <w:rFonts w:hint="eastAsia" w:asciiTheme="minorEastAsia" w:hAnsiTheme="minorEastAsia" w:eastAsiaTheme="minorEastAsia" w:cstheme="minorEastAsia"/>
          <w:color w:val="000000"/>
          <w:sz w:val="21"/>
          <w:szCs w:val="21"/>
        </w:rPr>
      </w:pPr>
    </w:p>
    <w:p w14:paraId="53268AEE">
      <w:pPr>
        <w:spacing w:line="360" w:lineRule="auto"/>
        <w:jc w:val="left"/>
        <w:rPr>
          <w:rFonts w:hint="eastAsia" w:asciiTheme="minorEastAsia" w:hAnsiTheme="minorEastAsia" w:eastAsiaTheme="minorEastAsia" w:cstheme="minorEastAsia"/>
          <w:color w:val="000000"/>
          <w:sz w:val="21"/>
          <w:szCs w:val="21"/>
        </w:rPr>
      </w:pPr>
    </w:p>
    <w:p w14:paraId="7C5EF73A">
      <w:pPr>
        <w:spacing w:line="360" w:lineRule="auto"/>
        <w:jc w:val="left"/>
        <w:rPr>
          <w:rFonts w:hint="eastAsia" w:asciiTheme="minorEastAsia" w:hAnsiTheme="minorEastAsia" w:eastAsiaTheme="minorEastAsia" w:cstheme="minorEastAsia"/>
          <w:color w:val="000000"/>
          <w:sz w:val="21"/>
          <w:szCs w:val="21"/>
        </w:rPr>
      </w:pPr>
    </w:p>
    <w:p w14:paraId="48A662DD">
      <w:pPr>
        <w:spacing w:line="360" w:lineRule="auto"/>
        <w:jc w:val="left"/>
        <w:rPr>
          <w:rFonts w:hint="eastAsia" w:asciiTheme="minorEastAsia" w:hAnsiTheme="minorEastAsia" w:eastAsiaTheme="minorEastAsia" w:cstheme="minorEastAsia"/>
          <w:color w:val="000000"/>
          <w:sz w:val="21"/>
          <w:szCs w:val="21"/>
        </w:rPr>
      </w:pPr>
    </w:p>
    <w:p w14:paraId="1852AD8A">
      <w:pPr>
        <w:spacing w:line="360" w:lineRule="auto"/>
        <w:jc w:val="left"/>
        <w:rPr>
          <w:rFonts w:hint="eastAsia" w:asciiTheme="minorEastAsia" w:hAnsiTheme="minorEastAsia" w:eastAsiaTheme="minorEastAsia" w:cstheme="minorEastAsia"/>
          <w:color w:val="000000"/>
          <w:sz w:val="21"/>
          <w:szCs w:val="21"/>
        </w:rPr>
      </w:pPr>
    </w:p>
    <w:p w14:paraId="5FF034E6">
      <w:pPr>
        <w:spacing w:line="360" w:lineRule="auto"/>
        <w:jc w:val="left"/>
        <w:rPr>
          <w:rFonts w:hint="eastAsia" w:asciiTheme="minorEastAsia" w:hAnsiTheme="minorEastAsia" w:eastAsiaTheme="minorEastAsia" w:cstheme="minorEastAsia"/>
          <w:color w:val="000000"/>
          <w:sz w:val="21"/>
          <w:szCs w:val="21"/>
        </w:rPr>
      </w:pPr>
    </w:p>
    <w:p w14:paraId="3B22D846">
      <w:pPr>
        <w:spacing w:line="360" w:lineRule="auto"/>
        <w:jc w:val="left"/>
        <w:rPr>
          <w:rFonts w:hint="eastAsia" w:asciiTheme="minorEastAsia" w:hAnsiTheme="minorEastAsia" w:eastAsiaTheme="minorEastAsia" w:cstheme="minorEastAsia"/>
          <w:color w:val="000000"/>
          <w:sz w:val="21"/>
          <w:szCs w:val="21"/>
        </w:rPr>
      </w:pPr>
    </w:p>
    <w:p w14:paraId="7E2066D8">
      <w:pPr>
        <w:spacing w:line="360" w:lineRule="auto"/>
        <w:jc w:val="left"/>
        <w:rPr>
          <w:rFonts w:hint="eastAsia" w:asciiTheme="minorEastAsia" w:hAnsiTheme="minorEastAsia" w:eastAsiaTheme="minorEastAsia" w:cstheme="minorEastAsia"/>
          <w:color w:val="000000"/>
          <w:sz w:val="21"/>
          <w:szCs w:val="21"/>
        </w:rPr>
      </w:pPr>
    </w:p>
    <w:p w14:paraId="76C46E56">
      <w:pPr>
        <w:spacing w:line="360" w:lineRule="auto"/>
        <w:jc w:val="left"/>
        <w:rPr>
          <w:rFonts w:hint="eastAsia" w:asciiTheme="minorEastAsia" w:hAnsiTheme="minorEastAsia" w:eastAsiaTheme="minorEastAsia" w:cstheme="minorEastAsia"/>
          <w:color w:val="000000"/>
          <w:sz w:val="21"/>
          <w:szCs w:val="21"/>
        </w:rPr>
      </w:pPr>
    </w:p>
    <w:p w14:paraId="2C67DC3D">
      <w:pPr>
        <w:spacing w:line="360" w:lineRule="auto"/>
        <w:jc w:val="left"/>
        <w:rPr>
          <w:rFonts w:hint="eastAsia" w:asciiTheme="minorEastAsia" w:hAnsiTheme="minorEastAsia" w:eastAsiaTheme="minorEastAsia" w:cstheme="minorEastAsia"/>
          <w:color w:val="000000"/>
          <w:sz w:val="21"/>
          <w:szCs w:val="21"/>
        </w:rPr>
      </w:pPr>
    </w:p>
    <w:p w14:paraId="5C4CB61C">
      <w:pPr>
        <w:spacing w:line="360" w:lineRule="auto"/>
        <w:jc w:val="left"/>
        <w:rPr>
          <w:rFonts w:hint="eastAsia" w:asciiTheme="minorEastAsia" w:hAnsiTheme="minorEastAsia" w:eastAsiaTheme="minorEastAsia" w:cstheme="minorEastAsia"/>
          <w:color w:val="000000"/>
          <w:sz w:val="21"/>
          <w:szCs w:val="21"/>
        </w:rPr>
      </w:pPr>
    </w:p>
    <w:p w14:paraId="18B4114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14:paraId="7B7D201F">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w:t>
      </w:r>
      <w:bookmarkStart w:id="683" w:name="_Toc296891054"/>
      <w:bookmarkStart w:id="684" w:name="_Toc296503226"/>
      <w:bookmarkStart w:id="685" w:name="_Toc296944565"/>
      <w:bookmarkStart w:id="686" w:name="_Toc296347225"/>
      <w:bookmarkStart w:id="687" w:name="_Toc296891266"/>
      <w:bookmarkStart w:id="688" w:name="_Toc267261693"/>
      <w:bookmarkStart w:id="689" w:name="_Toc296346727"/>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w:t>
      </w:r>
      <w:bookmarkEnd w:id="683"/>
      <w:bookmarkEnd w:id="684"/>
      <w:bookmarkEnd w:id="685"/>
      <w:bookmarkEnd w:id="686"/>
      <w:bookmarkEnd w:id="687"/>
      <w:bookmarkEnd w:id="688"/>
      <w:bookmarkEnd w:id="689"/>
      <w:r>
        <w:rPr>
          <w:rFonts w:hint="eastAsia" w:asciiTheme="minorEastAsia" w:hAnsiTheme="minorEastAsia" w:eastAsiaTheme="minorEastAsia" w:cstheme="minorEastAsia"/>
          <w:color w:val="000000"/>
          <w:sz w:val="21"/>
          <w:szCs w:val="21"/>
        </w:rPr>
        <w:t xml:space="preserve">    </w:t>
      </w:r>
    </w:p>
    <w:p w14:paraId="6A2CF3E6">
      <w:pPr>
        <w:spacing w:before="120" w:after="120" w:line="4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w:t>
      </w:r>
    </w:p>
    <w:p w14:paraId="7580CE12">
      <w:pPr>
        <w:spacing w:line="44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01B4CA3">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6396DCCE">
      <w:pPr>
        <w:spacing w:line="440" w:lineRule="exact"/>
        <w:rPr>
          <w:rFonts w:hint="eastAsia" w:asciiTheme="minorEastAsia" w:hAnsiTheme="minorEastAsia" w:eastAsiaTheme="minorEastAsia" w:cstheme="minorEastAsia"/>
          <w:color w:val="000000"/>
          <w:sz w:val="21"/>
          <w:szCs w:val="21"/>
        </w:rPr>
      </w:pPr>
    </w:p>
    <w:p w14:paraId="1FE2062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（工程全称）签订工程质量保修书。</w:t>
      </w:r>
    </w:p>
    <w:p w14:paraId="01E30D58">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一、工程质量保修范围和内容</w:t>
      </w:r>
    </w:p>
    <w:p w14:paraId="1BF1EB7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承包人在质量保修期内，按照有关法律规定和合同约定，承担工程质量保修责任。</w:t>
      </w:r>
    </w:p>
    <w:p w14:paraId="44F118AE">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B9E7B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b/>
          <w:color w:val="000000"/>
          <w:sz w:val="21"/>
          <w:szCs w:val="21"/>
          <w:u w:val="single"/>
        </w:rPr>
        <w:t>质量保修期依据国务院2000年1月30日颁发的279号令执行，其余按承诺书及甲乙双方协商约定。</w:t>
      </w:r>
    </w:p>
    <w:p w14:paraId="7D47886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w:t>
      </w:r>
      <w:r>
        <w:rPr>
          <w:rFonts w:hint="eastAsia" w:asciiTheme="minorEastAsia" w:hAnsiTheme="minorEastAsia" w:eastAsiaTheme="minorEastAsia" w:cstheme="minorEastAsia"/>
          <w:color w:val="000000"/>
          <w:sz w:val="21"/>
          <w:szCs w:val="21"/>
        </w:rPr>
        <w:t>二、质量保修期</w:t>
      </w:r>
    </w:p>
    <w:p w14:paraId="0117234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根据《建设工程质量管理条例》及有关规定，工程的质量保修期如下：</w:t>
      </w:r>
    </w:p>
    <w:p w14:paraId="1B5D10C4">
      <w:pPr>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地基基础工程和主体结构工程为设计文件规定的工程合理使用年限；</w:t>
      </w:r>
    </w:p>
    <w:p w14:paraId="146F82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屋面防水工程、有防水要求的卫生间、房间和外墙面的防渗     为</w:t>
      </w:r>
      <w:r>
        <w:rPr>
          <w:rFonts w:hint="eastAsia" w:asciiTheme="minorEastAsia" w:hAnsiTheme="minorEastAsia" w:eastAsiaTheme="minorEastAsia" w:cstheme="minorEastAsia"/>
          <w:color w:val="000000"/>
          <w:sz w:val="21"/>
          <w:szCs w:val="21"/>
          <w:u w:val="single"/>
        </w:rPr>
        <w:t xml:space="preserve">5 </w:t>
      </w:r>
      <w:r>
        <w:rPr>
          <w:rFonts w:hint="eastAsia" w:asciiTheme="minorEastAsia" w:hAnsiTheme="minorEastAsia" w:eastAsiaTheme="minorEastAsia" w:cstheme="minorEastAsia"/>
          <w:color w:val="000000"/>
          <w:sz w:val="21"/>
          <w:szCs w:val="21"/>
        </w:rPr>
        <w:t>年；</w:t>
      </w:r>
    </w:p>
    <w:p w14:paraId="18FEF1D7">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装修工程为</w:t>
      </w:r>
      <w:r>
        <w:rPr>
          <w:rFonts w:hint="eastAsia" w:asciiTheme="minorEastAsia" w:hAnsiTheme="minorEastAsia" w:eastAsiaTheme="minorEastAsia" w:cstheme="minorEastAsia"/>
          <w:color w:val="000000"/>
          <w:sz w:val="21"/>
          <w:szCs w:val="21"/>
          <w:u w:val="single"/>
        </w:rPr>
        <w:t xml:space="preserve">2 </w:t>
      </w:r>
      <w:r>
        <w:rPr>
          <w:rFonts w:hint="eastAsia" w:asciiTheme="minorEastAsia" w:hAnsiTheme="minorEastAsia" w:eastAsiaTheme="minorEastAsia" w:cstheme="minorEastAsia"/>
          <w:color w:val="000000"/>
          <w:sz w:val="21"/>
          <w:szCs w:val="21"/>
        </w:rPr>
        <w:t>年；</w:t>
      </w:r>
    </w:p>
    <w:p w14:paraId="14DB4DF9">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电气管线、给排水管道、设备安装工程为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4CEAD541">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供热与供冷系统为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个采暖期、供冷期；</w:t>
      </w:r>
    </w:p>
    <w:p w14:paraId="75FD546D">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住宅小区内的给排水设施、道路等配套工程为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17E9EE43">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其他项目保修期限约定如下：</w:t>
      </w:r>
    </w:p>
    <w:p w14:paraId="5EC4FC5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由发包方与承包方约定 </w:t>
      </w:r>
      <w:r>
        <w:rPr>
          <w:rFonts w:hint="eastAsia" w:asciiTheme="minorEastAsia" w:hAnsiTheme="minorEastAsia" w:eastAsiaTheme="minorEastAsia" w:cstheme="minorEastAsia"/>
          <w:color w:val="000000"/>
          <w:sz w:val="21"/>
          <w:szCs w:val="21"/>
        </w:rPr>
        <w:t>。</w:t>
      </w:r>
    </w:p>
    <w:p w14:paraId="5D012A4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质量保修期自工程竣工验收合格之日起计算。</w:t>
      </w:r>
    </w:p>
    <w:p w14:paraId="5543811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三、缺陷责任期</w:t>
      </w:r>
    </w:p>
    <w:p w14:paraId="09460B9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工程缺陷责任期为</w:t>
      </w:r>
      <w:r>
        <w:rPr>
          <w:rFonts w:hint="eastAsia" w:asciiTheme="minorEastAsia" w:hAnsiTheme="minorEastAsia" w:eastAsiaTheme="minorEastAsia" w:cstheme="minorEastAsia"/>
          <w:color w:val="000000"/>
          <w:sz w:val="21"/>
          <w:szCs w:val="21"/>
          <w:u w:val="single"/>
        </w:rPr>
        <w:t xml:space="preserve">24 </w:t>
      </w:r>
      <w:r>
        <w:rPr>
          <w:rFonts w:hint="eastAsia" w:asciiTheme="minorEastAsia" w:hAnsiTheme="minorEastAsia" w:eastAsiaTheme="minorEastAsia" w:cstheme="minorEastAsia"/>
          <w:color w:val="000000"/>
          <w:sz w:val="21"/>
          <w:szCs w:val="21"/>
        </w:rPr>
        <w:t>个月，缺陷责任期自工程通过竣工验收之日起计算。单位工程先于全部工程进行验收，单位工程缺陷责任期自单位工程验收合格之日起算。</w:t>
      </w:r>
    </w:p>
    <w:p w14:paraId="4A3829A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缺陷责任期终止后，发包人应退还剩余的质量保证金。</w:t>
      </w:r>
    </w:p>
    <w:p w14:paraId="353FB6A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四、质量保修责任</w:t>
      </w:r>
    </w:p>
    <w:p w14:paraId="716DE615">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属于保修范围、内容的项目，承包人应当在接到保修通知之日起7天内派人保修。承包人不在约定期限内派人保修的，发包人可以委托他人修理。</w:t>
      </w:r>
    </w:p>
    <w:p w14:paraId="112F2AF7">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发生紧急事故需抢修的，承包人在接到事故通知后，应当立即到达事故现场抢修。</w:t>
      </w:r>
    </w:p>
    <w:p w14:paraId="36197761">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94A34B">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质量保修完成后，由发包人组织验收。</w:t>
      </w:r>
    </w:p>
    <w:p w14:paraId="3F9139C9">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五、保修费用</w:t>
      </w:r>
    </w:p>
    <w:p w14:paraId="1F1D497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保修费用由造成质量缺陷的责任方承担。</w:t>
      </w:r>
    </w:p>
    <w:p w14:paraId="606D5647">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六</w:t>
      </w:r>
      <w:r>
        <w:rPr>
          <w:rFonts w:hint="eastAsia" w:asciiTheme="minorEastAsia" w:hAnsiTheme="minorEastAsia" w:eastAsiaTheme="minorEastAsia" w:cstheme="minorEastAsia"/>
          <w:color w:val="000000"/>
          <w:sz w:val="21"/>
          <w:szCs w:val="21"/>
        </w:rPr>
        <w:t>、双方约定的其他工程质量保修事项：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6878476">
      <w:pPr>
        <w:spacing w:line="360" w:lineRule="auto"/>
        <w:ind w:firstLine="57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工程质量保修书由发包人、承包人在工程竣工验收前共同签署，作为施工合同附件，其有效期限至保修期满。</w:t>
      </w:r>
    </w:p>
    <w:p w14:paraId="2B255323">
      <w:pPr>
        <w:spacing w:line="360" w:lineRule="auto"/>
        <w:ind w:firstLine="420"/>
        <w:rPr>
          <w:rFonts w:hint="eastAsia" w:asciiTheme="minorEastAsia" w:hAnsiTheme="minorEastAsia" w:eastAsiaTheme="minorEastAsia" w:cstheme="minorEastAsia"/>
          <w:color w:val="000000"/>
          <w:sz w:val="21"/>
          <w:szCs w:val="21"/>
        </w:rPr>
      </w:pPr>
    </w:p>
    <w:p w14:paraId="015FCDE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发包人(公章)：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承包人(公章)：</w:t>
      </w:r>
      <w:r>
        <w:rPr>
          <w:rFonts w:hint="eastAsia" w:asciiTheme="minorEastAsia" w:hAnsiTheme="minorEastAsia" w:eastAsiaTheme="minorEastAsia" w:cstheme="minorEastAsia"/>
          <w:color w:val="000000"/>
          <w:sz w:val="21"/>
          <w:szCs w:val="21"/>
          <w:u w:val="single"/>
        </w:rPr>
        <w:t xml:space="preserve">             </w:t>
      </w:r>
    </w:p>
    <w:p w14:paraId="27CFEDF6">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p>
    <w:p w14:paraId="33DCE36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法定代表人(签字)：</w:t>
      </w:r>
      <w:r>
        <w:rPr>
          <w:rFonts w:hint="eastAsia" w:asciiTheme="minorEastAsia" w:hAnsiTheme="minorEastAsia" w:eastAsiaTheme="minorEastAsia" w:cstheme="minorEastAsia"/>
          <w:color w:val="000000"/>
          <w:sz w:val="21"/>
          <w:szCs w:val="21"/>
          <w:u w:val="single"/>
        </w:rPr>
        <w:t xml:space="preserve">       </w:t>
      </w:r>
    </w:p>
    <w:p w14:paraId="064A7DE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委托代理人(签字)：</w:t>
      </w:r>
      <w:r>
        <w:rPr>
          <w:rFonts w:hint="eastAsia" w:asciiTheme="minorEastAsia" w:hAnsiTheme="minorEastAsia" w:eastAsiaTheme="minorEastAsia" w:cstheme="minorEastAsia"/>
          <w:color w:val="000000"/>
          <w:sz w:val="21"/>
          <w:szCs w:val="21"/>
          <w:u w:val="single"/>
        </w:rPr>
        <w:t xml:space="preserve">       </w:t>
      </w:r>
    </w:p>
    <w:p w14:paraId="286A14B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p>
    <w:p w14:paraId="1503D9A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p>
    <w:p w14:paraId="4D3E0E6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p>
    <w:p w14:paraId="4B7A8583">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p>
    <w:p w14:paraId="1EA2103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p>
    <w:p w14:paraId="1489632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br w:type="page" w:clear="all"/>
      </w: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w:t>
      </w:r>
    </w:p>
    <w:p w14:paraId="618D74E1">
      <w:pPr>
        <w:spacing w:line="300" w:lineRule="auto"/>
        <w:ind w:firstLine="435"/>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廉  洁  合  同</w:t>
      </w:r>
    </w:p>
    <w:p w14:paraId="1DF76631">
      <w:pPr>
        <w:spacing w:line="30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甲方： </w:t>
      </w:r>
    </w:p>
    <w:p w14:paraId="5224194E">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7D8EC432">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为了在工程项目建设中保持廉洁自律的工作作风，防止各种不正当行为的发生，根据廉政建设的各项规定，结合工程项目的特点，特定立本合同如下：</w:t>
      </w:r>
    </w:p>
    <w:p w14:paraId="43C6ECB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一、甲乙双方应当自觉遵守国家和所在地区关于工程承包工作规则和廉政建设的各项规定。</w:t>
      </w:r>
    </w:p>
    <w:p w14:paraId="466F09F0">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二、甲方及其工作人员不得以任何形式向乙方索要和收受回扣等好处费。</w:t>
      </w:r>
    </w:p>
    <w:p w14:paraId="60E8BBC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三、甲方工作人员应当保持与乙方的正常业务交往，不得接受乙方的礼金、有价证券和贵重物品，不得在乙方报销任何应由个人支付的费用。</w:t>
      </w:r>
    </w:p>
    <w:p w14:paraId="074246E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四、甲方工作人员不得参加可能对公正执行公务有影响的宴请和娱乐活动。</w:t>
      </w:r>
    </w:p>
    <w:p w14:paraId="401E142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五、甲方工作人员不得要求或者接受乙方为其住房装修、婚丧嫁娶、家属和子女的工作安排以及出国提供方便。</w:t>
      </w:r>
    </w:p>
    <w:p w14:paraId="04494BF7">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六、甲方工作人员不得向乙方介绍家属或者亲友从事与甲方工程有关的材料设备供应、工程分包等经济活动。</w:t>
      </w:r>
    </w:p>
    <w:p w14:paraId="295048D1">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七、乙方应当通过正常途径开展</w:t>
      </w:r>
      <w:r>
        <w:rPr>
          <w:rFonts w:hint="eastAsia" w:asciiTheme="minorEastAsia" w:hAnsiTheme="minorEastAsia" w:eastAsiaTheme="minorEastAsia" w:cstheme="minorEastAsia"/>
          <w:color w:val="000000"/>
          <w:sz w:val="21"/>
          <w:szCs w:val="21"/>
          <w:lang w:eastAsia="zh-CN"/>
        </w:rPr>
        <w:t>相关</w:t>
      </w:r>
      <w:r>
        <w:rPr>
          <w:rFonts w:hint="eastAsia" w:asciiTheme="minorEastAsia" w:hAnsiTheme="minorEastAsia" w:eastAsiaTheme="minorEastAsia" w:cstheme="minorEastAsia"/>
          <w:color w:val="000000"/>
          <w:sz w:val="21"/>
          <w:szCs w:val="21"/>
        </w:rPr>
        <w:t>业务工作，不得为获取某些不正当利益而向甲方工作人员赠送礼金、有价证券和贵重物品等。</w:t>
      </w:r>
    </w:p>
    <w:p w14:paraId="105FB3D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八、乙方不得为谋取私利擅自与甲方工作人员就工程承包、工程费用、材料设备供应、工程量变动、工程验收、工程质量问题等进行私下商谈或者达成默契。</w:t>
      </w:r>
    </w:p>
    <w:p w14:paraId="7BCA6AE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九、乙方不得以洽谈业务、签订经济合同为借口，邀请甲方工作人员外出旅游和进入营业性高档娱乐场所。</w:t>
      </w:r>
    </w:p>
    <w:p w14:paraId="10234A1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十、乙方不得为甲方单位和个人购置或者提供通讯工具、交通工具、家电、高档办公用品等物品。</w:t>
      </w:r>
    </w:p>
    <w:p w14:paraId="193F653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十一、乙方如发现甲方工作人员有违反上述协议者，应向甲方领导或者甲方上级单位举报。甲方不得找任何借口对乙方进行报复。甲方对举报属实和严格遵守廉洁协议的一方，在同等条件下</w:t>
      </w:r>
      <w:r>
        <w:rPr>
          <w:rFonts w:hint="eastAsia" w:asciiTheme="minorEastAsia" w:hAnsiTheme="minorEastAsia" w:eastAsiaTheme="minorEastAsia" w:cstheme="minorEastAsia"/>
          <w:color w:val="000000"/>
          <w:sz w:val="21"/>
          <w:szCs w:val="21"/>
          <w:lang w:val="en-US" w:eastAsia="zh-CN"/>
        </w:rPr>
        <w:t>给予</w:t>
      </w:r>
      <w:r>
        <w:rPr>
          <w:rFonts w:hint="eastAsia" w:asciiTheme="minorEastAsia" w:hAnsiTheme="minorEastAsia" w:eastAsiaTheme="minorEastAsia" w:cstheme="minorEastAsia"/>
          <w:color w:val="000000"/>
          <w:sz w:val="21"/>
          <w:szCs w:val="21"/>
        </w:rPr>
        <w:t>承接后续工程的优先权。</w:t>
      </w:r>
    </w:p>
    <w:p w14:paraId="762ACA7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十二、甲方发现乙方有违反本协议或者采取不正当的手段行贿甲方工作人员，甲方根据具体情节和造成的后果追究乙方工程合同造价1－5％的违约金。由此给甲方单位造成的损失均</w:t>
      </w:r>
      <w:r>
        <w:rPr>
          <w:rFonts w:hint="eastAsia" w:asciiTheme="minorEastAsia" w:hAnsiTheme="minorEastAsia" w:eastAsiaTheme="minorEastAsia" w:cstheme="minorEastAsia"/>
          <w:color w:val="000000"/>
          <w:sz w:val="21"/>
          <w:szCs w:val="21"/>
          <w:lang w:val="en-US" w:eastAsia="zh-CN"/>
        </w:rPr>
        <w:t>由</w:t>
      </w:r>
      <w:r>
        <w:rPr>
          <w:rFonts w:hint="eastAsia" w:asciiTheme="minorEastAsia" w:hAnsiTheme="minorEastAsia" w:eastAsiaTheme="minorEastAsia" w:cstheme="minorEastAsia"/>
          <w:color w:val="000000"/>
          <w:sz w:val="21"/>
          <w:szCs w:val="21"/>
        </w:rPr>
        <w:t>乙方承担，乙方用不正当手段获取的非法所得由甲方单位予以追缴。</w:t>
      </w:r>
    </w:p>
    <w:p w14:paraId="719F06A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十三、本廉洁合同作为本工程承包合同的附件，与工程承包合同具有同等法律效力。经协议双方签署后立即生效。</w:t>
      </w:r>
    </w:p>
    <w:p w14:paraId="547E4B5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十四、本合同一式三份，甲、乙双方各持一份，送交见证部门一份。</w:t>
      </w:r>
    </w:p>
    <w:p w14:paraId="15150F00">
      <w:pPr>
        <w:spacing w:line="480" w:lineRule="exact"/>
        <w:rPr>
          <w:rFonts w:hint="eastAsia" w:asciiTheme="minorEastAsia" w:hAnsiTheme="minorEastAsia" w:eastAsiaTheme="minorEastAsia" w:cstheme="minorEastAsia"/>
          <w:color w:val="000000"/>
          <w:sz w:val="21"/>
          <w:szCs w:val="21"/>
        </w:rPr>
      </w:pPr>
    </w:p>
    <w:p w14:paraId="17D10B46">
      <w:pPr>
        <w:spacing w:line="480" w:lineRule="exact"/>
        <w:rPr>
          <w:rFonts w:hint="eastAsia" w:asciiTheme="minorEastAsia" w:hAnsiTheme="minorEastAsia" w:eastAsiaTheme="minorEastAsia" w:cstheme="minorEastAsia"/>
          <w:color w:val="000000"/>
          <w:sz w:val="21"/>
          <w:szCs w:val="21"/>
        </w:rPr>
      </w:pPr>
    </w:p>
    <w:p w14:paraId="44D90CE7">
      <w:pPr>
        <w:spacing w:line="480" w:lineRule="exact"/>
        <w:rPr>
          <w:rFonts w:hint="eastAsia" w:asciiTheme="minorEastAsia" w:hAnsiTheme="minorEastAsia" w:eastAsiaTheme="minorEastAsia" w:cstheme="minorEastAsia"/>
          <w:color w:val="000000"/>
          <w:sz w:val="21"/>
          <w:szCs w:val="21"/>
        </w:rPr>
      </w:pPr>
    </w:p>
    <w:p w14:paraId="496354B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3BB3AE0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                          法定代表人：</w:t>
      </w:r>
    </w:p>
    <w:p w14:paraId="07CA896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通讯地址：</w:t>
      </w:r>
    </w:p>
    <w:p w14:paraId="3E7B848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                                 联系电话：</w:t>
      </w:r>
    </w:p>
    <w:p w14:paraId="50CE8593">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              年  月  日</w:t>
      </w:r>
    </w:p>
    <w:p w14:paraId="3D9D79EC">
      <w:pPr>
        <w:spacing w:line="480" w:lineRule="exact"/>
        <w:ind w:firstLine="600"/>
        <w:rPr>
          <w:rFonts w:hint="eastAsia" w:asciiTheme="minorEastAsia" w:hAnsiTheme="minorEastAsia" w:eastAsiaTheme="minorEastAsia" w:cstheme="minorEastAsia"/>
          <w:color w:val="000000"/>
          <w:sz w:val="21"/>
          <w:szCs w:val="21"/>
        </w:rPr>
      </w:pPr>
    </w:p>
    <w:p w14:paraId="094EE74F">
      <w:pPr>
        <w:spacing w:line="480" w:lineRule="exact"/>
        <w:ind w:firstLine="600"/>
        <w:rPr>
          <w:rFonts w:hint="eastAsia" w:asciiTheme="minorEastAsia" w:hAnsiTheme="minorEastAsia" w:eastAsiaTheme="minorEastAsia" w:cstheme="minorEastAsia"/>
          <w:color w:val="000000"/>
          <w:sz w:val="21"/>
          <w:szCs w:val="21"/>
        </w:rPr>
      </w:pPr>
    </w:p>
    <w:p w14:paraId="5B09D4EA">
      <w:pPr>
        <w:spacing w:line="480" w:lineRule="exact"/>
        <w:ind w:firstLine="600"/>
        <w:rPr>
          <w:rFonts w:hint="eastAsia" w:asciiTheme="minorEastAsia" w:hAnsiTheme="minorEastAsia" w:eastAsiaTheme="minorEastAsia" w:cstheme="minorEastAsia"/>
          <w:color w:val="000000"/>
          <w:sz w:val="21"/>
          <w:szCs w:val="21"/>
        </w:rPr>
      </w:pPr>
    </w:p>
    <w:p w14:paraId="60A2204B">
      <w:pPr>
        <w:spacing w:line="480" w:lineRule="exact"/>
        <w:ind w:firstLine="600"/>
        <w:rPr>
          <w:rFonts w:hint="eastAsia" w:asciiTheme="minorEastAsia" w:hAnsiTheme="minorEastAsia" w:eastAsiaTheme="minorEastAsia" w:cstheme="minorEastAsia"/>
          <w:color w:val="000000"/>
          <w:sz w:val="21"/>
          <w:szCs w:val="21"/>
        </w:rPr>
      </w:pPr>
    </w:p>
    <w:p w14:paraId="7A2C96A0">
      <w:pPr>
        <w:spacing w:line="480" w:lineRule="exact"/>
        <w:ind w:firstLine="600"/>
        <w:rPr>
          <w:rFonts w:hint="eastAsia" w:asciiTheme="minorEastAsia" w:hAnsiTheme="minorEastAsia" w:eastAsiaTheme="minorEastAsia" w:cstheme="minorEastAsia"/>
          <w:color w:val="000000"/>
          <w:sz w:val="21"/>
          <w:szCs w:val="21"/>
        </w:rPr>
      </w:pPr>
    </w:p>
    <w:p w14:paraId="53831652">
      <w:pPr>
        <w:spacing w:line="480" w:lineRule="exact"/>
        <w:ind w:firstLine="600"/>
        <w:rPr>
          <w:rFonts w:hint="eastAsia" w:asciiTheme="minorEastAsia" w:hAnsiTheme="minorEastAsia" w:eastAsiaTheme="minorEastAsia" w:cstheme="minorEastAsia"/>
          <w:color w:val="000000"/>
          <w:sz w:val="21"/>
          <w:szCs w:val="21"/>
        </w:rPr>
      </w:pPr>
    </w:p>
    <w:p w14:paraId="3C75B8AE">
      <w:pPr>
        <w:spacing w:line="480" w:lineRule="exact"/>
        <w:ind w:firstLine="600"/>
        <w:rPr>
          <w:rFonts w:hint="eastAsia" w:asciiTheme="minorEastAsia" w:hAnsiTheme="minorEastAsia" w:eastAsiaTheme="minorEastAsia" w:cstheme="minorEastAsia"/>
          <w:color w:val="000000"/>
          <w:sz w:val="21"/>
          <w:szCs w:val="21"/>
        </w:rPr>
      </w:pPr>
    </w:p>
    <w:p w14:paraId="02013287">
      <w:pPr>
        <w:spacing w:line="480" w:lineRule="exact"/>
        <w:ind w:firstLine="600"/>
        <w:rPr>
          <w:rFonts w:hint="eastAsia" w:asciiTheme="minorEastAsia" w:hAnsiTheme="minorEastAsia" w:eastAsiaTheme="minorEastAsia" w:cstheme="minorEastAsia"/>
          <w:color w:val="000000"/>
          <w:sz w:val="21"/>
          <w:szCs w:val="21"/>
        </w:rPr>
      </w:pPr>
    </w:p>
    <w:p w14:paraId="369AA129">
      <w:pPr>
        <w:spacing w:line="360" w:lineRule="auto"/>
        <w:rPr>
          <w:rFonts w:hint="eastAsia" w:asciiTheme="minorEastAsia" w:hAnsiTheme="minorEastAsia" w:eastAsiaTheme="minorEastAsia" w:cstheme="minorEastAsia"/>
          <w:color w:val="000000"/>
          <w:sz w:val="21"/>
          <w:szCs w:val="21"/>
        </w:rPr>
      </w:pPr>
      <w:bookmarkStart w:id="690" w:name="安全协议"/>
    </w:p>
    <w:p w14:paraId="7033AAF0">
      <w:pPr>
        <w:spacing w:line="360" w:lineRule="auto"/>
        <w:rPr>
          <w:rFonts w:hint="eastAsia" w:asciiTheme="minorEastAsia" w:hAnsiTheme="minorEastAsia" w:eastAsiaTheme="minorEastAsia" w:cstheme="minorEastAsia"/>
          <w:color w:val="000000"/>
          <w:sz w:val="21"/>
          <w:szCs w:val="21"/>
        </w:rPr>
      </w:pPr>
    </w:p>
    <w:p w14:paraId="34F53F0C">
      <w:pPr>
        <w:spacing w:line="360" w:lineRule="auto"/>
        <w:rPr>
          <w:rFonts w:hint="eastAsia" w:asciiTheme="minorEastAsia" w:hAnsiTheme="minorEastAsia" w:eastAsiaTheme="minorEastAsia" w:cstheme="minorEastAsia"/>
          <w:color w:val="000000"/>
          <w:sz w:val="21"/>
          <w:szCs w:val="21"/>
        </w:rPr>
      </w:pPr>
    </w:p>
    <w:p w14:paraId="73253303">
      <w:pPr>
        <w:spacing w:line="360" w:lineRule="auto"/>
        <w:rPr>
          <w:rFonts w:hint="eastAsia" w:asciiTheme="minorEastAsia" w:hAnsiTheme="minorEastAsia" w:eastAsiaTheme="minorEastAsia" w:cstheme="minorEastAsia"/>
          <w:color w:val="000000"/>
          <w:sz w:val="21"/>
          <w:szCs w:val="21"/>
        </w:rPr>
      </w:pPr>
    </w:p>
    <w:p w14:paraId="64FDCFB3">
      <w:pPr>
        <w:spacing w:line="360" w:lineRule="auto"/>
        <w:rPr>
          <w:rFonts w:hint="eastAsia" w:asciiTheme="minorEastAsia" w:hAnsiTheme="minorEastAsia" w:eastAsiaTheme="minorEastAsia" w:cstheme="minorEastAsia"/>
          <w:color w:val="000000"/>
          <w:sz w:val="21"/>
          <w:szCs w:val="21"/>
        </w:rPr>
      </w:pPr>
    </w:p>
    <w:p w14:paraId="7BF016E7">
      <w:pPr>
        <w:spacing w:line="360" w:lineRule="auto"/>
        <w:rPr>
          <w:rFonts w:hint="eastAsia" w:asciiTheme="minorEastAsia" w:hAnsiTheme="minorEastAsia" w:eastAsiaTheme="minorEastAsia" w:cstheme="minorEastAsia"/>
          <w:color w:val="000000"/>
          <w:sz w:val="21"/>
          <w:szCs w:val="21"/>
        </w:rPr>
      </w:pPr>
    </w:p>
    <w:p w14:paraId="282D522E">
      <w:pPr>
        <w:spacing w:line="360" w:lineRule="auto"/>
        <w:rPr>
          <w:rFonts w:hint="eastAsia" w:asciiTheme="minorEastAsia" w:hAnsiTheme="minorEastAsia" w:eastAsiaTheme="minorEastAsia" w:cstheme="minorEastAsia"/>
          <w:color w:val="000000"/>
          <w:sz w:val="21"/>
          <w:szCs w:val="21"/>
        </w:rPr>
      </w:pPr>
    </w:p>
    <w:p w14:paraId="3AF6C4A2">
      <w:pPr>
        <w:spacing w:line="360" w:lineRule="auto"/>
        <w:rPr>
          <w:rFonts w:hint="eastAsia" w:asciiTheme="minorEastAsia" w:hAnsiTheme="minorEastAsia" w:eastAsiaTheme="minorEastAsia" w:cstheme="minorEastAsia"/>
          <w:color w:val="000000"/>
          <w:sz w:val="21"/>
          <w:szCs w:val="21"/>
        </w:rPr>
      </w:pPr>
    </w:p>
    <w:p w14:paraId="44C91D9F">
      <w:pPr>
        <w:spacing w:line="360" w:lineRule="auto"/>
        <w:rPr>
          <w:rFonts w:hint="eastAsia" w:asciiTheme="minorEastAsia" w:hAnsiTheme="minorEastAsia" w:eastAsiaTheme="minorEastAsia" w:cstheme="minorEastAsia"/>
          <w:color w:val="000000"/>
          <w:sz w:val="21"/>
          <w:szCs w:val="21"/>
        </w:rPr>
      </w:pPr>
    </w:p>
    <w:p w14:paraId="3EE3C644">
      <w:pPr>
        <w:spacing w:line="360" w:lineRule="auto"/>
        <w:rPr>
          <w:rFonts w:hint="eastAsia" w:asciiTheme="minorEastAsia" w:hAnsiTheme="minorEastAsia" w:eastAsiaTheme="minorEastAsia" w:cstheme="minorEastAsia"/>
          <w:color w:val="000000"/>
          <w:sz w:val="21"/>
          <w:szCs w:val="21"/>
        </w:rPr>
      </w:pPr>
    </w:p>
    <w:p w14:paraId="2846F780">
      <w:pPr>
        <w:spacing w:line="360" w:lineRule="auto"/>
        <w:rPr>
          <w:rFonts w:hint="eastAsia" w:asciiTheme="minorEastAsia" w:hAnsiTheme="minorEastAsia" w:eastAsiaTheme="minorEastAsia" w:cstheme="minorEastAsia"/>
          <w:color w:val="000000"/>
          <w:sz w:val="21"/>
          <w:szCs w:val="21"/>
        </w:rPr>
      </w:pPr>
    </w:p>
    <w:p w14:paraId="644D6B68">
      <w:pPr>
        <w:spacing w:line="360" w:lineRule="auto"/>
        <w:rPr>
          <w:rFonts w:hint="eastAsia" w:asciiTheme="minorEastAsia" w:hAnsiTheme="minorEastAsia" w:eastAsiaTheme="minorEastAsia" w:cstheme="minorEastAsia"/>
          <w:color w:val="000000"/>
          <w:sz w:val="21"/>
          <w:szCs w:val="21"/>
        </w:rPr>
      </w:pPr>
    </w:p>
    <w:p w14:paraId="7B2995AF">
      <w:pPr>
        <w:spacing w:line="360" w:lineRule="auto"/>
        <w:rPr>
          <w:rFonts w:hint="eastAsia" w:asciiTheme="minorEastAsia" w:hAnsiTheme="minorEastAsia" w:eastAsiaTheme="minorEastAsia" w:cstheme="minorEastAsia"/>
          <w:color w:val="000000"/>
          <w:sz w:val="21"/>
          <w:szCs w:val="21"/>
        </w:rPr>
      </w:pPr>
    </w:p>
    <w:p w14:paraId="6EF6B30C">
      <w:pPr>
        <w:spacing w:line="360" w:lineRule="auto"/>
        <w:rPr>
          <w:rFonts w:hint="eastAsia" w:asciiTheme="minorEastAsia" w:hAnsiTheme="minorEastAsia" w:eastAsiaTheme="minorEastAsia" w:cstheme="minorEastAsia"/>
          <w:color w:val="000000"/>
          <w:sz w:val="21"/>
          <w:szCs w:val="21"/>
        </w:rPr>
      </w:pPr>
    </w:p>
    <w:p w14:paraId="61AB5AC7">
      <w:pPr>
        <w:spacing w:line="360" w:lineRule="auto"/>
        <w:rPr>
          <w:rFonts w:hint="eastAsia" w:asciiTheme="minorEastAsia" w:hAnsiTheme="minorEastAsia" w:eastAsiaTheme="minorEastAsia" w:cstheme="minorEastAsia"/>
          <w:color w:val="000000"/>
          <w:sz w:val="21"/>
          <w:szCs w:val="21"/>
        </w:rPr>
      </w:pPr>
    </w:p>
    <w:p w14:paraId="7D49674A">
      <w:pPr>
        <w:spacing w:line="360" w:lineRule="auto"/>
        <w:rPr>
          <w:rFonts w:hint="eastAsia" w:asciiTheme="minorEastAsia" w:hAnsiTheme="minorEastAsia" w:eastAsiaTheme="minorEastAsia" w:cstheme="minorEastAsia"/>
          <w:color w:val="000000"/>
          <w:sz w:val="21"/>
          <w:szCs w:val="21"/>
        </w:rPr>
      </w:pPr>
    </w:p>
    <w:p w14:paraId="65717114">
      <w:pPr>
        <w:spacing w:line="360" w:lineRule="auto"/>
        <w:rPr>
          <w:rFonts w:hint="eastAsia" w:asciiTheme="minorEastAsia" w:hAnsiTheme="minorEastAsia" w:eastAsiaTheme="minorEastAsia" w:cstheme="minorEastAsia"/>
          <w:color w:val="000000"/>
          <w:sz w:val="21"/>
          <w:szCs w:val="21"/>
        </w:rPr>
      </w:pPr>
    </w:p>
    <w:p w14:paraId="7A6AB27F">
      <w:pPr>
        <w:spacing w:line="360" w:lineRule="auto"/>
        <w:rPr>
          <w:rFonts w:hint="eastAsia" w:asciiTheme="minorEastAsia" w:hAnsiTheme="minorEastAsia" w:eastAsiaTheme="minorEastAsia" w:cstheme="minorEastAsia"/>
          <w:color w:val="000000"/>
          <w:sz w:val="21"/>
          <w:szCs w:val="21"/>
        </w:rPr>
      </w:pPr>
    </w:p>
    <w:p w14:paraId="2E4E2AF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 xml:space="preserve">：      </w:t>
      </w:r>
    </w:p>
    <w:p w14:paraId="4A671EEA">
      <w:pPr>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建设工程安全管理协议</w:t>
      </w:r>
      <w:bookmarkEnd w:id="690"/>
    </w:p>
    <w:p w14:paraId="16FF0D8C">
      <w:pPr>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建设单位：（以下简称甲方）</w:t>
      </w:r>
    </w:p>
    <w:p w14:paraId="505AB1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承包单位：（以下简称乙方）</w:t>
      </w:r>
    </w:p>
    <w:p w14:paraId="611181AB">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将项目发包给乙方施工，为贯彻“安全第一、预防为主”的方针，根据《江苏省工程安全管理暂行规定》和国家有关法规，明确双方的安全生产责任，确保施工安全，双方在签订建筑安装工程合同的同时，签订本协议。</w:t>
      </w:r>
    </w:p>
    <w:p w14:paraId="7115CD1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一、承包施工项目</w:t>
      </w:r>
    </w:p>
    <w:p w14:paraId="250A285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工程项目名称：   </w:t>
      </w:r>
    </w:p>
    <w:p w14:paraId="5B742539">
      <w:pPr>
        <w:spacing w:line="360" w:lineRule="auto"/>
        <w:ind w:left="1979" w:hanging="15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工程地址：   </w:t>
      </w:r>
    </w:p>
    <w:p w14:paraId="2008843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承包范围：  </w:t>
      </w:r>
    </w:p>
    <w:p w14:paraId="2D00673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承包方式：包工包料</w:t>
      </w:r>
    </w:p>
    <w:p w14:paraId="0CA21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二、工程项目施工期限</w:t>
      </w:r>
    </w:p>
    <w:p w14:paraId="5591FC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    年   月   日起开工至     年   月    日完工。</w:t>
      </w:r>
    </w:p>
    <w:p w14:paraId="34145C7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三、协议内容</w:t>
      </w:r>
    </w:p>
    <w:p w14:paraId="7C77411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1、乙方必须认真贯彻国家、江苏省和上级劳动保护、安全生产主管部门颁发的有关安全生产、消防工作的方针、政策、严格执行有关劳动保护法规、条例、规定。</w:t>
      </w:r>
    </w:p>
    <w:p w14:paraId="53D0A2F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3503C69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3、乙方在施工前要认真</w:t>
      </w:r>
      <w:r>
        <w:rPr>
          <w:rFonts w:hint="eastAsia" w:asciiTheme="minorEastAsia" w:hAnsiTheme="minorEastAsia" w:eastAsiaTheme="minorEastAsia" w:cstheme="minorEastAsia"/>
          <w:color w:val="000000"/>
          <w:sz w:val="21"/>
          <w:szCs w:val="21"/>
          <w:lang w:eastAsia="zh-CN"/>
        </w:rPr>
        <w:t>勘查现场</w:t>
      </w:r>
      <w:r>
        <w:rPr>
          <w:rFonts w:hint="eastAsia" w:asciiTheme="minorEastAsia" w:hAnsiTheme="minorEastAsia" w:eastAsiaTheme="minorEastAsia" w:cstheme="minorEastAsia"/>
          <w:color w:val="000000"/>
          <w:sz w:val="21"/>
          <w:szCs w:val="21"/>
        </w:rPr>
        <w:t>，进场后首先必须做好施工现场围护，防止闲杂人员进入施工现场，发生安全事故。</w:t>
      </w:r>
    </w:p>
    <w:p w14:paraId="2DDD54A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工程项目由乙方按要求自行编制实施性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14:paraId="4F56B8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5、甲乙双方的有关领导必须认真对本单位职工进行安全生产制度及安全技术知识教育，增强</w:t>
      </w:r>
      <w:r>
        <w:rPr>
          <w:rFonts w:hint="eastAsia" w:asciiTheme="minorEastAsia" w:hAnsiTheme="minorEastAsia" w:eastAsiaTheme="minorEastAsia" w:cstheme="minorEastAsia"/>
          <w:color w:val="000000"/>
          <w:sz w:val="21"/>
          <w:szCs w:val="21"/>
          <w:lang w:eastAsia="zh-CN"/>
        </w:rPr>
        <w:t>法治观念</w:t>
      </w:r>
      <w:r>
        <w:rPr>
          <w:rFonts w:hint="eastAsia" w:asciiTheme="minorEastAsia" w:hAnsiTheme="minorEastAsia" w:eastAsiaTheme="minorEastAsia" w:cstheme="minorEastAsia"/>
          <w:color w:val="000000"/>
          <w:sz w:val="21"/>
          <w:szCs w:val="21"/>
        </w:rPr>
        <w:t>，提高职工的安全生产思想意识和自我保护的能力，督促职工自觉遵守安全生产纪律、制度和法规。</w:t>
      </w:r>
    </w:p>
    <w:p w14:paraId="42D518A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14:paraId="223FE9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7、根据工程项目内容、特点，甲乙双方应做好安全技术交底，并有交底的书面材料。 </w:t>
      </w:r>
    </w:p>
    <w:p w14:paraId="7CF034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8、交底材料一式三份，由甲乙双方和监理各执一份。</w:t>
      </w:r>
    </w:p>
    <w:p w14:paraId="036A4D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9、施工期间，乙方指派        同志负责本工程项目的有关安全、防火工作；甲方指派          同志负责联系、检查督促乙方执行有关安全、防火规定。甲乙双方应经常联系，相互协助检查和处理工程施工有关的安全、防火工作，共同预防事故发生。</w:t>
      </w:r>
    </w:p>
    <w:p w14:paraId="3A7AA09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14:paraId="0D311A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11、在生产操作过程中的个人防护用品，由各方自理，甲乙双方都应督促施工现场人员自觉穿戴好防护用品。</w:t>
      </w:r>
    </w:p>
    <w:p w14:paraId="3E508F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14:paraId="6C00E36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14:paraId="72FAD80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14:paraId="38C905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14:paraId="7D10045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2ADB9B2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 电饭锅、电取暖器等，防止漏电触电事故发生。</w:t>
      </w:r>
    </w:p>
    <w:p w14:paraId="5AE9C76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18、乙方在施工中，应注意地下管线及高压架空线路的保护。甲方对地下管线和障碍物应详细交底，乙方应贯彻交底要求，如遇有情况，应及时向监理、甲方和有关部门联系，采取保护措施。</w:t>
      </w:r>
    </w:p>
    <w:p w14:paraId="2DBC246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w:t>
      </w:r>
      <w:r>
        <w:rPr>
          <w:rFonts w:hint="eastAsia" w:asciiTheme="minorEastAsia" w:hAnsiTheme="minorEastAsia" w:eastAsiaTheme="minorEastAsia" w:cstheme="minorEastAsia"/>
          <w:color w:val="000000"/>
          <w:sz w:val="21"/>
          <w:szCs w:val="21"/>
          <w:lang w:eastAsia="zh-CN"/>
        </w:rPr>
        <w:t>按照</w:t>
      </w:r>
      <w:r>
        <w:rPr>
          <w:rFonts w:hint="eastAsia" w:asciiTheme="minorEastAsia" w:hAnsiTheme="minorEastAsia" w:eastAsiaTheme="minorEastAsia" w:cstheme="minorEastAsia"/>
          <w:color w:val="000000"/>
          <w:sz w:val="21"/>
          <w:szCs w:val="21"/>
        </w:rPr>
        <w:t>国务院及江苏省有关事故报告规定在事故发生后的二十四小时内及时报告各自的上级主管部门及市、区劳动保护监察部门等有关机构。事故的损失和善后处理费用，由责任方承担。</w:t>
      </w:r>
    </w:p>
    <w:p w14:paraId="51F80D8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20．本协议经双方签字、盖章有效。作为合同正本的附件一式四份，甲、乙双方各执二份。</w:t>
      </w:r>
    </w:p>
    <w:p w14:paraId="672AFF7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21．本协议同工程合同正本同日生效，甲、乙双方必须严格执行，由于违反本协议而造成伤亡事故，由违约方承担一切责任。</w:t>
      </w:r>
    </w:p>
    <w:p w14:paraId="663CB3AA">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6AD34EA7">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法定代表人（签章）：                  法定代表人（签章）：</w:t>
      </w:r>
    </w:p>
    <w:p w14:paraId="29A04869">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代      表（签字）                    代      表（签字）</w:t>
      </w:r>
    </w:p>
    <w:p w14:paraId="48B9F149">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日期：   年    月    日</w:t>
      </w:r>
    </w:p>
    <w:p w14:paraId="4C5DF29F">
      <w:pPr>
        <w:pStyle w:val="2"/>
        <w:rPr>
          <w:sz w:val="21"/>
          <w:szCs w:val="21"/>
          <w:lang w:eastAsia="zh-CN"/>
        </w:rPr>
      </w:pPr>
    </w:p>
    <w:p w14:paraId="721DDE90">
      <w:pPr>
        <w:ind w:left="118"/>
        <w:jc w:val="center"/>
        <w:rPr>
          <w:rFonts w:ascii="黑体" w:eastAsia="黑体"/>
          <w:color w:val="000000" w:themeColor="text1"/>
          <w:spacing w:val="-3"/>
          <w:sz w:val="52"/>
          <w:lang w:eastAsia="zh-CN"/>
          <w14:textFill>
            <w14:solidFill>
              <w14:schemeClr w14:val="tx1"/>
            </w14:solidFill>
          </w14:textFill>
        </w:rPr>
      </w:pPr>
      <w:bookmarkStart w:id="691" w:name="_bookmark10"/>
      <w:bookmarkEnd w:id="691"/>
    </w:p>
    <w:p w14:paraId="76D3B00F">
      <w:pPr>
        <w:tabs>
          <w:tab w:val="left" w:pos="1279"/>
        </w:tabs>
        <w:ind w:right="177"/>
        <w:jc w:val="center"/>
        <w:outlineLvl w:val="0"/>
        <w:rPr>
          <w:rFonts w:ascii="宋体" w:hAnsi="宋体" w:eastAsia="宋体" w:cs="宋体"/>
          <w:b/>
          <w:bCs/>
          <w:color w:val="000000" w:themeColor="text1"/>
          <w:sz w:val="28"/>
          <w:szCs w:val="28"/>
          <w:lang w:eastAsia="zh-CN"/>
          <w14:textFill>
            <w14:solidFill>
              <w14:schemeClr w14:val="tx1"/>
            </w14:solidFill>
          </w14:textFill>
        </w:rPr>
        <w:sectPr>
          <w:footerReference r:id="rId7" w:type="default"/>
          <w:pgSz w:w="11910" w:h="16840"/>
          <w:pgMar w:top="1083" w:right="1123" w:bottom="918" w:left="1298" w:header="879" w:footer="726" w:gutter="0"/>
          <w:cols w:space="1701" w:num="1"/>
          <w:docGrid w:linePitch="360" w:charSpace="0"/>
        </w:sectPr>
      </w:pPr>
    </w:p>
    <w:p w14:paraId="663342D8">
      <w:pPr>
        <w:tabs>
          <w:tab w:val="left" w:pos="1279"/>
        </w:tabs>
        <w:ind w:right="177"/>
        <w:jc w:val="center"/>
        <w:outlineLvl w:val="0"/>
        <w:rPr>
          <w:color w:val="000000" w:themeColor="text1"/>
          <w:lang w:eastAsia="zh-CN"/>
          <w14:textFill>
            <w14:solidFill>
              <w14:schemeClr w14:val="tx1"/>
            </w14:solidFill>
          </w14:textFill>
        </w:rPr>
      </w:pPr>
      <w:bookmarkStart w:id="692" w:name="_Toc184199385"/>
      <w:r>
        <w:rPr>
          <w:rFonts w:hint="eastAsia" w:ascii="宋体" w:hAnsi="宋体" w:eastAsia="宋体" w:cs="宋体"/>
          <w:b/>
          <w:bCs/>
          <w:color w:val="000000" w:themeColor="text1"/>
          <w:sz w:val="28"/>
          <w:szCs w:val="28"/>
          <w:lang w:eastAsia="zh-CN"/>
          <w14:textFill>
            <w14:solidFill>
              <w14:schemeClr w14:val="tx1"/>
            </w14:solidFill>
          </w14:textFill>
        </w:rPr>
        <w:t>第六章 响应文件格式</w:t>
      </w:r>
      <w:bookmarkEnd w:id="692"/>
    </w:p>
    <w:p w14:paraId="17464100">
      <w:pPr>
        <w:spacing w:before="12"/>
        <w:rPr>
          <w:rFonts w:ascii="宋体" w:hAnsi="宋体" w:eastAsia="宋体" w:cs="宋体"/>
          <w:color w:val="000000" w:themeColor="text1"/>
          <w:sz w:val="21"/>
          <w:szCs w:val="21"/>
          <w:lang w:eastAsia="zh-CN"/>
          <w14:textFill>
            <w14:solidFill>
              <w14:schemeClr w14:val="tx1"/>
            </w14:solidFill>
          </w14:textFill>
        </w:rPr>
      </w:pPr>
    </w:p>
    <w:p w14:paraId="71061B46">
      <w:pPr>
        <w:spacing w:before="12"/>
        <w:rPr>
          <w:rFonts w:ascii="宋体" w:hAnsi="宋体" w:eastAsia="宋体" w:cs="宋体"/>
          <w:color w:val="000000" w:themeColor="text1"/>
          <w:sz w:val="21"/>
          <w:szCs w:val="21"/>
          <w:lang w:eastAsia="zh-CN"/>
          <w14:textFill>
            <w14:solidFill>
              <w14:schemeClr w14:val="tx1"/>
            </w14:solidFill>
          </w14:textFill>
        </w:rPr>
      </w:pPr>
    </w:p>
    <w:p w14:paraId="3FFA7D85">
      <w:pPr>
        <w:spacing w:before="12"/>
        <w:rPr>
          <w:rFonts w:ascii="宋体" w:hAnsi="宋体" w:eastAsia="宋体" w:cs="宋体"/>
          <w:color w:val="000000" w:themeColor="text1"/>
          <w:sz w:val="21"/>
          <w:szCs w:val="21"/>
          <w:lang w:eastAsia="zh-CN"/>
          <w14:textFill>
            <w14:solidFill>
              <w14:schemeClr w14:val="tx1"/>
            </w14:solidFill>
          </w14:textFill>
        </w:rPr>
      </w:pPr>
    </w:p>
    <w:p w14:paraId="22B19E17">
      <w:pPr>
        <w:spacing w:line="712" w:lineRule="auto"/>
        <w:jc w:val="right"/>
        <w:rPr>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正本（副本）</w:t>
      </w:r>
      <w:r>
        <w:rPr>
          <w:color w:val="000000" w:themeColor="text1"/>
          <w:lang w:eastAsia="zh-CN"/>
          <w14:textFill>
            <w14:solidFill>
              <w14:schemeClr w14:val="tx1"/>
            </w14:solidFill>
          </w14:textFill>
        </w:rPr>
        <w:t xml:space="preserve"> </w:t>
      </w:r>
    </w:p>
    <w:p w14:paraId="06AD88CF">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p>
    <w:p w14:paraId="5F7F5762">
      <w:pPr>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南京市秦淮区机关办公大楼幕墙维修项目</w:t>
      </w:r>
    </w:p>
    <w:p w14:paraId="4CA98CB5">
      <w:pPr>
        <w:rPr>
          <w:rFonts w:ascii="黑体" w:hAnsi="黑体" w:eastAsia="黑体" w:cs="黑体"/>
          <w:color w:val="000000" w:themeColor="text1"/>
          <w:sz w:val="32"/>
          <w:szCs w:val="32"/>
          <w:lang w:eastAsia="zh-CN"/>
          <w14:textFill>
            <w14:solidFill>
              <w14:schemeClr w14:val="tx1"/>
            </w14:solidFill>
          </w14:textFill>
        </w:rPr>
      </w:pPr>
    </w:p>
    <w:p w14:paraId="10392D25">
      <w:pPr>
        <w:spacing w:before="8"/>
        <w:rPr>
          <w:rFonts w:ascii="黑体" w:hAnsi="黑体" w:eastAsia="黑体" w:cs="黑体"/>
          <w:color w:val="000000" w:themeColor="text1"/>
          <w:sz w:val="24"/>
          <w:szCs w:val="24"/>
          <w:lang w:eastAsia="zh-CN"/>
          <w14:textFill>
            <w14:solidFill>
              <w14:schemeClr w14:val="tx1"/>
            </w14:solidFill>
          </w14:textFill>
        </w:rPr>
      </w:pPr>
    </w:p>
    <w:p w14:paraId="3BB8D079">
      <w:pPr>
        <w:ind w:right="1"/>
        <w:jc w:val="center"/>
        <w:rPr>
          <w:rFonts w:ascii="黑体" w:hAnsi="黑体" w:eastAsia="黑体" w:cs="黑体"/>
          <w:color w:val="000000" w:themeColor="text1"/>
          <w:sz w:val="72"/>
          <w:szCs w:val="72"/>
          <w:lang w:eastAsia="zh-CN"/>
          <w14:textFill>
            <w14:solidFill>
              <w14:schemeClr w14:val="tx1"/>
            </w14:solidFill>
          </w14:textFill>
        </w:rPr>
      </w:pPr>
      <w:r>
        <w:rPr>
          <w:rFonts w:ascii="黑体" w:hAnsi="黑体" w:eastAsia="黑体" w:cs="黑体"/>
          <w:color w:val="000000" w:themeColor="text1"/>
          <w:sz w:val="72"/>
          <w:szCs w:val="72"/>
          <w:lang w:eastAsia="zh-CN"/>
          <w14:textFill>
            <w14:solidFill>
              <w14:schemeClr w14:val="tx1"/>
            </w14:solidFill>
          </w14:textFill>
        </w:rPr>
        <w:t>响应文件</w:t>
      </w:r>
    </w:p>
    <w:p w14:paraId="3452DB42">
      <w:pPr>
        <w:rPr>
          <w:rFonts w:ascii="黑体" w:hAnsi="黑体" w:eastAsia="黑体" w:cs="黑体"/>
          <w:color w:val="000000" w:themeColor="text1"/>
          <w:sz w:val="72"/>
          <w:szCs w:val="72"/>
          <w:lang w:eastAsia="zh-CN"/>
          <w14:textFill>
            <w14:solidFill>
              <w14:schemeClr w14:val="tx1"/>
            </w14:solidFill>
          </w14:textFill>
        </w:rPr>
      </w:pPr>
    </w:p>
    <w:p w14:paraId="1117F9D4">
      <w:pPr>
        <w:rPr>
          <w:rFonts w:ascii="黑体" w:hAnsi="黑体" w:eastAsia="黑体" w:cs="黑体"/>
          <w:color w:val="000000" w:themeColor="text1"/>
          <w:sz w:val="72"/>
          <w:szCs w:val="72"/>
          <w:lang w:eastAsia="zh-CN"/>
          <w14:textFill>
            <w14:solidFill>
              <w14:schemeClr w14:val="tx1"/>
            </w14:solidFill>
          </w14:textFill>
        </w:rPr>
      </w:pPr>
    </w:p>
    <w:p w14:paraId="3CE157D8">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项目编号</w:t>
      </w:r>
      <w:r>
        <w:rPr>
          <w:rFonts w:ascii="黑体" w:hAnsi="黑体" w:eastAsia="黑体" w:cs="黑体"/>
          <w:color w:val="000000" w:themeColor="text1"/>
          <w:sz w:val="32"/>
          <w:szCs w:val="32"/>
          <w:lang w:eastAsia="zh-CN"/>
          <w14:textFill>
            <w14:solidFill>
              <w14:schemeClr w14:val="tx1"/>
            </w14:solidFill>
          </w14:textFill>
        </w:rPr>
        <w:t>：</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1A6D6C80">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供 应 商：</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（单位公章） 联 系</w:t>
      </w:r>
      <w:r>
        <w:rPr>
          <w:rFonts w:ascii="黑体" w:hAnsi="黑体" w:eastAsia="黑体" w:cs="黑体"/>
          <w:color w:val="000000" w:themeColor="text1"/>
          <w:spacing w:val="-1"/>
          <w:sz w:val="32"/>
          <w:szCs w:val="32"/>
          <w:lang w:eastAsia="zh-CN"/>
          <w14:textFill>
            <w14:solidFill>
              <w14:schemeClr w14:val="tx1"/>
            </w14:solidFill>
          </w14:textFill>
        </w:rPr>
        <w:t xml:space="preserve"> </w:t>
      </w:r>
      <w:r>
        <w:rPr>
          <w:rFonts w:ascii="黑体" w:hAnsi="黑体" w:eastAsia="黑体" w:cs="黑体"/>
          <w:color w:val="000000" w:themeColor="text1"/>
          <w:sz w:val="32"/>
          <w:szCs w:val="32"/>
          <w:lang w:eastAsia="zh-CN"/>
          <w14:textFill>
            <w14:solidFill>
              <w14:schemeClr w14:val="tx1"/>
            </w14:solidFill>
          </w14:textFill>
        </w:rPr>
        <w:t>人：</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4A33C5EE">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联系方式：</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785C00C7">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单位地址：</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p>
    <w:p w14:paraId="7908355B">
      <w:pPr>
        <w:tabs>
          <w:tab w:val="left" w:pos="847"/>
          <w:tab w:val="left" w:pos="1648"/>
          <w:tab w:val="left" w:pos="2448"/>
        </w:tabs>
        <w:spacing w:before="46"/>
        <w:ind w:left="47"/>
        <w:jc w:val="center"/>
        <w:rPr>
          <w:rFonts w:ascii="黑体" w:hAnsi="黑体" w:eastAsia="黑体" w:cs="黑体"/>
          <w:color w:val="000000" w:themeColor="text1"/>
          <w:sz w:val="32"/>
          <w:szCs w:val="32"/>
          <w:lang w:eastAsia="zh-CN"/>
          <w14:textFill>
            <w14:solidFill>
              <w14:schemeClr w14:val="tx1"/>
            </w14:solidFill>
          </w14:textFill>
        </w:rPr>
      </w:pP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pacing w:val="2"/>
          <w:sz w:val="32"/>
          <w:szCs w:val="32"/>
          <w:lang w:eastAsia="zh-CN"/>
          <w14:textFill>
            <w14:solidFill>
              <w14:schemeClr w14:val="tx1"/>
            </w14:solidFill>
          </w14:textFill>
        </w:rPr>
        <w:t>年</w:t>
      </w:r>
      <w:r>
        <w:rPr>
          <w:rFonts w:eastAsia="Times New Roman"/>
          <w:color w:val="000000" w:themeColor="text1"/>
          <w:spacing w:val="2"/>
          <w:sz w:val="32"/>
          <w:szCs w:val="32"/>
          <w:u w:val="single"/>
          <w:lang w:eastAsia="zh-CN"/>
          <w14:textFill>
            <w14:solidFill>
              <w14:schemeClr w14:val="tx1"/>
            </w14:solidFill>
          </w14:textFill>
        </w:rPr>
        <w:tab/>
      </w:r>
      <w:r>
        <w:rPr>
          <w:rFonts w:ascii="黑体" w:hAnsi="黑体" w:eastAsia="黑体" w:cs="黑体"/>
          <w:color w:val="000000" w:themeColor="text1"/>
          <w:spacing w:val="-1"/>
          <w:sz w:val="32"/>
          <w:szCs w:val="32"/>
          <w:lang w:eastAsia="zh-CN"/>
          <w14:textFill>
            <w14:solidFill>
              <w14:schemeClr w14:val="tx1"/>
            </w14:solidFill>
          </w14:textFill>
        </w:rPr>
        <w:t>月</w:t>
      </w:r>
      <w:r>
        <w:rPr>
          <w:rFonts w:eastAsia="Times New Roman"/>
          <w:color w:val="000000" w:themeColor="text1"/>
          <w:spacing w:val="-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日</w:t>
      </w:r>
    </w:p>
    <w:p w14:paraId="7EC2C7D4">
      <w:pPr>
        <w:pStyle w:val="71"/>
        <w:rPr>
          <w:rFonts w:eastAsiaTheme="minorEastAsia"/>
          <w:color w:val="000000" w:themeColor="text1"/>
          <w:lang w:eastAsia="zh-CN"/>
          <w14:textFill>
            <w14:solidFill>
              <w14:schemeClr w14:val="tx1"/>
            </w14:solidFill>
          </w14:textFill>
        </w:rPr>
      </w:pPr>
    </w:p>
    <w:p w14:paraId="7B0088AC">
      <w:pPr>
        <w:rPr>
          <w:rFonts w:ascii="黑体" w:hAnsi="黑体" w:eastAsia="黑体" w:cs="黑体"/>
          <w:color w:val="000000" w:themeColor="text1"/>
          <w:sz w:val="32"/>
          <w:szCs w:val="32"/>
          <w:lang w:eastAsia="zh-CN"/>
          <w14:textFill>
            <w14:solidFill>
              <w14:schemeClr w14:val="tx1"/>
            </w14:solidFill>
          </w14:textFill>
        </w:rPr>
        <w:sectPr>
          <w:pgSz w:w="11910" w:h="16840"/>
          <w:pgMar w:top="1083" w:right="1123" w:bottom="918" w:left="1298" w:header="879" w:footer="726" w:gutter="0"/>
          <w:cols w:space="1701" w:num="1"/>
          <w:docGrid w:linePitch="360" w:charSpace="0"/>
        </w:sectPr>
      </w:pPr>
    </w:p>
    <w:p w14:paraId="22BEFF50">
      <w:pPr>
        <w:outlineLvl w:val="1"/>
        <w:rPr>
          <w:rFonts w:ascii="宋体" w:hAnsi="宋体"/>
          <w:b/>
          <w:color w:val="000000" w:themeColor="text1"/>
          <w:sz w:val="24"/>
          <w:szCs w:val="21"/>
          <w:lang w:eastAsia="zh-CN"/>
          <w14:textFill>
            <w14:solidFill>
              <w14:schemeClr w14:val="tx1"/>
            </w14:solidFill>
          </w14:textFill>
        </w:rPr>
      </w:pPr>
      <w:bookmarkStart w:id="693" w:name="_Toc11056"/>
      <w:bookmarkStart w:id="694" w:name="_Toc175663950"/>
      <w:bookmarkStart w:id="695" w:name="_Toc22659"/>
      <w:r>
        <w:rPr>
          <w:rFonts w:hint="eastAsia" w:ascii="宋体" w:hAnsi="宋体"/>
          <w:b/>
          <w:color w:val="000000" w:themeColor="text1"/>
          <w:sz w:val="24"/>
          <w:szCs w:val="21"/>
          <w:lang w:eastAsia="zh-CN"/>
          <w14:textFill>
            <w14:solidFill>
              <w14:schemeClr w14:val="tx1"/>
            </w14:solidFill>
          </w14:textFill>
        </w:rPr>
        <w:t>一、磋商申请及声明</w:t>
      </w:r>
      <w:bookmarkEnd w:id="693"/>
      <w:bookmarkEnd w:id="694"/>
      <w:bookmarkEnd w:id="695"/>
    </w:p>
    <w:p w14:paraId="756FD7FE">
      <w:pPr>
        <w:jc w:val="center"/>
        <w:rPr>
          <w:rFonts w:ascii="宋体" w:hAnsi="宋体" w:cs="宋体"/>
          <w:b/>
          <w:color w:val="000000" w:themeColor="text1"/>
          <w:sz w:val="52"/>
          <w:szCs w:val="44"/>
          <w:lang w:val="zh-CN" w:eastAsia="zh-CN"/>
          <w14:textFill>
            <w14:solidFill>
              <w14:schemeClr w14:val="tx1"/>
            </w14:solidFill>
          </w14:textFill>
        </w:rPr>
      </w:pPr>
      <w:r>
        <w:rPr>
          <w:rFonts w:hint="eastAsia" w:ascii="宋体" w:hAnsi="宋体" w:cs="宋体"/>
          <w:b/>
          <w:color w:val="000000" w:themeColor="text1"/>
          <w:sz w:val="52"/>
          <w:szCs w:val="44"/>
          <w:lang w:val="zh-CN" w:eastAsia="zh-CN"/>
          <w14:textFill>
            <w14:solidFill>
              <w14:schemeClr w14:val="tx1"/>
            </w14:solidFill>
          </w14:textFill>
        </w:rPr>
        <w:t>磋商申请及声明</w:t>
      </w:r>
    </w:p>
    <w:p w14:paraId="4142A6E7">
      <w:pPr>
        <w:spacing w:line="360" w:lineRule="exact"/>
        <w:ind w:firstLine="420"/>
        <w:rPr>
          <w:rFonts w:ascii="宋体"/>
          <w:color w:val="000000" w:themeColor="text1"/>
          <w:sz w:val="24"/>
          <w:szCs w:val="21"/>
          <w:lang w:val="zh-CN"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致：</w:t>
      </w:r>
      <w:r>
        <w:rPr>
          <w:rFonts w:hint="eastAsia" w:ascii="宋体" w:hAnsi="宋体" w:eastAsia="宋体" w:cs="宋体"/>
          <w:color w:val="000000" w:themeColor="text1"/>
          <w:sz w:val="24"/>
          <w:szCs w:val="21"/>
          <w:lang w:eastAsia="zh-CN"/>
          <w14:textFill>
            <w14:solidFill>
              <w14:schemeClr w14:val="tx1"/>
            </w14:solidFill>
          </w14:textFill>
        </w:rPr>
        <w:t>南京市秦淮区人民政府办公室</w:t>
      </w:r>
      <w:r>
        <w:rPr>
          <w:rFonts w:hint="eastAsia" w:ascii="宋体"/>
          <w:color w:val="000000" w:themeColor="text1"/>
          <w:sz w:val="24"/>
          <w:szCs w:val="21"/>
          <w:lang w:val="zh-CN" w:eastAsia="zh-CN"/>
          <w14:textFill>
            <w14:solidFill>
              <w14:schemeClr w14:val="tx1"/>
            </w14:solidFill>
          </w14:textFill>
        </w:rPr>
        <w:t>根据贵方</w:t>
      </w:r>
      <w:r>
        <w:rPr>
          <w:rFonts w:hint="eastAsia" w:ascii="宋体" w:eastAsiaTheme="minorEastAsia"/>
          <w:color w:val="000000" w:themeColor="text1"/>
          <w:sz w:val="24"/>
          <w:szCs w:val="21"/>
          <w:u w:val="single"/>
          <w:lang w:val="zh-CN" w:eastAsia="zh-CN"/>
          <w14:textFill>
            <w14:solidFill>
              <w14:schemeClr w14:val="tx1"/>
            </w14:solidFill>
          </w14:textFill>
        </w:rPr>
        <w:t xml:space="preserve">    </w:t>
      </w:r>
      <w:r>
        <w:rPr>
          <w:rFonts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号采购文件，正式授权下述签字人</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(姓名和职务)代表</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（供应商名称），提交响应文件并参加磋商。</w:t>
      </w:r>
    </w:p>
    <w:p w14:paraId="50643E9A">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据此函，签字人兹宣布同意如下：</w:t>
      </w:r>
    </w:p>
    <w:p w14:paraId="5E7DEF51">
      <w:pPr>
        <w:numPr>
          <w:ilvl w:val="0"/>
          <w:numId w:val="0"/>
        </w:numPr>
        <w:spacing w:line="40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eastAsia="Calibri" w:cs="Times New Roman"/>
          <w:color w:val="000000" w:themeColor="text1"/>
          <w:sz w:val="24"/>
          <w:szCs w:val="21"/>
          <w:lang w:val="en-US" w:eastAsia="zh-CN" w:bidi="ar-SA"/>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按磋商需求的磋商报价为：</w:t>
      </w:r>
      <w:r>
        <w:rPr>
          <w:rFonts w:hint="eastAsia" w:ascii="宋体" w:hAnsi="宋体"/>
          <w:color w:val="000000" w:themeColor="text1"/>
          <w:sz w:val="24"/>
          <w:szCs w:val="21"/>
          <w:lang w:val="en-US" w:eastAsia="zh-CN"/>
          <w14:textFill>
            <w14:solidFill>
              <w14:schemeClr w14:val="tx1"/>
            </w14:solidFill>
          </w14:textFill>
        </w:rPr>
        <w:t>分包一：</w:t>
      </w:r>
      <w:r>
        <w:rPr>
          <w:rFonts w:hint="eastAsia" w:ascii="宋体" w:hAnsi="宋体"/>
          <w:color w:val="000000" w:themeColor="text1"/>
          <w:sz w:val="24"/>
          <w:szCs w:val="21"/>
          <w:u w:val="single"/>
          <w:lang w:eastAsia="zh-CN"/>
          <w14:textFill>
            <w14:solidFill>
              <w14:schemeClr w14:val="tx1"/>
            </w14:solidFill>
          </w14:textFill>
        </w:rPr>
        <w:t>¥       （大写：      ）</w:t>
      </w:r>
      <w:r>
        <w:rPr>
          <w:rFonts w:hint="eastAsia" w:ascii="宋体" w:hAnsi="宋体"/>
          <w:color w:val="000000" w:themeColor="text1"/>
          <w:sz w:val="24"/>
          <w:szCs w:val="21"/>
          <w:u w:val="none"/>
          <w:lang w:eastAsia="zh-CN"/>
          <w14:textFill>
            <w14:solidFill>
              <w14:schemeClr w14:val="tx1"/>
            </w14:solidFill>
          </w14:textFill>
        </w:rPr>
        <w:t>，</w:t>
      </w:r>
      <w:r>
        <w:rPr>
          <w:rFonts w:hint="eastAsia" w:ascii="宋体" w:hAnsi="宋体"/>
          <w:color w:val="000000" w:themeColor="text1"/>
          <w:sz w:val="24"/>
          <w:szCs w:val="21"/>
          <w:u w:val="single"/>
          <w:lang w:val="en-US" w:eastAsia="zh-CN"/>
          <w14:textFill>
            <w14:solidFill>
              <w14:schemeClr w14:val="tx1"/>
            </w14:solidFill>
          </w14:textFill>
        </w:rPr>
        <w:t>分包二：¥       （大写：      ）</w:t>
      </w:r>
      <w:r>
        <w:rPr>
          <w:rFonts w:hint="eastAsia" w:ascii="宋体" w:hAnsi="宋体"/>
          <w:color w:val="000000" w:themeColor="text1"/>
          <w:sz w:val="24"/>
          <w:szCs w:val="21"/>
          <w:lang w:eastAsia="zh-CN"/>
          <w14:textFill>
            <w14:solidFill>
              <w14:schemeClr w14:val="tx1"/>
            </w14:solidFill>
          </w14:textFill>
        </w:rPr>
        <w:t>。</w:t>
      </w:r>
    </w:p>
    <w:p w14:paraId="067770C5">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我们完全理解贵方不一定要接受最低报价的磋商或收到的任何磋商。</w:t>
      </w:r>
    </w:p>
    <w:p w14:paraId="2E35990C">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我们已详细审核全部磋商文件及其有效补充文件，我们知道必须放弃提出含糊不清或误解的问题的权利。</w:t>
      </w:r>
    </w:p>
    <w:p w14:paraId="7C862BA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我们同意从规定的磋商日期起遵循本磋商文件，并在规定的磋商有效期期满之前均具有约束力。</w:t>
      </w:r>
    </w:p>
    <w:p w14:paraId="0EFC456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5</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同意向贵方提供贵方可能要求的与磋商有关的任何证据或资料。</w:t>
      </w:r>
    </w:p>
    <w:p w14:paraId="2FC59159">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6</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一旦我方成交，我方将根据磋商文件的规定，严格履行合同，并保证于承诺的时间完成货物的启动、调试等服务，交付采购人验收、使用。</w:t>
      </w:r>
    </w:p>
    <w:p w14:paraId="1DBF7068">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7</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我方将严格遵守《中华人民共和国政府采购法》第七十七条规定，若有下列情形之一的，将被处以采购金额</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‰以上</w:t>
      </w:r>
      <w:r>
        <w:rPr>
          <w:rFonts w:ascii="宋体" w:hAnsi="宋体"/>
          <w:color w:val="000000" w:themeColor="text1"/>
          <w:sz w:val="24"/>
          <w:szCs w:val="21"/>
          <w:lang w:eastAsia="zh-CN"/>
          <w14:textFill>
            <w14:solidFill>
              <w14:schemeClr w14:val="tx1"/>
            </w14:solidFill>
          </w14:textFill>
        </w:rPr>
        <w:t>10</w:t>
      </w:r>
      <w:r>
        <w:rPr>
          <w:rFonts w:hint="eastAsia" w:ascii="宋体" w:hAnsi="宋体"/>
          <w:color w:val="000000" w:themeColor="text1"/>
          <w:sz w:val="24"/>
          <w:szCs w:val="21"/>
          <w:lang w:eastAsia="zh-CN"/>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14:paraId="1C0B0155">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）提供虚假材料谋取中标、成交的；</w:t>
      </w:r>
    </w:p>
    <w:p w14:paraId="5E2A9BCB">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）采取不正当手段诋毁、排挤其他供应商的；</w:t>
      </w:r>
    </w:p>
    <w:p w14:paraId="33ED7DC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）与采购人、其他供应商或者采购代理机构恶意串通的；</w:t>
      </w:r>
    </w:p>
    <w:p w14:paraId="1B6C6C90">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）向采购人、采购代理机构行贿或者提供其他不正当利益的；</w:t>
      </w:r>
    </w:p>
    <w:p w14:paraId="4CF2EE1C">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）在采购过程中与采购人进行协商磋商的；</w:t>
      </w:r>
    </w:p>
    <w:p w14:paraId="0B0C0406">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6</w:t>
      </w:r>
      <w:r>
        <w:rPr>
          <w:rFonts w:hint="eastAsia" w:ascii="宋体" w:hAnsi="宋体"/>
          <w:color w:val="000000" w:themeColor="text1"/>
          <w:sz w:val="24"/>
          <w:szCs w:val="21"/>
          <w:lang w:eastAsia="zh-CN"/>
          <w14:textFill>
            <w14:solidFill>
              <w14:schemeClr w14:val="tx1"/>
            </w14:solidFill>
          </w14:textFill>
        </w:rPr>
        <w:t>）拒绝有关部门监督检查或提供虚假情况的。</w:t>
      </w:r>
    </w:p>
    <w:p w14:paraId="14FE990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8</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与本磋商有关的正式通讯地址为：</w:t>
      </w:r>
    </w:p>
    <w:p w14:paraId="1008909B">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供应商名称（盖章）：</w:t>
      </w:r>
    </w:p>
    <w:p w14:paraId="73F0771D">
      <w:pPr>
        <w:spacing w:line="400" w:lineRule="exact"/>
        <w:ind w:firstLine="720" w:firstLineChars="300"/>
        <w:rPr>
          <w:rFonts w:asci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地址：</w:t>
      </w:r>
    </w:p>
    <w:p w14:paraId="564A98EA">
      <w:pPr>
        <w:spacing w:line="400" w:lineRule="exact"/>
        <w:ind w:firstLine="720" w:firstLineChars="300"/>
        <w:rPr>
          <w:rFonts w:ascii="宋体" w:hAnsi="宋体"/>
          <w:color w:val="000000" w:themeColor="text1"/>
          <w:sz w:val="24"/>
          <w:u w:val="single"/>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联系电话：</w:t>
      </w:r>
    </w:p>
    <w:p w14:paraId="269BCDAE">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w:t>
      </w:r>
      <w:r>
        <w:rPr>
          <w:rFonts w:hint="eastAsia" w:asciiTheme="minorEastAsia" w:hAnsiTheme="minorEastAsia" w:eastAsiaTheme="minorEastAsia"/>
          <w:color w:val="000000" w:themeColor="text1"/>
          <w:sz w:val="24"/>
          <w:lang w:eastAsia="zh-CN"/>
          <w14:textFill>
            <w14:solidFill>
              <w14:schemeClr w14:val="tx1"/>
            </w14:solidFill>
          </w14:textFill>
        </w:rPr>
        <w:t>法定</w:t>
      </w:r>
      <w:r>
        <w:rPr>
          <w:rFonts w:hint="eastAsia" w:ascii="宋体" w:hAnsi="宋体"/>
          <w:color w:val="000000" w:themeColor="text1"/>
          <w:sz w:val="24"/>
          <w:lang w:eastAsia="zh-CN"/>
          <w14:textFill>
            <w14:solidFill>
              <w14:schemeClr w14:val="tx1"/>
            </w14:solidFill>
          </w14:textFill>
        </w:rPr>
        <w:t>代表人（签字或盖章）：</w:t>
      </w:r>
    </w:p>
    <w:p w14:paraId="063865F0">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日期：   年   月   日</w:t>
      </w:r>
    </w:p>
    <w:p w14:paraId="654DEF99">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5584E03A">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061FA6B4">
      <w:pPr>
        <w:pStyle w:val="71"/>
        <w:rPr>
          <w:rFonts w:eastAsiaTheme="minorEastAsia"/>
          <w:color w:val="000000" w:themeColor="text1"/>
          <w:lang w:eastAsia="zh-CN"/>
          <w14:textFill>
            <w14:solidFill>
              <w14:schemeClr w14:val="tx1"/>
            </w14:solidFill>
          </w14:textFill>
        </w:rPr>
      </w:pPr>
      <w:bookmarkStart w:id="696" w:name="_Hlt460314944"/>
      <w:bookmarkEnd w:id="696"/>
      <w:bookmarkStart w:id="697" w:name="_Toc10181"/>
      <w:bookmarkStart w:id="698" w:name="_Toc26050"/>
    </w:p>
    <w:p w14:paraId="77CF1B87">
      <w:pPr>
        <w:pStyle w:val="71"/>
        <w:rPr>
          <w:rFonts w:eastAsiaTheme="minorEastAsia"/>
          <w:color w:val="000000" w:themeColor="text1"/>
          <w:lang w:eastAsia="zh-CN"/>
          <w14:textFill>
            <w14:solidFill>
              <w14:schemeClr w14:val="tx1"/>
            </w14:solidFill>
          </w14:textFill>
        </w:rPr>
      </w:pPr>
    </w:p>
    <w:p w14:paraId="41D0E793">
      <w:pPr>
        <w:outlineLvl w:val="1"/>
        <w:rPr>
          <w:rFonts w:ascii="宋体" w:hAnsi="宋体"/>
          <w:b/>
          <w:color w:val="000000" w:themeColor="text1"/>
          <w:sz w:val="24"/>
          <w:szCs w:val="21"/>
          <w:lang w:eastAsia="zh-CN"/>
          <w14:textFill>
            <w14:solidFill>
              <w14:schemeClr w14:val="tx1"/>
            </w14:solidFill>
          </w14:textFill>
        </w:rPr>
      </w:pPr>
      <w:bookmarkStart w:id="699" w:name="_Toc175663951"/>
      <w:r>
        <w:rPr>
          <w:rFonts w:hint="eastAsia" w:ascii="宋体" w:hAnsi="宋体"/>
          <w:b/>
          <w:color w:val="000000" w:themeColor="text1"/>
          <w:sz w:val="24"/>
          <w:szCs w:val="21"/>
          <w:lang w:eastAsia="zh-CN"/>
          <w14:textFill>
            <w14:solidFill>
              <w14:schemeClr w14:val="tx1"/>
            </w14:solidFill>
          </w14:textFill>
        </w:rPr>
        <w:t>二、法定代表人授权委托书</w:t>
      </w:r>
      <w:bookmarkEnd w:id="697"/>
      <w:bookmarkEnd w:id="698"/>
      <w:bookmarkEnd w:id="699"/>
    </w:p>
    <w:p w14:paraId="6F22EE23">
      <w:pPr>
        <w:ind w:firstLine="803" w:firstLineChars="200"/>
        <w:jc w:val="center"/>
        <w:rPr>
          <w:rFonts w:ascii="宋体" w:hAnsi="宋体"/>
          <w:b/>
          <w:bCs/>
          <w:color w:val="000000" w:themeColor="text1"/>
          <w:sz w:val="24"/>
          <w:lang w:eastAsia="zh-CN"/>
          <w14:textFill>
            <w14:solidFill>
              <w14:schemeClr w14:val="tx1"/>
            </w14:solidFill>
          </w14:textFill>
        </w:rPr>
      </w:pPr>
      <w:r>
        <w:rPr>
          <w:rFonts w:hint="eastAsia" w:ascii="黑体" w:hAnsi="宋体" w:eastAsia="黑体"/>
          <w:b/>
          <w:bCs/>
          <w:color w:val="000000" w:themeColor="text1"/>
          <w:sz w:val="40"/>
          <w:szCs w:val="44"/>
          <w:lang w:eastAsia="zh-CN"/>
          <w14:textFill>
            <w14:solidFill>
              <w14:schemeClr w14:val="tx1"/>
            </w14:solidFill>
          </w14:textFill>
        </w:rPr>
        <w:t>法定代表人授权委托书</w:t>
      </w:r>
    </w:p>
    <w:p w14:paraId="7A8357F4">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w:t>
      </w:r>
      <w:r>
        <w:rPr>
          <w:rFonts w:hint="eastAsia" w:ascii="宋体" w:hAnsi="宋体" w:eastAsia="宋体" w:cs="宋体"/>
          <w:color w:val="000000" w:themeColor="text1"/>
          <w:sz w:val="24"/>
          <w:szCs w:val="21"/>
          <w:lang w:val="en-US" w:eastAsia="zh-CN"/>
          <w14:textFill>
            <w14:solidFill>
              <w14:schemeClr w14:val="tx1"/>
            </w14:solidFill>
          </w14:textFill>
        </w:rPr>
        <w:t xml:space="preserve"> </w:t>
      </w:r>
      <w:r>
        <w:rPr>
          <w:rFonts w:hint="eastAsia" w:ascii="宋体" w:hAnsi="宋体" w:eastAsia="宋体" w:cs="宋体"/>
          <w:color w:val="000000" w:themeColor="text1"/>
          <w:sz w:val="24"/>
          <w:szCs w:val="21"/>
          <w:u w:val="single"/>
          <w:lang w:val="en-US" w:eastAsia="zh-CN"/>
          <w14:textFill>
            <w14:solidFill>
              <w14:schemeClr w14:val="tx1"/>
            </w14:solidFill>
          </w14:textFill>
        </w:rPr>
        <w:t xml:space="preserve">    （采购人）          </w:t>
      </w:r>
      <w:r>
        <w:rPr>
          <w:rFonts w:hint="eastAsia" w:ascii="宋体" w:hAnsi="宋体"/>
          <w:color w:val="000000" w:themeColor="text1"/>
          <w:sz w:val="24"/>
          <w:szCs w:val="21"/>
          <w:lang w:eastAsia="zh-CN"/>
          <w14:textFill>
            <w14:solidFill>
              <w14:schemeClr w14:val="tx1"/>
            </w14:solidFill>
          </w14:textFill>
        </w:rPr>
        <w:t xml:space="preserve"> ：</w:t>
      </w:r>
    </w:p>
    <w:p w14:paraId="7CC1A6DB">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本授权书声明：注册于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（供应商注册地址）的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（供应商名称）法定代表人</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（法定代表人姓名、职务）代表本公司授权在下面签字的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（授权代表姓名、职务）为本公司的合法代理人，就贵方组织的项目编号：</w:t>
      </w:r>
      <w:r>
        <w:rPr>
          <w:rFonts w:hint="eastAsia" w:ascii="宋体" w:hAnsi="宋体" w:eastAsiaTheme="minorEastAsia"/>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u w:val="single"/>
          <w:lang w:eastAsia="zh-CN"/>
          <w14:textFill>
            <w14:solidFill>
              <w14:schemeClr w14:val="tx1"/>
            </w14:solidFill>
          </w14:textFill>
        </w:rPr>
        <w:t>号</w:t>
      </w: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，以本公司名义处理一切与之有关的事务。</w:t>
      </w:r>
    </w:p>
    <w:p w14:paraId="41A87B20">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本授权书于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年</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月</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日签字生效，特此声明。</w:t>
      </w:r>
    </w:p>
    <w:p w14:paraId="5BDECE11">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附：</w:t>
      </w:r>
      <w:r>
        <w:rPr>
          <w:rFonts w:hint="eastAsia" w:ascii="宋体" w:hAnsi="宋体"/>
          <w:b/>
          <w:color w:val="000000" w:themeColor="text1"/>
          <w:sz w:val="24"/>
          <w:szCs w:val="21"/>
          <w:lang w:eastAsia="zh-CN"/>
          <w14:textFill>
            <w14:solidFill>
              <w14:schemeClr w14:val="tx1"/>
            </w14:solidFill>
          </w14:textFill>
        </w:rPr>
        <w:t>法人</w:t>
      </w:r>
      <w:r>
        <w:rPr>
          <w:rFonts w:hint="eastAsia" w:ascii="宋体" w:hAnsi="宋体"/>
          <w:color w:val="000000" w:themeColor="text1"/>
          <w:sz w:val="24"/>
          <w:szCs w:val="21"/>
          <w:lang w:eastAsia="zh-CN"/>
          <w14:textFill>
            <w14:solidFill>
              <w14:schemeClr w14:val="tx1"/>
            </w14:solidFill>
          </w14:textFill>
        </w:rPr>
        <w:t>及授</w:t>
      </w:r>
      <w:r>
        <w:rPr>
          <w:rFonts w:hint="eastAsia" w:ascii="宋体" w:hAnsi="宋体"/>
          <w:b/>
          <w:color w:val="000000" w:themeColor="text1"/>
          <w:sz w:val="24"/>
          <w:szCs w:val="21"/>
          <w:lang w:eastAsia="zh-CN"/>
          <w14:textFill>
            <w14:solidFill>
              <w14:schemeClr w14:val="tx1"/>
            </w14:solidFill>
          </w14:textFill>
        </w:rPr>
        <w:t>权委托人</w:t>
      </w:r>
      <w:r>
        <w:rPr>
          <w:rFonts w:hint="eastAsia" w:ascii="宋体" w:hAnsi="宋体"/>
          <w:color w:val="000000" w:themeColor="text1"/>
          <w:sz w:val="24"/>
          <w:szCs w:val="21"/>
          <w:lang w:eastAsia="zh-CN"/>
          <w14:textFill>
            <w14:solidFill>
              <w14:schemeClr w14:val="tx1"/>
            </w14:solidFill>
          </w14:textFill>
        </w:rPr>
        <w:t>身份证加盖公章。</w:t>
      </w:r>
    </w:p>
    <w:p w14:paraId="6F8FA2D6">
      <w:pPr>
        <w:spacing w:line="500" w:lineRule="exact"/>
        <w:ind w:firstLine="420"/>
        <w:rPr>
          <w:rFonts w:ascii="宋体" w:hAnsi="宋体"/>
          <w:color w:val="000000" w:themeColor="text1"/>
          <w:sz w:val="24"/>
          <w:szCs w:val="21"/>
          <w:lang w:eastAsia="zh-CN"/>
          <w14:textFill>
            <w14:solidFill>
              <w14:schemeClr w14:val="tx1"/>
            </w14:solidFill>
          </w14:textFill>
        </w:rPr>
      </w:pPr>
    </w:p>
    <w:p w14:paraId="6EDC2A37">
      <w:pPr>
        <w:spacing w:line="500" w:lineRule="exact"/>
        <w:ind w:firstLine="420"/>
        <w:rPr>
          <w:rFonts w:ascii="宋体" w:hAnsi="宋体"/>
          <w:color w:val="000000" w:themeColor="text1"/>
          <w:sz w:val="24"/>
          <w:szCs w:val="21"/>
          <w:lang w:eastAsia="zh-CN"/>
          <w14:textFill>
            <w14:solidFill>
              <w14:schemeClr w14:val="tx1"/>
            </w14:solidFill>
          </w14:textFill>
        </w:rPr>
      </w:pPr>
    </w:p>
    <w:p w14:paraId="30CBE286">
      <w:pPr>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264F2D9F">
      <w:pPr>
        <w:tabs>
          <w:tab w:val="left" w:pos="1440"/>
        </w:tabs>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0A58B0AB">
      <w:pPr>
        <w:rPr>
          <w:rFonts w:ascii="宋体" w:hAnsi="宋体"/>
          <w:color w:val="000000" w:themeColor="text1"/>
          <w:sz w:val="24"/>
          <w:lang w:eastAsia="zh-CN"/>
          <w14:textFill>
            <w14:solidFill>
              <w14:schemeClr w14:val="tx1"/>
            </w14:solidFill>
          </w14:textFill>
        </w:rPr>
      </w:pPr>
    </w:p>
    <w:p w14:paraId="2AA12FC2">
      <w:pPr>
        <w:rPr>
          <w:rFonts w:ascii="宋体" w:hAnsi="宋体"/>
          <w:color w:val="000000" w:themeColor="text1"/>
          <w:sz w:val="24"/>
          <w:lang w:eastAsia="zh-CN"/>
          <w14:textFill>
            <w14:solidFill>
              <w14:schemeClr w14:val="tx1"/>
            </w14:solidFill>
          </w14:textFill>
        </w:rPr>
      </w:pPr>
    </w:p>
    <w:p w14:paraId="77A72712">
      <w:pPr>
        <w:rPr>
          <w:rFonts w:ascii="宋体" w:hAnsi="宋体"/>
          <w:color w:val="000000" w:themeColor="text1"/>
          <w:sz w:val="24"/>
          <w:lang w:eastAsia="zh-CN"/>
          <w14:textFill>
            <w14:solidFill>
              <w14:schemeClr w14:val="tx1"/>
            </w14:solidFill>
          </w14:textFill>
        </w:rPr>
      </w:pPr>
    </w:p>
    <w:p w14:paraId="70DB737A">
      <w:pPr>
        <w:rPr>
          <w:rFonts w:ascii="宋体" w:hAnsi="宋体"/>
          <w:color w:val="000000" w:themeColor="text1"/>
          <w:sz w:val="24"/>
          <w:lang w:eastAsia="zh-CN"/>
          <w14:textFill>
            <w14:solidFill>
              <w14:schemeClr w14:val="tx1"/>
            </w14:solidFill>
          </w14:textFill>
        </w:rPr>
      </w:pPr>
    </w:p>
    <w:p w14:paraId="202A4CC8">
      <w:pPr>
        <w:rPr>
          <w:rFonts w:ascii="宋体" w:hAnsi="宋体"/>
          <w:color w:val="000000" w:themeColor="text1"/>
          <w:sz w:val="24"/>
          <w:lang w:eastAsia="zh-CN"/>
          <w14:textFill>
            <w14:solidFill>
              <w14:schemeClr w14:val="tx1"/>
            </w14:solidFill>
          </w14:textFill>
        </w:rPr>
      </w:pPr>
    </w:p>
    <w:p w14:paraId="6EA1581A">
      <w:pPr>
        <w:rPr>
          <w:rFonts w:ascii="宋体" w:hAnsi="宋体"/>
          <w:color w:val="000000" w:themeColor="text1"/>
          <w:sz w:val="24"/>
          <w:lang w:eastAsia="zh-CN"/>
          <w14:textFill>
            <w14:solidFill>
              <w14:schemeClr w14:val="tx1"/>
            </w14:solidFill>
          </w14:textFill>
        </w:rPr>
      </w:pPr>
    </w:p>
    <w:p w14:paraId="34D735CD">
      <w:pPr>
        <w:rPr>
          <w:rFonts w:ascii="宋体" w:hAnsi="宋体"/>
          <w:color w:val="000000" w:themeColor="text1"/>
          <w:sz w:val="24"/>
          <w:lang w:eastAsia="zh-CN"/>
          <w14:textFill>
            <w14:solidFill>
              <w14:schemeClr w14:val="tx1"/>
            </w14:solidFill>
          </w14:textFill>
        </w:rPr>
      </w:pPr>
    </w:p>
    <w:p w14:paraId="1159028A">
      <w:pPr>
        <w:rPr>
          <w:rFonts w:ascii="宋体" w:hAnsi="宋体"/>
          <w:color w:val="000000" w:themeColor="text1"/>
          <w:sz w:val="24"/>
          <w:lang w:eastAsia="zh-CN"/>
          <w14:textFill>
            <w14:solidFill>
              <w14:schemeClr w14:val="tx1"/>
            </w14:solidFill>
          </w14:textFill>
        </w:rPr>
      </w:pPr>
    </w:p>
    <w:p w14:paraId="04DB3D74">
      <w:pPr>
        <w:rPr>
          <w:rFonts w:ascii="宋体" w:hAnsi="宋体"/>
          <w:color w:val="000000" w:themeColor="text1"/>
          <w:sz w:val="24"/>
          <w:lang w:eastAsia="zh-CN"/>
          <w14:textFill>
            <w14:solidFill>
              <w14:schemeClr w14:val="tx1"/>
            </w14:solidFill>
          </w14:textFill>
        </w:rPr>
      </w:pPr>
    </w:p>
    <w:p w14:paraId="737EA7FE">
      <w:pPr>
        <w:rPr>
          <w:rFonts w:ascii="宋体" w:hAnsi="宋体"/>
          <w:color w:val="000000" w:themeColor="text1"/>
          <w:sz w:val="24"/>
          <w:lang w:eastAsia="zh-CN"/>
          <w14:textFill>
            <w14:solidFill>
              <w14:schemeClr w14:val="tx1"/>
            </w14:solidFill>
          </w14:textFill>
        </w:rPr>
      </w:pPr>
    </w:p>
    <w:p w14:paraId="33227759">
      <w:pPr>
        <w:rPr>
          <w:rFonts w:ascii="宋体" w:hAnsi="宋体"/>
          <w:color w:val="000000" w:themeColor="text1"/>
          <w:sz w:val="24"/>
          <w:lang w:eastAsia="zh-CN"/>
          <w14:textFill>
            <w14:solidFill>
              <w14:schemeClr w14:val="tx1"/>
            </w14:solidFill>
          </w14:textFill>
        </w:rPr>
      </w:pPr>
    </w:p>
    <w:p w14:paraId="034DB335">
      <w:pPr>
        <w:rPr>
          <w:rFonts w:ascii="宋体" w:hAnsi="宋体"/>
          <w:color w:val="000000" w:themeColor="text1"/>
          <w:sz w:val="24"/>
          <w:lang w:eastAsia="zh-CN"/>
          <w14:textFill>
            <w14:solidFill>
              <w14:schemeClr w14:val="tx1"/>
            </w14:solidFill>
          </w14:textFill>
        </w:rPr>
      </w:pPr>
    </w:p>
    <w:p w14:paraId="340DE0EE">
      <w:pPr>
        <w:rPr>
          <w:rFonts w:ascii="宋体" w:hAnsi="宋体"/>
          <w:color w:val="000000" w:themeColor="text1"/>
          <w:sz w:val="24"/>
          <w:lang w:eastAsia="zh-CN"/>
          <w14:textFill>
            <w14:solidFill>
              <w14:schemeClr w14:val="tx1"/>
            </w14:solidFill>
          </w14:textFill>
        </w:rPr>
      </w:pPr>
    </w:p>
    <w:p w14:paraId="702B98AC">
      <w:pPr>
        <w:rPr>
          <w:rFonts w:ascii="宋体" w:hAnsi="宋体"/>
          <w:color w:val="000000" w:themeColor="text1"/>
          <w:sz w:val="24"/>
          <w:lang w:eastAsia="zh-CN"/>
          <w14:textFill>
            <w14:solidFill>
              <w14:schemeClr w14:val="tx1"/>
            </w14:solidFill>
          </w14:textFill>
        </w:rPr>
      </w:pPr>
    </w:p>
    <w:p w14:paraId="547F763A">
      <w:pPr>
        <w:rPr>
          <w:rFonts w:ascii="宋体" w:hAnsi="宋体"/>
          <w:color w:val="000000" w:themeColor="text1"/>
          <w:sz w:val="24"/>
          <w:lang w:eastAsia="zh-CN"/>
          <w14:textFill>
            <w14:solidFill>
              <w14:schemeClr w14:val="tx1"/>
            </w14:solidFill>
          </w14:textFill>
        </w:rPr>
      </w:pPr>
    </w:p>
    <w:p w14:paraId="638847BB">
      <w:pPr>
        <w:rPr>
          <w:rFonts w:ascii="宋体" w:hAnsi="宋体"/>
          <w:color w:val="000000" w:themeColor="text1"/>
          <w:sz w:val="24"/>
          <w:lang w:eastAsia="zh-CN"/>
          <w14:textFill>
            <w14:solidFill>
              <w14:schemeClr w14:val="tx1"/>
            </w14:solidFill>
          </w14:textFill>
        </w:rPr>
      </w:pPr>
    </w:p>
    <w:p w14:paraId="57C2AA86">
      <w:pPr>
        <w:rPr>
          <w:rFonts w:ascii="宋体" w:hAnsi="宋体"/>
          <w:color w:val="000000" w:themeColor="text1"/>
          <w:sz w:val="24"/>
          <w:lang w:eastAsia="zh-CN"/>
          <w14:textFill>
            <w14:solidFill>
              <w14:schemeClr w14:val="tx1"/>
            </w14:solidFill>
          </w14:textFill>
        </w:rPr>
      </w:pPr>
    </w:p>
    <w:p w14:paraId="63E36329">
      <w:pPr>
        <w:rPr>
          <w:rFonts w:ascii="宋体" w:hAnsi="宋体"/>
          <w:color w:val="000000" w:themeColor="text1"/>
          <w:sz w:val="24"/>
          <w:lang w:eastAsia="zh-CN"/>
          <w14:textFill>
            <w14:solidFill>
              <w14:schemeClr w14:val="tx1"/>
            </w14:solidFill>
          </w14:textFill>
        </w:rPr>
      </w:pPr>
    </w:p>
    <w:p w14:paraId="5CBE7758">
      <w:pPr>
        <w:rPr>
          <w:rFonts w:ascii="宋体" w:hAnsi="宋体"/>
          <w:color w:val="000000" w:themeColor="text1"/>
          <w:sz w:val="24"/>
          <w:lang w:eastAsia="zh-CN"/>
          <w14:textFill>
            <w14:solidFill>
              <w14:schemeClr w14:val="tx1"/>
            </w14:solidFill>
          </w14:textFill>
        </w:rPr>
      </w:pPr>
    </w:p>
    <w:p w14:paraId="62345551">
      <w:pPr>
        <w:rPr>
          <w:rFonts w:ascii="宋体" w:hAnsi="宋体"/>
          <w:color w:val="000000" w:themeColor="text1"/>
          <w:sz w:val="24"/>
          <w:lang w:eastAsia="zh-CN"/>
          <w14:textFill>
            <w14:solidFill>
              <w14:schemeClr w14:val="tx1"/>
            </w14:solidFill>
          </w14:textFill>
        </w:rPr>
      </w:pPr>
    </w:p>
    <w:p w14:paraId="20534E8C">
      <w:pPr>
        <w:rPr>
          <w:rFonts w:ascii="宋体" w:hAnsi="宋体"/>
          <w:color w:val="000000" w:themeColor="text1"/>
          <w:sz w:val="24"/>
          <w:lang w:eastAsia="zh-CN"/>
          <w14:textFill>
            <w14:solidFill>
              <w14:schemeClr w14:val="tx1"/>
            </w14:solidFill>
          </w14:textFill>
        </w:rPr>
      </w:pPr>
    </w:p>
    <w:p w14:paraId="104945B7">
      <w:pPr>
        <w:rPr>
          <w:rFonts w:ascii="宋体" w:hAnsi="宋体"/>
          <w:color w:val="000000" w:themeColor="text1"/>
          <w:sz w:val="24"/>
          <w:lang w:eastAsia="zh-CN"/>
          <w14:textFill>
            <w14:solidFill>
              <w14:schemeClr w14:val="tx1"/>
            </w14:solidFill>
          </w14:textFill>
        </w:rPr>
      </w:pPr>
    </w:p>
    <w:p w14:paraId="5EF01302">
      <w:pPr>
        <w:outlineLvl w:val="1"/>
        <w:rPr>
          <w:rFonts w:ascii="宋体" w:hAnsi="宋体"/>
          <w:b/>
          <w:color w:val="000000" w:themeColor="text1"/>
          <w:sz w:val="24"/>
          <w:szCs w:val="21"/>
          <w:lang w:eastAsia="zh-CN"/>
          <w14:textFill>
            <w14:solidFill>
              <w14:schemeClr w14:val="tx1"/>
            </w14:solidFill>
          </w14:textFill>
        </w:rPr>
      </w:pPr>
      <w:bookmarkStart w:id="700" w:name="_Toc8055"/>
      <w:bookmarkStart w:id="701" w:name="_Toc175663952"/>
      <w:bookmarkStart w:id="702" w:name="_Toc25188"/>
      <w:bookmarkStart w:id="703" w:name="_Toc354594116"/>
      <w:r>
        <w:rPr>
          <w:rFonts w:hint="eastAsia" w:ascii="宋体" w:hAnsi="宋体"/>
          <w:b/>
          <w:color w:val="000000" w:themeColor="text1"/>
          <w:sz w:val="24"/>
          <w:szCs w:val="21"/>
          <w:lang w:eastAsia="zh-CN"/>
          <w14:textFill>
            <w14:solidFill>
              <w14:schemeClr w14:val="tx1"/>
            </w14:solidFill>
          </w14:textFill>
        </w:rPr>
        <w:t>三、磋商报价</w:t>
      </w:r>
      <w:bookmarkEnd w:id="700"/>
      <w:bookmarkEnd w:id="701"/>
      <w:bookmarkEnd w:id="702"/>
      <w:bookmarkEnd w:id="703"/>
      <w:r>
        <w:rPr>
          <w:rFonts w:hint="eastAsia" w:asciiTheme="minorEastAsia" w:hAnsiTheme="minorEastAsia" w:eastAsiaTheme="minorEastAsia"/>
          <w:b/>
          <w:color w:val="000000" w:themeColor="text1"/>
          <w:sz w:val="24"/>
          <w:szCs w:val="21"/>
          <w:lang w:eastAsia="zh-CN"/>
          <w14:textFill>
            <w14:solidFill>
              <w14:schemeClr w14:val="tx1"/>
            </w14:solidFill>
          </w14:textFill>
        </w:rPr>
        <w:t>（第一轮）</w:t>
      </w:r>
    </w:p>
    <w:p w14:paraId="29881D35">
      <w:pPr>
        <w:autoSpaceDE w:val="0"/>
        <w:autoSpaceDN w:val="0"/>
        <w:adjustRightInd w:val="0"/>
        <w:spacing w:line="360" w:lineRule="auto"/>
        <w:ind w:firstLine="361" w:firstLineChars="100"/>
        <w:jc w:val="center"/>
        <w:rPr>
          <w:rFonts w:ascii="黑体" w:hAnsi="宋体" w:eastAsia="黑体"/>
          <w:b/>
          <w:color w:val="000000" w:themeColor="text1"/>
          <w:sz w:val="36"/>
          <w:szCs w:val="28"/>
          <w:lang w:eastAsia="zh-CN"/>
          <w14:textFill>
            <w14:solidFill>
              <w14:schemeClr w14:val="tx1"/>
            </w14:solidFill>
          </w14:textFill>
        </w:rPr>
      </w:pPr>
      <w:r>
        <w:rPr>
          <w:rFonts w:hint="eastAsia" w:ascii="黑体" w:hAnsi="宋体" w:eastAsia="黑体"/>
          <w:b/>
          <w:color w:val="000000" w:themeColor="text1"/>
          <w:sz w:val="36"/>
          <w:szCs w:val="28"/>
          <w:lang w:eastAsia="zh-CN"/>
          <w14:textFill>
            <w14:solidFill>
              <w14:schemeClr w14:val="tx1"/>
            </w14:solidFill>
          </w14:textFill>
        </w:rPr>
        <w:t>磋商报价（第一轮）</w:t>
      </w:r>
    </w:p>
    <w:p w14:paraId="44344D92">
      <w:pPr>
        <w:autoSpaceDE w:val="0"/>
        <w:autoSpaceDN w:val="0"/>
        <w:adjustRightInd w:val="0"/>
        <w:spacing w:line="360" w:lineRule="auto"/>
        <w:rPr>
          <w:rFonts w:ascii="宋体" w:hAnsi="宋体" w:eastAsiaTheme="minorEastAsia"/>
          <w:bCs/>
          <w:color w:val="000000" w:themeColor="text1"/>
          <w:sz w:val="24"/>
          <w:szCs w:val="21"/>
          <w:lang w:eastAsia="zh-CN"/>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 xml:space="preserve">项目编号：JSZC-320104-LJKJ-C2025-0001 </w:t>
      </w:r>
    </w:p>
    <w:tbl>
      <w:tblPr>
        <w:tblStyle w:val="54"/>
        <w:tblpPr w:leftFromText="180" w:rightFromText="180" w:vertAnchor="text" w:horzAnchor="page" w:tblpX="1413" w:tblpY="57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46"/>
      </w:tblGrid>
      <w:tr w14:paraId="665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6" w:hRule="atLeast"/>
        </w:trPr>
        <w:tc>
          <w:tcPr>
            <w:tcW w:w="2660" w:type="dxa"/>
            <w:vMerge w:val="restart"/>
            <w:noWrap/>
            <w:vAlign w:val="center"/>
          </w:tcPr>
          <w:p w14:paraId="1E838644">
            <w:pPr>
              <w:pStyle w:val="19"/>
              <w:rPr>
                <w:bCs/>
                <w:color w:val="000000" w:themeColor="text1"/>
                <w:szCs w:val="21"/>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项目名称：</w:t>
            </w:r>
            <w:r>
              <w:rPr>
                <w:rFonts w:hint="eastAsia" w:cs="宋体"/>
                <w:color w:val="000000" w:themeColor="text1"/>
                <w:sz w:val="24"/>
                <w:lang w:eastAsia="zh-CN"/>
                <w14:textFill>
                  <w14:solidFill>
                    <w14:schemeClr w14:val="tx1"/>
                  </w14:solidFill>
                </w14:textFill>
              </w:rPr>
              <w:t>南京市秦淮区机关办公大楼幕墙维修项目</w:t>
            </w:r>
            <w:r>
              <w:rPr>
                <w:rFonts w:hint="eastAsia"/>
                <w:bCs/>
                <w:color w:val="000000" w:themeColor="text1"/>
                <w:szCs w:val="21"/>
                <w14:textFill>
                  <w14:solidFill>
                    <w14:schemeClr w14:val="tx1"/>
                  </w14:solidFill>
                </w14:textFill>
              </w:rPr>
              <w:t>磋商报价</w:t>
            </w:r>
          </w:p>
        </w:tc>
        <w:tc>
          <w:tcPr>
            <w:tcW w:w="6946" w:type="dxa"/>
            <w:noWrap/>
            <w:vAlign w:val="center"/>
          </w:tcPr>
          <w:p w14:paraId="08407BB1">
            <w:pPr>
              <w:pStyle w:val="19"/>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分包一：¥：   大写：</w:t>
            </w:r>
          </w:p>
        </w:tc>
      </w:tr>
      <w:tr w14:paraId="6E0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continue"/>
            <w:noWrap/>
            <w:vAlign w:val="center"/>
          </w:tcPr>
          <w:p w14:paraId="4BDAAF02">
            <w:pPr>
              <w:pStyle w:val="19"/>
              <w:rPr>
                <w:bCs/>
                <w:color w:val="000000" w:themeColor="text1"/>
                <w:szCs w:val="21"/>
                <w:lang w:eastAsia="zh-CN"/>
                <w14:textFill>
                  <w14:solidFill>
                    <w14:schemeClr w14:val="tx1"/>
                  </w14:solidFill>
                </w14:textFill>
              </w:rPr>
            </w:pPr>
          </w:p>
        </w:tc>
        <w:tc>
          <w:tcPr>
            <w:tcW w:w="6946" w:type="dxa"/>
            <w:noWrap/>
            <w:vAlign w:val="center"/>
          </w:tcPr>
          <w:p w14:paraId="19C09BB6">
            <w:pPr>
              <w:pStyle w:val="19"/>
              <w:rPr>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分包二：¥：   大写：</w:t>
            </w:r>
          </w:p>
        </w:tc>
      </w:tr>
      <w:tr w14:paraId="677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noWrap/>
            <w:vAlign w:val="center"/>
          </w:tcPr>
          <w:p w14:paraId="2976E337">
            <w:pPr>
              <w:pStyle w:val="19"/>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项目负责人</w:t>
            </w:r>
          </w:p>
        </w:tc>
        <w:tc>
          <w:tcPr>
            <w:tcW w:w="6946" w:type="dxa"/>
            <w:noWrap/>
            <w:vAlign w:val="center"/>
          </w:tcPr>
          <w:p w14:paraId="1EF560DD">
            <w:pPr>
              <w:pStyle w:val="19"/>
              <w:rPr>
                <w:bCs/>
                <w:color w:val="000000" w:themeColor="text1"/>
                <w:szCs w:val="21"/>
                <w14:textFill>
                  <w14:solidFill>
                    <w14:schemeClr w14:val="tx1"/>
                  </w14:solidFill>
                </w14:textFill>
              </w:rPr>
            </w:pPr>
          </w:p>
        </w:tc>
      </w:tr>
      <w:tr w14:paraId="28D7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660" w:type="dxa"/>
            <w:noWrap/>
            <w:vAlign w:val="center"/>
          </w:tcPr>
          <w:p w14:paraId="33FE6766">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工期</w:t>
            </w:r>
          </w:p>
        </w:tc>
        <w:tc>
          <w:tcPr>
            <w:tcW w:w="6946" w:type="dxa"/>
            <w:noWrap/>
            <w:vAlign w:val="center"/>
          </w:tcPr>
          <w:p w14:paraId="40CFFB11">
            <w:pPr>
              <w:pStyle w:val="19"/>
              <w:rPr>
                <w:rFonts w:cs="宋体"/>
                <w:color w:val="000000" w:themeColor="text1"/>
                <w:szCs w:val="21"/>
                <w:lang w:val="zh-CN"/>
                <w14:textFill>
                  <w14:solidFill>
                    <w14:schemeClr w14:val="tx1"/>
                  </w14:solidFill>
                </w14:textFill>
              </w:rPr>
            </w:pPr>
          </w:p>
        </w:tc>
      </w:tr>
      <w:tr w14:paraId="6EB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60" w:type="dxa"/>
            <w:noWrap/>
            <w:vAlign w:val="center"/>
          </w:tcPr>
          <w:p w14:paraId="183053E1">
            <w:pPr>
              <w:pStyle w:val="19"/>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是否小微企业</w:t>
            </w:r>
          </w:p>
        </w:tc>
        <w:tc>
          <w:tcPr>
            <w:tcW w:w="6946" w:type="dxa"/>
            <w:noWrap/>
            <w:vAlign w:val="center"/>
          </w:tcPr>
          <w:p w14:paraId="1D5AEA59">
            <w:pPr>
              <w:pStyle w:val="19"/>
              <w:ind w:firstLine="2400" w:firstLineChars="1000"/>
              <w:rPr>
                <w:rFonts w:cs="宋体"/>
                <w:color w:val="000000" w:themeColor="text1"/>
                <w:szCs w:val="21"/>
                <w:lang w:val="zh-CN"/>
                <w14:textFill>
                  <w14:solidFill>
                    <w14:schemeClr w14:val="tx1"/>
                  </w14:solidFill>
                </w14:textFill>
              </w:rPr>
            </w:pPr>
            <w:r>
              <w:rPr>
                <w:rFonts w:cs="宋体"/>
                <w:color w:val="000000" w:themeColor="text1"/>
                <w:szCs w:val="21"/>
                <w:lang w:val="zh-CN"/>
                <w14:textFill>
                  <w14:solidFill>
                    <w14:schemeClr w14:val="tx1"/>
                  </w14:solidFill>
                </w14:textFill>
              </w:rPr>
              <w:t>是</w:t>
            </w:r>
            <w:r>
              <w:rPr>
                <w:rFonts w:hint="eastAsia" w:cs="宋体"/>
                <w:color w:val="000000" w:themeColor="text1"/>
                <w:szCs w:val="21"/>
                <w:lang w:val="zh-CN"/>
                <w14:textFill>
                  <w14:solidFill>
                    <w14:schemeClr w14:val="tx1"/>
                  </w14:solidFill>
                </w14:textFill>
              </w:rPr>
              <w:t xml:space="preserve">       否</w:t>
            </w:r>
          </w:p>
        </w:tc>
      </w:tr>
      <w:tr w14:paraId="40E7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660" w:type="dxa"/>
            <w:noWrap/>
            <w:vAlign w:val="center"/>
          </w:tcPr>
          <w:p w14:paraId="7D482C95">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其他</w:t>
            </w:r>
          </w:p>
        </w:tc>
        <w:tc>
          <w:tcPr>
            <w:tcW w:w="6946" w:type="dxa"/>
            <w:noWrap/>
            <w:vAlign w:val="center"/>
          </w:tcPr>
          <w:p w14:paraId="43FB7389">
            <w:pPr>
              <w:pStyle w:val="19"/>
              <w:rPr>
                <w:bCs/>
                <w:color w:val="000000" w:themeColor="text1"/>
                <w:szCs w:val="21"/>
                <w:lang w:eastAsia="zh-CN"/>
                <w14:textFill>
                  <w14:solidFill>
                    <w14:schemeClr w14:val="tx1"/>
                  </w14:solidFill>
                </w14:textFill>
              </w:rPr>
            </w:pPr>
            <w:r>
              <w:rPr>
                <w:rFonts w:hint="eastAsia" w:cs="宋体"/>
                <w:color w:val="000000" w:themeColor="text1"/>
                <w:szCs w:val="21"/>
                <w:lang w:val="zh-CN" w:eastAsia="zh-CN"/>
                <w14:textFill>
                  <w14:solidFill>
                    <w14:schemeClr w14:val="tx1"/>
                  </w14:solidFill>
                </w14:textFill>
              </w:rPr>
              <w:t>（如有优惠条件须在此注明）</w:t>
            </w:r>
          </w:p>
        </w:tc>
      </w:tr>
    </w:tbl>
    <w:p w14:paraId="2597F89C">
      <w:pPr>
        <w:wordWrap w:val="0"/>
        <w:autoSpaceDE w:val="0"/>
        <w:autoSpaceDN w:val="0"/>
        <w:adjustRightInd w:val="0"/>
        <w:rPr>
          <w:rFonts w:ascii="宋体" w:hAnsi="宋体" w:cs="宋体" w:eastAsiaTheme="minorEastAsia"/>
          <w:color w:val="000000" w:themeColor="text1"/>
          <w:sz w:val="24"/>
          <w:szCs w:val="21"/>
          <w:lang w:val="zh-CN" w:eastAsia="zh-CN"/>
          <w14:textFill>
            <w14:solidFill>
              <w14:schemeClr w14:val="tx1"/>
            </w14:solidFill>
          </w14:textFill>
        </w:rPr>
      </w:pPr>
    </w:p>
    <w:p w14:paraId="7DAB1E26">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6B8A21EC">
      <w:pPr>
        <w:tabs>
          <w:tab w:val="left" w:pos="1440"/>
        </w:tabs>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277E30CC">
      <w:pPr>
        <w:autoSpaceDE w:val="0"/>
        <w:autoSpaceDN w:val="0"/>
        <w:adjustRightInd w:val="0"/>
        <w:rPr>
          <w:rFonts w:ascii="宋体" w:hAnsi="宋体" w:cs="宋体"/>
          <w:color w:val="000000" w:themeColor="text1"/>
          <w:sz w:val="24"/>
          <w:szCs w:val="21"/>
          <w:lang w:eastAsia="zh-CN"/>
          <w14:textFill>
            <w14:solidFill>
              <w14:schemeClr w14:val="tx1"/>
            </w14:solidFill>
          </w14:textFill>
        </w:rPr>
      </w:pPr>
    </w:p>
    <w:p w14:paraId="791C44A0">
      <w:pPr>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说明:  </w:t>
      </w:r>
    </w:p>
    <w:p w14:paraId="53770C49">
      <w:pPr>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1、采购人对每一项货物和服务仅接受一个价格，</w:t>
      </w:r>
      <w:r>
        <w:rPr>
          <w:rFonts w:hint="eastAsia" w:ascii="宋体" w:hAnsi="宋体"/>
          <w:color w:val="000000" w:themeColor="text1"/>
          <w:sz w:val="24"/>
          <w:szCs w:val="21"/>
          <w:shd w:val="pct10" w:color="auto" w:fill="FFFFFF"/>
          <w:lang w:eastAsia="zh-CN"/>
          <w14:textFill>
            <w14:solidFill>
              <w14:schemeClr w14:val="tx1"/>
            </w14:solidFill>
          </w14:textFill>
        </w:rPr>
        <w:t>不得填报有选择性报价方案</w:t>
      </w:r>
      <w:r>
        <w:rPr>
          <w:rFonts w:hint="eastAsia" w:ascii="宋体" w:hAnsi="宋体"/>
          <w:color w:val="000000" w:themeColor="text1"/>
          <w:sz w:val="24"/>
          <w:szCs w:val="21"/>
          <w:lang w:eastAsia="zh-CN"/>
          <w14:textFill>
            <w14:solidFill>
              <w14:schemeClr w14:val="tx1"/>
            </w14:solidFill>
          </w14:textFill>
        </w:rPr>
        <w:t>。若有优惠条款须注明，但不得影响报价，影响产品整体功能。</w:t>
      </w:r>
    </w:p>
    <w:p w14:paraId="41DC6839">
      <w:pPr>
        <w:ind w:firstLine="420"/>
        <w:rPr>
          <w:rFonts w:ascii="宋体" w:hAnsi="宋体"/>
          <w:color w:val="000000" w:themeColor="text1"/>
          <w:sz w:val="24"/>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szCs w:val="21"/>
          <w:lang w:eastAsia="zh-CN"/>
          <w14:textFill>
            <w14:solidFill>
              <w14:schemeClr w14:val="tx1"/>
            </w14:solidFill>
          </w14:textFill>
        </w:rPr>
        <w:t>2、磋商报价是磋商文件所确定的采购范围内的全部货物或服务的价格体现。磋商报价：包括但不限于人员劳资、交通费、风险评估费等，应包括供应商为完成任务所承担的全部费用、利润、税金、政策性文件规定及合同内包含的所有风险、责任等各项应有费用，不论其在采购文件中是否有提及。响应供应商应根据上述因素自行考虑磋商报价</w:t>
      </w:r>
      <w:bookmarkStart w:id="704" w:name="_Hlt460314991"/>
      <w:bookmarkEnd w:id="704"/>
      <w:bookmarkStart w:id="705" w:name="_Toc12002"/>
      <w:bookmarkStart w:id="706" w:name="_Toc12980"/>
      <w:bookmarkStart w:id="707" w:name="_Toc479931772"/>
      <w:bookmarkStart w:id="708" w:name="_Toc354594118"/>
      <w:bookmarkStart w:id="709" w:name="_Toc341184785"/>
    </w:p>
    <w:bookmarkEnd w:id="705"/>
    <w:bookmarkEnd w:id="706"/>
    <w:bookmarkEnd w:id="707"/>
    <w:p w14:paraId="57CA4B83">
      <w:pPr>
        <w:outlineLvl w:val="1"/>
        <w:rPr>
          <w:rFonts w:ascii="宋体" w:hAnsi="宋体"/>
          <w:b/>
          <w:color w:val="000000" w:themeColor="text1"/>
          <w:sz w:val="24"/>
          <w:lang w:eastAsia="zh-CN"/>
          <w14:textFill>
            <w14:solidFill>
              <w14:schemeClr w14:val="tx1"/>
            </w14:solidFill>
          </w14:textFill>
        </w:rPr>
      </w:pPr>
      <w:bookmarkStart w:id="710" w:name="_Toc27011"/>
      <w:bookmarkStart w:id="711" w:name="_Toc459109593"/>
      <w:bookmarkStart w:id="712" w:name="_Toc12860"/>
      <w:bookmarkStart w:id="713" w:name="_Toc175663953"/>
      <w:r>
        <w:rPr>
          <w:rFonts w:hint="eastAsia" w:ascii="宋体" w:hAnsi="宋体"/>
          <w:b/>
          <w:color w:val="000000" w:themeColor="text1"/>
          <w:sz w:val="24"/>
          <w:lang w:eastAsia="zh-CN"/>
          <w14:textFill>
            <w14:solidFill>
              <w14:schemeClr w14:val="tx1"/>
            </w14:solidFill>
          </w14:textFill>
        </w:rPr>
        <w:t>四、</w:t>
      </w:r>
      <w:bookmarkEnd w:id="710"/>
      <w:bookmarkEnd w:id="711"/>
      <w:bookmarkEnd w:id="712"/>
      <w:r>
        <w:rPr>
          <w:rFonts w:hint="eastAsia" w:ascii="宋体" w:hAnsi="宋体" w:cs="黑体"/>
          <w:b/>
          <w:bCs/>
          <w:color w:val="000000" w:themeColor="text1"/>
          <w:sz w:val="24"/>
          <w:szCs w:val="21"/>
          <w:lang w:val="zh-CN" w:eastAsia="zh-CN"/>
          <w14:textFill>
            <w14:solidFill>
              <w14:schemeClr w14:val="tx1"/>
            </w14:solidFill>
          </w14:textFill>
        </w:rPr>
        <w:t>资格证明文件</w:t>
      </w:r>
      <w:bookmarkEnd w:id="713"/>
    </w:p>
    <w:p w14:paraId="4AE2193B">
      <w:pPr>
        <w:jc w:val="center"/>
        <w:rPr>
          <w:b/>
          <w:color w:val="000000" w:themeColor="text1"/>
          <w:sz w:val="30"/>
          <w:szCs w:val="30"/>
          <w:lang w:val="zh-CN" w:eastAsia="zh-CN"/>
          <w14:textFill>
            <w14:solidFill>
              <w14:schemeClr w14:val="tx1"/>
            </w14:solidFill>
          </w14:textFill>
        </w:rPr>
      </w:pPr>
      <w:bookmarkStart w:id="714" w:name="_Toc2864"/>
      <w:bookmarkStart w:id="715" w:name="_Toc2759"/>
      <w:bookmarkStart w:id="716" w:name="_Toc506199229"/>
      <w:bookmarkStart w:id="717" w:name="_Toc13890"/>
      <w:r>
        <w:rPr>
          <w:rFonts w:hint="eastAsia"/>
          <w:b/>
          <w:color w:val="000000" w:themeColor="text1"/>
          <w:sz w:val="30"/>
          <w:szCs w:val="30"/>
          <w:lang w:val="zh-CN" w:eastAsia="zh-CN"/>
          <w14:textFill>
            <w14:solidFill>
              <w14:schemeClr w14:val="tx1"/>
            </w14:solidFill>
          </w14:textFill>
        </w:rPr>
        <w:t>资格证明文件（参考）</w:t>
      </w:r>
      <w:bookmarkEnd w:id="714"/>
      <w:bookmarkEnd w:id="715"/>
      <w:bookmarkEnd w:id="716"/>
      <w:bookmarkEnd w:id="717"/>
    </w:p>
    <w:p w14:paraId="098E42B3">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ascii="宋体" w:cs="宋体"/>
          <w:b w:val="0"/>
          <w:bCs w:val="0"/>
          <w:color w:val="000000" w:themeColor="text1"/>
          <w:sz w:val="24"/>
          <w:szCs w:val="21"/>
          <w:lang w:val="zh-CN" w:eastAsia="zh-CN"/>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 xml:space="preserve"> 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（一）参加政府采购活动的供应商应当具备政府采购法第二十二条第一款规定的条件证明材料</w:t>
      </w:r>
    </w:p>
    <w:p w14:paraId="7FE9582B">
      <w:pPr>
        <w:autoSpaceDE w:val="0"/>
        <w:autoSpaceDN w:val="0"/>
        <w:adjustRightInd w:val="0"/>
        <w:spacing w:line="500" w:lineRule="exact"/>
        <w:rPr>
          <w:rFonts w:hint="eastAsia" w:ascii="宋体" w:hAnsi="宋体" w:cs="宋体"/>
          <w:b w:val="0"/>
          <w:bCs w:val="0"/>
          <w:color w:val="000000" w:themeColor="text1"/>
          <w:sz w:val="24"/>
          <w:lang w:eastAsia="zh-CN"/>
          <w14:textFill>
            <w14:solidFill>
              <w14:schemeClr w14:val="tx1"/>
            </w14:solidFill>
          </w14:textFill>
        </w:rPr>
      </w:pPr>
      <w:r>
        <w:rPr>
          <w:rFonts w:hint="eastAsia" w:ascii="宋体" w:cs="宋体"/>
          <w:b w:val="0"/>
          <w:bCs w:val="0"/>
          <w:color w:val="000000" w:themeColor="text1"/>
          <w:sz w:val="24"/>
          <w:szCs w:val="21"/>
          <w:lang w:val="zh-CN" w:eastAsia="zh-CN"/>
          <w14:textFill>
            <w14:solidFill>
              <w14:schemeClr w14:val="tx1"/>
            </w14:solidFill>
          </w14:textFill>
        </w:rPr>
        <w:t>2</w:t>
      </w:r>
      <w:r>
        <w:rPr>
          <w:rFonts w:ascii="宋体" w:cs="宋体"/>
          <w:b w:val="0"/>
          <w:bCs w:val="0"/>
          <w:color w:val="000000" w:themeColor="text1"/>
          <w:sz w:val="24"/>
          <w:szCs w:val="21"/>
          <w:lang w:val="zh-CN" w:eastAsia="zh-CN"/>
          <w14:textFill>
            <w14:solidFill>
              <w14:schemeClr w14:val="tx1"/>
            </w14:solidFill>
          </w14:textFill>
        </w:rPr>
        <w:t>.</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（二）采购人根据采购项目的特殊要求规定的特定条件证明材料</w:t>
      </w:r>
    </w:p>
    <w:p w14:paraId="66845185">
      <w:pPr>
        <w:pStyle w:val="2"/>
        <w:ind w:left="0" w:leftChars="0" w:firstLine="0" w:firstLineChars="0"/>
        <w:rPr>
          <w:rFonts w:hint="default"/>
          <w:b w:val="0"/>
          <w:bCs w:val="0"/>
          <w:lang w:val="en-US" w:eastAsia="zh-CN"/>
        </w:rPr>
      </w:pPr>
      <w:r>
        <w:rPr>
          <w:rFonts w:hint="eastAsia" w:cs="宋体"/>
          <w:b w:val="0"/>
          <w:bCs w:val="0"/>
          <w:color w:val="000000" w:themeColor="text1"/>
          <w:sz w:val="24"/>
          <w:lang w:val="en-US" w:eastAsia="zh-CN"/>
          <w14:textFill>
            <w14:solidFill>
              <w14:schemeClr w14:val="tx1"/>
            </w14:solidFill>
          </w14:textFill>
        </w:rPr>
        <w:t>3.</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eastAsia="宋体" w:cs="宋体"/>
          <w:b w:val="0"/>
          <w:bCs w:val="0"/>
          <w:color w:val="000000" w:themeColor="text1"/>
          <w:sz w:val="21"/>
          <w:szCs w:val="21"/>
          <w:lang w:eastAsia="zh-CN"/>
          <w14:textFill>
            <w14:solidFill>
              <w14:schemeClr w14:val="tx1"/>
            </w14:solidFill>
          </w14:textFill>
        </w:rPr>
        <w:t>（三） 本项目的特定资格要求</w:t>
      </w:r>
    </w:p>
    <w:p w14:paraId="131FE93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4</w:t>
      </w:r>
      <w:r>
        <w:rPr>
          <w:rFonts w:hint="eastAsia" w:ascii="宋体" w:cs="宋体"/>
          <w:b w:val="0"/>
          <w:bCs w:val="0"/>
          <w:color w:val="000000" w:themeColor="text1"/>
          <w:sz w:val="24"/>
          <w:szCs w:val="21"/>
          <w:lang w:val="zh-CN" w:eastAsia="zh-CN"/>
          <w14:textFill>
            <w14:solidFill>
              <w14:schemeClr w14:val="tx1"/>
            </w14:solidFill>
          </w14:textFill>
        </w:rPr>
        <w:t>.南京市政府采购供应商信用记录表暨信用承诺书</w:t>
      </w:r>
    </w:p>
    <w:p w14:paraId="7BAC138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5</w:t>
      </w:r>
      <w:r>
        <w:rPr>
          <w:rFonts w:hint="eastAsia" w:ascii="宋体" w:cs="宋体"/>
          <w:b w:val="0"/>
          <w:bCs w:val="0"/>
          <w:color w:val="000000" w:themeColor="text1"/>
          <w:sz w:val="24"/>
          <w:szCs w:val="21"/>
          <w:lang w:eastAsia="zh-CN"/>
          <w14:textFill>
            <w14:solidFill>
              <w14:schemeClr w14:val="tx1"/>
            </w14:solidFill>
          </w14:textFill>
        </w:rPr>
        <w:t>.</w:t>
      </w:r>
      <w:r>
        <w:rPr>
          <w:rFonts w:hint="eastAsia" w:ascii="宋体" w:cs="宋体"/>
          <w:b w:val="0"/>
          <w:bCs w:val="0"/>
          <w:color w:val="000000" w:themeColor="text1"/>
          <w:sz w:val="24"/>
          <w:szCs w:val="21"/>
          <w:lang w:val="zh-CN" w:eastAsia="zh-CN"/>
          <w14:textFill>
            <w14:solidFill>
              <w14:schemeClr w14:val="tx1"/>
            </w14:solidFill>
          </w14:textFill>
        </w:rPr>
        <w:t>投标人认为有必要有其他证明文件</w:t>
      </w:r>
    </w:p>
    <w:p w14:paraId="2E6DFC57">
      <w:pPr>
        <w:spacing w:line="440" w:lineRule="exact"/>
        <w:rPr>
          <w:rFonts w:ascii="宋体" w:hAnsi="宋体"/>
          <w:color w:val="000000" w:themeColor="text1"/>
          <w:sz w:val="24"/>
          <w:szCs w:val="21"/>
          <w:lang w:eastAsia="zh-CN"/>
          <w14:textFill>
            <w14:solidFill>
              <w14:schemeClr w14:val="tx1"/>
            </w14:solidFill>
          </w14:textFill>
        </w:rPr>
      </w:pPr>
    </w:p>
    <w:p w14:paraId="55BA7138">
      <w:pPr>
        <w:autoSpaceDE w:val="0"/>
        <w:autoSpaceDN w:val="0"/>
        <w:adjustRightInd w:val="0"/>
        <w:spacing w:line="600" w:lineRule="exact"/>
        <w:ind w:right="480" w:firstLine="6480" w:firstLineChars="2700"/>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56A108AE">
      <w:pPr>
        <w:autoSpaceDE w:val="0"/>
        <w:autoSpaceDN w:val="0"/>
        <w:adjustRightInd w:val="0"/>
        <w:spacing w:line="600" w:lineRule="exact"/>
        <w:ind w:right="24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46EED192">
      <w:pPr>
        <w:bidi w:val="0"/>
        <w:rPr>
          <w:lang w:eastAsia="zh-CN"/>
        </w:rPr>
      </w:pPr>
    </w:p>
    <w:p w14:paraId="1EB4204B">
      <w:pPr>
        <w:bidi w:val="0"/>
        <w:rPr>
          <w:lang w:eastAsia="zh-CN"/>
        </w:rPr>
      </w:pPr>
    </w:p>
    <w:p w14:paraId="62862221">
      <w:pPr>
        <w:bidi w:val="0"/>
        <w:rPr>
          <w:lang w:eastAsia="zh-CN"/>
        </w:rPr>
      </w:pPr>
    </w:p>
    <w:p w14:paraId="32732C70">
      <w:pPr>
        <w:outlineLvl w:val="1"/>
        <w:rPr>
          <w:rFonts w:hint="eastAsia" w:ascii="宋体" w:cs="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18" w:name="_Toc19964"/>
      <w:bookmarkStart w:id="719" w:name="_Toc28955"/>
      <w:bookmarkStart w:id="720" w:name="_Toc175663954"/>
      <w:bookmarkStart w:id="721" w:name="_Toc459109596"/>
    </w:p>
    <w:p w14:paraId="44C485CB">
      <w:pPr>
        <w:outlineLvl w:val="1"/>
        <w:rPr>
          <w:rFonts w:ascii="宋体" w:cs="宋体"/>
          <w:b/>
          <w:color w:val="000000" w:themeColor="text1"/>
          <w:sz w:val="24"/>
          <w:szCs w:val="21"/>
          <w:lang w:val="zh-CN" w:eastAsia="zh-CN"/>
          <w14:textFill>
            <w14:solidFill>
              <w14:schemeClr w14:val="tx1"/>
            </w14:solidFill>
          </w14:textFill>
        </w:rPr>
      </w:pPr>
      <w:r>
        <w:rPr>
          <w:rFonts w:hint="eastAsia" w:ascii="宋体" w:cs="宋体"/>
          <w:b/>
          <w:color w:val="000000" w:themeColor="text1"/>
          <w:sz w:val="24"/>
          <w:szCs w:val="21"/>
          <w:lang w:eastAsia="zh-CN"/>
          <w14:textFill>
            <w14:solidFill>
              <w14:schemeClr w14:val="tx1"/>
            </w14:solidFill>
          </w14:textFill>
        </w:rPr>
        <w:t>五</w:t>
      </w:r>
      <w:r>
        <w:rPr>
          <w:rFonts w:hint="eastAsia" w:ascii="宋体" w:cs="宋体"/>
          <w:b/>
          <w:color w:val="000000" w:themeColor="text1"/>
          <w:sz w:val="24"/>
          <w:szCs w:val="21"/>
          <w:lang w:val="zh-CN" w:eastAsia="zh-CN"/>
          <w14:textFill>
            <w14:solidFill>
              <w14:schemeClr w14:val="tx1"/>
            </w14:solidFill>
          </w14:textFill>
        </w:rPr>
        <w:t>、供应商基本情况说明</w:t>
      </w:r>
      <w:bookmarkEnd w:id="718"/>
      <w:bookmarkEnd w:id="719"/>
      <w:bookmarkEnd w:id="720"/>
      <w:bookmarkEnd w:id="721"/>
    </w:p>
    <w:p w14:paraId="072DDAE6">
      <w:pPr>
        <w:ind w:firstLine="640" w:firstLineChars="200"/>
        <w:rPr>
          <w:rFonts w:ascii="宋体" w:cs="宋体"/>
          <w:b/>
          <w:color w:val="000000" w:themeColor="text1"/>
          <w:sz w:val="32"/>
          <w:lang w:val="zh-CN" w:eastAsia="zh-CN"/>
          <w14:textFill>
            <w14:solidFill>
              <w14:schemeClr w14:val="tx1"/>
            </w14:solidFill>
          </w14:textFill>
        </w:rPr>
      </w:pPr>
      <w:r>
        <w:rPr>
          <w:rFonts w:hint="eastAsia" w:ascii="宋体" w:cs="宋体"/>
          <w:b/>
          <w:color w:val="000000" w:themeColor="text1"/>
          <w:sz w:val="32"/>
          <w:lang w:val="zh-CN" w:eastAsia="zh-CN"/>
          <w14:textFill>
            <w14:solidFill>
              <w14:schemeClr w14:val="tx1"/>
            </w14:solidFill>
          </w14:textFill>
        </w:rPr>
        <w:t>供应商基本情况说明</w:t>
      </w:r>
    </w:p>
    <w:p w14:paraId="3C2B319E">
      <w:pPr>
        <w:ind w:firstLine="600" w:firstLineChars="250"/>
        <w:rPr>
          <w:rFonts w:ascii="宋体" w:cs="宋体"/>
          <w:color w:val="000000" w:themeColor="text1"/>
          <w:sz w:val="24"/>
          <w:szCs w:val="21"/>
          <w:lang w:val="zh-CN" w:eastAsia="zh-CN"/>
          <w14:textFill>
            <w14:solidFill>
              <w14:schemeClr w14:val="tx1"/>
            </w14:solidFill>
          </w14:textFill>
        </w:rPr>
      </w:pPr>
    </w:p>
    <w:p w14:paraId="54239393">
      <w:pPr>
        <w:ind w:firstLine="600" w:firstLineChars="25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要求尽可能简短精练。</w:t>
      </w:r>
    </w:p>
    <w:p w14:paraId="061F148E">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（一）名称及有关情况：</w:t>
      </w:r>
    </w:p>
    <w:p w14:paraId="0638CDFF">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（1）名称：</w:t>
      </w:r>
    </w:p>
    <w:p w14:paraId="3329B8B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（2）地址：　　　　　　　　　传真/电话：　　　　　邮编：</w:t>
      </w:r>
    </w:p>
    <w:p w14:paraId="729D0E0B">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（3）成立或注册日期：</w:t>
      </w:r>
    </w:p>
    <w:p w14:paraId="5919471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（4）法人代表姓名：</w:t>
      </w:r>
    </w:p>
    <w:p w14:paraId="29C39C7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（5）开户银行名称及地址：</w:t>
      </w:r>
    </w:p>
    <w:p w14:paraId="3D07F7D1">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（6）供应商在南京地区的代表姓名和地址邮编、传真、电话</w:t>
      </w:r>
    </w:p>
    <w:p w14:paraId="44B519E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（二）供应商简介：主要包括以下内容</w:t>
      </w:r>
    </w:p>
    <w:p w14:paraId="10E0AD92">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（1）企业发展简史</w:t>
      </w:r>
    </w:p>
    <w:p w14:paraId="49B31715">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（2）企业获得的荣誉、受过的违规处罚情况等</w:t>
      </w:r>
    </w:p>
    <w:p w14:paraId="6045400A">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（三）供应商认为需要说明的其他情况</w:t>
      </w:r>
    </w:p>
    <w:p w14:paraId="3B6CBF20">
      <w:pPr>
        <w:autoSpaceDE w:val="0"/>
        <w:autoSpaceDN w:val="0"/>
        <w:adjustRightInd w:val="0"/>
        <w:spacing w:line="600" w:lineRule="exact"/>
        <w:ind w:right="480"/>
        <w:jc w:val="center"/>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供应商</w:t>
      </w:r>
      <w:r>
        <w:rPr>
          <w:rFonts w:hint="eastAsia" w:ascii="宋体" w:hAnsi="宋体"/>
          <w:color w:val="000000" w:themeColor="text1"/>
          <w:sz w:val="24"/>
          <w:szCs w:val="21"/>
          <w:lang w:eastAsia="zh-CN"/>
          <w14:textFill>
            <w14:solidFill>
              <w14:schemeClr w14:val="tx1"/>
            </w14:solidFill>
          </w14:textFill>
        </w:rPr>
        <w:t xml:space="preserve">（盖章）：            </w:t>
      </w:r>
    </w:p>
    <w:p w14:paraId="0035312B">
      <w:pPr>
        <w:autoSpaceDE w:val="0"/>
        <w:autoSpaceDN w:val="0"/>
        <w:adjustRightInd w:val="0"/>
        <w:spacing w:line="600" w:lineRule="exact"/>
        <w:ind w:right="48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1C37CF60">
      <w:pPr>
        <w:bidi w:val="0"/>
        <w:rPr>
          <w:lang w:eastAsia="zh-CN"/>
        </w:rPr>
      </w:pPr>
    </w:p>
    <w:p w14:paraId="0E6F55B2">
      <w:pPr>
        <w:bidi w:val="0"/>
        <w:rPr>
          <w:lang w:eastAsia="zh-CN"/>
        </w:rPr>
      </w:pPr>
    </w:p>
    <w:p w14:paraId="51DFDCE7">
      <w:pPr>
        <w:bidi w:val="0"/>
        <w:rPr>
          <w:lang w:eastAsia="zh-CN"/>
        </w:rPr>
      </w:pPr>
      <w:bookmarkStart w:id="722" w:name="_Toc9482"/>
      <w:bookmarkStart w:id="723" w:name="_Toc29395"/>
      <w:bookmarkStart w:id="724" w:name="_Toc175663955"/>
    </w:p>
    <w:p w14:paraId="67C47637">
      <w:pPr>
        <w:bidi w:val="0"/>
        <w:rPr>
          <w:lang w:eastAsia="zh-CN"/>
        </w:rPr>
      </w:pPr>
    </w:p>
    <w:p w14:paraId="59BB91DF">
      <w:pPr>
        <w:bidi w:val="0"/>
        <w:rPr>
          <w:lang w:eastAsia="zh-CN"/>
        </w:rPr>
      </w:pPr>
    </w:p>
    <w:p w14:paraId="7623AEFC">
      <w:pPr>
        <w:bidi w:val="0"/>
        <w:rPr>
          <w:lang w:eastAsia="zh-CN"/>
        </w:rPr>
      </w:pPr>
    </w:p>
    <w:p w14:paraId="32BCFFEC">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六、</w:t>
      </w:r>
      <w:bookmarkEnd w:id="708"/>
      <w:bookmarkEnd w:id="722"/>
      <w:bookmarkEnd w:id="723"/>
      <w:r>
        <w:rPr>
          <w:rFonts w:hint="eastAsia" w:ascii="宋体" w:hAnsi="宋体"/>
          <w:b/>
          <w:color w:val="000000" w:themeColor="text1"/>
          <w:sz w:val="24"/>
          <w:szCs w:val="21"/>
          <w:lang w:eastAsia="zh-CN"/>
          <w14:textFill>
            <w14:solidFill>
              <w14:schemeClr w14:val="tx1"/>
            </w14:solidFill>
          </w14:textFill>
        </w:rPr>
        <w:t>技术要求</w:t>
      </w:r>
      <w:bookmarkEnd w:id="724"/>
    </w:p>
    <w:bookmarkEnd w:id="709"/>
    <w:p w14:paraId="11ACBCAF">
      <w:pPr>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方案</w:t>
      </w:r>
      <w:r>
        <w:rPr>
          <w:rFonts w:hint="eastAsia" w:ascii="宋体" w:cs="宋体"/>
          <w:color w:val="000000" w:themeColor="text1"/>
          <w:sz w:val="24"/>
          <w:szCs w:val="21"/>
          <w:lang w:val="zh-CN" w:eastAsia="zh-CN"/>
          <w14:textFill>
            <w14:solidFill>
              <w14:schemeClr w14:val="tx1"/>
            </w14:solidFill>
          </w14:textFill>
        </w:rPr>
        <w:t>（格式自拟）</w:t>
      </w:r>
    </w:p>
    <w:p w14:paraId="195D22DA">
      <w:pPr>
        <w:autoSpaceDE w:val="0"/>
        <w:autoSpaceDN w:val="0"/>
        <w:adjustRightInd w:val="0"/>
        <w:rPr>
          <w:rFonts w:ascii="宋体" w:hAnsi="宋体" w:cs="宋体"/>
          <w:b/>
          <w:bCs/>
          <w:color w:val="000000" w:themeColor="text1"/>
          <w:sz w:val="24"/>
          <w:szCs w:val="21"/>
          <w:lang w:eastAsia="zh-CN"/>
          <w14:textFill>
            <w14:solidFill>
              <w14:schemeClr w14:val="tx1"/>
            </w14:solidFill>
          </w14:textFill>
        </w:rPr>
      </w:pPr>
    </w:p>
    <w:p w14:paraId="76000B22">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FD4618">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4BA1B74A">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2C5940A6">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2CBBACB8">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1F8D5F87">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17B32E">
      <w:pPr>
        <w:bidi w:val="0"/>
        <w:rPr>
          <w:lang w:eastAsia="zh-CN"/>
        </w:rPr>
      </w:pPr>
      <w:bookmarkStart w:id="725" w:name="_Toc354594120"/>
    </w:p>
    <w:p w14:paraId="04B14580">
      <w:pPr>
        <w:bidi w:val="0"/>
        <w:rPr>
          <w:lang w:eastAsia="zh-CN"/>
        </w:rPr>
      </w:pPr>
      <w:bookmarkStart w:id="726" w:name="_Toc5649"/>
      <w:bookmarkStart w:id="727" w:name="_Toc28031"/>
    </w:p>
    <w:p w14:paraId="7C2721B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28" w:name="_Toc175663956"/>
    </w:p>
    <w:p w14:paraId="30F2D0B1">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七、项目组成员一览表</w:t>
      </w:r>
      <w:bookmarkEnd w:id="725"/>
      <w:bookmarkEnd w:id="726"/>
      <w:bookmarkEnd w:id="727"/>
      <w:bookmarkEnd w:id="728"/>
    </w:p>
    <w:p w14:paraId="46B9CC8B">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bookmarkStart w:id="729" w:name="_Toc341184788"/>
      <w:r>
        <w:rPr>
          <w:rFonts w:hint="eastAsia" w:ascii="黑体" w:eastAsia="黑体" w:cs="黑体"/>
          <w:b/>
          <w:bCs/>
          <w:color w:val="000000" w:themeColor="text1"/>
          <w:sz w:val="36"/>
          <w:szCs w:val="28"/>
          <w:lang w:val="zh-CN" w:eastAsia="zh-CN"/>
          <w14:textFill>
            <w14:solidFill>
              <w14:schemeClr w14:val="tx1"/>
            </w14:solidFill>
          </w14:textFill>
        </w:rPr>
        <w:t>项目组成员一览表</w:t>
      </w:r>
      <w:bookmarkEnd w:id="729"/>
    </w:p>
    <w:p w14:paraId="5F03DDF4">
      <w:pPr>
        <w:autoSpaceDE w:val="0"/>
        <w:autoSpaceDN w:val="0"/>
        <w:adjustRightInd w:val="0"/>
        <w:ind w:firstLine="420"/>
        <w:rPr>
          <w:rFonts w:ascii="宋体" w:hAnsi="宋体"/>
          <w:color w:val="000000" w:themeColor="text1"/>
          <w:sz w:val="24"/>
          <w:szCs w:val="21"/>
          <w:lang w:val="zh-CN" w:eastAsia="zh-CN"/>
          <w14:textFill>
            <w14:solidFill>
              <w14:schemeClr w14:val="tx1"/>
            </w14:solidFill>
          </w14:textFill>
        </w:rPr>
      </w:pPr>
    </w:p>
    <w:tbl>
      <w:tblPr>
        <w:tblStyle w:val="5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992"/>
        <w:gridCol w:w="2126"/>
        <w:gridCol w:w="1559"/>
        <w:gridCol w:w="1560"/>
        <w:gridCol w:w="1276"/>
      </w:tblGrid>
      <w:tr w14:paraId="180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4"/>
            <w:noWrap/>
            <w:vAlign w:val="center"/>
          </w:tcPr>
          <w:p w14:paraId="4422A7C9">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南京市秦淮区机关办公大楼幕墙维修项目</w:t>
            </w:r>
          </w:p>
        </w:tc>
        <w:tc>
          <w:tcPr>
            <w:tcW w:w="4395" w:type="dxa"/>
            <w:gridSpan w:val="3"/>
          </w:tcPr>
          <w:p w14:paraId="23396111">
            <w:pPr>
              <w:autoSpaceDE w:val="0"/>
              <w:autoSpaceDN w:val="0"/>
              <w:adjustRightInd w:val="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项目编号：JSZC-320104-LJKJ-C2025-0001 </w:t>
            </w:r>
          </w:p>
        </w:tc>
      </w:tr>
      <w:tr w14:paraId="14C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5" w:type="dxa"/>
            <w:noWrap/>
            <w:vAlign w:val="center"/>
          </w:tcPr>
          <w:p w14:paraId="1E1B790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序号</w:t>
            </w:r>
          </w:p>
        </w:tc>
        <w:tc>
          <w:tcPr>
            <w:tcW w:w="993" w:type="dxa"/>
            <w:noWrap/>
            <w:vAlign w:val="center"/>
          </w:tcPr>
          <w:p w14:paraId="6E692E8B">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姓名</w:t>
            </w:r>
          </w:p>
        </w:tc>
        <w:tc>
          <w:tcPr>
            <w:tcW w:w="992" w:type="dxa"/>
            <w:noWrap/>
            <w:vAlign w:val="center"/>
          </w:tcPr>
          <w:p w14:paraId="058B23F8">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性别</w:t>
            </w:r>
          </w:p>
        </w:tc>
        <w:tc>
          <w:tcPr>
            <w:tcW w:w="2126" w:type="dxa"/>
            <w:noWrap/>
            <w:vAlign w:val="center"/>
          </w:tcPr>
          <w:p w14:paraId="14874396">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岗位</w:t>
            </w:r>
          </w:p>
        </w:tc>
        <w:tc>
          <w:tcPr>
            <w:tcW w:w="1559" w:type="dxa"/>
            <w:vAlign w:val="center"/>
          </w:tcPr>
          <w:p w14:paraId="42A9710D">
            <w:pPr>
              <w:autoSpaceDE w:val="0"/>
              <w:autoSpaceDN w:val="0"/>
              <w:adjustRightInd w:val="0"/>
              <w:jc w:val="center"/>
              <w:rPr>
                <w:rFonts w:asciiTheme="minorEastAsia" w:hAnsiTheme="minorEastAsia" w:eastAsiaTheme="minorEastAsia"/>
                <w:b/>
                <w:color w:val="000000" w:themeColor="text1"/>
                <w:sz w:val="24"/>
                <w:szCs w:val="21"/>
                <w:lang w:val="zh-CN" w:eastAsia="zh-CN"/>
                <w14:textFill>
                  <w14:solidFill>
                    <w14:schemeClr w14:val="tx1"/>
                  </w14:solidFill>
                </w14:textFill>
              </w:rPr>
            </w:pPr>
            <w:r>
              <w:rPr>
                <w:rFonts w:hint="eastAsia" w:asciiTheme="minorEastAsia" w:hAnsiTheme="minorEastAsia" w:eastAsiaTheme="minorEastAsia"/>
                <w:b/>
                <w:color w:val="000000" w:themeColor="text1"/>
                <w:sz w:val="24"/>
                <w:szCs w:val="21"/>
                <w:lang w:val="zh-CN" w:eastAsia="zh-CN"/>
                <w14:textFill>
                  <w14:solidFill>
                    <w14:schemeClr w14:val="tx1"/>
                  </w14:solidFill>
                </w14:textFill>
              </w:rPr>
              <w:t>证书</w:t>
            </w:r>
            <w:r>
              <w:rPr>
                <w:rFonts w:hint="eastAsia" w:ascii="宋体"/>
                <w:b/>
                <w:color w:val="000000" w:themeColor="text1"/>
                <w:sz w:val="24"/>
                <w:szCs w:val="21"/>
                <w:lang w:val="zh-CN"/>
                <w14:textFill>
                  <w14:solidFill>
                    <w14:schemeClr w14:val="tx1"/>
                  </w14:solidFill>
                </w14:textFill>
              </w:rPr>
              <w:t>类型</w:t>
            </w:r>
          </w:p>
        </w:tc>
        <w:tc>
          <w:tcPr>
            <w:tcW w:w="1560" w:type="dxa"/>
            <w:noWrap/>
            <w:vAlign w:val="center"/>
          </w:tcPr>
          <w:p w14:paraId="0C3EC55C">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ascii="宋体"/>
                <w:b/>
                <w:color w:val="000000" w:themeColor="text1"/>
                <w:sz w:val="24"/>
                <w:szCs w:val="21"/>
                <w:lang w:val="zh-CN"/>
                <w14:textFill>
                  <w14:solidFill>
                    <w14:schemeClr w14:val="tx1"/>
                  </w14:solidFill>
                </w14:textFill>
              </w:rPr>
              <w:t>证书号</w:t>
            </w:r>
          </w:p>
        </w:tc>
        <w:tc>
          <w:tcPr>
            <w:tcW w:w="1276" w:type="dxa"/>
            <w:noWrap/>
            <w:vAlign w:val="center"/>
          </w:tcPr>
          <w:p w14:paraId="306296E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备    注</w:t>
            </w:r>
          </w:p>
        </w:tc>
      </w:tr>
      <w:tr w14:paraId="292B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5DB9CC40">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4FE741C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D4A55A9">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52FCB382">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F5DA39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0A4DF69">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7136FAAC">
            <w:pPr>
              <w:autoSpaceDE w:val="0"/>
              <w:autoSpaceDN w:val="0"/>
              <w:adjustRightInd w:val="0"/>
              <w:rPr>
                <w:rFonts w:ascii="宋体"/>
                <w:color w:val="000000" w:themeColor="text1"/>
                <w:sz w:val="24"/>
                <w:szCs w:val="21"/>
                <w:lang w:val="zh-CN"/>
                <w14:textFill>
                  <w14:solidFill>
                    <w14:schemeClr w14:val="tx1"/>
                  </w14:solidFill>
                </w14:textFill>
              </w:rPr>
            </w:pPr>
          </w:p>
        </w:tc>
      </w:tr>
      <w:tr w14:paraId="136A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D38702C">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635100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3540B4C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EFDA810">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405086B6">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784B85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9A32C62">
            <w:pPr>
              <w:autoSpaceDE w:val="0"/>
              <w:autoSpaceDN w:val="0"/>
              <w:adjustRightInd w:val="0"/>
              <w:rPr>
                <w:rFonts w:ascii="宋体"/>
                <w:color w:val="000000" w:themeColor="text1"/>
                <w:sz w:val="24"/>
                <w:szCs w:val="21"/>
                <w:lang w:val="zh-CN"/>
                <w14:textFill>
                  <w14:solidFill>
                    <w14:schemeClr w14:val="tx1"/>
                  </w14:solidFill>
                </w14:textFill>
              </w:rPr>
            </w:pPr>
          </w:p>
        </w:tc>
      </w:tr>
      <w:tr w14:paraId="2BA6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7752A8BE">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8B4D2F2">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E3E50F1">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B08EA06">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02328F7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35B919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FBE0BEA">
            <w:pPr>
              <w:autoSpaceDE w:val="0"/>
              <w:autoSpaceDN w:val="0"/>
              <w:adjustRightInd w:val="0"/>
              <w:rPr>
                <w:rFonts w:ascii="宋体"/>
                <w:color w:val="000000" w:themeColor="text1"/>
                <w:sz w:val="24"/>
                <w:szCs w:val="21"/>
                <w:lang w:val="zh-CN"/>
                <w14:textFill>
                  <w14:solidFill>
                    <w14:schemeClr w14:val="tx1"/>
                  </w14:solidFill>
                </w14:textFill>
              </w:rPr>
            </w:pPr>
          </w:p>
        </w:tc>
      </w:tr>
      <w:tr w14:paraId="5209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6CC1F3">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26486E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90A796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206B78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B2EC98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8541CE7">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54223D57">
            <w:pPr>
              <w:autoSpaceDE w:val="0"/>
              <w:autoSpaceDN w:val="0"/>
              <w:adjustRightInd w:val="0"/>
              <w:rPr>
                <w:rFonts w:ascii="宋体"/>
                <w:color w:val="000000" w:themeColor="text1"/>
                <w:sz w:val="24"/>
                <w:szCs w:val="21"/>
                <w:lang w:val="zh-CN"/>
                <w14:textFill>
                  <w14:solidFill>
                    <w14:schemeClr w14:val="tx1"/>
                  </w14:solidFill>
                </w14:textFill>
              </w:rPr>
            </w:pPr>
          </w:p>
        </w:tc>
      </w:tr>
      <w:tr w14:paraId="5CB7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6B1C47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0ADF563">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B2989E6">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699AB4F5">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1C32670">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5ACF786E">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49FC8F40">
            <w:pPr>
              <w:autoSpaceDE w:val="0"/>
              <w:autoSpaceDN w:val="0"/>
              <w:adjustRightInd w:val="0"/>
              <w:rPr>
                <w:rFonts w:ascii="宋体"/>
                <w:color w:val="000000" w:themeColor="text1"/>
                <w:sz w:val="24"/>
                <w:szCs w:val="21"/>
                <w:lang w:val="zh-CN"/>
                <w14:textFill>
                  <w14:solidFill>
                    <w14:schemeClr w14:val="tx1"/>
                  </w14:solidFill>
                </w14:textFill>
              </w:rPr>
            </w:pPr>
          </w:p>
        </w:tc>
      </w:tr>
      <w:tr w14:paraId="500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928A7D">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20C2686">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80A1E72">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84D46F4">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77C1920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64EB288">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06A2C08">
            <w:pPr>
              <w:autoSpaceDE w:val="0"/>
              <w:autoSpaceDN w:val="0"/>
              <w:adjustRightInd w:val="0"/>
              <w:rPr>
                <w:rFonts w:ascii="宋体"/>
                <w:color w:val="000000" w:themeColor="text1"/>
                <w:sz w:val="24"/>
                <w:szCs w:val="21"/>
                <w:lang w:val="zh-CN"/>
                <w14:textFill>
                  <w14:solidFill>
                    <w14:schemeClr w14:val="tx1"/>
                  </w14:solidFill>
                </w14:textFill>
              </w:rPr>
            </w:pPr>
          </w:p>
        </w:tc>
      </w:tr>
      <w:tr w14:paraId="686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88E18AA">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1F03A74">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34A931C">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51768A9">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129B68BE">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65D5EC2">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CFF0576">
            <w:pPr>
              <w:autoSpaceDE w:val="0"/>
              <w:autoSpaceDN w:val="0"/>
              <w:adjustRightInd w:val="0"/>
              <w:rPr>
                <w:rFonts w:ascii="宋体"/>
                <w:color w:val="000000" w:themeColor="text1"/>
                <w:sz w:val="24"/>
                <w:szCs w:val="21"/>
                <w:lang w:val="zh-CN"/>
                <w14:textFill>
                  <w14:solidFill>
                    <w14:schemeClr w14:val="tx1"/>
                  </w14:solidFill>
                </w14:textFill>
              </w:rPr>
            </w:pPr>
          </w:p>
        </w:tc>
      </w:tr>
      <w:tr w14:paraId="78C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39EDDE49">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EBEA99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2B8C6DFB">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389BC70D">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3C01685C">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22CD881D">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15B54B1">
            <w:pPr>
              <w:autoSpaceDE w:val="0"/>
              <w:autoSpaceDN w:val="0"/>
              <w:adjustRightInd w:val="0"/>
              <w:rPr>
                <w:rFonts w:ascii="宋体"/>
                <w:color w:val="000000" w:themeColor="text1"/>
                <w:sz w:val="24"/>
                <w:szCs w:val="21"/>
                <w:lang w:val="zh-CN"/>
                <w14:textFill>
                  <w14:solidFill>
                    <w14:schemeClr w14:val="tx1"/>
                  </w14:solidFill>
                </w14:textFill>
              </w:rPr>
            </w:pPr>
          </w:p>
        </w:tc>
      </w:tr>
      <w:tr w14:paraId="641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6CC2EB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E366A6F">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4796AB65">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26E0A7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215E7BA">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CF25CD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112CC3BC">
            <w:pPr>
              <w:autoSpaceDE w:val="0"/>
              <w:autoSpaceDN w:val="0"/>
              <w:adjustRightInd w:val="0"/>
              <w:rPr>
                <w:rFonts w:ascii="宋体"/>
                <w:color w:val="000000" w:themeColor="text1"/>
                <w:sz w:val="24"/>
                <w:szCs w:val="21"/>
                <w:lang w:val="zh-CN"/>
                <w14:textFill>
                  <w14:solidFill>
                    <w14:schemeClr w14:val="tx1"/>
                  </w14:solidFill>
                </w14:textFill>
              </w:rPr>
            </w:pPr>
          </w:p>
        </w:tc>
      </w:tr>
    </w:tbl>
    <w:p w14:paraId="712CABDE">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2465569">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5195D201">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155A56D3">
      <w:pPr>
        <w:autoSpaceDE w:val="0"/>
        <w:autoSpaceDN w:val="0"/>
        <w:adjustRightInd w:val="0"/>
        <w:rPr>
          <w:rFonts w:ascii="宋体"/>
          <w:color w:val="000000" w:themeColor="text1"/>
          <w:sz w:val="24"/>
          <w:szCs w:val="21"/>
          <w:lang w:val="zh-CN" w:eastAsia="zh-CN"/>
          <w14:textFill>
            <w14:solidFill>
              <w14:schemeClr w14:val="tx1"/>
            </w14:solidFill>
          </w14:textFill>
        </w:rPr>
      </w:pPr>
      <w:r>
        <w:rPr>
          <w:rFonts w:hint="eastAsia" w:ascii="宋体"/>
          <w:color w:val="000000" w:themeColor="text1"/>
          <w:sz w:val="24"/>
          <w:szCs w:val="21"/>
          <w:lang w:val="zh-CN" w:eastAsia="zh-CN"/>
          <w14:textFill>
            <w14:solidFill>
              <w14:schemeClr w14:val="tx1"/>
            </w14:solidFill>
          </w14:textFill>
        </w:rPr>
        <w:t>备注栏，可填写该人员擅长的工种，附相关证件加盖公章。</w:t>
      </w:r>
    </w:p>
    <w:p w14:paraId="12EA50BB">
      <w:pPr>
        <w:autoSpaceDE w:val="0"/>
        <w:autoSpaceDN w:val="0"/>
        <w:adjustRightInd w:val="0"/>
        <w:rPr>
          <w:rFonts w:ascii="宋体"/>
          <w:color w:val="000000" w:themeColor="text1"/>
          <w:sz w:val="24"/>
          <w:szCs w:val="21"/>
          <w:lang w:val="zh-CN" w:eastAsia="zh-CN"/>
          <w14:textFill>
            <w14:solidFill>
              <w14:schemeClr w14:val="tx1"/>
            </w14:solidFill>
          </w14:textFill>
        </w:rPr>
      </w:pPr>
    </w:p>
    <w:p w14:paraId="0A77160F">
      <w:pPr>
        <w:autoSpaceDE w:val="0"/>
        <w:autoSpaceDN w:val="0"/>
        <w:adjustRightInd w:val="0"/>
        <w:rPr>
          <w:rFonts w:ascii="宋体"/>
          <w:color w:val="000000" w:themeColor="text1"/>
          <w:sz w:val="24"/>
          <w:szCs w:val="21"/>
          <w:lang w:val="zh-CN" w:eastAsia="zh-CN"/>
          <w14:textFill>
            <w14:solidFill>
              <w14:schemeClr w14:val="tx1"/>
            </w14:solidFill>
          </w14:textFill>
        </w:rPr>
      </w:pPr>
    </w:p>
    <w:p w14:paraId="11E3D091">
      <w:pPr>
        <w:autoSpaceDE w:val="0"/>
        <w:autoSpaceDN w:val="0"/>
        <w:adjustRightInd w:val="0"/>
        <w:rPr>
          <w:rFonts w:ascii="宋体"/>
          <w:color w:val="000000" w:themeColor="text1"/>
          <w:sz w:val="24"/>
          <w:szCs w:val="21"/>
          <w:lang w:val="zh-CN" w:eastAsia="zh-CN"/>
          <w14:textFill>
            <w14:solidFill>
              <w14:schemeClr w14:val="tx1"/>
            </w14:solidFill>
          </w14:textFill>
        </w:rPr>
      </w:pPr>
    </w:p>
    <w:p w14:paraId="6D5ED64E">
      <w:pPr>
        <w:autoSpaceDE w:val="0"/>
        <w:autoSpaceDN w:val="0"/>
        <w:adjustRightInd w:val="0"/>
        <w:rPr>
          <w:rFonts w:ascii="宋体" w:eastAsiaTheme="minorEastAsia"/>
          <w:color w:val="000000" w:themeColor="text1"/>
          <w:sz w:val="24"/>
          <w:szCs w:val="21"/>
          <w:lang w:val="zh-CN" w:eastAsia="zh-CN"/>
          <w14:textFill>
            <w14:solidFill>
              <w14:schemeClr w14:val="tx1"/>
            </w14:solidFill>
          </w14:textFill>
        </w:rPr>
      </w:pPr>
    </w:p>
    <w:p w14:paraId="7C5E6E96">
      <w:pPr>
        <w:pStyle w:val="71"/>
        <w:rPr>
          <w:rFonts w:eastAsiaTheme="minorEastAsia"/>
          <w:color w:val="000000" w:themeColor="text1"/>
          <w:lang w:val="zh-CN" w:eastAsia="zh-CN"/>
          <w14:textFill>
            <w14:solidFill>
              <w14:schemeClr w14:val="tx1"/>
            </w14:solidFill>
          </w14:textFill>
        </w:rPr>
      </w:pPr>
    </w:p>
    <w:p w14:paraId="210DFF94">
      <w:pPr>
        <w:autoSpaceDE w:val="0"/>
        <w:autoSpaceDN w:val="0"/>
        <w:adjustRightInd w:val="0"/>
        <w:rPr>
          <w:rFonts w:ascii="宋体"/>
          <w:color w:val="000000" w:themeColor="text1"/>
          <w:sz w:val="24"/>
          <w:szCs w:val="21"/>
          <w:lang w:val="zh-CN" w:eastAsia="zh-CN"/>
          <w14:textFill>
            <w14:solidFill>
              <w14:schemeClr w14:val="tx1"/>
            </w14:solidFill>
          </w14:textFill>
        </w:rPr>
      </w:pPr>
    </w:p>
    <w:p w14:paraId="0D41D84F">
      <w:pPr>
        <w:autoSpaceDE w:val="0"/>
        <w:autoSpaceDN w:val="0"/>
        <w:adjustRightInd w:val="0"/>
        <w:rPr>
          <w:rFonts w:ascii="宋体"/>
          <w:color w:val="000000" w:themeColor="text1"/>
          <w:sz w:val="24"/>
          <w:szCs w:val="21"/>
          <w:lang w:val="zh-CN" w:eastAsia="zh-CN"/>
          <w14:textFill>
            <w14:solidFill>
              <w14:schemeClr w14:val="tx1"/>
            </w14:solidFill>
          </w14:textFill>
        </w:rPr>
      </w:pPr>
    </w:p>
    <w:p w14:paraId="075B62E2">
      <w:pPr>
        <w:autoSpaceDE w:val="0"/>
        <w:autoSpaceDN w:val="0"/>
        <w:adjustRightInd w:val="0"/>
        <w:rPr>
          <w:rFonts w:ascii="宋体" w:hAnsi="宋体" w:eastAsiaTheme="minorEastAsia"/>
          <w:b/>
          <w:color w:val="000000" w:themeColor="text1"/>
          <w:sz w:val="24"/>
          <w:szCs w:val="21"/>
          <w:lang w:eastAsia="zh-CN"/>
          <w14:textFill>
            <w14:solidFill>
              <w14:schemeClr w14:val="tx1"/>
            </w14:solidFill>
          </w14:textFill>
        </w:rPr>
      </w:pPr>
    </w:p>
    <w:p w14:paraId="5A45DB88">
      <w:pPr>
        <w:widowControl/>
        <w:adjustRightInd w:val="0"/>
        <w:spacing w:line="240" w:lineRule="atLeast"/>
        <w:outlineLvl w:val="1"/>
        <w:rPr>
          <w:rFonts w:hint="eastAsia"/>
          <w:b/>
          <w:color w:val="000000" w:themeColor="text1"/>
          <w:sz w:val="24"/>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30" w:name="_Toc11058"/>
      <w:bookmarkStart w:id="731" w:name="_Toc459109600"/>
      <w:bookmarkStart w:id="732" w:name="_Toc14286"/>
      <w:bookmarkStart w:id="733" w:name="_Toc175663957"/>
      <w:bookmarkStart w:id="734" w:name="_Toc354594121"/>
    </w:p>
    <w:p w14:paraId="061C0F96">
      <w:pPr>
        <w:widowControl/>
        <w:adjustRightInd w:val="0"/>
        <w:spacing w:line="240" w:lineRule="atLeast"/>
        <w:outlineLvl w:val="1"/>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八、无重大违法记录声明格式</w:t>
      </w:r>
      <w:bookmarkEnd w:id="730"/>
      <w:bookmarkEnd w:id="731"/>
      <w:bookmarkEnd w:id="732"/>
      <w:bookmarkEnd w:id="733"/>
    </w:p>
    <w:p w14:paraId="36109D31">
      <w:pPr>
        <w:jc w:val="center"/>
        <w:rPr>
          <w:rFonts w:ascii="黑体" w:eastAsia="黑体"/>
          <w:color w:val="000000" w:themeColor="text1"/>
          <w:sz w:val="44"/>
          <w:szCs w:val="36"/>
          <w:lang w:eastAsia="zh-CN"/>
          <w14:textFill>
            <w14:solidFill>
              <w14:schemeClr w14:val="tx1"/>
            </w14:solidFill>
          </w14:textFill>
        </w:rPr>
      </w:pPr>
      <w:r>
        <w:rPr>
          <w:rFonts w:hint="eastAsia" w:ascii="宋体" w:hAnsi="宋体" w:cs="黑体"/>
          <w:b/>
          <w:bCs/>
          <w:color w:val="000000" w:themeColor="text1"/>
          <w:sz w:val="36"/>
          <w:szCs w:val="28"/>
          <w:lang w:val="zh-CN" w:eastAsia="zh-CN"/>
          <w14:textFill>
            <w14:solidFill>
              <w14:schemeClr w14:val="tx1"/>
            </w14:solidFill>
          </w14:textFill>
        </w:rPr>
        <w:t>无重大违法记录声明</w:t>
      </w:r>
    </w:p>
    <w:p w14:paraId="0A18ECB6">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val="en-US" w:eastAsia="zh-CN"/>
          <w14:textFill>
            <w14:solidFill>
              <w14:schemeClr w14:val="tx1"/>
            </w14:solidFill>
          </w14:textFill>
        </w:rPr>
        <w:t>（建设单位）</w:t>
      </w:r>
      <w:r>
        <w:rPr>
          <w:rFonts w:hint="eastAsia" w:ascii="宋体" w:hAnsi="宋体" w:cs="仿宋_GB2312"/>
          <w:color w:val="000000" w:themeColor="text1"/>
          <w:spacing w:val="6"/>
          <w:sz w:val="24"/>
          <w:szCs w:val="21"/>
          <w:lang w:eastAsia="zh-CN"/>
          <w14:textFill>
            <w14:solidFill>
              <w14:schemeClr w14:val="tx1"/>
            </w14:solidFill>
          </w14:textFill>
        </w:rPr>
        <w:t>：</w:t>
      </w:r>
    </w:p>
    <w:p w14:paraId="2F32E5BF">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我单位</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（供应商名称）郑重声明：</w:t>
      </w:r>
    </w:p>
    <w:p w14:paraId="64608B2A">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参加政府采购活动前3年内在经营活动中</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（在下划线上如实填写：有或没有）重大违法记录。</w:t>
      </w:r>
    </w:p>
    <w:p w14:paraId="39626E24">
      <w:pPr>
        <w:spacing w:line="600" w:lineRule="exact"/>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（说明：政府采购法第二十二条第一款第五项所称重大违法记录，是指供应商因违法经营受到刑事处罚或者责令停产停业、吊销许可证或者执照、较大数额罚款等行政处罚）</w:t>
      </w:r>
    </w:p>
    <w:p w14:paraId="7FA57576">
      <w:pPr>
        <w:autoSpaceDE w:val="0"/>
        <w:autoSpaceDN w:val="0"/>
        <w:adjustRightInd w:val="0"/>
        <w:spacing w:line="600" w:lineRule="exact"/>
        <w:ind w:right="924"/>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60F9B8F8">
      <w:pPr>
        <w:autoSpaceDE w:val="0"/>
        <w:autoSpaceDN w:val="0"/>
        <w:adjustRightInd w:val="0"/>
        <w:spacing w:line="600" w:lineRule="exact"/>
        <w:jc w:val="right"/>
        <w:rPr>
          <w:rFonts w:ascii="宋体" w:hAnsi="宋体"/>
          <w:b/>
          <w:color w:val="000000" w:themeColor="text1"/>
          <w:sz w:val="24"/>
          <w:szCs w:val="21"/>
          <w:lang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2C2E038B">
      <w:pPr>
        <w:bidi w:val="0"/>
        <w:rPr>
          <w:lang w:eastAsia="zh-CN"/>
        </w:rPr>
      </w:pPr>
      <w:bookmarkStart w:id="735" w:name="_Toc504126844"/>
      <w:bookmarkStart w:id="736" w:name="_Toc506199234"/>
    </w:p>
    <w:p w14:paraId="6E9CEAB7">
      <w:pPr>
        <w:bidi w:val="0"/>
        <w:rPr>
          <w:lang w:eastAsia="zh-CN"/>
        </w:rPr>
      </w:pPr>
    </w:p>
    <w:p w14:paraId="6393B2F1">
      <w:pPr>
        <w:bidi w:val="0"/>
        <w:rPr>
          <w:lang w:eastAsia="zh-CN"/>
        </w:rPr>
      </w:pPr>
    </w:p>
    <w:p w14:paraId="4720D516">
      <w:pPr>
        <w:bidi w:val="0"/>
        <w:rPr>
          <w:lang w:eastAsia="zh-CN"/>
        </w:rPr>
      </w:pPr>
    </w:p>
    <w:p w14:paraId="2ABB0117">
      <w:pPr>
        <w:autoSpaceDE w:val="0"/>
        <w:autoSpaceDN w:val="0"/>
        <w:adjustRightInd w:val="0"/>
        <w:spacing w:line="460" w:lineRule="exact"/>
        <w:outlineLvl w:val="1"/>
        <w:rPr>
          <w:rFonts w:ascii="宋体" w:hAnsi="宋体" w:cs="黑体"/>
          <w:b/>
          <w:bCs/>
          <w:color w:val="000000" w:themeColor="text1"/>
          <w:sz w:val="24"/>
          <w:szCs w:val="21"/>
          <w:lang w:val="zh-CN" w:eastAsia="zh-CN"/>
          <w14:textFill>
            <w14:solidFill>
              <w14:schemeClr w14:val="tx1"/>
            </w14:solidFill>
          </w14:textFill>
        </w:rPr>
      </w:pPr>
      <w:bookmarkStart w:id="737" w:name="_Toc175663958"/>
      <w:bookmarkStart w:id="738" w:name="_Toc27923"/>
      <w:bookmarkStart w:id="739" w:name="_Toc11616"/>
      <w:r>
        <w:rPr>
          <w:rFonts w:hint="eastAsia" w:ascii="宋体" w:hAnsi="宋体" w:cs="黑体"/>
          <w:b/>
          <w:bCs/>
          <w:color w:val="000000" w:themeColor="text1"/>
          <w:sz w:val="24"/>
          <w:szCs w:val="21"/>
          <w:lang w:eastAsia="zh-CN"/>
          <w14:textFill>
            <w14:solidFill>
              <w14:schemeClr w14:val="tx1"/>
            </w14:solidFill>
          </w14:textFill>
        </w:rPr>
        <w:t>九</w:t>
      </w:r>
      <w:r>
        <w:rPr>
          <w:rFonts w:hint="eastAsia" w:ascii="宋体" w:hAnsi="宋体" w:cs="黑体"/>
          <w:b/>
          <w:bCs/>
          <w:color w:val="000000" w:themeColor="text1"/>
          <w:sz w:val="24"/>
          <w:szCs w:val="21"/>
          <w:lang w:val="zh-CN" w:eastAsia="zh-CN"/>
          <w14:textFill>
            <w14:solidFill>
              <w14:schemeClr w14:val="tx1"/>
            </w14:solidFill>
          </w14:textFill>
        </w:rPr>
        <w:t>、具备履行合同所必需的设备和专业技术能力的书面声明</w:t>
      </w:r>
      <w:bookmarkEnd w:id="735"/>
      <w:bookmarkEnd w:id="736"/>
      <w:bookmarkEnd w:id="737"/>
      <w:bookmarkEnd w:id="738"/>
      <w:bookmarkEnd w:id="739"/>
    </w:p>
    <w:p w14:paraId="5D80D4AA">
      <w:pPr>
        <w:spacing w:line="360" w:lineRule="auto"/>
        <w:ind w:firstLine="504" w:firstLineChars="200"/>
        <w:rPr>
          <w:color w:val="000000" w:themeColor="text1"/>
          <w:spacing w:val="6"/>
          <w:sz w:val="24"/>
          <w:szCs w:val="21"/>
          <w:lang w:eastAsia="zh-CN"/>
          <w14:textFill>
            <w14:solidFill>
              <w14:schemeClr w14:val="tx1"/>
            </w14:solidFill>
          </w14:textFill>
        </w:rPr>
      </w:pPr>
    </w:p>
    <w:p w14:paraId="4EBFD168">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我单位郑重声明：我单位具备履行本项采购合同所必需的设备和专业技术能力，为履行本项采购合同我公司具备如下主要设备和主要专业技术能力：</w:t>
      </w:r>
    </w:p>
    <w:p w14:paraId="11D9BD0D">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主要设备有：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2E21E63A">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主要专业技术能力有：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12A749B9">
      <w:pPr>
        <w:autoSpaceDE w:val="0"/>
        <w:autoSpaceDN w:val="0"/>
        <w:adjustRightInd w:val="0"/>
        <w:rPr>
          <w:rFonts w:ascii="宋体" w:hAnsi="宋体" w:cs="宋体"/>
          <w:color w:val="000000" w:themeColor="text1"/>
          <w:sz w:val="24"/>
          <w:szCs w:val="21"/>
          <w:lang w:val="zh-CN" w:eastAsia="zh-CN"/>
          <w14:textFill>
            <w14:solidFill>
              <w14:schemeClr w14:val="tx1"/>
            </w14:solidFill>
          </w14:textFill>
        </w:rPr>
      </w:pPr>
    </w:p>
    <w:p w14:paraId="56492BA2">
      <w:pPr>
        <w:autoSpaceDE w:val="0"/>
        <w:autoSpaceDN w:val="0"/>
        <w:adjustRightInd w:val="0"/>
        <w:snapToGrid w:val="0"/>
        <w:spacing w:line="600" w:lineRule="exact"/>
        <w:ind w:right="840"/>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175546A5">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681AC0EC">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p>
    <w:p w14:paraId="37E20AA7">
      <w:pPr>
        <w:autoSpaceDE w:val="0"/>
        <w:autoSpaceDN w:val="0"/>
        <w:adjustRightInd w:val="0"/>
        <w:snapToGrid w:val="0"/>
        <w:spacing w:line="600" w:lineRule="exact"/>
        <w:rPr>
          <w:rFonts w:ascii="宋体" w:hAnsi="宋体"/>
          <w:color w:val="000000" w:themeColor="text1"/>
          <w:sz w:val="24"/>
          <w:lang w:eastAsia="zh-CN"/>
          <w14:textFill>
            <w14:solidFill>
              <w14:schemeClr w14:val="tx1"/>
            </w14:solidFill>
          </w14:textFill>
        </w:rPr>
      </w:pPr>
    </w:p>
    <w:p w14:paraId="3371781E">
      <w:pPr>
        <w:wordWrap w:val="0"/>
        <w:ind w:right="444"/>
        <w:rPr>
          <w:rFonts w:ascii="宋体" w:hAnsi="宋体"/>
          <w:b/>
          <w:color w:val="000000" w:themeColor="text1"/>
          <w:sz w:val="24"/>
          <w:szCs w:val="21"/>
          <w:lang w:eastAsia="zh-CN"/>
          <w14:textFill>
            <w14:solidFill>
              <w14:schemeClr w14:val="tx1"/>
            </w14:solidFill>
          </w14:textFill>
        </w:rPr>
      </w:pPr>
    </w:p>
    <w:p w14:paraId="130730C0">
      <w:pPr>
        <w:wordWrap w:val="0"/>
        <w:ind w:right="444"/>
        <w:rPr>
          <w:rFonts w:ascii="宋体" w:hAnsi="宋体"/>
          <w:b/>
          <w:color w:val="000000" w:themeColor="text1"/>
          <w:sz w:val="24"/>
          <w:szCs w:val="21"/>
          <w:lang w:eastAsia="zh-CN"/>
          <w14:textFill>
            <w14:solidFill>
              <w14:schemeClr w14:val="tx1"/>
            </w14:solidFill>
          </w14:textFill>
        </w:rPr>
      </w:pPr>
    </w:p>
    <w:p w14:paraId="54DEC1A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40" w:name="_Toc28457"/>
      <w:bookmarkStart w:id="741" w:name="_Toc13813"/>
      <w:bookmarkStart w:id="742" w:name="_Toc175663959"/>
    </w:p>
    <w:p w14:paraId="49FB0F2E">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w:t>
      </w:r>
      <w:bookmarkEnd w:id="734"/>
      <w:bookmarkEnd w:id="740"/>
      <w:bookmarkEnd w:id="741"/>
      <w:r>
        <w:rPr>
          <w:rFonts w:hint="eastAsia" w:ascii="宋体" w:hAnsi="宋体"/>
          <w:b/>
          <w:color w:val="000000" w:themeColor="text1"/>
          <w:sz w:val="24"/>
          <w:szCs w:val="21"/>
          <w:lang w:eastAsia="zh-CN"/>
          <w14:textFill>
            <w14:solidFill>
              <w14:schemeClr w14:val="tx1"/>
            </w14:solidFill>
          </w14:textFill>
        </w:rPr>
        <w:t>售后服务承诺书</w:t>
      </w:r>
      <w:bookmarkEnd w:id="742"/>
    </w:p>
    <w:p w14:paraId="64A704C3">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r>
        <w:rPr>
          <w:rFonts w:hint="eastAsia" w:ascii="黑体" w:eastAsia="黑体" w:cs="黑体"/>
          <w:b/>
          <w:bCs/>
          <w:color w:val="000000" w:themeColor="text1"/>
          <w:sz w:val="36"/>
          <w:szCs w:val="28"/>
          <w:lang w:val="zh-CN" w:eastAsia="zh-CN"/>
          <w14:textFill>
            <w14:solidFill>
              <w14:schemeClr w14:val="tx1"/>
            </w14:solidFill>
          </w14:textFill>
        </w:rPr>
        <w:t>售后服务承诺书</w:t>
      </w:r>
    </w:p>
    <w:p w14:paraId="3FBF0C98">
      <w:pPr>
        <w:autoSpaceDE w:val="0"/>
        <w:autoSpaceDN w:val="0"/>
        <w:adjustRightInd w:val="0"/>
        <w:rPr>
          <w:rFonts w:eastAsia="黑体"/>
          <w:color w:val="000000" w:themeColor="text1"/>
          <w:sz w:val="24"/>
          <w:szCs w:val="21"/>
          <w:lang w:eastAsia="zh-CN"/>
          <w14:textFill>
            <w14:solidFill>
              <w14:schemeClr w14:val="tx1"/>
            </w14:solidFill>
          </w14:textFill>
        </w:rPr>
      </w:pPr>
    </w:p>
    <w:p w14:paraId="36BF0ED3">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ab/>
      </w:r>
      <w:r>
        <w:rPr>
          <w:rFonts w:hint="eastAsia" w:ascii="宋体" w:cs="宋体"/>
          <w:color w:val="000000" w:themeColor="text1"/>
          <w:sz w:val="24"/>
          <w:szCs w:val="21"/>
          <w:lang w:val="zh-CN" w:eastAsia="zh-CN"/>
          <w14:textFill>
            <w14:solidFill>
              <w14:schemeClr w14:val="tx1"/>
            </w14:solidFill>
          </w14:textFill>
        </w:rPr>
        <w:t>我公司就项目编号为“JSZC-320104-LJKJ-C2025-0001”的</w:t>
      </w:r>
      <w:r>
        <w:rPr>
          <w:rFonts w:hint="eastAsia" w:ascii="宋体" w:hAnsi="宋体" w:eastAsia="宋体" w:cs="宋体"/>
          <w:color w:val="000000" w:themeColor="text1"/>
          <w:sz w:val="24"/>
          <w:u w:val="single"/>
          <w:lang w:eastAsia="zh-CN"/>
          <w14:textFill>
            <w14:solidFill>
              <w14:schemeClr w14:val="tx1"/>
            </w14:solidFill>
          </w14:textFill>
        </w:rPr>
        <w:t>南京市秦淮区机关办公大楼幕墙维修项目</w:t>
      </w:r>
      <w:r>
        <w:rPr>
          <w:rFonts w:hint="eastAsia" w:ascii="宋体" w:cs="宋体"/>
          <w:color w:val="000000" w:themeColor="text1"/>
          <w:sz w:val="24"/>
          <w:szCs w:val="21"/>
          <w:u w:val="single"/>
          <w:lang w:val="zh-CN" w:eastAsia="zh-CN"/>
          <w14:textFill>
            <w14:solidFill>
              <w14:schemeClr w14:val="tx1"/>
            </w14:solidFill>
          </w14:textFill>
        </w:rPr>
        <w:t xml:space="preserve"> </w:t>
      </w:r>
      <w:r>
        <w:rPr>
          <w:rFonts w:hint="eastAsia" w:ascii="宋体" w:cs="宋体"/>
          <w:color w:val="000000" w:themeColor="text1"/>
          <w:sz w:val="24"/>
          <w:szCs w:val="21"/>
          <w:lang w:val="zh-CN" w:eastAsia="zh-CN"/>
          <w14:textFill>
            <w14:solidFill>
              <w14:schemeClr w14:val="tx1"/>
            </w14:solidFill>
          </w14:textFill>
        </w:rPr>
        <w:t>质量保证及服务承诺如下：</w:t>
      </w:r>
    </w:p>
    <w:p w14:paraId="73CD2353">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p>
    <w:p w14:paraId="2C3E32CF">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（其他售后服务承诺供应商自拟）</w:t>
      </w:r>
    </w:p>
    <w:p w14:paraId="3E4805E5">
      <w:pPr>
        <w:autoSpaceDE w:val="0"/>
        <w:autoSpaceDN w:val="0"/>
        <w:adjustRightInd w:val="0"/>
        <w:ind w:firstLine="360"/>
        <w:rPr>
          <w:rFonts w:ascii="宋体" w:cs="宋体"/>
          <w:color w:val="000000" w:themeColor="text1"/>
          <w:sz w:val="24"/>
          <w:szCs w:val="21"/>
          <w:lang w:val="zh-CN" w:eastAsia="zh-CN"/>
          <w14:textFill>
            <w14:solidFill>
              <w14:schemeClr w14:val="tx1"/>
            </w14:solidFill>
          </w14:textFill>
        </w:rPr>
      </w:pPr>
    </w:p>
    <w:p w14:paraId="364A229C">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F84836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35C9FA3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4319E17">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94E92A2">
      <w:pPr>
        <w:bidi w:val="0"/>
        <w:rPr>
          <w:lang w:eastAsia="zh-CN"/>
        </w:rPr>
      </w:pPr>
    </w:p>
    <w:p w14:paraId="65D5052B">
      <w:pPr>
        <w:outlineLvl w:val="1"/>
        <w:rPr>
          <w:rFonts w:ascii="宋体" w:hAnsi="宋体"/>
          <w:b/>
          <w:color w:val="000000" w:themeColor="text1"/>
          <w:sz w:val="24"/>
          <w:szCs w:val="21"/>
          <w:lang w:eastAsia="zh-CN"/>
          <w14:textFill>
            <w14:solidFill>
              <w14:schemeClr w14:val="tx1"/>
            </w14:solidFill>
          </w14:textFill>
        </w:rPr>
      </w:pPr>
      <w:bookmarkStart w:id="743" w:name="_Toc20990"/>
      <w:bookmarkStart w:id="744" w:name="_Toc175663960"/>
      <w:bookmarkStart w:id="745" w:name="_Toc29039"/>
      <w:r>
        <w:rPr>
          <w:rFonts w:hint="eastAsia" w:ascii="宋体" w:hAnsi="宋体"/>
          <w:b/>
          <w:color w:val="000000" w:themeColor="text1"/>
          <w:sz w:val="24"/>
          <w:szCs w:val="21"/>
          <w:lang w:eastAsia="zh-CN"/>
          <w14:textFill>
            <w14:solidFill>
              <w14:schemeClr w14:val="tx1"/>
            </w14:solidFill>
          </w14:textFill>
        </w:rPr>
        <w:t>十一、</w:t>
      </w:r>
      <w:bookmarkStart w:id="746" w:name="_Toc354594122"/>
      <w:r>
        <w:rPr>
          <w:rFonts w:hint="eastAsia" w:ascii="宋体" w:hAnsi="宋体"/>
          <w:b/>
          <w:color w:val="000000" w:themeColor="text1"/>
          <w:sz w:val="24"/>
          <w:szCs w:val="21"/>
          <w:lang w:eastAsia="zh-CN"/>
          <w14:textFill>
            <w14:solidFill>
              <w14:schemeClr w14:val="tx1"/>
            </w14:solidFill>
          </w14:textFill>
        </w:rPr>
        <w:t>中小企业声明函</w:t>
      </w:r>
      <w:bookmarkEnd w:id="743"/>
      <w:bookmarkEnd w:id="744"/>
      <w:bookmarkEnd w:id="745"/>
      <w:bookmarkEnd w:id="746"/>
    </w:p>
    <w:p w14:paraId="6E70D415">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bookmarkStart w:id="747" w:name="_Toc341184790"/>
      <w:r>
        <w:rPr>
          <w:rFonts w:hint="eastAsia" w:ascii="黑体" w:eastAsia="黑体" w:cs="黑体"/>
          <w:b/>
          <w:bCs/>
          <w:color w:val="000000" w:themeColor="text1"/>
          <w:sz w:val="36"/>
          <w:szCs w:val="28"/>
          <w:lang w:val="zh-CN" w:eastAsia="zh-CN"/>
          <w14:textFill>
            <w14:solidFill>
              <w14:schemeClr w14:val="tx1"/>
            </w14:solidFill>
          </w14:textFill>
        </w:rPr>
        <w:t>中小企业声明函</w:t>
      </w:r>
      <w:bookmarkEnd w:id="747"/>
    </w:p>
    <w:p w14:paraId="5F703171">
      <w:pPr>
        <w:rPr>
          <w:rFonts w:ascii="宋体" w:hAnsi="宋体"/>
          <w:b/>
          <w:color w:val="000000" w:themeColor="text1"/>
          <w:sz w:val="24"/>
          <w:szCs w:val="21"/>
          <w:lang w:eastAsia="zh-CN"/>
          <w14:textFill>
            <w14:solidFill>
              <w14:schemeClr w14:val="tx1"/>
            </w14:solidFill>
          </w14:textFill>
        </w:rPr>
      </w:pPr>
    </w:p>
    <w:p w14:paraId="66FBA469">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本公司郑重声明，根据《政府采购促进中小企业发展暂行办法》（财库</w:t>
      </w:r>
      <w:r>
        <w:rPr>
          <w:rFonts w:ascii="宋体" w:hAnsi="宋体" w:cs="仿宋_GB2312"/>
          <w:color w:val="000000" w:themeColor="text1"/>
          <w:spacing w:val="6"/>
          <w:sz w:val="24"/>
          <w:szCs w:val="21"/>
          <w:lang w:eastAsia="zh-CN"/>
          <w14:textFill>
            <w14:solidFill>
              <w14:schemeClr w14:val="tx1"/>
            </w14:solidFill>
          </w14:textFill>
        </w:rPr>
        <w:t>[2011]181</w:t>
      </w:r>
      <w:r>
        <w:rPr>
          <w:rFonts w:hint="eastAsia" w:ascii="宋体" w:hAnsi="宋体" w:cs="仿宋_GB2312"/>
          <w:color w:val="000000" w:themeColor="text1"/>
          <w:spacing w:val="6"/>
          <w:sz w:val="24"/>
          <w:szCs w:val="21"/>
          <w:lang w:eastAsia="zh-CN"/>
          <w14:textFill>
            <w14:solidFill>
              <w14:schemeClr w14:val="tx1"/>
            </w14:solidFill>
          </w14:textFill>
        </w:rPr>
        <w:t>号）的规定，本公司为</w:t>
      </w:r>
      <w:bookmarkStart w:id="748" w:name="OLE_LINK2"/>
      <w:bookmarkStart w:id="749" w:name="OLE_LINK5"/>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（请填写：中型、小型、微型）企业</w:t>
      </w:r>
      <w:bookmarkEnd w:id="748"/>
      <w:bookmarkEnd w:id="749"/>
      <w:r>
        <w:rPr>
          <w:rFonts w:hint="eastAsia" w:ascii="宋体" w:hAnsi="宋体" w:cs="仿宋_GB2312"/>
          <w:color w:val="000000" w:themeColor="text1"/>
          <w:spacing w:val="6"/>
          <w:sz w:val="24"/>
          <w:szCs w:val="21"/>
          <w:lang w:eastAsia="zh-CN"/>
          <w14:textFill>
            <w14:solidFill>
              <w14:schemeClr w14:val="tx1"/>
            </w14:solidFill>
          </w14:textFill>
        </w:rPr>
        <w:t>。即，本公司同时满足以下条件：</w:t>
      </w:r>
    </w:p>
    <w:p w14:paraId="67A624EF">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ascii="宋体" w:hAnsi="宋体" w:cs="仿宋_GB2312"/>
          <w:color w:val="000000" w:themeColor="text1"/>
          <w:spacing w:val="6"/>
          <w:sz w:val="24"/>
          <w:szCs w:val="21"/>
          <w:lang w:eastAsia="zh-CN"/>
          <w14:textFill>
            <w14:solidFill>
              <w14:schemeClr w14:val="tx1"/>
            </w14:solidFill>
          </w14:textFill>
        </w:rPr>
        <w:t>1.</w:t>
      </w:r>
      <w:r>
        <w:rPr>
          <w:rFonts w:hint="eastAsia" w:ascii="宋体" w:hAnsi="宋体" w:cs="仿宋_GB2312"/>
          <w:color w:val="000000" w:themeColor="text1"/>
          <w:spacing w:val="6"/>
          <w:sz w:val="24"/>
          <w:szCs w:val="21"/>
          <w:lang w:eastAsia="zh-CN"/>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仿宋_GB2312"/>
          <w:color w:val="000000" w:themeColor="text1"/>
          <w:spacing w:val="6"/>
          <w:sz w:val="24"/>
          <w:szCs w:val="21"/>
          <w:lang w:eastAsia="zh-CN"/>
          <w14:textFill>
            <w14:solidFill>
              <w14:schemeClr w14:val="tx1"/>
            </w14:solidFill>
          </w14:textFill>
        </w:rPr>
        <w:t>[2011]300</w:t>
      </w:r>
      <w:r>
        <w:rPr>
          <w:rFonts w:hint="eastAsia" w:ascii="宋体" w:hAnsi="宋体" w:cs="仿宋_GB2312"/>
          <w:color w:val="000000" w:themeColor="text1"/>
          <w:spacing w:val="6"/>
          <w:sz w:val="24"/>
          <w:szCs w:val="21"/>
          <w:lang w:eastAsia="zh-CN"/>
          <w14:textFill>
            <w14:solidFill>
              <w14:schemeClr w14:val="tx1"/>
            </w14:solidFill>
          </w14:textFill>
        </w:rPr>
        <w:t>号）规定的划分标准，本公司为</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（请填写：中型、小型、微型）企业。</w:t>
      </w:r>
    </w:p>
    <w:p w14:paraId="116D4324">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ascii="宋体" w:hAnsi="宋体" w:cs="仿宋_GB2312"/>
          <w:color w:val="000000" w:themeColor="text1"/>
          <w:spacing w:val="6"/>
          <w:sz w:val="24"/>
          <w:szCs w:val="21"/>
          <w:lang w:eastAsia="zh-CN"/>
          <w14:textFill>
            <w14:solidFill>
              <w14:schemeClr w14:val="tx1"/>
            </w14:solidFill>
          </w14:textFill>
        </w:rPr>
        <w:t>2.</w:t>
      </w:r>
      <w:r>
        <w:rPr>
          <w:rFonts w:hint="eastAsia" w:ascii="宋体" w:hAnsi="宋体" w:cs="仿宋_GB2312"/>
          <w:color w:val="000000" w:themeColor="text1"/>
          <w:spacing w:val="6"/>
          <w:sz w:val="24"/>
          <w:szCs w:val="21"/>
          <w:lang w:eastAsia="zh-CN"/>
          <w14:textFill>
            <w14:solidFill>
              <w14:schemeClr w14:val="tx1"/>
            </w14:solidFill>
          </w14:textFill>
        </w:rPr>
        <w:t>本公司参加</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单位的</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项目采购活动提供本企业制造的货物，由本企业承担工程、提供服务，或者提供其他</w:t>
      </w:r>
      <w:r>
        <w:rPr>
          <w:rFonts w:ascii="宋体" w:hAnsi="宋体" w:cs="仿宋_GB2312"/>
          <w:color w:val="000000" w:themeColor="text1"/>
          <w:spacing w:val="6"/>
          <w:sz w:val="24"/>
          <w:szCs w:val="21"/>
          <w:lang w:eastAsia="zh-CN"/>
          <w14:textFill>
            <w14:solidFill>
              <w14:schemeClr w14:val="tx1"/>
            </w14:solidFill>
          </w14:textFill>
        </w:rPr>
        <w:t>______</w:t>
      </w:r>
      <w:r>
        <w:rPr>
          <w:rFonts w:hint="eastAsia" w:ascii="宋体" w:hAnsi="宋体" w:cs="仿宋_GB2312"/>
          <w:color w:val="000000" w:themeColor="text1"/>
          <w:spacing w:val="6"/>
          <w:sz w:val="24"/>
          <w:szCs w:val="21"/>
          <w:lang w:eastAsia="zh-CN"/>
          <w14:textFill>
            <w14:solidFill>
              <w14:schemeClr w14:val="tx1"/>
            </w14:solidFill>
          </w14:textFill>
        </w:rPr>
        <w:t>（请填写：中型、小型、微型）企业制造的货物。本条所称货物不包括使用大型企业注册商标的货物。</w:t>
      </w:r>
    </w:p>
    <w:p w14:paraId="2CF962C7">
      <w:pPr>
        <w:spacing w:line="500" w:lineRule="exact"/>
        <w:ind w:firstLine="504" w:firstLineChars="200"/>
        <w:rPr>
          <w:rFonts w:ascii="宋体" w:hAnsi="宋体"/>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本公司对上述声明的真实性负责。如有虚假，将依法承担相应责任。</w:t>
      </w:r>
    </w:p>
    <w:p w14:paraId="247BBF3B">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1419F865">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736FB7ED">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066C9A79">
      <w:pPr>
        <w:outlineLvl w:val="1"/>
        <w:rPr>
          <w:rFonts w:ascii="宋体" w:hAnsi="宋体"/>
          <w:b/>
          <w:color w:val="000000" w:themeColor="text1"/>
          <w:sz w:val="24"/>
          <w:szCs w:val="21"/>
          <w:lang w:eastAsia="zh-CN"/>
          <w14:textFill>
            <w14:solidFill>
              <w14:schemeClr w14:val="tx1"/>
            </w14:solidFill>
          </w14:textFill>
        </w:rPr>
      </w:pPr>
      <w:bookmarkStart w:id="750" w:name="_Toc5281"/>
      <w:bookmarkStart w:id="751" w:name="_Toc16865"/>
      <w:bookmarkStart w:id="752" w:name="_Toc175663961"/>
      <w:bookmarkStart w:id="753" w:name="_Toc30604"/>
      <w:r>
        <w:rPr>
          <w:rFonts w:hint="eastAsia" w:ascii="宋体" w:hAnsi="宋体"/>
          <w:b/>
          <w:color w:val="000000" w:themeColor="text1"/>
          <w:sz w:val="24"/>
          <w:szCs w:val="21"/>
          <w:lang w:eastAsia="zh-CN"/>
          <w14:textFill>
            <w14:solidFill>
              <w14:schemeClr w14:val="tx1"/>
            </w14:solidFill>
          </w14:textFill>
        </w:rPr>
        <w:t>十二、残疾人福利性单位声明函</w:t>
      </w:r>
      <w:bookmarkEnd w:id="750"/>
      <w:bookmarkEnd w:id="751"/>
      <w:bookmarkEnd w:id="752"/>
      <w:bookmarkEnd w:id="753"/>
    </w:p>
    <w:p w14:paraId="26C51A01">
      <w:pPr>
        <w:widowControl/>
        <w:ind w:firstLine="723" w:firstLineChars="200"/>
        <w:jc w:val="center"/>
        <w:rPr>
          <w:color w:val="000000" w:themeColor="text1"/>
          <w:sz w:val="24"/>
          <w:lang w:eastAsia="zh-CN"/>
          <w14:textFill>
            <w14:solidFill>
              <w14:schemeClr w14:val="tx1"/>
            </w14:solidFill>
          </w14:textFill>
        </w:rPr>
      </w:pPr>
      <w:r>
        <w:rPr>
          <w:rFonts w:eastAsia="黑体"/>
          <w:b/>
          <w:bCs/>
          <w:color w:val="000000" w:themeColor="text1"/>
          <w:sz w:val="36"/>
          <w:szCs w:val="28"/>
          <w:lang w:eastAsia="zh-CN"/>
          <w14:textFill>
            <w14:solidFill>
              <w14:schemeClr w14:val="tx1"/>
            </w14:solidFill>
          </w14:textFill>
        </w:rPr>
        <w:t>残疾人福利性单位声明函</w:t>
      </w:r>
    </w:p>
    <w:p w14:paraId="3B2EFFD8">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本单位郑重声明，根据《财政部民政部中国残疾人联合会关于促进残疾人就业政府采购政策的通知》（财库〔2017〕 141号）的规定，本单位为</w:t>
      </w:r>
      <w:r>
        <w:rPr>
          <w:rFonts w:hint="eastAsia"/>
          <w:color w:val="000000" w:themeColor="text1"/>
          <w:spacing w:val="6"/>
          <w:sz w:val="24"/>
          <w:szCs w:val="21"/>
          <w:u w:val="single"/>
          <w:lang w:val="zh-CN" w:eastAsia="zh-CN"/>
          <w14:textFill>
            <w14:solidFill>
              <w14:schemeClr w14:val="tx1"/>
            </w14:solidFill>
          </w14:textFill>
        </w:rPr>
        <w:t xml:space="preserve">        </w:t>
      </w:r>
      <w:r>
        <w:rPr>
          <w:rFonts w:hint="eastAsia"/>
          <w:color w:val="000000" w:themeColor="text1"/>
          <w:spacing w:val="6"/>
          <w:sz w:val="24"/>
          <w:szCs w:val="21"/>
          <w:lang w:val="zh-CN" w:eastAsia="zh-CN"/>
          <w14:textFill>
            <w14:solidFill>
              <w14:schemeClr w14:val="tx1"/>
            </w14:solidFill>
          </w14:textFill>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B3A071">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本单位对上述声明的真实性负责。如有虚假，将依法承担相应责任。</w:t>
      </w:r>
    </w:p>
    <w:p w14:paraId="7B4FC138">
      <w:pPr>
        <w:autoSpaceDE w:val="0"/>
        <w:autoSpaceDN w:val="0"/>
        <w:adjustRightInd w:val="0"/>
        <w:spacing w:line="600" w:lineRule="exact"/>
        <w:rPr>
          <w:color w:val="000000" w:themeColor="text1"/>
          <w:sz w:val="24"/>
          <w:szCs w:val="21"/>
          <w:lang w:val="zh-CN" w:eastAsia="zh-CN"/>
          <w14:textFill>
            <w14:solidFill>
              <w14:schemeClr w14:val="tx1"/>
            </w14:solidFill>
          </w14:textFill>
        </w:rPr>
      </w:pPr>
    </w:p>
    <w:p w14:paraId="15DE607D">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7611A699">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316BFD64">
      <w:pPr>
        <w:bidi w:val="0"/>
        <w:rPr>
          <w:lang w:eastAsia="zh-CN"/>
        </w:rPr>
      </w:pPr>
      <w:bookmarkStart w:id="754" w:name="_Toc24113"/>
      <w:bookmarkStart w:id="755" w:name="_Toc27059"/>
      <w:bookmarkStart w:id="756" w:name="_Toc5074"/>
    </w:p>
    <w:p w14:paraId="52E870E0">
      <w:pPr>
        <w:bidi w:val="0"/>
        <w:rPr>
          <w:lang w:eastAsia="zh-CN"/>
        </w:rPr>
      </w:pPr>
    </w:p>
    <w:p w14:paraId="32207254">
      <w:pPr>
        <w:bidi w:val="0"/>
        <w:rPr>
          <w:lang w:eastAsia="zh-CN"/>
        </w:rPr>
      </w:pPr>
    </w:p>
    <w:p w14:paraId="0EFEEFCD">
      <w:pPr>
        <w:bidi w:val="0"/>
        <w:rPr>
          <w:lang w:eastAsia="zh-CN"/>
        </w:rPr>
      </w:pPr>
    </w:p>
    <w:p w14:paraId="663343B0">
      <w:pPr>
        <w:bidi w:val="0"/>
        <w:rPr>
          <w:lang w:eastAsia="zh-CN"/>
        </w:rPr>
      </w:pPr>
    </w:p>
    <w:p w14:paraId="3607A610">
      <w:pPr>
        <w:bidi w:val="0"/>
        <w:rPr>
          <w:lang w:eastAsia="zh-CN"/>
        </w:rPr>
      </w:pPr>
    </w:p>
    <w:p w14:paraId="3FED7D18">
      <w:pPr>
        <w:bidi w:val="0"/>
        <w:rPr>
          <w:lang w:eastAsia="zh-CN"/>
        </w:rPr>
      </w:pPr>
    </w:p>
    <w:p w14:paraId="38EEA70C">
      <w:pPr>
        <w:bidi w:val="0"/>
        <w:rPr>
          <w:lang w:eastAsia="zh-CN"/>
        </w:rPr>
      </w:pPr>
    </w:p>
    <w:p w14:paraId="01407078">
      <w:pPr>
        <w:bidi w:val="0"/>
        <w:rPr>
          <w:lang w:eastAsia="zh-CN"/>
        </w:rPr>
      </w:pPr>
    </w:p>
    <w:p w14:paraId="3B851063">
      <w:pPr>
        <w:bidi w:val="0"/>
        <w:rPr>
          <w:lang w:eastAsia="zh-CN"/>
        </w:rPr>
      </w:pPr>
    </w:p>
    <w:p w14:paraId="61FF7E69">
      <w:pPr>
        <w:bidi w:val="0"/>
        <w:rPr>
          <w:lang w:eastAsia="zh-CN"/>
        </w:rPr>
      </w:pPr>
    </w:p>
    <w:p w14:paraId="2BD1518A">
      <w:pPr>
        <w:bidi w:val="0"/>
        <w:rPr>
          <w:lang w:eastAsia="zh-CN"/>
        </w:rPr>
      </w:pPr>
    </w:p>
    <w:p w14:paraId="25B05D84">
      <w:pPr>
        <w:bidi w:val="0"/>
        <w:rPr>
          <w:lang w:eastAsia="zh-CN"/>
        </w:rPr>
      </w:pPr>
    </w:p>
    <w:p w14:paraId="7B9778EB">
      <w:pPr>
        <w:bidi w:val="0"/>
        <w:rPr>
          <w:lang w:eastAsia="zh-CN"/>
        </w:rPr>
      </w:pPr>
    </w:p>
    <w:p w14:paraId="19D2824C">
      <w:pPr>
        <w:bidi w:val="0"/>
        <w:rPr>
          <w:lang w:eastAsia="zh-CN"/>
        </w:rPr>
      </w:pPr>
    </w:p>
    <w:p w14:paraId="5FD928AE">
      <w:pPr>
        <w:bidi w:val="0"/>
        <w:rPr>
          <w:lang w:eastAsia="zh-CN"/>
        </w:rPr>
      </w:pPr>
    </w:p>
    <w:p w14:paraId="44042F19">
      <w:pPr>
        <w:bidi w:val="0"/>
        <w:rPr>
          <w:lang w:eastAsia="zh-CN"/>
        </w:rPr>
      </w:pPr>
    </w:p>
    <w:p w14:paraId="4BBE0982">
      <w:pPr>
        <w:bidi w:val="0"/>
        <w:rPr>
          <w:lang w:eastAsia="zh-CN"/>
        </w:rPr>
      </w:pPr>
    </w:p>
    <w:p w14:paraId="4DA1FD07">
      <w:pPr>
        <w:widowControl/>
        <w:adjustRightInd w:val="0"/>
        <w:spacing w:line="360" w:lineRule="auto"/>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57" w:name="_Toc175663962"/>
    </w:p>
    <w:p w14:paraId="756E85B0">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十三、技术条款偏离表格式</w:t>
      </w:r>
      <w:bookmarkEnd w:id="757"/>
    </w:p>
    <w:p w14:paraId="7CD095DC">
      <w:pPr>
        <w:widowControl/>
        <w:adjustRightInd w:val="0"/>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技术条款偏离表</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338"/>
        <w:gridCol w:w="2693"/>
        <w:gridCol w:w="2410"/>
        <w:gridCol w:w="1229"/>
      </w:tblGrid>
      <w:tr w14:paraId="312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9435" w:type="dxa"/>
            <w:gridSpan w:val="5"/>
            <w:tcBorders>
              <w:top w:val="nil"/>
              <w:left w:val="nil"/>
              <w:bottom w:val="single" w:color="auto" w:sz="4" w:space="0"/>
              <w:right w:val="nil"/>
            </w:tcBorders>
            <w:noWrap/>
            <w:vAlign w:val="center"/>
          </w:tcPr>
          <w:p w14:paraId="6260D699">
            <w:pPr>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JSZC-320104-LJKJ-C2025-0001</w:t>
            </w:r>
          </w:p>
          <w:p w14:paraId="4D328E25">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bCs/>
                <w:color w:val="000000" w:themeColor="text1"/>
                <w:sz w:val="24"/>
                <w:szCs w:val="21"/>
                <w:u w:val="single"/>
                <w:lang w:eastAsia="zh-CN"/>
                <w14:textFill>
                  <w14:solidFill>
                    <w14:schemeClr w14:val="tx1"/>
                  </w14:solidFill>
                </w14:textFill>
              </w:rPr>
              <w:t>南京市秦淮区机关办公大楼幕墙维修项目</w:t>
            </w:r>
          </w:p>
        </w:tc>
      </w:tr>
      <w:tr w14:paraId="1B7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tcBorders>
              <w:top w:val="single" w:color="auto" w:sz="4" w:space="0"/>
            </w:tcBorders>
            <w:noWrap/>
            <w:vAlign w:val="center"/>
          </w:tcPr>
          <w:p w14:paraId="1F7933CD">
            <w:pPr>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38" w:type="dxa"/>
            <w:tcBorders>
              <w:top w:val="single" w:color="auto" w:sz="4" w:space="0"/>
            </w:tcBorders>
            <w:noWrap/>
            <w:vAlign w:val="center"/>
          </w:tcPr>
          <w:p w14:paraId="433A66E0">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采购文件的技术条款</w:t>
            </w:r>
          </w:p>
        </w:tc>
        <w:tc>
          <w:tcPr>
            <w:tcW w:w="2693" w:type="dxa"/>
            <w:tcBorders>
              <w:top w:val="single" w:color="auto" w:sz="4" w:space="0"/>
            </w:tcBorders>
            <w:noWrap/>
            <w:vAlign w:val="center"/>
          </w:tcPr>
          <w:p w14:paraId="7AD19E2A">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410" w:type="dxa"/>
            <w:tcBorders>
              <w:top w:val="single" w:color="auto" w:sz="4" w:space="0"/>
            </w:tcBorders>
            <w:noWrap/>
            <w:vAlign w:val="center"/>
          </w:tcPr>
          <w:p w14:paraId="7CF0C9F2">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229" w:type="dxa"/>
            <w:tcBorders>
              <w:top w:val="single" w:color="auto" w:sz="4" w:space="0"/>
            </w:tcBorders>
            <w:noWrap/>
            <w:vAlign w:val="center"/>
          </w:tcPr>
          <w:p w14:paraId="332A637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94F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03BD6FC7">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38" w:type="dxa"/>
            <w:noWrap/>
            <w:vAlign w:val="center"/>
          </w:tcPr>
          <w:p w14:paraId="46FA027D">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1FD8A1B3">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6D2AEB16">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65A50B4D">
            <w:pPr>
              <w:ind w:firstLine="424" w:firstLineChars="200"/>
              <w:jc w:val="center"/>
              <w:rPr>
                <w:color w:val="000000" w:themeColor="text1"/>
                <w:spacing w:val="6"/>
                <w:sz w:val="20"/>
                <w:szCs w:val="20"/>
                <w:lang w:val="zh-CN"/>
                <w14:textFill>
                  <w14:solidFill>
                    <w14:schemeClr w14:val="tx1"/>
                  </w14:solidFill>
                </w14:textFill>
              </w:rPr>
            </w:pPr>
          </w:p>
        </w:tc>
      </w:tr>
      <w:tr w14:paraId="15B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3741F008">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38" w:type="dxa"/>
            <w:noWrap/>
            <w:vAlign w:val="center"/>
          </w:tcPr>
          <w:p w14:paraId="6E1CD914">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0A958D0F">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040D27DD">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2D2A6C03">
            <w:pPr>
              <w:ind w:firstLine="424" w:firstLineChars="200"/>
              <w:jc w:val="center"/>
              <w:rPr>
                <w:color w:val="000000" w:themeColor="text1"/>
                <w:spacing w:val="6"/>
                <w:sz w:val="20"/>
                <w:szCs w:val="20"/>
                <w:lang w:val="zh-CN"/>
                <w14:textFill>
                  <w14:solidFill>
                    <w14:schemeClr w14:val="tx1"/>
                  </w14:solidFill>
                </w14:textFill>
              </w:rPr>
            </w:pPr>
          </w:p>
        </w:tc>
      </w:tr>
      <w:tr w14:paraId="3A6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65" w:type="dxa"/>
            <w:noWrap/>
            <w:vAlign w:val="center"/>
          </w:tcPr>
          <w:p w14:paraId="1BB0FDD8">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3</w:t>
            </w:r>
          </w:p>
        </w:tc>
        <w:tc>
          <w:tcPr>
            <w:tcW w:w="2338" w:type="dxa"/>
            <w:noWrap/>
            <w:vAlign w:val="center"/>
          </w:tcPr>
          <w:p w14:paraId="07372FCD">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52CE7A7E">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414856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7F2FAA44">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r w14:paraId="7E75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765" w:type="dxa"/>
            <w:noWrap/>
            <w:vAlign w:val="center"/>
          </w:tcPr>
          <w:p w14:paraId="6813B29B">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4</w:t>
            </w:r>
          </w:p>
        </w:tc>
        <w:tc>
          <w:tcPr>
            <w:tcW w:w="2338" w:type="dxa"/>
            <w:noWrap/>
            <w:vAlign w:val="center"/>
          </w:tcPr>
          <w:p w14:paraId="76E8DA8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0D009AB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32A719F5">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6097CE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bl>
    <w:p w14:paraId="6C1CE4B4">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说明：</w:t>
      </w:r>
    </w:p>
    <w:p w14:paraId="08A3FBCE">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48F50937">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3FF2B715">
      <w:pPr>
        <w:spacing w:line="360" w:lineRule="auto"/>
        <w:rPr>
          <w:color w:val="000000" w:themeColor="text1"/>
          <w:spacing w:val="6"/>
          <w:sz w:val="24"/>
          <w:szCs w:val="21"/>
          <w:lang w:val="zh-CN" w:eastAsia="zh-CN"/>
          <w14:textFill>
            <w14:solidFill>
              <w14:schemeClr w14:val="tx1"/>
            </w14:solidFill>
          </w14:textFill>
        </w:rPr>
      </w:pPr>
    </w:p>
    <w:p w14:paraId="18488E5F">
      <w:pPr>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3DB66947">
      <w:pPr>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29B8E402">
      <w:pPr>
        <w:bidi w:val="0"/>
        <w:rPr>
          <w:lang w:val="zh-CN" w:eastAsia="zh-CN"/>
        </w:rPr>
      </w:pPr>
      <w:bookmarkStart w:id="758" w:name="_Toc23139"/>
      <w:bookmarkStart w:id="759" w:name="_Toc11155"/>
      <w:bookmarkStart w:id="760" w:name="_Toc26433"/>
    </w:p>
    <w:p w14:paraId="4B51E68B">
      <w:pPr>
        <w:bidi w:val="0"/>
        <w:rPr>
          <w:lang w:val="zh-CN" w:eastAsia="zh-CN"/>
        </w:rPr>
      </w:pPr>
    </w:p>
    <w:p w14:paraId="224D4942">
      <w:pPr>
        <w:bidi w:val="0"/>
        <w:rPr>
          <w:lang w:val="zh-CN" w:eastAsia="zh-CN"/>
        </w:rPr>
      </w:pPr>
    </w:p>
    <w:p w14:paraId="156C5C02">
      <w:pPr>
        <w:bidi w:val="0"/>
        <w:rPr>
          <w:lang w:val="zh-CN" w:eastAsia="zh-CN"/>
        </w:rPr>
      </w:pPr>
    </w:p>
    <w:p w14:paraId="3F84A8D1">
      <w:pPr>
        <w:bidi w:val="0"/>
        <w:rPr>
          <w:lang w:val="zh-CN" w:eastAsia="zh-CN"/>
        </w:rPr>
      </w:pPr>
    </w:p>
    <w:p w14:paraId="6E66B3EF">
      <w:pPr>
        <w:bidi w:val="0"/>
        <w:rPr>
          <w:lang w:val="zh-CN" w:eastAsia="zh-CN"/>
        </w:rPr>
      </w:pPr>
    </w:p>
    <w:p w14:paraId="78EDC5B8">
      <w:pPr>
        <w:bidi w:val="0"/>
        <w:rPr>
          <w:lang w:val="zh-CN" w:eastAsia="zh-CN"/>
        </w:rPr>
      </w:pPr>
    </w:p>
    <w:p w14:paraId="63FE93D0">
      <w:pPr>
        <w:bidi w:val="0"/>
        <w:rPr>
          <w:lang w:val="zh-CN" w:eastAsia="zh-CN"/>
        </w:rPr>
      </w:pPr>
    </w:p>
    <w:p w14:paraId="0D20C8D1">
      <w:pPr>
        <w:bidi w:val="0"/>
        <w:rPr>
          <w:lang w:val="zh-CN" w:eastAsia="zh-CN"/>
        </w:rPr>
      </w:pPr>
    </w:p>
    <w:p w14:paraId="20141D26">
      <w:pPr>
        <w:bidi w:val="0"/>
        <w:rPr>
          <w:lang w:val="zh-CN" w:eastAsia="zh-CN"/>
        </w:rPr>
      </w:pPr>
    </w:p>
    <w:p w14:paraId="78596339">
      <w:pPr>
        <w:bidi w:val="0"/>
        <w:rPr>
          <w:lang w:val="zh-CN" w:eastAsia="zh-CN"/>
        </w:rPr>
      </w:pPr>
    </w:p>
    <w:p w14:paraId="13BADD55">
      <w:pPr>
        <w:bidi w:val="0"/>
        <w:rPr>
          <w:lang w:val="zh-CN" w:eastAsia="zh-CN"/>
        </w:rPr>
      </w:pPr>
    </w:p>
    <w:p w14:paraId="0076B864">
      <w:pPr>
        <w:bidi w:val="0"/>
        <w:rPr>
          <w:lang w:val="zh-CN" w:eastAsia="zh-CN"/>
        </w:rPr>
      </w:pPr>
    </w:p>
    <w:p w14:paraId="0FD3EB3E">
      <w:pPr>
        <w:pStyle w:val="71"/>
        <w:rPr>
          <w:rFonts w:eastAsiaTheme="minorEastAsia"/>
          <w:color w:val="000000" w:themeColor="text1"/>
          <w:lang w:val="zh-CN" w:eastAsia="zh-CN"/>
          <w14:textFill>
            <w14:solidFill>
              <w14:schemeClr w14:val="tx1"/>
            </w14:solidFill>
          </w14:textFill>
        </w:rPr>
      </w:pPr>
    </w:p>
    <w:p w14:paraId="2AB806B6">
      <w:pPr>
        <w:pStyle w:val="71"/>
        <w:rPr>
          <w:rFonts w:eastAsiaTheme="minorEastAsia"/>
          <w:color w:val="000000" w:themeColor="text1"/>
          <w:lang w:val="zh-CN" w:eastAsia="zh-CN"/>
          <w14:textFill>
            <w14:solidFill>
              <w14:schemeClr w14:val="tx1"/>
            </w14:solidFill>
          </w14:textFill>
        </w:rPr>
      </w:pPr>
    </w:p>
    <w:p w14:paraId="59E6381B">
      <w:pPr>
        <w:bidi w:val="0"/>
        <w:rPr>
          <w:lang w:val="zh-CN" w:eastAsia="zh-CN"/>
        </w:rPr>
      </w:pPr>
    </w:p>
    <w:p w14:paraId="6E67C2A3">
      <w:pPr>
        <w:bidi w:val="0"/>
        <w:rPr>
          <w:lang w:val="zh-CN" w:eastAsia="zh-CN"/>
        </w:rPr>
      </w:pPr>
    </w:p>
    <w:p w14:paraId="4F883325">
      <w:pPr>
        <w:widowControl/>
        <w:adjustRightInd w:val="0"/>
        <w:spacing w:line="360" w:lineRule="auto"/>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1" w:name="_Toc175663963"/>
    </w:p>
    <w:p w14:paraId="44AB5488">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十四、商务条款偏离表格式</w:t>
      </w:r>
      <w:bookmarkEnd w:id="758"/>
      <w:bookmarkEnd w:id="759"/>
      <w:bookmarkEnd w:id="760"/>
      <w:bookmarkEnd w:id="761"/>
    </w:p>
    <w:p w14:paraId="71C1B34D">
      <w:pPr>
        <w:widowControl/>
        <w:adjustRightInd w:val="0"/>
        <w:spacing w:line="360" w:lineRule="auto"/>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商务条款偏离表</w:t>
      </w:r>
    </w:p>
    <w:tbl>
      <w:tblPr>
        <w:tblStyle w:val="5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342"/>
        <w:gridCol w:w="2835"/>
        <w:gridCol w:w="2368"/>
        <w:gridCol w:w="1020"/>
      </w:tblGrid>
      <w:tr w14:paraId="5C13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9216" w:type="dxa"/>
            <w:gridSpan w:val="5"/>
            <w:tcBorders>
              <w:top w:val="nil"/>
              <w:left w:val="nil"/>
              <w:right w:val="nil"/>
            </w:tcBorders>
            <w:noWrap/>
            <w:vAlign w:val="center"/>
          </w:tcPr>
          <w:p w14:paraId="059148F3">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JSZC-320104-LJKJ-C2025-0001</w:t>
            </w:r>
          </w:p>
          <w:p w14:paraId="0433B19D">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color w:val="000000" w:themeColor="text1"/>
                <w:spacing w:val="6"/>
                <w:sz w:val="24"/>
                <w:szCs w:val="21"/>
                <w:u w:val="single"/>
                <w:lang w:val="zh-CN" w:eastAsia="zh-CN"/>
                <w14:textFill>
                  <w14:solidFill>
                    <w14:schemeClr w14:val="tx1"/>
                  </w14:solidFill>
                </w14:textFill>
              </w:rPr>
              <w:t>南京市秦淮区机关办公大楼幕墙维修项目</w:t>
            </w:r>
          </w:p>
        </w:tc>
      </w:tr>
      <w:tr w14:paraId="1BB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651" w:type="dxa"/>
            <w:noWrap/>
            <w:vAlign w:val="center"/>
          </w:tcPr>
          <w:p w14:paraId="43F670E5">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42" w:type="dxa"/>
            <w:noWrap/>
            <w:vAlign w:val="center"/>
          </w:tcPr>
          <w:p w14:paraId="000D0EAD">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采购文件的商务条款</w:t>
            </w:r>
          </w:p>
        </w:tc>
        <w:tc>
          <w:tcPr>
            <w:tcW w:w="2835" w:type="dxa"/>
            <w:noWrap/>
            <w:vAlign w:val="center"/>
          </w:tcPr>
          <w:p w14:paraId="0B8F279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368" w:type="dxa"/>
            <w:noWrap/>
            <w:vAlign w:val="center"/>
          </w:tcPr>
          <w:p w14:paraId="397B34A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020" w:type="dxa"/>
            <w:noWrap/>
            <w:vAlign w:val="center"/>
          </w:tcPr>
          <w:p w14:paraId="2DCA8DE9">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663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0F1C2D9F">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42" w:type="dxa"/>
            <w:noWrap/>
            <w:vAlign w:val="center"/>
          </w:tcPr>
          <w:p w14:paraId="63E1CFE5">
            <w:pPr>
              <w:widowControl/>
              <w:adjustRightInd w:val="0"/>
              <w:spacing w:line="360" w:lineRule="auto"/>
              <w:jc w:val="center"/>
              <w:rPr>
                <w:rFonts w:ascii="宋体" w:hAnsi="宋体"/>
                <w:color w:val="000000" w:themeColor="text1"/>
                <w:sz w:val="20"/>
                <w:szCs w:val="20"/>
                <w14:textFill>
                  <w14:solidFill>
                    <w14:schemeClr w14:val="tx1"/>
                  </w14:solidFill>
                </w14:textFill>
              </w:rPr>
            </w:pPr>
          </w:p>
        </w:tc>
        <w:tc>
          <w:tcPr>
            <w:tcW w:w="2835" w:type="dxa"/>
            <w:noWrap/>
            <w:vAlign w:val="center"/>
          </w:tcPr>
          <w:p w14:paraId="6B44FE5C">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462C299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6E24CC92">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1F1F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2AE71977">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42" w:type="dxa"/>
            <w:noWrap/>
            <w:vAlign w:val="center"/>
          </w:tcPr>
          <w:p w14:paraId="3FA7D2D4">
            <w:pPr>
              <w:widowControl/>
              <w:adjustRightInd w:val="0"/>
              <w:spacing w:line="360" w:lineRule="auto"/>
              <w:jc w:val="center"/>
              <w:rPr>
                <w:rFonts w:ascii="宋体" w:hAnsi="宋体"/>
                <w:bCs/>
                <w:color w:val="000000" w:themeColor="text1"/>
                <w:sz w:val="20"/>
                <w:szCs w:val="20"/>
                <w:lang w:eastAsia="zh-CN"/>
                <w14:textFill>
                  <w14:solidFill>
                    <w14:schemeClr w14:val="tx1"/>
                  </w14:solidFill>
                </w14:textFill>
              </w:rPr>
            </w:pPr>
          </w:p>
        </w:tc>
        <w:tc>
          <w:tcPr>
            <w:tcW w:w="2835" w:type="dxa"/>
            <w:noWrap/>
            <w:vAlign w:val="center"/>
          </w:tcPr>
          <w:p w14:paraId="5EC2CDA8">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2368" w:type="dxa"/>
            <w:noWrap/>
            <w:vAlign w:val="center"/>
          </w:tcPr>
          <w:p w14:paraId="56FB4BE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1020" w:type="dxa"/>
            <w:noWrap/>
            <w:vAlign w:val="center"/>
          </w:tcPr>
          <w:p w14:paraId="2E99478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r>
      <w:tr w14:paraId="392B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531ABBF3">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3</w:t>
            </w:r>
          </w:p>
        </w:tc>
        <w:tc>
          <w:tcPr>
            <w:tcW w:w="2342" w:type="dxa"/>
            <w:noWrap/>
            <w:vAlign w:val="center"/>
          </w:tcPr>
          <w:p w14:paraId="21DCB51C">
            <w:pPr>
              <w:widowControl/>
              <w:adjustRightInd w:val="0"/>
              <w:spacing w:line="360" w:lineRule="auto"/>
              <w:jc w:val="center"/>
              <w:rPr>
                <w:rFonts w:ascii="宋体" w:hAnsi="宋体"/>
                <w:bCs/>
                <w:color w:val="000000" w:themeColor="text1"/>
                <w:sz w:val="20"/>
                <w:szCs w:val="20"/>
                <w14:textFill>
                  <w14:solidFill>
                    <w14:schemeClr w14:val="tx1"/>
                  </w14:solidFill>
                </w14:textFill>
              </w:rPr>
            </w:pPr>
          </w:p>
        </w:tc>
        <w:tc>
          <w:tcPr>
            <w:tcW w:w="2835" w:type="dxa"/>
            <w:noWrap/>
            <w:vAlign w:val="center"/>
          </w:tcPr>
          <w:p w14:paraId="41697E45">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66D3A6D4">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748DCC66">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4FE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181294D8">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4</w:t>
            </w:r>
          </w:p>
        </w:tc>
        <w:tc>
          <w:tcPr>
            <w:tcW w:w="2342" w:type="dxa"/>
            <w:noWrap/>
            <w:vAlign w:val="center"/>
          </w:tcPr>
          <w:p w14:paraId="3B90DCD2">
            <w:pPr>
              <w:widowControl/>
              <w:adjustRightInd w:val="0"/>
              <w:spacing w:line="360" w:lineRule="auto"/>
              <w:ind w:firstLine="400" w:firstLineChars="200"/>
              <w:jc w:val="center"/>
              <w:rPr>
                <w:rFonts w:ascii="黑体" w:hAnsi="黑体" w:eastAsia="黑体" w:cs="黑体"/>
                <w:color w:val="000000" w:themeColor="text1"/>
                <w:sz w:val="20"/>
                <w:szCs w:val="20"/>
                <w14:textFill>
                  <w14:solidFill>
                    <w14:schemeClr w14:val="tx1"/>
                  </w14:solidFill>
                </w14:textFill>
              </w:rPr>
            </w:pPr>
          </w:p>
        </w:tc>
        <w:tc>
          <w:tcPr>
            <w:tcW w:w="2835" w:type="dxa"/>
            <w:noWrap/>
            <w:vAlign w:val="center"/>
          </w:tcPr>
          <w:p w14:paraId="50CD8AE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10ACB42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4931375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bl>
    <w:p w14:paraId="4E77CFD6">
      <w:pPr>
        <w:widowControl/>
        <w:adjustRightInd w:val="0"/>
        <w:spacing w:line="360" w:lineRule="auto"/>
        <w:rPr>
          <w:rFonts w:hint="eastAsia"/>
          <w:color w:val="000000" w:themeColor="text1"/>
          <w:spacing w:val="6"/>
          <w:sz w:val="24"/>
          <w:szCs w:val="21"/>
          <w:lang w:val="en-US" w:eastAsia="zh-CN"/>
          <w14:textFill>
            <w14:solidFill>
              <w14:schemeClr w14:val="tx1"/>
            </w14:solidFill>
          </w14:textFill>
        </w:rPr>
      </w:pPr>
      <w:r>
        <w:rPr>
          <w:rFonts w:hint="eastAsia"/>
          <w:color w:val="000000" w:themeColor="text1"/>
          <w:spacing w:val="6"/>
          <w:sz w:val="24"/>
          <w:szCs w:val="21"/>
          <w:lang w:val="en-US" w:eastAsia="zh-CN"/>
          <w14:textFill>
            <w14:solidFill>
              <w14:schemeClr w14:val="tx1"/>
            </w14:solidFill>
          </w14:textFill>
        </w:rPr>
        <w:t>说明：</w:t>
      </w:r>
    </w:p>
    <w:p w14:paraId="369F2D4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7870703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6C9C55EC">
      <w:pPr>
        <w:widowControl/>
        <w:adjustRightInd w:val="0"/>
        <w:spacing w:line="360" w:lineRule="auto"/>
        <w:rPr>
          <w:color w:val="000000" w:themeColor="text1"/>
          <w:spacing w:val="6"/>
          <w:sz w:val="24"/>
          <w:szCs w:val="21"/>
          <w:lang w:val="zh-CN" w:eastAsia="zh-CN"/>
          <w14:textFill>
            <w14:solidFill>
              <w14:schemeClr w14:val="tx1"/>
            </w14:solidFill>
          </w14:textFill>
        </w:rPr>
      </w:pPr>
    </w:p>
    <w:p w14:paraId="2AE1B3D2">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04858230">
      <w:pPr>
        <w:widowControl/>
        <w:adjustRightInd w:val="0"/>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7790150C">
      <w:pPr>
        <w:spacing w:line="360" w:lineRule="exact"/>
        <w:rPr>
          <w:color w:val="000000" w:themeColor="text1"/>
          <w:spacing w:val="6"/>
          <w:sz w:val="24"/>
          <w:szCs w:val="21"/>
          <w:lang w:val="zh-CN" w:eastAsia="zh-CN"/>
          <w14:textFill>
            <w14:solidFill>
              <w14:schemeClr w14:val="tx1"/>
            </w14:solidFill>
          </w14:textFill>
        </w:rPr>
      </w:pPr>
    </w:p>
    <w:p w14:paraId="69766FC4">
      <w:pPr>
        <w:spacing w:line="360" w:lineRule="exact"/>
        <w:rPr>
          <w:color w:val="000000" w:themeColor="text1"/>
          <w:spacing w:val="6"/>
          <w:sz w:val="24"/>
          <w:szCs w:val="21"/>
          <w:lang w:val="zh-CN" w:eastAsia="zh-CN"/>
          <w14:textFill>
            <w14:solidFill>
              <w14:schemeClr w14:val="tx1"/>
            </w14:solidFill>
          </w14:textFill>
        </w:rPr>
      </w:pPr>
    </w:p>
    <w:p w14:paraId="57556C80">
      <w:pPr>
        <w:spacing w:line="360" w:lineRule="exact"/>
        <w:rPr>
          <w:color w:val="000000" w:themeColor="text1"/>
          <w:spacing w:val="6"/>
          <w:sz w:val="24"/>
          <w:szCs w:val="21"/>
          <w:lang w:val="zh-CN" w:eastAsia="zh-CN"/>
          <w14:textFill>
            <w14:solidFill>
              <w14:schemeClr w14:val="tx1"/>
            </w14:solidFill>
          </w14:textFill>
        </w:rPr>
      </w:pPr>
    </w:p>
    <w:p w14:paraId="518818B0">
      <w:pPr>
        <w:spacing w:line="360" w:lineRule="exact"/>
        <w:rPr>
          <w:color w:val="000000" w:themeColor="text1"/>
          <w:spacing w:val="6"/>
          <w:sz w:val="24"/>
          <w:szCs w:val="21"/>
          <w:lang w:val="zh-CN" w:eastAsia="zh-CN"/>
          <w14:textFill>
            <w14:solidFill>
              <w14:schemeClr w14:val="tx1"/>
            </w14:solidFill>
          </w14:textFill>
        </w:rPr>
      </w:pPr>
    </w:p>
    <w:p w14:paraId="4F7204FF">
      <w:pPr>
        <w:spacing w:line="360" w:lineRule="exact"/>
        <w:rPr>
          <w:color w:val="000000" w:themeColor="text1"/>
          <w:spacing w:val="6"/>
          <w:sz w:val="24"/>
          <w:szCs w:val="21"/>
          <w:lang w:val="zh-CN" w:eastAsia="zh-CN"/>
          <w14:textFill>
            <w14:solidFill>
              <w14:schemeClr w14:val="tx1"/>
            </w14:solidFill>
          </w14:textFill>
        </w:rPr>
      </w:pPr>
    </w:p>
    <w:p w14:paraId="172386B9">
      <w:pPr>
        <w:spacing w:line="360" w:lineRule="exact"/>
        <w:rPr>
          <w:color w:val="000000" w:themeColor="text1"/>
          <w:spacing w:val="6"/>
          <w:sz w:val="24"/>
          <w:szCs w:val="21"/>
          <w:lang w:val="zh-CN" w:eastAsia="zh-CN"/>
          <w14:textFill>
            <w14:solidFill>
              <w14:schemeClr w14:val="tx1"/>
            </w14:solidFill>
          </w14:textFill>
        </w:rPr>
      </w:pPr>
    </w:p>
    <w:p w14:paraId="53D7C50A">
      <w:pPr>
        <w:spacing w:line="360" w:lineRule="exact"/>
        <w:rPr>
          <w:color w:val="000000" w:themeColor="text1"/>
          <w:spacing w:val="6"/>
          <w:sz w:val="24"/>
          <w:szCs w:val="21"/>
          <w:lang w:val="zh-CN" w:eastAsia="zh-CN"/>
          <w14:textFill>
            <w14:solidFill>
              <w14:schemeClr w14:val="tx1"/>
            </w14:solidFill>
          </w14:textFill>
        </w:rPr>
      </w:pPr>
    </w:p>
    <w:p w14:paraId="59F8BE91">
      <w:pPr>
        <w:spacing w:line="360" w:lineRule="exact"/>
        <w:rPr>
          <w:color w:val="000000" w:themeColor="text1"/>
          <w:spacing w:val="6"/>
          <w:sz w:val="24"/>
          <w:szCs w:val="21"/>
          <w:lang w:val="zh-CN" w:eastAsia="zh-CN"/>
          <w14:textFill>
            <w14:solidFill>
              <w14:schemeClr w14:val="tx1"/>
            </w14:solidFill>
          </w14:textFill>
        </w:rPr>
      </w:pPr>
    </w:p>
    <w:p w14:paraId="010DB420">
      <w:pPr>
        <w:spacing w:line="360" w:lineRule="exact"/>
        <w:rPr>
          <w:color w:val="000000" w:themeColor="text1"/>
          <w:spacing w:val="6"/>
          <w:sz w:val="24"/>
          <w:szCs w:val="21"/>
          <w:lang w:val="zh-CN" w:eastAsia="zh-CN"/>
          <w14:textFill>
            <w14:solidFill>
              <w14:schemeClr w14:val="tx1"/>
            </w14:solidFill>
          </w14:textFill>
        </w:rPr>
      </w:pPr>
    </w:p>
    <w:p w14:paraId="1F6F19FC">
      <w:pPr>
        <w:spacing w:line="360" w:lineRule="exact"/>
        <w:rPr>
          <w:color w:val="000000" w:themeColor="text1"/>
          <w:spacing w:val="6"/>
          <w:sz w:val="24"/>
          <w:szCs w:val="21"/>
          <w:lang w:val="zh-CN" w:eastAsia="zh-CN"/>
          <w14:textFill>
            <w14:solidFill>
              <w14:schemeClr w14:val="tx1"/>
            </w14:solidFill>
          </w14:textFill>
        </w:rPr>
      </w:pPr>
    </w:p>
    <w:p w14:paraId="699CD31B">
      <w:pPr>
        <w:spacing w:line="360" w:lineRule="exact"/>
        <w:rPr>
          <w:color w:val="000000" w:themeColor="text1"/>
          <w:spacing w:val="6"/>
          <w:sz w:val="24"/>
          <w:szCs w:val="21"/>
          <w:lang w:val="zh-CN" w:eastAsia="zh-CN"/>
          <w14:textFill>
            <w14:solidFill>
              <w14:schemeClr w14:val="tx1"/>
            </w14:solidFill>
          </w14:textFill>
        </w:rPr>
      </w:pPr>
    </w:p>
    <w:p w14:paraId="10699E43">
      <w:pPr>
        <w:spacing w:line="360" w:lineRule="exact"/>
        <w:rPr>
          <w:color w:val="000000" w:themeColor="text1"/>
          <w:spacing w:val="6"/>
          <w:sz w:val="24"/>
          <w:szCs w:val="21"/>
          <w:lang w:val="zh-CN" w:eastAsia="zh-CN"/>
          <w14:textFill>
            <w14:solidFill>
              <w14:schemeClr w14:val="tx1"/>
            </w14:solidFill>
          </w14:textFill>
        </w:rPr>
      </w:pPr>
    </w:p>
    <w:p w14:paraId="599AD4CE">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2" w:name="_Toc175663964"/>
    </w:p>
    <w:p w14:paraId="1739B5D8">
      <w:pPr>
        <w:autoSpaceDE w:val="0"/>
        <w:autoSpaceDN w:val="0"/>
        <w:adjustRightInd w:val="0"/>
        <w:spacing w:line="360" w:lineRule="auto"/>
        <w:outlineLvl w:val="1"/>
        <w:rPr>
          <w:rFonts w:ascii="宋体" w:hAnsi="宋体" w:cs="黑体"/>
          <w:b/>
          <w:bCs/>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十五、南京市政府采购供应商信用记录表暨信用承诺书</w:t>
      </w:r>
      <w:bookmarkEnd w:id="754"/>
      <w:bookmarkEnd w:id="755"/>
      <w:bookmarkEnd w:id="756"/>
      <w:r>
        <w:rPr>
          <w:rFonts w:hint="eastAsia" w:ascii="宋体" w:hAnsi="宋体" w:cs="黑体"/>
          <w:b/>
          <w:bCs/>
          <w:color w:val="000000" w:themeColor="text1"/>
          <w:sz w:val="24"/>
          <w:szCs w:val="21"/>
          <w:lang w:eastAsia="zh-CN"/>
          <w14:textFill>
            <w14:solidFill>
              <w14:schemeClr w14:val="tx1"/>
            </w14:solidFill>
          </w14:textFill>
        </w:rPr>
        <w:t>（附件）</w:t>
      </w:r>
      <w:bookmarkEnd w:id="762"/>
    </w:p>
    <w:p w14:paraId="3629607D">
      <w:pPr>
        <w:autoSpaceDE w:val="0"/>
        <w:autoSpaceDN w:val="0"/>
        <w:adjustRightInd w:val="0"/>
        <w:jc w:val="center"/>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南京市政府采购供应商信用记录表暨信用承诺书</w:t>
      </w:r>
    </w:p>
    <w:p w14:paraId="69C506D0">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109A07D5">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 xml:space="preserve">                                                           20   年   月   日</w:t>
      </w:r>
    </w:p>
    <w:tbl>
      <w:tblPr>
        <w:tblStyle w:val="54"/>
        <w:tblpPr w:leftFromText="180" w:rightFromText="180" w:vertAnchor="text" w:horzAnchor="page" w:tblpXSpec="center" w:tblpY="30"/>
        <w:tblOverlap w:val="never"/>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99"/>
        <w:gridCol w:w="2199"/>
        <w:gridCol w:w="2250"/>
        <w:gridCol w:w="2743"/>
      </w:tblGrid>
      <w:tr w14:paraId="79EF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211" w:type="pct"/>
            <w:tcBorders>
              <w:top w:val="single" w:color="000000" w:sz="2" w:space="0"/>
              <w:bottom w:val="single" w:color="000000" w:sz="2" w:space="0"/>
            </w:tcBorders>
            <w:noWrap w:val="0"/>
            <w:vAlign w:val="top"/>
          </w:tcPr>
          <w:p w14:paraId="0C9B9D8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单位名称</w:t>
            </w:r>
          </w:p>
        </w:tc>
        <w:tc>
          <w:tcPr>
            <w:tcW w:w="1158" w:type="pct"/>
            <w:tcBorders>
              <w:top w:val="single" w:color="000000" w:sz="2" w:space="0"/>
              <w:bottom w:val="single" w:color="000000" w:sz="2" w:space="0"/>
            </w:tcBorders>
            <w:noWrap w:val="0"/>
            <w:vAlign w:val="top"/>
          </w:tcPr>
          <w:p w14:paraId="1E55418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C4A71D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统一社会信用代码</w:t>
            </w:r>
          </w:p>
        </w:tc>
        <w:tc>
          <w:tcPr>
            <w:tcW w:w="1445" w:type="pct"/>
            <w:tcBorders>
              <w:top w:val="single" w:color="000000" w:sz="2" w:space="0"/>
              <w:bottom w:val="single" w:color="000000" w:sz="2" w:space="0"/>
            </w:tcBorders>
            <w:noWrap w:val="0"/>
            <w:vAlign w:val="top"/>
          </w:tcPr>
          <w:p w14:paraId="53B9A4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5EE4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E29E1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w:t>
            </w:r>
          </w:p>
        </w:tc>
        <w:tc>
          <w:tcPr>
            <w:tcW w:w="1158" w:type="pct"/>
            <w:tcBorders>
              <w:top w:val="single" w:color="000000" w:sz="2" w:space="0"/>
              <w:bottom w:val="single" w:color="000000" w:sz="2" w:space="0"/>
            </w:tcBorders>
            <w:noWrap w:val="0"/>
            <w:vAlign w:val="top"/>
          </w:tcPr>
          <w:p w14:paraId="23D6AEC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311A14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联系人</w:t>
            </w:r>
          </w:p>
        </w:tc>
        <w:tc>
          <w:tcPr>
            <w:tcW w:w="1445" w:type="pct"/>
            <w:tcBorders>
              <w:top w:val="single" w:color="000000" w:sz="2" w:space="0"/>
              <w:bottom w:val="single" w:color="000000" w:sz="2" w:space="0"/>
            </w:tcBorders>
            <w:noWrap w:val="0"/>
            <w:vAlign w:val="top"/>
          </w:tcPr>
          <w:p w14:paraId="6FC7ED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311A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3D258B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联系地址</w:t>
            </w:r>
          </w:p>
        </w:tc>
        <w:tc>
          <w:tcPr>
            <w:tcW w:w="1158" w:type="pct"/>
            <w:tcBorders>
              <w:top w:val="single" w:color="000000" w:sz="2" w:space="0"/>
              <w:bottom w:val="single" w:color="000000" w:sz="2" w:space="0"/>
            </w:tcBorders>
            <w:noWrap w:val="0"/>
            <w:vAlign w:val="top"/>
          </w:tcPr>
          <w:p w14:paraId="62F1C0D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3DAFF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联系电话</w:t>
            </w:r>
          </w:p>
        </w:tc>
        <w:tc>
          <w:tcPr>
            <w:tcW w:w="1445" w:type="pct"/>
            <w:tcBorders>
              <w:top w:val="single" w:color="000000" w:sz="2" w:space="0"/>
              <w:bottom w:val="single" w:color="000000" w:sz="2" w:space="0"/>
            </w:tcBorders>
            <w:noWrap w:val="0"/>
            <w:vAlign w:val="top"/>
          </w:tcPr>
          <w:p w14:paraId="292782B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417B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jc w:val="center"/>
        </w:trPr>
        <w:tc>
          <w:tcPr>
            <w:tcW w:w="1211" w:type="pct"/>
            <w:tcBorders>
              <w:top w:val="single" w:color="000000" w:sz="2" w:space="0"/>
              <w:bottom w:val="single" w:color="000000" w:sz="2" w:space="0"/>
            </w:tcBorders>
            <w:noWrap w:val="0"/>
            <w:vAlign w:val="top"/>
          </w:tcPr>
          <w:p w14:paraId="322D6B3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1FBE66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60D1C6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诚信档案记录情况</w:t>
            </w:r>
          </w:p>
        </w:tc>
        <w:tc>
          <w:tcPr>
            <w:tcW w:w="3788" w:type="pct"/>
            <w:gridSpan w:val="3"/>
            <w:tcBorders>
              <w:top w:val="single" w:color="000000" w:sz="2" w:space="0"/>
              <w:bottom w:val="single" w:color="000000" w:sz="2" w:space="0"/>
            </w:tcBorders>
            <w:noWrap w:val="0"/>
            <w:vAlign w:val="top"/>
          </w:tcPr>
          <w:p w14:paraId="69B92DE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0457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6" w:hRule="atLeast"/>
          <w:jc w:val="center"/>
        </w:trPr>
        <w:tc>
          <w:tcPr>
            <w:tcW w:w="1211" w:type="pct"/>
            <w:tcBorders>
              <w:top w:val="single" w:color="000000" w:sz="2" w:space="0"/>
              <w:bottom w:val="single" w:color="000000" w:sz="2" w:space="0"/>
            </w:tcBorders>
            <w:noWrap w:val="0"/>
            <w:vAlign w:val="top"/>
          </w:tcPr>
          <w:p w14:paraId="0371E38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B22B76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444CD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85E84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182EE5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F733D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DE82808">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F83AF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202314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39B52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F5BDCF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1F2E4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DC3A514">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信用承诺</w:t>
            </w:r>
          </w:p>
        </w:tc>
        <w:tc>
          <w:tcPr>
            <w:tcW w:w="3788" w:type="pct"/>
            <w:gridSpan w:val="3"/>
            <w:tcBorders>
              <w:top w:val="single" w:color="000000" w:sz="2" w:space="0"/>
              <w:bottom w:val="single" w:color="000000" w:sz="2" w:space="0"/>
            </w:tcBorders>
            <w:noWrap w:val="0"/>
            <w:vAlign w:val="top"/>
          </w:tcPr>
          <w:p w14:paraId="27D5A21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我公司自愿参加贵中心(公司)组织的本次采购活动，严格遵守《中华人民政府采购法》及相关法律法规，坚守公开、公平、公正和诚实信用的原则，依法诚信经营，无条件遵守本次政府采 购活动的各项规定。我们郑重承诺，本公司符合《中华人民共和国政府采购法》 第二十二条规定的条件，包括：具有独立承担民事责任的能力；具有良好的商业信誉和健全的财务会计制度；</w:t>
            </w:r>
            <w:r>
              <w:rPr>
                <w:rFonts w:hint="eastAsia" w:ascii="宋体" w:hAnsi="宋体" w:cs="宋体"/>
                <w:b w:val="0"/>
                <w:bCs/>
                <w:color w:val="000000" w:themeColor="text1"/>
                <w:sz w:val="24"/>
                <w:szCs w:val="21"/>
                <w:lang w:val="en-US" w:eastAsia="zh-CN"/>
                <w14:textFill>
                  <w14:solidFill>
                    <w14:schemeClr w14:val="tx1"/>
                  </w14:solidFill>
                </w14:textFill>
              </w:rPr>
              <w:t>具</w:t>
            </w:r>
            <w:r>
              <w:rPr>
                <w:rFonts w:hint="eastAsia" w:ascii="宋体" w:hAnsi="宋体" w:cs="宋体"/>
                <w:b w:val="0"/>
                <w:bCs/>
                <w:color w:val="000000" w:themeColor="text1"/>
                <w:sz w:val="24"/>
                <w:szCs w:val="21"/>
                <w:lang w:val="zh-CN" w:eastAsia="zh-CN"/>
                <w14:textFill>
                  <w14:solidFill>
                    <w14:schemeClr w14:val="tx1"/>
                  </w14:solidFill>
                </w14:textFill>
              </w:rPr>
              <w:t>有履行合同所必需的设备和专业技术能力；具有依法缴纳税收和社会保障资金的良好记录；参加政府采购活动前三年内，在经营活动中没有重大违法记录；符合法律、行政法规和采购文件规定的其他条件。如有弄虚作假或其他违法违规行为，</w:t>
            </w:r>
            <w:r>
              <w:rPr>
                <w:rFonts w:hint="eastAsia" w:ascii="宋体" w:hAnsi="宋体" w:cs="宋体"/>
                <w:b w:val="0"/>
                <w:bCs/>
                <w:color w:val="000000" w:themeColor="text1"/>
                <w:sz w:val="24"/>
                <w:szCs w:val="21"/>
                <w:lang w:val="en-US" w:eastAsia="zh-CN"/>
                <w14:textFill>
                  <w14:solidFill>
                    <w14:schemeClr w14:val="tx1"/>
                  </w14:solidFill>
                </w14:textFill>
              </w:rPr>
              <w:t>愿</w:t>
            </w:r>
            <w:r>
              <w:rPr>
                <w:rFonts w:hint="eastAsia" w:ascii="宋体" w:hAnsi="宋体" w:cs="宋体"/>
                <w:b w:val="0"/>
                <w:bCs/>
                <w:color w:val="000000" w:themeColor="text1"/>
                <w:sz w:val="24"/>
                <w:szCs w:val="21"/>
                <w:lang w:val="zh-CN" w:eastAsia="zh-CN"/>
                <w14:textFill>
                  <w14:solidFill>
                    <w14:schemeClr w14:val="tx1"/>
                  </w14:solidFill>
                </w14:textFill>
              </w:rPr>
              <w:t>承担一切法律责任，接受各级政府采购监管部门和有权机关的审查和处罚。</w:t>
            </w:r>
          </w:p>
          <w:p w14:paraId="7451A0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96F9BA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9BEC6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A14B84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6CF6C60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12A175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供应商名称(盖章)：</w:t>
            </w:r>
          </w:p>
          <w:p w14:paraId="6BBBEE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法定代表人(签字)：</w:t>
            </w:r>
          </w:p>
          <w:p w14:paraId="6137295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二O  年  月  日</w:t>
            </w:r>
          </w:p>
        </w:tc>
      </w:tr>
    </w:tbl>
    <w:p w14:paraId="027C945F">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24DE43F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注：</w:t>
      </w:r>
    </w:p>
    <w:p w14:paraId="71E311D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1.</w:t>
      </w:r>
      <w:r>
        <w:rPr>
          <w:rFonts w:hint="eastAsia" w:ascii="宋体" w:hAnsi="宋体" w:cs="宋体"/>
          <w:b w:val="0"/>
          <w:bCs/>
          <w:color w:val="000000" w:themeColor="text1"/>
          <w:sz w:val="24"/>
          <w:szCs w:val="21"/>
          <w:lang w:val="zh-CN" w:eastAsia="zh-CN"/>
          <w14:textFill>
            <w14:solidFill>
              <w14:schemeClr w14:val="tx1"/>
            </w14:solidFill>
          </w14:textFill>
        </w:rPr>
        <w:t>上表应登录“信用南京”在线打印其“南京市政府采购供应商信用记录表暨信用承诺书”，经法定代表人签名盖章后作为投标（响应）文件的组成部分提交给采购代理机构，自行填写无效。</w:t>
      </w:r>
    </w:p>
    <w:p w14:paraId="74D90513">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2.</w:t>
      </w:r>
      <w:r>
        <w:rPr>
          <w:rFonts w:hint="eastAsia" w:ascii="宋体" w:hAnsi="宋体" w:cs="宋体"/>
          <w:b w:val="0"/>
          <w:bCs/>
          <w:color w:val="000000" w:themeColor="text1"/>
          <w:sz w:val="24"/>
          <w:szCs w:val="21"/>
          <w:lang w:val="zh-CN" w:eastAsia="zh-CN"/>
          <w14:textFill>
            <w14:solidFill>
              <w14:schemeClr w14:val="tx1"/>
            </w14:solidFill>
          </w14:textFill>
        </w:rPr>
        <w:t>供应商在中标（成交）后，应按采购文件要求，将上述由信用承诺书替代的证明材料提交采购人或采购代理机构核验。经核验无误后，由采购人或采购代理机构发出中标（成交）通知书。</w:t>
      </w:r>
    </w:p>
    <w:p w14:paraId="332E4D1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3.</w:t>
      </w:r>
      <w:r>
        <w:rPr>
          <w:rFonts w:hint="eastAsia" w:ascii="宋体" w:hAnsi="宋体" w:cs="宋体"/>
          <w:b w:val="0"/>
          <w:bCs/>
          <w:color w:val="000000" w:themeColor="text1"/>
          <w:sz w:val="24"/>
          <w:szCs w:val="21"/>
          <w:lang w:val="zh-CN" w:eastAsia="zh-CN"/>
          <w14:textFill>
            <w14:solidFill>
              <w14:schemeClr w14:val="tx1"/>
            </w14:solidFill>
          </w14:textFill>
        </w:rPr>
        <w:t>供应商对信用承诺内容的真实性、合法性、有效性负责。如做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7F8E5F58">
      <w:pPr>
        <w:autoSpaceDE w:val="0"/>
        <w:autoSpaceDN w:val="0"/>
        <w:adjustRightInd w:val="0"/>
        <w:jc w:val="both"/>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w:t>
      </w:r>
      <w:r>
        <w:rPr>
          <w:rFonts w:hint="eastAsia" w:ascii="宋体" w:hAnsi="宋体" w:cs="宋体"/>
          <w:b w:val="0"/>
          <w:bCs/>
          <w:color w:val="000000" w:themeColor="text1"/>
          <w:sz w:val="24"/>
          <w:szCs w:val="21"/>
          <w:lang w:val="en-US" w:eastAsia="zh-CN"/>
          <w14:textFill>
            <w14:solidFill>
              <w14:schemeClr w14:val="tx1"/>
            </w14:solidFill>
          </w14:textFill>
        </w:rPr>
        <w:t>4.</w:t>
      </w:r>
      <w:r>
        <w:rPr>
          <w:rFonts w:hint="eastAsia" w:ascii="宋体" w:hAnsi="宋体" w:cs="宋体"/>
          <w:b w:val="0"/>
          <w:bCs/>
          <w:color w:val="000000" w:themeColor="text1"/>
          <w:sz w:val="24"/>
          <w:szCs w:val="21"/>
          <w:lang w:val="zh-CN" w:eastAsia="zh-CN"/>
          <w14:textFill>
            <w14:solidFill>
              <w14:schemeClr w14:val="tx1"/>
            </w14:solidFill>
          </w14:textFill>
        </w:rPr>
        <w:t>本承诺书打印时间须在本项目招标公告发布至投标截止时间内。</w:t>
      </w:r>
    </w:p>
    <w:p w14:paraId="2B86F2A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p>
    <w:p w14:paraId="765332FF">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19849EA0">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0D86F731">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3" w:name="_Toc175663965"/>
    </w:p>
    <w:p w14:paraId="04A45CAB">
      <w:pPr>
        <w:autoSpaceDE w:val="0"/>
        <w:autoSpaceDN w:val="0"/>
        <w:adjustRightInd w:val="0"/>
        <w:spacing w:line="360" w:lineRule="auto"/>
        <w:outlineLvl w:val="1"/>
        <w:rPr>
          <w:rFonts w:ascii="宋体" w:hAnsi="宋体" w:cs="宋体"/>
          <w:b/>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十六、其他（格式自拟）</w:t>
      </w:r>
      <w:bookmarkEnd w:id="763"/>
    </w:p>
    <w:p w14:paraId="65E6917A">
      <w:pPr>
        <w:pStyle w:val="19"/>
        <w:spacing w:before="26"/>
        <w:ind w:left="112" w:right="233"/>
        <w:jc w:val="center"/>
        <w:rPr>
          <w:color w:val="000000" w:themeColor="text1"/>
          <w:sz w:val="21"/>
          <w:szCs w:val="21"/>
          <w:lang w:eastAsia="zh-CN"/>
          <w14:textFill>
            <w14:solidFill>
              <w14:schemeClr w14:val="tx1"/>
            </w14:solidFill>
          </w14:textFill>
        </w:rPr>
      </w:pPr>
    </w:p>
    <w:sectPr>
      <w:pgSz w:w="11906" w:h="16838"/>
      <w:pgMar w:top="1418" w:right="113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金山简魏碑">
    <w:altName w:val="宋体"/>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ZL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A9DF">
    <w:pPr>
      <w:pStyle w:val="32"/>
      <w:jc w:val="center"/>
    </w:pPr>
    <w:r>
      <w:fldChar w:fldCharType="begin"/>
    </w:r>
    <w:r>
      <w:instrText xml:space="preserve"> PAGE   \* MERGEFORMAT </w:instrText>
    </w:r>
    <w:r>
      <w:fldChar w:fldCharType="separate"/>
    </w:r>
    <w:r>
      <w:rPr>
        <w:lang w:val="zh-CN"/>
      </w:rPr>
      <w:t>6</w:t>
    </w:r>
    <w:r>
      <w:rPr>
        <w:lang w:val="zh-CN"/>
      </w:rPr>
      <w:fldChar w:fldCharType="end"/>
    </w:r>
  </w:p>
  <w:p w14:paraId="1165B24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97EE">
    <w:pPr>
      <w:pStyle w:val="32"/>
      <w:jc w:val="center"/>
    </w:pPr>
    <w:r>
      <w:fldChar w:fldCharType="begin"/>
    </w:r>
    <w:r>
      <w:instrText xml:space="preserve"> PAGE   \* MERGEFORMAT </w:instrText>
    </w:r>
    <w:r>
      <w:fldChar w:fldCharType="separate"/>
    </w:r>
    <w:r>
      <w:rPr>
        <w:lang w:val="zh-CN"/>
      </w:rPr>
      <w:t>56</w:t>
    </w:r>
    <w:r>
      <w:rPr>
        <w:lang w:val="zh-CN"/>
      </w:rPr>
      <w:fldChar w:fldCharType="end"/>
    </w:r>
  </w:p>
  <w:p w14:paraId="1521382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E535">
    <w:pPr>
      <w:pStyle w:val="488"/>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163</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8A60">
    <w:pPr>
      <w:pStyle w:val="32"/>
      <w:jc w:val="center"/>
    </w:pPr>
    <w:r>
      <w:fldChar w:fldCharType="begin"/>
    </w:r>
    <w:r>
      <w:instrText xml:space="preserve"> PAGE   \* MERGEFORMAT </w:instrText>
    </w:r>
    <w:r>
      <w:fldChar w:fldCharType="separate"/>
    </w:r>
    <w:r>
      <w:rPr>
        <w:lang w:val="zh-CN"/>
      </w:rPr>
      <w:t>65</w:t>
    </w:r>
    <w:r>
      <w:rPr>
        <w:lang w:val="zh-CN"/>
      </w:rPr>
      <w:fldChar w:fldCharType="end"/>
    </w:r>
  </w:p>
  <w:p w14:paraId="018F261D">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1087">
    <w:pPr>
      <w:pStyle w:val="32"/>
      <w:jc w:val="center"/>
      <w:rPr>
        <w:rFonts w:eastAsiaTheme="minorEastAsia"/>
        <w:lang w:eastAsia="zh-CN"/>
      </w:rPr>
    </w:pPr>
    <w:r>
      <w:fldChar w:fldCharType="begin"/>
    </w:r>
    <w:r>
      <w:instrText xml:space="preserve"> PAGE   \* MERGEFORMAT </w:instrText>
    </w:r>
    <w:r>
      <w:fldChar w:fldCharType="separate"/>
    </w:r>
    <w:r>
      <w:rPr>
        <w:lang w:val="zh-CN"/>
      </w:rPr>
      <w:t>77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FAF9">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3AC6"/>
    <w:multiLevelType w:val="singleLevel"/>
    <w:tmpl w:val="D8F53AC6"/>
    <w:lvl w:ilvl="0" w:tentative="0">
      <w:start w:val="1"/>
      <w:numFmt w:val="chineseCounting"/>
      <w:suff w:val="space"/>
      <w:lvlText w:val="第%1章"/>
      <w:lvlJc w:val="left"/>
      <w:rPr>
        <w:rFonts w:hint="eastAsia"/>
      </w:rPr>
    </w:lvl>
  </w:abstractNum>
  <w:abstractNum w:abstractNumId="1">
    <w:nsid w:val="20B86A25"/>
    <w:multiLevelType w:val="multilevel"/>
    <w:tmpl w:val="20B86A25"/>
    <w:lvl w:ilvl="0" w:tentative="0">
      <w:start w:val="5"/>
      <w:numFmt w:val="decimal"/>
      <w:pStyle w:val="22"/>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FAE69E8"/>
    <w:multiLevelType w:val="multilevel"/>
    <w:tmpl w:val="2FAE69E8"/>
    <w:lvl w:ilvl="0" w:tentative="0">
      <w:start w:val="1"/>
      <w:numFmt w:val="decimal"/>
      <w:pStyle w:val="455"/>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2417B41"/>
    <w:multiLevelType w:val="multilevel"/>
    <w:tmpl w:val="42417B41"/>
    <w:lvl w:ilvl="0" w:tentative="0">
      <w:start w:val="1"/>
      <w:numFmt w:val="decimal"/>
      <w:pStyle w:val="47"/>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5851765"/>
    <w:multiLevelType w:val="multilevel"/>
    <w:tmpl w:val="55851765"/>
    <w:lvl w:ilvl="0" w:tentative="0">
      <w:start w:val="1"/>
      <w:numFmt w:val="decimal"/>
      <w:pStyle w:val="457"/>
      <w:lvlText w:val="%1."/>
      <w:lvlJc w:val="left"/>
      <w:pPr>
        <w:tabs>
          <w:tab w:val="left" w:pos="780"/>
        </w:tabs>
        <w:ind w:left="780" w:hanging="360"/>
      </w:pPr>
      <w:rPr>
        <w:rFonts w:hint="eastAsia"/>
      </w:rPr>
    </w:lvl>
    <w:lvl w:ilvl="1" w:tentative="0">
      <w:start w:val="1"/>
      <w:numFmt w:val="lowerLetter"/>
      <w:pStyle w:val="456"/>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46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454"/>
      <w:lvlText w:val="%6."/>
      <w:lvlJc w:val="right"/>
      <w:pPr>
        <w:tabs>
          <w:tab w:val="left" w:pos="2940"/>
        </w:tabs>
        <w:ind w:left="2940" w:hanging="420"/>
      </w:pPr>
    </w:lvl>
    <w:lvl w:ilvl="6" w:tentative="0">
      <w:start w:val="1"/>
      <w:numFmt w:val="decimal"/>
      <w:pStyle w:val="461"/>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4"/>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87"/>
    <w:rsid w:val="000175AB"/>
    <w:rsid w:val="00026ED5"/>
    <w:rsid w:val="00031448"/>
    <w:rsid w:val="00065657"/>
    <w:rsid w:val="000C0952"/>
    <w:rsid w:val="000F3B3D"/>
    <w:rsid w:val="000F7318"/>
    <w:rsid w:val="001146A8"/>
    <w:rsid w:val="0014370A"/>
    <w:rsid w:val="00193EF4"/>
    <w:rsid w:val="001D6DA1"/>
    <w:rsid w:val="00220A06"/>
    <w:rsid w:val="00221FCD"/>
    <w:rsid w:val="00276216"/>
    <w:rsid w:val="002829A8"/>
    <w:rsid w:val="00286E09"/>
    <w:rsid w:val="002914CD"/>
    <w:rsid w:val="002D024E"/>
    <w:rsid w:val="003028F5"/>
    <w:rsid w:val="00312749"/>
    <w:rsid w:val="00312D33"/>
    <w:rsid w:val="00332A20"/>
    <w:rsid w:val="00374692"/>
    <w:rsid w:val="003832F4"/>
    <w:rsid w:val="003B4490"/>
    <w:rsid w:val="003E6C6F"/>
    <w:rsid w:val="00407B66"/>
    <w:rsid w:val="00441EC6"/>
    <w:rsid w:val="004868DE"/>
    <w:rsid w:val="004A41CF"/>
    <w:rsid w:val="004B7589"/>
    <w:rsid w:val="004E3972"/>
    <w:rsid w:val="005668B4"/>
    <w:rsid w:val="005731E1"/>
    <w:rsid w:val="005F2635"/>
    <w:rsid w:val="00715B37"/>
    <w:rsid w:val="00754D6A"/>
    <w:rsid w:val="00756F33"/>
    <w:rsid w:val="007577CC"/>
    <w:rsid w:val="007F552E"/>
    <w:rsid w:val="008A505E"/>
    <w:rsid w:val="008C6875"/>
    <w:rsid w:val="008F0D1A"/>
    <w:rsid w:val="008F54BF"/>
    <w:rsid w:val="009640D0"/>
    <w:rsid w:val="009E5B96"/>
    <w:rsid w:val="009F015A"/>
    <w:rsid w:val="00A21B14"/>
    <w:rsid w:val="00B37687"/>
    <w:rsid w:val="00BC1C98"/>
    <w:rsid w:val="00BD40ED"/>
    <w:rsid w:val="00BD6958"/>
    <w:rsid w:val="00C04E03"/>
    <w:rsid w:val="00C3382C"/>
    <w:rsid w:val="00C9181E"/>
    <w:rsid w:val="00CE00A6"/>
    <w:rsid w:val="00D05B38"/>
    <w:rsid w:val="00D13AA3"/>
    <w:rsid w:val="00D85C97"/>
    <w:rsid w:val="00DF308A"/>
    <w:rsid w:val="00E157C2"/>
    <w:rsid w:val="00E273AC"/>
    <w:rsid w:val="00EA6645"/>
    <w:rsid w:val="00F0097B"/>
    <w:rsid w:val="00F349E1"/>
    <w:rsid w:val="00F64AEF"/>
    <w:rsid w:val="00F77621"/>
    <w:rsid w:val="00F94D15"/>
    <w:rsid w:val="00FA7895"/>
    <w:rsid w:val="00FC2BC8"/>
    <w:rsid w:val="01E847E5"/>
    <w:rsid w:val="01EC7705"/>
    <w:rsid w:val="02F53218"/>
    <w:rsid w:val="038D5330"/>
    <w:rsid w:val="07F134DD"/>
    <w:rsid w:val="08093E90"/>
    <w:rsid w:val="089E6A60"/>
    <w:rsid w:val="09533A6F"/>
    <w:rsid w:val="0A6C0264"/>
    <w:rsid w:val="0AC52F38"/>
    <w:rsid w:val="0C7A78E7"/>
    <w:rsid w:val="0D0B3A81"/>
    <w:rsid w:val="0D8C7FD7"/>
    <w:rsid w:val="0DDC125D"/>
    <w:rsid w:val="0F476D1F"/>
    <w:rsid w:val="0F5A4B2F"/>
    <w:rsid w:val="11365128"/>
    <w:rsid w:val="11FF25EB"/>
    <w:rsid w:val="12C96006"/>
    <w:rsid w:val="13771000"/>
    <w:rsid w:val="13C62793"/>
    <w:rsid w:val="150C68CB"/>
    <w:rsid w:val="15C5264C"/>
    <w:rsid w:val="173A1394"/>
    <w:rsid w:val="197902A7"/>
    <w:rsid w:val="198A566B"/>
    <w:rsid w:val="1A1F6D1F"/>
    <w:rsid w:val="1F537C6D"/>
    <w:rsid w:val="1F7E03C6"/>
    <w:rsid w:val="21635AC5"/>
    <w:rsid w:val="289360AA"/>
    <w:rsid w:val="289706A8"/>
    <w:rsid w:val="28DE65C2"/>
    <w:rsid w:val="29D765F1"/>
    <w:rsid w:val="2BFC3B9E"/>
    <w:rsid w:val="2C0B2FE1"/>
    <w:rsid w:val="2F0A36D5"/>
    <w:rsid w:val="30933355"/>
    <w:rsid w:val="31462019"/>
    <w:rsid w:val="31924D0B"/>
    <w:rsid w:val="3287495F"/>
    <w:rsid w:val="33C85C5B"/>
    <w:rsid w:val="33CD6E6A"/>
    <w:rsid w:val="35CB6826"/>
    <w:rsid w:val="37A659C2"/>
    <w:rsid w:val="385468C8"/>
    <w:rsid w:val="39D569DC"/>
    <w:rsid w:val="3A303A0C"/>
    <w:rsid w:val="3A437DEA"/>
    <w:rsid w:val="3C5332BA"/>
    <w:rsid w:val="3CB951FD"/>
    <w:rsid w:val="3D1573CC"/>
    <w:rsid w:val="3DDF1211"/>
    <w:rsid w:val="3DF338D5"/>
    <w:rsid w:val="412F731A"/>
    <w:rsid w:val="422A4671"/>
    <w:rsid w:val="43102AFF"/>
    <w:rsid w:val="43311790"/>
    <w:rsid w:val="43C1687F"/>
    <w:rsid w:val="45594965"/>
    <w:rsid w:val="46776BBD"/>
    <w:rsid w:val="472C5DFB"/>
    <w:rsid w:val="48D94797"/>
    <w:rsid w:val="4AC37A66"/>
    <w:rsid w:val="4B5A4F93"/>
    <w:rsid w:val="4B9C1A50"/>
    <w:rsid w:val="4DDD5524"/>
    <w:rsid w:val="4E031DB1"/>
    <w:rsid w:val="4F840831"/>
    <w:rsid w:val="4F8847C5"/>
    <w:rsid w:val="4FB04769"/>
    <w:rsid w:val="503F797E"/>
    <w:rsid w:val="52C03E49"/>
    <w:rsid w:val="539B083F"/>
    <w:rsid w:val="53B620A9"/>
    <w:rsid w:val="56EE4CEC"/>
    <w:rsid w:val="5AC73CC7"/>
    <w:rsid w:val="5C3D5F14"/>
    <w:rsid w:val="5DB744C7"/>
    <w:rsid w:val="5E954808"/>
    <w:rsid w:val="60710E59"/>
    <w:rsid w:val="617B3D7A"/>
    <w:rsid w:val="63C96D02"/>
    <w:rsid w:val="646B1C2D"/>
    <w:rsid w:val="64903041"/>
    <w:rsid w:val="65C92FEA"/>
    <w:rsid w:val="67000D44"/>
    <w:rsid w:val="67980EC5"/>
    <w:rsid w:val="685C0145"/>
    <w:rsid w:val="696234C8"/>
    <w:rsid w:val="6A2647AD"/>
    <w:rsid w:val="6B5E5F82"/>
    <w:rsid w:val="6E6B7F7F"/>
    <w:rsid w:val="70143C5A"/>
    <w:rsid w:val="70195CE1"/>
    <w:rsid w:val="71207D60"/>
    <w:rsid w:val="779268AA"/>
    <w:rsid w:val="77B92EBE"/>
    <w:rsid w:val="783E33C3"/>
    <w:rsid w:val="78AC657F"/>
    <w:rsid w:val="7AF72273"/>
    <w:rsid w:val="7C1A1FD9"/>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uiPriority="99" w:name="HTML Cite"/>
    <w:lsdException w:qFormat="1" w:unhideWhenUsed="0" w:uiPriority="99" w:semiHidden="0" w:name="HTML Code"/>
    <w:lsdException w:qFormat="1" w:unhideWhenUsed="0" w:uiPriority="0"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Calibri" w:cs="Times New Roman"/>
      <w:sz w:val="22"/>
      <w:szCs w:val="22"/>
      <w:lang w:val="en-US" w:eastAsia="en-US" w:bidi="ar-SA"/>
    </w:rPr>
  </w:style>
  <w:style w:type="paragraph" w:styleId="3">
    <w:name w:val="heading 1"/>
    <w:basedOn w:val="1"/>
    <w:next w:val="1"/>
    <w:link w:val="72"/>
    <w:qFormat/>
    <w:uiPriority w:val="0"/>
    <w:pPr>
      <w:outlineLvl w:val="0"/>
    </w:pPr>
    <w:rPr>
      <w:rFonts w:ascii="黑体" w:hAnsi="黑体" w:eastAsia="黑体"/>
      <w:sz w:val="72"/>
      <w:szCs w:val="72"/>
    </w:rPr>
  </w:style>
  <w:style w:type="paragraph" w:styleId="4">
    <w:name w:val="heading 2"/>
    <w:basedOn w:val="1"/>
    <w:next w:val="1"/>
    <w:link w:val="73"/>
    <w:qFormat/>
    <w:uiPriority w:val="0"/>
    <w:pPr>
      <w:ind w:left="1558"/>
      <w:outlineLvl w:val="1"/>
    </w:pPr>
    <w:rPr>
      <w:rFonts w:ascii="黑体" w:hAnsi="黑体" w:eastAsia="黑体"/>
      <w:b/>
      <w:bCs/>
      <w:sz w:val="36"/>
      <w:szCs w:val="36"/>
    </w:rPr>
  </w:style>
  <w:style w:type="paragraph" w:styleId="5">
    <w:name w:val="heading 3"/>
    <w:basedOn w:val="1"/>
    <w:next w:val="1"/>
    <w:link w:val="74"/>
    <w:qFormat/>
    <w:uiPriority w:val="0"/>
    <w:pPr>
      <w:outlineLvl w:val="2"/>
    </w:pPr>
    <w:rPr>
      <w:rFonts w:ascii="黑体" w:hAnsi="黑体" w:eastAsia="黑体"/>
      <w:sz w:val="32"/>
      <w:szCs w:val="32"/>
    </w:rPr>
  </w:style>
  <w:style w:type="paragraph" w:styleId="6">
    <w:name w:val="heading 4"/>
    <w:basedOn w:val="1"/>
    <w:next w:val="1"/>
    <w:link w:val="75"/>
    <w:qFormat/>
    <w:uiPriority w:val="0"/>
    <w:pPr>
      <w:spacing w:before="34"/>
      <w:ind w:left="358"/>
      <w:outlineLvl w:val="3"/>
    </w:pPr>
    <w:rPr>
      <w:rFonts w:ascii="宋体" w:hAnsi="宋体" w:eastAsia="宋体"/>
      <w:b/>
      <w:bCs/>
      <w:sz w:val="24"/>
      <w:szCs w:val="24"/>
    </w:rPr>
  </w:style>
  <w:style w:type="paragraph" w:styleId="7">
    <w:name w:val="heading 5"/>
    <w:basedOn w:val="1"/>
    <w:next w:val="1"/>
    <w:link w:val="76"/>
    <w:qFormat/>
    <w:uiPriority w:val="0"/>
    <w:pPr>
      <w:keepNext/>
      <w:keepLines/>
      <w:spacing w:before="280" w:after="290" w:line="372" w:lineRule="auto"/>
      <w:jc w:val="both"/>
      <w:outlineLvl w:val="4"/>
    </w:pPr>
    <w:rPr>
      <w:rFonts w:ascii="Times New Roman" w:hAnsi="Times New Roman" w:eastAsia="宋体"/>
      <w:b/>
      <w:bCs/>
      <w:kern w:val="2"/>
      <w:sz w:val="28"/>
      <w:szCs w:val="28"/>
      <w:lang w:eastAsia="zh-CN"/>
    </w:rPr>
  </w:style>
  <w:style w:type="paragraph" w:styleId="8">
    <w:name w:val="heading 6"/>
    <w:basedOn w:val="1"/>
    <w:next w:val="1"/>
    <w:link w:val="77"/>
    <w:qFormat/>
    <w:uiPriority w:val="0"/>
    <w:pPr>
      <w:keepNext/>
      <w:keepLines/>
      <w:widowControl/>
      <w:tabs>
        <w:tab w:val="left" w:pos="1440"/>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78"/>
    <w:qFormat/>
    <w:uiPriority w:val="0"/>
    <w:pPr>
      <w:keepNext/>
      <w:keepLines/>
      <w:widowControl/>
      <w:tabs>
        <w:tab w:val="left" w:pos="2520"/>
      </w:tabs>
      <w:spacing w:before="240" w:after="64" w:line="317" w:lineRule="auto"/>
      <w:ind w:left="1296" w:hanging="1296"/>
      <w:outlineLvl w:val="6"/>
    </w:pPr>
    <w:rPr>
      <w:rFonts w:eastAsia="宋体"/>
      <w:b/>
      <w:sz w:val="24"/>
      <w:szCs w:val="20"/>
    </w:rPr>
  </w:style>
  <w:style w:type="paragraph" w:styleId="10">
    <w:name w:val="heading 8"/>
    <w:basedOn w:val="1"/>
    <w:next w:val="1"/>
    <w:link w:val="79"/>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0"/>
    <w:qFormat/>
    <w:uiPriority w:val="0"/>
    <w:pPr>
      <w:keepNext/>
      <w:keepLines/>
      <w:widowControl/>
      <w:tabs>
        <w:tab w:val="left" w:pos="1584"/>
      </w:tabs>
      <w:spacing w:before="240" w:after="64" w:line="317" w:lineRule="auto"/>
      <w:ind w:left="1584" w:hanging="1584"/>
      <w:outlineLvl w:val="8"/>
    </w:pPr>
    <w:rPr>
      <w:rFonts w:ascii="Arial" w:hAnsi="Arial" w:eastAsia="黑体"/>
      <w:sz w:val="21"/>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pPr>
    <w:rPr>
      <w:rFonts w:ascii="宋体" w:hAnsi="宋体"/>
      <w:sz w:val="24"/>
      <w:szCs w:val="24"/>
    </w:rPr>
  </w:style>
  <w:style w:type="paragraph" w:styleId="12">
    <w:name w:val="toc 7"/>
    <w:basedOn w:val="1"/>
    <w:next w:val="1"/>
    <w:unhideWhenUsed/>
    <w:qFormat/>
    <w:uiPriority w:val="39"/>
    <w:pPr>
      <w:ind w:left="2520"/>
      <w:jc w:val="both"/>
    </w:pPr>
    <w:rPr>
      <w:rFonts w:eastAsia="宋体"/>
      <w:sz w:val="21"/>
      <w:lang w:eastAsia="zh-CN"/>
    </w:rPr>
  </w:style>
  <w:style w:type="paragraph" w:styleId="13">
    <w:name w:val="Normal Indent"/>
    <w:basedOn w:val="1"/>
    <w:qFormat/>
    <w:uiPriority w:val="0"/>
    <w:pPr>
      <w:ind w:firstLine="420"/>
    </w:pPr>
  </w:style>
  <w:style w:type="paragraph" w:styleId="14">
    <w:name w:val="caption"/>
    <w:basedOn w:val="1"/>
    <w:next w:val="1"/>
    <w:qFormat/>
    <w:uiPriority w:val="0"/>
    <w:pPr>
      <w:jc w:val="both"/>
    </w:pPr>
    <w:rPr>
      <w:rFonts w:ascii="Cambria" w:hAnsi="Cambria" w:eastAsia="黑体"/>
      <w:kern w:val="2"/>
      <w:sz w:val="20"/>
      <w:szCs w:val="20"/>
      <w:lang w:eastAsia="zh-CN"/>
    </w:rPr>
  </w:style>
  <w:style w:type="paragraph" w:styleId="15">
    <w:name w:val="Document Map"/>
    <w:basedOn w:val="1"/>
    <w:link w:val="242"/>
    <w:qFormat/>
    <w:uiPriority w:val="0"/>
    <w:rPr>
      <w:rFonts w:ascii="宋体" w:eastAsia="宋体"/>
      <w:sz w:val="18"/>
      <w:szCs w:val="18"/>
    </w:rPr>
  </w:style>
  <w:style w:type="paragraph" w:styleId="16">
    <w:name w:val="annotation text"/>
    <w:basedOn w:val="1"/>
    <w:link w:val="243"/>
    <w:qFormat/>
    <w:uiPriority w:val="0"/>
    <w:rPr>
      <w:sz w:val="20"/>
    </w:rPr>
  </w:style>
  <w:style w:type="paragraph" w:styleId="17">
    <w:name w:val="Salutation"/>
    <w:basedOn w:val="1"/>
    <w:next w:val="1"/>
    <w:link w:val="394"/>
    <w:qFormat/>
    <w:uiPriority w:val="99"/>
    <w:pPr>
      <w:jc w:val="both"/>
    </w:pPr>
    <w:rPr>
      <w:rFonts w:ascii="楷体_GB2312" w:eastAsia="楷体_GB2312"/>
      <w:kern w:val="2"/>
      <w:sz w:val="28"/>
      <w:szCs w:val="20"/>
      <w:lang w:eastAsia="zh-CN"/>
    </w:rPr>
  </w:style>
  <w:style w:type="paragraph" w:styleId="18">
    <w:name w:val="Body Text 3"/>
    <w:basedOn w:val="1"/>
    <w:link w:val="244"/>
    <w:qFormat/>
    <w:uiPriority w:val="0"/>
    <w:pPr>
      <w:jc w:val="both"/>
    </w:pPr>
    <w:rPr>
      <w:rFonts w:ascii="宋体" w:eastAsia="宋体"/>
      <w:sz w:val="24"/>
      <w:szCs w:val="20"/>
    </w:rPr>
  </w:style>
  <w:style w:type="paragraph" w:styleId="19">
    <w:name w:val="Body Text"/>
    <w:basedOn w:val="1"/>
    <w:link w:val="245"/>
    <w:qFormat/>
    <w:uiPriority w:val="0"/>
    <w:pPr>
      <w:spacing w:before="34"/>
      <w:ind w:left="118"/>
    </w:pPr>
    <w:rPr>
      <w:rFonts w:ascii="宋体" w:hAnsi="宋体" w:eastAsia="宋体"/>
      <w:sz w:val="24"/>
      <w:szCs w:val="24"/>
    </w:rPr>
  </w:style>
  <w:style w:type="paragraph" w:styleId="20">
    <w:name w:val="Body Text Indent"/>
    <w:basedOn w:val="1"/>
    <w:next w:val="21"/>
    <w:link w:val="246"/>
    <w:qFormat/>
    <w:uiPriority w:val="0"/>
    <w:pPr>
      <w:spacing w:after="120"/>
      <w:ind w:left="420"/>
      <w:jc w:val="both"/>
    </w:pPr>
    <w:rPr>
      <w:rFonts w:eastAsia="宋体"/>
      <w:sz w:val="21"/>
      <w:szCs w:val="20"/>
    </w:rPr>
  </w:style>
  <w:style w:type="paragraph" w:styleId="21">
    <w:name w:val="envelope return"/>
    <w:basedOn w:val="1"/>
    <w:unhideWhenUsed/>
    <w:qFormat/>
    <w:uiPriority w:val="99"/>
    <w:rPr>
      <w:rFonts w:ascii="Arial" w:hAnsi="Arial" w:cs="Arial"/>
    </w:rPr>
  </w:style>
  <w:style w:type="paragraph" w:styleId="22">
    <w:name w:val="List Continue"/>
    <w:basedOn w:val="1"/>
    <w:qFormat/>
    <w:uiPriority w:val="0"/>
    <w:pPr>
      <w:numPr>
        <w:ilvl w:val="0"/>
        <w:numId w:val="1"/>
      </w:numPr>
      <w:tabs>
        <w:tab w:val="left" w:pos="360"/>
      </w:tabs>
      <w:spacing w:after="120"/>
      <w:ind w:left="420"/>
      <w:jc w:val="both"/>
    </w:pPr>
    <w:rPr>
      <w:rFonts w:ascii="方正小标宋_GBK" w:hAnsi="方正仿宋_GBK" w:eastAsia="宋体" w:cs="方正仿宋_GBK"/>
      <w:snapToGrid w:val="0"/>
      <w:kern w:val="72"/>
      <w:sz w:val="24"/>
      <w:szCs w:val="84"/>
      <w:lang w:eastAsia="zh-CN"/>
    </w:rPr>
  </w:style>
  <w:style w:type="paragraph" w:styleId="23">
    <w:name w:val="index 4"/>
    <w:basedOn w:val="1"/>
    <w:next w:val="1"/>
    <w:unhideWhenUsed/>
    <w:qFormat/>
    <w:uiPriority w:val="0"/>
    <w:pPr>
      <w:ind w:left="600"/>
    </w:pPr>
  </w:style>
  <w:style w:type="paragraph" w:styleId="24">
    <w:name w:val="toc 5"/>
    <w:basedOn w:val="1"/>
    <w:next w:val="1"/>
    <w:unhideWhenUsed/>
    <w:qFormat/>
    <w:uiPriority w:val="39"/>
    <w:pPr>
      <w:ind w:left="1680"/>
      <w:jc w:val="both"/>
    </w:pPr>
    <w:rPr>
      <w:rFonts w:eastAsia="宋体"/>
      <w:sz w:val="21"/>
      <w:lang w:eastAsia="zh-CN"/>
    </w:rPr>
  </w:style>
  <w:style w:type="paragraph" w:styleId="25">
    <w:name w:val="toc 3"/>
    <w:basedOn w:val="1"/>
    <w:next w:val="1"/>
    <w:qFormat/>
    <w:uiPriority w:val="39"/>
    <w:pPr>
      <w:ind w:left="840"/>
      <w:jc w:val="both"/>
    </w:pPr>
    <w:rPr>
      <w:rFonts w:eastAsia="宋体"/>
      <w:sz w:val="21"/>
      <w:szCs w:val="20"/>
      <w:lang w:eastAsia="zh-CN"/>
    </w:rPr>
  </w:style>
  <w:style w:type="paragraph" w:styleId="26">
    <w:name w:val="Plain Text"/>
    <w:basedOn w:val="1"/>
    <w:link w:val="247"/>
    <w:qFormat/>
    <w:uiPriority w:val="99"/>
    <w:pPr>
      <w:jc w:val="both"/>
    </w:pPr>
    <w:rPr>
      <w:rFonts w:ascii="Ari" w:eastAsia="宋体"/>
      <w:sz w:val="21"/>
      <w:szCs w:val="24"/>
    </w:rPr>
  </w:style>
  <w:style w:type="paragraph" w:styleId="27">
    <w:name w:val="toc 8"/>
    <w:basedOn w:val="1"/>
    <w:next w:val="1"/>
    <w:unhideWhenUsed/>
    <w:qFormat/>
    <w:uiPriority w:val="39"/>
    <w:pPr>
      <w:ind w:left="2940"/>
      <w:jc w:val="both"/>
    </w:pPr>
    <w:rPr>
      <w:rFonts w:eastAsia="宋体"/>
      <w:sz w:val="21"/>
      <w:lang w:eastAsia="zh-CN"/>
    </w:rPr>
  </w:style>
  <w:style w:type="paragraph" w:styleId="28">
    <w:name w:val="Date"/>
    <w:basedOn w:val="1"/>
    <w:next w:val="1"/>
    <w:link w:val="248"/>
    <w:qFormat/>
    <w:uiPriority w:val="0"/>
    <w:pPr>
      <w:jc w:val="both"/>
    </w:pPr>
    <w:rPr>
      <w:rFonts w:eastAsia="宋体"/>
      <w:sz w:val="24"/>
      <w:szCs w:val="20"/>
    </w:rPr>
  </w:style>
  <w:style w:type="paragraph" w:styleId="29">
    <w:name w:val="Body Text Indent 2"/>
    <w:basedOn w:val="1"/>
    <w:link w:val="294"/>
    <w:unhideWhenUsed/>
    <w:qFormat/>
    <w:uiPriority w:val="0"/>
    <w:pPr>
      <w:spacing w:after="120" w:line="480" w:lineRule="auto"/>
      <w:ind w:left="420" w:leftChars="200"/>
    </w:pPr>
  </w:style>
  <w:style w:type="paragraph" w:styleId="30">
    <w:name w:val="endnote text"/>
    <w:basedOn w:val="1"/>
    <w:link w:val="240"/>
    <w:semiHidden/>
    <w:unhideWhenUsed/>
    <w:qFormat/>
    <w:uiPriority w:val="99"/>
    <w:rPr>
      <w:rFonts w:eastAsia="宋体"/>
      <w:sz w:val="20"/>
      <w:szCs w:val="20"/>
    </w:rPr>
  </w:style>
  <w:style w:type="paragraph" w:styleId="31">
    <w:name w:val="Balloon Text"/>
    <w:basedOn w:val="1"/>
    <w:link w:val="249"/>
    <w:qFormat/>
    <w:uiPriority w:val="0"/>
    <w:rPr>
      <w:sz w:val="18"/>
      <w:szCs w:val="18"/>
    </w:rPr>
  </w:style>
  <w:style w:type="paragraph" w:styleId="32">
    <w:name w:val="footer"/>
    <w:basedOn w:val="1"/>
    <w:link w:val="250"/>
    <w:qFormat/>
    <w:uiPriority w:val="99"/>
    <w:pPr>
      <w:tabs>
        <w:tab w:val="center" w:pos="4153"/>
        <w:tab w:val="right" w:pos="8306"/>
      </w:tabs>
    </w:pPr>
    <w:rPr>
      <w:sz w:val="18"/>
    </w:rPr>
  </w:style>
  <w:style w:type="paragraph" w:styleId="33">
    <w:name w:val="header"/>
    <w:basedOn w:val="1"/>
    <w:link w:val="251"/>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sz w:val="18"/>
    </w:rPr>
  </w:style>
  <w:style w:type="paragraph" w:styleId="34">
    <w:name w:val="toc 1"/>
    <w:basedOn w:val="1"/>
    <w:next w:val="1"/>
    <w:qFormat/>
    <w:uiPriority w:val="39"/>
    <w:pPr>
      <w:spacing w:before="271"/>
    </w:pPr>
    <w:rPr>
      <w:rFonts w:ascii="宋体" w:hAnsi="宋体" w:eastAsia="宋体"/>
      <w:b/>
      <w:bCs/>
      <w:sz w:val="24"/>
      <w:szCs w:val="24"/>
    </w:rPr>
  </w:style>
  <w:style w:type="paragraph" w:styleId="35">
    <w:name w:val="toc 4"/>
    <w:basedOn w:val="1"/>
    <w:next w:val="1"/>
    <w:unhideWhenUsed/>
    <w:qFormat/>
    <w:uiPriority w:val="39"/>
    <w:pPr>
      <w:ind w:left="1260"/>
      <w:jc w:val="both"/>
    </w:pPr>
    <w:rPr>
      <w:rFonts w:eastAsia="宋体"/>
      <w:sz w:val="21"/>
      <w:lang w:eastAsia="zh-CN"/>
    </w:rPr>
  </w:style>
  <w:style w:type="paragraph" w:styleId="36">
    <w:name w:val="index heading"/>
    <w:basedOn w:val="1"/>
    <w:next w:val="37"/>
    <w:qFormat/>
    <w:uiPriority w:val="0"/>
    <w:pPr>
      <w:jc w:val="both"/>
    </w:pPr>
    <w:rPr>
      <w:rFonts w:ascii="Times New Roman" w:hAnsi="Times New Roman" w:eastAsia="宋体"/>
      <w:kern w:val="2"/>
      <w:sz w:val="21"/>
      <w:szCs w:val="20"/>
      <w:lang w:eastAsia="zh-CN"/>
    </w:rPr>
  </w:style>
  <w:style w:type="paragraph" w:styleId="37">
    <w:name w:val="index 1"/>
    <w:basedOn w:val="1"/>
    <w:next w:val="1"/>
    <w:qFormat/>
    <w:uiPriority w:val="0"/>
    <w:pPr>
      <w:spacing w:line="220" w:lineRule="exact"/>
      <w:jc w:val="center"/>
    </w:pPr>
    <w:rPr>
      <w:rFonts w:ascii="仿宋_GB2312" w:eastAsia="仿宋_GB2312"/>
      <w:sz w:val="21"/>
      <w:szCs w:val="20"/>
      <w:lang w:eastAsia="zh-CN"/>
    </w:rPr>
  </w:style>
  <w:style w:type="paragraph" w:styleId="38">
    <w:name w:val="Subtitle"/>
    <w:basedOn w:val="1"/>
    <w:next w:val="1"/>
    <w:link w:val="103"/>
    <w:qFormat/>
    <w:uiPriority w:val="0"/>
    <w:pPr>
      <w:spacing w:before="200" w:after="200"/>
    </w:pPr>
    <w:rPr>
      <w:rFonts w:eastAsia="宋体"/>
      <w:sz w:val="24"/>
      <w:szCs w:val="24"/>
    </w:rPr>
  </w:style>
  <w:style w:type="paragraph" w:styleId="39">
    <w:name w:val="List"/>
    <w:basedOn w:val="1"/>
    <w:qFormat/>
    <w:uiPriority w:val="0"/>
    <w:pPr>
      <w:ind w:left="200" w:hanging="200"/>
      <w:contextualSpacing/>
    </w:pPr>
    <w:rPr>
      <w:rFonts w:ascii="Times New Roman" w:hAnsi="Times New Roman"/>
    </w:rPr>
  </w:style>
  <w:style w:type="paragraph" w:styleId="40">
    <w:name w:val="footnote text"/>
    <w:basedOn w:val="1"/>
    <w:link w:val="239"/>
    <w:semiHidden/>
    <w:unhideWhenUsed/>
    <w:qFormat/>
    <w:uiPriority w:val="99"/>
    <w:pPr>
      <w:spacing w:after="40"/>
    </w:pPr>
    <w:rPr>
      <w:rFonts w:eastAsia="宋体"/>
      <w:sz w:val="18"/>
      <w:szCs w:val="20"/>
    </w:rPr>
  </w:style>
  <w:style w:type="paragraph" w:styleId="41">
    <w:name w:val="toc 6"/>
    <w:basedOn w:val="1"/>
    <w:next w:val="1"/>
    <w:unhideWhenUsed/>
    <w:qFormat/>
    <w:uiPriority w:val="39"/>
    <w:pPr>
      <w:ind w:left="2100"/>
      <w:jc w:val="both"/>
    </w:pPr>
    <w:rPr>
      <w:rFonts w:eastAsia="宋体"/>
      <w:sz w:val="21"/>
      <w:lang w:eastAsia="zh-CN"/>
    </w:rPr>
  </w:style>
  <w:style w:type="paragraph" w:styleId="42">
    <w:name w:val="Body Text Indent 3"/>
    <w:basedOn w:val="1"/>
    <w:link w:val="252"/>
    <w:qFormat/>
    <w:uiPriority w:val="0"/>
    <w:pPr>
      <w:spacing w:after="120"/>
      <w:ind w:left="420"/>
      <w:jc w:val="both"/>
    </w:pPr>
    <w:rPr>
      <w:rFonts w:eastAsia="宋体"/>
      <w:sz w:val="16"/>
      <w:szCs w:val="20"/>
    </w:rPr>
  </w:style>
  <w:style w:type="paragraph" w:styleId="43">
    <w:name w:val="table of figures"/>
    <w:basedOn w:val="1"/>
    <w:next w:val="1"/>
    <w:unhideWhenUsed/>
    <w:qFormat/>
    <w:uiPriority w:val="99"/>
  </w:style>
  <w:style w:type="paragraph" w:styleId="44">
    <w:name w:val="toc 2"/>
    <w:basedOn w:val="1"/>
    <w:next w:val="1"/>
    <w:qFormat/>
    <w:uiPriority w:val="39"/>
    <w:pPr>
      <w:spacing w:before="151"/>
      <w:ind w:left="327"/>
    </w:pPr>
    <w:rPr>
      <w:rFonts w:ascii="宋体" w:hAnsi="宋体" w:eastAsia="宋体"/>
      <w:sz w:val="24"/>
      <w:szCs w:val="24"/>
    </w:rPr>
  </w:style>
  <w:style w:type="paragraph" w:styleId="45">
    <w:name w:val="toc 9"/>
    <w:basedOn w:val="1"/>
    <w:next w:val="1"/>
    <w:unhideWhenUsed/>
    <w:qFormat/>
    <w:uiPriority w:val="39"/>
    <w:pPr>
      <w:ind w:left="3360"/>
      <w:jc w:val="both"/>
    </w:pPr>
    <w:rPr>
      <w:rFonts w:eastAsia="宋体"/>
      <w:sz w:val="21"/>
      <w:lang w:eastAsia="zh-CN"/>
    </w:rPr>
  </w:style>
  <w:style w:type="paragraph" w:styleId="46">
    <w:name w:val="Body Text 2"/>
    <w:basedOn w:val="1"/>
    <w:link w:val="395"/>
    <w:qFormat/>
    <w:uiPriority w:val="99"/>
    <w:pPr>
      <w:jc w:val="both"/>
    </w:pPr>
    <w:rPr>
      <w:rFonts w:ascii="宋体" w:eastAsia="宋体"/>
      <w:b/>
      <w:bCs/>
      <w:kern w:val="2"/>
      <w:sz w:val="24"/>
      <w:szCs w:val="24"/>
      <w:lang w:eastAsia="zh-CN"/>
    </w:rPr>
  </w:style>
  <w:style w:type="paragraph" w:styleId="47">
    <w:name w:val="List Continue 2"/>
    <w:basedOn w:val="1"/>
    <w:qFormat/>
    <w:uiPriority w:val="0"/>
    <w:pPr>
      <w:numPr>
        <w:ilvl w:val="0"/>
        <w:numId w:val="2"/>
      </w:numPr>
      <w:tabs>
        <w:tab w:val="left" w:pos="780"/>
      </w:tabs>
      <w:spacing w:after="120"/>
      <w:ind w:left="840"/>
      <w:jc w:val="both"/>
    </w:pPr>
    <w:rPr>
      <w:rFonts w:ascii="方正小标宋_GBK" w:hAnsi="方正仿宋_GBK" w:eastAsia="宋体" w:cs="方正仿宋_GBK"/>
      <w:snapToGrid w:val="0"/>
      <w:kern w:val="72"/>
      <w:sz w:val="24"/>
      <w:szCs w:val="84"/>
      <w:lang w:eastAsia="zh-CN"/>
    </w:rPr>
  </w:style>
  <w:style w:type="paragraph" w:styleId="48">
    <w:name w:val="HTML Preformatted"/>
    <w:basedOn w:val="1"/>
    <w:link w:val="29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pPr>
    <w:rPr>
      <w:rFonts w:ascii="Arial" w:hAnsi="Arial" w:eastAsia="宋体"/>
      <w:sz w:val="11"/>
      <w:szCs w:val="11"/>
      <w:lang w:eastAsia="zh-CN"/>
    </w:rPr>
  </w:style>
  <w:style w:type="paragraph" w:styleId="49">
    <w:name w:val="Normal (Web)"/>
    <w:basedOn w:val="1"/>
    <w:unhideWhenUsed/>
    <w:qFormat/>
    <w:uiPriority w:val="0"/>
    <w:pPr>
      <w:widowControl/>
      <w:spacing w:before="100" w:beforeAutospacing="1" w:after="100" w:afterAutospacing="1"/>
    </w:pPr>
    <w:rPr>
      <w:rFonts w:ascii="宋体" w:hAnsi="宋体" w:eastAsia="宋体" w:cs="宋体"/>
      <w:sz w:val="24"/>
      <w:szCs w:val="24"/>
      <w:lang w:eastAsia="zh-CN"/>
    </w:rPr>
  </w:style>
  <w:style w:type="paragraph" w:styleId="50">
    <w:name w:val="Title"/>
    <w:basedOn w:val="1"/>
    <w:link w:val="101"/>
    <w:qFormat/>
    <w:uiPriority w:val="0"/>
    <w:pPr>
      <w:spacing w:before="240" w:after="60" w:line="420" w:lineRule="atLeast"/>
      <w:jc w:val="center"/>
      <w:outlineLvl w:val="0"/>
    </w:pPr>
    <w:rPr>
      <w:rFonts w:ascii="Arial" w:hAnsi="Arial" w:eastAsia="宋体"/>
      <w:b/>
      <w:sz w:val="32"/>
      <w:szCs w:val="20"/>
    </w:rPr>
  </w:style>
  <w:style w:type="paragraph" w:styleId="51">
    <w:name w:val="annotation subject"/>
    <w:basedOn w:val="16"/>
    <w:next w:val="16"/>
    <w:link w:val="253"/>
    <w:qFormat/>
    <w:uiPriority w:val="0"/>
    <w:rPr>
      <w:rFonts w:eastAsia="宋体"/>
      <w:szCs w:val="20"/>
    </w:rPr>
  </w:style>
  <w:style w:type="paragraph" w:styleId="52">
    <w:name w:val="Body Text First Indent"/>
    <w:basedOn w:val="19"/>
    <w:next w:val="1"/>
    <w:link w:val="254"/>
    <w:qFormat/>
    <w:uiPriority w:val="0"/>
    <w:pPr>
      <w:tabs>
        <w:tab w:val="left" w:pos="562"/>
        <w:tab w:val="left" w:pos="3372"/>
        <w:tab w:val="left" w:pos="3653"/>
      </w:tabs>
      <w:ind w:firstLine="200"/>
    </w:pPr>
  </w:style>
  <w:style w:type="paragraph" w:styleId="53">
    <w:name w:val="Body Text First Indent 2"/>
    <w:basedOn w:val="20"/>
    <w:next w:val="1"/>
    <w:link w:val="255"/>
    <w:qFormat/>
    <w:uiPriority w:val="0"/>
    <w:pPr>
      <w:ind w:firstLine="420"/>
    </w:pPr>
  </w:style>
  <w:style w:type="table" w:styleId="55">
    <w:name w:val="Table Grid"/>
    <w:basedOn w:val="54"/>
    <w:qFormat/>
    <w:uiPriority w:val="0"/>
    <w:tblPr>
      <w:tblCellMar>
        <w:top w:w="0" w:type="dxa"/>
        <w:left w:w="108" w:type="dxa"/>
        <w:bottom w:w="0" w:type="dxa"/>
        <w:right w:w="108" w:type="dxa"/>
      </w:tblCellMar>
    </w:tblPr>
  </w:style>
  <w:style w:type="character" w:styleId="57">
    <w:name w:val="Strong"/>
    <w:qFormat/>
    <w:uiPriority w:val="22"/>
    <w:rPr>
      <w:b/>
      <w:bCs/>
    </w:rPr>
  </w:style>
  <w:style w:type="character" w:styleId="58">
    <w:name w:val="endnote reference"/>
    <w:semiHidden/>
    <w:unhideWhenUsed/>
    <w:qFormat/>
    <w:uiPriority w:val="99"/>
    <w:rPr>
      <w:vertAlign w:val="superscript"/>
    </w:rPr>
  </w:style>
  <w:style w:type="character" w:styleId="59">
    <w:name w:val="page number"/>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TML Definition"/>
    <w:qFormat/>
    <w:uiPriority w:val="0"/>
    <w:rPr>
      <w:i/>
    </w:rPr>
  </w:style>
  <w:style w:type="character" w:styleId="63">
    <w:name w:val="HTML Typewriter"/>
    <w:unhideWhenUsed/>
    <w:qFormat/>
    <w:uiPriority w:val="99"/>
    <w:rPr>
      <w:rFonts w:hint="default" w:ascii="monospace" w:hAnsi="monospace" w:eastAsia="monospace" w:cs="monospace"/>
      <w:sz w:val="20"/>
    </w:rPr>
  </w:style>
  <w:style w:type="character" w:styleId="64">
    <w:name w:val="HTML Acronym"/>
    <w:unhideWhenUsed/>
    <w:qFormat/>
    <w:uiPriority w:val="99"/>
  </w:style>
  <w:style w:type="character" w:styleId="65">
    <w:name w:val="Hyperlink"/>
    <w:qFormat/>
    <w:uiPriority w:val="99"/>
    <w:rPr>
      <w:color w:val="0000FF"/>
      <w:u w:val="single"/>
    </w:rPr>
  </w:style>
  <w:style w:type="character" w:styleId="66">
    <w:name w:val="HTML Code"/>
    <w:qFormat/>
    <w:uiPriority w:val="99"/>
    <w:rPr>
      <w:rFonts w:ascii="Consolas" w:hAnsi="Consolas" w:eastAsia="Consolas" w:cs="Consolas"/>
      <w:color w:val="CA4440"/>
      <w:sz w:val="21"/>
      <w:szCs w:val="21"/>
      <w:shd w:val="clear" w:color="auto" w:fill="F9F2F4"/>
    </w:rPr>
  </w:style>
  <w:style w:type="character" w:styleId="67">
    <w:name w:val="annotation reference"/>
    <w:qFormat/>
    <w:uiPriority w:val="0"/>
    <w:rPr>
      <w:sz w:val="21"/>
      <w:szCs w:val="21"/>
    </w:rPr>
  </w:style>
  <w:style w:type="character" w:styleId="68">
    <w:name w:val="footnote reference"/>
    <w:unhideWhenUsed/>
    <w:qFormat/>
    <w:uiPriority w:val="99"/>
    <w:rPr>
      <w:vertAlign w:val="superscript"/>
    </w:rPr>
  </w:style>
  <w:style w:type="character" w:styleId="69">
    <w:name w:val="HTML Keyboard"/>
    <w:qFormat/>
    <w:uiPriority w:val="99"/>
    <w:rPr>
      <w:rFonts w:hint="default" w:ascii="Consolas" w:hAnsi="Consolas" w:eastAsia="Consolas" w:cs="Consolas"/>
      <w:color w:val="FFFFFF"/>
      <w:sz w:val="21"/>
      <w:szCs w:val="21"/>
      <w:shd w:val="clear" w:color="auto" w:fill="333333"/>
    </w:rPr>
  </w:style>
  <w:style w:type="character" w:styleId="70">
    <w:name w:val="HTML Sample"/>
    <w:qFormat/>
    <w:uiPriority w:val="99"/>
    <w:rPr>
      <w:rFonts w:hint="default" w:ascii="Consolas" w:hAnsi="Consolas" w:eastAsia="Consolas" w:cs="Consolas"/>
      <w:sz w:val="21"/>
      <w:szCs w:val="21"/>
    </w:rPr>
  </w:style>
  <w:style w:type="paragraph" w:styleId="71">
    <w:name w:val="List Paragraph"/>
    <w:basedOn w:val="1"/>
    <w:qFormat/>
    <w:uiPriority w:val="34"/>
  </w:style>
  <w:style w:type="character" w:customStyle="1" w:styleId="72">
    <w:name w:val="标题 1 Char1"/>
    <w:basedOn w:val="56"/>
    <w:link w:val="3"/>
    <w:qFormat/>
    <w:uiPriority w:val="0"/>
    <w:rPr>
      <w:rFonts w:ascii="黑体" w:hAnsi="Times New Roman" w:eastAsia="仿宋" w:cs="Times New Roman"/>
      <w:b/>
      <w:sz w:val="24"/>
      <w:szCs w:val="28"/>
    </w:rPr>
  </w:style>
  <w:style w:type="character" w:customStyle="1" w:styleId="73">
    <w:name w:val="标题 2 Char"/>
    <w:link w:val="4"/>
    <w:qFormat/>
    <w:uiPriority w:val="0"/>
    <w:rPr>
      <w:rFonts w:ascii="黑体" w:hAnsi="黑体" w:eastAsia="黑体"/>
      <w:b/>
      <w:bCs/>
      <w:sz w:val="36"/>
      <w:szCs w:val="36"/>
      <w:lang w:eastAsia="en-US"/>
    </w:rPr>
  </w:style>
  <w:style w:type="character" w:customStyle="1" w:styleId="74">
    <w:name w:val="标题 3 Char"/>
    <w:link w:val="5"/>
    <w:qFormat/>
    <w:uiPriority w:val="0"/>
    <w:rPr>
      <w:rFonts w:ascii="黑体" w:hAnsi="黑体" w:eastAsia="黑体"/>
      <w:sz w:val="32"/>
      <w:szCs w:val="32"/>
      <w:lang w:eastAsia="en-US"/>
    </w:rPr>
  </w:style>
  <w:style w:type="character" w:customStyle="1" w:styleId="75">
    <w:name w:val="标题 4 Char"/>
    <w:link w:val="6"/>
    <w:qFormat/>
    <w:uiPriority w:val="0"/>
    <w:rPr>
      <w:rFonts w:ascii="宋体" w:hAnsi="宋体"/>
      <w:b/>
      <w:bCs/>
      <w:sz w:val="24"/>
      <w:szCs w:val="24"/>
      <w:lang w:eastAsia="en-US"/>
    </w:rPr>
  </w:style>
  <w:style w:type="character" w:customStyle="1" w:styleId="76">
    <w:name w:val="标题 5 Char"/>
    <w:basedOn w:val="56"/>
    <w:link w:val="7"/>
    <w:qFormat/>
    <w:uiPriority w:val="0"/>
    <w:rPr>
      <w:rFonts w:ascii="Times New Roman" w:hAnsi="Times New Roman"/>
      <w:b/>
      <w:bCs/>
      <w:kern w:val="2"/>
      <w:sz w:val="28"/>
      <w:szCs w:val="28"/>
    </w:rPr>
  </w:style>
  <w:style w:type="character" w:customStyle="1" w:styleId="77">
    <w:name w:val="标题 6 Char"/>
    <w:link w:val="8"/>
    <w:qFormat/>
    <w:uiPriority w:val="0"/>
    <w:rPr>
      <w:rFonts w:ascii="Arial" w:hAnsi="Arial" w:eastAsia="黑体"/>
      <w:b/>
      <w:sz w:val="24"/>
    </w:rPr>
  </w:style>
  <w:style w:type="character" w:customStyle="1" w:styleId="78">
    <w:name w:val="标题 7 Char"/>
    <w:link w:val="9"/>
    <w:qFormat/>
    <w:uiPriority w:val="0"/>
    <w:rPr>
      <w:b/>
      <w:sz w:val="24"/>
    </w:rPr>
  </w:style>
  <w:style w:type="character" w:customStyle="1" w:styleId="79">
    <w:name w:val="标题 8 Char"/>
    <w:link w:val="10"/>
    <w:qFormat/>
    <w:uiPriority w:val="0"/>
    <w:rPr>
      <w:rFonts w:ascii="Arial" w:hAnsi="Arial" w:eastAsia="黑体"/>
      <w:sz w:val="24"/>
    </w:rPr>
  </w:style>
  <w:style w:type="character" w:customStyle="1" w:styleId="80">
    <w:name w:val="标题 9 Char"/>
    <w:link w:val="11"/>
    <w:qFormat/>
    <w:uiPriority w:val="0"/>
    <w:rPr>
      <w:rFonts w:ascii="Arial" w:hAnsi="Arial" w:eastAsia="黑体"/>
      <w:sz w:val="21"/>
    </w:rPr>
  </w:style>
  <w:style w:type="paragraph" w:customStyle="1" w:styleId="81">
    <w:name w:val="Heading 1"/>
    <w:basedOn w:val="1"/>
    <w:next w:val="1"/>
    <w:link w:val="82"/>
    <w:qFormat/>
    <w:uiPriority w:val="9"/>
    <w:pPr>
      <w:keepNext/>
      <w:keepLines/>
      <w:spacing w:before="480" w:after="200"/>
      <w:outlineLvl w:val="0"/>
    </w:pPr>
    <w:rPr>
      <w:rFonts w:ascii="Arial" w:hAnsi="Arial" w:eastAsia="Arial"/>
      <w:sz w:val="40"/>
      <w:szCs w:val="40"/>
    </w:rPr>
  </w:style>
  <w:style w:type="character" w:customStyle="1" w:styleId="82">
    <w:name w:val="Heading 1 Char"/>
    <w:link w:val="81"/>
    <w:qFormat/>
    <w:uiPriority w:val="9"/>
    <w:rPr>
      <w:rFonts w:ascii="Arial" w:hAnsi="Arial" w:eastAsia="Arial" w:cs="Arial"/>
      <w:sz w:val="40"/>
      <w:szCs w:val="40"/>
    </w:rPr>
  </w:style>
  <w:style w:type="character" w:customStyle="1" w:styleId="83">
    <w:name w:val="Heading 2 Char"/>
    <w:link w:val="84"/>
    <w:qFormat/>
    <w:uiPriority w:val="9"/>
    <w:rPr>
      <w:rFonts w:ascii="Arial" w:hAnsi="Arial" w:eastAsia="Arial" w:cs="Arial"/>
      <w:sz w:val="34"/>
    </w:rPr>
  </w:style>
  <w:style w:type="paragraph" w:customStyle="1" w:styleId="84">
    <w:name w:val="Heading 2"/>
    <w:basedOn w:val="1"/>
    <w:link w:val="83"/>
    <w:qFormat/>
    <w:uiPriority w:val="9"/>
    <w:pPr>
      <w:spacing w:before="169"/>
      <w:ind w:left="157"/>
      <w:outlineLvl w:val="2"/>
    </w:pPr>
    <w:rPr>
      <w:rFonts w:ascii="Arial" w:hAnsi="Arial" w:eastAsia="Arial"/>
      <w:sz w:val="34"/>
      <w:szCs w:val="20"/>
    </w:rPr>
  </w:style>
  <w:style w:type="paragraph" w:customStyle="1" w:styleId="85">
    <w:name w:val="Heading 3"/>
    <w:basedOn w:val="1"/>
    <w:next w:val="1"/>
    <w:link w:val="86"/>
    <w:unhideWhenUsed/>
    <w:qFormat/>
    <w:uiPriority w:val="9"/>
    <w:pPr>
      <w:keepNext/>
      <w:keepLines/>
      <w:spacing w:before="320" w:after="200"/>
      <w:outlineLvl w:val="2"/>
    </w:pPr>
    <w:rPr>
      <w:rFonts w:ascii="Arial" w:hAnsi="Arial" w:eastAsia="Arial"/>
      <w:sz w:val="30"/>
      <w:szCs w:val="30"/>
    </w:rPr>
  </w:style>
  <w:style w:type="character" w:customStyle="1" w:styleId="86">
    <w:name w:val="Heading 3 Char"/>
    <w:link w:val="85"/>
    <w:qFormat/>
    <w:uiPriority w:val="9"/>
    <w:rPr>
      <w:rFonts w:ascii="Arial" w:hAnsi="Arial" w:eastAsia="Arial" w:cs="Arial"/>
      <w:sz w:val="30"/>
      <w:szCs w:val="30"/>
    </w:rPr>
  </w:style>
  <w:style w:type="paragraph" w:customStyle="1" w:styleId="87">
    <w:name w:val="Heading 4"/>
    <w:basedOn w:val="1"/>
    <w:next w:val="1"/>
    <w:link w:val="88"/>
    <w:unhideWhenUsed/>
    <w:qFormat/>
    <w:uiPriority w:val="9"/>
    <w:pPr>
      <w:keepNext/>
      <w:keepLines/>
      <w:spacing w:before="320" w:after="200"/>
      <w:outlineLvl w:val="3"/>
    </w:pPr>
    <w:rPr>
      <w:rFonts w:ascii="Arial" w:hAnsi="Arial" w:eastAsia="Arial"/>
      <w:b/>
      <w:bCs/>
      <w:sz w:val="26"/>
      <w:szCs w:val="26"/>
    </w:rPr>
  </w:style>
  <w:style w:type="character" w:customStyle="1" w:styleId="88">
    <w:name w:val="Heading 4 Char"/>
    <w:link w:val="87"/>
    <w:qFormat/>
    <w:uiPriority w:val="9"/>
    <w:rPr>
      <w:rFonts w:ascii="Arial" w:hAnsi="Arial" w:eastAsia="Arial" w:cs="Arial"/>
      <w:b/>
      <w:bCs/>
      <w:sz w:val="26"/>
      <w:szCs w:val="26"/>
    </w:rPr>
  </w:style>
  <w:style w:type="paragraph" w:customStyle="1" w:styleId="89">
    <w:name w:val="Heading 5"/>
    <w:basedOn w:val="1"/>
    <w:next w:val="1"/>
    <w:link w:val="90"/>
    <w:unhideWhenUsed/>
    <w:qFormat/>
    <w:uiPriority w:val="9"/>
    <w:pPr>
      <w:keepNext/>
      <w:keepLines/>
      <w:spacing w:before="320" w:after="200"/>
      <w:outlineLvl w:val="4"/>
    </w:pPr>
    <w:rPr>
      <w:rFonts w:ascii="Arial" w:hAnsi="Arial" w:eastAsia="Arial"/>
      <w:b/>
      <w:bCs/>
      <w:sz w:val="24"/>
      <w:szCs w:val="24"/>
    </w:rPr>
  </w:style>
  <w:style w:type="character" w:customStyle="1" w:styleId="90">
    <w:name w:val="Heading 5 Char"/>
    <w:link w:val="89"/>
    <w:qFormat/>
    <w:uiPriority w:val="9"/>
    <w:rPr>
      <w:rFonts w:ascii="Arial" w:hAnsi="Arial" w:eastAsia="Arial" w:cs="Arial"/>
      <w:b/>
      <w:bCs/>
      <w:sz w:val="24"/>
      <w:szCs w:val="24"/>
    </w:rPr>
  </w:style>
  <w:style w:type="paragraph" w:customStyle="1" w:styleId="91">
    <w:name w:val="Heading 6"/>
    <w:basedOn w:val="1"/>
    <w:next w:val="1"/>
    <w:link w:val="92"/>
    <w:unhideWhenUsed/>
    <w:qFormat/>
    <w:uiPriority w:val="9"/>
    <w:pPr>
      <w:keepNext/>
      <w:keepLines/>
      <w:spacing w:before="320" w:after="200"/>
      <w:outlineLvl w:val="5"/>
    </w:pPr>
    <w:rPr>
      <w:rFonts w:ascii="Arial" w:hAnsi="Arial" w:eastAsia="Arial"/>
      <w:b/>
      <w:bCs/>
    </w:rPr>
  </w:style>
  <w:style w:type="character" w:customStyle="1" w:styleId="92">
    <w:name w:val="Heading 6 Char"/>
    <w:link w:val="91"/>
    <w:qFormat/>
    <w:uiPriority w:val="9"/>
    <w:rPr>
      <w:rFonts w:ascii="Arial" w:hAnsi="Arial" w:eastAsia="Arial" w:cs="Arial"/>
      <w:b/>
      <w:bCs/>
      <w:sz w:val="22"/>
      <w:szCs w:val="22"/>
    </w:rPr>
  </w:style>
  <w:style w:type="paragraph" w:customStyle="1" w:styleId="93">
    <w:name w:val="Heading 7"/>
    <w:basedOn w:val="1"/>
    <w:next w:val="1"/>
    <w:link w:val="94"/>
    <w:unhideWhenUsed/>
    <w:qFormat/>
    <w:uiPriority w:val="9"/>
    <w:pPr>
      <w:keepNext/>
      <w:keepLines/>
      <w:spacing w:before="320" w:after="200"/>
      <w:outlineLvl w:val="6"/>
    </w:pPr>
    <w:rPr>
      <w:rFonts w:ascii="Arial" w:hAnsi="Arial" w:eastAsia="Arial"/>
      <w:b/>
      <w:bCs/>
      <w:i/>
      <w:iCs/>
    </w:rPr>
  </w:style>
  <w:style w:type="character" w:customStyle="1" w:styleId="94">
    <w:name w:val="Heading 7 Char"/>
    <w:link w:val="93"/>
    <w:qFormat/>
    <w:uiPriority w:val="9"/>
    <w:rPr>
      <w:rFonts w:ascii="Arial" w:hAnsi="Arial" w:eastAsia="Arial" w:cs="Arial"/>
      <w:b/>
      <w:bCs/>
      <w:i/>
      <w:iCs/>
      <w:sz w:val="22"/>
      <w:szCs w:val="22"/>
    </w:rPr>
  </w:style>
  <w:style w:type="paragraph" w:customStyle="1" w:styleId="95">
    <w:name w:val="Heading 8"/>
    <w:basedOn w:val="1"/>
    <w:next w:val="1"/>
    <w:link w:val="96"/>
    <w:unhideWhenUsed/>
    <w:qFormat/>
    <w:uiPriority w:val="9"/>
    <w:pPr>
      <w:keepNext/>
      <w:keepLines/>
      <w:spacing w:before="320" w:after="200"/>
      <w:outlineLvl w:val="7"/>
    </w:pPr>
    <w:rPr>
      <w:rFonts w:ascii="Arial" w:hAnsi="Arial" w:eastAsia="Arial"/>
      <w:i/>
      <w:iCs/>
    </w:rPr>
  </w:style>
  <w:style w:type="character" w:customStyle="1" w:styleId="96">
    <w:name w:val="Heading 8 Char"/>
    <w:link w:val="95"/>
    <w:qFormat/>
    <w:uiPriority w:val="9"/>
    <w:rPr>
      <w:rFonts w:ascii="Arial" w:hAnsi="Arial" w:eastAsia="Arial" w:cs="Arial"/>
      <w:i/>
      <w:iCs/>
      <w:sz w:val="22"/>
      <w:szCs w:val="22"/>
    </w:rPr>
  </w:style>
  <w:style w:type="paragraph" w:customStyle="1" w:styleId="97">
    <w:name w:val="Heading 9"/>
    <w:basedOn w:val="1"/>
    <w:next w:val="1"/>
    <w:link w:val="98"/>
    <w:unhideWhenUsed/>
    <w:qFormat/>
    <w:uiPriority w:val="9"/>
    <w:pPr>
      <w:keepNext/>
      <w:keepLines/>
      <w:spacing w:before="320" w:after="200"/>
      <w:outlineLvl w:val="8"/>
    </w:pPr>
    <w:rPr>
      <w:rFonts w:ascii="Arial" w:hAnsi="Arial" w:eastAsia="Arial"/>
      <w:i/>
      <w:iCs/>
      <w:sz w:val="21"/>
      <w:szCs w:val="21"/>
    </w:rPr>
  </w:style>
  <w:style w:type="character" w:customStyle="1" w:styleId="98">
    <w:name w:val="Heading 9 Char"/>
    <w:link w:val="97"/>
    <w:qFormat/>
    <w:uiPriority w:val="9"/>
    <w:rPr>
      <w:rFonts w:ascii="Arial" w:hAnsi="Arial" w:eastAsia="Arial" w:cs="Arial"/>
      <w:i/>
      <w:iCs/>
      <w:sz w:val="21"/>
      <w:szCs w:val="21"/>
    </w:rPr>
  </w:style>
  <w:style w:type="paragraph" w:styleId="99">
    <w:name w:val="No Spacing"/>
    <w:link w:val="100"/>
    <w:qFormat/>
    <w:uiPriority w:val="1"/>
    <w:rPr>
      <w:rFonts w:ascii="Calibri" w:hAnsi="Calibri" w:eastAsia="宋体" w:cs="Times New Roman"/>
      <w:lang w:val="en-US" w:eastAsia="zh-CN" w:bidi="ar-SA"/>
    </w:rPr>
  </w:style>
  <w:style w:type="character" w:customStyle="1" w:styleId="100">
    <w:name w:val="无间隔 Char"/>
    <w:link w:val="99"/>
    <w:qFormat/>
    <w:uiPriority w:val="1"/>
    <w:rPr>
      <w:lang w:val="en-US" w:eastAsia="zh-CN" w:bidi="ar-SA"/>
    </w:rPr>
  </w:style>
  <w:style w:type="character" w:customStyle="1" w:styleId="101">
    <w:name w:val="标题 Char"/>
    <w:link w:val="50"/>
    <w:qFormat/>
    <w:uiPriority w:val="0"/>
    <w:rPr>
      <w:rFonts w:ascii="Arial" w:hAnsi="Arial"/>
      <w:b/>
      <w:sz w:val="32"/>
    </w:rPr>
  </w:style>
  <w:style w:type="character" w:customStyle="1" w:styleId="102">
    <w:name w:val="Title Char"/>
    <w:qFormat/>
    <w:uiPriority w:val="10"/>
    <w:rPr>
      <w:sz w:val="48"/>
      <w:szCs w:val="48"/>
    </w:rPr>
  </w:style>
  <w:style w:type="character" w:customStyle="1" w:styleId="103">
    <w:name w:val="副标题 Char"/>
    <w:link w:val="38"/>
    <w:qFormat/>
    <w:uiPriority w:val="0"/>
    <w:rPr>
      <w:sz w:val="24"/>
      <w:szCs w:val="24"/>
    </w:rPr>
  </w:style>
  <w:style w:type="paragraph" w:styleId="104">
    <w:name w:val="Quote"/>
    <w:basedOn w:val="1"/>
    <w:next w:val="1"/>
    <w:link w:val="105"/>
    <w:qFormat/>
    <w:uiPriority w:val="0"/>
    <w:pPr>
      <w:ind w:left="720" w:right="720"/>
    </w:pPr>
    <w:rPr>
      <w:rFonts w:eastAsia="宋体"/>
      <w:i/>
      <w:sz w:val="20"/>
      <w:szCs w:val="20"/>
    </w:rPr>
  </w:style>
  <w:style w:type="character" w:customStyle="1" w:styleId="105">
    <w:name w:val="引用 Char"/>
    <w:link w:val="104"/>
    <w:qFormat/>
    <w:uiPriority w:val="0"/>
    <w:rPr>
      <w:i/>
    </w:rPr>
  </w:style>
  <w:style w:type="paragraph" w:styleId="106">
    <w:name w:val="Intense Quote"/>
    <w:basedOn w:val="1"/>
    <w:next w:val="1"/>
    <w:link w:val="107"/>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rFonts w:eastAsia="宋体"/>
      <w:i/>
      <w:sz w:val="20"/>
      <w:szCs w:val="20"/>
    </w:rPr>
  </w:style>
  <w:style w:type="character" w:customStyle="1" w:styleId="107">
    <w:name w:val="明显引用 Char"/>
    <w:link w:val="106"/>
    <w:qFormat/>
    <w:uiPriority w:val="0"/>
    <w:rPr>
      <w:i/>
    </w:rPr>
  </w:style>
  <w:style w:type="paragraph" w:customStyle="1" w:styleId="108">
    <w:name w:val="Header"/>
    <w:basedOn w:val="1"/>
    <w:link w:val="109"/>
    <w:unhideWhenUsed/>
    <w:qFormat/>
    <w:uiPriority w:val="99"/>
    <w:pPr>
      <w:tabs>
        <w:tab w:val="center" w:pos="7143"/>
        <w:tab w:val="right" w:pos="14287"/>
      </w:tabs>
    </w:pPr>
  </w:style>
  <w:style w:type="character" w:customStyle="1" w:styleId="109">
    <w:name w:val="Header Char"/>
    <w:link w:val="108"/>
    <w:qFormat/>
    <w:uiPriority w:val="99"/>
  </w:style>
  <w:style w:type="paragraph" w:customStyle="1" w:styleId="110">
    <w:name w:val="Footer"/>
    <w:basedOn w:val="1"/>
    <w:link w:val="111"/>
    <w:unhideWhenUsed/>
    <w:qFormat/>
    <w:uiPriority w:val="99"/>
    <w:pPr>
      <w:tabs>
        <w:tab w:val="center" w:pos="7143"/>
        <w:tab w:val="right" w:pos="14287"/>
      </w:tabs>
    </w:pPr>
  </w:style>
  <w:style w:type="character" w:customStyle="1" w:styleId="111">
    <w:name w:val="Caption Char"/>
    <w:link w:val="110"/>
    <w:qFormat/>
    <w:uiPriority w:val="99"/>
  </w:style>
  <w:style w:type="character" w:customStyle="1" w:styleId="112">
    <w:name w:val="Footer Char"/>
    <w:qFormat/>
    <w:uiPriority w:val="99"/>
  </w:style>
  <w:style w:type="paragraph" w:customStyle="1" w:styleId="113">
    <w:name w:val="Caption"/>
    <w:basedOn w:val="1"/>
    <w:next w:val="1"/>
    <w:semiHidden/>
    <w:unhideWhenUsed/>
    <w:qFormat/>
    <w:uiPriority w:val="35"/>
    <w:pPr>
      <w:spacing w:line="276" w:lineRule="auto"/>
    </w:pPr>
    <w:rPr>
      <w:b/>
      <w:bCs/>
      <w:color w:val="4F81BD"/>
      <w:sz w:val="18"/>
      <w:szCs w:val="18"/>
    </w:rPr>
  </w:style>
  <w:style w:type="table" w:customStyle="1" w:styleId="11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5">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6">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7">
    <w:name w:val="Plain Table 3"/>
    <w:qFormat/>
    <w:uiPriority w:val="99"/>
    <w:tblPr>
      <w:tblCellMar>
        <w:top w:w="0" w:type="dxa"/>
        <w:left w:w="0" w:type="dxa"/>
        <w:bottom w:w="0" w:type="dxa"/>
        <w:right w:w="0" w:type="dxa"/>
      </w:tblCellMar>
    </w:tblPr>
  </w:style>
  <w:style w:type="table" w:customStyle="1" w:styleId="118">
    <w:name w:val="Plain Table 4"/>
    <w:qFormat/>
    <w:uiPriority w:val="99"/>
    <w:tblPr>
      <w:tblCellMar>
        <w:top w:w="0" w:type="dxa"/>
        <w:left w:w="0" w:type="dxa"/>
        <w:bottom w:w="0" w:type="dxa"/>
        <w:right w:w="0" w:type="dxa"/>
      </w:tblCellMar>
    </w:tblPr>
  </w:style>
  <w:style w:type="table" w:customStyle="1" w:styleId="119">
    <w:name w:val="Plain Table 5"/>
    <w:qFormat/>
    <w:uiPriority w:val="99"/>
    <w:tblPr>
      <w:tblCellMar>
        <w:top w:w="0" w:type="dxa"/>
        <w:left w:w="0" w:type="dxa"/>
        <w:bottom w:w="0" w:type="dxa"/>
        <w:right w:w="0" w:type="dxa"/>
      </w:tblCellMar>
    </w:tblPr>
  </w:style>
  <w:style w:type="table" w:customStyle="1" w:styleId="120">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2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2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2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2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2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2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7">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4">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1">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4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4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4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4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4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8">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5">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6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62">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9">
    <w:name w:val="List Table 1 Light"/>
    <w:qFormat/>
    <w:uiPriority w:val="99"/>
    <w:tblPr>
      <w:tblCellMar>
        <w:top w:w="0" w:type="dxa"/>
        <w:left w:w="0" w:type="dxa"/>
        <w:bottom w:w="0" w:type="dxa"/>
        <w:right w:w="0" w:type="dxa"/>
      </w:tblCellMar>
    </w:tblPr>
  </w:style>
  <w:style w:type="table" w:customStyle="1" w:styleId="170">
    <w:name w:val="List Table 1 Light - Accent 1"/>
    <w:qFormat/>
    <w:uiPriority w:val="99"/>
    <w:tblPr>
      <w:tblCellMar>
        <w:top w:w="0" w:type="dxa"/>
        <w:left w:w="0" w:type="dxa"/>
        <w:bottom w:w="0" w:type="dxa"/>
        <w:right w:w="0" w:type="dxa"/>
      </w:tblCellMar>
    </w:tblPr>
  </w:style>
  <w:style w:type="table" w:customStyle="1" w:styleId="171">
    <w:name w:val="List Table 1 Light - Accent 2"/>
    <w:qFormat/>
    <w:uiPriority w:val="99"/>
    <w:tblPr>
      <w:tblCellMar>
        <w:top w:w="0" w:type="dxa"/>
        <w:left w:w="0" w:type="dxa"/>
        <w:bottom w:w="0" w:type="dxa"/>
        <w:right w:w="0" w:type="dxa"/>
      </w:tblCellMar>
    </w:tblPr>
  </w:style>
  <w:style w:type="table" w:customStyle="1" w:styleId="172">
    <w:name w:val="List Table 1 Light - Accent 3"/>
    <w:qFormat/>
    <w:uiPriority w:val="99"/>
    <w:tblPr>
      <w:tblCellMar>
        <w:top w:w="0" w:type="dxa"/>
        <w:left w:w="0" w:type="dxa"/>
        <w:bottom w:w="0" w:type="dxa"/>
        <w:right w:w="0" w:type="dxa"/>
      </w:tblCellMar>
    </w:tblPr>
  </w:style>
  <w:style w:type="table" w:customStyle="1" w:styleId="173">
    <w:name w:val="List Table 1 Light - Accent 4"/>
    <w:qFormat/>
    <w:uiPriority w:val="99"/>
    <w:tblPr>
      <w:tblCellMar>
        <w:top w:w="0" w:type="dxa"/>
        <w:left w:w="0" w:type="dxa"/>
        <w:bottom w:w="0" w:type="dxa"/>
        <w:right w:w="0" w:type="dxa"/>
      </w:tblCellMar>
    </w:tblPr>
  </w:style>
  <w:style w:type="table" w:customStyle="1" w:styleId="174">
    <w:name w:val="List Table 1 Light - Accent 5"/>
    <w:qFormat/>
    <w:uiPriority w:val="99"/>
    <w:tblPr>
      <w:tblCellMar>
        <w:top w:w="0" w:type="dxa"/>
        <w:left w:w="0" w:type="dxa"/>
        <w:bottom w:w="0" w:type="dxa"/>
        <w:right w:w="0" w:type="dxa"/>
      </w:tblCellMar>
    </w:tblPr>
  </w:style>
  <w:style w:type="table" w:customStyle="1" w:styleId="175">
    <w:name w:val="List Table 1 Light - Accent 6"/>
    <w:qFormat/>
    <w:uiPriority w:val="99"/>
    <w:tblPr>
      <w:tblCellMar>
        <w:top w:w="0" w:type="dxa"/>
        <w:left w:w="0" w:type="dxa"/>
        <w:bottom w:w="0" w:type="dxa"/>
        <w:right w:w="0" w:type="dxa"/>
      </w:tblCellMar>
    </w:tblPr>
  </w:style>
  <w:style w:type="table" w:customStyle="1" w:styleId="176">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7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7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8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8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83">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8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8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8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8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0">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9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9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9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9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9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9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7">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9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9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0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0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04">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0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0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0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0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11">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21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1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1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1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1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8">
    <w:name w:val="Lined - Accent"/>
    <w:qFormat/>
    <w:uiPriority w:val="99"/>
    <w:rPr>
      <w:color w:val="404040"/>
    </w:rPr>
    <w:tblPr>
      <w:tblCellMar>
        <w:top w:w="0" w:type="dxa"/>
        <w:left w:w="0" w:type="dxa"/>
        <w:bottom w:w="0" w:type="dxa"/>
        <w:right w:w="0" w:type="dxa"/>
      </w:tblCellMar>
    </w:tblPr>
  </w:style>
  <w:style w:type="table" w:customStyle="1" w:styleId="219">
    <w:name w:val="Lined - Accent 1"/>
    <w:qFormat/>
    <w:uiPriority w:val="99"/>
    <w:rPr>
      <w:color w:val="404040"/>
    </w:rPr>
    <w:tblPr>
      <w:tblCellMar>
        <w:top w:w="0" w:type="dxa"/>
        <w:left w:w="0" w:type="dxa"/>
        <w:bottom w:w="0" w:type="dxa"/>
        <w:right w:w="0" w:type="dxa"/>
      </w:tblCellMar>
    </w:tblPr>
  </w:style>
  <w:style w:type="table" w:customStyle="1" w:styleId="220">
    <w:name w:val="Lined - Accent 2"/>
    <w:qFormat/>
    <w:uiPriority w:val="99"/>
    <w:rPr>
      <w:color w:val="404040"/>
    </w:rPr>
    <w:tblPr>
      <w:tblCellMar>
        <w:top w:w="0" w:type="dxa"/>
        <w:left w:w="0" w:type="dxa"/>
        <w:bottom w:w="0" w:type="dxa"/>
        <w:right w:w="0" w:type="dxa"/>
      </w:tblCellMar>
    </w:tblPr>
  </w:style>
  <w:style w:type="table" w:customStyle="1" w:styleId="221">
    <w:name w:val="Lined - Accent 3"/>
    <w:qFormat/>
    <w:uiPriority w:val="99"/>
    <w:rPr>
      <w:color w:val="404040"/>
    </w:rPr>
    <w:tblPr>
      <w:tblCellMar>
        <w:top w:w="0" w:type="dxa"/>
        <w:left w:w="0" w:type="dxa"/>
        <w:bottom w:w="0" w:type="dxa"/>
        <w:right w:w="0" w:type="dxa"/>
      </w:tblCellMar>
    </w:tblPr>
  </w:style>
  <w:style w:type="table" w:customStyle="1" w:styleId="222">
    <w:name w:val="Lined - Accent 4"/>
    <w:qFormat/>
    <w:uiPriority w:val="99"/>
    <w:rPr>
      <w:color w:val="404040"/>
    </w:rPr>
    <w:tblPr>
      <w:tblCellMar>
        <w:top w:w="0" w:type="dxa"/>
        <w:left w:w="0" w:type="dxa"/>
        <w:bottom w:w="0" w:type="dxa"/>
        <w:right w:w="0" w:type="dxa"/>
      </w:tblCellMar>
    </w:tblPr>
  </w:style>
  <w:style w:type="table" w:customStyle="1" w:styleId="223">
    <w:name w:val="Lined - Accent 5"/>
    <w:qFormat/>
    <w:uiPriority w:val="99"/>
    <w:rPr>
      <w:color w:val="404040"/>
    </w:rPr>
    <w:tblPr>
      <w:tblCellMar>
        <w:top w:w="0" w:type="dxa"/>
        <w:left w:w="0" w:type="dxa"/>
        <w:bottom w:w="0" w:type="dxa"/>
        <w:right w:w="0" w:type="dxa"/>
      </w:tblCellMar>
    </w:tblPr>
  </w:style>
  <w:style w:type="table" w:customStyle="1" w:styleId="224">
    <w:name w:val="Lined - Accent 6"/>
    <w:qFormat/>
    <w:uiPriority w:val="99"/>
    <w:rPr>
      <w:color w:val="404040"/>
    </w:rPr>
    <w:tblPr>
      <w:tblCellMar>
        <w:top w:w="0" w:type="dxa"/>
        <w:left w:w="0" w:type="dxa"/>
        <w:bottom w:w="0" w:type="dxa"/>
        <w:right w:w="0" w:type="dxa"/>
      </w:tblCellMar>
    </w:tblPr>
  </w:style>
  <w:style w:type="table" w:customStyle="1" w:styleId="22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2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2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2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2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3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3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3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3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3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3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39">
    <w:name w:val="脚注文本 Char"/>
    <w:link w:val="40"/>
    <w:qFormat/>
    <w:uiPriority w:val="99"/>
    <w:rPr>
      <w:sz w:val="18"/>
    </w:rPr>
  </w:style>
  <w:style w:type="character" w:customStyle="1" w:styleId="240">
    <w:name w:val="尾注文本 Char"/>
    <w:link w:val="30"/>
    <w:qFormat/>
    <w:uiPriority w:val="99"/>
    <w:rPr>
      <w:sz w:val="20"/>
    </w:rPr>
  </w:style>
  <w:style w:type="paragraph" w:customStyle="1" w:styleId="241">
    <w:name w:val="TOC 标题1"/>
    <w:unhideWhenUsed/>
    <w:qFormat/>
    <w:uiPriority w:val="39"/>
    <w:rPr>
      <w:rFonts w:ascii="Calibri" w:hAnsi="Calibri" w:eastAsia="宋体" w:cs="Times New Roman"/>
      <w:lang w:val="en-US" w:eastAsia="zh-CN" w:bidi="ar-SA"/>
    </w:rPr>
  </w:style>
  <w:style w:type="character" w:customStyle="1" w:styleId="242">
    <w:name w:val="文档结构图 Char"/>
    <w:link w:val="15"/>
    <w:qFormat/>
    <w:uiPriority w:val="0"/>
    <w:rPr>
      <w:rFonts w:ascii="宋体"/>
      <w:sz w:val="18"/>
      <w:szCs w:val="18"/>
      <w:lang w:eastAsia="en-US"/>
    </w:rPr>
  </w:style>
  <w:style w:type="character" w:customStyle="1" w:styleId="243">
    <w:name w:val="批注文字 Char"/>
    <w:link w:val="16"/>
    <w:qFormat/>
    <w:uiPriority w:val="0"/>
    <w:rPr>
      <w:rFonts w:eastAsia="Calibri"/>
      <w:szCs w:val="22"/>
      <w:lang w:eastAsia="en-US"/>
    </w:rPr>
  </w:style>
  <w:style w:type="character" w:customStyle="1" w:styleId="244">
    <w:name w:val="正文文本 3 Char"/>
    <w:link w:val="18"/>
    <w:qFormat/>
    <w:uiPriority w:val="0"/>
    <w:rPr>
      <w:rFonts w:ascii="宋体"/>
      <w:sz w:val="24"/>
    </w:rPr>
  </w:style>
  <w:style w:type="character" w:customStyle="1" w:styleId="245">
    <w:name w:val="正文文本 Char"/>
    <w:link w:val="19"/>
    <w:qFormat/>
    <w:uiPriority w:val="0"/>
    <w:rPr>
      <w:rFonts w:ascii="宋体" w:hAnsi="宋体"/>
      <w:sz w:val="24"/>
      <w:szCs w:val="24"/>
      <w:lang w:eastAsia="en-US"/>
    </w:rPr>
  </w:style>
  <w:style w:type="character" w:customStyle="1" w:styleId="246">
    <w:name w:val="正文文本缩进 Char"/>
    <w:link w:val="20"/>
    <w:qFormat/>
    <w:uiPriority w:val="0"/>
    <w:rPr>
      <w:sz w:val="21"/>
    </w:rPr>
  </w:style>
  <w:style w:type="character" w:customStyle="1" w:styleId="247">
    <w:name w:val="纯文本 Char"/>
    <w:link w:val="26"/>
    <w:qFormat/>
    <w:uiPriority w:val="99"/>
    <w:rPr>
      <w:rFonts w:ascii="Ari"/>
      <w:sz w:val="21"/>
      <w:szCs w:val="24"/>
    </w:rPr>
  </w:style>
  <w:style w:type="character" w:customStyle="1" w:styleId="248">
    <w:name w:val="日期 Char"/>
    <w:link w:val="28"/>
    <w:qFormat/>
    <w:uiPriority w:val="0"/>
    <w:rPr>
      <w:sz w:val="24"/>
    </w:rPr>
  </w:style>
  <w:style w:type="character" w:customStyle="1" w:styleId="249">
    <w:name w:val="批注框文本 Char"/>
    <w:link w:val="31"/>
    <w:qFormat/>
    <w:uiPriority w:val="0"/>
    <w:rPr>
      <w:rFonts w:eastAsia="Calibri"/>
      <w:sz w:val="18"/>
      <w:szCs w:val="18"/>
      <w:lang w:eastAsia="en-US"/>
    </w:rPr>
  </w:style>
  <w:style w:type="character" w:customStyle="1" w:styleId="250">
    <w:name w:val="页脚 Char"/>
    <w:link w:val="32"/>
    <w:qFormat/>
    <w:uiPriority w:val="99"/>
    <w:rPr>
      <w:rFonts w:eastAsia="Calibri"/>
      <w:sz w:val="18"/>
      <w:szCs w:val="22"/>
      <w:lang w:eastAsia="en-US"/>
    </w:rPr>
  </w:style>
  <w:style w:type="character" w:customStyle="1" w:styleId="251">
    <w:name w:val="页眉 Char"/>
    <w:link w:val="33"/>
    <w:qFormat/>
    <w:uiPriority w:val="0"/>
    <w:rPr>
      <w:rFonts w:eastAsia="Calibri"/>
      <w:sz w:val="18"/>
      <w:szCs w:val="22"/>
      <w:lang w:eastAsia="en-US"/>
    </w:rPr>
  </w:style>
  <w:style w:type="character" w:customStyle="1" w:styleId="252">
    <w:name w:val="正文文本缩进 3 Char"/>
    <w:link w:val="42"/>
    <w:qFormat/>
    <w:uiPriority w:val="0"/>
    <w:rPr>
      <w:sz w:val="16"/>
    </w:rPr>
  </w:style>
  <w:style w:type="character" w:customStyle="1" w:styleId="253">
    <w:name w:val="批注主题 Char"/>
    <w:link w:val="51"/>
    <w:qFormat/>
    <w:uiPriority w:val="0"/>
    <w:rPr>
      <w:lang w:eastAsia="en-US"/>
    </w:rPr>
  </w:style>
  <w:style w:type="character" w:customStyle="1" w:styleId="254">
    <w:name w:val="正文首行缩进 Char"/>
    <w:link w:val="52"/>
    <w:qFormat/>
    <w:uiPriority w:val="0"/>
    <w:rPr>
      <w:rFonts w:ascii="宋体" w:hAnsi="宋体" w:cs="宋体"/>
      <w:sz w:val="24"/>
      <w:szCs w:val="24"/>
      <w:lang w:eastAsia="en-US"/>
    </w:rPr>
  </w:style>
  <w:style w:type="character" w:customStyle="1" w:styleId="255">
    <w:name w:val="正文首行缩进 2 Char"/>
    <w:basedOn w:val="246"/>
    <w:link w:val="53"/>
    <w:qFormat/>
    <w:uiPriority w:val="0"/>
    <w:rPr>
      <w:lang w:eastAsia="en-US"/>
    </w:rPr>
  </w:style>
  <w:style w:type="character" w:customStyle="1" w:styleId="256">
    <w:name w:val="标题 1 Char"/>
    <w:qFormat/>
    <w:uiPriority w:val="0"/>
    <w:rPr>
      <w:rFonts w:ascii="黑体" w:hAnsi="黑体" w:eastAsia="黑体"/>
      <w:sz w:val="72"/>
      <w:szCs w:val="72"/>
      <w:lang w:eastAsia="en-US"/>
    </w:rPr>
  </w:style>
  <w:style w:type="character" w:customStyle="1" w:styleId="257">
    <w:name w:val="Char Char25"/>
    <w:qFormat/>
    <w:uiPriority w:val="0"/>
    <w:rPr>
      <w:rFonts w:ascii="Arial" w:hAnsi="Arial" w:eastAsia="黑体"/>
      <w:b/>
      <w:sz w:val="28"/>
    </w:rPr>
  </w:style>
  <w:style w:type="character" w:customStyle="1" w:styleId="258">
    <w:name w:val="未处理的提及"/>
    <w:unhideWhenUsed/>
    <w:qFormat/>
    <w:uiPriority w:val="99"/>
    <w:rPr>
      <w:color w:val="605E5C"/>
      <w:shd w:val="clear" w:color="auto" w:fill="E1DFDD"/>
    </w:rPr>
  </w:style>
  <w:style w:type="character" w:customStyle="1" w:styleId="259">
    <w:name w:val="bookmark"/>
    <w:qFormat/>
    <w:uiPriority w:val="0"/>
  </w:style>
  <w:style w:type="character" w:customStyle="1" w:styleId="260">
    <w:name w:val="NormalCharacter1"/>
    <w:qFormat/>
    <w:uiPriority w:val="0"/>
  </w:style>
  <w:style w:type="character" w:customStyle="1" w:styleId="261">
    <w:name w:val="font161"/>
    <w:qFormat/>
    <w:uiPriority w:val="0"/>
    <w:rPr>
      <w:b/>
      <w:sz w:val="32"/>
    </w:rPr>
  </w:style>
  <w:style w:type="character" w:customStyle="1" w:styleId="262">
    <w:name w:val="已访问的超链接11"/>
    <w:qFormat/>
    <w:uiPriority w:val="99"/>
    <w:rPr>
      <w:rFonts w:eastAsia="Calibri"/>
      <w:sz w:val="22"/>
      <w:szCs w:val="22"/>
      <w:lang w:val="en-US" w:eastAsia="en-US" w:bidi="ar-SA"/>
    </w:rPr>
  </w:style>
  <w:style w:type="paragraph" w:customStyle="1" w:styleId="263">
    <w:name w:val="Table Paragraph"/>
    <w:basedOn w:val="1"/>
    <w:qFormat/>
    <w:uiPriority w:val="99"/>
  </w:style>
  <w:style w:type="paragraph" w:customStyle="1" w:styleId="264">
    <w:name w:val="样式 标题 2 + Times New Roman 四号 非加粗 段前: 5 磅 段后: 0 磅 行距: 固定值 20..."/>
    <w:basedOn w:val="4"/>
    <w:qFormat/>
    <w:uiPriority w:val="0"/>
    <w:pPr>
      <w:keepNext/>
      <w:keepLines/>
      <w:spacing w:before="100" w:line="400" w:lineRule="exact"/>
      <w:ind w:left="0"/>
      <w:jc w:val="both"/>
    </w:pPr>
    <w:rPr>
      <w:rFonts w:ascii="Times New Roman" w:hAnsi="Times New Roman"/>
      <w:b w:val="0"/>
      <w:bCs w:val="0"/>
      <w:sz w:val="28"/>
      <w:szCs w:val="20"/>
      <w:lang w:eastAsia="zh-CN"/>
    </w:rPr>
  </w:style>
  <w:style w:type="paragraph" w:customStyle="1" w:styleId="265">
    <w:name w:val="Heading21"/>
    <w:basedOn w:val="1"/>
    <w:next w:val="1"/>
    <w:qFormat/>
    <w:uiPriority w:val="0"/>
    <w:pPr>
      <w:keepNext/>
      <w:keepLines/>
    </w:pPr>
    <w:rPr>
      <w:rFonts w:ascii="Arial" w:hAnsi="Arial"/>
      <w:sz w:val="28"/>
      <w:szCs w:val="24"/>
    </w:rPr>
  </w:style>
  <w:style w:type="paragraph" w:customStyle="1" w:styleId="266">
    <w:name w:val="6'"/>
    <w:basedOn w:val="1"/>
    <w:qFormat/>
    <w:uiPriority w:val="0"/>
    <w:pPr>
      <w:spacing w:line="320" w:lineRule="exact"/>
      <w:jc w:val="center"/>
    </w:pPr>
    <w:rPr>
      <w:rFonts w:eastAsia="宋体"/>
      <w:spacing w:val="20"/>
      <w:sz w:val="21"/>
      <w:szCs w:val="20"/>
      <w:lang w:eastAsia="zh-CN"/>
    </w:rPr>
  </w:style>
  <w:style w:type="paragraph" w:customStyle="1" w:styleId="267">
    <w:name w:val="正文_1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68">
    <w:name w:val="样式 标题 3 + (中文) 黑体 小四 非加粗 段前: 7.8 磅 段后: 0 磅 行距: 固定值 20 磅"/>
    <w:basedOn w:val="5"/>
    <w:qFormat/>
    <w:uiPriority w:val="0"/>
    <w:pPr>
      <w:keepNext/>
      <w:keepLines/>
      <w:spacing w:line="400" w:lineRule="exact"/>
      <w:jc w:val="both"/>
    </w:pPr>
    <w:rPr>
      <w:rFonts w:ascii="Times New Roman" w:hAnsi="Times New Roman"/>
      <w:sz w:val="24"/>
      <w:szCs w:val="20"/>
      <w:lang w:eastAsia="zh-CN"/>
    </w:rPr>
  </w:style>
  <w:style w:type="paragraph" w:customStyle="1" w:styleId="269">
    <w:name w:val="Heading 3_0_0_0"/>
    <w:basedOn w:val="270"/>
    <w:next w:val="270"/>
    <w:qFormat/>
    <w:uiPriority w:val="0"/>
    <w:pPr>
      <w:keepNext/>
      <w:keepLines/>
      <w:spacing w:line="400" w:lineRule="exact"/>
      <w:outlineLvl w:val="2"/>
    </w:pPr>
    <w:rPr>
      <w:rFonts w:ascii="黑体" w:hAnsi="黑体" w:eastAsia="黑体"/>
      <w:bCs/>
      <w:color w:val="FF0000"/>
      <w:szCs w:val="21"/>
    </w:rPr>
  </w:style>
  <w:style w:type="paragraph" w:customStyle="1" w:styleId="270">
    <w:name w:val="Normal_0_0"/>
    <w:qFormat/>
    <w:uiPriority w:val="0"/>
    <w:pPr>
      <w:widowControl w:val="0"/>
      <w:jc w:val="both"/>
    </w:pPr>
    <w:rPr>
      <w:rFonts w:ascii="Times New Roman" w:hAnsi="Times New Roman" w:eastAsia="宋体" w:cs="Times New Roman"/>
      <w:szCs w:val="24"/>
      <w:lang w:val="en-US" w:eastAsia="zh-CN" w:bidi="ar-SA"/>
    </w:rPr>
  </w:style>
  <w:style w:type="paragraph" w:customStyle="1" w:styleId="271">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272">
    <w:name w:val="表格文字"/>
    <w:basedOn w:val="1"/>
    <w:qFormat/>
    <w:uiPriority w:val="0"/>
    <w:pPr>
      <w:spacing w:line="420" w:lineRule="atLeast"/>
    </w:pPr>
    <w:rPr>
      <w:rFonts w:eastAsia="宋体"/>
      <w:sz w:val="21"/>
      <w:szCs w:val="20"/>
      <w:lang w:eastAsia="zh-CN"/>
    </w:rPr>
  </w:style>
  <w:style w:type="paragraph" w:customStyle="1" w:styleId="273">
    <w:name w:val="1"/>
    <w:basedOn w:val="1"/>
    <w:next w:val="1"/>
    <w:qFormat/>
    <w:uiPriority w:val="0"/>
    <w:pPr>
      <w:jc w:val="both"/>
    </w:pPr>
    <w:rPr>
      <w:rFonts w:eastAsia="宋体"/>
      <w:sz w:val="21"/>
      <w:szCs w:val="20"/>
      <w:lang w:eastAsia="zh-CN"/>
    </w:rPr>
  </w:style>
  <w:style w:type="paragraph" w:customStyle="1" w:styleId="274">
    <w:name w:val="WPSOffice手动目录 1"/>
    <w:qFormat/>
    <w:uiPriority w:val="0"/>
    <w:rPr>
      <w:rFonts w:ascii="Calibri" w:hAnsi="Calibri" w:eastAsia="宋体" w:cs="Times New Roman"/>
      <w:lang w:val="en-US" w:eastAsia="zh-CN" w:bidi="ar-SA"/>
    </w:rPr>
  </w:style>
  <w:style w:type="paragraph" w:customStyle="1" w:styleId="275">
    <w:name w:val="段"/>
    <w:next w:val="1"/>
    <w:qFormat/>
    <w:uiPriority w:val="0"/>
    <w:pPr>
      <w:ind w:firstLine="200"/>
      <w:jc w:val="both"/>
    </w:pPr>
    <w:rPr>
      <w:rFonts w:ascii="宋体" w:hAnsi="Calibri" w:eastAsia="宋体" w:cs="Times New Roman"/>
      <w:sz w:val="21"/>
      <w:lang w:val="en-US" w:eastAsia="zh-CN" w:bidi="ar-SA"/>
    </w:rPr>
  </w:style>
  <w:style w:type="paragraph" w:customStyle="1" w:styleId="276">
    <w:name w:val="Default"/>
    <w:qFormat/>
    <w:uiPriority w:val="0"/>
    <w:pPr>
      <w:widowControl w:val="0"/>
    </w:pPr>
    <w:rPr>
      <w:rFonts w:ascii="宋体" w:hAnsi="Calibri" w:eastAsia="宋体" w:cs="宋体"/>
      <w:color w:val="000000"/>
      <w:sz w:val="24"/>
      <w:szCs w:val="24"/>
      <w:lang w:val="en-US" w:eastAsia="zh-CN" w:bidi="ar-SA"/>
    </w:rPr>
  </w:style>
  <w:style w:type="paragraph" w:customStyle="1" w:styleId="277">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278">
    <w:name w:val="正文_2"/>
    <w:qFormat/>
    <w:uiPriority w:val="0"/>
    <w:pPr>
      <w:widowControl w:val="0"/>
      <w:spacing w:after="200" w:line="276" w:lineRule="auto"/>
    </w:pPr>
    <w:rPr>
      <w:rFonts w:ascii="Calibri" w:hAnsi="Calibri" w:eastAsia="宋体" w:cs="Times New Roman"/>
      <w:lang w:val="en-US" w:eastAsia="zh-CN" w:bidi="ar-SA"/>
    </w:rPr>
  </w:style>
  <w:style w:type="paragraph" w:customStyle="1" w:styleId="279">
    <w:name w:val="表格"/>
    <w:basedOn w:val="1"/>
    <w:link w:val="280"/>
    <w:qFormat/>
    <w:uiPriority w:val="0"/>
    <w:pPr>
      <w:jc w:val="center"/>
    </w:pPr>
    <w:rPr>
      <w:rFonts w:ascii="华文细黑" w:hAnsi="华文细黑" w:eastAsia="宋体"/>
      <w:sz w:val="21"/>
      <w:szCs w:val="20"/>
    </w:rPr>
  </w:style>
  <w:style w:type="character" w:customStyle="1" w:styleId="280">
    <w:name w:val="表格 Char"/>
    <w:link w:val="279"/>
    <w:qFormat/>
    <w:uiPriority w:val="0"/>
    <w:rPr>
      <w:rFonts w:ascii="华文细黑" w:hAnsi="华文细黑"/>
      <w:sz w:val="21"/>
    </w:rPr>
  </w:style>
  <w:style w:type="paragraph" w:customStyle="1" w:styleId="281">
    <w:name w:val="正文_1_1"/>
    <w:qFormat/>
    <w:uiPriority w:val="99"/>
    <w:pPr>
      <w:widowControl w:val="0"/>
      <w:jc w:val="both"/>
    </w:pPr>
    <w:rPr>
      <w:rFonts w:ascii="Times New Roman" w:hAnsi="Times New Roman" w:eastAsia="宋体" w:cs="Times New Roman"/>
      <w:szCs w:val="24"/>
      <w:lang w:val="en-US" w:eastAsia="zh-CN" w:bidi="ar-SA"/>
    </w:rPr>
  </w:style>
  <w:style w:type="paragraph" w:customStyle="1" w:styleId="282">
    <w:name w:val="正文_1_0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83">
    <w:name w:val="正文_0_0_0"/>
    <w:qFormat/>
    <w:uiPriority w:val="0"/>
    <w:pPr>
      <w:widowControl w:val="0"/>
      <w:jc w:val="both"/>
    </w:pPr>
    <w:rPr>
      <w:rFonts w:ascii="Times New Roman" w:hAnsi="Times New Roman" w:eastAsia="宋体" w:cs="Times New Roman"/>
      <w:szCs w:val="24"/>
      <w:lang w:val="en-US" w:eastAsia="zh-CN" w:bidi="ar-SA"/>
    </w:rPr>
  </w:style>
  <w:style w:type="paragraph" w:customStyle="1" w:styleId="284">
    <w:name w:val="列出段落1"/>
    <w:basedOn w:val="1"/>
    <w:link w:val="285"/>
    <w:qFormat/>
    <w:uiPriority w:val="0"/>
    <w:pPr>
      <w:widowControl/>
      <w:ind w:left="720"/>
      <w:contextualSpacing/>
    </w:pPr>
    <w:rPr>
      <w:rFonts w:ascii="Arial" w:hAnsi="Arial" w:eastAsia="黑体"/>
      <w:sz w:val="24"/>
      <w:szCs w:val="24"/>
    </w:rPr>
  </w:style>
  <w:style w:type="character" w:customStyle="1" w:styleId="285">
    <w:name w:val="列出段落 Char"/>
    <w:link w:val="284"/>
    <w:qFormat/>
    <w:locked/>
    <w:uiPriority w:val="0"/>
    <w:rPr>
      <w:rFonts w:ascii="Arial" w:hAnsi="Arial" w:eastAsia="黑体"/>
      <w:sz w:val="24"/>
      <w:szCs w:val="24"/>
      <w:lang w:eastAsia="en-US"/>
    </w:rPr>
  </w:style>
  <w:style w:type="paragraph" w:customStyle="1" w:styleId="286">
    <w:name w:val="正文_1_0_0_0"/>
    <w:qFormat/>
    <w:uiPriority w:val="0"/>
    <w:pPr>
      <w:widowControl w:val="0"/>
      <w:jc w:val="both"/>
    </w:pPr>
    <w:rPr>
      <w:rFonts w:ascii="Times New Roman" w:hAnsi="Times New Roman" w:eastAsia="宋体" w:cs="Times New Roman"/>
      <w:szCs w:val="24"/>
      <w:lang w:val="en-US" w:eastAsia="zh-CN" w:bidi="ar-SA"/>
    </w:rPr>
  </w:style>
  <w:style w:type="paragraph" w:customStyle="1" w:styleId="287">
    <w:name w:val="Normal_0_1"/>
    <w:qFormat/>
    <w:uiPriority w:val="0"/>
    <w:pPr>
      <w:widowControl w:val="0"/>
      <w:jc w:val="both"/>
    </w:pPr>
    <w:rPr>
      <w:rFonts w:ascii="Times New Roman" w:hAnsi="Times New Roman" w:eastAsia="宋体" w:cs="Times New Roman"/>
      <w:lang w:val="en-US" w:eastAsia="zh-CN" w:bidi="ar-SA"/>
    </w:rPr>
  </w:style>
  <w:style w:type="paragraph" w:customStyle="1" w:styleId="288">
    <w:name w:val="正文文本缩进1"/>
    <w:basedOn w:val="271"/>
    <w:qFormat/>
    <w:uiPriority w:val="0"/>
    <w:pPr>
      <w:spacing w:after="120"/>
      <w:ind w:left="420"/>
    </w:pPr>
    <w:rPr>
      <w:rFonts w:ascii="Calibri" w:hAnsi="Calibri" w:eastAsia="微软雅黑"/>
    </w:rPr>
  </w:style>
  <w:style w:type="paragraph" w:customStyle="1" w:styleId="289">
    <w:name w:val="样式 标题 1 + 黑体 三号 非加粗 居中 段前: 6 磅 段后: 6 磅 行距: 固定值 20 磅"/>
    <w:basedOn w:val="3"/>
    <w:qFormat/>
    <w:uiPriority w:val="0"/>
    <w:pPr>
      <w:keepNext/>
      <w:keepLines/>
      <w:spacing w:before="120" w:after="120" w:line="400" w:lineRule="exact"/>
      <w:jc w:val="center"/>
    </w:pPr>
    <w:rPr>
      <w:sz w:val="32"/>
      <w:szCs w:val="20"/>
      <w:lang w:eastAsia="zh-CN"/>
    </w:rPr>
  </w:style>
  <w:style w:type="paragraph" w:customStyle="1" w:styleId="290">
    <w:name w:val="Blockquote"/>
    <w:basedOn w:val="1"/>
    <w:qFormat/>
    <w:uiPriority w:val="0"/>
    <w:pPr>
      <w:spacing w:before="100" w:after="100"/>
      <w:ind w:left="360" w:right="360"/>
    </w:pPr>
    <w:rPr>
      <w:rFonts w:eastAsia="宋体"/>
      <w:sz w:val="24"/>
      <w:szCs w:val="20"/>
      <w:lang w:eastAsia="zh-CN"/>
    </w:rPr>
  </w:style>
  <w:style w:type="paragraph" w:customStyle="1" w:styleId="291">
    <w:name w:val="_Style 19"/>
    <w:qFormat/>
    <w:uiPriority w:val="0"/>
    <w:pPr>
      <w:widowControl w:val="0"/>
      <w:jc w:val="both"/>
    </w:pPr>
    <w:rPr>
      <w:rFonts w:ascii="Calibri" w:hAnsi="Calibri" w:eastAsia="宋体" w:cs="Times New Roman"/>
      <w:sz w:val="21"/>
      <w:szCs w:val="22"/>
      <w:lang w:val="en-US" w:eastAsia="zh-CN" w:bidi="ar-SA"/>
    </w:rPr>
  </w:style>
  <w:style w:type="table" w:customStyle="1" w:styleId="292">
    <w:name w:val="Table Normal"/>
    <w:unhideWhenUsed/>
    <w:qFormat/>
    <w:uiPriority w:val="2"/>
    <w:tblPr>
      <w:tblCellMar>
        <w:top w:w="0" w:type="dxa"/>
        <w:left w:w="0" w:type="dxa"/>
        <w:bottom w:w="0" w:type="dxa"/>
        <w:right w:w="0" w:type="dxa"/>
      </w:tblCellMar>
    </w:tblPr>
  </w:style>
  <w:style w:type="table" w:customStyle="1" w:styleId="293">
    <w:name w:val="网格型1"/>
    <w:basedOn w:val="54"/>
    <w:qFormat/>
    <w:uiPriority w:val="59"/>
    <w:tblPr>
      <w:tblCellMar>
        <w:top w:w="0" w:type="dxa"/>
        <w:left w:w="108" w:type="dxa"/>
        <w:bottom w:w="0" w:type="dxa"/>
        <w:right w:w="108" w:type="dxa"/>
      </w:tblCellMar>
    </w:tblPr>
  </w:style>
  <w:style w:type="character" w:customStyle="1" w:styleId="294">
    <w:name w:val="正文文本缩进 2 Char"/>
    <w:basedOn w:val="56"/>
    <w:link w:val="29"/>
    <w:qFormat/>
    <w:uiPriority w:val="0"/>
    <w:rPr>
      <w:rFonts w:eastAsia="Calibri"/>
      <w:sz w:val="22"/>
      <w:szCs w:val="22"/>
      <w:lang w:eastAsia="en-US"/>
    </w:rPr>
  </w:style>
  <w:style w:type="character" w:customStyle="1" w:styleId="295">
    <w:name w:val="纯文本 Char1"/>
    <w:qFormat/>
    <w:locked/>
    <w:uiPriority w:val="0"/>
    <w:rPr>
      <w:rFonts w:ascii="宋体" w:hAnsi="Courier New" w:cs="金山简魏碑"/>
      <w:kern w:val="2"/>
      <w:sz w:val="21"/>
      <w:szCs w:val="21"/>
    </w:rPr>
  </w:style>
  <w:style w:type="character" w:customStyle="1" w:styleId="296">
    <w:name w:val="HTML 预设格式 Char"/>
    <w:basedOn w:val="56"/>
    <w:link w:val="48"/>
    <w:qFormat/>
    <w:uiPriority w:val="99"/>
    <w:rPr>
      <w:rFonts w:ascii="Arial" w:hAnsi="Arial"/>
      <w:sz w:val="11"/>
      <w:szCs w:val="11"/>
    </w:rPr>
  </w:style>
  <w:style w:type="character" w:customStyle="1" w:styleId="297">
    <w:name w:val="明显引用 Char1"/>
    <w:qFormat/>
    <w:uiPriority w:val="99"/>
    <w:rPr>
      <w:b/>
      <w:bCs/>
      <w:i/>
      <w:iCs/>
      <w:color w:val="4F81BD"/>
      <w:kern w:val="2"/>
      <w:sz w:val="21"/>
      <w:szCs w:val="24"/>
    </w:rPr>
  </w:style>
  <w:style w:type="character" w:customStyle="1" w:styleId="298">
    <w:name w:val="rvts13"/>
    <w:qFormat/>
    <w:uiPriority w:val="0"/>
    <w:rPr>
      <w:rFonts w:hint="default" w:ascii="KNLe" w:hAnsi="KNLe"/>
      <w:color w:val="000000"/>
    </w:rPr>
  </w:style>
  <w:style w:type="character" w:customStyle="1" w:styleId="299">
    <w:name w:val="文档结构图 Char1"/>
    <w:qFormat/>
    <w:uiPriority w:val="99"/>
    <w:rPr>
      <w:rFonts w:ascii="宋体"/>
      <w:kern w:val="2"/>
      <w:sz w:val="18"/>
      <w:szCs w:val="18"/>
    </w:rPr>
  </w:style>
  <w:style w:type="character" w:customStyle="1" w:styleId="300">
    <w:name w:val="标题 Char1"/>
    <w:qFormat/>
    <w:uiPriority w:val="10"/>
    <w:rPr>
      <w:rFonts w:ascii="Cambria" w:hAnsi="Cambria" w:eastAsia="宋体" w:cs="Times New Roman"/>
      <w:b/>
      <w:bCs/>
      <w:sz w:val="32"/>
      <w:szCs w:val="32"/>
    </w:rPr>
  </w:style>
  <w:style w:type="character" w:customStyle="1" w:styleId="301">
    <w:name w:val="标题 3 Char1"/>
    <w:qFormat/>
    <w:uiPriority w:val="0"/>
    <w:rPr>
      <w:b/>
      <w:bCs/>
      <w:kern w:val="2"/>
      <w:sz w:val="32"/>
      <w:szCs w:val="32"/>
    </w:rPr>
  </w:style>
  <w:style w:type="character" w:customStyle="1" w:styleId="302">
    <w:name w:val="font21"/>
    <w:qFormat/>
    <w:uiPriority w:val="0"/>
    <w:rPr>
      <w:rFonts w:hint="eastAsia" w:ascii="微软雅黑" w:hAnsi="微软雅黑" w:eastAsia="微软雅黑" w:cs="微软雅黑"/>
      <w:color w:val="000000"/>
      <w:sz w:val="24"/>
      <w:szCs w:val="24"/>
      <w:u w:val="none"/>
    </w:rPr>
  </w:style>
  <w:style w:type="character" w:customStyle="1" w:styleId="303">
    <w:name w:val="标题 4 Char1"/>
    <w:qFormat/>
    <w:uiPriority w:val="0"/>
    <w:rPr>
      <w:rFonts w:ascii="Cambria" w:hAnsi="Cambria" w:eastAsia="宋体" w:cs="Times New Roman"/>
      <w:b/>
      <w:bCs/>
      <w:kern w:val="2"/>
      <w:sz w:val="28"/>
      <w:szCs w:val="28"/>
    </w:rPr>
  </w:style>
  <w:style w:type="character" w:customStyle="1" w:styleId="304">
    <w:name w:val="标题4 Char Char"/>
    <w:link w:val="305"/>
    <w:qFormat/>
    <w:uiPriority w:val="0"/>
    <w:rPr>
      <w:rFonts w:ascii="Arial" w:hAnsi="Arial"/>
      <w:b/>
      <w:bCs/>
      <w:sz w:val="24"/>
      <w:szCs w:val="32"/>
    </w:rPr>
  </w:style>
  <w:style w:type="paragraph" w:customStyle="1" w:styleId="305">
    <w:name w:val="标题4"/>
    <w:basedOn w:val="4"/>
    <w:next w:val="23"/>
    <w:link w:val="304"/>
    <w:qFormat/>
    <w:uiPriority w:val="0"/>
    <w:pPr>
      <w:keepNext/>
      <w:keepLines/>
      <w:spacing w:before="260" w:after="260" w:line="413" w:lineRule="auto"/>
      <w:ind w:left="0"/>
      <w:jc w:val="both"/>
    </w:pPr>
    <w:rPr>
      <w:rFonts w:ascii="Arial" w:hAnsi="Arial" w:eastAsia="宋体"/>
      <w:sz w:val="24"/>
      <w:szCs w:val="32"/>
    </w:rPr>
  </w:style>
  <w:style w:type="character" w:customStyle="1" w:styleId="306">
    <w:name w:val="批注框文本 Char1"/>
    <w:qFormat/>
    <w:uiPriority w:val="99"/>
    <w:rPr>
      <w:kern w:val="2"/>
      <w:sz w:val="18"/>
      <w:szCs w:val="18"/>
    </w:rPr>
  </w:style>
  <w:style w:type="character" w:customStyle="1" w:styleId="307">
    <w:name w:val="_Style 78"/>
    <w:qFormat/>
    <w:uiPriority w:val="0"/>
    <w:rPr>
      <w:b/>
      <w:bCs/>
      <w:smallCaps/>
      <w:spacing w:val="5"/>
    </w:rPr>
  </w:style>
  <w:style w:type="character" w:customStyle="1" w:styleId="308">
    <w:name w:val="副标题 Char1"/>
    <w:qFormat/>
    <w:uiPriority w:val="0"/>
    <w:rPr>
      <w:rFonts w:ascii="Cambria" w:hAnsi="Cambria" w:cs="Times New Roman"/>
      <w:b/>
      <w:bCs/>
      <w:kern w:val="28"/>
      <w:sz w:val="32"/>
      <w:szCs w:val="32"/>
    </w:rPr>
  </w:style>
  <w:style w:type="character" w:customStyle="1" w:styleId="309">
    <w:name w:val="批注文字 Char Char"/>
    <w:qFormat/>
    <w:uiPriority w:val="0"/>
    <w:rPr>
      <w:rFonts w:ascii="宋体" w:hAnsi="Times New Roman" w:eastAsia="宋体" w:cs="Times New Roman"/>
      <w:sz w:val="28"/>
      <w:szCs w:val="20"/>
    </w:rPr>
  </w:style>
  <w:style w:type="character" w:customStyle="1" w:styleId="310">
    <w:name w:val="批注主题 Char1"/>
    <w:qFormat/>
    <w:uiPriority w:val="0"/>
    <w:rPr>
      <w:b/>
      <w:bCs/>
      <w:kern w:val="2"/>
      <w:sz w:val="21"/>
      <w:szCs w:val="22"/>
    </w:rPr>
  </w:style>
  <w:style w:type="character" w:customStyle="1" w:styleId="311">
    <w:name w:val="_Style 82"/>
    <w:qFormat/>
    <w:uiPriority w:val="0"/>
    <w:rPr>
      <w:b/>
      <w:bCs/>
      <w:smallCaps/>
      <w:color w:val="C0504D"/>
      <w:spacing w:val="5"/>
      <w:u w:val="single"/>
    </w:rPr>
  </w:style>
  <w:style w:type="character" w:customStyle="1" w:styleId="312">
    <w:name w:val="rvts10"/>
    <w:qFormat/>
    <w:uiPriority w:val="0"/>
    <w:rPr>
      <w:rFonts w:hint="default" w:ascii="KNLe" w:hAnsi="KNLe"/>
      <w:b/>
      <w:bCs/>
    </w:rPr>
  </w:style>
  <w:style w:type="character" w:customStyle="1" w:styleId="313">
    <w:name w:val="font11"/>
    <w:qFormat/>
    <w:uiPriority w:val="0"/>
    <w:rPr>
      <w:rFonts w:hint="eastAsia" w:ascii="微软雅黑" w:hAnsi="微软雅黑" w:eastAsia="微软雅黑" w:cs="微软雅黑"/>
      <w:color w:val="000000"/>
      <w:sz w:val="24"/>
      <w:szCs w:val="24"/>
      <w:u w:val="none"/>
      <w:vertAlign w:val="superscript"/>
    </w:rPr>
  </w:style>
  <w:style w:type="character" w:customStyle="1" w:styleId="314">
    <w:name w:val="引用 Char1"/>
    <w:qFormat/>
    <w:uiPriority w:val="99"/>
    <w:rPr>
      <w:i/>
      <w:iCs/>
      <w:color w:val="000000"/>
      <w:kern w:val="2"/>
      <w:sz w:val="21"/>
      <w:szCs w:val="24"/>
    </w:rPr>
  </w:style>
  <w:style w:type="character" w:customStyle="1" w:styleId="315">
    <w:name w:val="日期 Char1"/>
    <w:qFormat/>
    <w:uiPriority w:val="99"/>
    <w:rPr>
      <w:kern w:val="2"/>
      <w:sz w:val="21"/>
      <w:szCs w:val="22"/>
    </w:rPr>
  </w:style>
  <w:style w:type="character" w:customStyle="1" w:styleId="316">
    <w:name w:val="NormalCharacter"/>
    <w:qFormat/>
    <w:uiPriority w:val="0"/>
  </w:style>
  <w:style w:type="character" w:customStyle="1" w:styleId="317">
    <w:name w:val="批注主题 Char2"/>
    <w:qFormat/>
    <w:uiPriority w:val="0"/>
    <w:rPr>
      <w:b/>
      <w:bCs/>
      <w:kern w:val="2"/>
      <w:sz w:val="21"/>
      <w:szCs w:val="24"/>
    </w:rPr>
  </w:style>
  <w:style w:type="character" w:customStyle="1" w:styleId="318">
    <w:name w:val="批注文字 字符"/>
    <w:semiHidden/>
    <w:qFormat/>
    <w:uiPriority w:val="0"/>
    <w:rPr>
      <w:kern w:val="2"/>
      <w:sz w:val="21"/>
    </w:rPr>
  </w:style>
  <w:style w:type="character" w:customStyle="1" w:styleId="319">
    <w:name w:val="_Style 91"/>
    <w:qFormat/>
    <w:uiPriority w:val="0"/>
    <w:rPr>
      <w:smallCaps/>
      <w:color w:val="C0504D"/>
      <w:u w:val="single"/>
    </w:rPr>
  </w:style>
  <w:style w:type="character" w:customStyle="1" w:styleId="320">
    <w:name w:val="_Style 92"/>
    <w:qFormat/>
    <w:uiPriority w:val="0"/>
    <w:rPr>
      <w:i/>
      <w:iCs/>
      <w:color w:val="808080"/>
    </w:rPr>
  </w:style>
  <w:style w:type="character" w:customStyle="1" w:styleId="321">
    <w:name w:val="rvts11"/>
    <w:qFormat/>
    <w:uiPriority w:val="0"/>
    <w:rPr>
      <w:rFonts w:hint="default" w:ascii="KNLe" w:hAnsi="KNLe"/>
      <w:u w:val="single"/>
    </w:rPr>
  </w:style>
  <w:style w:type="character" w:customStyle="1" w:styleId="322">
    <w:name w:val="标题3 Char"/>
    <w:link w:val="323"/>
    <w:qFormat/>
    <w:uiPriority w:val="0"/>
    <w:rPr>
      <w:rFonts w:ascii="黑体" w:hAnsi="黑体" w:eastAsia="黑体"/>
      <w:b/>
      <w:kern w:val="2"/>
      <w:sz w:val="32"/>
      <w:szCs w:val="32"/>
    </w:rPr>
  </w:style>
  <w:style w:type="paragraph" w:customStyle="1" w:styleId="323">
    <w:name w:val="标题3"/>
    <w:basedOn w:val="1"/>
    <w:link w:val="322"/>
    <w:qFormat/>
    <w:uiPriority w:val="0"/>
    <w:pPr>
      <w:pageBreakBefore/>
      <w:jc w:val="center"/>
      <w:outlineLvl w:val="2"/>
    </w:pPr>
    <w:rPr>
      <w:rFonts w:ascii="黑体" w:hAnsi="黑体" w:eastAsia="黑体"/>
      <w:b/>
      <w:kern w:val="2"/>
      <w:sz w:val="32"/>
      <w:szCs w:val="32"/>
    </w:rPr>
  </w:style>
  <w:style w:type="character" w:customStyle="1" w:styleId="324">
    <w:name w:val="_Style 96"/>
    <w:qFormat/>
    <w:uiPriority w:val="0"/>
    <w:rPr>
      <w:b/>
      <w:bCs/>
      <w:i/>
      <w:iCs/>
      <w:color w:val="4F81BD"/>
    </w:rPr>
  </w:style>
  <w:style w:type="character" w:customStyle="1" w:styleId="325">
    <w:name w:val="正文文本 Char1"/>
    <w:qFormat/>
    <w:uiPriority w:val="99"/>
    <w:rPr>
      <w:kern w:val="2"/>
      <w:sz w:val="21"/>
      <w:szCs w:val="22"/>
    </w:rPr>
  </w:style>
  <w:style w:type="character" w:customStyle="1" w:styleId="326">
    <w:name w:val="textcontents"/>
    <w:qFormat/>
    <w:uiPriority w:val="0"/>
    <w:rPr>
      <w:rFonts w:cs="Times New Roman"/>
    </w:rPr>
  </w:style>
  <w:style w:type="character" w:customStyle="1" w:styleId="327">
    <w:name w:val="p21"/>
    <w:qFormat/>
    <w:uiPriority w:val="0"/>
    <w:rPr>
      <w:sz w:val="9"/>
      <w:szCs w:val="9"/>
    </w:rPr>
  </w:style>
  <w:style w:type="character" w:customStyle="1" w:styleId="328">
    <w:name w:val="标题5 Char Char"/>
    <w:link w:val="329"/>
    <w:qFormat/>
    <w:uiPriority w:val="0"/>
    <w:rPr>
      <w:rFonts w:ascii="Arial" w:hAnsi="Arial"/>
      <w:b/>
      <w:bCs/>
      <w:sz w:val="24"/>
      <w:szCs w:val="32"/>
    </w:rPr>
  </w:style>
  <w:style w:type="paragraph" w:customStyle="1" w:styleId="329">
    <w:name w:val="标题5"/>
    <w:basedOn w:val="5"/>
    <w:link w:val="328"/>
    <w:qFormat/>
    <w:uiPriority w:val="0"/>
    <w:pPr>
      <w:keepNext/>
      <w:keepLines/>
      <w:tabs>
        <w:tab w:val="left" w:pos="432"/>
      </w:tabs>
      <w:spacing w:before="260" w:after="260" w:line="413" w:lineRule="auto"/>
      <w:jc w:val="both"/>
    </w:pPr>
    <w:rPr>
      <w:rFonts w:ascii="Arial" w:hAnsi="Arial" w:eastAsia="宋体"/>
      <w:b/>
      <w:bCs/>
      <w:sz w:val="24"/>
    </w:rPr>
  </w:style>
  <w:style w:type="character" w:customStyle="1" w:styleId="330">
    <w:name w:val="标题 2 Char_0"/>
    <w:link w:val="331"/>
    <w:qFormat/>
    <w:uiPriority w:val="0"/>
    <w:rPr>
      <w:rFonts w:ascii="Cambria" w:hAnsi="Cambria" w:eastAsia="黑体"/>
      <w:b/>
      <w:bCs/>
      <w:sz w:val="32"/>
      <w:szCs w:val="32"/>
    </w:rPr>
  </w:style>
  <w:style w:type="paragraph" w:customStyle="1" w:styleId="331">
    <w:name w:val="标题 21"/>
    <w:basedOn w:val="332"/>
    <w:next w:val="332"/>
    <w:link w:val="330"/>
    <w:qFormat/>
    <w:uiPriority w:val="0"/>
    <w:rPr>
      <w:rFonts w:ascii="Cambria" w:hAnsi="Cambria" w:eastAsia="黑体"/>
      <w:b/>
      <w:bCs/>
      <w:sz w:val="32"/>
      <w:szCs w:val="32"/>
    </w:rPr>
  </w:style>
  <w:style w:type="paragraph" w:customStyle="1" w:styleId="332">
    <w:name w:val="Normal_0"/>
    <w:qFormat/>
    <w:uiPriority w:val="0"/>
    <w:pPr>
      <w:widowControl w:val="0"/>
    </w:pPr>
    <w:rPr>
      <w:rFonts w:ascii="Times New Roman" w:hAnsi="Times New Roman" w:eastAsia="宋体" w:cs="Times New Roman"/>
      <w:lang w:val="en-US" w:eastAsia="zh-CN" w:bidi="ar-SA"/>
    </w:rPr>
  </w:style>
  <w:style w:type="character" w:customStyle="1" w:styleId="333">
    <w:name w:val="rvts9"/>
    <w:qFormat/>
    <w:uiPriority w:val="0"/>
    <w:rPr>
      <w:rFonts w:hint="default" w:ascii="KNLe" w:hAnsi="KNLe"/>
    </w:rPr>
  </w:style>
  <w:style w:type="paragraph" w:customStyle="1" w:styleId="334">
    <w:name w:val="Char7"/>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35">
    <w:name w:val="列出段落2"/>
    <w:basedOn w:val="1"/>
    <w:qFormat/>
    <w:uiPriority w:val="0"/>
    <w:pPr>
      <w:ind w:firstLine="420" w:firstLineChars="200"/>
      <w:jc w:val="both"/>
    </w:pPr>
    <w:rPr>
      <w:rFonts w:eastAsia="宋体"/>
      <w:kern w:val="2"/>
      <w:sz w:val="21"/>
      <w:lang w:eastAsia="zh-CN"/>
    </w:rPr>
  </w:style>
  <w:style w:type="paragraph" w:customStyle="1" w:styleId="336">
    <w:name w:val="Char Char Char Char Char Char Char Char Char Char Char Char Char Char Char Char"/>
    <w:basedOn w:val="1"/>
    <w:qFormat/>
    <w:uiPriority w:val="0"/>
    <w:pPr>
      <w:tabs>
        <w:tab w:val="left" w:pos="360"/>
      </w:tabs>
      <w:spacing w:line="360" w:lineRule="auto"/>
      <w:ind w:left="482" w:firstLine="200" w:firstLineChars="200"/>
      <w:jc w:val="both"/>
    </w:pPr>
    <w:rPr>
      <w:rFonts w:ascii="宋体" w:hAnsi="Times New Roman" w:eastAsia="宋体"/>
      <w:kern w:val="2"/>
      <w:sz w:val="24"/>
      <w:szCs w:val="24"/>
      <w:lang w:eastAsia="zh-CN"/>
    </w:rPr>
  </w:style>
  <w:style w:type="paragraph" w:customStyle="1" w:styleId="337">
    <w:name w:val="t_black_12_b"/>
    <w:basedOn w:val="1"/>
    <w:qFormat/>
    <w:uiPriority w:val="0"/>
    <w:pPr>
      <w:widowControl/>
    </w:pPr>
    <w:rPr>
      <w:rFonts w:ascii="宋体" w:hAnsi="宋体" w:eastAsia="宋体" w:cs="宋体"/>
      <w:b/>
      <w:bCs/>
      <w:color w:val="212121"/>
      <w:sz w:val="9"/>
      <w:szCs w:val="9"/>
      <w:lang w:eastAsia="zh-CN"/>
    </w:rPr>
  </w:style>
  <w:style w:type="paragraph" w:customStyle="1" w:styleId="338">
    <w:name w:val="pa-2"/>
    <w:basedOn w:val="1"/>
    <w:qFormat/>
    <w:uiPriority w:val="0"/>
    <w:pPr>
      <w:widowControl/>
      <w:spacing w:line="320" w:lineRule="atLeast"/>
      <w:ind w:firstLine="700"/>
      <w:jc w:val="both"/>
    </w:pPr>
    <w:rPr>
      <w:rFonts w:ascii="宋体" w:hAnsi="宋体" w:eastAsia="宋体" w:cs="宋体"/>
      <w:sz w:val="24"/>
      <w:szCs w:val="24"/>
      <w:lang w:eastAsia="zh-CN"/>
    </w:rPr>
  </w:style>
  <w:style w:type="paragraph" w:customStyle="1" w:styleId="339">
    <w:name w:val="Char Char Char Char Char Char Char1 Char"/>
    <w:basedOn w:val="1"/>
    <w:qFormat/>
    <w:uiPriority w:val="0"/>
    <w:pPr>
      <w:jc w:val="both"/>
    </w:pPr>
    <w:rPr>
      <w:rFonts w:ascii="Tahoma" w:hAnsi="Tahoma" w:eastAsia="宋体" w:cs="Tahoma"/>
      <w:kern w:val="2"/>
      <w:sz w:val="24"/>
      <w:szCs w:val="24"/>
      <w:lang w:eastAsia="zh-CN"/>
    </w:rPr>
  </w:style>
  <w:style w:type="paragraph" w:customStyle="1" w:styleId="340">
    <w:name w:val="Char1"/>
    <w:basedOn w:val="1"/>
    <w:qFormat/>
    <w:uiPriority w:val="0"/>
    <w:pPr>
      <w:widowControl/>
      <w:spacing w:after="160" w:line="240" w:lineRule="exact"/>
    </w:pPr>
    <w:rPr>
      <w:rFonts w:ascii="Verdana" w:hAnsi="Verdana" w:eastAsia="仿宋_GB2312"/>
      <w:sz w:val="24"/>
      <w:szCs w:val="20"/>
    </w:rPr>
  </w:style>
  <w:style w:type="paragraph" w:customStyle="1" w:styleId="34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小四 段前: 5 磅 段后: 5 磅 首行缩进:  2 字符"/>
    <w:basedOn w:val="1"/>
    <w:qFormat/>
    <w:uiPriority w:val="0"/>
    <w:pPr>
      <w:spacing w:line="360" w:lineRule="auto"/>
      <w:jc w:val="both"/>
    </w:pPr>
    <w:rPr>
      <w:rFonts w:ascii="宋体" w:hAnsi="宋体" w:eastAsia="宋体"/>
      <w:kern w:val="2"/>
      <w:sz w:val="21"/>
      <w:szCs w:val="21"/>
      <w:lang w:eastAsia="zh-CN"/>
    </w:rPr>
  </w:style>
  <w:style w:type="paragraph" w:customStyle="1" w:styleId="343">
    <w:name w:val="Char"/>
    <w:basedOn w:val="1"/>
    <w:qFormat/>
    <w:uiPriority w:val="0"/>
    <w:pPr>
      <w:widowControl/>
      <w:spacing w:after="160" w:line="240" w:lineRule="exact"/>
    </w:pPr>
    <w:rPr>
      <w:rFonts w:ascii="Verdana" w:hAnsi="Verdana" w:eastAsia="仿宋_GB2312"/>
      <w:sz w:val="24"/>
      <w:szCs w:val="20"/>
    </w:rPr>
  </w:style>
  <w:style w:type="paragraph" w:customStyle="1" w:styleId="344">
    <w:name w:val="_Style 122"/>
    <w:basedOn w:val="3"/>
    <w:next w:val="1"/>
    <w:qFormat/>
    <w:uiPriority w:val="39"/>
    <w:pPr>
      <w:keepNext/>
      <w:keepLines/>
      <w:tabs>
        <w:tab w:val="left" w:pos="432"/>
      </w:tabs>
      <w:spacing w:before="340" w:after="330" w:line="578" w:lineRule="auto"/>
      <w:jc w:val="both"/>
      <w:outlineLvl w:val="9"/>
    </w:pPr>
    <w:rPr>
      <w:rFonts w:ascii="Calibri" w:hAnsi="Times New Roman" w:eastAsia="宋体"/>
      <w:b/>
      <w:bCs/>
      <w:kern w:val="44"/>
      <w:sz w:val="44"/>
      <w:szCs w:val="44"/>
      <w:lang w:eastAsia="zh-CN"/>
    </w:rPr>
  </w:style>
  <w:style w:type="paragraph" w:customStyle="1" w:styleId="345">
    <w:name w:val="正文2"/>
    <w:qFormat/>
    <w:uiPriority w:val="99"/>
    <w:pPr>
      <w:widowControl w:val="0"/>
      <w:jc w:val="both"/>
    </w:pPr>
    <w:rPr>
      <w:rFonts w:ascii="Times New Roman" w:hAnsi="Times New Roman" w:eastAsia="Times New Roman" w:cs="Times New Roman"/>
      <w:lang w:val="en-US" w:eastAsia="zh-CN" w:bidi="ar-SA"/>
    </w:rPr>
  </w:style>
  <w:style w:type="paragraph" w:customStyle="1" w:styleId="346">
    <w:name w:val="正文1"/>
    <w:qFormat/>
    <w:uiPriority w:val="0"/>
    <w:pPr>
      <w:widowControl w:val="0"/>
    </w:pPr>
    <w:rPr>
      <w:rFonts w:ascii="Times New Roman" w:hAnsi="Times New Roman" w:eastAsia="Times New Roman" w:cs="Times New Roman"/>
      <w:lang w:val="en-US" w:eastAsia="zh-CN" w:bidi="ar-SA"/>
    </w:rPr>
  </w:style>
  <w:style w:type="paragraph" w:customStyle="1" w:styleId="347">
    <w:name w:val="TOC 标题11"/>
    <w:basedOn w:val="3"/>
    <w:next w:val="1"/>
    <w:qFormat/>
    <w:uiPriority w:val="0"/>
    <w:pPr>
      <w:autoSpaceDE w:val="0"/>
      <w:autoSpaceDN w:val="0"/>
      <w:ind w:left="8"/>
      <w:jc w:val="center"/>
      <w:outlineLvl w:val="9"/>
    </w:pPr>
    <w:rPr>
      <w:rFonts w:cs="黑体"/>
      <w:sz w:val="30"/>
      <w:szCs w:val="30"/>
      <w:lang w:val="zh-CN" w:eastAsia="zh-CN" w:bidi="zh-CN"/>
    </w:rPr>
  </w:style>
  <w:style w:type="paragraph" w:customStyle="1" w:styleId="348">
    <w:name w:val="正文_0"/>
    <w:qFormat/>
    <w:uiPriority w:val="0"/>
    <w:pPr>
      <w:widowControl w:val="0"/>
    </w:pPr>
    <w:rPr>
      <w:rFonts w:ascii="Times New Roman" w:hAnsi="Times New Roman" w:eastAsia="宋体" w:cs="Times New Roman"/>
      <w:szCs w:val="24"/>
      <w:lang w:val="en-US" w:eastAsia="zh-CN" w:bidi="ar-SA"/>
    </w:rPr>
  </w:style>
  <w:style w:type="paragraph" w:customStyle="1" w:styleId="349">
    <w:name w:val="Char2"/>
    <w:basedOn w:val="1"/>
    <w:qFormat/>
    <w:uiPriority w:val="0"/>
    <w:pPr>
      <w:widowControl/>
      <w:spacing w:after="160" w:line="240" w:lineRule="exact"/>
    </w:pPr>
    <w:rPr>
      <w:rFonts w:ascii="Verdana" w:hAnsi="Verdana" w:eastAsia="仿宋_GB2312"/>
      <w:sz w:val="24"/>
      <w:szCs w:val="20"/>
    </w:rPr>
  </w:style>
  <w:style w:type="paragraph" w:customStyle="1" w:styleId="350">
    <w:name w:val="Char71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51">
    <w:name w:val="列出段落4"/>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52">
    <w:name w:val="普通 (Web)"/>
    <w:basedOn w:val="1"/>
    <w:qFormat/>
    <w:uiPriority w:val="0"/>
    <w:pPr>
      <w:widowControl/>
      <w:spacing w:before="100" w:beforeAutospacing="1" w:after="100" w:afterAutospacing="1"/>
    </w:pPr>
    <w:rPr>
      <w:rFonts w:ascii="宋体" w:hAnsi="宋体" w:eastAsia="宋体"/>
      <w:sz w:val="24"/>
      <w:szCs w:val="24"/>
      <w:lang w:eastAsia="zh-CN"/>
    </w:rPr>
  </w:style>
  <w:style w:type="paragraph" w:customStyle="1" w:styleId="353">
    <w:name w:val="纯文本1"/>
    <w:basedOn w:val="1"/>
    <w:qFormat/>
    <w:uiPriority w:val="0"/>
    <w:pPr>
      <w:adjustRightInd w:val="0"/>
      <w:jc w:val="both"/>
      <w:textAlignment w:val="baseline"/>
    </w:pPr>
    <w:rPr>
      <w:rFonts w:ascii="宋体" w:hAnsi="Courier New" w:eastAsia="楷体_GB2312"/>
      <w:kern w:val="2"/>
      <w:sz w:val="26"/>
      <w:szCs w:val="20"/>
      <w:lang w:eastAsia="zh-CN"/>
    </w:rPr>
  </w:style>
  <w:style w:type="paragraph" w:customStyle="1" w:styleId="354">
    <w:name w:val="列出段落3"/>
    <w:basedOn w:val="1"/>
    <w:qFormat/>
    <w:uiPriority w:val="99"/>
    <w:pPr>
      <w:widowControl/>
      <w:ind w:left="720"/>
      <w:contextualSpacing/>
    </w:pPr>
    <w:rPr>
      <w:rFonts w:ascii="Arial" w:hAnsi="Arial" w:eastAsia="黑体"/>
      <w:sz w:val="24"/>
      <w:szCs w:val="24"/>
    </w:rPr>
  </w:style>
  <w:style w:type="paragraph" w:customStyle="1" w:styleId="355">
    <w:name w:val="列出段落11"/>
    <w:basedOn w:val="1"/>
    <w:qFormat/>
    <w:uiPriority w:val="0"/>
    <w:pPr>
      <w:ind w:firstLine="420" w:firstLineChars="200"/>
      <w:jc w:val="both"/>
    </w:pPr>
    <w:rPr>
      <w:rFonts w:eastAsia="宋体"/>
      <w:kern w:val="2"/>
      <w:sz w:val="21"/>
      <w:lang w:eastAsia="zh-CN"/>
    </w:rPr>
  </w:style>
  <w:style w:type="paragraph" w:customStyle="1" w:styleId="356">
    <w:name w:val="正文_0_0"/>
    <w:qFormat/>
    <w:uiPriority w:val="0"/>
    <w:pPr>
      <w:widowControl w:val="0"/>
    </w:pPr>
    <w:rPr>
      <w:rFonts w:ascii="Times New Roman" w:hAnsi="Times New Roman" w:eastAsia="宋体" w:cs="Times New Roman"/>
      <w:szCs w:val="24"/>
      <w:lang w:val="en-US" w:eastAsia="zh-CN" w:bidi="ar-SA"/>
    </w:rPr>
  </w:style>
  <w:style w:type="paragraph" w:customStyle="1" w:styleId="357">
    <w:name w:val="默认段落字体 Para Char Char Char Char Char Char Char"/>
    <w:basedOn w:val="1"/>
    <w:qFormat/>
    <w:uiPriority w:val="0"/>
    <w:pPr>
      <w:jc w:val="both"/>
    </w:pPr>
    <w:rPr>
      <w:rFonts w:ascii="Tahoma" w:hAnsi="Tahoma" w:eastAsia="宋体"/>
      <w:kern w:val="2"/>
      <w:sz w:val="24"/>
      <w:szCs w:val="20"/>
      <w:lang w:eastAsia="zh-CN"/>
    </w:rPr>
  </w:style>
  <w:style w:type="paragraph" w:customStyle="1" w:styleId="358">
    <w:name w:val="_Style 140"/>
    <w:qFormat/>
    <w:uiPriority w:val="0"/>
    <w:rPr>
      <w:rFonts w:ascii="Times New Roman" w:hAnsi="Times New Roman" w:eastAsia="宋体" w:cs="Times New Roman"/>
      <w:kern w:val="2"/>
      <w:sz w:val="21"/>
      <w:szCs w:val="24"/>
      <w:lang w:val="en-US" w:eastAsia="zh-CN" w:bidi="ar-SA"/>
    </w:rPr>
  </w:style>
  <w:style w:type="paragraph" w:customStyle="1" w:styleId="359">
    <w:name w:val="正文缩进4"/>
    <w:next w:val="1"/>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360">
    <w:name w:val="contentarticle"/>
    <w:basedOn w:val="1"/>
    <w:qFormat/>
    <w:uiPriority w:val="0"/>
    <w:pPr>
      <w:widowControl/>
      <w:spacing w:before="100" w:beforeAutospacing="1" w:after="100" w:afterAutospacing="1"/>
    </w:pPr>
    <w:rPr>
      <w:rFonts w:ascii="宋体" w:hAnsi="宋体" w:eastAsia="宋体" w:cs="宋体"/>
      <w:sz w:val="24"/>
      <w:lang w:eastAsia="zh-CN"/>
    </w:rPr>
  </w:style>
  <w:style w:type="paragraph" w:customStyle="1" w:styleId="361">
    <w:name w:val="_Style 2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7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character" w:customStyle="1" w:styleId="363">
    <w:name w:val="15"/>
    <w:basedOn w:val="56"/>
    <w:qFormat/>
    <w:uiPriority w:val="0"/>
    <w:rPr>
      <w:rFonts w:hint="default" w:ascii="Calibri" w:hAnsi="Calibri"/>
    </w:rPr>
  </w:style>
  <w:style w:type="paragraph" w:customStyle="1" w:styleId="364">
    <w:name w:val="正文首缩两字"/>
    <w:basedOn w:val="1"/>
    <w:qFormat/>
    <w:uiPriority w:val="0"/>
    <w:pPr>
      <w:spacing w:afterLines="30" w:line="360" w:lineRule="auto"/>
      <w:ind w:left="210" w:right="210" w:firstLine="480" w:firstLineChars="200"/>
    </w:pPr>
    <w:rPr>
      <w:rFonts w:ascii="宋体" w:hAnsi="宋体" w:eastAsia="仿宋_GB2312"/>
      <w:sz w:val="24"/>
      <w:szCs w:val="24"/>
      <w:lang w:eastAsia="zh-CN"/>
    </w:rPr>
  </w:style>
  <w:style w:type="paragraph" w:customStyle="1" w:styleId="365">
    <w:name w:val="列出段落5"/>
    <w:basedOn w:val="1"/>
    <w:qFormat/>
    <w:uiPriority w:val="0"/>
    <w:pPr>
      <w:ind w:firstLine="420" w:firstLineChars="200"/>
      <w:jc w:val="both"/>
    </w:pPr>
    <w:rPr>
      <w:rFonts w:eastAsia="宋体"/>
      <w:kern w:val="2"/>
      <w:sz w:val="21"/>
      <w:lang w:eastAsia="zh-CN"/>
    </w:rPr>
  </w:style>
  <w:style w:type="character" w:customStyle="1" w:styleId="366">
    <w:name w:val="font121"/>
    <w:qFormat/>
    <w:uiPriority w:val="0"/>
    <w:rPr>
      <w:rFonts w:hint="eastAsia" w:ascii="宋体" w:hAnsi="宋体" w:eastAsia="宋体" w:cs="宋体"/>
      <w:color w:val="FF0000"/>
      <w:sz w:val="24"/>
      <w:szCs w:val="24"/>
      <w:u w:val="none"/>
    </w:rPr>
  </w:style>
  <w:style w:type="character" w:customStyle="1" w:styleId="367">
    <w:name w:val="font101"/>
    <w:qFormat/>
    <w:uiPriority w:val="0"/>
    <w:rPr>
      <w:rFonts w:hint="eastAsia" w:ascii="宋体" w:hAnsi="宋体" w:eastAsia="宋体" w:cs="宋体"/>
      <w:color w:val="000000"/>
      <w:sz w:val="22"/>
      <w:szCs w:val="22"/>
      <w:u w:val="none"/>
    </w:rPr>
  </w:style>
  <w:style w:type="character" w:customStyle="1" w:styleId="368">
    <w:name w:val="font131"/>
    <w:qFormat/>
    <w:uiPriority w:val="0"/>
    <w:rPr>
      <w:rFonts w:hint="eastAsia" w:ascii="宋体" w:hAnsi="宋体" w:eastAsia="宋体" w:cs="宋体"/>
      <w:color w:val="000000"/>
      <w:sz w:val="22"/>
      <w:szCs w:val="22"/>
      <w:u w:val="none"/>
    </w:rPr>
  </w:style>
  <w:style w:type="paragraph" w:customStyle="1" w:styleId="369">
    <w:name w:val="Index4"/>
    <w:basedOn w:val="1"/>
    <w:next w:val="1"/>
    <w:semiHidden/>
    <w:qFormat/>
    <w:uiPriority w:val="0"/>
    <w:pPr>
      <w:widowControl/>
      <w:ind w:left="1260"/>
      <w:jc w:val="both"/>
      <w:textAlignment w:val="baseline"/>
    </w:pPr>
    <w:rPr>
      <w:sz w:val="20"/>
      <w:szCs w:val="20"/>
      <w:lang w:val="zh-CN" w:eastAsia="zh-CN"/>
    </w:rPr>
  </w:style>
  <w:style w:type="paragraph" w:customStyle="1" w:styleId="370">
    <w:name w:val="font5"/>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71">
    <w:name w:val="xl65"/>
    <w:basedOn w:val="1"/>
    <w:qFormat/>
    <w:uiPriority w:val="0"/>
    <w:pPr>
      <w:widowControl/>
      <w:spacing w:before="100" w:beforeAutospacing="1" w:after="100" w:afterAutospacing="1"/>
      <w:jc w:val="center"/>
    </w:pPr>
    <w:rPr>
      <w:rFonts w:ascii="宋体" w:hAnsi="宋体" w:eastAsia="宋体" w:cs="宋体"/>
      <w:sz w:val="24"/>
      <w:szCs w:val="24"/>
      <w:lang w:eastAsia="zh-CN"/>
    </w:rPr>
  </w:style>
  <w:style w:type="paragraph" w:customStyle="1" w:styleId="372">
    <w:name w:val="xl66"/>
    <w:basedOn w:val="1"/>
    <w:qFormat/>
    <w:uiPriority w:val="0"/>
    <w:pPr>
      <w:widowControl/>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73">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lang w:eastAsia="zh-CN"/>
    </w:rPr>
  </w:style>
  <w:style w:type="paragraph" w:customStyle="1" w:styleId="374">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37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7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7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7"/>
      <w:szCs w:val="17"/>
      <w:lang w:eastAsia="zh-CN"/>
    </w:rPr>
  </w:style>
  <w:style w:type="paragraph" w:customStyle="1" w:styleId="378">
    <w:name w:val="xl7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character" w:customStyle="1" w:styleId="383">
    <w:name w:val="书籍标题1"/>
    <w:qFormat/>
    <w:uiPriority w:val="0"/>
    <w:rPr>
      <w:b/>
      <w:bCs/>
      <w:smallCaps/>
      <w:spacing w:val="5"/>
    </w:rPr>
  </w:style>
  <w:style w:type="character" w:customStyle="1" w:styleId="384">
    <w:name w:val="明显参考1"/>
    <w:qFormat/>
    <w:uiPriority w:val="0"/>
    <w:rPr>
      <w:b/>
      <w:bCs/>
      <w:smallCaps/>
      <w:color w:val="C0504D"/>
      <w:spacing w:val="5"/>
      <w:u w:val="single"/>
    </w:rPr>
  </w:style>
  <w:style w:type="character" w:customStyle="1" w:styleId="385">
    <w:name w:val="不明显参考1"/>
    <w:qFormat/>
    <w:uiPriority w:val="0"/>
    <w:rPr>
      <w:smallCaps/>
      <w:color w:val="C0504D"/>
      <w:u w:val="single"/>
    </w:rPr>
  </w:style>
  <w:style w:type="character" w:customStyle="1" w:styleId="386">
    <w:name w:val="不明显强调1"/>
    <w:qFormat/>
    <w:uiPriority w:val="0"/>
    <w:rPr>
      <w:i/>
      <w:iCs/>
      <w:color w:val="808080"/>
    </w:rPr>
  </w:style>
  <w:style w:type="character" w:customStyle="1" w:styleId="387">
    <w:name w:val="明显强调1"/>
    <w:qFormat/>
    <w:uiPriority w:val="0"/>
    <w:rPr>
      <w:b/>
      <w:bCs/>
      <w:i/>
      <w:iCs/>
      <w:color w:val="4F81BD"/>
    </w:rPr>
  </w:style>
  <w:style w:type="paragraph" w:customStyle="1" w:styleId="388">
    <w:name w:val="标题 22"/>
    <w:basedOn w:val="332"/>
    <w:next w:val="332"/>
    <w:qFormat/>
    <w:uiPriority w:val="0"/>
  </w:style>
  <w:style w:type="paragraph" w:customStyle="1" w:styleId="389">
    <w:name w:val="列出段落6"/>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90">
    <w:name w:val="修订1"/>
    <w:qFormat/>
    <w:uiPriority w:val="0"/>
    <w:rPr>
      <w:rFonts w:ascii="Times New Roman" w:hAnsi="Times New Roman" w:eastAsia="宋体" w:cs="Times New Roman"/>
      <w:kern w:val="2"/>
      <w:sz w:val="21"/>
      <w:szCs w:val="24"/>
      <w:lang w:val="en-US" w:eastAsia="zh-CN" w:bidi="ar-SA"/>
    </w:rPr>
  </w:style>
  <w:style w:type="character" w:customStyle="1" w:styleId="391">
    <w:name w:val="纯文本 Char Char"/>
    <w:qFormat/>
    <w:uiPriority w:val="99"/>
    <w:rPr>
      <w:rFonts w:ascii="宋体" w:hAnsi="Courier New" w:eastAsia="宋体"/>
      <w:kern w:val="2"/>
      <w:sz w:val="21"/>
      <w:szCs w:val="21"/>
      <w:lang w:val="en-US" w:eastAsia="zh-CN" w:bidi="ar-SA"/>
    </w:rPr>
  </w:style>
  <w:style w:type="paragraph" w:customStyle="1" w:styleId="392">
    <w:name w:val="正文（首行缩进）"/>
    <w:qFormat/>
    <w:uiPriority w:val="0"/>
    <w:pPr>
      <w:widowControl w:val="0"/>
      <w:spacing w:line="360" w:lineRule="auto"/>
      <w:ind w:firstLine="200" w:firstLineChars="200"/>
      <w:jc w:val="both"/>
    </w:pPr>
    <w:rPr>
      <w:rFonts w:ascii="Times New Roman" w:hAnsi="Times New Roman" w:eastAsia="宋体" w:cs="Times New Roman"/>
      <w:sz w:val="21"/>
      <w:szCs w:val="24"/>
      <w:lang w:val="en-US" w:eastAsia="zh-CN" w:bidi="ar-SA"/>
    </w:rPr>
  </w:style>
  <w:style w:type="paragraph" w:customStyle="1" w:styleId="393">
    <w:name w:val="正文 A"/>
    <w:next w:val="1"/>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4">
    <w:name w:val="称呼 Char"/>
    <w:basedOn w:val="56"/>
    <w:link w:val="17"/>
    <w:qFormat/>
    <w:uiPriority w:val="99"/>
    <w:rPr>
      <w:rFonts w:ascii="楷体_GB2312" w:eastAsia="楷体_GB2312"/>
      <w:kern w:val="2"/>
      <w:sz w:val="28"/>
    </w:rPr>
  </w:style>
  <w:style w:type="character" w:customStyle="1" w:styleId="395">
    <w:name w:val="正文文本 2 Char"/>
    <w:basedOn w:val="56"/>
    <w:link w:val="46"/>
    <w:qFormat/>
    <w:uiPriority w:val="99"/>
    <w:rPr>
      <w:rFonts w:ascii="宋体"/>
      <w:b/>
      <w:bCs/>
      <w:kern w:val="2"/>
      <w:sz w:val="24"/>
      <w:szCs w:val="24"/>
    </w:rPr>
  </w:style>
  <w:style w:type="character" w:customStyle="1" w:styleId="396">
    <w:name w:val="书籍标题11"/>
    <w:qFormat/>
    <w:uiPriority w:val="0"/>
    <w:rPr>
      <w:b/>
      <w:bCs/>
      <w:smallCaps/>
      <w:spacing w:val="5"/>
    </w:rPr>
  </w:style>
  <w:style w:type="character" w:customStyle="1" w:styleId="397">
    <w:name w:val="明显参考11"/>
    <w:qFormat/>
    <w:uiPriority w:val="0"/>
    <w:rPr>
      <w:b/>
      <w:bCs/>
      <w:smallCaps/>
      <w:color w:val="C0504D"/>
      <w:spacing w:val="5"/>
      <w:u w:val="single"/>
    </w:rPr>
  </w:style>
  <w:style w:type="character" w:customStyle="1" w:styleId="398">
    <w:name w:val="不明显参考11"/>
    <w:qFormat/>
    <w:uiPriority w:val="0"/>
    <w:rPr>
      <w:smallCaps/>
      <w:color w:val="C0504D"/>
      <w:u w:val="single"/>
    </w:rPr>
  </w:style>
  <w:style w:type="character" w:customStyle="1" w:styleId="399">
    <w:name w:val="不明显强调11"/>
    <w:qFormat/>
    <w:uiPriority w:val="0"/>
    <w:rPr>
      <w:i/>
      <w:iCs/>
      <w:color w:val="808080"/>
    </w:rPr>
  </w:style>
  <w:style w:type="character" w:customStyle="1" w:styleId="400">
    <w:name w:val="明显强调11"/>
    <w:qFormat/>
    <w:uiPriority w:val="0"/>
    <w:rPr>
      <w:b/>
      <w:bCs/>
      <w:i/>
      <w:iCs/>
      <w:color w:val="4F81BD"/>
    </w:rPr>
  </w:style>
  <w:style w:type="paragraph" w:customStyle="1" w:styleId="401">
    <w:name w:val="列出段落111"/>
    <w:basedOn w:val="1"/>
    <w:qFormat/>
    <w:uiPriority w:val="0"/>
    <w:pPr>
      <w:ind w:firstLine="420" w:firstLineChars="200"/>
      <w:jc w:val="both"/>
    </w:pPr>
    <w:rPr>
      <w:rFonts w:eastAsia="宋体"/>
      <w:kern w:val="2"/>
      <w:sz w:val="21"/>
      <w:lang w:eastAsia="zh-CN"/>
    </w:rPr>
  </w:style>
  <w:style w:type="paragraph" w:customStyle="1" w:styleId="402">
    <w:name w:val="修订11"/>
    <w:qFormat/>
    <w:uiPriority w:val="0"/>
    <w:rPr>
      <w:rFonts w:ascii="Times New Roman" w:hAnsi="Times New Roman" w:eastAsia="宋体" w:cs="Times New Roman"/>
      <w:kern w:val="2"/>
      <w:sz w:val="21"/>
      <w:szCs w:val="24"/>
      <w:lang w:val="en-US" w:eastAsia="zh-CN" w:bidi="ar-SA"/>
    </w:rPr>
  </w:style>
  <w:style w:type="character" w:customStyle="1" w:styleId="403">
    <w:name w:val="fontstyle01"/>
    <w:qFormat/>
    <w:uiPriority w:val="0"/>
    <w:rPr>
      <w:rFonts w:hint="eastAsia" w:ascii="仿宋_GB2312" w:eastAsia="仿宋_GB2312"/>
      <w:color w:val="000000"/>
      <w:sz w:val="32"/>
      <w:szCs w:val="32"/>
    </w:rPr>
  </w:style>
  <w:style w:type="character" w:customStyle="1" w:styleId="404">
    <w:name w:val="fontstyle21"/>
    <w:qFormat/>
    <w:uiPriority w:val="0"/>
    <w:rPr>
      <w:rFonts w:hint="default" w:ascii="Times New Roman" w:hAnsi="Times New Roman" w:cs="Times New Roman"/>
      <w:color w:val="000000"/>
      <w:sz w:val="32"/>
      <w:szCs w:val="32"/>
    </w:rPr>
  </w:style>
  <w:style w:type="paragraph" w:customStyle="1" w:styleId="405">
    <w:name w:val="正文文本1"/>
    <w:basedOn w:val="1"/>
    <w:qFormat/>
    <w:uiPriority w:val="0"/>
    <w:pPr>
      <w:autoSpaceDE w:val="0"/>
      <w:autoSpaceDN w:val="0"/>
      <w:spacing w:line="463" w:lineRule="auto"/>
      <w:ind w:firstLine="400"/>
    </w:pPr>
    <w:rPr>
      <w:rFonts w:ascii="宋体" w:hAnsi="宋体" w:eastAsia="宋体" w:cs="宋体"/>
      <w:sz w:val="40"/>
      <w:szCs w:val="40"/>
      <w:lang w:val="zh-CN" w:eastAsia="zh-CN" w:bidi="zh-CN"/>
    </w:rPr>
  </w:style>
  <w:style w:type="character" w:customStyle="1" w:styleId="406">
    <w:name w:val="正文文本 字符"/>
    <w:basedOn w:val="56"/>
    <w:qFormat/>
    <w:uiPriority w:val="0"/>
    <w:rPr>
      <w:rFonts w:ascii="宋体" w:hAnsi="宋体" w:cs="宋体"/>
      <w:sz w:val="21"/>
      <w:szCs w:val="21"/>
      <w:lang w:val="zh-CN" w:bidi="zh-CN"/>
    </w:rPr>
  </w:style>
  <w:style w:type="character" w:customStyle="1" w:styleId="407">
    <w:name w:val="页脚 字符"/>
    <w:basedOn w:val="56"/>
    <w:qFormat/>
    <w:uiPriority w:val="99"/>
    <w:rPr>
      <w:rFonts w:ascii="宋体" w:hAnsi="宋体" w:cs="宋体"/>
      <w:sz w:val="18"/>
      <w:szCs w:val="18"/>
      <w:lang w:val="zh-CN" w:bidi="zh-CN"/>
    </w:rPr>
  </w:style>
  <w:style w:type="character" w:customStyle="1" w:styleId="408">
    <w:name w:val="批注文字 Char1"/>
    <w:basedOn w:val="56"/>
    <w:qFormat/>
    <w:uiPriority w:val="0"/>
    <w:rPr>
      <w:rFonts w:ascii="宋体" w:hAnsi="宋体" w:cs="宋体"/>
      <w:sz w:val="22"/>
      <w:szCs w:val="22"/>
      <w:lang w:val="zh-CN" w:bidi="zh-CN"/>
    </w:rPr>
  </w:style>
  <w:style w:type="character" w:customStyle="1" w:styleId="409">
    <w:name w:val="正文文本缩进 2 Char1"/>
    <w:basedOn w:val="56"/>
    <w:qFormat/>
    <w:uiPriority w:val="0"/>
    <w:rPr>
      <w:rFonts w:ascii="宋体" w:hAnsi="宋体" w:cs="宋体"/>
      <w:sz w:val="22"/>
      <w:szCs w:val="22"/>
      <w:lang w:val="zh-CN" w:bidi="zh-CN"/>
    </w:rPr>
  </w:style>
  <w:style w:type="character" w:customStyle="1" w:styleId="410">
    <w:name w:val="Char Char9"/>
    <w:qFormat/>
    <w:uiPriority w:val="0"/>
    <w:rPr>
      <w:rFonts w:ascii="Calibri" w:hAnsi="Calibri" w:eastAsia="宋体" w:cs="Times New Roman"/>
      <w:kern w:val="2"/>
      <w:sz w:val="21"/>
      <w:szCs w:val="24"/>
    </w:rPr>
  </w:style>
  <w:style w:type="character" w:customStyle="1" w:styleId="411">
    <w:name w:val="标题 字符1"/>
    <w:basedOn w:val="56"/>
    <w:qFormat/>
    <w:uiPriority w:val="10"/>
    <w:rPr>
      <w:rFonts w:ascii="Arial" w:hAnsi="Arial" w:eastAsia="黑体" w:cs="Times New Roman"/>
      <w:b/>
      <w:bCs/>
      <w:sz w:val="32"/>
      <w:szCs w:val="32"/>
      <w:lang w:val="zh-CN" w:bidi="zh-CN"/>
    </w:rPr>
  </w:style>
  <w:style w:type="paragraph" w:customStyle="1" w:styleId="412">
    <w:name w:val="_Style 2"/>
    <w:basedOn w:val="1"/>
    <w:qFormat/>
    <w:uiPriority w:val="0"/>
    <w:pPr>
      <w:widowControl/>
      <w:ind w:firstLine="420" w:firstLineChars="200"/>
    </w:pPr>
    <w:rPr>
      <w:rFonts w:eastAsia="宋体"/>
      <w:sz w:val="21"/>
      <w:lang w:eastAsia="zh-CN"/>
    </w:rPr>
  </w:style>
  <w:style w:type="paragraph" w:customStyle="1" w:styleId="413">
    <w:name w:val="表格无间距"/>
    <w:basedOn w:val="1"/>
    <w:qFormat/>
    <w:uiPriority w:val="0"/>
    <w:pPr>
      <w:widowControl/>
      <w:spacing w:line="240" w:lineRule="atLeast"/>
      <w:jc w:val="center"/>
    </w:pPr>
    <w:rPr>
      <w:rFonts w:ascii="宋体" w:hAnsi="宋体" w:eastAsia="宋体" w:cs="宋体"/>
      <w:bCs/>
      <w:sz w:val="18"/>
      <w:szCs w:val="18"/>
      <w:lang w:eastAsia="zh-CN"/>
    </w:rPr>
  </w:style>
  <w:style w:type="character" w:customStyle="1" w:styleId="414">
    <w:name w:val="rvts14"/>
    <w:qFormat/>
    <w:uiPriority w:val="0"/>
    <w:rPr>
      <w:rFonts w:hint="default" w:ascii="KNLe" w:hAnsi="KNLe" w:eastAsia="宋体" w:cs="Times New Roman"/>
      <w:color w:val="000000"/>
      <w:u w:val="single"/>
    </w:rPr>
  </w:style>
  <w:style w:type="character" w:customStyle="1" w:styleId="415">
    <w:name w:val="rvts19"/>
    <w:qFormat/>
    <w:uiPriority w:val="0"/>
    <w:rPr>
      <w:rFonts w:hint="default" w:ascii="KNLe" w:hAnsi="KNLe" w:eastAsia="宋体" w:cs="Times New Roman"/>
      <w:sz w:val="24"/>
      <w:szCs w:val="24"/>
    </w:rPr>
  </w:style>
  <w:style w:type="character" w:customStyle="1" w:styleId="416">
    <w:name w:val="rvts7"/>
    <w:qFormat/>
    <w:uiPriority w:val="0"/>
    <w:rPr>
      <w:rFonts w:hint="default" w:ascii=":ZLe" w:hAnsi=":ZLe" w:eastAsia="宋体" w:cs="Times New Roman"/>
      <w:sz w:val="32"/>
      <w:szCs w:val="32"/>
    </w:rPr>
  </w:style>
  <w:style w:type="character" w:customStyle="1" w:styleId="417">
    <w:name w:val="rvts12"/>
    <w:qFormat/>
    <w:uiPriority w:val="0"/>
    <w:rPr>
      <w:rFonts w:hint="default" w:ascii="KNLe" w:hAnsi="KNLe" w:eastAsia="宋体" w:cs="Times New Roman"/>
      <w:b/>
      <w:bCs/>
      <w:u w:val="single"/>
    </w:rPr>
  </w:style>
  <w:style w:type="character" w:customStyle="1" w:styleId="418">
    <w:name w:val="正文文本 3 Char1"/>
    <w:basedOn w:val="56"/>
    <w:qFormat/>
    <w:uiPriority w:val="99"/>
    <w:rPr>
      <w:rFonts w:ascii="宋体" w:hAnsi="宋体" w:cs="宋体"/>
      <w:sz w:val="16"/>
      <w:szCs w:val="16"/>
      <w:lang w:val="zh-CN" w:bidi="zh-CN"/>
    </w:rPr>
  </w:style>
  <w:style w:type="paragraph" w:customStyle="1" w:styleId="419">
    <w:name w:val="rvps1"/>
    <w:basedOn w:val="1"/>
    <w:qFormat/>
    <w:uiPriority w:val="99"/>
    <w:pPr>
      <w:widowControl/>
      <w:jc w:val="center"/>
    </w:pPr>
    <w:rPr>
      <w:rFonts w:ascii="Times New Roman" w:hAnsi="Times New Roman" w:eastAsia="宋体"/>
      <w:sz w:val="24"/>
      <w:szCs w:val="24"/>
      <w:lang w:eastAsia="zh-CN"/>
    </w:rPr>
  </w:style>
  <w:style w:type="paragraph" w:customStyle="1" w:styleId="420">
    <w:name w:val="rvps2"/>
    <w:basedOn w:val="1"/>
    <w:qFormat/>
    <w:uiPriority w:val="0"/>
    <w:pPr>
      <w:widowControl/>
      <w:jc w:val="both"/>
    </w:pPr>
    <w:rPr>
      <w:rFonts w:ascii="宋体" w:hAnsi="宋体" w:eastAsia="宋体" w:cs="宋体"/>
      <w:sz w:val="24"/>
      <w:szCs w:val="24"/>
      <w:lang w:eastAsia="zh-CN"/>
    </w:rPr>
  </w:style>
  <w:style w:type="character" w:customStyle="1" w:styleId="421">
    <w:name w:val="普通文字 Char Char1"/>
    <w:qFormat/>
    <w:uiPriority w:val="0"/>
    <w:rPr>
      <w:rFonts w:ascii="宋体" w:hAnsi="Courier New" w:eastAsia="宋体" w:cs="Times New Roman"/>
      <w:kern w:val="2"/>
      <w:sz w:val="21"/>
      <w:szCs w:val="21"/>
      <w:lang w:val="en-US" w:eastAsia="zh-CN" w:bidi="ar-SA"/>
    </w:rPr>
  </w:style>
  <w:style w:type="character" w:customStyle="1" w:styleId="422">
    <w:name w:val="称呼 Char1"/>
    <w:basedOn w:val="56"/>
    <w:qFormat/>
    <w:uiPriority w:val="99"/>
    <w:rPr>
      <w:rFonts w:ascii="宋体" w:hAnsi="宋体" w:cs="宋体"/>
      <w:sz w:val="22"/>
      <w:szCs w:val="22"/>
      <w:lang w:val="zh-CN" w:bidi="zh-CN"/>
    </w:rPr>
  </w:style>
  <w:style w:type="character" w:customStyle="1" w:styleId="423">
    <w:name w:val="正文文本 2 Char1"/>
    <w:basedOn w:val="56"/>
    <w:qFormat/>
    <w:uiPriority w:val="99"/>
    <w:rPr>
      <w:rFonts w:ascii="宋体" w:hAnsi="宋体" w:cs="宋体"/>
      <w:sz w:val="22"/>
      <w:szCs w:val="22"/>
      <w:lang w:val="zh-CN" w:bidi="zh-CN"/>
    </w:rPr>
  </w:style>
  <w:style w:type="paragraph" w:customStyle="1" w:styleId="424">
    <w:name w:val="目录文字"/>
    <w:basedOn w:val="1"/>
    <w:qFormat/>
    <w:uiPriority w:val="0"/>
    <w:pPr>
      <w:widowControl/>
      <w:spacing w:line="480" w:lineRule="auto"/>
    </w:pPr>
    <w:rPr>
      <w:rFonts w:ascii="宋体" w:hAnsi="宋体" w:eastAsia="宋体"/>
      <w:sz w:val="24"/>
      <w:szCs w:val="20"/>
      <w:lang w:eastAsia="zh-CN"/>
    </w:rPr>
  </w:style>
  <w:style w:type="paragraph" w:customStyle="1" w:styleId="425">
    <w:name w:val="Char Char Char Char"/>
    <w:basedOn w:val="1"/>
    <w:qFormat/>
    <w:uiPriority w:val="0"/>
    <w:pPr>
      <w:adjustRightInd w:val="0"/>
      <w:spacing w:line="360" w:lineRule="atLeast"/>
      <w:jc w:val="both"/>
      <w:textAlignment w:val="baseline"/>
    </w:pPr>
    <w:rPr>
      <w:rFonts w:ascii="Tahoma" w:hAnsi="Tahoma" w:eastAsia="宋体"/>
      <w:kern w:val="2"/>
      <w:sz w:val="24"/>
      <w:szCs w:val="20"/>
      <w:lang w:eastAsia="zh-CN"/>
    </w:rPr>
  </w:style>
  <w:style w:type="paragraph" w:customStyle="1" w:styleId="426">
    <w:name w:val="p0"/>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427">
    <w:name w:val="Char Char Char Char Char Char"/>
    <w:basedOn w:val="1"/>
    <w:qFormat/>
    <w:uiPriority w:val="0"/>
    <w:pPr>
      <w:widowControl/>
      <w:spacing w:after="160" w:line="240" w:lineRule="exact"/>
    </w:pPr>
    <w:rPr>
      <w:rFonts w:ascii="Arial" w:hAnsi="Arial" w:eastAsia="Times New Roman" w:cs="Verdana"/>
      <w:b/>
      <w:sz w:val="21"/>
      <w:szCs w:val="20"/>
    </w:rPr>
  </w:style>
  <w:style w:type="character" w:customStyle="1" w:styleId="428">
    <w:name w:val="label11"/>
    <w:basedOn w:val="56"/>
    <w:qFormat/>
    <w:uiPriority w:val="0"/>
    <w:rPr>
      <w:rFonts w:ascii="Calibri" w:hAnsi="Calibri" w:eastAsia="宋体" w:cs="Times New Roman"/>
    </w:rPr>
  </w:style>
  <w:style w:type="character" w:customStyle="1" w:styleId="429">
    <w:name w:val="rvts15"/>
    <w:qFormat/>
    <w:uiPriority w:val="0"/>
    <w:rPr>
      <w:rFonts w:hint="default" w:ascii="KNLe" w:hAnsi="KNLe"/>
      <w:color w:val="0000FF"/>
      <w:u w:val="single"/>
    </w:rPr>
  </w:style>
  <w:style w:type="character" w:customStyle="1" w:styleId="430">
    <w:name w:val="明显引用 字符1"/>
    <w:basedOn w:val="56"/>
    <w:qFormat/>
    <w:uiPriority w:val="30"/>
    <w:rPr>
      <w:rFonts w:ascii="宋体" w:hAnsi="宋体" w:cs="宋体"/>
      <w:i/>
      <w:iCs/>
      <w:color w:val="4F81BD"/>
      <w:sz w:val="22"/>
      <w:szCs w:val="22"/>
      <w:lang w:val="zh-CN" w:bidi="zh-CN"/>
    </w:rPr>
  </w:style>
  <w:style w:type="character" w:customStyle="1" w:styleId="431">
    <w:name w:val="label12"/>
    <w:basedOn w:val="56"/>
    <w:qFormat/>
    <w:uiPriority w:val="0"/>
    <w:rPr>
      <w:rFonts w:ascii="Calibri" w:hAnsi="Calibri" w:eastAsia="宋体" w:cs="Times New Roman"/>
    </w:rPr>
  </w:style>
  <w:style w:type="character" w:customStyle="1" w:styleId="432">
    <w:name w:val="first-child"/>
    <w:basedOn w:val="56"/>
    <w:qFormat/>
    <w:uiPriority w:val="0"/>
    <w:rPr>
      <w:rFonts w:ascii="Calibri" w:hAnsi="Calibri" w:eastAsia="宋体" w:cs="Times New Roman"/>
    </w:rPr>
  </w:style>
  <w:style w:type="character" w:customStyle="1" w:styleId="433">
    <w:name w:val="label10"/>
    <w:qFormat/>
    <w:uiPriority w:val="0"/>
    <w:rPr>
      <w:color w:val="1CC09F"/>
      <w:shd w:val="clear" w:color="auto" w:fill="FFFFFF"/>
    </w:rPr>
  </w:style>
  <w:style w:type="character" w:customStyle="1" w:styleId="434">
    <w:name w:val="cdropright"/>
    <w:basedOn w:val="56"/>
    <w:qFormat/>
    <w:uiPriority w:val="0"/>
    <w:rPr>
      <w:rFonts w:ascii="Calibri" w:hAnsi="Calibri" w:eastAsia="宋体" w:cs="Times New Roman"/>
    </w:rPr>
  </w:style>
  <w:style w:type="character" w:customStyle="1" w:styleId="435">
    <w:name w:val="1page sec3 Char2"/>
    <w:qFormat/>
    <w:uiPriority w:val="0"/>
    <w:rPr>
      <w:rFonts w:eastAsia="宋体"/>
      <w:kern w:val="2"/>
      <w:sz w:val="18"/>
      <w:szCs w:val="18"/>
      <w:lang w:val="en-US" w:eastAsia="zh-CN" w:bidi="ar-SA"/>
    </w:rPr>
  </w:style>
  <w:style w:type="character" w:customStyle="1" w:styleId="436">
    <w:name w:val="layui-this"/>
    <w:qFormat/>
    <w:uiPriority w:val="0"/>
    <w:rPr>
      <w:bdr w:val="single" w:color="EEEEEE" w:sz="6" w:space="0"/>
      <w:shd w:val="clear" w:color="auto" w:fill="FFFFFF"/>
    </w:rPr>
  </w:style>
  <w:style w:type="character" w:customStyle="1" w:styleId="437">
    <w:name w:val="button"/>
    <w:basedOn w:val="56"/>
    <w:qFormat/>
    <w:uiPriority w:val="0"/>
    <w:rPr>
      <w:rFonts w:ascii="Calibri" w:hAnsi="Calibri" w:eastAsia="宋体" w:cs="Times New Roman"/>
    </w:rPr>
  </w:style>
  <w:style w:type="character" w:customStyle="1" w:styleId="438">
    <w:name w:val="tmpztreemove_arrow"/>
    <w:basedOn w:val="56"/>
    <w:qFormat/>
    <w:uiPriority w:val="0"/>
    <w:rPr>
      <w:rFonts w:ascii="Calibri" w:hAnsi="Calibri" w:eastAsia="宋体" w:cs="Times New Roman"/>
    </w:rPr>
  </w:style>
  <w:style w:type="character" w:customStyle="1" w:styleId="439">
    <w:name w:val="label9"/>
    <w:qFormat/>
    <w:uiPriority w:val="0"/>
    <w:rPr>
      <w:color w:val="1AB394"/>
      <w:shd w:val="clear" w:color="auto" w:fill="FFFFFF"/>
    </w:rPr>
  </w:style>
  <w:style w:type="character" w:customStyle="1" w:styleId="440">
    <w:name w:val="引用 字符1"/>
    <w:basedOn w:val="56"/>
    <w:qFormat/>
    <w:uiPriority w:val="29"/>
    <w:rPr>
      <w:rFonts w:ascii="宋体" w:hAnsi="宋体" w:cs="宋体"/>
      <w:i/>
      <w:iCs/>
      <w:color w:val="404040"/>
      <w:sz w:val="22"/>
      <w:szCs w:val="22"/>
      <w:lang w:val="zh-CN" w:bidi="zh-CN"/>
    </w:rPr>
  </w:style>
  <w:style w:type="character" w:customStyle="1" w:styleId="441">
    <w:name w:val="引用 Char2"/>
    <w:basedOn w:val="56"/>
    <w:qFormat/>
    <w:uiPriority w:val="99"/>
    <w:rPr>
      <w:rFonts w:ascii="宋体" w:hAnsi="宋体" w:cs="宋体"/>
      <w:i/>
      <w:iCs/>
      <w:color w:val="000000"/>
      <w:sz w:val="22"/>
      <w:szCs w:val="22"/>
      <w:lang w:val="zh-CN" w:bidi="zh-CN"/>
    </w:rPr>
  </w:style>
  <w:style w:type="character" w:customStyle="1" w:styleId="442">
    <w:name w:val="cdropleft"/>
    <w:basedOn w:val="56"/>
    <w:qFormat/>
    <w:uiPriority w:val="0"/>
    <w:rPr>
      <w:rFonts w:ascii="Calibri" w:hAnsi="Calibri" w:eastAsia="宋体" w:cs="Times New Roman"/>
    </w:rPr>
  </w:style>
  <w:style w:type="paragraph" w:customStyle="1" w:styleId="443">
    <w:name w:val="空半行"/>
    <w:basedOn w:val="1"/>
    <w:qFormat/>
    <w:uiPriority w:val="0"/>
    <w:pPr>
      <w:adjustRightInd w:val="0"/>
      <w:spacing w:line="120" w:lineRule="exact"/>
      <w:jc w:val="both"/>
      <w:textAlignment w:val="baseline"/>
    </w:pPr>
    <w:rPr>
      <w:rFonts w:ascii="Times New Roman" w:hAnsi="Times New Roman" w:eastAsia="仿宋_GB2312"/>
      <w:color w:val="FFFFFF"/>
      <w:sz w:val="30"/>
      <w:szCs w:val="20"/>
      <w:lang w:eastAsia="zh-CN"/>
    </w:rPr>
  </w:style>
  <w:style w:type="paragraph" w:customStyle="1" w:styleId="444">
    <w:name w:val="aspnumfaautoadjustrightr"/>
    <w:unhideWhenUsed/>
    <w:qFormat/>
    <w:uiPriority w:val="0"/>
    <w:pPr>
      <w:widowControl w:val="0"/>
      <w:autoSpaceDE w:val="0"/>
      <w:autoSpaceDN w:val="0"/>
      <w:ind w:firstLine="720"/>
      <w:jc w:val="both"/>
    </w:pPr>
    <w:rPr>
      <w:rFonts w:hint="eastAsia" w:ascii="Times New Roman" w:hAnsi="Times New Roman" w:eastAsia="宋体" w:cs="Times New Roman"/>
      <w:sz w:val="21"/>
      <w:szCs w:val="22"/>
      <w:lang w:val="en-US" w:eastAsia="zh-CN" w:bidi="ar-SA"/>
    </w:rPr>
  </w:style>
  <w:style w:type="paragraph" w:customStyle="1" w:styleId="445">
    <w:name w:val="flNote"/>
    <w:basedOn w:val="1"/>
    <w:qFormat/>
    <w:uiPriority w:val="0"/>
    <w:pPr>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446">
    <w:name w:val="投标文件二级标题"/>
    <w:basedOn w:val="4"/>
    <w:qFormat/>
    <w:uiPriority w:val="0"/>
    <w:pPr>
      <w:keepNext/>
      <w:keepLines/>
      <w:tabs>
        <w:tab w:val="left" w:pos="576"/>
      </w:tabs>
      <w:spacing w:before="480" w:after="120" w:line="400" w:lineRule="exact"/>
      <w:ind w:left="223"/>
      <w:jc w:val="both"/>
    </w:pPr>
    <w:rPr>
      <w:rFonts w:ascii="Cambria" w:hAnsi="Cambria" w:eastAsia="宋体"/>
      <w:kern w:val="2"/>
      <w:sz w:val="32"/>
      <w:szCs w:val="28"/>
      <w:lang w:val="zh-CN" w:eastAsia="zh-CN"/>
    </w:rPr>
  </w:style>
  <w:style w:type="paragraph" w:customStyle="1" w:styleId="447">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sz w:val="24"/>
      <w:szCs w:val="24"/>
      <w:lang w:eastAsia="zh-CN"/>
    </w:rPr>
  </w:style>
  <w:style w:type="character" w:customStyle="1" w:styleId="448">
    <w:name w:val="三级条标题 Char"/>
    <w:qFormat/>
    <w:uiPriority w:val="0"/>
    <w:rPr>
      <w:rFonts w:hint="eastAsia" w:ascii="黑体" w:eastAsia="黑体"/>
      <w:sz w:val="21"/>
      <w:lang w:val="en-US" w:eastAsia="zh-CN" w:bidi="ar-SA"/>
    </w:rPr>
  </w:style>
  <w:style w:type="character" w:customStyle="1" w:styleId="449">
    <w:name w:val="二级条标题 Char"/>
    <w:qFormat/>
    <w:uiPriority w:val="0"/>
    <w:rPr>
      <w:rFonts w:hint="eastAsia" w:ascii="黑体" w:eastAsia="黑体"/>
      <w:sz w:val="21"/>
      <w:lang w:val="en-US" w:eastAsia="zh-CN" w:bidi="ar-SA"/>
    </w:rPr>
  </w:style>
  <w:style w:type="character" w:customStyle="1" w:styleId="450">
    <w:name w:val="mh-map_new-info"/>
    <w:qFormat/>
    <w:uiPriority w:val="0"/>
  </w:style>
  <w:style w:type="character" w:customStyle="1" w:styleId="451">
    <w:name w:val="一级条标题 Char"/>
    <w:qFormat/>
    <w:uiPriority w:val="0"/>
    <w:rPr>
      <w:rFonts w:hint="eastAsia" w:ascii="黑体" w:eastAsia="黑体"/>
      <w:sz w:val="21"/>
      <w:lang w:val="en-US" w:eastAsia="zh-CN" w:bidi="ar-SA"/>
    </w:rPr>
  </w:style>
  <w:style w:type="character" w:customStyle="1" w:styleId="452">
    <w:name w:val="111111 Char"/>
    <w:link w:val="453"/>
    <w:qFormat/>
    <w:uiPriority w:val="0"/>
    <w:rPr>
      <w:rFonts w:ascii="宋体" w:hAnsi="宋体" w:cs="宋体"/>
      <w:bCs/>
      <w:snapToGrid w:val="0"/>
      <w:color w:val="000000"/>
      <w:kern w:val="72"/>
      <w:sz w:val="21"/>
      <w:szCs w:val="21"/>
      <w:shd w:val="clear" w:color="auto" w:fill="FFFFFF"/>
    </w:rPr>
  </w:style>
  <w:style w:type="paragraph" w:customStyle="1" w:styleId="453">
    <w:name w:val="111111"/>
    <w:basedOn w:val="1"/>
    <w:link w:val="452"/>
    <w:qFormat/>
    <w:uiPriority w:val="0"/>
    <w:pPr>
      <w:widowControl/>
      <w:shd w:val="clear" w:color="auto" w:fill="FFFFFF"/>
      <w:snapToGrid w:val="0"/>
      <w:spacing w:line="360" w:lineRule="auto"/>
      <w:jc w:val="both"/>
    </w:pPr>
    <w:rPr>
      <w:rFonts w:ascii="宋体" w:hAnsi="宋体" w:eastAsia="宋体"/>
      <w:bCs/>
      <w:snapToGrid w:val="0"/>
      <w:color w:val="000000"/>
      <w:kern w:val="72"/>
      <w:sz w:val="21"/>
      <w:szCs w:val="21"/>
    </w:rPr>
  </w:style>
  <w:style w:type="paragraph" w:customStyle="1" w:styleId="454">
    <w:name w:val="四级条标题"/>
    <w:basedOn w:val="455"/>
    <w:next w:val="275"/>
    <w:qFormat/>
    <w:uiPriority w:val="0"/>
    <w:pPr>
      <w:numPr>
        <w:ilvl w:val="5"/>
        <w:numId w:val="3"/>
      </w:numPr>
      <w:tabs>
        <w:tab w:val="left" w:pos="780"/>
        <w:tab w:val="left" w:pos="1140"/>
      </w:tabs>
      <w:outlineLvl w:val="5"/>
    </w:pPr>
  </w:style>
  <w:style w:type="paragraph" w:customStyle="1" w:styleId="455">
    <w:name w:val="三级条标题"/>
    <w:basedOn w:val="456"/>
    <w:next w:val="275"/>
    <w:qFormat/>
    <w:uiPriority w:val="0"/>
    <w:pPr>
      <w:numPr>
        <w:ilvl w:val="0"/>
        <w:numId w:val="4"/>
      </w:numPr>
      <w:tabs>
        <w:tab w:val="left" w:pos="1140"/>
      </w:tabs>
      <w:ind w:left="1680" w:firstLine="0"/>
      <w:outlineLvl w:val="4"/>
    </w:pPr>
  </w:style>
  <w:style w:type="paragraph" w:customStyle="1" w:styleId="456">
    <w:name w:val="二级条标题"/>
    <w:basedOn w:val="457"/>
    <w:next w:val="275"/>
    <w:qFormat/>
    <w:uiPriority w:val="0"/>
    <w:pPr>
      <w:numPr>
        <w:ilvl w:val="1"/>
      </w:numPr>
      <w:tabs>
        <w:tab w:val="left" w:pos="780"/>
      </w:tabs>
      <w:ind w:left="105"/>
      <w:outlineLvl w:val="3"/>
    </w:pPr>
  </w:style>
  <w:style w:type="paragraph" w:customStyle="1" w:styleId="457">
    <w:name w:val="一级条标题"/>
    <w:next w:val="275"/>
    <w:qFormat/>
    <w:uiPriority w:val="0"/>
    <w:pPr>
      <w:numPr>
        <w:ilvl w:val="0"/>
        <w:numId w:val="3"/>
      </w:numPr>
      <w:outlineLvl w:val="2"/>
    </w:pPr>
    <w:rPr>
      <w:rFonts w:ascii="Times New Roman" w:hAnsi="Times New Roman" w:eastAsia="黑体" w:cs="Times New Roman"/>
      <w:sz w:val="21"/>
      <w:lang w:val="en-US" w:eastAsia="zh-CN" w:bidi="ar-SA"/>
    </w:rPr>
  </w:style>
  <w:style w:type="paragraph" w:customStyle="1" w:styleId="458">
    <w:name w:val="Char Char1"/>
    <w:basedOn w:val="15"/>
    <w:qFormat/>
    <w:uiPriority w:val="0"/>
    <w:pPr>
      <w:shd w:val="clear" w:color="auto" w:fill="000080"/>
      <w:adjustRightInd w:val="0"/>
      <w:snapToGrid w:val="0"/>
      <w:spacing w:line="360" w:lineRule="auto"/>
      <w:jc w:val="both"/>
    </w:pPr>
    <w:rPr>
      <w:rFonts w:ascii="Tahoma" w:hAnsi="Tahoma" w:eastAsia="方正小标宋_GBK"/>
      <w:snapToGrid w:val="0"/>
      <w:kern w:val="72"/>
      <w:sz w:val="24"/>
      <w:szCs w:val="24"/>
    </w:rPr>
  </w:style>
  <w:style w:type="paragraph" w:customStyle="1" w:styleId="459">
    <w:name w:val="标题8"/>
    <w:basedOn w:val="10"/>
    <w:qFormat/>
    <w:uiPriority w:val="0"/>
    <w:pPr>
      <w:keepNext w:val="0"/>
      <w:keepLines w:val="0"/>
      <w:widowControl w:val="0"/>
      <w:numPr>
        <w:ilvl w:val="7"/>
        <w:numId w:val="5"/>
      </w:numPr>
      <w:tabs>
        <w:tab w:val="left" w:pos="0"/>
        <w:tab w:val="clear" w:pos="1440"/>
      </w:tabs>
      <w:spacing w:before="0" w:after="0" w:line="360" w:lineRule="auto"/>
      <w:jc w:val="both"/>
    </w:pPr>
    <w:rPr>
      <w:rFonts w:eastAsia="仿宋_GB2312"/>
      <w:snapToGrid w:val="0"/>
      <w:kern w:val="2"/>
      <w:sz w:val="30"/>
      <w:szCs w:val="24"/>
    </w:rPr>
  </w:style>
  <w:style w:type="paragraph" w:customStyle="1" w:styleId="460">
    <w:name w:val="Char Char Char Char1 Char Char Char"/>
    <w:basedOn w:val="15"/>
    <w:qFormat/>
    <w:uiPriority w:val="0"/>
    <w:pPr>
      <w:shd w:val="clear" w:color="auto" w:fill="000080"/>
      <w:adjustRightInd w:val="0"/>
      <w:snapToGrid w:val="0"/>
      <w:spacing w:line="360" w:lineRule="auto"/>
      <w:jc w:val="both"/>
    </w:pPr>
    <w:rPr>
      <w:rFonts w:ascii="方正小标宋_GBK" w:hAnsi="方正仿宋_GBK" w:eastAsia="方正小标宋_GBK"/>
      <w:snapToGrid w:val="0"/>
      <w:kern w:val="72"/>
      <w:sz w:val="84"/>
      <w:szCs w:val="84"/>
    </w:rPr>
  </w:style>
  <w:style w:type="paragraph" w:customStyle="1" w:styleId="461">
    <w:name w:val="五级条标题"/>
    <w:basedOn w:val="454"/>
    <w:next w:val="275"/>
    <w:qFormat/>
    <w:uiPriority w:val="0"/>
    <w:pPr>
      <w:numPr>
        <w:ilvl w:val="6"/>
      </w:numPr>
      <w:outlineLvl w:val="6"/>
    </w:pPr>
  </w:style>
  <w:style w:type="paragraph" w:customStyle="1" w:styleId="4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3">
    <w:name w:val="GP正文(首行缩进)"/>
    <w:basedOn w:val="1"/>
    <w:qFormat/>
    <w:uiPriority w:val="0"/>
    <w:pPr>
      <w:spacing w:line="360" w:lineRule="auto"/>
      <w:ind w:firstLine="200" w:firstLineChars="200"/>
      <w:jc w:val="both"/>
    </w:pPr>
    <w:rPr>
      <w:rFonts w:ascii="Times New Roman" w:hAnsi="方正仿宋_GBK" w:eastAsia="宋体" w:cs="方正仿宋_GBK"/>
      <w:snapToGrid w:val="0"/>
      <w:kern w:val="2"/>
      <w:sz w:val="24"/>
      <w:szCs w:val="21"/>
      <w:lang w:eastAsia="zh-CN"/>
    </w:rPr>
  </w:style>
  <w:style w:type="paragraph" w:customStyle="1" w:styleId="464">
    <w:name w:val="标题9"/>
    <w:basedOn w:val="11"/>
    <w:qFormat/>
    <w:uiPriority w:val="0"/>
    <w:pPr>
      <w:keepNext w:val="0"/>
      <w:keepLines w:val="0"/>
      <w:widowControl w:val="0"/>
      <w:numPr>
        <w:ilvl w:val="8"/>
        <w:numId w:val="5"/>
      </w:numPr>
      <w:tabs>
        <w:tab w:val="left" w:pos="0"/>
        <w:tab w:val="clear" w:pos="1584"/>
      </w:tabs>
      <w:spacing w:before="0" w:after="0" w:line="360" w:lineRule="auto"/>
      <w:jc w:val="both"/>
    </w:pPr>
    <w:rPr>
      <w:rFonts w:eastAsia="仿宋_GB2312"/>
      <w:snapToGrid w:val="0"/>
      <w:kern w:val="2"/>
      <w:sz w:val="30"/>
      <w:szCs w:val="21"/>
    </w:rPr>
  </w:style>
  <w:style w:type="paragraph" w:customStyle="1" w:styleId="465">
    <w:name w:val="封面标准文稿编辑信息"/>
    <w:qFormat/>
    <w:uiPriority w:val="0"/>
    <w:pPr>
      <w:numPr>
        <w:ilvl w:val="3"/>
        <w:numId w:val="3"/>
      </w:numPr>
      <w:spacing w:before="180" w:line="180" w:lineRule="exact"/>
      <w:ind w:left="0"/>
      <w:jc w:val="center"/>
    </w:pPr>
    <w:rPr>
      <w:rFonts w:ascii="宋体" w:hAnsi="Times New Roman" w:eastAsia="宋体" w:cs="Times New Roman"/>
      <w:sz w:val="21"/>
      <w:lang w:val="en-US" w:eastAsia="zh-CN" w:bidi="ar-SA"/>
    </w:rPr>
  </w:style>
  <w:style w:type="paragraph" w:customStyle="1" w:styleId="466">
    <w:name w:val="标题2"/>
    <w:basedOn w:val="4"/>
    <w:qFormat/>
    <w:uiPriority w:val="0"/>
    <w:pPr>
      <w:numPr>
        <w:ilvl w:val="1"/>
        <w:numId w:val="5"/>
      </w:numPr>
      <w:tabs>
        <w:tab w:val="left" w:pos="360"/>
      </w:tabs>
      <w:spacing w:line="360" w:lineRule="auto"/>
      <w:jc w:val="both"/>
    </w:pPr>
    <w:rPr>
      <w:rFonts w:ascii="Arial" w:hAnsi="Arial" w:eastAsia="仿宋_GB2312"/>
      <w:kern w:val="72"/>
      <w:sz w:val="30"/>
      <w:szCs w:val="32"/>
    </w:rPr>
  </w:style>
  <w:style w:type="paragraph" w:customStyle="1" w:styleId="467">
    <w:name w:val="_Style 3"/>
    <w:basedOn w:val="1"/>
    <w:next w:val="1"/>
    <w:unhideWhenUsed/>
    <w:qFormat/>
    <w:uiPriority w:val="99"/>
    <w:pPr>
      <w:widowControl/>
      <w:pBdr>
        <w:top w:val="single" w:color="auto" w:sz="6" w:space="1"/>
      </w:pBdr>
      <w:jc w:val="center"/>
    </w:pPr>
    <w:rPr>
      <w:rFonts w:ascii="Arial" w:hAnsi="Arial" w:eastAsia="仿宋_GB2312" w:cs="方正仿宋_GBK"/>
      <w:b/>
      <w:snapToGrid w:val="0"/>
      <w:vanish/>
      <w:kern w:val="2"/>
      <w:sz w:val="16"/>
      <w:szCs w:val="16"/>
      <w:lang w:eastAsia="zh-CN"/>
    </w:rPr>
  </w:style>
  <w:style w:type="paragraph" w:customStyle="1" w:styleId="468">
    <w:name w:val="列出段落7"/>
    <w:basedOn w:val="1"/>
    <w:qFormat/>
    <w:uiPriority w:val="0"/>
    <w:pPr>
      <w:ind w:firstLine="420" w:firstLineChars="200"/>
      <w:jc w:val="both"/>
    </w:pPr>
    <w:rPr>
      <w:rFonts w:eastAsia="宋体" w:cs="方正仿宋_GBK"/>
      <w:snapToGrid w:val="0"/>
      <w:kern w:val="72"/>
      <w:sz w:val="24"/>
      <w:lang w:eastAsia="zh-CN"/>
    </w:rPr>
  </w:style>
  <w:style w:type="paragraph" w:customStyle="1" w:styleId="469">
    <w:name w:val="☆ 正文"/>
    <w:basedOn w:val="1"/>
    <w:qFormat/>
    <w:uiPriority w:val="0"/>
    <w:pPr>
      <w:adjustRightInd w:val="0"/>
      <w:snapToGrid w:val="0"/>
      <w:ind w:firstLine="200" w:firstLineChars="200"/>
    </w:pPr>
    <w:rPr>
      <w:rFonts w:eastAsia="宋体"/>
      <w:kern w:val="2"/>
      <w:sz w:val="24"/>
      <w:lang w:eastAsia="zh-CN"/>
    </w:rPr>
  </w:style>
  <w:style w:type="paragraph" w:customStyle="1" w:styleId="470">
    <w:name w:val="普通正文"/>
    <w:basedOn w:val="1"/>
    <w:link w:val="471"/>
    <w:qFormat/>
    <w:uiPriority w:val="0"/>
    <w:pPr>
      <w:adjustRightInd w:val="0"/>
      <w:spacing w:before="120" w:after="120" w:line="360" w:lineRule="auto"/>
      <w:ind w:firstLine="480"/>
    </w:pPr>
    <w:rPr>
      <w:rFonts w:ascii="Arial" w:hAnsi="Arial" w:eastAsia="宋体"/>
      <w:snapToGrid w:val="0"/>
      <w:sz w:val="24"/>
      <w:szCs w:val="24"/>
    </w:rPr>
  </w:style>
  <w:style w:type="character" w:customStyle="1" w:styleId="471">
    <w:name w:val="普通正文 Char"/>
    <w:link w:val="470"/>
    <w:qFormat/>
    <w:uiPriority w:val="0"/>
    <w:rPr>
      <w:rFonts w:ascii="Arial" w:hAnsi="Arial"/>
      <w:snapToGrid w:val="0"/>
      <w:sz w:val="24"/>
      <w:szCs w:val="24"/>
    </w:rPr>
  </w:style>
  <w:style w:type="paragraph" w:customStyle="1" w:styleId="472">
    <w:name w:val="标题6"/>
    <w:basedOn w:val="8"/>
    <w:qFormat/>
    <w:uiPriority w:val="0"/>
    <w:pPr>
      <w:keepNext w:val="0"/>
      <w:keepLines w:val="0"/>
      <w:widowControl w:val="0"/>
      <w:numPr>
        <w:ilvl w:val="5"/>
        <w:numId w:val="5"/>
      </w:numPr>
      <w:tabs>
        <w:tab w:val="left" w:pos="0"/>
        <w:tab w:val="clear" w:pos="1440"/>
      </w:tabs>
      <w:spacing w:before="0" w:after="0" w:line="360" w:lineRule="auto"/>
      <w:jc w:val="both"/>
    </w:pPr>
    <w:rPr>
      <w:rFonts w:eastAsia="仿宋_GB2312"/>
      <w:b w:val="0"/>
      <w:bCs/>
      <w:snapToGrid w:val="0"/>
      <w:kern w:val="72"/>
      <w:sz w:val="30"/>
      <w:szCs w:val="24"/>
    </w:rPr>
  </w:style>
  <w:style w:type="character" w:customStyle="1" w:styleId="473">
    <w:name w:val="纯文本 字符"/>
    <w:qFormat/>
    <w:uiPriority w:val="0"/>
    <w:rPr>
      <w:rFonts w:ascii="宋体" w:hAnsi="Courier New" w:eastAsia="宋体" w:cs="Times New Roman"/>
      <w:szCs w:val="21"/>
    </w:rPr>
  </w:style>
  <w:style w:type="character" w:customStyle="1" w:styleId="474">
    <w:name w:val="页眉 字符"/>
    <w:qFormat/>
    <w:uiPriority w:val="99"/>
    <w:rPr>
      <w:sz w:val="18"/>
      <w:szCs w:val="18"/>
    </w:rPr>
  </w:style>
  <w:style w:type="paragraph" w:customStyle="1" w:styleId="475">
    <w:name w:val="样式 首行缩进:  0.74 厘米"/>
    <w:basedOn w:val="1"/>
    <w:qFormat/>
    <w:uiPriority w:val="0"/>
    <w:pPr>
      <w:ind w:firstLine="420"/>
      <w:jc w:val="both"/>
    </w:pPr>
    <w:rPr>
      <w:rFonts w:ascii="Arial" w:hAnsi="Arial" w:eastAsia="仿宋_GB2312" w:cs="Arial"/>
      <w:bCs/>
      <w:kern w:val="2"/>
      <w:sz w:val="28"/>
      <w:szCs w:val="28"/>
      <w:lang w:eastAsia="zh-CN"/>
    </w:rPr>
  </w:style>
  <w:style w:type="paragraph" w:customStyle="1" w:styleId="476">
    <w:name w:val="05. SUYI 正文  (Regular)"/>
    <w:basedOn w:val="1"/>
    <w:qFormat/>
    <w:uiPriority w:val="0"/>
    <w:pPr>
      <w:spacing w:line="360" w:lineRule="auto"/>
      <w:ind w:firstLine="200" w:firstLineChars="200"/>
      <w:jc w:val="both"/>
    </w:pPr>
    <w:rPr>
      <w:rFonts w:ascii="Times New Roman" w:hAnsi="Times New Roman" w:eastAsia="宋体" w:cs="宋体"/>
      <w:snapToGrid w:val="0"/>
      <w:color w:val="3B3838"/>
      <w:kern w:val="72"/>
      <w:sz w:val="24"/>
      <w:szCs w:val="20"/>
      <w:lang w:eastAsia="zh-CN"/>
    </w:rPr>
  </w:style>
  <w:style w:type="paragraph" w:customStyle="1" w:styleId="477">
    <w:name w:val="正文_0_1_1"/>
    <w:qFormat/>
    <w:uiPriority w:val="0"/>
    <w:pPr>
      <w:widowControl w:val="0"/>
      <w:jc w:val="both"/>
    </w:pPr>
    <w:rPr>
      <w:rFonts w:ascii="Times New Roman" w:hAnsi="Times New Roman" w:eastAsia="宋体" w:cs="Times New Roman"/>
      <w:szCs w:val="24"/>
      <w:lang w:val="en-US" w:eastAsia="zh-CN" w:bidi="ar-SA"/>
    </w:rPr>
  </w:style>
  <w:style w:type="character" w:customStyle="1" w:styleId="478">
    <w:name w:val="明显引用 Char2"/>
    <w:qFormat/>
    <w:uiPriority w:val="99"/>
    <w:rPr>
      <w:rFonts w:ascii="方正小标宋_GBK" w:hAnsi="方正仿宋_GBK" w:cs="方正仿宋_GBK"/>
      <w:b/>
      <w:bCs/>
      <w:i/>
      <w:iCs/>
      <w:snapToGrid w:val="0"/>
      <w:color w:val="4F81BD"/>
      <w:kern w:val="72"/>
      <w:sz w:val="24"/>
      <w:szCs w:val="84"/>
    </w:rPr>
  </w:style>
  <w:style w:type="paragraph" w:customStyle="1" w:styleId="479">
    <w:name w:val="Char3"/>
    <w:basedOn w:val="1"/>
    <w:qFormat/>
    <w:uiPriority w:val="0"/>
    <w:pPr>
      <w:widowControl/>
      <w:spacing w:after="160" w:line="240" w:lineRule="exact"/>
    </w:pPr>
    <w:rPr>
      <w:rFonts w:ascii="Verdana" w:hAnsi="Verdana" w:eastAsia="仿宋_GB2312"/>
      <w:sz w:val="24"/>
      <w:szCs w:val="20"/>
    </w:rPr>
  </w:style>
  <w:style w:type="paragraph" w:customStyle="1" w:styleId="480">
    <w:name w:val="Char72"/>
    <w:basedOn w:val="15"/>
    <w:qFormat/>
    <w:uiPriority w:val="0"/>
    <w:pPr>
      <w:shd w:val="clear" w:color="auto" w:fill="000080"/>
      <w:adjustRightInd w:val="0"/>
      <w:snapToGrid w:val="0"/>
      <w:spacing w:line="360" w:lineRule="auto"/>
      <w:jc w:val="both"/>
    </w:pPr>
    <w:rPr>
      <w:rFonts w:ascii="Tahoma" w:hAnsi="Tahoma"/>
      <w:kern w:val="2"/>
      <w:sz w:val="24"/>
      <w:szCs w:val="24"/>
    </w:rPr>
  </w:style>
  <w:style w:type="character" w:customStyle="1" w:styleId="481">
    <w:name w:val="style4"/>
    <w:qFormat/>
    <w:uiPriority w:val="0"/>
  </w:style>
  <w:style w:type="character" w:customStyle="1" w:styleId="482">
    <w:name w:val="未处理的提及1"/>
    <w:unhideWhenUsed/>
    <w:qFormat/>
    <w:uiPriority w:val="99"/>
    <w:rPr>
      <w:color w:val="605E5C"/>
      <w:shd w:val="clear" w:color="auto" w:fill="E1DFDD"/>
    </w:rPr>
  </w:style>
  <w:style w:type="character" w:customStyle="1" w:styleId="483">
    <w:name w:val="Body Text Indent 2 Char"/>
    <w:qFormat/>
    <w:uiPriority w:val="0"/>
    <w:rPr>
      <w:rFonts w:eastAsia="宋体"/>
      <w:kern w:val="2"/>
      <w:sz w:val="21"/>
      <w:szCs w:val="24"/>
      <w:lang w:val="en-US" w:eastAsia="zh-CN" w:bidi="ar-SA"/>
    </w:rPr>
  </w:style>
  <w:style w:type="paragraph" w:customStyle="1" w:styleId="484">
    <w:name w:val="正文 + 行距: 固定值 20 磅"/>
    <w:basedOn w:val="1"/>
    <w:qFormat/>
    <w:uiPriority w:val="0"/>
    <w:pPr>
      <w:spacing w:line="400" w:lineRule="exact"/>
      <w:ind w:firstLine="716" w:firstLineChars="341"/>
      <w:jc w:val="both"/>
    </w:pPr>
    <w:rPr>
      <w:rFonts w:ascii="Times New Roman" w:hAnsi="Times New Roman" w:eastAsia="宋体"/>
      <w:kern w:val="2"/>
      <w:sz w:val="21"/>
      <w:szCs w:val="20"/>
      <w:lang w:eastAsia="zh-CN"/>
    </w:rPr>
  </w:style>
  <w:style w:type="paragraph" w:customStyle="1" w:styleId="485">
    <w:name w:val="标题 311"/>
    <w:basedOn w:val="1"/>
    <w:next w:val="1"/>
    <w:qFormat/>
    <w:uiPriority w:val="0"/>
    <w:pPr>
      <w:keepNext/>
      <w:keepLines/>
      <w:shd w:val="clear" w:color="auto" w:fill="FFFFFF"/>
      <w:spacing w:line="390" w:lineRule="atLeast"/>
      <w:outlineLvl w:val="2"/>
    </w:pPr>
    <w:rPr>
      <w:rFonts w:ascii="宋体" w:hAnsi="宋体" w:eastAsia="宋体" w:cs="Times New Roman"/>
      <w:b/>
      <w:sz w:val="21"/>
      <w:szCs w:val="21"/>
    </w:rPr>
  </w:style>
  <w:style w:type="paragraph" w:customStyle="1" w:styleId="486">
    <w:name w:val="标题 411"/>
    <w:basedOn w:val="1"/>
    <w:next w:val="1"/>
    <w:qFormat/>
    <w:uiPriority w:val="0"/>
    <w:pPr>
      <w:keepNext/>
      <w:keepLines/>
      <w:spacing w:before="120" w:after="120"/>
      <w:outlineLvl w:val="3"/>
    </w:pPr>
    <w:rPr>
      <w:rFonts w:ascii="Arial" w:hAnsi="Arial" w:eastAsia="黑体" w:cs="Times New Roman"/>
      <w:b/>
      <w:sz w:val="28"/>
      <w:lang w:val="en-US"/>
    </w:rPr>
  </w:style>
  <w:style w:type="paragraph" w:customStyle="1" w:styleId="487">
    <w:name w:val="（RZM政采）正文-首行缩进2"/>
    <w:basedOn w:val="1"/>
    <w:qFormat/>
    <w:uiPriority w:val="0"/>
    <w:pPr>
      <w:adjustRightInd w:val="0"/>
      <w:snapToGrid w:val="0"/>
      <w:spacing w:line="360" w:lineRule="auto"/>
      <w:ind w:firstLine="200" w:firstLineChars="200"/>
    </w:pPr>
    <w:rPr>
      <w:rFonts w:ascii="宋体" w:hAnsi="宋体"/>
      <w:szCs w:val="21"/>
      <w:lang w:val="zh-CN"/>
    </w:rPr>
  </w:style>
  <w:style w:type="paragraph" w:customStyle="1" w:styleId="488">
    <w:name w:val="页脚1"/>
    <w:basedOn w:val="1"/>
    <w:qFormat/>
    <w:uiPriority w:val="0"/>
    <w:pPr>
      <w:tabs>
        <w:tab w:val="center" w:pos="4153"/>
        <w:tab w:val="right" w:pos="8306"/>
      </w:tabs>
      <w:jc w:val="left"/>
    </w:pPr>
    <w:rPr>
      <w:rFonts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Company>
  <Pages>69</Pages>
  <Words>19871</Words>
  <Characters>21126</Characters>
  <Lines>446</Lines>
  <Paragraphs>125</Paragraphs>
  <TotalTime>30</TotalTime>
  <ScaleCrop>false</ScaleCrop>
  <LinksUpToDate>false</LinksUpToDate>
  <CharactersWithSpaces>21784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2024-03-28T06:58:00Z</dcterms:created>
  <dc:creator>招标代</dc:creator>
  <cp:lastModifiedBy>.</cp:lastModifiedBy>
  <cp:lastPrinted>2025-05-15T04:01:00Z</cp:lastPrinted>
  <dcterms:modified xsi:type="dcterms:W3CDTF">2025-06-26T02:03:25Z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eyJoZGlkIjoiNmIzZDU4ZDMxMzNiMTA1M2Q5MGY2MGNhNjEwNWJmYjQiLCJ1c2VySWQiOiIxMzgyNzI3ODYxIn0=</vt:lpwstr>
  </property>
  <property fmtid="{D5CDD505-2E9C-101B-9397-08002B2CF9AE}" pid="3" name="KSOProductBuildVer">
    <vt:lpwstr>2052-12.1.0.21541</vt:lpwstr>
  </property>
  <property fmtid="{D5CDD505-2E9C-101B-9397-08002B2CF9AE}" pid="4" name="ICV">
    <vt:lpwstr>B954A0BFC2114BC3A483B6EC2C73135C_13</vt:lpwstr>
  </property>
</Properties>
</file>