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Arial" w:hAnsi="Arial" w:eastAsia="黑体"/>
          <w:b/>
          <w:bCs/>
          <w:color w:val="000000"/>
          <w:sz w:val="84"/>
          <w:szCs w:val="24"/>
        </w:rPr>
      </w:r>
      <w:r/>
    </w:p>
    <w:p>
      <w:pPr>
        <w:pStyle w:val="949"/>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医院临床质量闭环管理系统</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871"/>
        <w:ind w:firstLine="1506"/>
        <w:rPr>
          <w:rFonts w:hint="eastAsia" w:eastAsia="宋体" w:cs="Times New Roman"/>
          <w:b/>
          <w:color w:val="ff0000"/>
          <w:sz w:val="30"/>
          <w:szCs w:val="30"/>
          <w:lang w:eastAsia="zh-CN"/>
        </w:rPr>
      </w:pPr>
      <w:r>
        <w:rPr>
          <w:rFonts w:hint="eastAsia" w:ascii="Times New Roman" w:hAnsi="Times New Roman" w:eastAsia="宋体" w:cs="Times New Roman"/>
          <w:b/>
          <w:color w:val="000000"/>
          <w:sz w:val="30"/>
          <w:szCs w:val="30"/>
          <w:lang w:eastAsia="zh-CN"/>
        </w:rPr>
        <w:t xml:space="preserve">项目编号：JSZC-3201</w:t>
      </w:r>
      <w:r>
        <w:rPr>
          <w:rFonts w:hint="eastAsia" w:ascii="Times New Roman" w:hAnsi="Times New Roman" w:eastAsia="宋体" w:cs="Times New Roman"/>
          <w:b/>
          <w:color w:val="000000"/>
          <w:sz w:val="30"/>
          <w:szCs w:val="30"/>
          <w:lang w:val="en-US" w:eastAsia="zh-CN"/>
        </w:rPr>
        <w:t xml:space="preserve">00</w:t>
      </w:r>
      <w:r>
        <w:rPr>
          <w:rFonts w:hint="eastAsia" w:ascii="Times New Roman" w:hAnsi="Times New Roman" w:eastAsia="宋体" w:cs="Times New Roman"/>
          <w:b/>
          <w:color w:val="000000"/>
          <w:sz w:val="30"/>
          <w:szCs w:val="30"/>
          <w:lang w:eastAsia="zh-CN"/>
        </w:rPr>
        <w:t xml:space="preserve">-JZCG-G20</w:t>
      </w:r>
      <w:r>
        <w:rPr>
          <w:rFonts w:hint="eastAsia" w:ascii="Times New Roman" w:hAnsi="Times New Roman" w:eastAsia="宋体" w:cs="Times New Roman"/>
          <w:b/>
          <w:color w:val="000000"/>
          <w:sz w:val="30"/>
          <w:szCs w:val="30"/>
          <w:lang w:val="en-US" w:eastAsia="zh-CN"/>
        </w:rPr>
        <w:t xml:space="preserve">26</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val="en-US" w:eastAsia="zh-CN"/>
        </w:rPr>
        <w:t xml:space="preserve">0118</w:t>
      </w:r>
      <w:r>
        <w:rPr>
          <w:rFonts w:hint="eastAsia" w:ascii="Times New Roman" w:hAnsi="Times New Roman" w:eastAsia="宋体" w:cs="Times New Roman"/>
          <w:b/>
          <w:color w:val="000000"/>
          <w:sz w:val="30"/>
          <w:szCs w:val="30"/>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ind w:left="0" w:right="0"/>
        <w:jc w:val="center"/>
        <w:keepLines w:val="0"/>
        <w:keepNext w:val="0"/>
        <w:spacing w:before="0" w:beforeAutospacing="0" w:after="0" w:afterAutospacing="0"/>
        <w:widowControl w:val="off"/>
        <w:suppressLineNumbers w:val="0"/>
      </w:pPr>
      <w:r/>
      <w:r/>
    </w:p>
    <w:p>
      <w:pPr>
        <w:pStyle w:val="883"/>
      </w:p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83"/>
        <w:rPr>
          <w:rFonts w:hint="eastAsia"/>
          <w:lang w:eastAsia="zh-CN"/>
        </w:rPr>
      </w:pPr>
      <w:r>
        <w:rPr>
          <w:rFonts w:hint="eastAsia"/>
          <w:lang w:eastAsia="zh-CN"/>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rPr>
          <w:rFonts w:hint="eastAsia" w:ascii="Arial" w:hAnsi="Arial"/>
          <w:color w:val="000000"/>
          <w:sz w:val="24"/>
          <w:szCs w:val="24"/>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rPr>
          <w:rFonts w:hint="eastAsia"/>
        </w:rPr>
      </w:pPr>
      <w:r>
        <w:rPr>
          <w:rFonts w:hint="eastAsia"/>
        </w:rPr>
      </w:r>
      <w:r/>
    </w:p>
    <w:p>
      <w:pPr>
        <w:pStyle w:val="871"/>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97</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100</w:t>
      </w:r>
      <w:r>
        <w:rPr>
          <w:rFonts w:hint="eastAsia" w:ascii="黑体" w:hAnsi="宋体" w:eastAsia="黑体" w:cs="Times New Roman"/>
          <w:color w:val="000000"/>
          <w:sz w:val="36"/>
          <w:szCs w:val="21"/>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sz w:val="24"/>
          <w:szCs w:val="24"/>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宋体" w:hAnsi="宋体"/>
          <w:sz w:val="24"/>
          <w:szCs w:val="24"/>
        </w:rPr>
      </w:r>
      <w:r/>
    </w:p>
    <w:p>
      <w:pPr>
        <w:pStyle w:val="871"/>
        <w:ind w:firstLine="480"/>
        <w:spacing w:line="24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受南京市中西医结合医院委托，</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w:t>
      </w:r>
      <w:bookmarkStart w:id="12" w:name="OLE_LINK1"/>
      <w:r>
        <w:rPr>
          <w:rFonts w:hint="eastAsia" w:ascii="宋体" w:hAnsi="宋体" w:eastAsia="宋体" w:cs="Times New Roman"/>
          <w:color w:val="000000"/>
          <w:sz w:val="24"/>
          <w:szCs w:val="24"/>
          <w:lang w:eastAsia="zh-CN"/>
        </w:rPr>
        <w:t xml:space="preserve">医院临床质量闭环管理系统</w:t>
      </w:r>
      <w:bookmarkEnd w:id="12"/>
      <w:r>
        <w:rPr>
          <w:rFonts w:hint="eastAsia" w:ascii="宋体" w:hAnsi="宋体" w:eastAsia="宋体" w:cs="Times New Roman"/>
          <w:color w:val="000000"/>
          <w:sz w:val="24"/>
          <w:szCs w:val="24"/>
          <w:lang w:eastAsia="zh-CN"/>
        </w:rPr>
        <w:t xml:space="preserve">进行公开招标采购，欢迎符合条件的供应商投标。</w:t>
      </w:r>
      <w:r>
        <w:rPr>
          <w:rFonts w:hint="eastAsia" w:ascii="宋体" w:hAnsi="宋体" w:eastAsia="宋体" w:cs="Times New Roman"/>
          <w:color w:val="000000"/>
          <w:sz w:val="24"/>
          <w:szCs w:val="24"/>
          <w:lang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olor w:val="000000"/>
          <w:sz w:val="24"/>
          <w:szCs w:val="24"/>
          <w:lang w:val="en-US"/>
        </w:rPr>
      </w:pPr>
      <w:r/>
      <w:bookmarkEnd w:id="11"/>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0118</w:t>
      </w:r>
      <w:r>
        <w:rPr>
          <w:rFonts w:ascii="宋体" w:hAnsi="宋体"/>
          <w:color w:val="000000"/>
          <w:sz w:val="24"/>
          <w:szCs w:val="24"/>
          <w:lang w:val="en-US"/>
        </w:rPr>
      </w:r>
      <w:r/>
    </w:p>
    <w:p>
      <w:pPr>
        <w:pStyle w:val="871"/>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医院临床质量闭环管理系统</w:t>
      </w:r>
      <w:r>
        <w:rPr>
          <w:rFonts w:hint="eastAsia" w:ascii="宋体" w:hAnsi="宋体" w:eastAsia="宋体"/>
          <w:color w:val="000000"/>
          <w:sz w:val="24"/>
          <w:szCs w:val="24"/>
          <w:lang w:eastAsia="zh-CN"/>
        </w:rPr>
      </w:r>
      <w:r/>
    </w:p>
    <w:p>
      <w:pPr>
        <w:pStyle w:val="871"/>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420万元</w:t>
      </w:r>
      <w:r>
        <w:rPr>
          <w:rFonts w:ascii="宋体" w:hAnsi="宋体"/>
          <w:color w:val="000000"/>
          <w:sz w:val="24"/>
          <w:szCs w:val="24"/>
        </w:rPr>
      </w:r>
      <w:r/>
    </w:p>
    <w:p>
      <w:pPr>
        <w:pStyle w:val="871"/>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420万元</w:t>
      </w:r>
      <w:r>
        <w:rPr>
          <w:rFonts w:hint="eastAsia" w:ascii="宋体" w:hAnsi="宋体" w:eastAsia="宋体" w:cs="宋体"/>
          <w:color w:val="000000"/>
          <w:sz w:val="24"/>
          <w:szCs w:val="24"/>
          <w:highlight w:val="yellow"/>
        </w:rPr>
      </w:r>
      <w:r/>
    </w:p>
    <w:p>
      <w:pPr>
        <w:pStyle w:val="871"/>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w:t>
      </w:r>
      <w:r>
        <w:rPr>
          <w:rFonts w:hint="eastAsia" w:ascii="宋体" w:hAnsi="宋体" w:cs="宋体"/>
          <w:sz w:val="24"/>
          <w:szCs w:val="22"/>
        </w:rPr>
        <w:t xml:space="preserve">包括临床质量闭环过程管理、闭环业务流程配置、闭环业务流程整合、临床质量闭环分析</w:t>
      </w:r>
      <w:r>
        <w:rPr>
          <w:rFonts w:hint="eastAsia" w:ascii="宋体" w:hAnsi="宋体" w:cs="宋体"/>
          <w:color w:val="000000"/>
          <w:sz w:val="24"/>
          <w:szCs w:val="22"/>
          <w:lang w:val="en-US" w:eastAsia="zh-CN"/>
        </w:rPr>
        <w:t xml:space="preserve">等</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1"/>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1095天</w:t>
      </w:r>
      <w:r>
        <w:rPr>
          <w:rFonts w:hint="eastAsia" w:ascii="宋体" w:hAnsi="宋体" w:cs="宋体"/>
          <w:color w:val="000000"/>
          <w:sz w:val="24"/>
          <w:szCs w:val="24"/>
          <w:highlight w:val="yellow"/>
          <w:lang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w:t>
      </w:r>
      <w:r>
        <w:rPr>
          <w:rFonts w:hint="eastAsia" w:ascii="宋体" w:hAnsi="宋体" w:eastAsia="宋体" w:cs="宋体"/>
          <w:sz w:val="24"/>
          <w:szCs w:val="24"/>
          <w:highlight w:val="none"/>
          <w:lang w:val="en-US" w:eastAsia="zh-CN"/>
        </w:rPr>
        <w:t xml:space="preserve">品投标。</w:t>
      </w:r>
      <w:r>
        <w:rPr>
          <w:rFonts w:hint="eastAsia" w:ascii="宋体" w:hAnsi="宋体" w:eastAsia="宋体" w:cs="Times New Roman"/>
          <w:color w:val="000000"/>
          <w:sz w:val="24"/>
          <w:szCs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 w:name="_Toc28359003"/>
      <w:r/>
      <w:bookmarkStart w:id="14" w:name="_Toc38985264"/>
      <w:r/>
      <w:bookmarkStart w:id="15" w:name="_Toc35393622"/>
      <w:r/>
      <w:bookmarkStart w:id="16" w:name="_Toc28359080"/>
      <w:r/>
      <w:bookmarkStart w:id="17" w:name="_Toc35393791"/>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olor w:val="000000"/>
          <w:sz w:val="24"/>
          <w:szCs w:val="24"/>
        </w:rPr>
      </w:pPr>
      <w:r/>
      <w:bookmarkStart w:id="18" w:name="_Toc38985265"/>
      <w:r/>
      <w:bookmarkStart w:id="19" w:name="_Toc28359081"/>
      <w:r/>
      <w:bookmarkStart w:id="20" w:name="_Toc35393623"/>
      <w:r/>
      <w:bookmarkStart w:id="21" w:name="_Toc28359004"/>
      <w:r/>
      <w:bookmarkStart w:id="22"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1"/>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color w:val="000000"/>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color w:val="000000"/>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sz w:val="24"/>
          <w:szCs w:val="24"/>
        </w:rPr>
      </w:pPr>
      <w:r/>
      <w:bookmarkStart w:id="23" w:name="_Toc28359082"/>
      <w:r/>
      <w:bookmarkStart w:id="24" w:name="_Toc28359005"/>
      <w:r/>
      <w:bookmarkStart w:id="25" w:name="_Toc35393624"/>
      <w:r/>
      <w:bookmarkStart w:id="26" w:name="_Toc38985266"/>
      <w:r/>
      <w:bookmarkStart w:id="27"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bCs/>
          <w:sz w:val="24"/>
          <w:szCs w:val="24"/>
          <w:u w:val="single"/>
          <w:lang w:val="en-US" w:eastAsia="zh-CN"/>
        </w:rPr>
      </w:pPr>
      <w:r/>
      <w:bookmarkStart w:id="28" w:name="_Toc35393794"/>
      <w:r/>
      <w:bookmarkStart w:id="29" w:name="_Toc35393625"/>
      <w:r/>
      <w:bookmarkStart w:id="30" w:name="_Toc28359007"/>
      <w:r/>
      <w:bookmarkStart w:id="31" w:name="_Toc38985267"/>
      <w:r/>
      <w:bookmarkStart w:id="32"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16</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1"/>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sz w:val="24"/>
          <w:szCs w:val="24"/>
        </w:rPr>
      </w:pPr>
      <w:r/>
      <w:bookmarkStart w:id="36" w:name="_Toc28359008"/>
      <w:r/>
      <w:bookmarkStart w:id="37" w:name="_Toc38985269"/>
      <w:r/>
      <w:bookmarkStart w:id="38" w:name="_Toc35393627"/>
      <w:r/>
      <w:bookmarkStart w:id="39" w:name="_Toc28359085"/>
      <w:r/>
      <w:bookmarkStart w:id="40"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1"/>
        <w:ind w:firstLine="480"/>
        <w:pageBreakBefore w:val="0"/>
        <w:spacing w:line="240"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sz w:val="24"/>
          <w:szCs w:val="24"/>
          <w:highlight w:val="none"/>
          <w:lang w:eastAsia="zh-CN"/>
        </w:rPr>
        <w:t xml:space="preserve">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71"/>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采购人《质疑函》收件人：李老师，收件地址：</w:t>
      </w:r>
      <w:r>
        <w:rPr>
          <w:rFonts w:hint="eastAsia" w:ascii="宋体" w:hAnsi="宋体" w:eastAsia="宋体" w:cs="Times New Roman"/>
          <w:color w:val="000000"/>
          <w:sz w:val="24"/>
          <w:szCs w:val="24"/>
          <w:u w:val="none"/>
          <w:lang w:val="en-US" w:eastAsia="zh-CN"/>
        </w:rPr>
        <w:t xml:space="preserve">南京市</w:t>
      </w:r>
      <w:r>
        <w:rPr>
          <w:rFonts w:hint="eastAsia" w:ascii="宋体" w:hAnsi="宋体"/>
          <w:color w:val="000000"/>
          <w:sz w:val="24"/>
          <w:szCs w:val="24"/>
        </w:rPr>
        <w:t xml:space="preserve">玄武区孝陵卫179</w:t>
      </w:r>
      <w:r>
        <w:rPr>
          <w:rFonts w:hint="eastAsia" w:ascii="宋体" w:hAnsi="宋体" w:eastAsia="宋体" w:cs="Times New Roman"/>
          <w:color w:val="000000"/>
          <w:sz w:val="24"/>
          <w:szCs w:val="24"/>
          <w:u w:val="none"/>
          <w:lang w:val="en-US" w:eastAsia="zh-CN"/>
        </w:rPr>
        <w:t xml:space="preserve">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025-85370932</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1"/>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称：南京市中西医结合医院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w:t>
      </w:r>
      <w:r>
        <w:rPr>
          <w:rFonts w:hint="eastAsia" w:ascii="宋体" w:hAnsi="宋体"/>
          <w:color w:val="000000"/>
          <w:sz w:val="24"/>
          <w:szCs w:val="24"/>
        </w:rPr>
        <w:t xml:space="preserve">玄武区孝陵卫179</w:t>
      </w:r>
      <w:r>
        <w:rPr>
          <w:rFonts w:hint="eastAsia" w:ascii="宋体" w:hAnsi="宋体" w:eastAsia="宋体" w:cs="Times New Roman"/>
          <w:color w:val="000000"/>
          <w:sz w:val="24"/>
          <w:szCs w:val="24"/>
          <w:u w:val="none"/>
          <w:lang w:val="en-US" w:eastAsia="zh-CN"/>
        </w:rPr>
        <w:t xml:space="preserve">号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联系人：李老师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联系电话：025-85370932 </w:t>
      </w:r>
      <w:bookmarkStart w:id="41" w:name="_Toc28359086"/>
      <w:r/>
      <w:bookmarkStart w:id="42" w:name="_Toc28359009"/>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1"/>
      <w:r/>
      <w:bookmarkEnd w:id="42"/>
      <w:r>
        <w:rPr>
          <w:rFonts w:hint="eastAsia" w:ascii="宋体" w:hAnsi="宋体" w:eastAsia="宋体" w:cs="Times New Roman"/>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871"/>
        <w:ind w:firstLine="480"/>
        <w:pageBreakBefore w:val="0"/>
        <w:spacing w:line="240" w:lineRule="auto"/>
        <w:widowControl w:val="off"/>
        <w:rPr>
          <w:rFonts w:hint="eastAsia"/>
          <w:u w:val="none"/>
        </w:rPr>
      </w:pPr>
      <w:r>
        <w:rPr>
          <w:rFonts w:hint="eastAsia" w:ascii="宋体" w:hAnsi="宋体" w:eastAsia="宋体" w:cs="Times New Roman"/>
          <w:color w:val="000000"/>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u w:val="none"/>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3" w:name="_Toc479757211"/>
      <w:r/>
      <w:bookmarkStart w:id="44" w:name="_Toc462564139"/>
      <w:r/>
      <w:bookmarkStart w:id="45" w:name="_Hlt16619350"/>
      <w:r/>
      <w:bookmarkStart w:id="46" w:name="_Toc120614244"/>
      <w:r/>
      <w:bookmarkStart w:id="47" w:name="_Toc20823346"/>
      <w:r/>
      <w:bookmarkStart w:id="48" w:name="_Toc16938590"/>
      <w:r>
        <w:rPr>
          <w:rFonts w:ascii="黑体" w:eastAsia="黑体"/>
          <w:bCs/>
          <w:sz w:val="44"/>
        </w:rPr>
        <w:br w:type="page" w:clear="all"/>
      </w:r>
      <w:bookmarkStart w:id="49"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9"/>
      <w:r/>
      <w:bookmarkStart w:id="50" w:name="_Toc20823274"/>
      <w:r/>
      <w:bookmarkStart w:id="51" w:name="_Toc16938518"/>
      <w:r/>
      <w:bookmarkStart w:id="52" w:name="_Toc513029202"/>
      <w:r/>
      <w:bookmarkStart w:id="53"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eastAsia="zh-CN" w:bidi="ar-SA"/>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4" w:name="_Toc20823275"/>
      <w:r/>
      <w:bookmarkStart w:id="55" w:name="_Toc20823314"/>
      <w:r/>
      <w:bookmarkStart w:id="56" w:name="_Toc513029242"/>
      <w:r/>
      <w:bookmarkStart w:id="57" w:name="_Toc479757207"/>
      <w:r/>
      <w:bookmarkStart w:id="58" w:name="_Toc120614221"/>
      <w:r/>
      <w:bookmarkStart w:id="59" w:name="_Toc16938519"/>
      <w:r/>
      <w:bookmarkStart w:id="60" w:name="_Toc120614214"/>
      <w:r/>
      <w:bookmarkStart w:id="61" w:name="_Toc513029203"/>
      <w:r/>
      <w:bookmarkStart w:id="62" w:name="_Toc16938558"/>
      <w:r>
        <w:rPr>
          <w:rFonts w:hint="eastAsia" w:ascii="方正黑体_GBK" w:hAnsi="方正黑体_GBK" w:eastAsia="方正黑体_GBK" w:cs="方正黑体_GBK"/>
          <w:b w:val="0"/>
          <w:bCs w:val="0"/>
          <w:color w:val="000000"/>
          <w:sz w:val="30"/>
          <w:szCs w:val="30"/>
        </w:rPr>
        <w:t xml:space="preserve">一、总则</w:t>
      </w:r>
      <w:bookmarkEnd w:id="54"/>
      <w:r/>
      <w:bookmarkEnd w:id="59"/>
      <w:r/>
      <w:bookmarkEnd w:id="60"/>
      <w:r/>
      <w:bookmarkEnd w:id="61"/>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3" w:name="_Toc458694821"/>
      <w:r/>
      <w:bookmarkStart w:id="64" w:name="_Toc20823276"/>
      <w:r/>
      <w:bookmarkStart w:id="65" w:name="_Toc16938520"/>
      <w:r/>
      <w:bookmarkStart w:id="66" w:name="_Toc513029204"/>
      <w:r/>
      <w:bookmarkStart w:id="67" w:name="_Hlt16619475"/>
      <w:r/>
      <w:bookmarkEnd w:id="67"/>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16938521"/>
      <w:r/>
      <w:bookmarkStart w:id="69" w:name="_Toc20823277"/>
      <w:r/>
      <w:bookmarkStart w:id="70"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8"/>
      <w:r/>
      <w:bookmarkEnd w:id="69"/>
      <w:r/>
      <w:bookmarkEnd w:id="70"/>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1" w:name="_Toc16938522"/>
      <w:r/>
      <w:bookmarkStart w:id="72" w:name="_Toc20823278"/>
      <w:r/>
      <w:bookmarkStart w:id="73"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1"/>
      <w:r/>
      <w:bookmarkEnd w:id="72"/>
      <w:r/>
      <w:bookmarkEnd w:id="73"/>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4" w:name="_Toc462564067"/>
      <w:r/>
      <w:bookmarkStart w:id="75" w:name="_Toc513029207"/>
      <w:r/>
      <w:bookmarkStart w:id="76" w:name="_Toc20823279"/>
      <w:r/>
      <w:bookmarkStart w:id="77"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4"/>
      <w:r/>
      <w:bookmarkEnd w:id="75"/>
      <w:r/>
      <w:bookmarkEnd w:id="76"/>
      <w:r/>
      <w:bookmarkEnd w:id="77"/>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8" w:name="_Toc120614215"/>
      <w:r/>
      <w:bookmarkStart w:id="79" w:name="_Toc513029209"/>
      <w:r/>
      <w:bookmarkStart w:id="80" w:name="_Toc20823281"/>
      <w:r/>
      <w:bookmarkStart w:id="81" w:name="_Toc16938525"/>
      <w:r>
        <w:rPr>
          <w:rFonts w:hint="eastAsia" w:ascii="方正黑体_GBK" w:hAnsi="方正黑体_GBK" w:eastAsia="方正黑体_GBK" w:cs="方正黑体_GBK"/>
          <w:b w:val="0"/>
          <w:bCs w:val="0"/>
          <w:color w:val="000000"/>
          <w:sz w:val="30"/>
          <w:szCs w:val="30"/>
        </w:rPr>
        <w:t xml:space="preserve">二、招标文件</w:t>
      </w:r>
      <w:bookmarkEnd w:id="78"/>
      <w:r/>
      <w:bookmarkEnd w:id="79"/>
      <w:r/>
      <w:bookmarkEnd w:id="80"/>
      <w:r/>
      <w:bookmarkEnd w:id="81"/>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2"/>
      <w:r/>
      <w:bookmarkStart w:id="83" w:name="_Toc16938526"/>
      <w:r/>
      <w:bookmarkStart w:id="84"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2"/>
      <w:r/>
      <w:bookmarkEnd w:id="83"/>
      <w:r/>
      <w:bookmarkEnd w:id="8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5" w:name="_Toc16938527"/>
      <w:r/>
      <w:bookmarkStart w:id="86" w:name="_Toc462564070"/>
      <w:r/>
      <w:bookmarkStart w:id="87" w:name="_Toc20823283"/>
      <w:r/>
      <w:bookmarkStart w:id="88"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5"/>
      <w:r/>
      <w:bookmarkEnd w:id="86"/>
      <w:r/>
      <w:bookmarkEnd w:id="87"/>
      <w:r/>
      <w:bookmarkEnd w:id="88"/>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9" w:name="_Toc513029212"/>
      <w:r/>
      <w:bookmarkStart w:id="90" w:name="_Toc20823284"/>
      <w:r/>
      <w:bookmarkStart w:id="91" w:name="_Toc462564071"/>
      <w:r/>
      <w:bookmarkStart w:id="92"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9"/>
      <w:r/>
      <w:bookmarkEnd w:id="90"/>
      <w:r/>
      <w:bookmarkEnd w:id="91"/>
      <w:r/>
      <w:bookmarkEnd w:id="92"/>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93" w:name="_Toc513029213"/>
      <w:r/>
      <w:bookmarkStart w:id="94" w:name="_Toc462564072"/>
      <w:r/>
      <w:bookmarkStart w:id="95" w:name="_Toc16938529"/>
      <w:r/>
      <w:bookmarkStart w:id="96" w:name="_Toc120614216"/>
      <w:r/>
      <w:bookmarkStart w:id="97"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3"/>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8" w:name="_Toc462564073"/>
      <w:r/>
      <w:bookmarkStart w:id="99" w:name="_Toc16938530"/>
      <w:r/>
      <w:bookmarkStart w:id="100" w:name="_Toc20823286"/>
      <w:r/>
      <w:bookmarkStart w:id="101"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8"/>
      <w:r/>
      <w:bookmarkEnd w:id="99"/>
      <w:r/>
      <w:bookmarkEnd w:id="100"/>
      <w:r/>
      <w:bookmarkEnd w:id="101"/>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2" w:name="_Toc20823287"/>
      <w:r/>
      <w:bookmarkStart w:id="103" w:name="_Toc16938531"/>
      <w:r/>
      <w:bookmarkStart w:id="104" w:name="_Toc462564074"/>
      <w:r/>
      <w:bookmarkStart w:id="105"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2"/>
      <w:r/>
      <w:bookmarkEnd w:id="103"/>
      <w:r/>
      <w:bookmarkEnd w:id="104"/>
      <w:r/>
      <w:bookmarkEnd w:id="105"/>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6" w:name="_Hlt26668975"/>
      <w:r/>
      <w:bookmarkEnd w:id="106"/>
      <w:r/>
      <w:bookmarkStart w:id="107" w:name="_Hlt26670360"/>
      <w:r/>
      <w:bookmarkEnd w:id="107"/>
      <w:r/>
      <w:bookmarkStart w:id="108" w:name="_Hlt26954838"/>
      <w:r/>
      <w:bookmarkEnd w:id="108"/>
      <w:r/>
      <w:bookmarkStart w:id="109" w:name="_Toc49090509"/>
      <w:r/>
      <w:bookmarkStart w:id="110" w:name="_Toc513029219"/>
      <w:r/>
      <w:bookmarkStart w:id="111" w:name="_Toc14577357"/>
      <w:r/>
      <w:bookmarkStart w:id="112" w:name="_Toc14577354"/>
      <w:r/>
      <w:bookmarkStart w:id="113" w:name="_Toc49090507"/>
      <w:r/>
      <w:bookmarkStart w:id="114"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9"/>
      <w:r/>
      <w:bookmarkEnd w:id="110"/>
      <w:r/>
      <w:bookmarkEnd w:id="111"/>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12"/>
      <w:r/>
      <w:bookmarkEnd w:id="113"/>
      <w:r/>
      <w:bookmarkEnd w:id="114"/>
      <w:r/>
      <w:bookmarkStart w:id="115" w:name="_Toc14577355"/>
      <w:r/>
      <w:bookmarkStart w:id="116"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5"/>
      <w:r/>
      <w:bookmarkEnd w:id="116"/>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7" w:name="_Hlt26954840"/>
      <w:r/>
      <w:bookmarkEnd w:id="117"/>
      <w:r>
        <w:rPr>
          <w:rFonts w:hint="eastAsia" w:ascii="宋体" w:hAnsi="宋体" w:eastAsia="宋体" w:cs="Times New Roman"/>
          <w:color w:val="000000"/>
          <w:sz w:val="24"/>
        </w:rPr>
        <w:t xml:space="preserve">标人应按照招标文件规定格式填报</w:t>
      </w:r>
      <w:bookmarkStart w:id="118" w:name="_Hlt26670399"/>
      <w:r/>
      <w:bookmarkEnd w:id="118"/>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9" w:name="_Hlt26670482"/>
      <w:r/>
      <w:bookmarkEnd w:id="119"/>
      <w:r/>
      <w:bookmarkStart w:id="120" w:name="_Hlt26670425"/>
      <w:r/>
      <w:bookmarkEnd w:id="120"/>
      <w:r/>
      <w:bookmarkStart w:id="121" w:name="_Hlt26670403"/>
      <w:r/>
      <w:bookmarkEnd w:id="121"/>
      <w:r/>
      <w:bookmarkStart w:id="122" w:name="_Hlt26954842"/>
      <w:r/>
      <w:bookmarkEnd w:id="122"/>
      <w:r/>
      <w:bookmarkStart w:id="123" w:name="_Hlt26954848"/>
      <w:r/>
      <w:bookmarkEnd w:id="123"/>
      <w:r/>
      <w:bookmarkStart w:id="124" w:name="_Hlt26954731"/>
      <w:r/>
      <w:bookmarkEnd w:id="124"/>
      <w:r/>
      <w:bookmarkStart w:id="125" w:name="_Hlt26954846"/>
      <w:r/>
      <w:bookmarkEnd w:id="125"/>
      <w:r/>
      <w:bookmarkStart w:id="126" w:name="_Hlt26670486"/>
      <w:r/>
      <w:bookmarkEnd w:id="126"/>
      <w:r/>
      <w:bookmarkStart w:id="127" w:name="_Hlt26954844"/>
      <w:r/>
      <w:bookmarkEnd w:id="127"/>
      <w:r/>
      <w:bookmarkStart w:id="128" w:name="_Hlt26668983"/>
      <w:r/>
      <w:bookmarkEnd w:id="128"/>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9" w:name="_Toc14577359"/>
      <w:r/>
      <w:bookmarkStart w:id="130"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9"/>
      <w:r/>
      <w:bookmarkEnd w:id="130"/>
      <w:r/>
      <w:bookmarkStart w:id="131" w:name="_Hlt26954734"/>
      <w:r/>
      <w:bookmarkEnd w:id="131"/>
      <w:r/>
      <w:bookmarkStart w:id="132" w:name="_Hlt26670489"/>
      <w:r/>
      <w:bookmarkEnd w:id="132"/>
      <w:r/>
      <w:bookmarkStart w:id="133" w:name="_Hlt26954850"/>
      <w:r/>
      <w:bookmarkEnd w:id="133"/>
      <w:r/>
      <w:bookmarkStart w:id="134" w:name="_Toc14577360"/>
      <w:r/>
      <w:bookmarkStart w:id="135"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4"/>
      <w:r/>
      <w:bookmarkEnd w:id="135"/>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6" w:name="_Hlt26954852"/>
      <w:r/>
      <w:bookmarkEnd w:id="136"/>
      <w:r/>
      <w:bookmarkStart w:id="137" w:name="_Hlt26954739"/>
      <w:r/>
      <w:bookmarkEnd w:id="137"/>
      <w:r/>
      <w:bookmarkStart w:id="138" w:name="_Toc120614217"/>
      <w:r/>
      <w:bookmarkStart w:id="139" w:name="_Toc513029224"/>
      <w:r/>
      <w:bookmarkStart w:id="140" w:name="_Toc20823296"/>
      <w:r/>
      <w:bookmarkStart w:id="141" w:name="_Toc16938540"/>
      <w:r/>
      <w:bookmarkStart w:id="142" w:name="_Toc20823309"/>
      <w:r/>
      <w:bookmarkStart w:id="143" w:name="_Toc513029237"/>
      <w:r/>
      <w:bookmarkStart w:id="144" w:name="_Toc16938553"/>
      <w:r>
        <w:rPr>
          <w:rFonts w:hint="eastAsia" w:ascii="方正黑体_GBK" w:hAnsi="方正黑体_GBK" w:eastAsia="方正黑体_GBK" w:cs="方正黑体_GBK"/>
          <w:b w:val="0"/>
          <w:bCs w:val="0"/>
          <w:color w:val="000000"/>
          <w:sz w:val="30"/>
          <w:szCs w:val="30"/>
        </w:rPr>
        <w:t xml:space="preserve">四、投标文件的递交</w:t>
      </w:r>
      <w:bookmarkEnd w:id="138"/>
      <w:r/>
      <w:bookmarkEnd w:id="139"/>
      <w:r/>
      <w:bookmarkEnd w:id="140"/>
      <w:r/>
      <w:bookmarkEnd w:id="141"/>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45" w:name="_Toc462564084"/>
      <w:r/>
      <w:bookmarkStart w:id="146" w:name="_Toc16938541"/>
      <w:r/>
      <w:bookmarkStart w:id="147" w:name="_Toc513029225"/>
      <w:r/>
      <w:bookmarkStart w:id="148"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bookmarkEnd w:id="148"/>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9" w:name="_Toc20823298"/>
      <w:r/>
      <w:bookmarkStart w:id="150" w:name="_Toc513029226"/>
      <w:r/>
      <w:bookmarkStart w:id="151" w:name="_Toc16938542"/>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9"/>
      <w:r/>
      <w:bookmarkEnd w:id="150"/>
      <w:r/>
      <w:bookmarkEnd w:id="151"/>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20823299"/>
      <w:r/>
      <w:bookmarkStart w:id="153" w:name="_Toc16938543"/>
      <w:r/>
      <w:bookmarkStart w:id="154"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2"/>
      <w:r/>
      <w:bookmarkEnd w:id="153"/>
      <w:r/>
      <w:bookmarkEnd w:id="154"/>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5" w:name="_Toc16938544"/>
      <w:r/>
      <w:bookmarkStart w:id="156" w:name="_Toc513029228"/>
      <w:r/>
      <w:bookmarkStart w:id="157"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5"/>
      <w:r/>
      <w:bookmarkEnd w:id="156"/>
      <w:r/>
      <w:bookmarkEnd w:id="15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8" w:name="_Toc513029229"/>
      <w:r/>
      <w:bookmarkStart w:id="159" w:name="_Toc16938545"/>
      <w:r/>
      <w:bookmarkStart w:id="160" w:name="_Toc20823301"/>
      <w:r/>
      <w:bookmarkStart w:id="161" w:name="_Toc120614218"/>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2" w:name="_Toc513029230"/>
      <w:r/>
      <w:bookmarkStart w:id="163" w:name="_Toc20823302"/>
      <w:r/>
      <w:bookmarkStart w:id="164"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2"/>
      <w:r/>
      <w:bookmarkEnd w:id="163"/>
      <w:r/>
      <w:bookmarkEnd w:id="164"/>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5" w:name="_Toc513029231"/>
      <w:r/>
      <w:bookmarkStart w:id="166" w:name="_Toc20823303"/>
      <w:r/>
      <w:bookmarkStart w:id="167"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5"/>
      <w:r/>
      <w:bookmarkEnd w:id="166"/>
      <w:r/>
      <w:bookmarkEnd w:id="16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8" w:name="_Toc16938548"/>
      <w:r/>
      <w:bookmarkStart w:id="169" w:name="_Toc20823304"/>
      <w:r/>
      <w:bookmarkStart w:id="170"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8"/>
      <w:r/>
      <w:bookmarkEnd w:id="169"/>
      <w:r/>
      <w:bookmarkEnd w:id="170"/>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71" w:name="_Toc513029233"/>
      <w:r/>
      <w:bookmarkStart w:id="172" w:name="_Toc16938549"/>
      <w:r/>
      <w:bookmarkStart w:id="173"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1"/>
      <w:r/>
      <w:bookmarkEnd w:id="172"/>
      <w:r/>
      <w:bookmarkEnd w:id="173"/>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4" w:name="_Toc16938550"/>
      <w:r/>
      <w:bookmarkStart w:id="175" w:name="_Toc513029234"/>
      <w:r/>
      <w:bookmarkStart w:id="176"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lang w:val="zh-CN" w:eastAsia="zh-CN"/>
        </w:rPr>
        <w:t xml:space="preserve">24.7 </w:t>
      </w:r>
      <w:r>
        <w:rPr>
          <w:rFonts w:hint="eastAsia" w:ascii="宋体" w:hAnsi="宋体" w:eastAsia="宋体" w:cs="Times New Roman"/>
          <w:color w:val="000000"/>
          <w:sz w:val="24"/>
          <w:szCs w:val="21"/>
          <w:lang w:val="zh-CN"/>
        </w:rPr>
        <w:t xml:space="preserve">异常低价审查</w:t>
      </w:r>
      <w:r>
        <w:rPr>
          <w:rFonts w:hint="eastAsia" w:ascii="宋体" w:hAnsi="宋体" w:eastAsia="宋体" w:cs="Times New Roman"/>
          <w:color w:val="000000"/>
          <w:sz w:val="24"/>
          <w:szCs w:val="21"/>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（3）投标报价低于采购项目最高限价45%的，即投标报价&lt;采购项目最高限价×45%；</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871"/>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4"/>
      <w:r/>
      <w:bookmarkEnd w:id="175"/>
      <w:r/>
      <w:bookmarkEnd w:id="176"/>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7" w:name="_Toc513029235"/>
      <w:r/>
      <w:bookmarkStart w:id="178" w:name="_Toc16938551"/>
      <w:r/>
      <w:bookmarkStart w:id="179"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val="0"/>
          <w:bCs w:val="0"/>
          <w:color w:val="000000"/>
          <w:sz w:val="24"/>
          <w:lang w:val="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rPr>
        <w:t xml:space="preserve">.1.10</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42"/>
      <w:r/>
      <w:bookmarkEnd w:id="143"/>
      <w:r/>
      <w:bookmarkEnd w:id="144"/>
      <w:r/>
      <w:bookmarkEnd w:id="177"/>
      <w:r/>
      <w:bookmarkEnd w:id="178"/>
      <w:r/>
      <w:bookmarkEnd w:id="179"/>
      <w:r/>
      <w:bookmarkStart w:id="180" w:name="_Toc120614219"/>
      <w:r>
        <w:rPr>
          <w:rFonts w:hint="eastAsia" w:ascii="方正黑体_GBK" w:hAnsi="方正黑体_GBK" w:eastAsia="方正黑体_GBK" w:cs="方正黑体_GBK"/>
          <w:b w:val="0"/>
          <w:bCs w:val="0"/>
          <w:color w:val="000000"/>
          <w:sz w:val="30"/>
          <w:szCs w:val="30"/>
        </w:rPr>
        <w:t xml:space="preserve">六、定标</w:t>
      </w:r>
      <w:bookmarkEnd w:id="180"/>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81" w:name="_Toc16938554"/>
      <w:r/>
      <w:bookmarkStart w:id="182" w:name="_Toc20823310"/>
      <w:r/>
      <w:bookmarkStart w:id="183" w:name="_Toc513029238"/>
      <w:r>
        <w:rPr>
          <w:rFonts w:hint="eastAsia" w:ascii="方正楷体_GBK" w:hAnsi="方正楷体_GBK" w:eastAsia="方正楷体_GBK" w:cs="方正楷体_GBK"/>
          <w:b/>
          <w:bCs/>
        </w:rPr>
        <w:t xml:space="preserve">2</w:t>
      </w:r>
      <w:bookmarkEnd w:id="18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1"/>
      <w:r/>
      <w:bookmarkEnd w:id="182"/>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5" w:name="_Toc120614220"/>
      <w:r/>
      <w:bookmarkStart w:id="186" w:name="_Toc16938552"/>
      <w:r/>
      <w:bookmarkStart w:id="187" w:name="_Toc513029236"/>
      <w:r/>
      <w:bookmarkStart w:id="188" w:name="_Toc20823308"/>
      <w:r>
        <w:rPr>
          <w:rFonts w:hint="eastAsia" w:ascii="方正黑体_GBK" w:hAnsi="方正黑体_GBK" w:eastAsia="方正黑体_GBK" w:cs="方正黑体_GBK"/>
          <w:b w:val="0"/>
          <w:bCs w:val="0"/>
          <w:color w:val="000000"/>
          <w:sz w:val="30"/>
          <w:szCs w:val="30"/>
        </w:rPr>
        <w:t xml:space="preserve">七、授予合同</w:t>
      </w:r>
      <w:bookmarkEnd w:id="185"/>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6"/>
      <w:r/>
      <w:bookmarkEnd w:id="187"/>
      <w:r/>
      <w:bookmarkEnd w:id="188"/>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6"/>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w:t>
      </w:r>
      <w:r>
        <w:rPr>
          <w:rFonts w:hint="eastAsia" w:ascii="方正楷体_GBK" w:hAnsi="方正楷体_GBK" w:eastAsia="方正楷体_GBK" w:cs="方正楷体_GBK"/>
          <w:b/>
          <w:bCs/>
          <w:sz w:val="28"/>
          <w:lang w:val="en-US" w:eastAsia="zh-CN"/>
        </w:rPr>
        <w:t xml:space="preserve">4</w:t>
      </w:r>
      <w:r>
        <w:rPr>
          <w:rFonts w:hint="eastAsia" w:ascii="方正楷体_GBK" w:hAnsi="方正楷体_GBK" w:eastAsia="方正楷体_GBK" w:cs="方正楷体_GBK"/>
          <w:b/>
          <w:bCs/>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4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6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9" w:name="_Toc16938559"/>
      <w:r/>
      <w:bookmarkStart w:id="190" w:name="_Toc20823315"/>
      <w:r/>
      <w:bookmarkStart w:id="191"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9"/>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合同签订且服务团队人员到位后，甲方支付合同总价款的70%作为预付款。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2"/>
        <w:spacing w:line="264" w:lineRule="auto"/>
        <w:rPr>
          <w:rFonts w:hint="eastAsia"/>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宋体" w:hAnsi="宋体" w:eastAsia="宋体" w:cs="Courier New"/>
          <w:b w:val="0"/>
          <w:bCs w:val="0"/>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w:t>
      </w:r>
      <w:r>
        <w:rPr>
          <w:rFonts w:hint="eastAsia" w:ascii="宋体" w:hAnsi="宋体" w:cs="Courier New"/>
          <w:color w:val="000000"/>
          <w:sz w:val="24"/>
          <w:szCs w:val="24"/>
        </w:rPr>
        <w:t xml:space="preserve">拒绝接受乙方提供服务的，应向乙方偿付拒绝接受服务合同总额</w:t>
      </w:r>
      <w:r>
        <w:rPr>
          <w:rFonts w:hint="eastAsia" w:ascii="宋体" w:hAnsi="宋体" w:cs="Courier New"/>
          <w:color w:val="000000"/>
          <w:sz w:val="24"/>
          <w:szCs w:val="24"/>
          <w:u w:val="single"/>
        </w:rPr>
        <w:t xml:space="preserve">  </w:t>
      </w:r>
      <w:r>
        <w:rPr>
          <w:rFonts w:ascii="宋体" w:hAnsi="宋体" w:cs="宋体"/>
          <w:color w:val="000000"/>
          <w:sz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w:t>
      </w:r>
      <w:r>
        <w:rPr>
          <w:rFonts w:ascii="宋体" w:hAnsi="宋体" w:cs="宋体"/>
          <w:color w:val="000000"/>
          <w:sz w:val="24"/>
          <w:u w:val="single"/>
        </w:rPr>
        <w:t xml:space="preserve">5</w:t>
      </w:r>
      <w:r>
        <w:rPr>
          <w:rFonts w:hint="eastAsia" w:ascii="宋体" w:hAnsi="宋体" w:cs="宋体"/>
          <w:color w:val="000000"/>
          <w:sz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ascii="宋体" w:hAnsi="宋体" w:cs="宋体"/>
          <w:color w:val="000000"/>
          <w:sz w:val="24"/>
          <w:u w:val="single"/>
        </w:rPr>
        <w:t xml:space="preserve">5</w:t>
      </w:r>
      <w:r>
        <w:rPr>
          <w:rFonts w:hint="eastAsia" w:ascii="宋体" w:hAnsi="宋体" w:cs="宋体"/>
          <w:color w:val="000000"/>
          <w:sz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ascii="宋体" w:hAnsi="宋体" w:cs="宋体"/>
          <w:color w:val="000000"/>
          <w:sz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bookmarkEnd w:id="189"/>
      <w:r/>
      <w:bookmarkEnd w:id="190"/>
      <w:r/>
      <w:bookmarkEnd w:id="191"/>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6"/>
      <w:r/>
      <w:bookmarkEnd w:id="47"/>
      <w:r/>
      <w:bookmarkEnd w:id="48"/>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2" w:name="_Toc49090575"/>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（一）项目背景</w:t>
      </w:r>
      <w:r>
        <w:rPr>
          <w:rFonts w:hint="eastAsia" w:ascii="宋体" w:hAnsi="宋体" w:eastAsia="宋体" w:cs="宋体"/>
          <w:bCs/>
          <w:color w:val="000000"/>
          <w:sz w:val="24"/>
          <w:szCs w:val="24"/>
          <w:lang w:val="en-US" w:eastAsia="zh-CN"/>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在国家大力推动“健康中国”战略，进一步推进公立医院高质量发展和智慧医院建设的背景下，医疗质量安全已经不仅是医院的责任底线，更是决定医院核心竞争力和高质量发展的关键因素。国家卫健委在智慧医院建设的标准中，更是对核心制度管理要求的临床业务闭环提出了明确且高标准的要求。</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近年来随着医院信息系统的不断建设，已经构建了较为完善的信息化应用体系，但是随着医疗服务需求的不断升级、国家对医疗质量安全监管的日趋严格，不断优化服务流程，提升医院的服务效率，构建全流程、精细化的临床质量闭环管理，进一步夯实保障老百姓生命健康的安全基石成为医院信息化建设当下的迫切需求。</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目前，医院对临床各项业务的流程仍存在部分“信息断点”与“管理盲区，在药品流转、危急值处置、会诊执行、手术安全、输血监管、检验检查、急诊抢救、病案内涵质控及患者院内流转等核心业务环节，流程闭环尚未完全打通，部分关键节点数据缺失，监管仍依赖人工，导致质量指标难以实现实时、精准的量化分析与持续改进。</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为全面提升医院临床质量管控水平，筑牢医疗质量安全防线，夯实保障老百姓生命健康的基石，医院启动本次“医院临床质量闭环管理系统项目”建设。本项目以临床业务系统改造完善为重点，临床质量闭环管理为核心目标，构建覆盖药品、危急值、会诊、手术、输血、检验、检查、急诊抢救、病案质控、患者流转等各业务环节的临床质量闭环质量管理体系。项目建设旨在强化临床诊疗服务过程中质量精细化管控能力，为患者提供更安全、优质、高效的医疗服务，夯实智慧医院建设的临床质量信息化支撑基础。</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建设范围覆盖医院临床核心业务全环节，围绕“医院临床质量闭环管理系统”展开，具体包括临床质量闭环过程管理、闭环业务流程配置、闭环业务流程整合、临床质量闭环分析4个分项，涵盖药品、危急值、会诊、手术、输血、检验检查、急诊抢救、病案质控及患者院内流转等核心业务场景，实现各环节流程闭环打通、数据全程追溯、质量实时管控与分析改进。</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（二）项目建设意义</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1.落实政策要求：响应国家“健康中国”战略及智慧医院建设标准，满足国家卫健委对临床业务闭环管理的高标准要求，推动医疗质量安全核心制度落地见效，助力公立医院高质量发展。</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2.破解管理痛点：打通临床核心业务“信息断点”，消除“管理盲区”，替代人工监管模式，实现关键节点数据全程可追溯，解决质量指标难以实时量化、持续改进不足的问题。</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3.提升服务质量：构建全流程、精细化临床质量闭环，强化诊疗过程管控，减少人为差错，降低医疗风险，为患者提供更安全、优质、高效的医疗服务，增强患者就医获得感与信任感。</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4.夯实智慧医院基础：完善医院信息化应用体系，实现临床业务与质量管控的深度融合，为智慧医院建设提供坚实的临床质量信息化支撑，提升医院核心竞争力。</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（三）项目建设原则及遵循标准</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1.实用性原则：贴合医院临床业务实际，聚焦现有管理痛点，优先建设高频、关键环节的闭环功能，确保系统能够快速落地、切实解决实际问题，提升医护人员工作效率，降低操作难度。</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2.规范性原则：严格遵循国家卫健委智慧医院建设标准、医疗质量安全核心制度及相关行业规范，确保系统流程设计、数据标准、管控要求符合政策规定，保障医疗质量安全。</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3.兼容性原则：充分考虑医院现有信息化应用体系，实现与临床一体化等现有系统的无缝对接与数据共享，确保系统间协同高效运行，破除数据孤岛。</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4.可扩展性原则：系统架构设计预留扩展接口，支持后续新增临床业务环节、优化管控流程、增加分析维度，适应医疗服务需求升级与国家监管要求变化，实现系统长期迭代优化。</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5.精细化原则：聚焦临床业务关键节点，实现“事前预防、事中管控、事后复盘”的全流程精细化管控，确保每个环节都有标准、有记录、有监管、有改进，推动管理从“流程电子化”迈向“管理精细化”。</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6.遵循国家、行业及地方现行的规范和标准。</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（四）项目建设目标</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1．总体目标</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通过本次项目建设，构建覆盖医院临床核心业务全环节的临床质量闭环管理体系，打通药品、危急值、会诊、手术、输血等关键业务的“信息断点”，实现临床质量从“人工监管”向“智能管控”、从“事后整改”向“事前预防、事中干预”转变，全面提升临床质量管控精细化水平，筑牢医疗质量安全防线，为患者提供更安全、优质、高效的医疗服务，夯实智慧医院建设的临床质量信息化支撑，助力医院实现高质量发展。</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2.具体目标</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2.1 流程闭环目标：完成临床核心业务环节闭环建设，实现药品流转、危急值处置、会诊执行、手术安全、输血监管、检验检查、急诊抢救、病案内涵质控及患者院内流转等环节的全流程闭环管理，消除管理盲区。</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2.2 数据管控目标：实现临床关键节点数据全程采集、精准追溯，解决数据缺失、不一致问题，为质量分析与改进提供可靠数据支撑，契合智慧医院建设的标准要求。</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2.3分析改进目标：构建多维度临床质量闭环分析体系，实现质量指标实时量化分析，形成“监测-预警-整改-评估”的持续改进闭环，助力医院质量管控水平持续提升。</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（五）建设需求分析</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结合医院临床管理实际，当前存在的核心问题的如下，也是本次项目建设需重点解决的痛点：</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1.流程闭环不完整：核心业务环节存在“信息断点”，如药品流转从处方开具到患者使用的全流程未实现全程追溯，会诊执行、手术安全等环节存在流程脱节，导致部分环节监管缺位。</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2.监管模式待提升：当前无法实现临床质量的实时监控与异常预警，难以快速发现并处置医疗质量安全隐患，不符合“执行信息化、考核常态化”的政策要求。</w:t>
      </w:r>
      <w:r>
        <w:rPr>
          <w:rFonts w:hint="eastAsia" w:ascii="宋体" w:hAnsi="宋体" w:cs="宋体"/>
          <w:bCs/>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sz w:val="24"/>
          <w:szCs w:val="24"/>
        </w:rPr>
        <w:t xml:space="preserve">3.分析改进能力待提升：缺乏专业的质量闭环分析工具，无法对临床质量数据进行多维度、深层次分析，难以精准识别质量短板，无法形成“发现问题-整改落实-效果评估-优化完善”的持续改进机制。</w:t>
      </w: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3"/>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5"/>
        <w:gridCol w:w="754"/>
        <w:gridCol w:w="716"/>
        <w:gridCol w:w="1052"/>
        <w:gridCol w:w="1064"/>
        <w:gridCol w:w="1323"/>
        <w:gridCol w:w="1094"/>
        <w:gridCol w:w="1128"/>
        <w:gridCol w:w="1005"/>
      </w:tblGrid>
      <w:tr>
        <w:trPr>
          <w:trHeight w:val="470"/>
        </w:trPr>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71"/>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r>
            <w:r/>
          </w:p>
        </w:tc>
        <w:tc>
          <w:tcPr>
            <w:tcW w:w="6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临床质量闭环管理系统</w:t>
            </w:r>
            <w:r>
              <w:rPr>
                <w:rFonts w:hint="eastAsia" w:ascii="宋体" w:hAnsi="宋体" w:eastAsia="宋体" w:cs="Times New Roman"/>
                <w:bCs/>
                <w:color w:val="000000"/>
                <w:sz w:val="24"/>
                <w:szCs w:val="24"/>
                <w:lang w:val="en-US" w:eastAsia="zh-CN"/>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2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r>
    </w:tbl>
    <w:p>
      <w:pPr>
        <w:pStyle w:val="871"/>
        <w:ind w:firstLine="480"/>
        <w:keepLines w:val="0"/>
        <w:keepNext w:val="0"/>
        <w:pageBreakBefore w:val="0"/>
        <w:spacing w:line="264" w:lineRule="auto"/>
        <w:widowControl/>
        <w:rPr>
          <w:rFonts w:hint="eastAsia" w:ascii="宋体" w:hAnsi="宋体" w:eastAsia="宋体" w:cs="宋体"/>
          <w:bCs/>
          <w:color w:val="0000ff"/>
          <w:sz w:val="24"/>
          <w:szCs w:val="24"/>
          <w:lang w:val="zh-CN" w:eastAsia="zh-CN"/>
        </w:rPr>
      </w:pPr>
      <w:r>
        <w:rPr>
          <w:rFonts w:hint="eastAsia" w:ascii="宋体" w:hAnsi="宋体" w:eastAsia="宋体" w:cs="宋体"/>
          <w:bCs/>
          <w:color w:val="0000ff"/>
          <w:sz w:val="24"/>
          <w:szCs w:val="24"/>
          <w:lang w:val="zh-CN" w:eastAsia="zh-CN"/>
        </w:rPr>
      </w:r>
      <w:r/>
    </w:p>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tbl>
      <w:tblPr>
        <w:tblW w:w="5056" w:type="pct"/>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6"/>
        <w:gridCol w:w="827"/>
        <w:gridCol w:w="1363"/>
        <w:gridCol w:w="6489"/>
      </w:tblGrid>
      <w:tr>
        <w:trPr>
          <w:trHeight w:val="317"/>
        </w:trPr>
        <w:tc>
          <w:tcPr>
            <w:tcW w:w="601" w:type="dxa"/>
            <w:vAlign w:val="top"/>
            <w:textDirection w:val="lrTb"/>
            <w:noWrap w:val="false"/>
          </w:tcPr>
          <w:p>
            <w:pPr>
              <w:pStyle w:val="907"/>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分项名称</w:t>
            </w:r>
            <w:r>
              <w:rPr>
                <w:rFonts w:hint="eastAsia" w:ascii="宋体" w:hAnsi="宋体" w:eastAsia="宋体" w:cs="宋体"/>
                <w:b/>
                <w:sz w:val="24"/>
                <w:szCs w:val="24"/>
              </w:rPr>
            </w:r>
            <w:r/>
          </w:p>
        </w:tc>
        <w:tc>
          <w:tcPr>
            <w:tcW w:w="419" w:type="dxa"/>
            <w:vAlign w:val="top"/>
            <w:textDirection w:val="lrTb"/>
            <w:noWrap w:val="false"/>
          </w:tcPr>
          <w:p>
            <w:pPr>
              <w:pStyle w:val="907"/>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一级模块名称</w:t>
            </w:r>
            <w:r>
              <w:rPr>
                <w:rFonts w:hint="eastAsia" w:ascii="宋体" w:hAnsi="宋体" w:eastAsia="宋体" w:cs="宋体"/>
                <w:b/>
                <w:sz w:val="24"/>
                <w:szCs w:val="24"/>
              </w:rPr>
            </w:r>
            <w:r/>
          </w:p>
        </w:tc>
        <w:tc>
          <w:tcPr>
            <w:tcW w:w="690" w:type="dxa"/>
            <w:vAlign w:val="top"/>
            <w:textDirection w:val="lrTb"/>
            <w:noWrap w:val="false"/>
          </w:tcPr>
          <w:p>
            <w:pPr>
              <w:pStyle w:val="907"/>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二级模块名称</w:t>
            </w:r>
            <w:r>
              <w:rPr>
                <w:rFonts w:hint="eastAsia" w:ascii="宋体" w:hAnsi="宋体" w:eastAsia="宋体" w:cs="宋体"/>
                <w:b/>
                <w:sz w:val="24"/>
                <w:szCs w:val="24"/>
              </w:rPr>
            </w:r>
            <w:r/>
          </w:p>
        </w:tc>
        <w:tc>
          <w:tcPr>
            <w:tcW w:w="3288" w:type="dxa"/>
            <w:vAlign w:val="center"/>
            <w:textDirection w:val="lrTb"/>
            <w:noWrap w:val="false"/>
          </w:tcPr>
          <w:p>
            <w:pPr>
              <w:pStyle w:val="907"/>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功能描述</w:t>
            </w:r>
            <w:r>
              <w:rPr>
                <w:rFonts w:hint="eastAsia" w:ascii="宋体" w:hAnsi="宋体" w:eastAsia="宋体" w:cs="宋体"/>
                <w:b/>
                <w:sz w:val="24"/>
                <w:szCs w:val="24"/>
              </w:rPr>
            </w:r>
            <w:r/>
          </w:p>
        </w:tc>
      </w:tr>
      <w:tr>
        <w:trPr>
          <w:trHeight w:val="418"/>
        </w:trPr>
        <w:tc>
          <w:tcPr>
            <w:gridSpan w:val="3"/>
            <w:tcW w:w="3376" w:type="dxa"/>
            <w:vAlign w:val="top"/>
            <w:vMerge w:val="restart"/>
            <w:textDirection w:val="lrTb"/>
            <w:noWrap w:val="false"/>
          </w:tcPr>
          <w:p>
            <w:pPr>
              <w:pStyle w:val="871"/>
              <w:jc w:val="left"/>
              <w:spacing w:line="264" w:lineRule="auto"/>
              <w:rPr>
                <w:rFonts w:ascii="宋体" w:hAnsi="宋体" w:cs="宋体"/>
                <w:bCs/>
                <w:sz w:val="24"/>
                <w:szCs w:val="24"/>
              </w:rPr>
            </w:pPr>
            <w:r>
              <w:rPr>
                <w:rFonts w:hint="eastAsia" w:ascii="宋体" w:hAnsi="宋体" w:cs="宋体"/>
                <w:bCs/>
                <w:sz w:val="24"/>
                <w:szCs w:val="24"/>
              </w:rPr>
              <w:t xml:space="preserve">总体要求</w:t>
            </w:r>
            <w:r>
              <w:rPr>
                <w:rFonts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本项目各项闭环流程设计均需满足《智慧医疗分级评价方法及标准（2025版）（征求意见稿）》中六级相关闭环管理流程的功能要求。项目实施过程中如发布最新政策法规及标准，按最新政策法规及标准执行。</w:t>
            </w:r>
            <w:r>
              <w:rPr>
                <w:rFonts w:hint="eastAsia" w:ascii="宋体" w:hAnsi="宋体" w:cs="宋体"/>
                <w:bCs/>
                <w:sz w:val="24"/>
                <w:szCs w:val="24"/>
              </w:rPr>
            </w:r>
            <w:r/>
          </w:p>
        </w:tc>
      </w:tr>
      <w:tr>
        <w:trPr>
          <w:trHeight w:val="418"/>
        </w:trPr>
        <w:tc>
          <w:tcPr>
            <w:gridSpan w:val="3"/>
            <w:tcW w:w="3376" w:type="dxa"/>
            <w:vAlign w:val="top"/>
            <w:vMerge w:val="continue"/>
            <w:textDirection w:val="lrTb"/>
            <w:noWrap w:val="false"/>
          </w:tcPr>
          <w:p>
            <w:pPr>
              <w:pStyle w:val="871"/>
              <w:jc w:val="left"/>
              <w:spacing w:line="264" w:lineRule="auto"/>
              <w:rPr>
                <w:rFonts w:ascii="宋体" w:hAnsi="宋体" w:cs="宋体"/>
                <w:bCs/>
                <w:sz w:val="24"/>
                <w:szCs w:val="24"/>
              </w:rPr>
            </w:pPr>
            <w:r>
              <w:rPr>
                <w:rFonts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须支持与我院临床一体化系统（涉及门诊、住院、急诊核心业务环节）的深度对接，所产生的与现有临床一体化系统对接的接口费用均包含在本项目采购预算内（采购人负责协调对接工作，联系方式详见第一章）。</w:t>
            </w:r>
            <w:r>
              <w:rPr>
                <w:rFonts w:hint="eastAsia" w:ascii="宋体" w:hAnsi="宋体" w:cs="宋体"/>
                <w:bCs/>
                <w:sz w:val="24"/>
                <w:szCs w:val="24"/>
              </w:rPr>
            </w:r>
            <w:r/>
          </w:p>
        </w:tc>
      </w:tr>
      <w:tr>
        <w:trPr>
          <w:trHeight w:val="418"/>
        </w:trPr>
        <w:tc>
          <w:tcPr>
            <w:tcW w:w="601"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临床质量闭环过程管理</w:t>
            </w: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住院口服药闭环过程管理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住院口服药闭环过程管理（长期）</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住院口服药闭环过程管理（长期）需实现从长期口服药品医嘱开立、护士确认、摆药、发药、药品配送、病区接收、护士执行、医嘱停止、护士核对停止医嘱等各环节业务流程的闭环管理。</w:t>
            </w:r>
            <w:r>
              <w:rPr>
                <w:rFonts w:hint="eastAsia" w:ascii="宋体" w:hAnsi="宋体" w:cs="宋体"/>
                <w:bCs/>
                <w:sz w:val="24"/>
                <w:szCs w:val="24"/>
              </w:rPr>
            </w:r>
            <w:r/>
          </w:p>
        </w:tc>
      </w:tr>
      <w:tr>
        <w:trPr>
          <w:trHeight w:val="21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医生提交长期口服药医嘱时，将医嘱ID、下嘱医生、下嘱事件等医嘱开立事件信息实时同步至闭环管理系统；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如医嘱提交涉及药师人工审方，需将审方人、审方时间、审方结论等审方信息实时同步至闭环管理系统；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医生停止长期口服药医嘱时，将医嘱ID、停止人、停止时间等医嘱停止事件信息实时同步至闭环管理系统；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医生撤销长期口服药医嘱时，将医嘱ID、撤销人、撤销时间等医嘱撤销事件信息实时同步至闭环管理系统；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医生作废长期口服药医嘱时，将医嘱ID、作废人、作废时间等医嘱作废事件信息实时同步至闭环管理系统；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接收闭环管理系统实时消息，及时准确展示医嘱各环节状态信息，包括护士确认、药品申领、药房发药、病区接收、医嘱执行、停止核对等流程节点；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▲针对住院长期口服药医嘱，支持按单条医嘱查看全流程闭环管理记录，并可按医嘱拆解后的不同频次、单次执行明细分别展示执行情况；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实现与处方点评系统对接，可在医生站展示医嘱点评结果、不合理用药原因，并支持医生在线发起点评申诉。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护士完成长期口服药医嘱确认后，将医嘱ID、确认人、确认事件等医嘱确认事件信息实时同步至闭环管理系统；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根据长期医嘱给药频次自动拆解生成单次待执行记录，用于药品申领与摆药，并将拆解结果及待摆药事件实时发送至闭环管理系统；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护士发起药品申领时，将长期口服药药品申领事件及对应拆解明细信息同步至闭环管理系统，供药房备药使用；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病区接收药品时，与移动护理系统对接获取药品接收数据，并将病区药品接收事件实时同步至闭环管理系统；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护士执行医嘱给药时，与移动护理系统对接获取执行数据，并将单次医嘱执行结果（执行人、执行时间等信息）实时同步至闭环管理系统；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接收闭环管理系统实时消息，及时获取医嘱提交、停止、撤销、作废、药房发药、药品配送、超时预警、停止待核对等提醒信息；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针对长期口服药医嘱，支持按单条医嘱查看全流程闭环管理记录及各单次执行明细状态；</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护士完成停止医嘱核对确认后，将医嘱停止核对确认事件实时同步至闭环管理系统；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医生停止医嘱后，护士对未执行药品办理退药申请，并将退药申请事件实时同步至闭环管理系统；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tc>
      </w:tr>
      <w:tr>
        <w:trPr>
          <w:trHeight w:val="89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病区药房工作站（改造）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药房完成药品准备后（含包药机自动摆药、人工备药），将备药完成事件及相关记录实时推送至闭环管理系统；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药房完成药品发放后，将发药事件、发药人、发药时间等信息实时推送至闭环管理系统；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接收闭环管理系统实时消息，及时获取护士药品申领、退药申请、医嘱变更、医嘱停止等流程信息；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针对长期口服药医嘱，支持按单条摆药记录或发药记录，关联查看对应医嘱的全流程闭环管理记录；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药房接收病区退药并完成退药核对确认后，将退药接收完成事件实时推送至闭环管理系统。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住院长期口服药全流程闭环管理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构建住院长期口服药医嘱从开立、确认、拆解、申领、摆药、发药、配送、接收、执行，至医嘱停止、核对、退药的全流程闭环链条；</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支持根据医嘱不同给药频次，循环生成多次独立的单次执行子流程，并对每个执行单元进行闭环跟踪；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统一接收医生站、护士站、药房工作站、移动护理等系统推送的各节点事件数据，形成完整闭环台账；并按医院业务习惯设计可视化流程展示图，清晰呈现各环节状态、操作人、操作时间；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对闭环全流程各节点进行监控分析与异常预警，对超时未确认、超时未摆药、超时未接收、超时未执行、医嘱已停止未核对、未退药、执行异常等情况进行特殊标识高亮展示；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将异常预警信息实时推送至对应责任岗位工作站（医生站/护士站/药房工作站），支持提醒查看、处理反馈与处理回执记录；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长期口服药闭环展示页面支持通过授权认证、权限控制、安全接口方式被第三方系统调用，展示内容、样式、数据一致性与闭环管理系统原生页面保持一致；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66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住院口服药闭环过程管理（临时）</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住院口服药闭环过程管理（临时）需实现从临时口服药品医嘱开立、护士确认、摆药、发药、药品配送、病区接收、护士执行等各环节业务流程的闭环管理。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医生提交临时口服药医嘱时，将医嘱开立事件及关键信息实时同步至闭环管理系统；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如医嘱提交涉及药师人工审方，需将审方人、审方时间、审方结论等审方信息实时同步至闭环管理系统；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医生撤销临时口服药医嘱时，将医嘱ID、撤销人、撤销时间等撤销事件信息实时同步至闭环管理系统；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医生作废临时口服药医嘱时，将医嘱ID、作废人、作废时间等作废事件信息实时同步至闭环管理系统；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接收闭环管理系统实时消息，及时准确展示医嘱各环节状态信息，包括护士确认、药品申领、药房发药、病区接收、医嘱执行等流程节点；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针对临时口服药医嘱，支持按单条医嘱查看全流程闭环管理记录；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实现与处方点评系统对接，可在医生站展示医嘱点评结果、不合理用药原因，并支持医生在线发起点评申诉。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护士完成临时口服药医嘱确认后，将医嘱确认事件实时同步至闭环管理系统；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根据临时医嘱属性生成单次待执行记录，用于药品申领与摆药，并将待摆药事件实时发送至闭环管理系统；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护士发起药品申领时，将临时口服药药品申领事件同步至闭环管理系统，供药房备药使用；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病区接收药品时，与移动护理系统对接获取药品接收数据，并将病区药品接收事件实时同步至闭环管理系统；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护士执行医嘱给药时，与移动护理系统对接获取执行数据，并将医嘱执行结果（执行人、执行时间等信息）实时同步至闭环管理系统；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接收闭环管理系统实时消息，及时获取医嘱提交、撤销、作废、药房发药、药品配送、超时预警、停止待核对等提醒信息；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临时医嘱因故不执行时，护士对未执行药品办理退药申请，并将退药申请事件实时同步至闭环管理系统；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 护士完成撤销或作废医嘱核对确认后，将医嘱撤销或作废核对确认事件信息实时同步至闭环管理系统。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病区药房工作站（改造）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药房完成临时口服药药品准备后（含人工摆药、包药机摆药），将备药完成事件及相关记录实时同步至闭环管理系统；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接收闭环管理系统实时消息，及时获取护士药品申领、退药申请、医嘱变更（撤销、作废）等流程信息；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针对临时口服药医嘱，支持按单条摆药记录或发药记录，关联查看对应医嘱的全流程闭环管理记录；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药房接收病区退药并完成退药核对确认后，将退药接收完成事件实时同步至闭环管理系统。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住院长期口服药全流程闭环管理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构建临时口服药医嘱从开立、确认、申领、摆药、发药、配送、接收、执行，及医嘱撤销、作废、退药等特殊环节在内的全流程闭环链条；</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临时医嘱均为单次执行模式，不生成循环执行节点，对单次执行全程闭环跟踪；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统一接收医生站、护士站、药房工作站、移动护理等系统同步的各节点事件数据，形成完整闭环台账，并按医院业务习惯设计可视化流程展示图，清晰呈现各环节状态、操作人、操作时间；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对闭环全流程各节点进行监控分析与异常预警，对超时未确认、超时未摆药、超时未接收、超时未执行、医嘱撤销与作废未核对、执行异常等情况进行特殊标识高亮展示;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将异常预警信息实时同步至对应责任岗位工作站（医生站/护士站/药房工作站），支持提醒查看、处理反馈与处理回执记录;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临时口服药闭环展示页面支持通过授权认证、权限控制、安全接口方式被第三方系统调用，展示内容、样式、数据一致性与闭环管理系统原生页面保持一致;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51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门急诊口服药闭环过程管理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门急诊口服药闭环过程管理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门急诊口服药闭环过程管理需实现从门急诊口服药品医嘱开立、患者缴费、备药、发药等各环节业务流程的闭环管理。</w:t>
            </w:r>
            <w:r>
              <w:rPr>
                <w:rFonts w:hint="eastAsia" w:ascii="宋体" w:hAnsi="宋体" w:cs="宋体"/>
                <w:bCs/>
                <w:sz w:val="24"/>
                <w:szCs w:val="24"/>
              </w:rPr>
            </w:r>
            <w:r/>
          </w:p>
        </w:tc>
      </w:tr>
      <w:tr>
        <w:trPr>
          <w:trHeight w:val="58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医生提交门急诊口服药医嘱时，将医嘱开立事件及关键信实时同步至闭环管理系统；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如医嘱提交涉及药师人工审方，需将审方人、审方时间、审方结论等审方信息实时同步至闭环管理系统；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医生作废口服药医嘱时，将医嘱作废事件及作废原因、作废人、作废时间等信息实时同步至闭环管理系统（仅已提交未缴费的医嘱可作废）；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接收闭环管理系统实时消息，及时准确展示医嘱各环节状态信息，包括药师审方、患者缴费、药房备药、药房发药等流程节点；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针对门急诊口服药医嘱，支持按单条医嘱或单张处方查看全流程闭环管理记录，清晰展示审方、缴费、备药、发药等各环节详情；</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实现与处方点评系统对接，可在医生站展示门急诊口服药医嘱点评结果、不合理用药原因，并支持医生在线发起点评申诉。</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接收门急诊医生站同步的门诊口服药医嘱信息，完成患者缴费操作后，将缴费事件（缴费人、缴费时间、缴费状态）实时同步至闭环管理系统；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支持按患者医嘱或处方，关联查看对应门急诊口服药医嘱的闭环状态。</w:t>
            </w:r>
            <w:r>
              <w:rPr>
                <w:rFonts w:hint="eastAsia" w:ascii="宋体" w:hAnsi="宋体" w:cs="宋体"/>
                <w:bCs/>
                <w:sz w:val="24"/>
                <w:szCs w:val="24"/>
              </w:rPr>
            </w:r>
            <w:r/>
          </w:p>
        </w:tc>
      </w:tr>
      <w:tr>
        <w:trPr>
          <w:trHeight w:val="384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门急诊药房（改造）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药房完成药品准备后，将备药完成事件（备药人、备药时间、备药窗口等信息）实时同步至闭环管理系统；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药房完成药品发放后，将发药事件（发药人、发药时间、发药窗口等信息）实时同步至闭环管理系统；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药房完成退药确认后，将退药完成事件（退药人、退药时间等信息）实时同步至闭环管理系统，触发闭环流程回溯更新；</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接收闭环管理系统实时消息，及时获取处方流转各环节状态信息；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针对门急诊口服药医嘱，支持按处方或备药发药记录，关联查看对应医嘱的全流程闭环管理记录（开立、审方、缴费、摆药、发药）。</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门诊口服药全流程闭环管理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构建门诊口服药医嘱全流程闭环链条，至少包括医嘱开立、药师审方、患者缴费、药房备药、药房发药、退药等流程节点，实现全流程闭环跟踪；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统一接收门急诊医生站、门急诊收费处、门诊药房等系统同步的各节点事件数据，形成完整闭环台账；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对闭环全流程各节点进行监控分析与异常预警，对审方超时、缴费超时、备发药超时等情况进行特殊标识高亮展示；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将异常预警信息实时同步至对应责任岗位工作站（门急诊医生站、收费处、门诊药房），支持提醒查看、处理反馈与处理回执记录，确保异常及时处置；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门诊口服药闭环展示页面支持通过授权认证、权限控制、安全接口方式被第三方系统调用，展示内容、样式、数据一致性与闭环管理系统原生页面保持一致；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631"/>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住院中药闭环过程管理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住院中药闭环过程管理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住院中药闭环过程管理需实现从住院中药医嘱开立、护士确认、摆药、草药调剂、煎药、药品配送、病区接收、护士执行等各环节业务流程的闭环管理。</w:t>
            </w:r>
            <w:r>
              <w:rPr>
                <w:rFonts w:hint="eastAsia" w:ascii="宋体" w:hAnsi="宋体" w:cs="宋体"/>
                <w:bCs/>
                <w:sz w:val="24"/>
                <w:szCs w:val="24"/>
              </w:rPr>
            </w:r>
            <w:r/>
          </w:p>
        </w:tc>
      </w:tr>
      <w:tr>
        <w:trPr>
          <w:trHeight w:val="44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医生提交住院中药饮片医嘱时，将医嘱开立事件及关键信息实时同步至闭环管理系统；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如医嘱提交涉及药师人工审方（中药配伍审核、用量审核等），需将审方人、审方时间、审方结论及审核意见实时同步至闭环管理系统；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医生撤销中药饮片医嘱时，将医嘱ID、撤销人、撤销时间等撤销事件信息实时同步至闭环管理系统；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医生作废中药饮片医嘱时，将医嘱ID、作废人、作废时间等作废事件信息实时同步至闭环管理系统；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接收闭环管理系统实时消息，及时准确展示医嘱各环节状态信息，包括药师审方、中药房饮片调配、中药煎配、病区接收、护士逐剂发放执行等流程节点；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针对住院中药饮片医嘱，支持按单张饮片处方查看全流程闭环管理记录；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实现与处方点评系统对接，可在医生站展示住院中药饮片医嘱点评结果、不合理配伍/用量原因，并支持医生在线发起点评申诉。</w:t>
            </w:r>
            <w:r>
              <w:rPr>
                <w:rFonts w:hint="eastAsia" w:ascii="宋体" w:hAnsi="宋体" w:cs="宋体"/>
                <w:bCs/>
                <w:sz w:val="24"/>
                <w:szCs w:val="24"/>
              </w:rPr>
            </w:r>
            <w:r/>
          </w:p>
        </w:tc>
      </w:tr>
      <w:tr>
        <w:trPr>
          <w:trHeight w:val="52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护士完成住院中药饮片医嘱确认后，将医嘱确认事件实时同步至闭环管理系统；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根据中药饮片医嘱特性进行医嘱拆解，实现按单张处方单次煎药，按剂（药包）数逐剂发放与执行；</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接收中药房发放的代煎药品，与移动护理系统对接获取接收数据，将病区中药接收事件（接收人、接收时间等）实时同步至闭环管理系统；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护士按逐剂（包）执行记录为患者发放服用中药后，与移动护理系统对接获取执行数据，将单次中药执行结果、执行人、执行时间等实时同步至闭环管理系统；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接收闭环管理系统实时消息，及时获取中药饮片医嘱提交、中药调配、煎配进度、超时预警、撤销或作废待核对等提醒信息；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针对住院中药饮片医嘱，支持按单张饮片处方查看全流程闭环管理记录及逐剂（药包）执行明细、状态。</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中药房住院配发药（改造）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接收闭环管理系统同步的住院中药医嘱信息，生成中药饮片调配任务，完成饮片调配后，将调配完成事件（调配人、调配时间、调配明细、核对结果）实时同步至闭环管理系统；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对于代煎饮片处方，根据煎服要求将代煎处方信息同步至代煎药系统，并从代煎药系统获取中药煎药各环节记录信息，实时同步至闭环管理系统；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将调配或代煎的药品按照发放要求进行发药,并将发放事件信息实时同步至闭环管理系统；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接收闭环管理系统实时消息，及时获取中药医嘱各流程节点信息；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针对住院中药医嘱，支持按单张处方、单条调配记录、煎配记录等，关联查看对应医嘱的全流程闭环管理记录。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住院中药全流程闭环管理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▲构建住院中药饮片医嘱全流程闭环链条，重点强化中药煎配进度管控及中药饮片按剂（药包）分次执行记录，实现全流程闭环跟踪；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统一接收住院医生站、住院护士站、住院中药房等系统同步的各节点事件数据，形成完整闭环台账；按医院住院中药业务习惯设计可视化流程展示图，清晰呈现各环节状态、操作人、操作时间、关键信息；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对闭环全流程各节点进行监控分析与异常预警，重点对调配超时、煎配超时等情况进行特殊标识高亮展示；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支持不同中药饮片医嘱预警规则，出院带药允许一次性执行，非出院带药医嘱不允许一次性执行；</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将异常预警信息实时同步至对应责任岗位工作站（住院医生站、护士站、中药房），支持提醒查看、处理反馈与处理回执记录，确保异常及时处置，保障中药用药安全；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住院中药闭环展示页面支持通过授权认证、权限控制、安全接口方式被第三方系统调用，展示内容、样式、数据一致性与闭环管理系统原生页面保持一致；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建立闭环全流程操作日志，所有节点记录不可篡改，支持事后审计、追溯与质控查阅，满足住院中药医疗质控管理要求。</w:t>
            </w:r>
            <w:r>
              <w:rPr>
                <w:rFonts w:hint="eastAsia" w:ascii="宋体" w:hAnsi="宋体" w:cs="宋体"/>
                <w:bCs/>
                <w:sz w:val="24"/>
                <w:szCs w:val="24"/>
              </w:rPr>
            </w:r>
            <w:r/>
          </w:p>
        </w:tc>
      </w:tr>
      <w:tr>
        <w:trPr>
          <w:trHeight w:val="264"/>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门急诊中药闭环过程管理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门急诊中药闭环过程管理（代煎）</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门急诊中药闭环过程管理（代煎）需实现从门急诊中药医嘱开立、患者缴费、收方、草药调剂、煎药、发药（患者自取）、中药配送（邮寄）、中药签收（邮寄）等各环节业务流程的闭环管理。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医生提交门急诊中药饮片代煎处方时，将处方开立事件及关键信息（患者信息、代煎要求、取药方式选择（自取/邮寄）、开立人、开立时间等）实时同步至闭环管理系统；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如处方提交涉及药师人工审方（中药配伍审核、用量审核等），需将审方人、审方时间、审方结论等实时同步至闭环管理系统；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医生作废中药饮片医嘱时，将医嘱作废事件及作废原因、作废人、作废时间等信息实时同步至闭环管理系统（仅已提交未缴费的医嘱可作废）；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接收闭环管理系统实时消息，及时准确展示处方各环节状态信息，包括药师审方、患者缴费、中药房饮片调配、代煎进度、取药/邮寄配送状态等流程节点；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针对门急诊中药饮片代煎处方，支持按单条处方查看全流程闭环管理记录，清晰展示审方、调配、代煎、取药/邮寄、签收等各环节详情及相关记录；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实现与处方点评系统对接，可在医生站展示门急诊中药饮片代煎处方点评结果，并支持医生在线发起点评申诉。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接收患者代煎处方，完成患者缴费操作后，将缴费事件关键信息（包括缴费时间、缴费状态等）实时同步至闭环管理系统；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接收闭环管理系统实时消息，及时获取处方流转各环节状态信息；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支持根据单张处方，关联查看对应中药饮片代煎处方的闭环状态。</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中药房门诊配发药（改造）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接收患者已缴费的中药饮片处方，审核确认后根据患者煎配要求发送代煎任务至中药代煎系统，并将处方核对发送事件信息实时同步至闭环管理系统；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接收代煎系统中药煎药各环节记录信息，并实时同步至闭环管理系统；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针对患者自取模式：患者按约定时间到药房取药时，核对患者身份信息、处方信息后，完成取药交接，将自取取药事件（取药人、取药时间等）实时同步至闭环管理系统，完成处方闭环；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针对邮寄配送模式：代煎完成后，对接物流配送系统，接收物流系统反馈的邮寄签收状态，同步至闭环管理系统，完成处方闭环；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接收闭环管理系统实时消息，及时获取代煎处方各环节流程信息；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针对门急诊中药饮片代煎处方，支持按单条调配记录、代煎记录、取药记录、邮寄记录，关联查看对应处方的全流程闭环管理记录。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门急诊代煎中药饮片全流程闭环管理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构建门急诊中药饮片代煎处方全流程闭环链条，重点支撑两种取药模式（患者自取、邮寄配送），实现代煎全流程、取药/配送全环节闭环跟踪；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收费处、中药房等同步的各节点事件数据，重点记录饮片调配、代煎进度、取药交接、邮寄配送及签收信息，形成完整闭环台账；按医院门急诊中药代煎业务习惯设计可视化流程展示图，清晰呈现各环节状态、操作人、操作时间等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对闭环全流程各节点进行监控分析与异常预警，重点对代煎超时、患者未按时取药、邮寄配送超时、代煎异常、等情况进行特殊标识高亮展示；针对邮寄模式，额外预警物流异常（如滞留、退回）；</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将异常预警信息实时同步至对应责任岗位工作站（门急诊医生站、收费处、中药房），支持提醒查看、处理反馈与处理回执记录，保障中药代煎、取药/配送安全有序；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建立闭环全流程操作日志，所有节点记录（含煎药流程、患者取药、邮寄物流）不可篡改，支持事后审计、追溯与质控查阅，满足门急诊中药代煎医疗质控管理要求。</w:t>
            </w:r>
            <w:r>
              <w:rPr>
                <w:rFonts w:hint="eastAsia" w:ascii="宋体" w:hAnsi="宋体" w:cs="宋体"/>
                <w:bCs/>
                <w:sz w:val="24"/>
                <w:szCs w:val="24"/>
              </w:rPr>
            </w:r>
            <w:r/>
          </w:p>
        </w:tc>
      </w:tr>
      <w:tr>
        <w:trPr>
          <w:trHeight w:val="503"/>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门急诊中药闭环过程管理（自煎）</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门急诊中药闭环过程管理（患者自煎）需实现从门急诊中药医嘱开立、患者缴费、收方、草药调剂、发药、取药等各环节业务流程的闭环管理。</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医生提交门急诊中药饮片自煎处方时，将处方开立事件及关键信息（患者信息、自煎要求、开立人、开立时间等）实时同步至闭环管理系统；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如处方提交涉及药师人工审方（中药配伍审核、用量审核等），需将审方人、审方时间、审方结论等实时同步至闭环管理系统；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医生作废中药饮片医嘱时，将医嘱作废事件及作废原因、作废人、作废时间等信息实时同步至闭环管理系统（仅已提交未缴费的医嘱可作废）；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接收闭环管理系统实时消息，及时准确展示处方各环节状态信息，包括药师审方、患者缴费、中药房饮片调配、发药状态等流程节点；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针对门急诊中药饮片自煎处方，支持按单条处方查看全流程闭环管理记录，清晰展示审方、调配、发药等各环节详情及相关记录；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实现与处方点评系统对接，可在医生站展示门急诊中药饮片自煎处方点评结果，并支持医生在线发起点评申诉。</w:t>
            </w:r>
            <w:r>
              <w:rPr>
                <w:rFonts w:hint="eastAsia" w:ascii="宋体" w:hAnsi="宋体" w:cs="宋体"/>
                <w:bCs/>
                <w:sz w:val="24"/>
                <w:szCs w:val="24"/>
              </w:rPr>
            </w:r>
            <w:r/>
          </w:p>
        </w:tc>
      </w:tr>
      <w:tr>
        <w:trPr>
          <w:trHeight w:val="514"/>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接收患者自煎处方，完成患者缴费操作后，将缴费事件关键信息（包括缴费时间、缴费状态等）实时同步至闭环管理系统；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接收闭环管理系统实时消息，及时获取处方流转各环节状态信息；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支持根据单张处方，关联查看对应中药饮片自煎处方的闭环状态。</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中药房门诊配发药（改造）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接收患者已缴费的中药饮片处方，审核确认后进行药品调配，并将中药饮片处方调配事件信息实时同步至闭环管理系统；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根据已调配的处方进行发药确认，并将中药饮片处方发药事件信息实时同步至闭环管理系统；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接收闭环管理系统实时消息，及时获取自煎处方各环节流程信息；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针对门急诊中药饮片代煎处方，支持按单条调配记录、发药记录，关联查看对应处方的全流程闭环管理记录。</w:t>
            </w:r>
            <w:r>
              <w:rPr>
                <w:rFonts w:hint="eastAsia" w:ascii="宋体" w:hAnsi="宋体" w:cs="宋体"/>
                <w:bCs/>
                <w:sz w:val="24"/>
                <w:szCs w:val="24"/>
              </w:rPr>
            </w:r>
            <w:r/>
          </w:p>
        </w:tc>
      </w:tr>
      <w:tr>
        <w:trPr>
          <w:trHeight w:val="9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门急诊自煎中药饮片全流程闭环管理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构建门急诊中药饮片自煎处方全流程闭环链条，贴合自煎处方直接取药的特点，不涉及代煎、邮寄环节，实现全流程闭环跟踪；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收费处、中药房等系统同步的各节点事件数据，重点记录饮片调配、发药交接信息，形成完整闭环台账；按医院门急诊中药自煎业务习惯设计简洁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对闭环全流程各节点进行监控分析与异常预警，重点对调配超时、发药超时、缴费后未及时取药等情况进行特殊标识高亮展示；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将异常预警信息实时同步至对应责任岗位工作站（门急诊医生站、收费处、中药房），支持提醒查看、处理反馈与处理回执记录，确保异常及时处置，保障中药自煎处方调配、发药安全；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建立闭环全流程操作日志，所有节点记录（含审核调配、复核发药等）不可篡改，支持事后审计、追溯与质控查阅，满足门急诊中药自煎医疗质控管理要求。</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住院静脉输液闭环过程管理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住院静脉输液用药闭环过程管理（长期）</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静脉输液用药（长期）需实现从长期静脉输液药品医嘱开立、护士确认、摆药、PIVAS调配、打包送出、病区接收、输液开始、输液巡视、输液结束、医嘱停止、护士核对停止医嘱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本闭环流程设计需预留PIVAS（静脉用药调配中心）对接接口及相关功能模块，明确流程衔接节点，后期医院引进PIVAS并上线时，本次建设的闭环管理系统无需额外改造，不收取任何改造费用。当前配液流程由病区护士完成，闭环系统优先适配现有配液模式，同时兼容后期PIVAS配液模式的无缝切换。</w:t>
            </w:r>
            <w:r>
              <w:rPr>
                <w:rFonts w:hint="eastAsia" w:ascii="宋体" w:hAnsi="宋体" w:cs="宋体"/>
                <w:bCs/>
                <w:sz w:val="24"/>
                <w:szCs w:val="24"/>
              </w:rPr>
            </w:r>
            <w:r/>
          </w:p>
        </w:tc>
      </w:tr>
      <w:tr>
        <w:trPr>
          <w:trHeight w:val="203"/>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医生提交住院长期静脉输液医嘱时，将医嘱开立事件及关键信息（患者信息、给药频次、开立人、开立时间等）实时同步至闭环管理系统；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如医嘱提交涉及药师人工审方（静脉用药配伍审核、用量审核等），需将审方人、审方时间、审方结论信息实时同步至闭环管理系统；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医生停止住院长期静脉输液医嘱时，将医嘱停止事件及停止原因、停止人、停止时间实时同步至闭环管理系统；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医生撤销住院长期静脉输液医嘱时，将医嘱撤销事件及撤销人、撤销时间实时同步至闭环管理系统（仅已提交且还未进入后续流程节点的可以撤销）；</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医生作废住院长期静脉输液医嘱时，将医嘱作废事件及作废人、作废时间实时同步至闭环管理系统（仅护士确认且还未进入后续流程节点的可以作废）；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接收闭环管理系统实时消息，及时准确展示医嘱各环节状态信息，包括药师审方、病区配液、配液核对、输液执行、医嘱停止核对等流程节点；预留PIVAS对接后，同步展示PIVAS配液、配送状态；</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针对住院长期静脉输液医嘱，支持按组输液医嘱查看全流程闭环管理记录，清晰展示审方、配液、核对、执行等各环节详情及相关记录；预留PIVAS对接后，可查看PIVAS配液、配送相关记录；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实现与处方点评系统对接，可在医生站展示住院长期静脉输液医嘱点评结果、不合理用药/配伍原因，并支持医生在线发起点评申诉。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护士完成住院长期静脉输液医嘱确认后，将医嘱确认事件实时同步至闭环管理系统；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根据长期医嘱给药频次自动拆解生成单次待执行记录，用于药品申领与摆药，并将拆解结果及待摆药事件实时发送至闭环管理系统；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护士发起药品申领时，将长期静脉输液药品申领事件及对应拆解明细信息同步至闭环管理系统，供药房备药使用；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病区接收药品时，与移动护理系统对接获取药品接收数据，并将病区药品接收事件实时同步至闭环管理系统；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当前按病区护士配液模式，护士完成病区配液后，将配液完成事件（配液人、配液时间等）实时同步至闭环管理系统；预留PIVAS对接后，可直接接收PIVAS配液完成数据；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护士执行静脉输液，与移动护理系统对接获取执行数据，将单次输液执行结果、执行人、执行时间等实时同步至闭环管理系统；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接收闭环管理系统实时消息，及时获取医嘱状态、配液异常、输液超时预警等提醒信息；预留PIVAS对接后，同步接收PIVAS配液进度、配送提醒；</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针对住院长期静脉输液医嘱，支持按单组医嘱查看全流程闭环管理记录及历次配液、输液执行明细、状态；预留PIVAS对接后，可关联查看PIVAS配液、配送记录；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护士完成停止医嘱核对确认后，将医嘱停止核对确认事件实时同步至闭环管理系统；预留PIVAS对接后，同步向PIVAS推送停止配液通知。</w:t>
            </w:r>
            <w:r>
              <w:rPr>
                <w:rFonts w:hint="eastAsia" w:ascii="宋体" w:hAnsi="宋体" w:cs="宋体"/>
                <w:bCs/>
                <w:sz w:val="24"/>
                <w:szCs w:val="24"/>
              </w:rPr>
            </w:r>
            <w:r/>
          </w:p>
        </w:tc>
      </w:tr>
      <w:tr>
        <w:trPr>
          <w:trHeight w:val="91"/>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住院药房工作站（改造）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药房完成药品准备后，将备药完成事件及相关记录实时同步至闭环管理系统；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预留PIVAS对接接口，后期上线PIVAS后，可直接向PIVAS同步输液药品发放信息等；接收PIVAS同步的药品领用、退药信息，同步更新闭环状态；</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接收闭环管理系统实时消息，及时获取医嘱各节点状态等流程信息；预留PIVAS对接后，同步接收PIVAS配液、退药相关消息；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针对住院长期静脉输液医嘱，支持按单组发药记录，关联查看对应医嘱的全流程闭环管理记录（开立、审方、发药、配液、执行）；预留PIVAS对接后，可关联查看PIVAS配液、配送记录。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住院长期静脉输液全流程闭环管理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构建住院长期静脉输液医嘱全流程闭环链条，重点适配当前病区护士配液流程，同时预留PIVAS对接所需的接口、数据字段、流程节点，确保后期PIVAS上线时无缝切换；</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住院药房等系统同步的各节点事件数据，重点记录配液、核对、输液执行等关键信息，形成完整闭环台账；预留PIVAS数据对接模块，后期可直接接收PIVAS配液、核对、配送等相关数据，无需修改系统架构；</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按医院住院长期静脉输液业务习惯设计可视化流程展示图，清晰呈现各环节状态、操作人、操作时间、关键信息；预留PIVAS流程展示节点，后期切换为PIVAS配液模式后，自动展示PIVAS相关环节；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对闭环全流程各节点进行监控分析与异常预警，重点对配液超时、输液超时未执行、输液异常等情况进行特殊标识高亮展示；预留PIVAS预警节点，后期可同步预警PIVAS配液、配送异常。</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将异常预警信息实时同步至对应责任岗位工作站（住院医生站、护士站、药房）；预留PIVAS对接后，可同步发送预警信息至PIVAS工作站，支持提醒查看、处理反馈与处理回执记录，确保异常及时处置；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闭环展示页面支持通过授权认证、权限控制、安全接口方式被第三方系统调用；预留PIVAS对接接口，支持与后期上线的PIVAS系统安全对接，实现数据互通、流程联动，展示内容、样式、数据一致性保持不变；</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建立闭环全流程操作日志，所有节点记录（含配液核对、输液执行、PIVAS相关对接数据，后期补充）不可篡改，支持事后审计、追溯与质控查阅；预留PIVAS日志记录模块，后期自动同步PIVAS相关操作日志；</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明确PIVAS对接相关技术规范（含接口协议、数据格式、交互时效），预留对接端口，确保后期PIVAS上线时，仅需完成基础配置即可实现无缝对接，本闭环系统不再收取改造费用。</w:t>
            </w:r>
            <w:r>
              <w:rPr>
                <w:rFonts w:hint="eastAsia" w:ascii="宋体" w:hAnsi="宋体" w:cs="宋体"/>
                <w:bCs/>
                <w:sz w:val="24"/>
                <w:szCs w:val="24"/>
              </w:rPr>
            </w:r>
            <w:r/>
          </w:p>
        </w:tc>
      </w:tr>
      <w:tr>
        <w:trPr>
          <w:trHeight w:val="754"/>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住院静脉输液用药闭环过程管理（临时）</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住院静脉输液用药（临时）需实现从长期静脉输液药品医嘱开立、护士确认、摆药、PIVAS调配、打包送出、病区接收、输液开始、输液巡视、输液结束等各环节业务流程的闭环管理。</w:t>
            </w:r>
            <w:r>
              <w:rPr>
                <w:rFonts w:hint="eastAsia" w:ascii="宋体" w:hAnsi="宋体" w:cs="宋体"/>
                <w:bCs/>
                <w:sz w:val="24"/>
                <w:szCs w:val="24"/>
              </w:rPr>
            </w:r>
            <w:r/>
          </w:p>
        </w:tc>
      </w:tr>
      <w:tr>
        <w:trPr>
          <w:trHeight w:val="54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本闭环流程设计需预留PIVAS（静脉用药调配中心）对接接口及相关功能模块，明确流程衔接节点，后期医院引进PIVAS并上线时，本次建设的闭环管理系统无需额外改造，不收取任何改造费用。当前配液流程由病区护士完成，闭环系统优先适配现有配液模式，同时兼容后期PIVAS配液模式的无缝切换。</w:t>
            </w:r>
            <w:r>
              <w:rPr>
                <w:rFonts w:hint="eastAsia" w:ascii="宋体" w:hAnsi="宋体" w:cs="宋体"/>
                <w:bCs/>
                <w:sz w:val="24"/>
                <w:szCs w:val="24"/>
              </w:rPr>
            </w:r>
            <w:r/>
          </w:p>
        </w:tc>
      </w:tr>
      <w:tr>
        <w:trPr>
          <w:trHeight w:val="694"/>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医生提交住院临时静脉输液医嘱时，将医嘱开立事件及关键信息（患者信息、开立人、开立时间等）实时同步至闭环管理系统；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如医嘱提交涉及药师人工审方（静脉用药配伍审核、用量审核），需将审方人、审方时间、审方结论及审核意见实时同步至闭环管理系统；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医生撤销住院临时静脉输液医嘱时，将医嘱撤销事件及撤销人、撤销时间实时同步至闭环管理系统（仅已提交且还未进入后续流程节点的可以撤销）；</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医生作废住院长期静脉输液医嘱时，将医嘱作废事件及作废人、作废时间实时同步至闭环管理系统（仅护士确认且还未进入后续流程节点的可以作废）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接收闭环管理系统实时消息，及时准确展示医嘱各环节状态信息，包括药师审方、病区配液、配液核对、输液执行等流程节点；预留PIVAS对接后，同步展示PIVAS配液、配送状态；</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针对住院临时静脉输液医嘱，支持按单组医嘱查看全流程闭环管理记录，清晰展示审方、配液、核对、执行等各环节详情及相关记录；预留PIVAS对接后，可查看PIVAS配液、配送相关记录；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实现与处方点评系统对接，可在医生站展示住院临时静脉输液医嘱点评结果、不合理用药/配伍原因，并支持医生在线发起点评申诉。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护士完成住院临时静脉输液医嘱确认后，将医嘱确认事件实时同步至闭环管理系统；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护士根据输液医嘱即时发送领药申请，并将临时静脉输液医嘱药品申领事件同步至闭环管理系统；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病区接收药品时，与移动护理系统对接获取药品接收数据，并将病区药品接收事件实时同步至闭环管理系统；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当前按病区护士配液模式，护士完成病区配液后，将配液完成事件（配液人、配液时间等）实时同步至闭环管理系统；预留PIVAS对接后，可直接接收PIVAS配液完成数据；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护士执行静脉输液，与移动护理系统对接获取执行数据，将输液执行结果、执行人、执行时间等实时同步至闭环管理系统；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接收闭环管理系统实时消息，及时获取医嘱状态、配液异常、输液超时预警等提醒信息；预留PIVAS对接后，同步接收PIVAS配液进度、配送提醒；</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针对住院临时静脉输液医嘱，支持按单组医嘱查看全流程闭环管理记录；预留PIVAS对接后，可关联查看PIVAS配液、配送记录。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住院药房工作站（改造）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接收病区护士住院临时静脉输液医嘱，进行药品准备，并将临时静脉输液备药事件（备药人、备药时间等）实时同步至闭环管理系统；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预留PIVAS对接接口，后期上线PIVAS后，可直接向PIVAS推送输液药品发放信息；接收PIVAS推送的药品领用、退药信息，同步更新闭环状态；</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接收闭环管理系统实时消息，及时获取医嘱各节点流程信息；预留PIVAS对接后，同步接收PIVAS配液相关消息；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针对住院临时静脉输液医嘱，支持按单组发药记录，关联查看对应医嘱的全流程闭环管理记录（开立、审方、发药、配液、执行）；预留PIVAS对接后，可关联查看PIVAS配液、配送记录。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住院临时静脉输液全流程闭环管理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构建住院临时静脉输液医嘱全流程闭环链条，重点适配当前病区护士配液流程，贴合临时医嘱“单次执行”的特点，同时预留PIVAS对接所需的接口、数据字段、流程节点，确保后期PIVAS上线时无缝切换；</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住院药房等系统推送的各节点事件数据，重点记录配液、核对、输液执行等关键信息，形成完整闭环台账；预留PIVAS数据对接模块，后期可直接接收PIVAS配液、核对、配送等相关数据，无需修改系统架构；</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按医院住院临时静脉输液业务习惯设计可视化流程展示图，清晰呈现各环节状态、操作人、操作时间、关键信息；预留PIVAS流程展示节点，后期切换为PIVAS配液模式后，自动展示PIVAS相关环节，无需额外开发；</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对闭环全流程各节点进行监控分析与异常预警，重点对配液超时、输液超时未执行、输液异常等情况进行特殊标识高亮展示；预留PIVAS预警节点，后期可同步预警PIVAS配液、配送异常；</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将异常预警信息实时推送至对应责任岗位工作站（住院医生站、护士站、药房）；预留PIVAS对接后，可同步推送预警信息至PIVAS工作站，支持提醒查看、处理反馈与处理回执记录，确保异常及时处置；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闭环展示页面支持通过授权认证、权限控制、安全接口方式被第三方系统调用；预留PIVAS对接接口，支持与后期上线的PIVAS系统安全对接，实现数据互通、流程联动，展示内容、样式、数据一致性保持不变；</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建立闭环全流程操作日志，所有节点记录（含配液核对、输液执行、PIVAS相关对接数据，后期补充）不可篡改，支持事后审计、追溯与质控查阅；预留PIVAS日志记录模块，后期自动同步PIVAS相关操作日志；</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明确PIVAS对接相关技术规范（含接口协议、数据格式、交互时效），预留对接端口，确保后期PIVAS上线时，仅需完成基础配置即可实现无缝对接，本闭环系统不再收取改造费用。</w:t>
            </w:r>
            <w:r>
              <w:rPr>
                <w:rFonts w:hint="eastAsia" w:ascii="宋体" w:hAnsi="宋体" w:cs="宋体"/>
                <w:bCs/>
                <w:sz w:val="24"/>
                <w:szCs w:val="24"/>
              </w:rPr>
            </w:r>
            <w:r/>
          </w:p>
        </w:tc>
      </w:tr>
      <w:tr>
        <w:trPr>
          <w:trHeight w:val="33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门急诊静脉输液用药闭环过程管理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门急诊静脉输液用药闭环过程管理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门急诊脉输液用药闭环过程管理需实现从门急诊脉输液用药医嘱开立、患者缴费、备药、发药、输液室接收、护士核对、护士配液、输液执行等各环节业务流程的闭环管理。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医生提交门急诊静脉输液处方时，将处方开立事件及关键信息（患者信息、开立人、开立时间等）实时同步至闭环管理系统；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如处方提交涉及药师人工审方（静脉用药配伍审核、用量审核等），需将审方人、审方时间、审方结论及审核意见实时同步至闭环管理系统；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医生作废门急诊静脉输液处方时，将处方作废事件及作废人、作废时间实时同步至闭环管理系统（仅已提交且未缴费的处方可以作废）；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接收闭环管理系统实时消息，及时准确展示处方各环节状态信息，包括药师审方、患者缴费、输液室配液、输液执行、输液完成等流程节点；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针对门急诊静脉输液处方，支持按单组处方查看全流程闭环管理记录，清晰展示审方、缴费、配液、输液执行、输液完成等各环节详情及相关记录；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实现与处方点评系统对接，可在医生站展示门急诊静脉输液处方点评结果、不合理用药/配伍等，并支持医生在线发起点评申诉。</w:t>
            </w:r>
            <w:r>
              <w:rPr>
                <w:rFonts w:hint="eastAsia" w:ascii="宋体" w:hAnsi="宋体" w:cs="宋体"/>
                <w:bCs/>
                <w:sz w:val="24"/>
                <w:szCs w:val="24"/>
              </w:rPr>
            </w:r>
            <w:r/>
          </w:p>
        </w:tc>
      </w:tr>
      <w:tr>
        <w:trPr>
          <w:trHeight w:val="24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接收门急诊医生站同步的静脉输液处方信息，完成患者缴费操作后，将缴费事件（缴费人、缴费时间、缴费状态）实时同步至闭环管理系统；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支持按患者医嘱或处方，关联查看对应门急诊输液处方的闭环状态。</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门急诊药房（改造）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药房完成药品准备后，将备药完成事件（备药人、备药时间、备药窗口等信息）实时同步至闭环管理系统；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药房完成药品发放后，将发药事件（发药人、发药时间、发药窗口等信息）实时同步至闭环管理系统，已发药处方供后续输液室使用；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药房完成退药确认后，将退药完成事件（退药人、退药时间等信息）实时同步至闭环管理系统；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接收闭环管理系统实时消息，及时获取处方流转各环节状态信息；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针对门急诊静脉输液处方，支持按处方或备药发药记录，关联查看对应医嘱的全流程闭环管理记录，包括输液室使用记录。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门急诊静脉输液全流程闭环管理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构建门诊静脉输液处方全流程闭环链条，至少包括医嘱开立、药师审方、患者缴费、药房备药、药房发药、输液执行、退药等流程节点，实现全流程闭环跟踪；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统一接收门急诊医生站、门急诊收费处、门诊药房、输液室工作站等系统同步的各节点事件数据，形成完整闭环台账；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将异常预警信息实时同步至对应责任岗位工作站（门急诊医生站、收费处、门诊药房、输液室工作站），支持提醒查看、处理反馈与处理回执记录，确保异常及时处置；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门急诊静脉输液闭环展示页面支持通过授权认证、权限控制、安全接口方式被第三方系统调用，展示内容、样式、数据一致性与闭环管理系统原生页面保持一致；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19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住院注射用药闭环过程管理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住院注射用药闭环过程管理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住院注射用药闭环过程管理需实现从注射用药医嘱开立、护士确认、摆药、发药、配送、病区接收、注射执行等各环节业务流程的闭环管理。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医生提交住院注射用药医嘱（肌注、皮下、皮内、静脉推注等）后，将医嘱信息、开立人、开立时间等医嘱开立事件信息实时同步至闭环管理系统；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如住院注射用药医嘱提交涉及药师人工审方，需将审方人、审方时间、审方结论等审方信息实时同步至闭环管理系统；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医生作废注射用药医嘱后，将医嘱信息、作废人、作废时间等医嘱作废事件信息实时同步至闭环管理系统；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医生撤销注射用药医嘱后，将医嘱信息、撤销人、撤销时间等医嘱撤销事件信息实时同步至闭环管理系统；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接收闭环管理系统实时消息，及时准确展示医嘱各环节状态信息，包括开立、确认、摆药、发药、配送、接收到注射执行等流程节点；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针对注射用药医嘱，支持按单条医嘱查看全流程闭环管理记录，并可按医嘱执行明细分别展示执行情况；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实现与处方点评系统对接，可在医生站展示注射用药医嘱点评结果、不合理用药原因，并支持医生在线发起点评申诉。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护士完成注射用药医嘱确认后，将医嘱信息、确认人、确认时间等医嘱确认事件信息实时同步至闭环管理系统；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护士发起药品申领时，将注射用药药品申领事件及对应拆解明细信息同步至闭环管理系统，供药房备药使用；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病区接收药品时，与移动护理系统对接获取药品接收数据，并将病区药品接收事件实时同步至闭环管理系统；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护士执行医嘱给药时，与移动护理系统对接获取执行数据，并将单次医嘱执行结果（执行人、执行时间等信息）实时同步至闭环管理系统；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接收闭环管理系统实时消息，及时获取医嘱开立、确认、摆药、发药、配送、接收到注射执行等提醒信息；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病区药房工作站（改造）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药房完成药品准备后，将备药完成事件及相关记录实时推送至闭环管理系统；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药房完成药品发放后，将发药事件、发药人、发药时间等信息实时推送至闭环管理系统；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接收闭环管理系统实时消息，及时获取护士药品申领、退药申请、医嘱变更确认等流程信息；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针对注射用药医嘱，支持按单条摆药记录或发药记录，关联查看对应医嘱的全流程闭环管理记录；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药房接收病区退药并完成退药核对确认后，将退药接收完成事件实时推送至闭环管理系统。</w:t>
            </w:r>
            <w:r>
              <w:rPr>
                <w:rFonts w:hint="eastAsia" w:ascii="宋体" w:hAnsi="宋体" w:cs="宋体"/>
                <w:bCs/>
                <w:sz w:val="24"/>
                <w:szCs w:val="24"/>
              </w:rPr>
            </w:r>
            <w:r/>
          </w:p>
        </w:tc>
      </w:tr>
      <w:tr>
        <w:trPr>
          <w:trHeight w:val="87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住院注射药品全流程闭环管理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构建住院注射药品医嘱从开立、确认、申领、摆药、发药、配送、接收、执行，至医嘱作废、核对、退药的全流程闭环链条；</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支持根据医嘱不同给药频次，循环生成多次独立的单次执行子流程，并对每个执行单元进行闭环跟踪；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统一接收医生站、护士站、药房工作站、移动护理等系统推送的各节点事件数据，形成完整闭环台账；并按医院业务习惯设计可视化流程展示图，清晰呈现各环节状态、操作人、操作时间；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对闭环全流程各节点进行监控分析与异常预警，对超时未确认、超时未摆药、超时未接收、超时未执行、医嘱已停止未核对、未退药、执行异常等情况进行特殊标识高亮展示；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将异常预警信息实时推送至对应责任岗位工作站（医生站/护士站/药房工作站），支持提醒查看、处理反馈与处理回执记录；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住院注射用药闭环展示页面支持通过授权认证、权限控制、安全接口方式被第三方系统调用，展示内容、样式、数据一致性与闭环管理系统原生页面保持一致；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582"/>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门急诊注射用药闭环过程管理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门急诊注射用药闭环过程管理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门急诊注射用药闭环过程管理需实现从门急诊注射用药医嘱开立、患者缴费、备药、发药、注射室护士核对、注射执行等各环节业务流程的闭环管理。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医生提交门急诊注射用药处方（肌注、皮下、皮内、静脉推注等）时，将处方开立事件及关键信息（患者信息、处方信息、开立人、开立时间等）实时同步至闭环管理系统；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如处方提交涉及药师人工审方（注射用药配伍审核、用量审核等），需将审方人、审方时间、审方结论及审核意见实时同步至闭环管理系统；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医生作废门急诊注射用药处方时，将处方作废事件及作废人、作废时间实时同步至闭环管理系统（仅已提交且未缴费的处方可以作废）；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接收闭环管理系统实时消息，及时准确展示处方各环节状态信息，包括药师审方、患者缴费、药房备药、药房发药、护士核对到注射执行等流程节点；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针对门急诊注射用药处方，支持按单组处方查看全流程闭环管理记录，清晰展示审方、缴费、备药、发药、执行等各环节详情及相关记录；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实现与处方点评系统对接，可在医生站展示门急诊注射用药处方点评结果、不合理用药/配伍等，并支持医生在线发起点评申诉。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接收门急诊医生站同步的注射用药处方信息，完成患者缴费操作后，将缴费事件（缴费人、缴费时间、缴费状态）实时同步至闭环管理系统；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支持按患者医嘱或处方，关联查看对应门急诊注射用药处方的闭环状态。</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门急诊药房（改造）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药房完成药品准备后，将备药完成事件（备药人、备药时间、备药窗口等信息）实时同步至闭环管理系统；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药房完成药品发放后，将发药事件（发药人、发药时间、发药窗口等信息）实时同步至闭环管理系统，已发药处方供后续注射室使用；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药房完成退药确认后，将退药完成事件（退药人、退药时间等信息）实时同步至闭环管理系统；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接收闭环管理系统实时消息，及时获取处方流转各环节状态信息；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针对门急诊注射用药处方，支持按处方或备药发药记录，关联查看对应医嘱的全流程闭环管理记录。</w:t>
            </w:r>
            <w:r>
              <w:rPr>
                <w:rFonts w:hint="eastAsia" w:ascii="宋体" w:hAnsi="宋体" w:cs="宋体"/>
                <w:bCs/>
                <w:sz w:val="24"/>
                <w:szCs w:val="24"/>
              </w:rPr>
            </w:r>
            <w:r/>
          </w:p>
        </w:tc>
      </w:tr>
      <w:tr>
        <w:trPr>
          <w:trHeight w:val="97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 门急诊注射用药全流程闭环管理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构建门诊注射用药处方全流程闭环链条，至少包括医嘱开立、药师审方、患者缴费、药房备药、药房发药、注射执行、退药等流程节点，实现全流程闭环跟踪；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统一接收门急诊医生站、门急诊收费处、门诊药房、注射室工作站等系统同步的各节点事件数据，形成完整闭环台账；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将异常预警信息实时同步至对应责任岗位工作站（门急诊医生站、收费处、门诊药房、注射室工作站），支持提醒查看、处理反馈与处理回执记录，确保异常及时处置；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门急诊注射用药闭环展示页面支持通过授权认证、权限控制、安全接口方式被第三方系统调用，展示内容、样式、数据一致性与闭环管理系统原生页面保持一致；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特殊级抗菌药物闭环过程管理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特殊级抗菌药物闭环过程管理（静滴）</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特殊级抗菌药物闭环过程管理（静滴）需实现从医嘱下达、特殊级抗菌药物会诊申请、会诊专家审批、医嘱提交、医嘱确认、申请摆药、打包送出、病区接收、输液开始、输液巡视、输液结束等各环节业务流程的闭环管理。</w:t>
            </w:r>
            <w:r>
              <w:rPr>
                <w:rFonts w:hint="eastAsia" w:ascii="宋体" w:hAnsi="宋体" w:cs="宋体"/>
                <w:bCs/>
                <w:sz w:val="24"/>
                <w:szCs w:val="24"/>
              </w:rPr>
            </w:r>
            <w:r/>
          </w:p>
        </w:tc>
      </w:tr>
      <w:tr>
        <w:trPr>
          <w:trHeight w:val="45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医生提交静滴类特殊级抗菌药物时，将患者信息、医嘱信息、开立人、开立时间等医嘱开立事件信息实时同步至闭环管理系统；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如医嘱提交涉及药师人工审方（静滴类特殊级抗菌药物用药配伍审核、用量审核等），需将审方人、审方时间、审方结论等审方信息实时同步至闭环管理系统；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医生停止长期静滴类特殊级抗菌药物医嘱时，将患者信息、医嘱信息、停止人、停止时间等医嘱停止事件信息实时同步至闭环管理系统；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医生撤销长期静滴类特殊级抗菌药物医嘱时，将患者信息、医嘱信息、撤销人、撤销时间等医嘱撤销事件信息实时同步至闭环管理系统（仅已提交且还未进入后续流程节点的可以撤销）；</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医生作废长期静滴类特殊级抗菌药物医嘱时，患者信息、医嘱信息、作废人、作废时间等等医嘱作废事件信息实时同步至闭环管理系统（仅护士确认且还未进入后续流程节点的可以作废）；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医生提交特殊级抗菌药物会诊申请时，将特殊级抗菌药物信息、申请科室、申请医生、申请时间等特殊级抗菌药物会诊申请事件信息实时同步至闭环管理系统；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特殊级抗菌药物会诊权限的专家（抗菌药物管理工作组或指定会诊专家）审核会诊申请时，将特殊级抗菌药物会诊审核意见、审核人、审核时间等特殊级抗菌药物会诊申请审核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具备特殊级抗菌药物会诊权限的专家完成会诊后，将特殊级抗菌药物会诊专家、会诊时间等特殊级抗菌药物会诊完成事件信息实时同步至闭环管理系统；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医嘱下达、特殊级抗菌药物会诊申请、会诊专家审批、医嘱提交、医嘱确认、申请摆药、打包送出、病区接收、输液开始、输液巡视、输液结束、医嘱停止、医嘱停止确认等流程节点；预留PIVAS对接后，同步展示PIVAS配液、配送状态；</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▲针对长期静滴类特殊级抗菌药物医嘱，支持按单条医嘱查看全流程闭环管理记录，并可按医嘱拆解后的不同频次、单次执行明细分别展示执行情况；预留PIVAS对接后，可查看PIVAS配液、配送相关记录；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实现与处方点评系统对接，可在医生站展示长期静滴类特殊级抗菌药物医嘱点评结果、不合理用药原因，并支持医生在线发起点评申诉。</w:t>
            </w:r>
            <w:r>
              <w:rPr>
                <w:rFonts w:hint="eastAsia" w:ascii="宋体" w:hAnsi="宋体" w:cs="宋体"/>
                <w:bCs/>
                <w:sz w:val="24"/>
                <w:szCs w:val="24"/>
              </w:rPr>
            </w:r>
            <w:r/>
          </w:p>
        </w:tc>
      </w:tr>
      <w:tr>
        <w:trPr>
          <w:trHeight w:val="45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护士完成住院长期静滴类特殊级抗菌药物医嘱确认后，将医嘱确认事件实时同步至闭环管理系统；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根据长期医嘱给药频次自动拆解生成单次待执行记录，用于药品申领与摆药，并将拆解结果及待摆药事件实时发送至闭环管理系统；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护士发起药品申领时，将长期静滴类特殊级抗菌药物医嘱申领事件及对应拆解明细信息同步至闭环管理系统，供药房备药使用；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病区接收药品时，与移动护理系统对接获取药品接收数据，并将病区药品接收事件实时同步至闭环管理系统；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当前按病区护士配液模式，护士完成病区配液后，将配液完成事件（配液人、配液时间等）实时同步至闭环管理系统；预留PIVAS对接后，可直接接收PIVAS配液完成数据；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护士执行长期静滴类特殊级抗菌药物医嘱，与移动护理系统对接获取执行数据，将单次执行结果、执行人、执行时间等实时同步至闭环管理系统；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护士在执行长期静滴类特殊级抗菌药物医嘱时进行输液巡视，与移动护理系统对接获取执行数据，将单次巡视情况、巡视人、巡视时间等实时同步至闭环管理系统；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接收闭环管理系统实时消息，及时获取医嘱状态、配液异常、输液超时预警等提醒信息；预留PIVAS对接后，同步接收PIVAS配液进度、配送提醒；</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针对住院长期静滴类特殊级抗菌药物医嘱，支持按单组医嘱查看全流程闭环管理记录及历次配液、输液执行明细、状态；预留PIVAS对接后，可关联查看PIVAS配液、配送记录；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护士完成停止医嘱核对确认后，将医嘱停止核对确认事件实时同步至闭环管理系统；预留PIVAS对接后，同步向PIVAS推送停止配液通知。</w:t>
            </w:r>
            <w:r>
              <w:rPr>
                <w:rFonts w:hint="eastAsia" w:ascii="宋体" w:hAnsi="宋体" w:cs="宋体"/>
                <w:bCs/>
                <w:sz w:val="24"/>
                <w:szCs w:val="24"/>
              </w:rPr>
            </w:r>
            <w:r/>
          </w:p>
        </w:tc>
      </w:tr>
      <w:tr>
        <w:trPr>
          <w:trHeight w:val="45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住院药房工作站（改造）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药房完成长期静滴类特殊级抗菌药物准备后，将备药完成事件及相关记录实时同步至闭环管理系统；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药房完成长期静滴类特殊级抗菌药物发放后，将发药事件（发药人、发药时间等）实时同步至闭环管理系统；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预留PIVAS对接接口，后期上线PIVAS后，可直接向PIVAS同步长期静滴类特殊级抗菌药物发放信息等；接收PIVAS同步的药品领用、退药信息，同步更新闭环状态；</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接收闭环管理系统实时消息，及时获取长期静滴类特殊级抗菌药物医嘱各节点状态等流程信息；预留PIVAS对接后，同步接收PIVAS配液、退药相关消息；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针对住院长期静滴类特殊级抗菌药物医嘱，支持按单组发药记录，关联查看对应医嘱的全流程闭环管理记录（开立、审方、发药、配液、执行）；预留PIVAS对接后，可关联查看PIVAS配液、配送记录。</w:t>
            </w:r>
            <w:r>
              <w:rPr>
                <w:rFonts w:hint="eastAsia" w:ascii="宋体" w:hAnsi="宋体" w:cs="宋体"/>
                <w:bCs/>
                <w:sz w:val="24"/>
                <w:szCs w:val="24"/>
              </w:rPr>
            </w:r>
            <w:r/>
          </w:p>
        </w:tc>
      </w:tr>
      <w:tr>
        <w:trPr>
          <w:trHeight w:val="45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住院长期静滴类特殊级抗菌药物全流程闭环管理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构建住院长期静滴类特殊级抗菌药物医嘱全流程闭环链条，重点适配当前病区护士配液流程，同时预留PIVAS对接所需的接口、数据字段、流程节点（配液、核对、配送等），确保后期PIVAS上线时无缝切换；</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住院药房等系统同步的各节点事件数据，重点记录下达、会诊申请、会诊审批、提交、确认、摆药、接收、输液开始、巡视、输液结束到停止等关键信息，形成完整闭环台账；预留PIVAS数据对接模块，后期可直接接收PIVAS配液、核对、配送等相关数据，无需修改系统架构；</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按医院住院长期静滴类特殊级抗菌药物医嘱业务习惯设计可视化流程展示图，清晰呈现各环节状态、操作人、操作时间、关键信息；预留PIVAS流程展示节点，后期切换为PIVAS配液模式后，自动展示PIVAS相关环节；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对闭环全流程各节点进行监控分析与异常预警，重点对配液超时、输液超时未执行、输液异常、药品接收异常等情况进行特殊标识高亮展示；预留PIVAS预警节点，后期可同步预警PIVAS配液、配送异常。</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将异常预警信息实时同步至对应责任岗位工作站（住院医生站、护士站、药房）；预留PIVAS对接后，可同步发送预警信息至PIVAS工作站，支持提醒查看、处理反馈与处理回执记录，确保异常及时处置；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闭环展示页面支持通过授权认证、权限控制、安全接口方式被第三方系统调用；预留PIVAS对接接口，支持与后期上线的PIVAS系统安全对接，实现数据互通、流程联动，展示内容、样式、数据一致性保持不变；</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建立闭环全流程操作日志，所有节点记录（含配液核对、输液执行、PIVAS相关对接数据，后期补充）不可篡改，支持事后审计、追溯与质控查阅；预留PIVAS日志记录模块，后期自动同步PIVAS相关操作日志；</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明确PIVAS对接相关技术规范（含接口协议、数据格式、交互时效），预留对接端口，确保后期PIVAS上线时，仅需完成基础配置即可实现无缝对接，本闭环系统不再收取改造费用。</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特殊级抗菌药物闭环过程管理（口服）</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特殊级抗菌药物闭环过程管理（口服）需实现从医嘱下达、特殊级抗菌药物会诊申请、会诊专家审批、医嘱提交、医嘱确认、申请摆药、药房发药、打包送出、病区接收、医嘱执行等各环节业务流程的闭环管理。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医生提交口服类特殊级抗菌药物医嘱后，将医嘱信息、开立人、开立时间等医嘱开立事件信息实时同步至闭环管理系统；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如住院提交口服类特殊级抗菌药物医嘱提交涉及药师人工审方，需将审方人、审方时间、审方结论等审方信息实时同步至闭环管理系统；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医生作废口服类特殊级抗菌药物医嘱后，将医嘱信息、作废人、作废时间等医嘱作废事件信息实时同步至闭环管理系统；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医生撤销口服类特殊级抗菌药物医嘱后，将医嘱信息、撤销人、撤销时间等医嘱撤销事件信息实时同步至闭环管理系统；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医生提交口服类特殊级抗菌药物会诊申请时，将特殊级抗菌药物信息、申请科室、申请医生、申请时间等特殊级抗菌药物会诊申请事件信息实时同步至闭环管理系统；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特殊级抗菌药物会诊权限的专家（抗菌药物管理工作组或指定会诊专家）审核会诊申请时，将特殊级抗菌药物会诊审核意见、审核人、审核时间等特殊级抗菌药物会诊申请审核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具备特殊级抗菌药物会诊权限的专家完成会诊后，将特殊级抗菌药物会诊专家、会诊时间等特殊级抗菌药物会诊完成事件信息实时同步至闭环管理系统；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接收闭环管理系统实时消息，及时准确展示医嘱各环节状态信息，包括开立、确认、摆药、发药、配送、接收到医嘱执行等流程节点；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针对口服类特殊级抗菌药物医嘱，支持按单条医嘱查看全流程闭环管理记录，并可按医嘱执行明细分别展示执行情况；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实现与处方点评系统对接，可在医生站展示口服类特殊级抗菌药物医嘱点评结果、不合理用药原因，并支持医生在线发起点评申诉。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护士完成口服类特殊级抗菌药物确认后，将医嘱信息、确认人、确认时间等医嘱确认事件信息实时同步至闭环管理系统；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护士发起药品申领时，将口服类特殊级抗菌药物申领事件及对应拆解明细信息同步至闭环管理系统，供药房备药使用；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病区接收药品时，与移动护理系统对接获取药品接收数据，并将病区药品接收事件实时同步至闭环管理系统；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护士执行医嘱给药时，与移动护理系统对接获取执行数据，并将单次医嘱执行结果（执行人、执行时间等信息）实时同步至闭环管理系统；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接收闭环管理系统实时消息，及时获取医嘱开立、确认、摆药、发药、配送、接收到医嘱执行等提醒信息；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33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病区药房工作站（改造）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药房完成药品准备后，将备药完成事件及相关记录实时推送至闭环管理系统；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药房完成药品发放后，将发药事件、发药人、发药时间等信息实时推送至闭环管理系统；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接收闭环管理系统实时消息，及时获取护士药品申领、退药申请、医嘱变更确认等流程信息；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针对口服类特殊级抗菌药物医嘱，支持按单条摆药记录或发药记录，关联查看对应医嘱的全流程闭环管理记录；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药房接收病区退药并完成退药核对确认后，将退药接收完成事件实时推送至闭环管理系统。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口服类特殊级抗菌药物全流程闭环管理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构建住院口服类特殊级抗菌药物医嘱从开立、确认、申领、摆药、发药、配送、接收、执行，至医嘱作废、核对、退药的全流程闭环链条；</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支持根据医嘱不同给药频次，循环生成多次独立的单次执行子流程，并对每个执行单元进行闭环跟踪；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统一接收医生站、护士站、药房工作站、移动护理等系统推送的各节点事件数据，形成完整闭环台账；并按医院业务习惯设计可视化流程展示图，清晰呈现各环节状态、操作人、操作时间；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对闭环全流程各节点进行监控分析与异常预警，对超时未确认、超时未摆药、超时未接收、超时未执行、医嘱已停止未核对、未退药、执行异常等情况进行特殊标识高亮展示；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将异常预警信息实时推送至对应责任岗位工作站（医生站/护士站/药房工作站），支持提醒查看、处理反馈与处理回执记录；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住院口服类特殊级抗菌药物闭环展示页面支持通过授权认证、权限控制、安全接口方式被第三方系统调用，展示内容、样式、数据一致性与闭环管理系统原生页面保持一致；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77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住院皮试闭环过程管理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住院皮试闭环过程管理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住院皮试闭环过程管理需实现从住院医嘱开立、护士确认、摆药、发药、药品配送、病区接收、护士核对、护士执行、皮试结果录入等各环节业务流程的闭环管理。</w:t>
            </w:r>
            <w:r>
              <w:rPr>
                <w:rFonts w:hint="eastAsia" w:ascii="宋体" w:hAnsi="宋体" w:cs="宋体"/>
                <w:bCs/>
                <w:sz w:val="24"/>
                <w:szCs w:val="24"/>
              </w:rPr>
            </w:r>
            <w:r/>
          </w:p>
        </w:tc>
      </w:tr>
      <w:tr>
        <w:trPr>
          <w:trHeight w:val="48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医生根据患者诊疗需求，开立住院皮试医嘱后，将医嘱信息、开立人、开立时间等医嘱开立事件信息实时同步至闭环管理系统；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如皮试医嘱提交涉及药师人工审方（如特殊药品皮试），需将审方人、审方时间、审方结论等审方信息实时同步至闭环管理系统；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医生作废皮试医嘱后，将医嘱信息、作废人、作废时间、作废原因等医嘱停止事件信息实时同步至闭环管理系统；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医生撤销皮试医嘱后，将医嘱信息、撤销人、撤销时间、撤销原因等医嘱撤销事件信息实时同步至闭环管理系统；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接收闭环管理系统实时消息，及时准确展示皮试医嘱各环节状态信息，包括开立、审方、确认、皮试液准备、皮试执行、结果记录等流程节点；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针对皮试医嘱，支持按单条医嘱查看全流程闭环管理记录，并可按皮试执行明细（如多次皮试、不同部位皮试）分别展示执行情况；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实现与处方点评系统对接，可在医生站展示皮试医嘱点评结果、不合理皮试原因，并支持医生在线发起点评申诉。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护士接收皮试医嘱后，完成医嘱核对与确认，将医嘱信息、确认人、确认时间、核对结果等医嘱确认事件信息实时同步至闭环管理系统；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护士发起皮试液申领（如需药房制备皮试液）时，将皮试液申领事件及对应明细同步至闭环管理系统，供药房备药使用；若护士自行制备皮试液，需记录制备人、制备时间、制备过程参数，同步至闭环管理系统；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病区接收药房配送的皮试液时，与移动护理系统对接获取药品接收数据，核对皮试液信息后，将病区皮试液接收事件实时同步至闭环管理系统；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护士执行皮试操作时，与移动护理系统对接，扫描患者腕带、皮试液标签进行身份与药品双重核对，获取执行数据，并将单次皮试执行结果（执行人、执行时间、操作过程记录）实时同步至闭环管理系统；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皮试完成后，护士按规范观察皮试反应，判定皮试结果（阴性/阳性），记录结果判定人、判定时间，实时同步至闭环管理系统；；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接收闭环管理系统实时消息，及时获取皮试医嘱开立、审方、皮试液准备、配送、接收、异常预警等提醒信息，确保操作及时响应；</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护士完成作废皮试医嘱核对确认后，将医嘱作废核对确认事件（核对人、核对时间、核对结果）实时同步至闭环管理系统；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护士完成撤销皮试医嘱核对确认后，将医嘱撤销核对确认事件（核对人、核对时间、核对结果）实时同步至闭环管理系统。</w:t>
            </w:r>
            <w:r>
              <w:rPr>
                <w:rFonts w:hint="eastAsia" w:ascii="宋体" w:hAnsi="宋体" w:cs="宋体"/>
                <w:bCs/>
                <w:sz w:val="24"/>
                <w:szCs w:val="24"/>
              </w:rPr>
            </w:r>
            <w:r/>
          </w:p>
        </w:tc>
      </w:tr>
      <w:tr>
        <w:trPr>
          <w:trHeight w:val="432"/>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病区药房工作站（改造）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药房接收护士站皮试液申领后，完成皮试液制备或调配，将备药完成事件（备药人、备药时间等信息）及相关记录实时推送至闭环管理系统；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药房完成皮试液发放后，将发药事件、发药人、发药时间细等信息实时推送至闭环管理系统；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接收闭环管理系统实时消息，及时获取护士皮试液申领、退药申请、皮试医嘱变更确认等流程信息，确保备药、发药与医嘱一致；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针对皮试医嘱，支持按单条皮试液摆药记录或发药记录，关联查看对应医嘱的全流程闭环管理记录；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药房接收病区退药（如皮试取消、患者转科）并完成退药核对确认后，将退药接收完成事件（退药人、接收人等）实时推送至闭环管理系统。</w:t>
            </w:r>
            <w:r>
              <w:rPr>
                <w:rFonts w:hint="eastAsia" w:ascii="宋体" w:hAnsi="宋体" w:cs="宋体"/>
                <w:bCs/>
                <w:sz w:val="24"/>
                <w:szCs w:val="24"/>
              </w:rPr>
            </w:r>
            <w:r/>
          </w:p>
        </w:tc>
      </w:tr>
      <w:tr>
        <w:trPr>
          <w:trHeight w:val="77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住院皮试全流程闭环管理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构建住院皮试医嘱从开立、审方、确认、皮试液申领、摆药、发药、配送、接收、皮试执行、结果判定与记录，至医嘱作废、核对、退药、异常处理的全流程闭环链条，确保每个环节可追溯、可核查；</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支持根据医嘱要求（如多次皮试、不同时间点皮试），循环生成多次独立的单次执行子流程，并对每个执行单元（单次皮试）进行闭环跟踪，记录各单元的操作信息与结果；</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统一接收医生站、护士站、药房工作站、移动护理等系统推送的各节点事件数据，形成完整闭环台账；并按医院业务习惯设计可视化流程展示图，清晰呈现各环节状态、操作人、操作时间、关键数据；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对闭环全流程各节点进行监控分析与异常预警，对超时未确认、超时未备药、超时未接收、超时未执行、皮试异常未处理等情况进行特殊标识高亮展示；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将异常预警信息（如超时预警、皮试阳性预警）实时推送至对应责任岗位工作站（医生站/护士站/药房工作站），支持提醒查看、处理反馈与处理回执记录，确保异常事件及时处置；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住院皮试闭环展示页面支持通过授权认证、权限控制、安全接口方式被第三方系统调用，展示内容、样式、数据一致性与闭环管理系统原生页面保持一致；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建立闭环全流程操作日志，所有节点记录（操作人、操作时间、操作内容、结果数据）不可篡改，支持事后审计、追溯与质控查阅，满足医院质控与监管要求；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实现皮试结果与后续用药医嘱的联动，若皮试结果为阳性，需向医生站、护士站推送提醒，禁止开具或执行对应过敏药品的注射、输液医嘱，从源头规避用药风险；</w:t>
            </w:r>
            <w:r>
              <w:rPr>
                <w:rFonts w:hint="eastAsia" w:ascii="宋体" w:hAnsi="宋体" w:cs="宋体"/>
                <w:bCs/>
                <w:sz w:val="24"/>
                <w:szCs w:val="24"/>
              </w:rPr>
            </w:r>
            <w:r/>
          </w:p>
        </w:tc>
      </w:tr>
      <w:tr>
        <w:trPr>
          <w:trHeight w:val="54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门急诊皮试闭环过程管理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门急诊皮试闭环过程管理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门急诊皮试闭环过程管理需实现从医嘱开立、患者缴费、药房备药、药房发药、皮试配液、护士核对、护士执行、皮试结果录入等各环节业务流程的闭环管理。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医生提交门急诊皮试处方（如青霉素皮试、头孢皮试等）时，将处方开立事件及关键信息（患者信息、处方信息、开立人、开立时间等）实时同步至闭环管理系统；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如皮试处方提交涉及药师人工审方（如特殊药品、过敏史不明患者皮试），需将审方人、审方时间、审方结论及审核意见实时同步至闭环管理系统；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医生作废门急诊皮试处方时，将处方作废事件及作废人、作废时间实时同步至闭环管理系统（仅已提交且未缴费的处方可以作废）；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接收闭环管理系统实时消息，及时准确展示皮试医嘱各环节状态信息，包括开立、审方、缴费、备药、发药、皮试液准备、皮试执行、结果记录、撤销等流程节点；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针对门急诊皮试处方，支持按单组处方查看全流程闭环管理记录，清晰展示审方、缴费、备药、发药、皮试液准备、皮试执行、结果记录等各环节详情及相关记录；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实现与处方点评系统对接，可在医生站展示门急诊皮试用药处方点评结果、不合理用药等，并支持医生在线发起点评申诉。</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接收门急诊医生站同步的门急诊皮试信息，完成患者缴费操作后，将缴费事件（缴费人、缴费时间、缴费状态）实时同步至闭环管理系统；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支持按患者医嘱或处方，关联查看对应门急诊皮试用药处方的闭环状态。</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门急诊药房（改造）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药房完成药品准备后，将备药完成事件（备药人、备药时间、备药窗口等信息）实时同步至闭环管理系统；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药房完成药品发放后，将发药事件（发药人、发药时间、发药窗口等信息）实时同步至闭环管理系统，已发药处方供后续皮试室护士站使用；</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药房完成退药确认后，将退药完成事件（退药人、退药时间等信息）实时同步至闭环管理系统；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接收闭环管理系统实时消息，及时获取处方流转各环节状态信息；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针对门急诊皮试用药处方，支持按处方或备药发药记录，关联查看对应医嘱的全流程闭环管理记录。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门急诊皮试用药全流程闭环管理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构建门诊皮试用药处方全流程闭环链条，至少包括开立、审方、缴费、备药、发药、皮试液准备、皮试执行、结果记录、撤销等流程节点，实现全流程闭环跟踪；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统一接收门急诊医生站、门急诊收费处、门诊药房、皮试室护士站等系统同步的各节点事件数据，形成完整闭环台账；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将异常预警信息实时同步至对应责任岗位工作站（门急诊医生站、收费处、门诊药房、皮试室护士站），支持提醒查看、处理反馈与处理回执记录，确保异常及时处置；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门急诊皮试用药闭环展示页面支持通过授权认证、权限控制、安全接口方式被第三方系统调用，展示内容、样式、数据一致性与闭环管理系统原生页面保持一致；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364"/>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检验危急值闭环过程管理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门急诊检验危急值闭环过程管理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门急诊检验危急值闭环过程管理需实现从门急诊检验危急值提醒、接收、处理等各环节业务流程的闭环管理。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门急诊医生接收门急诊检验危急值提醒，支持强制弹窗提醒模式，确保医生及时发现，弹窗不可随意关闭，需完成接收确认后才可关闭；</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护士（如有）进行门急诊检验危急值接收确认时，将门急诊检验危急值接收确认事件及关键信息（患者信息、接收人、接收时间等）实时同步至闭环管理系统；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医生进行门急诊检验危急值接收确认时，将门急诊检验危急值接收确认事件及关键信息（患者信息、接收人、接收时间等）实时同步至闭环管理系统；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支持门急诊检验危急值分级通知的自定义配置，能够配置分级通知对象、通知时间、消息内容等；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若规定时间内（如15分钟）无人接收确认，系统自动触发升级提醒，向上一级，如科室主任推送危急值信息及未接收提醒，将升级提醒时间、升级对象实时同步至闭环管理系统，确保危急值不被遗漏；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医生进行门急诊检验危急值处理时，将门急诊检验危急值处理事件及关键信息（患者信息、处理人、处理时间等）实时同步至闭环管理系统；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接收闭环管理系统实时消息，及时准确展示门诊检验危急值处理各环节状态信息，包括检验危急值值发送、提醒、接收、通知到处理等流程节点；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针对门急诊检验危急值，支持点击任意一条危急值记录查看全流程闭环管理记录；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实现门急诊检验危急值的多维图表展示与综合数据分析功能。</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门急诊检验危急值全流程闭环管理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构建门急诊检验危急值全流程闭环链条，涵盖从危急值产生、复核、上报、处理等流程节点，实现全流程闭环跟踪；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统一接收整合各工作站推送的数据，形成完整的危急值闭环台账，记录全生命周期关键信息，所有记录不可篡改。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实现危急值全流程实时监控，对处置超时等异常情况进行特殊标识高亮展示，支持异常事件跟踪督办，确保每一例危急值都能闭环处置。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门急诊检验危急值闭环展示页面支持通过授权认证、权限控制、安全接口方式被第三方系统调用，展示内容、样式、数据一致性与闭环管理系统原生页面保持一致；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具备多维度统计分析功能，可按科室、检验项目、危急值级别、处置率、超时率等维度生成统计报表、趋势分析图，支持报表导出，为门急诊医疗质量管控、风险防控提供数据支撑。</w:t>
            </w:r>
            <w:r>
              <w:rPr>
                <w:rFonts w:hint="eastAsia" w:ascii="宋体" w:hAnsi="宋体" w:cs="宋体"/>
                <w:bCs/>
                <w:sz w:val="24"/>
                <w:szCs w:val="24"/>
              </w:rPr>
            </w:r>
            <w:r/>
          </w:p>
        </w:tc>
      </w:tr>
      <w:tr>
        <w:trPr>
          <w:trHeight w:val="21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住院检验危急值闭环过程管理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住院检验危急值闭环过程管理需实现从住院检验危急值提醒、接收、处理等各环节业务流程的闭环管理。</w:t>
            </w:r>
            <w:r>
              <w:rPr>
                <w:rFonts w:hint="eastAsia" w:ascii="宋体" w:hAnsi="宋体" w:cs="宋体"/>
                <w:bCs/>
                <w:sz w:val="24"/>
                <w:szCs w:val="24"/>
              </w:rPr>
            </w:r>
            <w:r/>
          </w:p>
        </w:tc>
      </w:tr>
      <w:tr>
        <w:trPr>
          <w:trHeight w:val="747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住院医生接收住院检验危急值提醒，支持强制弹窗提醒模式，确保医生及时发现，弹窗不可随意关闭，需完成接收确认后才可关闭；</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医生进行住院检验危急值接收确认时，将住院检验危急值接收确认事件及关键信息（患者信息、接收人、接收时间等）实时同步至闭环管理系统；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支持住院检验危急值医生分级通知的自定义配置，能够配置分级通知对象、通知时间、消息内容等；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若规定时间内（如15分钟）无人接收确认，系统自动触发升级提醒，向上一级，如科室主任推送危急值信息及未接收提醒，将升级提醒时间、升级对象实时同步至闭环管理系统，确保危急值不被遗漏；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医生进行住院检验危急值处理时，将住院检验危急值处理事件及关键信息（患者信息、处理人、处理时间等）实时同步至闭环管理系统；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接收闭环管理系统实时消息，及时准确展示住院检验危急值处理各环节状态信息，包括检验危急值值发送、提醒、接收、通知到处理等流程节点；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针对住院检验危急值，支持医生点击任意一条危急值记录查看全流程闭环管理记录；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实现住院医生站进行检验危急值的多维图表展示与综合数据分析功能。</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住院护士接收住院检验危急值提醒，支持强制弹窗提醒模式，确保护士及时发现，弹窗不可随意关闭，需完成接收确认后才可关闭；</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医生进行住院检验危急值接收确认时，将住院检验危急值接收确认事件及关键信息（患者信息、接收人、接收时间等）实时同步至闭环管理系统；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支持住院检验危急值护士分级通知的自定义配置，能够配置分级通知对象、通知时间、消息内容等；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若规定时间内（如15分钟）无人接收确认，系统自动触发升级提醒，向上一级，如护士长推送危急值信息及未接收提醒，将升级提醒时间、升级对象实时同步至闭环管理系统，确保危急值不被遗漏；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护士进行住院检验危急值处理时，将住院检验危急值处理事件及关键信息（患者信息、处理人、处理时间等）实时同步至闭环管理系统；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接收闭环管理系统实时消息，及时准确展示住院检验危急值处理各环节状态信息，包括检验危急值值发送、提醒、接收、通知到处理等流程节点；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针对住院检验危急值，护士支持点击任意一条危急值记录查看全流程闭环管理记录；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实现住院护士站中进行住院检验危急值的多维图表展示与综合数据分析功能。</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住院检验危急值全流程闭环管</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构建住院检验危急值全流程闭环链条，涵盖从危急值产生、复核、上报、处理等流程节点，实现全流程闭环跟踪；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统一接收整合各工作站推送的数据，形成完整的危急值闭环台账，记录全生命周期关键信息，所有记录不可篡改。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实现危急值全流程实时监控，对处置超时等异常情况进行特殊标识高亮展示，支持异常事件跟踪督办，确保每一例危急值都能闭环处置。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住院检验危急值闭环展示页面支持通过授权认证、权限控制、安全接口方式被第三方系统调用，展示内容、样式、数据一致性与闭环管理系统原生页面保持一致；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具备多维度统计分析功能，可按科室、检验项目、危急值级别、处置率、超时率等维度生成统计报表、趋势分析图，支持报表导出，为住院医疗质量管控、风险防控提供数据支撑。</w:t>
            </w:r>
            <w:r>
              <w:rPr>
                <w:rFonts w:hint="eastAsia" w:ascii="宋体" w:hAnsi="宋体" w:cs="宋体"/>
                <w:bCs/>
                <w:sz w:val="24"/>
                <w:szCs w:val="24"/>
              </w:rPr>
            </w:r>
            <w:r/>
          </w:p>
        </w:tc>
      </w:tr>
      <w:tr>
        <w:trPr>
          <w:trHeight w:val="68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检查危急值闭环过程管理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门急诊检查危急值闭环过程管理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门急诊检查危急值闭环过程管理需实现从门急诊检查（包括放射、超声、内镜、心电等）危急值提醒、接收、处理等各环节业务流程的闭环管理。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门急诊医生接收门急诊检查（包括放射、超声、内镜、心电等）危急值提醒，支持强制弹窗提醒模式，确保医生及时发现，弹窗不可随意关闭，需完成接收确认后才可关闭；</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护士（如有）进行门急诊检查（包括放射、超声、内镜、心电等）危急值接收确认时，将门急诊检查危急值接收确认事件及关键信息（患者信息、接收人、接收时间等）实时同步至闭环管理系统；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支持门急诊检查危急值分级通知的自定义配置，能够配置分级通知对象、通知时间、消息内容等；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若规定时间内（如15分钟）无人接收确认，系统自动触发升级提醒，向上一级，如科室主任推送门急诊检查危急值信息及未接收提醒，将升级提醒时间、升级对象实时同步至闭环管理系统，确保危急值不被遗漏；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医生进行门急诊检查（包括放射、超声、内镜、心电等）危急值处理时，将门急诊检查危急值处理事件及关键信息（患者信息、处理人、处理时间等）实时同步至闭环管理系统；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接收闭环管理系统实时消息，及时准确展示门急诊检查危急值处理各环节状态信息，包括检验危急值值发送、提醒、接收、通知到处理等流程节点；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针对门急诊检查（包括放射、超声、内镜、心电等）危急值，支持点击任意一条危急值记录查看全流程闭环管理记录；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实现门急诊检查（包括放射、超声、内镜、心电等）危急值的多维图表展示与综合数据分析功能。</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门急诊检查危急值全流程闭环管理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构建门急诊检查危急值全流程闭环链条，涵盖从危急值产生、复核、上报、处理等流程节点，实现全流程闭环跟踪；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统一接收整合各工作站推送的数据，形成完整的危急值闭环台账，记录全生命周期关键信息，所有记录不可篡改。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实现危急值全流程实时监控，对处置超时等异常情况进行特殊标识高亮展示，支持异常事件跟踪督办，确保每一例危急值都能闭环处置。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门急诊检查危急值闭环展示页面支持通过授权认证、权限控制、安全接口方式被第三方系统调用，展示内容、样式、数据一致性与闭环管理系统原生页面保持一致；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具备多维度统计分析功能，可按科室、检查项目、危急值级别、处置率、超时率等维度生成统计报表、趋势分析图，支持报表导出，为门急诊医疗质量管控、风险防控提供数据支撑。</w:t>
            </w:r>
            <w:r>
              <w:rPr>
                <w:rFonts w:hint="eastAsia" w:ascii="宋体" w:hAnsi="宋体" w:cs="宋体"/>
                <w:bCs/>
                <w:sz w:val="24"/>
                <w:szCs w:val="24"/>
              </w:rPr>
            </w:r>
            <w:r/>
          </w:p>
        </w:tc>
      </w:tr>
      <w:tr>
        <w:trPr>
          <w:trHeight w:val="32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住院检查危急值闭环过程管理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住院检查危急值闭环过程管理需实现从住院检查危急值（包括放射、超声、内镜、心电等）提醒、接收、处理等各环节业务流程的闭环管理。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住院医生接收住院检查危急值（包括放射、超声、内镜、心电等）提醒，支持强制弹窗提醒模式，确保医生及时发现，弹窗不可随意关闭，需完成接收确认后才可关闭；</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医生进行住院检查危急值（包括放射、超声、内镜、心电等）接收确认时，将住院检查危急值接收确认事件及关键信息（患者信息、接收人、接收时间等）实时同步至闭环管理系统；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支持住院检查危急值医生分级通知的自定义配置，能够配置分级通知对象、通知时间、消息内容等；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若规定时间内（如15分钟）无人接收确认，系统自动触发升级提醒，向上一级，如科室主任推送住院检查危急值信息及未接收提醒，将升级提醒时间、升级对象实时同步至闭环管理系统，确保危急值不被遗漏；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医生进行住院检查危急值处理时，将住院检查危急值处理事件及关键信息（患者信息、处理人、处理时间等）实时同步至闭环管理系统；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接收闭环管理系统实时消息，及时准确展示住院检查危急值（包括放射、超声、内镜、心电等）处理各环节状态信息，包括检查危急值值发送、提醒、接收、通知到处理等流程节点；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针对住院检查危急值（包括放射、超声、内镜、心电等），支持医生点击任意一条危急值记录查看全流程闭环管理记录；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实现住院医生站进行检查危急值的多维图表展示与综合数据分析功能。</w:t>
            </w:r>
            <w:r>
              <w:rPr>
                <w:rFonts w:hint="eastAsia" w:ascii="宋体" w:hAnsi="宋体" w:cs="宋体"/>
                <w:bCs/>
                <w:sz w:val="24"/>
                <w:szCs w:val="24"/>
              </w:rPr>
            </w:r>
            <w:r/>
          </w:p>
        </w:tc>
      </w:tr>
      <w:tr>
        <w:trPr>
          <w:trHeight w:val="63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住院护士接收住院检查危急值（包括放射、超声、内镜、心电等）提醒，支持强制弹窗提醒模式，确保护士及时发现，弹窗不可随意关闭，需完成接收确认后才可关闭；</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护士进行住院检验危急值接收确认时，将住院检查危急值（包括放射、超声、内镜、心电等）接收确认事件及关键信息（患者信息、接收人、接收时间等）实时同步至闭环管理系统；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支持住院检查危急值（包括放射、超声、内镜、心电等）护士分级通知的自定义配置，能够配置分级通知对象、通知时间、消息内容等；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若规定时间内（如15分钟）无人接收确认，系统自动触发升级提醒，向上一级，如护士长推送危急值信息及未接收提醒，将升级提醒时间、升级对象实时同步至闭环管理系统，确保危急值不被遗漏；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护士进行住院检查危急值（包括放射、超声、内镜、心电等）处理时，将住院检查危急值处理事件及关键信息（患者信息、处理人、处理时间等）实时同步至闭环管理系统；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接收闭环管理系统实时消息，及时准确展示住院检查危急值（包括放射、超声、内镜、心电等）处理各环节状态信息，包括检查危急值值发送、提醒、接收、通知到处理等流程节点；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针对住院检查危急值，护士支持点击任意一条危急值记录查看全流程闭环管理记录；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实现住院护士站中进行住院检查危急值（包括放射、超声、内镜、心电等）的多维图表展示与综合数据分析功能。</w:t>
            </w:r>
            <w:r>
              <w:rPr>
                <w:rFonts w:hint="eastAsia" w:ascii="宋体" w:hAnsi="宋体" w:cs="宋体"/>
                <w:bCs/>
                <w:sz w:val="24"/>
                <w:szCs w:val="24"/>
              </w:rPr>
            </w:r>
            <w:r/>
          </w:p>
        </w:tc>
      </w:tr>
      <w:tr>
        <w:trPr>
          <w:trHeight w:val="63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住院检查危急值全流程闭环管理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构建住院检查危急值全流程闭环链条，涵盖从危急值产生、复核、上报、处理等流程节点，实现全流程闭环跟踪；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统一接收整合各工作站推送的数据，形成完整的危急值闭环台账，记录全生命周期关键信息，所有记录不可篡改。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实现危急值全流程实时监控，对处置超时等异常情况进行特殊标识高亮展示，支持异常事件跟踪督办，确保每一例危急值都能闭环处置。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住院检查危急值闭环展示页面支持通过授权认证、权限控制、安全接口方式被第三方系统调用，展示内容、样式、数据一致性与闭环管理系统原生页面保持一致；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具备多维度统计分析功能，可按科室、检查项目、危急值级别、处置率、超时率等维度生成统计报表、趋势分析图，支持报表导出，为门急诊医疗质量管控、风险防控提供数据支撑。</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检验闭环过程管理（包含不合格标本</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门急诊检验闭环过程管理（包含不合格标本）</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门急诊检验闭环过程管理需实现从检验申请、患者缴费、标本采集、标本接收、标本回退（不合格标本）、标本上机、报告生成、报告审核、报告发布等各环节业务流程的闭环管理。</w:t>
            </w:r>
            <w:r>
              <w:rPr>
                <w:rFonts w:hint="eastAsia" w:ascii="宋体" w:hAnsi="宋体" w:cs="宋体"/>
                <w:bCs/>
                <w:sz w:val="24"/>
                <w:szCs w:val="24"/>
              </w:rPr>
            </w:r>
            <w:r/>
          </w:p>
        </w:tc>
      </w:tr>
      <w:tr>
        <w:trPr>
          <w:trHeight w:val="282"/>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医生提交门急诊检验申请时，将门急诊检验申请事件及关键信息（申请科室、申请医生、申请时间、患者信息等）实时同步至闭环管理系统；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医生作废门急诊检验申请时，将检验申请作废事件及作废人、作废时间实时同步至闭环管理系统（仅已提交且未缴费的申请可以作废）；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接收闭环管理系统实时消息，及时准确展示门急诊检验申请各环节状态信息，包括患者缴费、标本采集、标本接收、标本回退（不合格标本）、标本上机、报告生成、报告审核、报告发布等流程节点；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针对门急诊检验申请，支持按申请单查看全流程闭环管理记录，清晰展示患者缴费、标本采集、标本接收、标本回退（不合格标本）、标本上机、报告生成、报告审核、报告发布等各环节详情及相关记录。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接收门急诊医生站同步的门急诊检验申请信息，完成患者缴费操作后，将缴费事件（缴费人、缴费时间、缴费状态）实时同步至闭环管理系统；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支持按患者检查申请单，关联查看对应门急诊检查申请的闭环状态；</w:t>
            </w:r>
            <w:r>
              <w:rPr>
                <w:rFonts w:hint="eastAsia" w:ascii="宋体" w:hAnsi="宋体" w:cs="宋体"/>
                <w:bCs/>
                <w:sz w:val="24"/>
                <w:szCs w:val="24"/>
              </w:rPr>
            </w:r>
            <w:r/>
          </w:p>
        </w:tc>
      </w:tr>
      <w:tr>
        <w:trPr>
          <w:trHeight w:val="79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医技收费（改造）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接收门急诊收费处同步的门急诊检验收费信息，完成医技费用核收操作后，将费用核收事件（记账人、记账时间、记账状态）实时同步至闭环管理系统；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技师完成医技费用取消记账操作后，将取消记账事件（取消记账人、取消记账时间等信息）实时同步至闭环管理系统。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门急诊检验全流程闭环管理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构建门急诊检验全流程闭环链条，至少包括患者缴费、标本采集、标本接收、标本回退（不合格标本）、标本上机、报告生成、报告审核、报告发布等流程节点，实现全流程闭环跟踪；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统一接收门急诊医生站、门急诊收费处、医技收费工作站等系统同步的各节点事件数据，形成完整闭环台账；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将异常预警信息实时同步至对应责任岗位工作站（门急诊医生站、门急诊收费处、医技收费工作站），支持提醒查看、处理反馈与处理回执记录，确保异常及时处置；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门急诊检验闭环展示页面支持通过授权认证、权限控制、安全接口方式被第三方系统调用，展示内容、样式、数据一致性与闭环管理系统原生页面保持一致；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住院检验闭环过程管理（包含不合格标本）</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医生提交住院检验申请时，将住院检验申请事件及关键信息（申请科室、申请医生、申请时间、患者信息等）实时同步至闭环管理系统；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医生作废住院检验申请时，将住院检验申请作废事件及作废人、作废时间实时同步至闭环管理系统；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接收闭环管理系统实时消息，及时准确展示住院检验申请各环节状态信息，包括检验从申请、缴费、采集、接收、回退（如有）、上机、报告生成、审核到发布等流程节点；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针对住院检验申请，支持按申请单查看全流程闭环管理记录，清晰展示检验从申请、确认、采集、接收、回退（如有）、上机、报告生成、审核到发布等各环节详情及相关记录。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护士完成住院检验申请医嘱确认后，将医嘱信息、确认人、确认时间等医嘱确认事件信息实时同步至闭环管理系统；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病区标本采集时，与移动护理系统对接获取标本采集数据，并将标本采集事件实时同步至闭环管理系统；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病区不合格标本回退后，与检验系统对接获取不合格标本消息提醒，并将不合格标本回退事件实时同步至闭环管理系统；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接收闭环管理系统实时消息，及时获取申请、接收、回退（如有）等提醒信息；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40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住院检验闭环过程管理（包含不合格标本）</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构建住院检验全流程闭环链条，至少包括申请、确认、采集、接收、回退（如有）、上机、报告生成、审核到发布等流程节点，实现全流程闭环跟踪；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统一接收住院医生站、住院护士站、移动护理、LIS等系统同步的各节点事件数据，形成完整闭环台账；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将异常预警信息实时同步至对应责任岗位工作站（住院医生站、住院护士站），支持提醒查看、处理反馈与处理回执记录，确保异常及时处置；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67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门急诊放射检查闭环过程管理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门急诊放射检查闭环过程管理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门急诊放射检查闭环过程管理需实现从检查申请、检查预约、患者缴费、检查报到、开始检查、报告生成、报告审核发布等各环节业务流程的闭环管理。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医生提交门急诊放射检查申请时，将门急诊放射检查申请事件及关键信息（申请科室、申请医生、申请时间、患者信息等）实时同步至闭环管理系统；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医生作废门急诊放射检查申请时，将检查申请作废事件及作废人、作废时间实时同步至闭环管理系统（仅已提交且未缴费的申请可以作废）；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医生进行门急诊放射检查预约时，与医技预约系统进行对接，获取检查预约数据，并将检查预约事件信息实时同步至闭环管理系统；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接收闭环管理系统实时消息，及时准确展示门急诊放射检查申请各环节状态信息，包括患者缴费、检查报到、开始检查、报告生成、报告审核发布等流程节点；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针对门急诊放射检查申请，支持按申请单查看全流程闭环管理记录，清晰展示检查申请、检查预约、患者缴费、检查报到、开始检查、报告生成、报告审核发布等各环节详情及相关记录。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接收门急诊医生站同步的门急诊放射检查申请信息，完成患者缴费操作后，将缴费事件（缴费人、缴费时间、缴费状态）实时同步至闭环管理系统；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支持按患者门急诊放射检查申请单，关联查看对应检查的闭环状态。</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医技收费（改造）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接收门急诊收费处同步的门急诊放射检查收费信息，完成医技费用核收操作后，将费用核收事件（记账人、记账时间、记账状态）实时同步至闭环管理系统；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技师完成医技费用取消记账操作后，将取消记账事件（取消记账人、取消记账时间等信息）实时同步至闭环管理系统。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门急诊放射检查全流程闭环管理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构建门急诊放射检查全流程闭环链条，至少包括检查申请、检查预约、患者缴费、检查报到、开始检查、报告生成、报告审核发布等流程节点，实现全流程闭环跟踪；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统一接收门急诊医生站、门急诊收费处、医技收费工作站等系统同步的各节点事件数据，形成完整闭环台账；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将异常预警信息实时同步至对应责任岗位工作站（门急诊医生站、门急诊收费处、医技收费工作站），支持提醒查看、处理反馈与处理回执记录，确保异常及时处置；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门急诊放射检查闭环展示页面支持通过授权认证、权限控制、安全接口方式被第三方系统调用，展示内容、样式、数据一致性与闭环管理系统原生页面保持一致；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663"/>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门急诊超声检查闭环过程管理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门急诊超声检查闭环过程管理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门急诊超声检查闭环过程管理需实现从检查申请、检查预约、患者缴费、检查报到、开始检查、报告生成、报告审核发布等各环节业务流程的闭环管理。</w:t>
            </w:r>
            <w:r>
              <w:rPr>
                <w:rFonts w:hint="eastAsia" w:ascii="宋体" w:hAnsi="宋体" w:cs="宋体"/>
                <w:bCs/>
                <w:sz w:val="24"/>
                <w:szCs w:val="24"/>
              </w:rPr>
            </w:r>
            <w:r/>
          </w:p>
        </w:tc>
      </w:tr>
      <w:tr>
        <w:trPr>
          <w:trHeight w:val="672"/>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医生提交门急诊超声检查申请时，将门急诊超声检查申请事件及关键信息（申请科室、申请医生、申请时间、患者信息等）实时同步至闭环管理系统；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医生作废门急诊超声检查申请时，将检查申请作废事件及作废人、作废时间实时同步至闭环管理系统（仅已提交且未缴费的申请可以作废）；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医生进行门急诊超声检查预约时，与医技预约系统进行对接，获取检查预约数据，并将检查预约事件信息实时同步至闭环管理系统；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接收闭环管理系统实时消息，及时准确展示门急诊超声检查申请各环节状态信息，包括患者缴费、检查报到、开始检查、报告生成、报告审核发布等流程节点；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针对门急诊超声检查申请，支持按申请单查看全流程闭环管理记录，清晰展示检查申请、检查预约、患者缴费、检查报到、开始检查、报告生成、报告审核发布等各环节详情及相关记录。</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接收门急诊医生站同步的门急诊超声检查申请信息，完成患者缴费操作后，将缴费事件（缴费人、缴费时间、缴费状态）实时同步至闭环管理系统；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支持按患者门急诊超声检查申请单，关联查看对应检查的闭环状态。</w:t>
            </w:r>
            <w:r>
              <w:rPr>
                <w:rFonts w:hint="eastAsia" w:ascii="宋体" w:hAnsi="宋体" w:cs="宋体"/>
                <w:bCs/>
                <w:sz w:val="24"/>
                <w:szCs w:val="24"/>
              </w:rPr>
            </w:r>
            <w:r/>
          </w:p>
        </w:tc>
      </w:tr>
      <w:tr>
        <w:trPr>
          <w:trHeight w:val="461"/>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医技收费（改造）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接收门急诊收费处同步的门急诊超声检查收费信息，完成医技费用核收操作后，将费用核收事件（记账人、记账时间、记账状态）实时同步至闭环管理系统；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技师完成医技费用取消记账操作后，将取消记账事件（取消记账人、取消记账时间等信息）实时同步至闭环管理系统。</w:t>
            </w:r>
            <w:r>
              <w:rPr>
                <w:rFonts w:hint="eastAsia" w:ascii="宋体" w:hAnsi="宋体" w:cs="宋体"/>
                <w:bCs/>
                <w:sz w:val="24"/>
                <w:szCs w:val="24"/>
              </w:rPr>
            </w:r>
            <w:r/>
          </w:p>
        </w:tc>
      </w:tr>
      <w:tr>
        <w:trPr>
          <w:trHeight w:val="20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 门急诊超声检查全流程闭环管理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构建门急诊超声检查全流程闭环链条，至少包括检查申请、检查预约、患者缴费、检查报到、开始检查、报告生成、报告审核发布等流程节点，实现全流程闭环跟踪；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统一接收门急诊医生站、门急诊收费处、医技收费工作站等系统同步的各节点事件数据，形成完整闭环台账；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将异常预警信息实时同步至对应责任岗位工作站（门急诊医生站、门急诊收费处、医技收费工作站），支持提醒查看、处理反馈与处理回执记录，确保异常及时处置；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门急诊超声检查闭环展示页面支持通过授权认证、权限控制、安全接口方式被第三方系统调用，展示内容、样式、数据一致性与闭环管理系统原生页面保持一致；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663"/>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门急诊心电检查闭环过程管理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门急诊心电检查闭环过程管理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门急诊心电检查闭环过程管理需实现从检查申请、患者缴费、开始检查、报告生成、报告审核发布等各环节业务流程的闭环管理。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医生提交门急诊心电检查申请时，将门急诊心电检查申请事件及关键信息（申请科室、申请医生、申请时间、患者信息等）实时同步至闭环管理系统；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医生作废门急诊心电检查申请时，将检查申请作废事件及作废人、作废时间实时同步至闭环管理系统（仅已提交且未缴费的申请可以作废）；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接收闭环管理系统实时消息，及时准确展示门急诊心电检查申请各环节状态信息，包括患者缴费、检查报到、开始检查、报告生成、报告审核发布等流程节点；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针对门急诊心电检查申请，支持按申请单查看全流程闭环管理记录，清晰展示检查申请、患者缴费、检查报到、开始检查、报告生成、报告审核发布等各环节详情及相关记录。</w:t>
            </w:r>
            <w:r>
              <w:rPr>
                <w:rFonts w:hint="eastAsia" w:ascii="宋体" w:hAnsi="宋体" w:cs="宋体"/>
                <w:bCs/>
                <w:sz w:val="24"/>
                <w:szCs w:val="24"/>
              </w:rPr>
            </w:r>
            <w:r/>
          </w:p>
        </w:tc>
      </w:tr>
      <w:tr>
        <w:trPr>
          <w:trHeight w:val="59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接收门急诊医生站同步的门急诊心电检查申请信息，完成患者缴费操作后，将缴费事件（缴费人、缴费时间、缴费状态）实时同步至闭环管理系统；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支持按患者门急诊心电检查申请单，关联查看对应检查的闭环状态。</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医技收费（改造）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接收门急诊收费处同步的门急诊心电检查收费信息，完成医技费用核收操作后，将费用核收事件（记账人、记账时间、记账状态）实时同步至闭环管理系统；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技师完成医技费用取消记账操作后，将取消记账事件（取消记账人、取消记账时间等信息）实时同步至闭环管理系统。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门急诊心电检查全流程闭环管理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构建门急诊心电检查全流程闭环链条，至少包括检查申请、患者缴费、检查报到、开始检查、报告生成、报告审核发布等流程节点，实现全流程闭环跟踪；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统一接收门急诊医生站、门急诊收费处、医技收费工作站等系统同步的各节点事件数据，形成完整闭环台账；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将异常预警信息实时同步至对应责任岗位工作站（门急诊医生站、门急诊收费处、医技收费工作站），支持提醒查看、处理反馈与处理回执记录，确保异常及时处置；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门急诊心电检查闭环展示页面支持通过授权认证、权限控制、安全接口方式被第三方系统调用，展示内容、样式、数据一致性与闭环管理系统原生页面保持一致；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29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门急诊内镜检查闭环过程管理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门急诊内镜检查闭环过程管理（普通）</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门急诊内镜检查闭环过程管理（普通）需实现从检查申请、检查预约、患者缴费、检查报到、开始检查、报告生成、报告审核发布等各环节业务流程的闭环管理。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医生提交门急诊普通内镜检查申请时，将门急诊普通内镜检查申请事件及关键信息（申请科室、申请医生、申请时间、患者信息等）实时同步至闭环管理系统；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医生作废门急诊普通内镜检查申请时，将检查申请作废事件及作废人、作废时间实时同步至闭环管理系统（仅已提交且未缴费的申请可以作废）；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医生进行门急诊普通内镜检查预约时，与医技预约系统进行对接，获取检查预约数据，并将检查预约事件信息实时同步至闭环管理系统；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接收闭环管理系统实时消息，及时准确展示门急诊普通内镜检查申请各环节状态信息，包括患者缴费、检查报到、开始检查、报告生成、报告审核发布等流程节点；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针对门急诊普通内镜检查申请，支持按申请单查看全流程闭环管理记录，清晰展示检查申请、患者缴费、检查报到、开始检查、报告生成、报告审核发布等各环节详情及相关记录。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接收门急诊医生站同步的门急诊普通内镜检查申请信息，完成患者缴费操作后，将缴费事件（缴费人、缴费时间、缴费状态）实时同步至闭环管理系统；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支持按患者门急诊普通内镜检查申请单，关联查看对应检查的闭环状态。</w:t>
            </w:r>
            <w:r>
              <w:rPr>
                <w:rFonts w:hint="eastAsia" w:ascii="宋体" w:hAnsi="宋体" w:cs="宋体"/>
                <w:bCs/>
                <w:sz w:val="24"/>
                <w:szCs w:val="24"/>
              </w:rPr>
            </w:r>
            <w:r/>
          </w:p>
        </w:tc>
      </w:tr>
      <w:tr>
        <w:trPr>
          <w:trHeight w:val="18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医技收费（改造）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接收门急诊收费处同步的门急诊普通内镜检查收费信息，完成医技费用核收操作后，将费用核收事件（记账人、记账时间、记账状态）实时同步至闭环管理系统；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技师完成医技费用取消记账操作后，将取消记账事件（取消记账人、取消记账时间等信息）实时同步至闭环管理系统。</w:t>
            </w:r>
            <w:r>
              <w:rPr>
                <w:rFonts w:hint="eastAsia" w:ascii="宋体" w:hAnsi="宋体" w:cs="宋体"/>
                <w:bCs/>
                <w:sz w:val="24"/>
                <w:szCs w:val="24"/>
              </w:rPr>
            </w:r>
            <w:r/>
          </w:p>
        </w:tc>
      </w:tr>
      <w:tr>
        <w:trPr>
          <w:trHeight w:val="552"/>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门急诊普通内镜检查全流程闭环管理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构建门急诊普通内镜检查全流程闭环链条，至少包括检查申请、患者缴费、检查报到、开始检查、报告生成、报告审核发布等流程节点，实现全流程闭环跟踪；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统一接收门急诊医生站、门急诊收费处、医技收费工作站等系统同步的各节点事件数据，形成完整闭环台账；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将异常预警信息实时同步至对应责任岗位工作站（门急诊医生站、门急诊收费处、医技收费工作站），支持提醒查看、处理反馈与处理回执记录，确保异常及时处置；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门急诊普通内镜检查闭环展示页面支持通过授权认证、权限控制、安全接口方式被第三方系统调用，展示内容、样式、数据一致性与闭环管理系统原生页面保持一致；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门急诊内镜检查闭环过程管理（无痛）</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门急诊内镜检查闭环过程管理（无痛）需实现从检查申请、检查预约、患者缴费、检查报到、检查前核对、麻醉开始、开始检查、结束检查、麻醉复苏、报告生成、报告审核发布等各环节业务流程的闭环管理。</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医生提交门急诊无痛内镜检查申请时，将门急诊无痛内镜检查申请事件及关键信息（申请科室、申请医生、申请时间、患者信息等）实时同步至闭环管理系统；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医生作废门急诊无痛内镜检查申请时，将检查申请作废事件及作废人、作废时间实时同步至闭环管理系统（仅已提交且未缴费的申请可以作废）；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医生进行门急诊无痛内镜检查预约时，与医技预约系统进行对接，获取检查预约数据，并将检查预约事件信息实时同步至闭环管理系统；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接收闭环管理系统实时消息，及时准确展示门急诊无痛内镜检查申请各环节状态信息，包括患者缴费、检查报到、检查前核对、麻醉开始、开始检查、结束检查、麻醉复苏、报告生成、报告审核发布等流程节点；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无痛内镜检查申请，支持按申请单查看全流程闭环管理记录，清晰展示检查申请、检查预约、患者缴费、检查报到、检查前核对、麻醉开始、开始检查、结束检查、麻醉复苏、报告生成、报告审核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接收门急诊医生站同步的门急诊无痛内镜检查申请信息，完成患者缴费操作后，将缴费事件（缴费人、缴费时间、缴费状态）实时同步至闭环管理系统；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支持按患者门急诊无痛内镜检查申请单，关联查看对应检查的闭环状态。</w:t>
            </w:r>
            <w:r>
              <w:rPr>
                <w:rFonts w:hint="eastAsia" w:ascii="宋体" w:hAnsi="宋体" w:cs="宋体"/>
                <w:bCs/>
                <w:sz w:val="24"/>
                <w:szCs w:val="24"/>
              </w:rPr>
            </w:r>
            <w:r/>
          </w:p>
        </w:tc>
      </w:tr>
      <w:tr>
        <w:trPr>
          <w:trHeight w:val="29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医技收费（改造）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接收门急诊收费处同步的门急诊无痛内镜检查收费信息，完成医技费用核收操作后，将费用核收事件（记账人、记账时间、记账状态）实时同步至闭环管理系统；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技师完成医技费用取消记账操作后，将取消记账事件（取消记账人、取消记账时间等信息）实时同步至闭环管理系统。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门急诊无痛内镜检查全流程闭环管理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构建门急诊无痛内镜检查全流程闭环链条，至少包括检查申请、患者缴费、检查报到、检查前核对、麻醉开始、开始检查、结束检查、麻醉复苏、报告生成、报告审核发布等流程节点，实现全流程闭环跟踪；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统一接收门急诊医生站、门急诊收费处、医技收费工作站等系统同步的各节点事件数据，形成完整闭环台账；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将异常预警信息实时同步至对应责任岗位工作站（门急诊医生站、门急诊收费处、医技收费工作站），支持提醒查看、处理反馈与处理回执记录，确保异常及时处置；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门急诊无痛内镜检查闭环展示页面支持通过授权认证、权限控制、安全接口方式被第三方系统调用，展示内容、样式、数据一致性与闭环管理系统原生页面保持一致；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门诊病理检查闭环过程管理（包含病理检查标本）</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门诊病理检查闭环过程管理（包含病理检查标本）</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门急诊病理检查闭环过程管理需实现从病理申请、患者缴费、标本采集、标本送出、标本签收、标本取材、标本包埋、标本切片、报告书写、报告审核发布等各环节业务流程的闭环管理。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医生提交门急诊病理检查申请时，将门急诊病理检查申请事件及关键信息（申请科室、申请医生、申请时间、患者信息等）实时同步至闭环管理系统；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医生作废门急诊病理检查申请时，将检查申请作废事件及作废人、作废时间实时同步至闭环管理系统（仅已提交且未缴费的申请可以作废）；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接收闭环管理系统实时消息，及时准确展示门急诊病理检查申请各环节状态信息，包括患者缴费、标本采集、标本送出、标本签收、标本取材、标本包埋、标本切片、报告书写、报告审核发布等流程节点；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门急诊病理检查申请，支持按申请单查看全流程闭环管理记录，清晰展示病理申请、患者缴费、标本采集、标本送出、标本签收、标本取材、标本包埋、标本切片、报告书写、报告审核发布等各环节详情及相关记录。</w:t>
            </w:r>
            <w:r>
              <w:rPr>
                <w:rFonts w:hint="eastAsia" w:ascii="宋体" w:hAnsi="宋体" w:cs="宋体"/>
                <w:bCs/>
                <w:sz w:val="24"/>
                <w:szCs w:val="24"/>
              </w:rPr>
            </w:r>
            <w:r/>
          </w:p>
        </w:tc>
      </w:tr>
      <w:tr>
        <w:trPr>
          <w:trHeight w:val="204"/>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门急诊收费处（改造）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接收门急诊医生站同步的门急诊病理检查申请信息，完成患者缴费操作后，将缴费事件（缴费人、缴费时间、缴费状态）实时同步至闭环管理系统；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缴费场景需涵盖人工窗口、自助机、互联网医院等医院在用的所有渠道；</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若患者交费后办理退费，将退费事件相关信息实时同步至闭环管理系统；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支持按患者门急诊病理检查申请单，关联查看对应检查的闭环状态。</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医技收费（改造）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接收门急诊收费处同步的门急诊病理检查收费信息，完成医技费用核收操作后，将费用核收事件（记账人、记账时间、记账状态）实时同步至闭环管理系统；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技师完成医技费用取消记账操作后，将取消记账事件（取消记账人、取消记账时间等信息）实时同步至闭环管理系统。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门急诊病理检查全流程闭环管理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构建门急诊病理检查全流程闭环链条，至少包括病理申请、患者缴费、标本采集、标本送出、标本签收、标本取材、标本包埋、标本切片、报告书写、报告审核发布等流程节点，实现全流程闭环跟踪；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统一接收门急诊医生站、门急诊收费处、医技收费工作站等系统同步的各节点事件数据，形成完整闭环台账；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按医院门诊业务习惯设计可视化流程展示图，清晰呈现各环节状态、操作人、操作时间、关键信息；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将异常预警信息实时同步至对应责任岗位工作站（门急诊医生站、门急诊收费处、医技收费工作站），支持提醒查看、处理反馈与处理回执记录，确保异常及时处置；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门急诊病理检查闭环展示页面支持通过授权认证、权限控制、安全接口方式被第三方系统调用，展示内容、样式、数据一致性与闭环管理系统原生页面保持一致；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建立闭环全流程操作日志，所有节点记录不可篡改，支持事后审计、追溯与质控查阅，满足门诊医疗质控管理要求。</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住院放射检查闭环过程管理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住院放射检查闭环过程管理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住院放射检查闭环过程管理需实现从住院检查申请、检查预约、护士确认、离开病区、检查报到、开始检查、报告生成、报告审核发布等各环节业务流程的闭环管理。</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医生提交住院放射检查申请时，将住院住院放射检查申请事件及关键信息（申请科室、申请医生、申请时间、患者信息等）实时同步至闭环管理系统；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医生作废住院放射检查申请时，将住院放射检查申请作废事件及作废人、作废时间实时同步至闭环管理系统；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医生进行住院放射检查预约时，与医技预约系统进行对接，获取检查预约数据，并将检查预约事件信息实时同步至闭环管理系统；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接收闭环管理系统实时消息，及时准确展示住院放射检查申请各环节状态信息，包括护士确认、离开病区、检查报到、开始检查、报告生成、报告审核发布等流程节点；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针对住院放射检查申请，支持按申请单查看全流程闭环管理记录，清晰展示从住院检查申请、检查预约、护士确认、离开病区、检查报到、开始检查、报告生成、报告审核发布等各环节详情及相关记录。</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护士完成住院放射检查申请医嘱确认后，将医嘱信息、确认人、确认时间等医嘱确认事件信息实时同步至闭环管理系统；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接收闭环管理系统实时消息，及时获取申请、检查预约等提醒信息；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住院放射检查闭环过程管理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构建住院放射检查全流程闭环链条，至少包括住院检查申请、检查预约、护士确认、离开病区、检查报到、开始检查、报告生成、报告审核发布等流程节点，实现全流程闭环跟踪；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统一接收住院医生站、住院护士站、PACS等系统同步的各节点事件数据，形成完整闭环台账；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将异常预警信息实时同步至对应责任岗位工作站（住院医生站、住院护士站），支持提醒查看、处理反馈与处理回执记录，确保异常及时处置；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108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住院超声检查闭环过程管理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住院超声检查闭环过程管理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住院超声检查闭环过程管理需实现从检查申请、检查预约、护士确认、离开病区、检查报到、开始检查、报告生成、报告审核发布等各环节业务流程的闭环管理。</w:t>
            </w:r>
            <w:r>
              <w:rPr>
                <w:rFonts w:hint="eastAsia" w:ascii="宋体" w:hAnsi="宋体" w:cs="宋体"/>
                <w:bCs/>
                <w:sz w:val="24"/>
                <w:szCs w:val="24"/>
              </w:rPr>
            </w:r>
            <w:r/>
          </w:p>
        </w:tc>
      </w:tr>
      <w:tr>
        <w:trPr>
          <w:trHeight w:val="12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医生提交住院超声检查申请时，将住院超声申请事件及关键信息（申请科室、申请医生、申请时间、患者信息等）实时同步至闭环管理系统；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医生作废住院超声申请时，将住院超声申请作废事件及作废人、作废时间实时同步至闭环管理系统；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医生进行住院超声预约时，与医技预约系统进行对接，获取检查预约数据，并将检查预约事件信息实时同步至闭环管理系统；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接收闭环管理系统实时消息，及时准确展示住院超声申请各环节状态信息，包括护士确认、离开病区、检查报到、开始检查、报告生成、报告审核发布等流程节点；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针对住院超声申请，支持按申请单查看全流程闭环管理记录，清晰展示从住院检查申请、检查预约、护士确认、离开病区、检查报到、开始检查、报告生成、报告审核发布等各环节详情及相关记录。</w:t>
            </w:r>
            <w:r>
              <w:rPr>
                <w:rFonts w:hint="eastAsia" w:ascii="宋体" w:hAnsi="宋体" w:cs="宋体"/>
                <w:bCs/>
                <w:sz w:val="24"/>
                <w:szCs w:val="24"/>
              </w:rPr>
            </w:r>
            <w:r/>
          </w:p>
        </w:tc>
      </w:tr>
      <w:tr>
        <w:trPr>
          <w:trHeight w:val="108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护士完成住院超声检查申请医嘱确认后，将医嘱信息、确认人、确认时间等医嘱确认事件信息实时同步至闭环管理系统；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接收闭环管理系统实时消息，及时获取申请、检查预约等提醒信息；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108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住院超声检查闭环过程管理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构建住院超声检查全流程闭环链条，至少包括住院检查申请、检查预约、护士确认、离开病区、检查报到、开始检查、报告生成、报告审核发布等流程节点，实现全流程闭环跟踪；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统一接收住院医生站、住院护士站、PACS等系统同步的各节点事件数据，形成完整闭环台账；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将异常预警信息实时同步至对应责任岗位工作站（住院医生站、住院护士站），支持提醒查看、处理反馈与处理回执记录，确保异常及时处置；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44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住院心电检查闭环过程管理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住院心电检查闭环过程管理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住院心电检查闭环过程管理需实现从检查申请、护士确认、离开病区、开始检查、报告生成、报告审核发布等各环节业务流程的闭环管理。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医生提交住院心电检查申请时，将住院心电检查申请事件及关键信息（申请科室、申请医生、申请时间、患者信息等）实时同步至闭环管理系统；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医生作废住院心电检查申请时，将住院心电检查申请作废事件及作废人、作废时间实时同步至闭环管理系统；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接收闭环管理系统实时消息，及时准确展示住院心电检查申请各环节状态信息，包括护士确认、离开病区、检查报到、开始检查、报告生成、报告审核发布等流程节点；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针对住院心电检查申请，支持按申请单查看全流程闭环管理记录，清晰展示从检查申请、护士确认、离开病区、开始检查、报告生成、报告审核发布等各环节详情及相关记录。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护士完成住院心电检查申请医嘱确认后，将医嘱信息、确认人、确认时间等医嘱确认事件信息实时同步至闭环管理系统；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接收闭环管理系统实时消息，及时获取申请、离开病区、开始检查等提醒信息；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住院心电检查闭环过程管理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构建住院心电检查全流程闭环链条，至少包括住院检查申请、护士确认、离开病区、检查报到、开始检查、报告生成、报告审核发布等流程节点，实现全流程闭环跟踪；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统一接收住院医生站、住院护士站、心电等系统同步的各节点事件数据，形成完整闭环台账；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将异常预警信息实时同步至对应责任岗位工作站（住院医生站、住院护士站），支持提醒查看、处理反馈与处理回执记录，确保异常及时处置；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442"/>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住院内镜检查闭环过程管理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住院内镜检查闭环过程管理（普通）</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住院内镜检查闭环过程管理（普通）需实现从普通内镜检查申请、检查预约、护士确认、离开病区、检查报到、开始检查、报告生成、报告审核发布等各环节业务流程的闭环管理。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医生提交住院普通内镜检查申请时，将住院超声申请事件及关键信息（申请科室、申请医生、申请时间、患者信息等）实时同步至闭环管理系统；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医生作废住院普通内镜检查申请时，将住院普通内镜检查申请作废事件及作废人、作废时间实时同步至闭环管理系统；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医生进行住院普通内镜检查预约时，与医技预约系统进行对接，获取检查预约数据，并将检查预约事件信息实时同步至闭环管理系统；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接收闭环管理系统实时消息，及时准确展示住院普通内镜检查申请各环节状态信息，包括护士确认、离开病区、检查报到、开始检查、报告生成、报告审核发布等流程节点；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针对住院普通内镜检查申请，支持按申请单查看全流程闭环管理记录，清晰展示从住院检查申请、检查预约、护士确认、离开病区、检查报到、开始检查、报告生成、报告审核发布等各环节详情及相关记录。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护士完成住院普通内镜检查申请医嘱确认后，将医嘱信息、确认人、确认时间等医嘱确认事件信息实时同步至闭环管理系统；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接收闭环管理系统实时消息，及时获取申请、检查预约等提醒信息；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663"/>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住院超声检查闭环过程管理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构建住院超声检查全流程闭环链条，至少包括住院检查申请、检查预约、护士确认、离开病区、检查报到、开始检查、报告生成、报告审核发布等流程节点，实现全流程闭环跟踪；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统一接收住院医生站、住院护士站、PACS等系统同步的各节点事件数据，形成完整闭环台账；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将异常预警信息实时同步至对应责任岗位工作站（住院医生站、住院护士站），支持提醒查看、处理反馈与处理回执记录，确保异常及时处置；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住院内镜检查闭环过程管理（无痛）</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内镜检查闭环过程管理（无痛）需实现从检查申请、检查预约、护士确认、离开病区、检查报到、检查前核对、麻醉开始、开始检查、结束检查、麻醉复苏、报告生成、报告审核发布等各环节业务流程的闭环管理。</w:t>
            </w:r>
            <w:r>
              <w:rPr>
                <w:rFonts w:hint="eastAsia" w:ascii="宋体" w:hAnsi="宋体" w:cs="宋体"/>
                <w:bCs/>
                <w:sz w:val="24"/>
                <w:szCs w:val="24"/>
              </w:rPr>
            </w:r>
            <w:r/>
          </w:p>
        </w:tc>
      </w:tr>
      <w:tr>
        <w:trPr>
          <w:trHeight w:val="431"/>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医生提交住院无痛内镜检查申请时，将住院无痛内镜检查申请事件及关键信息（申请科室、申请医生、申请时间、患者信息等）实时同步至闭环管理系统；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医生作废住院无痛内镜检查申请时，将住院无痛内镜检查申请作废事件及作废人、作废时间实时同步至闭环管理系统；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医生进行住院无痛内镜检查预约时，与医技预约系统进行对接，获取检查预约数据，并将检查预约事件信息实时同步至闭环管理系统；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接收闭环管理系统实时消息，及时准确展示住院无痛内镜检查各环节状态信息，包括护士确认、离开病区、检查报到、开始检查、报告生成、报告审核发布等流程节点；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针对住院无痛内镜检查申请，支持按申请单查看全流程闭环管理记录，清晰展示从住院检查申请、检查预约、护士确认、离开病区、检查报到、开始检查、报告生成、报告审核发布等各环节详情及相关记录。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护士完成住院无痛内镜检查申请医嘱确认后，将医嘱信息、确认人、确认时间等医嘱确认事件信息实时同步至闭环管理系统；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接收闭环管理系统实时消息，及时获取申请、检查预约等提醒信息；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住院无痛内镜检查闭环管理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构建住院无痛内镜检查全流程闭环链条，至少包括住院检查申请、检查预约、护士确认、离开病区、检查报到、开始检查、报告生成、报告审核发布等流程节点，实现全流程闭环跟踪；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统一接收住院医生站、住院护士站、PACS等系统同步的各节点事件数据，形成完整闭环台账；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将异常预警信息实时同步至对应责任岗位工作站（住院医生站、住院护士站），支持提醒查看、处理反馈与处理回执记录，确保异常及时处置；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住院病理检查闭环过程管理（包含病理检查标本）</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住院病理检查闭环过程管理（包含病理检查标本）</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住院病理检查闭环过程管理需实现从病理申请、护士确认、标本采集、标本送出、标本签收、标本取材、标本包埋、标本切片、报告书写、报告审核发布等各环节业务流程的闭环管理。</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医生提交住院病理检查申请时，将住院病理检查申请事件及关键信息（申请科室、申请医生、申请时间、患者信息等）实时同步至闭环管理系统；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医生作废住院病理检查申请时，将住院病理检查申请作废事件及作废人、作废时间实时同步至闭环管理系统；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医生进行住院病理检查预约时，与医技预约系统进行对接，获取检查预约数据，并将检查预约事件信息实时同步至闭环管理系统；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接收闭环管理系统实时消息，及时准确展示住院病理检查各环节状态信息，包括护士确认、标本采集、标本送出、标本签收、标本取材、标本包埋、标本切片、报告书写、报告审核发布等流程节点；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住院病理检查申请，支持按申请单查看全流程闭环管理记录，清晰展示从病理申请、护士确认、标本采集、标本送出、标本签收、标本取材、标本包埋、标本切片、报告书写、报告审核发布等各环节详情及相关记录。</w:t>
            </w:r>
            <w:r>
              <w:rPr>
                <w:rFonts w:hint="eastAsia" w:ascii="宋体" w:hAnsi="宋体" w:cs="宋体"/>
                <w:bCs/>
                <w:sz w:val="24"/>
                <w:szCs w:val="24"/>
              </w:rPr>
            </w:r>
            <w:r/>
          </w:p>
        </w:tc>
      </w:tr>
      <w:tr>
        <w:trPr>
          <w:trHeight w:val="126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护士完成住院病理检查申请医嘱确认后，将医嘱信息、确认人、确认时间等医嘱确认事件信息实时同步至闭环管理系统；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接收闭环管理系统实时消息，及时获取申请、标本签收等提醒信息；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tc>
      </w:tr>
      <w:tr>
        <w:trPr>
          <w:trHeight w:val="473"/>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住院病理检查闭环过程管理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构建住院病理检查全流程闭环链条，至少包括从病理申请、护士确认、标本采集、标本送出、标本签收、标本取材、标本包埋、标本切片、报告书写、报告审核发布等流程节点，实现全流程闭环跟踪；</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统一接收住院医生站、住院护士站、病理等系统同步的各节点事件数据，形成完整闭环台账；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按医院住院业务习惯设计可视化流程展示图，清晰呈现各环节状态、操作人、操作时间、关键信息；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对闭环全流程各节点进行监控分析与异常预警，对各环节超时或执行异常等情况进行特殊标识高亮展示；</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将异常预警信息实时同步至对应责任岗位工作站（住院医生站、住院护士站），支持提醒查看、处理反馈与处理回执记录，确保异常及时处置；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住院检查闭环展示页面支持通过授权认证、权限控制、安全接口方式被第三方系统调用，展示内容、样式、数据一致性与闭环管理系统原生页面保持一致；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建立闭环全流程操作日志，所有节点记录不可篡改，支持事后审计、追溯与质控查阅。</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康复治疗闭环过程管理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门急诊康复治疗闭环过程管理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门急诊康复治疗闭环过程管理需实现治疗医嘱下达、患者缴费、治疗登记、治疗评估、治疗开始、治疗结束、治疗评估等各环节业务流程的闭环管理。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医生下达门急诊康复治疗医嘱时，将康复治疗医嘱事件及关键信息（就诊科室、申请医生、下达时间、患者基本信息、康复治疗项目等）实时同步至闭环管理系统，确保医嘱源头数据完整可查；</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医生作废门急诊康复治疗医嘱时，将医嘱作废事件及作废人、作废时间、作废原因实时同步至闭环管理系统，留存作废全流程记录，避免无效医嘱流转；</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推送，及时准确展示门急诊康复治疗各环节状态信息，包括患者缴费、治疗登记、初始评估、治疗开始、治疗执行、治疗结束、终末评估等全流程节点状态，便于医生实时掌握诊疗进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单条门急诊康复治疗医嘱，支持按医嘱单查看全流程闭环管理记录，清晰展示从治疗医嘱下达、患者缴费、治疗登记、各阶段评估、治疗执行到治疗结束归档的各环节详情、操作人及操作时间，实现诊疗全程溯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实时接收闭环管理系统同步的初始治疗评估、终末治疗评估结果，便于医生结合评估数据调整康复治疗方案，保障治疗针对性与有效性。</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康复治疗工作站（改造）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接收闭环管理系统实时消息推送，及时获取新医嘱下达、患者完成缴费、待治疗登记、待评估、待执行治疗等各类提醒信息，避免流程延误；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康复治疗师完成患者治疗登记、身份核对后，将登记人、登记时间、患者身份核验信息同步至系统；治疗开始、治疗结束时，分别将治疗开始事件、治疗结束事件及对应操作人、操作时间实时同步，精准记录治疗时长与执行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康复治疗师完成患者初始康复评估、终末康复评估后，将评估内容、评估结果、评估人、评估时间等评估数据实时同步至闭环管理系统，完善治疗全流程数据台账。</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门急诊康复治疗闭环过程管理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搭建门急诊康复治疗完整闭环管理链条，核心流程节点涵盖治疗医嘱下达、患者缴费、治疗登记、初始治疗评估、治疗开始、治疗执行、治疗结束、终末治疗评估、治疗资料归档，实现从医嘱发起至治疗完成的全流程无断点跟踪，杜绝流程遗漏与脱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统一接收门急诊医生站、康复治疗室工作站、门急诊收费系统等同步的各节点事件数据，自动整合形成完整的门急诊康复治疗闭环台账，确保全流程数据统一、完整、可关联；</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贴合医院门急诊康复业务操作习惯，设计直观的可视化流程展示图，清晰呈现各治疗环节的当前状态、操作人、操作时间、核心业务信息（治疗项目、评估结果、缴费状态等），支持医生、治疗师快速查看流程进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对闭环全流程各节点进行实时监控分析与异常预警，针对患者缴费超时未登记、治疗超时未开始/未结束、评估超时未完成等异常情况，进行特殊标识高亮展示，实现异常问题早发现。</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将各类异常预警信息实时精准同步至对应责任岗位工作站（门急诊医生站、康复治疗室），支持提醒查看、处理反馈与处理回执记录，确保异常及时处置；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急诊康复治疗闭环展示页面支持通过授权认证、精细化权限控制、安全数据接口方式被医院第三方系统调用，展示内容、页面样式、核心数据与闭环管理系统原生页面保持完全一致，保障数据统一性与页面兼容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建立门急诊康复治疗全流程操作日志，所有流程节点的操作记录、数据修改记录均不可篡改，支持事后审计、全程追溯、医疗质控查阅，满足医院医疗质控、合规管理等各项要求。</w:t>
            </w:r>
            <w:r>
              <w:rPr>
                <w:rFonts w:hint="eastAsia" w:ascii="宋体" w:hAnsi="宋体" w:cs="宋体"/>
                <w:bCs/>
                <w:sz w:val="24"/>
                <w:szCs w:val="24"/>
              </w:rPr>
            </w:r>
            <w:r/>
          </w:p>
        </w:tc>
      </w:tr>
      <w:tr>
        <w:trPr>
          <w:trHeight w:val="122"/>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住院康复治疗闭环过程管理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住院康复治疗闭环过程管理需实现治疗医嘱下达、护士确认、治疗登记、治疗评估、治疗开始、治疗结束、治疗评估等各环节业务流程的闭环管理。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医生下达住院康复治疗医嘱时，将康复治疗医嘱事件及关键信息（就诊科室、申请医生、下达时间、患者基本信息、康复治疗项目等）实时同步至闭环管理系统，确保医嘱源头数据完整可查；</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医生作废住院康复治疗医嘱时，将医嘱作废事件及作废人、作废时间实时同步至闭环管理系统，留存作废全流程记录，避免无效医嘱流转；</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医生撤销住院康复治疗医嘱时，将医嘱撤销事件及撤销人、撤销时间实时同步至闭环管理系统，留存作废全流程记录，避免无效医嘱流转；</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推送，及时准确展示住院康复治疗各环节状态信息，包括治疗医嘱下达、护士确认、治疗登记、治疗评估、治疗开始、治疗结束、治疗评估等全流程节点状态，便于医生实时掌握诊疗进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单条住院康复治疗医嘱，支持按医嘱单查看全流程闭环管理记录，清晰展示从治疗医嘱下达、护士确认、治疗登记、治疗评估、治疗开始、治疗结束到治疗评估等各环节详情、操作人及操作时间，实现诊疗全程溯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实时接收闭环管理系统同步的初始治疗评估、终末治疗评估结果，便于医生结合评估数据调整康复治疗方案，保障治疗针对性与有效性。</w:t>
            </w:r>
            <w:r>
              <w:rPr>
                <w:rFonts w:hint="eastAsia" w:ascii="宋体" w:hAnsi="宋体" w:cs="宋体"/>
                <w:bCs/>
                <w:sz w:val="24"/>
                <w:szCs w:val="24"/>
              </w:rPr>
            </w:r>
            <w:r/>
          </w:p>
        </w:tc>
      </w:tr>
      <w:tr>
        <w:trPr>
          <w:trHeight w:val="15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护士完成住院康复治疗医嘱确认后，将医嘱信息、确认人、确认时间等医嘱确认事件信息实时同步至闭环管理系统；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接收闭环管理系统实时消息，及时获取治疗医嘱开立、治疗登记、治疗评估、治疗开始到治疗结束等提醒信息；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护士完成作废治疗医嘱核对确认后，将医嘱作废核对确认事件实时同步至闭环管理系统；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护士完成撤销治疗医嘱核对确认后，将医嘱撤销核对确认事件实时同步至闭环管理系统。</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康复治疗工作站（改造）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接收闭环管理系统实时消息推送，及时获取新医嘱下达、待治疗登记、待评估、待执行治疗等各类提醒信息，避免流程延误；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康复治疗师完成住院患者治疗登记、身份核对后，将登记人、登记时间、患者身份核验信息同步至系统；治疗开始、治疗结束时，分别将治疗开始事件、治疗结束事件及对应操作人、操作时间实时同步，精准记录治疗时长与执行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康复治疗师完成住院患者初始康复评估、终末康复评估后，将评估内容、评估结果、评估人、评估时间等评估数据实时同步至闭环管理系统，完善治疗全流程数据台账。</w:t>
            </w:r>
            <w:r>
              <w:rPr>
                <w:rFonts w:hint="eastAsia" w:ascii="宋体" w:hAnsi="宋体" w:cs="宋体"/>
                <w:bCs/>
                <w:sz w:val="24"/>
                <w:szCs w:val="24"/>
              </w:rPr>
            </w:r>
            <w:r/>
          </w:p>
        </w:tc>
      </w:tr>
      <w:tr>
        <w:trPr>
          <w:trHeight w:val="185"/>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住院康复治疗闭环过程管理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搭建住院康复治疗完整闭环管理链条，核心流程节点涵盖治疗医嘱下达、护士确认、治疗登记、治疗评估、治疗开始、治疗结束、治疗评估等全流程无断点跟踪，杜绝流程遗漏与脱节；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统一接收住院医生站、住院护士站、康复治疗室工作站等同步的各节点事件数据，自动整合形成完整的住院康复治疗闭环台账，确保全流程数据统一、完整、可关联；</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贴合医院住院康复业务操作习惯，设计直观的可视化流程展示图，清晰呈现各治疗环节的当前状态、操作人、操作时间、核心业务信息（治疗项目、评估结果、治疗状态等），支持医生、护士、治疗师快速查看流程进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对闭环全流程各节点进行实时监控分析与异常预警，针对患者超时未登记、治疗超时未开始/未结束等异常情况，进行特殊标识高亮展示，实现异常问题早发现；</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将各类异常预警信息实时精准同步至对应责任岗位工作站（住院医生站、住院护士站、康复治疗室），支持提醒查看、处理反馈与处理回执记录，确保异常及时处置；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康复治疗闭环展示页面支持通过授权认证、精细化权限控制、安全数据接口方式被医院第三方系统调用，展示内容、页面样式、核心数据与闭环管理系统原生页面保持完全一致，保障数据统一性与页面兼容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建立住院康复治疗全流程操作日志，所有流程节点的操作记录、数据修改记录均不可篡改，支持事后审计、全程追溯、医疗质控查阅，满足医院医疗质控、合规管理等各项要求。</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血透治疗闭环过程管理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血透治疗闭环过程管理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血透治疗闭环过程管理需实现透析登记、透析排床、透前评估、透析医嘱、透析上机、透析巡视、透析下机、透后评估等各环节业务流程的闭环管理。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搭建血透治疗闭环过程管理完整闭环管理链条，核心流程节点涵盖透析登记、透析排床、透前评估、透析医嘱、透析上机、透析巡视、透析下机、透后评估等全流程无断点跟踪，杜绝流程遗漏与脱节；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血透系统同步的各节点事件数据，自动整合形成完整的血透治疗闭环台账，确保全流程数据统一、完整、可关联；对闭环全流程各节点进行实时监控分析与异常预警，针对患者超时未登记、超时未评估等异常情况，进行特殊标识高亮展示，实现异常问题早发现；</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将各类异常预警信息实时精准同步至对应责任岗位工作站（血透治疗），支持提醒查看、处理反馈与处理回执记录，确保异常及时处置；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血透治疗闭环展示页面支持通过授权认证、精细化权限控制、安全数据接口方式被医院第三方系统调用，展示内容、页面样式、核心数据与闭环管理系统原生页面保持完全一致，保障数据统一性与页面兼容性；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建立血透治疗全流程操作日志，所有流程节点的操作记录、数据修改记录均不可篡改，支持事后审计、全程追溯、医疗质控查阅，满足医院医疗质控、合规管理等各项要求。</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手术闭环过程管理（包含麻醉闭环）</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手术闭环过程管理（包含麻醉闭环）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手术闭环过程管理（包含麻醉闭环）需实现术前谈话、术前讨论、手术申请、手术审批、手术安排、术前访视、患者离开病房、患者到达手术室、手术室接收核对、三方核查、入手术间、麻醉开始、手术开始、手术结束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医生提交手术申请时，将手术申请事件及关键信息（申请科室、申请医生、申请时间、患者基本信息、手术信息）实时同步至闭环管理系统，确保手术申请源头数据完整可查、精准无误；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医生作废或调整手术申请时，将手术申请作废/调整事件及操作人、操作时间、作废/调整原因实时同步至闭环管理系统，留存全流程操作记录，避免无效或错误申请流转至审批环节；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医生提交术前谈话时，将术前谈话事件及关键信息（谈话医生、谈话时间、患者基本信息等）实时同步至闭环管理系统；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医生提交术前讨论时，将术前讨论事件及关键信息（讨论医生、讨论时间等）实时同步至闭环管理系统；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医生进行手术排台预约时，与手术室排台管理系统对接，获取手术间占用情况、手术器械准备状态、麻醉师分配信息，确定手术时段与手术间后，将排台事件信息实时同步至闭环管理系统；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医生完成患者术前评估后，将评估内容、评估结果等信息实时同步至闭环管理系统；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科主任、医务科登完成手术申请审批后，将审批人、审批时间、审批意见等信息实时同步至闭环管理系统；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推送，及时准确展示手术各环节状态信息，包括手术审批、排台安排、术前评估、术前准备、手术开始、术中监护、手术结束、术后复苏、术后评估等全流程节点状态，便于医生实时掌握手术进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▲支持根据手术医嘱查看全流程闭环管理记录，清晰展示从手术申请、审批、排台、术前准备、手术执行到术后复苏、评估、归档的各环节详情、操作人及操作时间，实现手术治疗全程溯源；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实时接收闭环管理系统同步的术中监护数据、异常情况反馈，结合手术进展及时调整手术方案，下达应急处置指令，将处置措施、处置结果实时同步至系统，保障手术安全。</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护士完成手术医嘱确认后，将医嘱信息、确认人、确认时间等医嘱确认事件信息实时同步至闭环管理系统；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接收闭环管理系统实时消息，及时获取手术医嘱提交、撤销、作废、患者到达手术室、患者离开手术室等提醒信息；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支持根据手术医嘱查看全流程闭环管理记录；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手术闭环过程管理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搭建手术完整闭环管理链条，核心流程节点涵盖手术申请、手术审批、术前评估、手术排台、术前准备、手术开始、术中监护、手术结束、术后复苏、术后评估、手术记录归档，实现从手术申请至术后归档的全流程无断点跟踪，杜绝流程遗漏与脱节，保障手术治疗规范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统一接收住院医生站、住院护士站、手术麻醉系统等同步的各节点事件数据，自动整合形成完整的手术闭环台账，确保全流程数据统一、完整、可关联，实现患者信息、手术信息、麻醉数据的一体化管理；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贴合医院手术业务操作习惯，设计直观的可视化流程展示图，清晰呈现各手术环节的当前状态、操作人、操作时间、核心业务信息，支持医护人员快速查看流程进展与患者手术情况；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对闭环全流程各节点进行实时监控分析与异常预警，针对手术审批超时、术后复苏延迟、手术记录未及时等异常情况，进行特殊标识高亮展示，实现异常问题早发现、早干预；</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将各类异常预警信息实时精准同步至对应责任岗位工作站（住院医生站、住院护士站、手术麻醉系统），支持提醒查看、处理反馈与处理回执记录，确保异常及时处置；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闭环展示页面支持通过授权认证、精细化权限控制、安全数据接口方式被医院第三方系统调用，展示内容、页面样式、核心数据与闭环管理系统原生页面保持完全一致，保障数据统一性与页面兼容性；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建立手术全流程操作日志，所有流程节点的操作记录、数据修改记录均不可篡改，支持事后审计、全程追溯、医疗质控查阅，满足医院医疗质控、合规管理等各项要求。</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输血闭环过程管理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输血闭环过程管理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输血闭环过程管理需实现备血申请、审核、交叉配血、备血通知、输血申请、发血、血袋接收、执行、结束、血袋回收等各环节业务流程的闭环管理。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医生提交备血申请时，与输血系统对接，将备血请事件及关键信息（申请科室、申请医生、申请时间、患者基本信息等）实时同步至闭环管理系统，确保输血申请源头数据完整可查、精准无误；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医生提交输血知情同意书时，将输血谈话事件及关键信息（谈话医生、谈话时间、患者基本信息等）实时同步至闭环管理系统；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科主任、医务科登完成手术申请审批后，与输血系统对接，将审批人、审批时间、审批意见等信息实时同步至闭环管理系统；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接收闭环管理系统实时消息推送，及时准确展示输血各环节状态信息，包括输血审批、交叉配血、备血通知、输血申请、发血、血袋接收、执行、结束、血袋回收等全流程节点状态，便于医生实时掌握手术进展；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输血医嘱查看全流程闭环管理记录，清晰展示从备血申请、审核、交叉配血、备血通知、输血申请、发血、血袋接收、执行、结束、血袋回收等各环节详情、操作人及操作时间，实现手术治疗全程溯源。</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护士完成备血和输血医嘱确认后，将医嘱信息、确认人、确认时间等医嘱确认事件信息实时同步至闭环管理系统；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护士完成血袋接收后，与移动护理系统对接，将接收人、接收时间等血制品接收事件信息实时同步至闭环管理系统；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护士完成输血执行后，与移动护理系统对接，将开始时间、输血操作人、巡视人、巡视时间结束时间、输血完成人等输血执行事件信息实时同步至闭环管理系统；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接收闭环管理系统实时消息，及时获取备血和输血医嘱提交、撤销、作废、发血等提醒信息；支持根据输血医嘱查看全流程闭环管理记录；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输血闭环过程管理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搭建输血完整闭环管理链条，核心流程节点涵盖备血申请、审核、交叉配血、备血通知、输血申请、发血、血袋接收、执行、结束、血袋回收等全流程无断点跟踪，杜绝流程遗漏与脱节，保障输血治疗规范性；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从输血系统补充获取血液预定、接收、入库、储存、报损、退回以及效果评价、不良反应等输血前后各节点数据，进一步完善用血全程闭环管理；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统一接收住院医生站、住院护士站、移动护理系统、输血系统等同步的各节点事件数据，自动整合形成完整的输血闭环台账，确保全流程数据统一、完整、可关联；</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贴合医院输血业务操作习惯，设计直观的可视化流程展示图，清晰呈现各输血环节的当前状态、操作人、操作时间、核心业务信息，支持医护人员快速查看流程进展与患者输血情况；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对闭环全流程各节点进行实时监控分析与异常预警，针对输血审批超时、输血执行超时等异常情况，进行特殊标识高亮展示，实现异常问题早发现、早干预；</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将各类异常预警信息实时精准同步至对应责任岗位工作站（住院医生站、住院护士站、输血系统），支持提醒查看、处理反馈与处理回执记录，确保异常及时处置；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闭环展示页面支持通过授权认证、精细化权限控制、安全数据接口方式被医院第三方系统调用，展示内容、页面样式、核心数据与闭环管理系统原生页面保持完全一致，保障数据统一性与页面兼容性；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建立输血全流程操作日志，所有流程节点的操作记录、数据修改记录均不可篡改，支持事后审计、全程追溯、医疗质控查阅，满足医院医疗质控、合规管理等各项要求。</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会诊闭环过程管理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会诊闭环过程管理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会诊闭环过程管理需实现会诊申请、会诊医嘱、会诊通知、会诊接收、会诊签到、会诊报告、会诊评价等各环节业务流程的闭环管理。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医生提交会诊申请时，将会诊申请事件及关键信息（申请科室、申请医生、申请时间、患者基本信息等）实时同步至闭环管理系统，确保会诊申请源头数据完整可查、精准无误；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医生作废或调整会诊申请时，将会诊申请作废/调整事件及操作人、操作时间、作废/调整原因实时同步至闭环管理系统，留存全流程操作记录，避免无效或错误申请流转至接收环节；</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医生下达会诊医嘱后，将会诊医嘱事件、医嘱内容、下达人、下达时间等关键信息实时同步至闭环管理系统，实现会诊申请与医嘱的联动管控，确保医嘱与申请信息一致；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接收闭环管理系统实时消息推送，及时准确展示会诊各环节状态信息，包括会诊通知、会诊接收、会诊签到、会诊开展、会诊报告提交、会诊评价、归档等全流程节点状态，便于申请医生实时掌握会诊进展；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针对单例会诊患者，支持按会诊医嘱查看全流程闭环管理记录，清晰展示从会诊申请、医嘱下达、通知、接收、签到、开展到报告提交、评价、归档的各环节详情、操作人及操作时间，实现会诊全程溯源；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实时接收闭环管理系统同步的会诊报告，结合会诊意见制定后续诊疗方案，将后续处置措施、处置结果实时同步至系统，形成“申请-会诊-处置”的完整闭环，确保会诊意见落地；​</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会诊完成后，申请医生按规范完成会诊评价（会诊及时性、会诊专业性、意见实用性等），将评价内容、评价等级、评价人、评价时间实时同步至闭环管理系统，完善会诊闭环管理。</w:t>
            </w:r>
            <w:r>
              <w:rPr>
                <w:rFonts w:hint="eastAsia" w:ascii="宋体" w:hAnsi="宋体" w:cs="宋体"/>
                <w:bCs/>
                <w:sz w:val="24"/>
                <w:szCs w:val="24"/>
              </w:rPr>
            </w:r>
            <w:r/>
          </w:p>
        </w:tc>
      </w:tr>
      <w:tr>
        <w:trPr>
          <w:trHeight w:val="264"/>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护士完成会诊医嘱确认后，将医嘱信息、确认人、确认时间等医嘱确认事件信息实时同步至闭环管理系统；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接收闭环管理系统实时消息，及时获取会诊医嘱提交、撤销、作废等提醒信息；支持根据会诊医嘱查看全流程闭环管理记录；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护士完成撤销医嘱核对确认后，将医嘱撤销核对确认事件实时同步至闭环管理系统；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护士完成作废医嘱核对确认后，将医嘱作废核对确认事件实时同步至闭环管理系统。</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会诊闭环过程管理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搭建会诊完整闭环管理链条，核心流程节点涵盖会诊申请、会诊医嘱、会诊通知、会诊接收、会诊签到、会诊开展、会诊报告、会诊评价、会诊记录归档，实现从会诊申请至归档的全流程无断点跟踪，杜绝流程遗漏与脱节，保障会诊诊疗规范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统一接收住院医生站、住院护士站同步的各节点事件数据，自动整合形成完整的会诊闭环台账，确保全流程数据统一、完整、可关联；</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贴合医院会诊业务操作习惯，设计直观的可视化流程展示图，清晰呈现各会诊环节的当前状态、操作人、操作时间、核心业务信息，支持医护人员快速查看流程进展与患者会诊情况；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对闭环全流程各节点进行实时监控分析与异常预警，针对会诊通知未接收、会诊接收超时、未按时签到、会诊报告提交延迟等异常情况，进行特殊标识高亮展示，实现异常问题早发现、早干预；</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将各类异常预警信息实时精准同步至对应责任岗位工作站（住院医生站、住院护士站），支持提醒查看、处理反馈与处理回执记录，确保异常及时处置；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闭环展示页面支持通过授权认证、精细化权限控制、安全数据接口方式被医院第三方系统调用，展示内容、页面样式、核心数据与闭环管理系统原生页面保持完全一致，保障数据统一性与页面兼容性；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建立会诊全流程操作日志，所有流程节点的操作记录、数据修改记录均不可篡改，支持事后审计、全程追溯、医疗质控查阅，满足医院医疗质控、合规管理等各项要求。</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患者流转闭环过程管理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患者流转闭环过程管理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患者流转闭环过程管理需实现对患者诊疗活动的闭环管理，包括：入出转、出科检查、治疗、手术等。</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住院护士站（改造）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护士完成患者入院登记、身份核验后，将登记人、登记时间等信息实时同步至闭环管理系统，完成患者流转初始节点记录；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患者转入目标科室后，护士完成入科/转科确认，核对患者信息、病情资料、诊疗需求，将确认人、确认时间、接收科室等实时同步至闭环管理系统，实现科室间流转闭环衔接；</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患者需出科进行检查、治疗、手术时，护士核对医生指令，完成出科确认，将出科时间、陪同人员等信息同步至闭环管理系统；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患者完成出科诊疗返回科室后，完成入科确认，同步入科时间等信息，确保出科/入科流转无断点；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护士完成出院确认，核对患者出院资料，将确认人、确认时间等信息同步至系统，完善出院流转节点；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闭环管理系统实时消息推送，及时获取患者入院、转科、出科、出院等各类流转提醒信息；发现流转过程中异常情况（如患者走失、转科延误、检查未按时完成）时，及时反馈至闭环系统，并同步处置措施与处置结果，避免流转流程延误。</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患者流转闭环过程管理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搭建患者流转完整闭环管理链条，核心流程节点涵盖患者入院登记、入科确认、出科检查、治疗执行、手术衔接、转科办理、出院结算，实现从患者入院到出院的全流程无断点跟踪，杜绝流转环节遗漏与脱节，保障患者流转规范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统一接收医生站、护士站、收费处、检查系统、治疗系统等同步的各节点事件数据，自动整合形成完整的患者流转闭环台账，确保全流程数据统一、完整、可关联，实现患者信息、流转信息、诊疗信息的一体化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贴合医院患者流转业务操作习惯，设计直观的可视化流程展示图，清晰呈现患者各流转环节的当前状态、操作人、操作时间、核心业务信息，支持医护人员快速查看患者流转进展与关联诊疗情况；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将患者流转信息实时精准同步至对应责任岗位工作站（医生站、护士站、收费处等），确保异常问题及时处置、处置结果可查，形成异常管理闭环，提升患者流转效率；</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患者流转闭环展示页面支持通过授权认证、精细化权限控制、安全数据接口方式被医院第三方系统调用，展示内容、页面样式、核心数据与闭环管理系统原生页面保持完全一致，保障数据统一性与页面兼容性；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患者流转全流程操作日志，所有流程节点的操作记录、数据修改记录、异常处置记录均不可篡改，支持事后审计、全程追溯、医疗质控查阅，满足医院医疗质控、合规管理等各项要求，保障患者流转安全合规。</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住院不良事件闭环过程管理（预留）</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住院不良事件闭环过程管理（预留）</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住院不良事件闭环过程管理需实现不良事件预警、填报、审核等各环节业务流程的闭环管理。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本闭环流程设计需通过采集各系统分散的上报及审核处理数据进行闭环链条整合；同时预留住院不良事件管理对接接口及相关功能模块，明确流程衔接节点，后期医院引进全院不良事件管理系统并上线时，本次建设的闭环管理系统无需额外改造，不收取任何改造费用。</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支持医师在线上报医疗类不良事件（如诊断错误、治疗失误、手术相关不良事件等），填写事件详情、发生时间、涉及人员、初步原因等信息，上报信息实时同步至闭环管理系统；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支持对已上报的医疗类不良事件进行补充、修改、撤回（未审核前），并实时同步至闭环管理系统；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接收住院不良事件实时消息推送，住院医生工作站获取不良事件审核记录信息；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支持根据本人上报的不良事件，查看不良事件各节点闭环状态；</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预留与未来不良事件系统的对接适配，后期切换至独立系统时，可直接同步上报数据、处置记录，无需改造本工作站功能；</w:t>
            </w:r>
            <w:r>
              <w:rPr>
                <w:rFonts w:hint="eastAsia" w:ascii="宋体" w:hAnsi="宋体" w:cs="宋体"/>
                <w:bCs/>
                <w:sz w:val="24"/>
                <w:szCs w:val="24"/>
              </w:rPr>
            </w:r>
            <w:r/>
          </w:p>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住院不良事件闭环管理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构建不良事件全流程闭环链条，统一整合医院现有各系统（医疗、护理、药事）不良事件上报、审核、处置等数据，初步构建不良事件闭环链条；</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预留与独立不良事件管理系统的对接接口、流程节点，确保后期无缝整合，形成全院统一不良事件闭环，本次建设系统无需额外改造、不收取改造费用。</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门急诊不良事件闭环过程管理（预留）</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门急诊不良事件闭环过程管理（预留）</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门诊不良事件闭环过程需实现不良事件预警、填报、审核等各环节业务流程的闭环管理。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说明：本闭环流程设计需预留门诊不良事件管理对接接口及相关功能模块，明确流程衔接节点，后期医院引进全院不良事件管理系统并上线时，本次建设的闭环管理系统无需额外改造，不收取任何改造费用。</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接收全院不良事件管理系统推送的门诊不良事件预警信息（如患者病情异常、操作风险等），及时核对预警内容，确认事件是否发生，实时同步预警核对结果、核对人、核对时间等信息，实现预警环节闭环衔接；</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医护人员发现门诊不良事件后，立即发起事件上报，与全院不良事件管理系统对接，实时同步事件发现时间、发现人等关键信息实时，确保不良事件早发现、早上报；</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接收门诊不良事件实时消息推送，门诊医生工作站获取不良事件审核记录信息。</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环节质控过程闭环管理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环节质控过程闭环管理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环节质控过程闭环管理需实现从环节质控缺陷反馈、医生整改、整改回复、整改确认等各环节业务流程的闭环管理。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住院医生接收环节质控缺陷反馈信息，按质控要求制定整改方案，将病历整改情况、整改人、整改时间实时同步至病历质控系统，确保整改过程可追溯；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接收质控部门反馈的整改复核意见（如整改不达标、需补充整改），按要求补充完善整改工作，重新提交整改回复，将补充整改情况、复核反馈落实情况实时同步至病历质控系统，配合完成整改全流程闭环。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接收环节质控实时消息推送，及时准确展示环节质控各环节状态信息，包括缺陷反馈、缺陷核实、整改实施、整改回复、整改确认、缺陷归档等全流程节点状态，便于医生实时掌握缺陷整改进展。</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病历质控系统（改造）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质控人员在日常质控检查、专项督查中发现诊疗环节质控缺陷后，将病历缺陷内容、要求整改时间实时同步至住院医生站，确保缺陷反馈精准、及时；</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实时监控医生整改工作进展，对超过整改时限的缺陷进行预警提醒，跟踪整改实施过程，核实整改措施的合理性、有效性；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接收医生提交的整改回复，按质控标准完成整改确认，判断整改是否达标，给出整改评价意见，将整改确认结果、确认人、确认时间、评价意见实时反馈至住院医生工作站，完成整改确认环节闭环。</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终末质控过程闭环管理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终末质控过程闭环管理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终末质控过程闭环管理需实现从终末质控缺陷反馈、医生整改、整改回复、整改确认等各环节业务流程的闭环管理。</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住院医生接收终末质控缺陷反馈信息，按质控要求制定整改方案，将病历整改情况、整改人、整改时间实时同步至病历质控系统，确保整改过程可追溯；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接收质控部门反馈的整改复核意见（如整改不达标、需补充整改），按要求补充完善整改工作，重新提交整改回复，将补充整改情况、复核反馈落实情况实时同步至病历质控系统，配合完成整改全流程闭环。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接收终末质控实时消息推送，及时准确展示终末质控各环节状态信息，包括缺陷反馈、缺陷核实、整改实施、整改回复、整改确认、缺陷归档等全流程节点状态，便于医生实时掌握缺陷整改进展。</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病历质控系统（改造）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质控人员在终末质控检查中发现终末质控缺陷后，将病历缺陷内容、要求整改时间实时同步至住院医生站，确保缺陷反馈精准、及时；</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实时监控医生整改工作进展，对超过整改时限的缺陷进行预警提醒，跟踪整改实施过程，核实整改措施的合理性、有效性；</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接收医生提交的整改回复，按质控标准完成整改确认，判断整改是否达标，给出整改评价意见，将整改确认结果、确认人、确认时间、评价意见实时反馈至住院医生工作站，完成整改确认环节闭环。</w:t>
            </w:r>
            <w:r>
              <w:rPr>
                <w:rFonts w:hint="eastAsia" w:ascii="宋体" w:hAnsi="宋体" w:cs="宋体"/>
                <w:bCs/>
                <w:sz w:val="24"/>
                <w:szCs w:val="24"/>
              </w:rPr>
            </w:r>
            <w:r/>
          </w:p>
        </w:tc>
      </w:tr>
      <w:tr>
        <w:trPr>
          <w:trHeight w:val="77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医护人员授权闭环管理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手术操作授权闭环管理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根据医院手术分级管理目录，实现手术、介入治疗、内镜诊疗等授权管理，并保留授权记录，便于事后追溯。</w:t>
            </w:r>
            <w:r>
              <w:rPr>
                <w:rFonts w:hint="eastAsia" w:ascii="宋体" w:hAnsi="宋体" w:cs="宋体"/>
                <w:bCs/>
                <w:sz w:val="24"/>
                <w:szCs w:val="24"/>
              </w:rPr>
            </w:r>
            <w:r/>
          </w:p>
        </w:tc>
      </w:tr>
      <w:tr>
        <w:trPr>
          <w:trHeight w:val="77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本系统闭环设计时，需预留与医务管理系统接口对接，以实现申请、审核、校验、追溯等全流程的授权闭环管理。</w:t>
            </w:r>
            <w:r>
              <w:rPr>
                <w:rFonts w:hint="eastAsia" w:ascii="宋体" w:hAnsi="宋体" w:cs="宋体"/>
                <w:bCs/>
                <w:sz w:val="24"/>
                <w:szCs w:val="24"/>
              </w:rPr>
            </w:r>
            <w:r/>
          </w:p>
        </w:tc>
      </w:tr>
      <w:tr>
        <w:trPr>
          <w:trHeight w:val="77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医务科工作站（改造）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医务部门为医师进行手术操作分级授权，形成授权日志记录，并将授权信息同步至闭环管理系统；</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手术操作授权支持按级别进行授权，也支持按具体手术或操作进行授权；</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支持授权期限管理，到期后自动失效；</w:t>
            </w:r>
            <w:r>
              <w:rPr>
                <w:rFonts w:hint="eastAsia" w:ascii="宋体" w:hAnsi="宋体" w:cs="宋体"/>
                <w:bCs/>
                <w:sz w:val="24"/>
                <w:szCs w:val="24"/>
              </w:rPr>
            </w:r>
            <w:r/>
          </w:p>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住院医生站（改造）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医生可实时获取医务部门为其授予的手术权限；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医师权限发生变更时，医生站相关校验规则实时联动；预留与未来医务管理系统接口对接，实现医师个人手术权限在线申请等功能；</w:t>
            </w:r>
            <w:r>
              <w:rPr>
                <w:rFonts w:hint="eastAsia" w:ascii="宋体" w:hAnsi="宋体" w:cs="宋体"/>
                <w:bCs/>
                <w:sz w:val="24"/>
                <w:szCs w:val="24"/>
              </w:rPr>
            </w:r>
            <w:r/>
          </w:p>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手术操作授权闭环管理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构建符合手术分级管理制度的手术操作授权全流程闭环管理链条；</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将医师手术分级授权记录纳入统一管理，形成可追溯的授权操作轨迹；支持按医师、科室、手术级别等多维度查询分析授权现状；</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预留与未来医务管理系统接口对接，进一步完善医师手术操作权限申请、逐层审批、跟踪管理等全流程闭环追溯；未来医务管理系统上线时本闭环系统不再需要改造费用。</w:t>
            </w:r>
            <w:r>
              <w:rPr>
                <w:rFonts w:hint="eastAsia" w:ascii="宋体" w:hAnsi="宋体" w:cs="宋体"/>
                <w:bCs/>
                <w:sz w:val="24"/>
                <w:szCs w:val="24"/>
              </w:rPr>
            </w:r>
            <w:r/>
          </w:p>
        </w:tc>
      </w:tr>
      <w:tr>
        <w:trPr>
          <w:trHeight w:val="30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药物授权闭环管理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为临床医生开具抗菌药物、特殊管理药品（麻醉、精神、毒麻等）、抗肿瘤药物、中药处方等进行授权管理，形成统一管理的授权记录，便于追溯。</w:t>
            </w:r>
            <w:r>
              <w:rPr>
                <w:rFonts w:hint="eastAsia" w:ascii="宋体" w:hAnsi="宋体" w:cs="宋体"/>
                <w:bCs/>
                <w:sz w:val="24"/>
                <w:szCs w:val="24"/>
              </w:rPr>
            </w:r>
            <w:r/>
          </w:p>
        </w:tc>
      </w:tr>
      <w:tr>
        <w:trPr>
          <w:trHeight w:val="43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抗菌药物分级授权</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根据医院抗菌药物分级管理目录，为医师进行分级授权；对所有授权、停用或变更均有记录。</w:t>
            </w:r>
            <w:r>
              <w:rPr>
                <w:rFonts w:hint="eastAsia" w:ascii="宋体" w:hAnsi="宋体" w:cs="宋体"/>
                <w:bCs/>
                <w:sz w:val="24"/>
                <w:szCs w:val="24"/>
              </w:rPr>
            </w:r>
            <w:r/>
          </w:p>
        </w:tc>
      </w:tr>
      <w:tr>
        <w:trPr>
          <w:trHeight w:val="43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特殊管理药品分级授权</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对麻醉药品、精神药品等实施严格的处方权管理；对所有授权、停用或变更均有记录。</w:t>
            </w:r>
            <w:r>
              <w:rPr>
                <w:rFonts w:hint="eastAsia" w:ascii="宋体" w:hAnsi="宋体" w:cs="宋体"/>
                <w:bCs/>
                <w:sz w:val="24"/>
                <w:szCs w:val="24"/>
              </w:rPr>
            </w:r>
            <w:r/>
          </w:p>
        </w:tc>
      </w:tr>
      <w:tr>
        <w:trPr>
          <w:trHeight w:val="43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其他药物授权管理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对抗肿瘤药物支持按分级目录进行权限管理，限制医师开具级别；对中药饮片等处方有权限管理；对所有授权、停用或变更均有记录。</w:t>
            </w:r>
            <w:r>
              <w:rPr>
                <w:rFonts w:hint="eastAsia" w:ascii="宋体" w:hAnsi="宋体" w:cs="宋体"/>
                <w:bCs/>
                <w:sz w:val="24"/>
                <w:szCs w:val="24"/>
              </w:rPr>
            </w:r>
            <w:r/>
          </w:p>
        </w:tc>
      </w:tr>
      <w:tr>
        <w:trPr>
          <w:trHeight w:val="43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医师药物授权闭环管理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支持查看全院抗菌药物、麻精药品等各类处方权限的授权情况；</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所有药物授权流程及变更均有完整记录，支持全操作轨迹一键追溯；</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支持按照医师、科室查看各类药物授权情况；持按照权限查看已被授权的医师或科室。</w:t>
            </w:r>
            <w:r>
              <w:rPr>
                <w:rFonts w:hint="eastAsia" w:ascii="宋体" w:hAnsi="宋体" w:cs="宋体"/>
                <w:bCs/>
                <w:sz w:val="24"/>
                <w:szCs w:val="24"/>
              </w:rPr>
            </w:r>
            <w:r/>
          </w:p>
        </w:tc>
      </w:tr>
      <w:tr>
        <w:trPr>
          <w:trHeight w:val="69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检查检验授权闭环管理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根据最新政策要求实现对检查检验的分级授权管理，形成可追溯的检验检验分级授权闭环记录。</w:t>
            </w:r>
            <w:r>
              <w:rPr>
                <w:rFonts w:hint="eastAsia" w:ascii="宋体" w:hAnsi="宋体" w:cs="宋体"/>
                <w:bCs/>
                <w:sz w:val="24"/>
                <w:szCs w:val="24"/>
              </w:rPr>
            </w:r>
            <w:r/>
          </w:p>
        </w:tc>
      </w:tr>
      <w:tr>
        <w:trPr>
          <w:trHeight w:val="343"/>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支持根据医院检查检验分级管理目录为医师进行授权管理；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开立特殊检查申请时，系统自动校验开单医生是否具备该项目权限；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所有检查检验分级授权流程及变更均有完整记录，支持全操作轨迹一键追溯。</w:t>
            </w:r>
            <w:r>
              <w:rPr>
                <w:rFonts w:hint="eastAsia" w:ascii="宋体" w:hAnsi="宋体" w:cs="宋体"/>
                <w:bCs/>
                <w:sz w:val="24"/>
                <w:szCs w:val="24"/>
              </w:rPr>
            </w:r>
            <w:r/>
          </w:p>
        </w:tc>
      </w:tr>
      <w:tr>
        <w:trPr>
          <w:trHeight w:val="30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治疗授权闭环管理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支持根据医院特殊管理的治疗项目为医师或治疗师进行授权管理；医师开立特殊治疗申请时，系统自动校验其是否具备该项目权限；治疗师进行特殊治疗执行时，系统自动校验其是否具备该项目权限；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所有特殊管理治疗授权流程及变更均有完整记录，支持全操作轨迹一键追溯。</w:t>
            </w:r>
            <w:r>
              <w:rPr>
                <w:rFonts w:hint="eastAsia" w:ascii="宋体" w:hAnsi="宋体" w:cs="宋体"/>
                <w:bCs/>
                <w:sz w:val="24"/>
                <w:szCs w:val="24"/>
              </w:rPr>
            </w:r>
            <w:r/>
          </w:p>
        </w:tc>
      </w:tr>
      <w:tr>
        <w:trPr>
          <w:trHeight w:val="30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统一授权管理</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▲汇总所有个人、科室授权的历史与现状，形成统一管理的全院授权全景记录；</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对授权即将到期、申请后超时未审核等情况，系统自动向相关个人或管理人员发送预警（此项可通过与预留的医务管理系统对接实现）。</w:t>
            </w:r>
            <w:r>
              <w:rPr>
                <w:rFonts w:hint="eastAsia" w:ascii="宋体" w:hAnsi="宋体" w:cs="宋体"/>
                <w:bCs/>
                <w:sz w:val="24"/>
                <w:szCs w:val="24"/>
              </w:rPr>
            </w:r>
            <w:r/>
          </w:p>
        </w:tc>
      </w:tr>
      <w:tr>
        <w:trPr>
          <w:trHeight w:val="124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患者抢救过程闭环管理</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患者抢救过程闭环管理</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急诊系统（改造）</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与区域120对接，实现急诊系统获取120患者相关数据；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系统预设常用抢救医嘱模板（如心肺复苏、气管插管、电除颤、急救用药等），支持一键下达，减少录入时间；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急诊/抢救工作站提供抢救医嘱下达功能，支持批量下达；</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支持医生书写抢救记录单，包含患者基本信息、抢救开始时间、抢救结束时间、抢救地点、参与抢救人员等；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急诊系统与三大中心系统建立数据接口，实现患者抢救状态信息互通；急诊系统支持对三大中心患者标识“绿色通道”，在抢救过程中自动触发优先流程。</w:t>
            </w:r>
            <w:r>
              <w:rPr>
                <w:rFonts w:hint="eastAsia" w:ascii="宋体" w:hAnsi="宋体" w:cs="宋体"/>
                <w:bCs/>
                <w:sz w:val="24"/>
                <w:szCs w:val="24"/>
              </w:rPr>
            </w:r>
            <w:r/>
          </w:p>
        </w:tc>
      </w:tr>
      <w:tr>
        <w:trPr>
          <w:trHeight w:val="124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患者抢救过程闭环管理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构建急诊抢救全流程闭环链条，实现全环节联动、全程留痕、可追溯，贴合急诊抢救快节奏、高风险的特点；</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实时接收各工作站推送的抢救相关数据，形成完整的抢救闭环台账，记录全生命周期关键信息（操作人、时间、详情、结果、转归等）；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具备多维度统计分析功能，可按科室、抢救级别、时间、处置类型等维度生成抢救质量报表、趋势分析图，支持报表导出，为急诊医疗质量管控、资源调配、流程优化提供数据支撑；</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建立不可篡改的全流程操作日志，所有数据交互、操作行为全程留痕，支持事后审计、追溯与质控查阅。</w:t>
            </w:r>
            <w:r>
              <w:rPr>
                <w:rFonts w:hint="eastAsia" w:ascii="宋体" w:hAnsi="宋体" w:cs="宋体"/>
                <w:bCs/>
                <w:sz w:val="24"/>
                <w:szCs w:val="24"/>
              </w:rPr>
            </w:r>
            <w:r/>
          </w:p>
        </w:tc>
      </w:tr>
      <w:tr>
        <w:trPr>
          <w:trHeight w:val="769"/>
        </w:trPr>
        <w:tc>
          <w:tcPr>
            <w:tcW w:w="601" w:type="dxa"/>
            <w:vAlign w:val="top"/>
            <w:vMerge w:val="restart"/>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闭环业务流程配置</w:t>
            </w:r>
            <w:r>
              <w:rPr>
                <w:rFonts w:hint="eastAsia" w:ascii="宋体" w:hAnsi="宋体" w:cs="宋体"/>
                <w:bCs/>
                <w:sz w:val="24"/>
                <w:szCs w:val="24"/>
              </w:rPr>
            </w:r>
            <w:r/>
          </w:p>
        </w:tc>
        <w:tc>
          <w:tcPr>
            <w:tcW w:w="419" w:type="dxa"/>
            <w:vAlign w:val="top"/>
            <w:vMerge w:val="restart"/>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闭环业务流程环节配置</w:t>
            </w:r>
            <w:r>
              <w:rPr>
                <w:rFonts w:hint="eastAsia" w:ascii="宋体" w:hAnsi="宋体" w:cs="宋体"/>
                <w:bCs/>
                <w:sz w:val="24"/>
                <w:szCs w:val="24"/>
              </w:rPr>
            </w:r>
            <w:r/>
          </w:p>
        </w:tc>
        <w:tc>
          <w:tcPr>
            <w:tcW w:w="690" w:type="dxa"/>
            <w:vAlign w:val="top"/>
            <w:vMerge w:val="restart"/>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闭环业务流程环节配置</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流程环节基础管理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流程模型定义：支持定义各类闭环业务流程（如检验闭环、检查闭环、手术闭环、输血闭环、会诊闭环、不良事件闭环等），每个流程包含唯一标识、名称、适用场景描述；</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环节库管理：系统预置常用环节（如申请、缴费、采集、接收、上机、审核、发布等）；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流程模板创建：用户从环节库中选取环节并按顺序组成流程模板，支持流程模板的复制、修改。</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流程环节属性配置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必填属性配置：针对每个环节，可配置是否必填；</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执行逻辑配置：支持配置环节的执行逻辑类型，包括循环与否、互斥与否；</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数据来源配置：每个环节可配置数据来源；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提醒规则配置：针对每个环节，可配置催办提醒规则。</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闭环业务流程展示样式配置</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展示样式模板管理</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样式库管理：系统预置多种展示样式模板（单组展示、多组循环展示等），支持用户自定义新样式；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样式预览：配置过程中支持实时预览，所见即所得。</w:t>
            </w:r>
            <w:r>
              <w:rPr>
                <w:rFonts w:hint="eastAsia" w:ascii="宋体" w:hAnsi="宋体" w:cs="宋体"/>
                <w:bCs/>
                <w:sz w:val="24"/>
                <w:szCs w:val="24"/>
              </w:rPr>
            </w:r>
            <w:r/>
          </w:p>
        </w:tc>
      </w:tr>
      <w:tr>
        <w:trPr>
          <w:trHeight w:val="769"/>
        </w:trPr>
        <w:tc>
          <w:tcPr>
            <w:tcW w:w="601"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闭环业务流程整合</w:t>
            </w: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药品闭环</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药品闭环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闭环整合管理：系统对口服用药、中药、静脉输液、注射用药、特殊级抗菌药物、皮试等各类药品闭环的各个环节进行整合，形成各类药品完整的闭环业务流程管理体系；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多工作站状态同步：住院医生站、住院护士站、门急诊医生站、药房工作站等统一查看各类药品闭环状态，各角色可根据权限查看跟进。</w:t>
            </w:r>
            <w:r>
              <w:rPr>
                <w:rFonts w:hint="eastAsia" w:ascii="宋体" w:hAnsi="宋体" w:cs="宋体"/>
                <w:bCs/>
                <w:sz w:val="24"/>
                <w:szCs w:val="24"/>
              </w:rPr>
            </w:r>
            <w:r/>
          </w:p>
        </w:tc>
      </w:tr>
      <w:tr>
        <w:trPr>
          <w:trHeight w:val="37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危急值闭环</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危急值闭环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闭环整合管理：系统对门急诊、住院危急值闭环的各个环节进行整合，形成各类危急值完整的闭环业务流程管理体系；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多工作站状态同步：住院医生站、住院护士站、门急诊医生站、检验科室、检查科室等统一查看各类危急值闭环状态，各角色可根据权限查看跟进。</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检验闭环（包括不合格标本）</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检验闭环（包括不合格标本）</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闭环整合管理：系统对门急诊、住院检验闭环的各个环节进行整合，形成各类检验完整的闭环业务流程管理体系；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多工作站状态同步：住院医生站、住院护士站、门急诊医生站、检验科室等统一查看各类检验闭环状态，各角色可根据权限查看跟进。</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检查闭环</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检查闭环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闭环整合管理：系统对门急诊、住院各类检查（包括放射、超声、心电、内镜、病理检查）闭环的各个环节进行整合，形成各类检查完整的闭环业务流程管理体系；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多工作站状态同步：住院医生站、住院护士站、门急诊医生站、检查科室等统一查看各类检查闭环状态，各角色可根据权限查看跟进；</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治疗闭环</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治疗闭环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闭环整合管理：系统对门急诊、住院治疗闭环的各个环节进行整合，形成各类治疗完整的闭环业务流程管理体系；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多工作站状态同步：住院医生站、住院护士站、门急诊医生站、治疗科室等统一查看各类治疗闭环状态，各角色可根据权限查看跟进。</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手术闭环（含麻醉闭环）</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手术闭环（含麻醉闭环）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闭环整合管理：系统对手术闭环的各个环节进行整合，形成手术完整的闭环业务流程管理体系；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多工作站状态同步：住院医生站、手术室系统等统一查看手术闭环状态，各角色可根据权限查看跟进。</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输血闭环</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输血闭环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闭环整合管理：系统对输血闭环的各个环节进行整合，形成输血完整的闭环业务流程管理体系；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多工作站状态同步：住院医生站、住院护士站、输血系统等统一查看各类检验闭环状态，各角色可根据权限查看跟进。</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会诊闭环</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会诊闭环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闭环整合管理：系统对会诊闭环的各个环节进行整合，形成会诊完整的闭环业务流程管理体系；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多工作站状态同步：住院医生站、住院护士站等统一查看会诊闭环状态，各角色可根据权限查看跟进。</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患者流转闭环</w:t>
            </w:r>
            <w:r>
              <w:rPr>
                <w:rFonts w:hint="eastAsia" w:ascii="宋体" w:hAnsi="宋体" w:cs="宋体"/>
                <w:bCs/>
                <w:sz w:val="24"/>
                <w:szCs w:val="24"/>
              </w:rPr>
            </w:r>
            <w:r/>
          </w:p>
        </w:tc>
        <w:tc>
          <w:tcPr>
            <w:tcW w:w="690" w:type="dxa"/>
            <w:vAlign w:val="top"/>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患者流转闭环</w:t>
            </w:r>
            <w:r>
              <w:rPr>
                <w:rFonts w:hint="eastAsia" w:ascii="宋体" w:hAnsi="宋体" w:cs="宋体"/>
                <w:bCs/>
                <w:sz w:val="24"/>
                <w:szCs w:val="24"/>
              </w:rPr>
            </w:r>
            <w:r/>
          </w:p>
        </w:tc>
        <w:tc>
          <w:tcPr>
            <w:tcW w:w="3288" w:type="dxa"/>
            <w:vAlign w:val="top"/>
            <w:textDirection w:val="lrTb"/>
            <w:noWrap w:val="false"/>
          </w:tcPr>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闭环整合管理：系统对患者流转闭环的各个环节进行整合，形成各类患者流转完整的闭环业务流程管理体系；</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多工作站状态同步：住院医生站、住院护士站等统一查看各类患者流转闭环状态，各角色可根据权限查看跟进。</w:t>
            </w:r>
            <w:r>
              <w:rPr>
                <w:rFonts w:hint="eastAsia" w:ascii="宋体" w:hAnsi="宋体" w:cs="宋体"/>
                <w:bCs/>
                <w:sz w:val="24"/>
                <w:szCs w:val="24"/>
              </w:rPr>
            </w:r>
            <w:r/>
          </w:p>
        </w:tc>
      </w:tr>
      <w:tr>
        <w:trPr>
          <w:trHeight w:val="769"/>
        </w:trPr>
        <w:tc>
          <w:tcPr>
            <w:tcW w:w="601"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临床质量闭环分析</w:t>
            </w: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药品闭环指标分析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药品闭环指标分析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分析范围：覆盖口服用药、中药、静脉输液、注射用药等药品闭环类型；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数据来源：基于药品闭环各环节的实际执行记录（开立、审核、发药、配送、接收、执行、结束等），自动采集数据；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指标定义库：系统预置各药品闭环的关键环节完成度指标。</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科室筛选：支持按临床科室（如呼吸科、心内科）筛选；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空值数：统计指定条件下，在各类药品闭环执行过程中，某环节应有记录但实际缺失记录的总数量；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危急值闭环指标分析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危急值闭环指标分析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分析范围：覆盖门急诊危急值、住院危急值闭环类型；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数据来源：基于门急诊危急值、住院危急值闭环各环节的实际执行记录，自动采集数据；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指标定义库：系统预置各危急值闭环的关键环节完成度指标。</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科室筛选：支持按临床科室（如呼吸科、心内科）筛选；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356"/>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空值数：统计指定条件下，在各类危急值闭环执行过程中，某环节应有记录但实际缺失记录的总数量；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检验闭环指标分析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检验闭环指标分析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分析范围：覆盖门诊和住院检验闭环类型；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数据来源：基于门诊和住院检验闭环各环节的实际执行记录，自动采集数据；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指标定义库：系统预置各检验闭环的关键环节完成度指标。</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科室筛选：支持按临床科室（如呼吸科、心内科）筛选；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空值数：统计指定条件下，在各类检验闭环执行过程中，某环节应有记录但实际缺失记录的总数量；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检查闭环指标分析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检查闭环指标分析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分析范围：覆盖放射、超声、心电、内镜、病理）等各类检查闭环类型。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数据来源：基于各类检查闭环各环节的实际执行记录，自动采集数据。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指标定义库：系统预置各类检查闭环的关键环节完成度指标。</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科室筛选：支持按临床科室（如呼吸科、心内科）筛选；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空值数：统计指定条件下，在各类检查闭环执行过程中，某环节应有记录但实际缺失记录的总数量；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治疗闭环指标分析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治疗闭环指标分析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分析范围：覆盖康复治疗、血透治疗闭环类型；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数据来源：基于各类治疗闭环各环节的实际执行记录，自动采集数据；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指标定义库：系统预置各类治疗闭环的关键环节完成度指标。</w:t>
            </w:r>
            <w:r>
              <w:rPr>
                <w:rFonts w:hint="eastAsia" w:ascii="宋体" w:hAnsi="宋体" w:cs="宋体"/>
                <w:bCs/>
                <w:sz w:val="24"/>
                <w:szCs w:val="24"/>
              </w:rPr>
            </w:r>
            <w:r/>
          </w:p>
        </w:tc>
      </w:tr>
      <w:tr>
        <w:trPr>
          <w:trHeight w:val="90"/>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科室筛选：支持按临床科室（如呼吸科、心内科）筛选；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空值数：统计指定条件下，在各类治疗闭环执行过程中，某环节应有记录但实际缺失记录的总数量；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手术闭环指标分析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手术闭环指标分析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分析范围：覆盖手术闭环类型；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数据来源：基于手术闭环各环节的实际执行记录，自动采集数据；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指标定义库：系统预置手术闭环的关键环节完成度指标。</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55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空值数：统计指定条件下，在手术闭环执行过程中，某环节应有记录但实际缺失记录的总数量；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r>
        <w:trPr>
          <w:trHeight w:val="93"/>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输血闭环指标分析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输血闭环指标分析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分析范围：覆盖输血闭环类型；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数据来源：基于输血闭环各环节的实际执行记录，自动采集数据；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指标定义库：系统预置输血闭环的关键环节完成度指标。</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29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空值数：统计指定条件下，在输血闭环执行过程中，某环节应有记录但实际缺失记录的总数量；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会诊闭环指标分析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会诊闭环指标分析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分析范围：覆盖会诊闭环类型；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数据来源：基于会诊闭环各环节的实际执行记录，自动采集数据；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指标定义库：系统预置会诊闭环的关键环节完成度指标。</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空值数：统计指定条件下，在会诊闭环执行过程中，某环节应有记录但实际缺失记录的总数量；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r>
        <w:trPr>
          <w:trHeight w:val="769"/>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患者流转闭环指标分析</w:t>
            </w:r>
            <w:r>
              <w:rPr>
                <w:rFonts w:hint="eastAsia" w:ascii="宋体" w:hAnsi="宋体" w:cs="宋体"/>
                <w:bCs/>
                <w:sz w:val="24"/>
                <w:szCs w:val="24"/>
              </w:rPr>
            </w:r>
            <w:r/>
          </w:p>
        </w:tc>
        <w:tc>
          <w:tcPr>
            <w:tcW w:w="690" w:type="dxa"/>
            <w:vAlign w:val="top"/>
            <w:vMerge w:val="restart"/>
            <w:textDirection w:val="lrTb"/>
            <w:noWrap w:val="false"/>
          </w:tcPr>
          <w:p>
            <w:pPr>
              <w:pStyle w:val="871"/>
              <w:jc w:val="left"/>
              <w:spacing w:line="264" w:lineRule="auto"/>
              <w:rPr>
                <w:rFonts w:hint="eastAsia" w:ascii="宋体" w:hAnsi="宋体" w:cs="宋体"/>
                <w:bCs/>
                <w:sz w:val="24"/>
                <w:szCs w:val="24"/>
              </w:rPr>
            </w:pPr>
            <w:r>
              <w:rPr>
                <w:rFonts w:hint="eastAsia" w:ascii="宋体" w:hAnsi="宋体" w:cs="宋体"/>
                <w:bCs/>
                <w:sz w:val="24"/>
                <w:szCs w:val="24"/>
              </w:rPr>
              <w:t xml:space="preserve">患者流转闭环指标分析</w:t>
            </w: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指标分析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分析范围：覆盖患者入出转、出科检查、治疗、手术等患者流转闭环类型；</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数据来源：基于患者流转闭环各环节的实际执行记录，自动采集数据；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指标定义库：系统预置各患者流转闭环的关键环节完成度指标。</w:t>
            </w:r>
            <w:r>
              <w:rPr>
                <w:rFonts w:hint="eastAsia" w:ascii="宋体" w:hAnsi="宋体" w:cs="宋体"/>
                <w:bCs/>
                <w:sz w:val="24"/>
                <w:szCs w:val="24"/>
              </w:rPr>
            </w:r>
            <w:r/>
          </w:p>
        </w:tc>
      </w:tr>
      <w:tr>
        <w:trPr>
          <w:trHeight w:val="238"/>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查询条件配置</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日期范围选择：支持按开始日期、结束日期筛选统计区间；</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科室筛选：支持按临床科室筛选；</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病区筛选：支持按病区筛选。</w:t>
            </w:r>
            <w:r>
              <w:rPr>
                <w:rFonts w:hint="eastAsia" w:ascii="宋体" w:hAnsi="宋体" w:cs="宋体"/>
                <w:bCs/>
                <w:sz w:val="24"/>
                <w:szCs w:val="24"/>
              </w:rPr>
            </w:r>
            <w:r/>
          </w:p>
        </w:tc>
      </w:tr>
      <w:tr>
        <w:trPr>
          <w:trHeight w:val="197"/>
        </w:trPr>
        <w:tc>
          <w:tcPr>
            <w:tcW w:w="601"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419"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690" w:type="dxa"/>
            <w:vAlign w:val="top"/>
            <w:vMerge w:val="continue"/>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r>
            <w:r/>
          </w:p>
        </w:tc>
        <w:tc>
          <w:tcPr>
            <w:tcW w:w="3288" w:type="dxa"/>
            <w:vAlign w:val="top"/>
            <w:textDirection w:val="lrTb"/>
            <w:noWrap w:val="false"/>
          </w:tcPr>
          <w:p>
            <w:pPr>
              <w:pStyle w:val="871"/>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闭环执行完整度分析</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空值数：统计指定条件下，在各类患者流转闭环执行过程中，某环节应有记录但实际缺失记录的总数量；</w:t>
            </w:r>
            <w:r>
              <w:rPr>
                <w:rFonts w:hint="eastAsia" w:ascii="宋体" w:hAnsi="宋体" w:cs="宋体"/>
                <w:bCs/>
                <w:sz w:val="24"/>
                <w:szCs w:val="24"/>
              </w:rPr>
            </w:r>
            <w:r/>
          </w:p>
          <w:p>
            <w:pPr>
              <w:pStyle w:val="871"/>
              <w:numPr>
                <w:ilvl w:val="0"/>
                <w:numId w:val="5"/>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空值率：空值数/应记录总数×100%。</w:t>
            </w:r>
            <w:r>
              <w:rPr>
                <w:rFonts w:hint="eastAsia" w:ascii="宋体" w:hAnsi="宋体" w:cs="宋体"/>
                <w:bCs/>
                <w:sz w:val="24"/>
                <w:szCs w:val="24"/>
              </w:rPr>
            </w:r>
            <w:r/>
          </w:p>
        </w:tc>
      </w:tr>
    </w:tbl>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71"/>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w:t>
      </w:r>
      <w:r>
        <w:rPr>
          <w:rFonts w:hint="eastAsia" w:ascii="宋体" w:hAnsi="宋体" w:eastAsia="宋体" w:cs="宋体"/>
          <w:color w:val="000000"/>
          <w:sz w:val="24"/>
          <w:szCs w:val="24"/>
          <w:highlight w:val="none"/>
          <w:lang w:val="en-US" w:eastAsia="zh-CN"/>
        </w:rPr>
        <w:t xml:space="preserve">施要求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按照项目建设要求按时完成项目开发、调试、测试、集成、施工、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供应商所提供的服务技术规格应与响应文件所附的“技术条款偏离表”相一致，并符合最新的国家标准、行业标准、法定职责、条例、规范以及政府及有关部门的特别要求。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完成后，将项目软件安装调试完毕、系统集成完毕后交付使用，并对采购人进行全面培训后方可申请验收。供应商应按医院要求提供完备的验收材料。相关验收文档包括但不限于用户使用手册、安装文档等相关资料。</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（4）运维服务要求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①供应商应确保本次采购所有项目的安全稳定的运行，并提供不低于 3 年运维服务（自验收报告签字确认日起，开始进入运维期，费用包含在本次总报价中）。运维期内，本合同项目所有技术和服务发生任何非人为故障，由供应商负责系统恢复。</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责。</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④所有的服务方式均为供应商上门保修，即由供应商派员到系统使用现场进行故障恢复，由此产生的一切费用均由供应商承担。 </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⑤运维期内供应商提供的系统软件升级，保证采购人使用最新版本软件。运维期满后软件版本内终身升级。</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⑥本项目软、硬件系统采购人可以永久使用，系统软硬件所有接口永久开放，费用包含在本次总报价中。 </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（5）培训要求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供应商提供培训服务，费用包含在投标总价中。</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（6）人员要求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①本项目实施期间至本项目验收合格之日止要求服务人数不少于4人（含项目经理1人、技术负责人1人），且项目实施期内提供不少于1人的驻场服务。 </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②项目组所有人员必须为供应商正式工作人员，不得兼任其他项目工作，未经采购人同意，人员不得更换。</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（7）权利保证</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③基于本项目合同履行形成的知识产权和其他权益，其权属归采购人所有，法律另有规定的除外。</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90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w:t>
      </w:r>
      <w:r>
        <w:rPr>
          <w:rFonts w:hint="eastAsia" w:ascii="宋体" w:hAnsi="宋体" w:eastAsia="宋体" w:cs="宋体"/>
          <w:color w:val="000000"/>
          <w:sz w:val="24"/>
          <w:szCs w:val="24"/>
        </w:rPr>
        <w:t xml:space="preserve">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9"/>
        <w:rPr>
          <w:rFonts w:hint="eastAsia"/>
          <w:lang w:val="en-US" w:eastAsia="zh-CN"/>
        </w:rPr>
      </w:pPr>
      <w:r>
        <w:rPr>
          <w:rFonts w:hint="eastAsia"/>
          <w:lang w:val="en-US" w:eastAsia="zh-CN"/>
        </w:rPr>
      </w:r>
      <w:r/>
    </w:p>
    <w:p>
      <w:pPr>
        <w:pStyle w:val="94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3"/>
        <w:rPr>
          <w:rFonts w:hint="eastAsia"/>
        </w:rPr>
      </w:pPr>
      <w:r>
        <w:rPr>
          <w:rFonts w:hint="eastAsia"/>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4"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w:t>
      </w:r>
      <w:r>
        <w:rPr>
          <w:rFonts w:hint="eastAsia" w:ascii="宋体" w:hAnsi="宋体" w:eastAsia="宋体" w:cs="宋体"/>
          <w:sz w:val="24"/>
          <w:szCs w:val="24"/>
        </w:rPr>
        <w:t xml:space="preserve">选人。</w:t>
      </w:r>
      <w:r>
        <w:rPr>
          <w:rFonts w:hint="eastAsia" w:ascii="宋体" w:hAnsi="宋体" w:eastAsia="宋体" w:cs="宋体"/>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lang w:val="zh-CN"/>
        </w:rPr>
        <w:t xml:space="preserve">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zh-CN" w:eastAsia="zh-CN"/>
        </w:rPr>
        <w:t xml:space="preserve">，</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rPr>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ascii="宋体" w:hAnsi="宋体" w:eastAsia="宋体" w:cs="宋体"/>
                <w:sz w:val="21"/>
                <w:szCs w:val="21"/>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pacing w:val="-2"/>
                <w:sz w:val="21"/>
                <w:szCs w:val="21"/>
                <w:lang w:eastAsia="zh-CN"/>
              </w:rPr>
            </w:pPr>
            <w:r>
              <w:rPr>
                <w:rFonts w:hint="eastAsia" w:ascii="Times New Roman" w:hAnsi="Times New Roman" w:eastAsia="宋体" w:cs="Times New Roman"/>
                <w:color w:val="000000"/>
                <w:sz w:val="21"/>
                <w:szCs w:val="21"/>
                <w:lang w:val="en-US" w:eastAsia="zh-CN"/>
              </w:rPr>
              <w:t xml:space="preserve">产品技术参数</w:t>
            </w:r>
            <w:r>
              <w:rPr>
                <w:rFonts w:hint="eastAsia" w:ascii="宋体" w:hAnsi="宋体" w:eastAsia="宋体" w:cs="宋体"/>
                <w:spacing w:val="-2"/>
                <w:sz w:val="21"/>
                <w:szCs w:val="21"/>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sz w:val="21"/>
                <w:szCs w:val="21"/>
              </w:rPr>
            </w:pPr>
            <w:r>
              <w:rPr>
                <w:rFonts w:hint="eastAsia" w:ascii="宋体" w:hAnsi="宋体" w:eastAsia="宋体" w:cs="宋体"/>
                <w:sz w:val="21"/>
                <w:szCs w:val="21"/>
                <w:lang w:val="en-US" w:eastAsia="zh-CN"/>
              </w:rPr>
              <w:t xml:space="preserve">产品</w:t>
            </w:r>
            <w:r>
              <w:rPr>
                <w:rFonts w:ascii="宋体" w:hAnsi="宋体" w:eastAsia="宋体" w:cs="宋体"/>
                <w:sz w:val="21"/>
                <w:szCs w:val="21"/>
                <w:lang w:val="en-US" w:eastAsia="zh-CN"/>
              </w:rPr>
              <w:t xml:space="preserve">技术参数全部满足招标要求的得满分</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t xml:space="preserve">打★指标为必须满足项，如有负偏离将作为无效投标</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t xml:space="preserve">打▲指标为重要指标，</w:t>
            </w:r>
            <w:r>
              <w:rPr>
                <w:rFonts w:hint="eastAsia" w:ascii="宋体" w:hAnsi="宋体" w:eastAsia="宋体" w:cs="宋体"/>
                <w:sz w:val="21"/>
                <w:szCs w:val="21"/>
                <w:lang w:val="en-US" w:eastAsia="zh-CN"/>
              </w:rPr>
              <w:t xml:space="preserve">有1项负偏离扣1分，其余指标有1项负偏离扣0.02分。</w:t>
            </w:r>
            <w:r>
              <w:rPr>
                <w:sz w:val="2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30</w:t>
            </w:r>
            <w:r>
              <w:rPr>
                <w:rFonts w:ascii="宋体" w:hAnsi="宋体" w:eastAsia="宋体" w:cs="宋体"/>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2.2</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ind w:right="108"/>
              <w:jc w:val="left"/>
              <w:spacing w:before="68" w:line="264" w:lineRule="auto"/>
              <w:rPr>
                <w:rFonts w:hint="eastAsia" w:ascii="宋体" w:hAnsi="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总体技术方案</w:t>
            </w:r>
            <w:r>
              <w:rPr>
                <w:rFonts w:hint="eastAsia" w:ascii="宋体" w:hAnsi="宋体" w:cs="宋体"/>
                <w:color w:val="000000"/>
                <w:spacing w:val="-2"/>
                <w:sz w:val="21"/>
                <w:szCs w:val="21"/>
                <w:lang w:val="en-US" w:eastAsia="zh-CN" w:bidi="ar-SA"/>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总体架构和性能设计；</w:t>
            </w: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技术路线和业务逻辑流程设计；</w:t>
            </w:r>
            <w:r>
              <w:rPr>
                <w:rFonts w:hint="eastAsia" w:ascii="宋体" w:hAnsi="宋体" w:cs="宋体"/>
                <w:color w:val="000000"/>
              </w:rPr>
              <w:t xml:space="preserve">3.系统架构设计；4.系统功能设计。</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yellow"/>
                <w:lang w:val="en-US" w:eastAsia="zh-CN" w:bidi="ar-SA"/>
              </w:rPr>
            </w:pPr>
            <w:r>
              <w:rPr>
                <w:rFonts w:hint="eastAsia" w:ascii="宋体" w:hAnsi="宋体" w:cs="宋体"/>
                <w:color w:val="000000"/>
                <w:lang w:val="en-US" w:eastAsia="zh-CN"/>
              </w:rPr>
              <w:t xml:space="preserve">4</w:t>
            </w:r>
            <w:r>
              <w:rPr>
                <w:rFonts w:hint="eastAsia" w:ascii="宋体" w:hAnsi="宋体" w:eastAsia="宋体" w:cs="宋体"/>
                <w:color w:val="000000"/>
                <w:sz w:val="21"/>
                <w:szCs w:val="21"/>
                <w:highlight w:val="yellow"/>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315"/>
        </w:trPr>
        <w:tc>
          <w:tcPr>
            <w:tcW w:w="519" w:type="dxa"/>
            <w:vAlign w:val="center"/>
            <w:textDirection w:val="lrTb"/>
            <w:noWrap w:val="false"/>
          </w:tcPr>
          <w:p>
            <w:pPr>
              <w:pStyle w:val="871"/>
              <w:jc w:val="center"/>
              <w:spacing w:before="68" w:line="264" w:lineRule="auto"/>
              <w:rPr>
                <w:rFonts w:hint="eastAsia" w:ascii="宋体" w:hAnsi="宋体" w:eastAsia="宋体" w:cs="宋体"/>
                <w:spacing w:val="-2"/>
                <w:sz w:val="21"/>
                <w:szCs w:val="21"/>
                <w:lang w:val="en-US" w:eastAsia="zh-CN" w:bidi="ar-SA"/>
              </w:rPr>
            </w:pPr>
            <w:r>
              <w:rPr>
                <w:rFonts w:ascii="宋体" w:hAnsi="宋体" w:cs="宋体"/>
                <w:spacing w:val="-2"/>
              </w:rPr>
              <w:t xml:space="preserve">2.</w:t>
            </w:r>
            <w:r>
              <w:rPr>
                <w:rFonts w:hint="eastAsia" w:ascii="宋体" w:hAnsi="宋体" w:cs="宋体"/>
                <w:spacing w:val="-2"/>
                <w:lang w:val="en-US" w:eastAsia="zh-CN"/>
              </w:rPr>
              <w:t xml:space="preserve">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ind w:right="108"/>
              <w:jc w:val="left"/>
              <w:spacing w:before="68" w:line="264" w:lineRule="auto"/>
              <w:rPr>
                <w:rFonts w:hint="eastAsia" w:ascii="宋体" w:hAnsi="宋体" w:cs="宋体"/>
                <w:color w:val="000000"/>
                <w:spacing w:val="-2"/>
                <w:sz w:val="21"/>
                <w:szCs w:val="21"/>
                <w:lang w:val="en-US" w:eastAsia="zh-CN" w:bidi="ar-SA"/>
              </w:rPr>
            </w:pPr>
            <w:r>
              <w:rPr>
                <w:rFonts w:hint="eastAsia" w:ascii="宋体" w:hAnsi="宋体" w:cs="宋体"/>
                <w:color w:val="000000"/>
                <w:spacing w:val="-2"/>
              </w:rPr>
              <w:t xml:space="preserve">实施方案</w:t>
            </w:r>
            <w:r>
              <w:rPr>
                <w:rFonts w:hint="eastAsia" w:ascii="宋体" w:hAnsi="宋体" w:cs="宋体"/>
                <w:color w:val="000000"/>
                <w:spacing w:val="-2"/>
                <w:sz w:val="21"/>
                <w:szCs w:val="21"/>
                <w:lang w:val="en-US" w:eastAsia="zh-CN" w:bidi="ar-SA"/>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ascii="宋体" w:hAnsi="宋体" w:cs="宋体"/>
                <w:color w:val="000000"/>
                <w:lang w:val="zh-CN"/>
              </w:rPr>
              <w:t xml:space="preserve">1.工作时间进度表；2.工作程序和步骤；3、管理和协调方法。</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yellow"/>
                <w:lang w:val="en-US" w:eastAsia="zh-CN" w:bidi="ar-SA"/>
              </w:rPr>
            </w:pPr>
            <w:r>
              <w:rPr>
                <w:rFonts w:hint="eastAsia" w:ascii="宋体" w:hAnsi="宋体" w:eastAsia="宋体" w:cs="宋体"/>
                <w:color w:val="000000"/>
                <w:lang w:val="en-US" w:eastAsia="zh-CN"/>
              </w:rPr>
              <w:t xml:space="preserve">6</w:t>
            </w:r>
            <w:r>
              <w:rPr>
                <w:rFonts w:hint="eastAsia" w:ascii="宋体" w:hAnsi="宋体" w:eastAsia="宋体" w:cs="宋体"/>
                <w:color w:val="000000"/>
                <w:sz w:val="21"/>
                <w:szCs w:val="21"/>
                <w:highlight w:val="yellow"/>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rPr>
            </w:r>
            <w:r/>
          </w:p>
        </w:tc>
      </w:tr>
      <w:tr>
        <w:trPr>
          <w:trHeight w:val="624"/>
        </w:trPr>
        <w:tc>
          <w:tcPr>
            <w:tcW w:w="519" w:type="dxa"/>
            <w:vAlign w:val="center"/>
            <w:textDirection w:val="lrTb"/>
            <w:noWrap w:val="false"/>
          </w:tcPr>
          <w:p>
            <w:pPr>
              <w:pStyle w:val="871"/>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2.4</w:t>
            </w:r>
            <w:r>
              <w:rPr>
                <w:rFonts w:ascii="宋体" w:hAnsi="宋体" w:eastAsia="宋体" w:cs="宋体"/>
                <w:spacing w:val="-2"/>
                <w:lang w:val="en-US" w:eastAsia="zh-CN"/>
              </w:rPr>
            </w:r>
            <w:r/>
          </w:p>
        </w:tc>
        <w:tc>
          <w:tcPr>
            <w:tcW w:w="1179" w:type="dxa"/>
            <w:vAlign w:val="center"/>
            <w:textDirection w:val="lrTb"/>
            <w:noWrap w:val="false"/>
          </w:tcPr>
          <w:p>
            <w:pPr>
              <w:pStyle w:val="871"/>
              <w:ind w:right="108"/>
              <w:jc w:val="left"/>
              <w:spacing w:before="68" w:line="264" w:lineRule="auto"/>
              <w:rPr>
                <w:rFonts w:ascii="宋体" w:hAnsi="宋体" w:eastAsia="宋体" w:cs="宋体"/>
                <w:color w:val="000000"/>
                <w:spacing w:val="-2"/>
                <w:lang w:val="en-US" w:eastAsia="zh-CN"/>
              </w:rPr>
            </w:pPr>
            <w:r>
              <w:rPr>
                <w:rFonts w:hint="eastAsia" w:ascii="宋体" w:hAnsi="宋体" w:cs="宋体"/>
                <w:color w:val="000000"/>
                <w:spacing w:val="-2"/>
                <w:lang w:val="en-US" w:eastAsia="zh-CN"/>
              </w:rPr>
              <w:t xml:space="preserve">系统对接方案</w:t>
            </w:r>
            <w:r>
              <w:rPr>
                <w:rFonts w:ascii="宋体" w:hAnsi="宋体" w:eastAsia="宋体" w:cs="宋体"/>
                <w:color w:val="000000"/>
                <w:spacing w:val="-2"/>
                <w:lang w:val="en-US" w:eastAsia="zh-CN"/>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rPr>
              <w:t xml:space="preserve">与医院现有业务系统的对接方案（包括临床一体化、护理、LIS、PACS等）</w:t>
            </w:r>
            <w:r>
              <w:rPr>
                <w:rFonts w:hint="eastAsia"/>
                <w:color w:val="000000"/>
                <w:sz w:val="21"/>
                <w:szCs w:val="21"/>
                <w:lang w:val="en-US" w:bidi="ar-SA"/>
              </w:rPr>
              <w:t xml:space="preserve">，内容包含：</w:t>
            </w:r>
            <w:r>
              <w:rPr>
                <w:rFonts w:hint="eastAsia"/>
                <w:color w:val="000000"/>
              </w:rPr>
              <w:t xml:space="preserve">1.</w:t>
            </w:r>
            <w:r>
              <w:rPr>
                <w:rFonts w:hint="eastAsia" w:ascii="宋体" w:hAnsi="宋体" w:eastAsia="宋体" w:cs="宋体"/>
                <w:color w:val="000000"/>
                <w:szCs w:val="22"/>
                <w:lang w:val="en-US" w:eastAsia="zh-CN"/>
              </w:rPr>
              <w:t xml:space="preserve">对接实施计划</w:t>
            </w:r>
            <w:r>
              <w:rPr>
                <w:rFonts w:hint="eastAsia"/>
                <w:color w:val="000000"/>
              </w:rPr>
              <w:t xml:space="preserve">；2.重点难点分析；3.对接思路；4.对接</w:t>
            </w:r>
            <w:r>
              <w:rPr>
                <w:rFonts w:hint="eastAsia"/>
                <w:color w:val="000000"/>
                <w:lang w:val="en-US" w:eastAsia="zh-CN"/>
              </w:rPr>
              <w:t xml:space="preserve">保障措施</w:t>
            </w:r>
            <w:r>
              <w:rPr>
                <w:rFonts w:hint="eastAsia"/>
                <w:color w:val="000000"/>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yellow"/>
                <w:lang w:val="en-US" w:eastAsia="zh-CN" w:bidi="ar-SA"/>
              </w:rPr>
            </w:pPr>
            <w:r>
              <w:rPr>
                <w:rFonts w:hint="eastAsia" w:ascii="宋体" w:hAnsi="宋体" w:eastAsia="宋体" w:cs="宋体"/>
                <w:color w:val="000000"/>
                <w:lang w:val="en-US" w:eastAsia="zh-CN"/>
              </w:rPr>
              <w:t xml:space="preserve">4</w:t>
            </w:r>
            <w:r>
              <w:rPr>
                <w:rFonts w:hint="eastAsia" w:ascii="宋体" w:hAnsi="宋体" w:eastAsia="宋体" w:cs="宋体"/>
                <w:color w:val="000000"/>
                <w:sz w:val="21"/>
                <w:szCs w:val="21"/>
                <w:highlight w:val="yellow"/>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1"/>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5</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视频演示</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评委根据供应商提供的演示视频（总演示时间不超过15分钟）综合评分。演示视频包括以下内容： </w:t>
            </w:r>
            <w:r>
              <w:rPr>
                <w:rFonts w:hint="eastAsia" w:ascii="Times New Roman" w:hAnsi="Times New Roman" w:eastAsia="宋体" w:cs="Times New Roman"/>
                <w:color w:val="000000"/>
                <w:lang w:val="en-US" w:eastAsia="zh-CN"/>
              </w:rPr>
            </w:r>
            <w:r/>
          </w:p>
          <w:p>
            <w:pPr>
              <w:pStyle w:val="871"/>
              <w:rPr>
                <w:color w:val="000000"/>
              </w:rPr>
            </w:pPr>
            <w:r>
              <w:rPr>
                <w:rFonts w:hint="eastAsia"/>
                <w:color w:val="000000"/>
              </w:rPr>
              <w:t xml:space="preserve">1.住院检验危急值闭环过程管理演示：支持住院检验危急值分级通知的自定义配置，能够配置分级通知对象、通知时间、消息内容等；住院医生接收住院检验危急值提醒，支持强制弹窗提醒模式，确保医生及时发现，弹窗不可随意关闭，需完成接收确认后才可关闭。</w:t>
            </w:r>
            <w:r>
              <w:rPr>
                <w:color w:val="000000"/>
              </w:rPr>
            </w:r>
            <w:r/>
          </w:p>
          <w:p>
            <w:pPr>
              <w:pStyle w:val="871"/>
              <w:rPr>
                <w:rFonts w:hint="eastAsia"/>
                <w:color w:val="000000"/>
              </w:rPr>
            </w:pPr>
            <w:r>
              <w:rPr>
                <w:rFonts w:hint="eastAsia"/>
                <w:color w:val="000000"/>
              </w:rPr>
              <w:t xml:space="preserve">2.闭环业务流程环节配置演示：系统预置常用环节；用户从环节库中选取环节并按顺序组成流程模板，支持流程模板的复制、修改。</w:t>
            </w:r>
            <w:r>
              <w:rPr>
                <w:rFonts w:hint="eastAsia"/>
                <w:color w:val="000000"/>
              </w:rPr>
            </w:r>
            <w:r/>
          </w:p>
          <w:p>
            <w:pPr>
              <w:pStyle w:val="871"/>
              <w:rPr>
                <w:rFonts w:hint="eastAsia"/>
                <w:color w:val="000000"/>
              </w:rPr>
            </w:pPr>
            <w:r>
              <w:rPr>
                <w:rFonts w:hint="eastAsia"/>
                <w:color w:val="000000"/>
              </w:rPr>
              <w:t xml:space="preserve">3.闭环业务流程展示样式配置演示：系统预置多种展示样式模板（单组展示、多组循环展示），支持用户自定义新样式；配置过程中支持实时预览，所见即所得。</w:t>
            </w:r>
            <w:r>
              <w:rPr>
                <w:rFonts w:hint="eastAsia"/>
                <w:color w:val="000000"/>
              </w:rPr>
            </w:r>
            <w:r/>
          </w:p>
          <w:p>
            <w:pPr>
              <w:pStyle w:val="871"/>
              <w:rPr>
                <w:color w:val="000000"/>
              </w:rPr>
            </w:pPr>
            <w:r>
              <w:rPr>
                <w:rFonts w:hint="eastAsia"/>
                <w:color w:val="000000"/>
              </w:rPr>
              <w:t xml:space="preserve">4.患者流转闭环演示：系统支持对患者流转闭环的各个环节进行整合，形成患者流转完整的闭环业务流程管理体系。</w:t>
            </w:r>
            <w:r>
              <w:rPr>
                <w:color w:val="000000"/>
              </w:rPr>
            </w:r>
            <w:r/>
          </w:p>
          <w:p>
            <w:pPr>
              <w:pStyle w:val="871"/>
              <w:rPr>
                <w:rFonts w:hint="eastAsia" w:ascii="Times New Roman" w:hAnsi="Times New Roman" w:eastAsia="宋体" w:cs="Times New Roman"/>
                <w:color w:val="000000"/>
                <w:lang w:val="en-US" w:eastAsia="zh-CN"/>
              </w:rPr>
            </w:pPr>
            <w:r>
              <w:rPr>
                <w:rFonts w:hint="eastAsia"/>
                <w:color w:val="000000"/>
              </w:rPr>
              <w:t xml:space="preserve">5.药品闭环指标分析演示：支持对口服、静脉用药不同类型用药闭环的关键环节完成度指标进行分析，能够按照日期范围、科室、病区条件查询各类用药闭环执行过程的空值数以及空值率。</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lang w:val="en-US" w:eastAsia="zh-CN"/>
              </w:rPr>
            </w:r>
            <w:r/>
          </w:p>
          <w:p>
            <w:pPr>
              <w:pStyle w:val="87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以上每项采用</w:t>
            </w:r>
            <w:r>
              <w:rPr>
                <w:rFonts w:hint="eastAsia" w:ascii="Times New Roman" w:hAnsi="Times New Roman" w:eastAsia="宋体" w:cs="Times New Roman"/>
                <w:color w:val="000000"/>
                <w:lang w:val="en-US" w:eastAsia="zh-CN"/>
              </w:rPr>
              <w:t xml:space="preserve">类似</w:t>
            </w:r>
            <w:r>
              <w:rPr>
                <w:rFonts w:ascii="Times New Roman" w:hAnsi="Times New Roman" w:eastAsia="宋体" w:cs="Times New Roman"/>
                <w:color w:val="000000"/>
                <w:lang w:val="en-US" w:eastAsia="zh-CN"/>
              </w:rPr>
              <w:t xml:space="preserve">真实系统演示，建设内容理解程度完整、覆盖程度方面准确、界面友好的，得3分；建设内容理解程度完整性、覆盖程度方面准确性、界面友好均</w:t>
            </w:r>
            <w:r>
              <w:rPr>
                <w:rFonts w:hint="eastAsia" w:ascii="Times New Roman" w:hAnsi="Times New Roman" w:eastAsia="宋体" w:cs="Times New Roman"/>
                <w:color w:val="000000"/>
                <w:lang w:val="en-US" w:eastAsia="zh-CN"/>
              </w:rPr>
              <w:t xml:space="preserve">基本满足要求</w:t>
            </w:r>
            <w:r>
              <w:rPr>
                <w:rFonts w:ascii="Times New Roman" w:hAnsi="Times New Roman" w:eastAsia="宋体" w:cs="Times New Roman"/>
                <w:color w:val="000000"/>
                <w:lang w:val="en-US" w:eastAsia="zh-CN"/>
              </w:rPr>
              <w:t xml:space="preserve">的，得</w:t>
            </w:r>
            <w:r>
              <w:rPr>
                <w:rFonts w:hint="eastAsia" w:ascii="Times New Roman" w:hAnsi="Times New Roman" w:eastAsia="宋体" w:cs="Times New Roman"/>
                <w:color w:val="000000"/>
                <w:lang w:val="en-US" w:eastAsia="zh-CN"/>
              </w:rPr>
              <w:t xml:space="preserve">1.5</w:t>
            </w:r>
            <w:r>
              <w:rPr>
                <w:rFonts w:ascii="Times New Roman" w:hAnsi="Times New Roman" w:eastAsia="宋体" w:cs="Times New Roman"/>
                <w:color w:val="000000"/>
                <w:lang w:val="en-US" w:eastAsia="zh-CN"/>
              </w:rPr>
              <w:t xml:space="preserve">分；</w:t>
            </w:r>
            <w:r>
              <w:rPr>
                <w:rFonts w:ascii="Times New Roman" w:hAnsi="Times New Roman" w:eastAsia="宋体" w:cs="Times New Roman"/>
                <w:color w:val="000000"/>
                <w:lang w:val="en-US" w:eastAsia="zh-CN"/>
              </w:rPr>
            </w:r>
            <w:r/>
          </w:p>
          <w:p>
            <w:pPr>
              <w:pStyle w:val="87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以上每项采用</w:t>
            </w:r>
            <w:r>
              <w:rPr>
                <w:rFonts w:hint="eastAsia" w:ascii="Times New Roman" w:hAnsi="Times New Roman" w:eastAsia="宋体" w:cs="Times New Roman"/>
                <w:color w:val="000000"/>
                <w:lang w:val="en-US" w:eastAsia="zh-CN"/>
              </w:rPr>
              <w:t xml:space="preserve">非类似</w:t>
            </w:r>
            <w:r>
              <w:rPr>
                <w:rFonts w:ascii="Times New Roman" w:hAnsi="Times New Roman" w:eastAsia="宋体" w:cs="Times New Roman"/>
                <w:color w:val="000000"/>
                <w:lang w:val="en-US" w:eastAsia="zh-CN"/>
              </w:rPr>
              <w:t xml:space="preserve">真实系统</w:t>
            </w:r>
            <w:r>
              <w:rPr>
                <w:rFonts w:hint="eastAsia" w:ascii="Times New Roman" w:hAnsi="Times New Roman" w:eastAsia="宋体" w:cs="Times New Roman"/>
                <w:color w:val="000000"/>
                <w:lang w:val="en-US" w:eastAsia="zh-CN"/>
              </w:rPr>
              <w:t xml:space="preserve">（如</w:t>
            </w:r>
            <w:r>
              <w:rPr>
                <w:rFonts w:ascii="Times New Roman" w:hAnsi="Times New Roman" w:eastAsia="宋体" w:cs="Times New Roman"/>
                <w:color w:val="000000"/>
                <w:lang w:val="en-US" w:eastAsia="zh-CN"/>
              </w:rPr>
              <w:t xml:space="preserve">DEMO</w:t>
            </w:r>
            <w:r>
              <w:rPr>
                <w:rFonts w:hint="eastAsia" w:ascii="Times New Roman" w:hAnsi="Times New Roman" w:eastAsia="宋体" w:cs="Times New Roman"/>
                <w:color w:val="000000"/>
                <w:lang w:val="en-US" w:eastAsia="zh-CN"/>
              </w:rPr>
              <w:t xml:space="preserve">、PPT</w:t>
            </w:r>
            <w:r>
              <w:rPr>
                <w:rFonts w:ascii="Times New Roman" w:hAnsi="Times New Roman" w:eastAsia="宋体" w:cs="Times New Roman"/>
                <w:color w:val="000000"/>
                <w:lang w:val="en-US" w:eastAsia="zh-CN"/>
              </w:rPr>
              <w:t xml:space="preserve">等方式</w:t>
            </w:r>
            <w:r>
              <w:rPr>
                <w:rFonts w:hint="eastAsia" w:ascii="Times New Roman" w:hAnsi="Times New Roman" w:eastAsia="宋体" w:cs="Times New Roman"/>
                <w:color w:val="000000"/>
                <w:lang w:val="en-US" w:eastAsia="zh-CN"/>
              </w:rPr>
              <w:t xml:space="preserve">）</w:t>
            </w:r>
            <w:r>
              <w:rPr>
                <w:rFonts w:ascii="Times New Roman" w:hAnsi="Times New Roman" w:eastAsia="宋体" w:cs="Times New Roman"/>
                <w:color w:val="000000"/>
                <w:lang w:val="en-US" w:eastAsia="zh-CN"/>
              </w:rPr>
              <w:t xml:space="preserve">演示，建设内容理解程度完整、覆盖程度方面准确、界面友好的，得</w:t>
            </w:r>
            <w:r>
              <w:rPr>
                <w:rFonts w:hint="eastAsia" w:ascii="Times New Roman" w:hAnsi="Times New Roman" w:eastAsia="宋体" w:cs="Times New Roman"/>
                <w:color w:val="000000"/>
                <w:lang w:val="en-US" w:eastAsia="zh-CN"/>
              </w:rPr>
              <w:t xml:space="preserve">1.5</w:t>
            </w:r>
            <w:r>
              <w:rPr>
                <w:rFonts w:ascii="Times New Roman" w:hAnsi="Times New Roman" w:eastAsia="宋体" w:cs="Times New Roman"/>
                <w:color w:val="000000"/>
                <w:lang w:val="en-US" w:eastAsia="zh-CN"/>
              </w:rPr>
              <w:t xml:space="preserve">分；建设内容理解程度</w:t>
            </w:r>
            <w:r>
              <w:rPr>
                <w:rFonts w:hint="eastAsia" w:ascii="Times New Roman" w:hAnsi="Times New Roman" w:eastAsia="宋体" w:cs="Times New Roman"/>
                <w:color w:val="000000"/>
                <w:lang w:val="en-US" w:eastAsia="zh-CN"/>
              </w:rPr>
              <w:t xml:space="preserve">基本</w:t>
            </w:r>
            <w:r>
              <w:rPr>
                <w:rFonts w:ascii="Times New Roman" w:hAnsi="Times New Roman" w:eastAsia="宋体" w:cs="Times New Roman"/>
                <w:color w:val="000000"/>
                <w:lang w:val="en-US" w:eastAsia="zh-CN"/>
              </w:rPr>
              <w:t xml:space="preserve">完整、覆盖程度方面</w:t>
            </w:r>
            <w:r>
              <w:rPr>
                <w:rFonts w:hint="eastAsia" w:ascii="Times New Roman" w:hAnsi="Times New Roman" w:eastAsia="宋体" w:cs="Times New Roman"/>
                <w:color w:val="000000"/>
                <w:lang w:val="en-US" w:eastAsia="zh-CN"/>
              </w:rPr>
              <w:t xml:space="preserve">基本</w:t>
            </w:r>
            <w:r>
              <w:rPr>
                <w:rFonts w:ascii="Times New Roman" w:hAnsi="Times New Roman" w:eastAsia="宋体" w:cs="Times New Roman"/>
                <w:color w:val="000000"/>
                <w:lang w:val="en-US" w:eastAsia="zh-CN"/>
              </w:rPr>
              <w:t xml:space="preserve">准确、界面</w:t>
            </w:r>
            <w:r>
              <w:rPr>
                <w:rFonts w:hint="eastAsia" w:ascii="Times New Roman" w:hAnsi="Times New Roman" w:eastAsia="宋体" w:cs="Times New Roman"/>
                <w:color w:val="000000"/>
                <w:lang w:val="en-US" w:eastAsia="zh-CN"/>
              </w:rPr>
              <w:t xml:space="preserve">基本</w:t>
            </w:r>
            <w:r>
              <w:rPr>
                <w:rFonts w:ascii="Times New Roman" w:hAnsi="Times New Roman" w:eastAsia="宋体" w:cs="Times New Roman"/>
                <w:color w:val="000000"/>
                <w:lang w:val="en-US" w:eastAsia="zh-CN"/>
              </w:rPr>
              <w:t xml:space="preserve">友好的，得</w:t>
            </w:r>
            <w:r>
              <w:rPr>
                <w:rFonts w:hint="eastAsia" w:ascii="Times New Roman" w:hAnsi="Times New Roman" w:eastAsia="宋体" w:cs="Times New Roman"/>
                <w:color w:val="000000"/>
                <w:lang w:val="en-US" w:eastAsia="zh-CN"/>
              </w:rPr>
              <w:t xml:space="preserve">0.75</w:t>
            </w:r>
            <w:r>
              <w:rPr>
                <w:rFonts w:ascii="Times New Roman" w:hAnsi="Times New Roman" w:eastAsia="宋体" w:cs="Times New Roman"/>
                <w:color w:val="000000"/>
                <w:lang w:val="en-US" w:eastAsia="zh-CN"/>
              </w:rPr>
              <w:t xml:space="preserve">分；</w:t>
            </w:r>
            <w:r>
              <w:rPr>
                <w:rFonts w:ascii="Times New Roman" w:hAnsi="Times New Roman" w:eastAsia="宋体" w:cs="Times New Roman"/>
                <w:color w:val="000000"/>
                <w:lang w:val="en-US" w:eastAsia="zh-CN"/>
              </w:rPr>
            </w:r>
            <w:r/>
          </w:p>
          <w:p>
            <w:pPr>
              <w:pStyle w:val="87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本项最多</w:t>
            </w:r>
            <w:r>
              <w:rPr>
                <w:rFonts w:hint="eastAsia" w:ascii="Times New Roman" w:hAnsi="Times New Roman" w:eastAsia="宋体" w:cs="Times New Roman"/>
                <w:color w:val="000000"/>
                <w:lang w:val="en-US" w:eastAsia="zh-CN"/>
              </w:rPr>
              <w:t xml:space="preserve">15</w:t>
            </w:r>
            <w:r>
              <w:rPr>
                <w:rFonts w:ascii="Times New Roman" w:hAnsi="Times New Roman" w:eastAsia="宋体" w:cs="Times New Roman"/>
                <w:color w:val="000000"/>
                <w:lang w:val="en-US" w:eastAsia="zh-CN"/>
              </w:rPr>
              <w:t xml:space="preserve">分，采用非真实系统（如：DEMO、PPT等方式）演示最多</w:t>
            </w:r>
            <w:r>
              <w:rPr>
                <w:rFonts w:hint="eastAsia" w:ascii="Times New Roman" w:hAnsi="Times New Roman" w:eastAsia="宋体" w:cs="Times New Roman"/>
                <w:color w:val="000000"/>
                <w:lang w:val="en-US" w:eastAsia="zh-CN"/>
              </w:rPr>
              <w:t xml:space="preserve">7.5</w:t>
            </w:r>
            <w:r>
              <w:rPr>
                <w:rFonts w:ascii="Times New Roman" w:hAnsi="Times New Roman" w:eastAsia="宋体" w:cs="Times New Roman"/>
                <w:color w:val="000000"/>
                <w:lang w:val="en-US" w:eastAsia="zh-CN"/>
              </w:rPr>
              <w:t xml:space="preserve">分，建设内容理解程度不完整、覆盖程度方面不准确、界面不友好或未提供演示本项不得分。</w:t>
            </w:r>
            <w:r>
              <w:rPr>
                <w:rFonts w:ascii="Times New Roman" w:hAnsi="Times New Roman" w:eastAsia="宋体" w:cs="Times New Roman"/>
                <w:color w:val="000000"/>
                <w:lang w:val="en-US" w:eastAsia="zh-CN"/>
              </w:rPr>
            </w:r>
            <w:r/>
          </w:p>
          <w:p>
            <w:pPr>
              <w:pStyle w:val="871"/>
              <w:rPr>
                <w:rFonts w:ascii="Times New Roman" w:hAnsi="Times New Roman" w:eastAsia="宋体" w:cs="Times New Roman"/>
                <w:color w:val="000000"/>
                <w:lang w:val="zh-CN" w:eastAsia="zh-CN"/>
              </w:rPr>
            </w:pPr>
            <w:r>
              <w:rPr>
                <w:rFonts w:hint="eastAsia" w:ascii="Times New Roman" w:hAnsi="Times New Roman" w:eastAsia="宋体" w:cs="Times New Roman"/>
                <w:color w:val="000000"/>
                <w:lang w:val="en-US" w:eastAsia="zh-CN"/>
              </w:rPr>
              <w:t xml:space="preserve">（未提供视频文件或因供应商自身原因视频文件无法打开或视频画面不清晰无法辨认的不得分。）</w:t>
            </w:r>
            <w:r>
              <w:rPr>
                <w:rFonts w:ascii="Times New Roman" w:hAnsi="Times New Roman" w:eastAsia="宋体" w:cs="Times New Roman"/>
                <w:color w:val="000000"/>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15</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运维服务方案</w:t>
            </w:r>
            <w:r>
              <w:rPr>
                <w:rFonts w:hint="eastAsia" w:ascii="宋体" w:hAnsi="宋体" w:eastAsia="宋体" w:cs="宋体"/>
                <w:color w:val="000000"/>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rPr>
                <w:rFonts w:ascii="宋体" w:hAnsi="宋体" w:eastAsia="宋体" w:cs="宋体"/>
                <w:color w:val="000000"/>
                <w:lang w:val="en-US" w:eastAsia="zh-CN"/>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w:t>
            </w:r>
            <w:r>
              <w:rPr>
                <w:rFonts w:hint="eastAsia" w:ascii="宋体" w:hAnsi="宋体" w:eastAsia="宋体" w:cs="宋体"/>
                <w:color w:val="000000"/>
                <w:lang w:val="en-US"/>
              </w:rPr>
              <w:t xml:space="preserve">，内容</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w:t>
            </w:r>
            <w:r>
              <w:rPr>
                <w:rFonts w:hint="eastAsia" w:ascii="宋体" w:hAnsi="宋体" w:eastAsia="宋体" w:cs="宋体"/>
                <w:color w:val="000000"/>
                <w:lang w:val="zh-CN"/>
              </w:rPr>
              <w:t xml:space="preserve">1.服务体系；2.服务内容；3.故障解决方案；4.专业技术人员保障及服务。</w:t>
            </w:r>
            <w:r>
              <w:rPr>
                <w:rFonts w:hint="eastAsia" w:ascii="宋体" w:hAnsi="宋体" w:eastAsia="宋体" w:cs="宋体"/>
                <w:color w:val="000000"/>
                <w:lang w:val="en-US" w:eastAsia="zh-CN"/>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71"/>
              <w:jc w:val="left"/>
              <w:keepLines w:val="0"/>
              <w:keepNext w:val="0"/>
              <w:pageBreakBefore w:val="0"/>
              <w:spacing w:line="264" w:lineRule="auto"/>
              <w:widowControl/>
              <w:rPr>
                <w:rFonts w:hint="eastAsia" w:ascii="宋体" w:hAnsi="宋体" w:eastAsia="宋体" w:cs="宋体"/>
                <w:color w:val="000000"/>
                <w:lang w:val="en-US"/>
              </w:rPr>
            </w:pPr>
            <w:r>
              <w:rPr>
                <w:rFonts w:hint="eastAsia" w:ascii="宋体" w:hAnsi="宋体" w:eastAsia="宋体" w:cs="宋体"/>
                <w:color w:val="000000"/>
                <w:lang w:val="en-US"/>
              </w:rPr>
              <w:t xml:space="preserve">方案内容</w:t>
            </w:r>
            <w:r>
              <w:rPr>
                <w:rFonts w:ascii="宋体" w:hAnsi="宋体" w:eastAsia="宋体" w:cs="宋体"/>
                <w:color w:val="000000"/>
                <w:lang w:val="en-US" w:eastAsia="zh-CN"/>
              </w:rPr>
              <w:t xml:space="preserve">完整、合理性、操作性强</w:t>
            </w:r>
            <w:r>
              <w:rPr>
                <w:rFonts w:hint="eastAsia" w:ascii="宋体" w:hAnsi="宋体" w:eastAsia="宋体" w:cs="宋体"/>
                <w:color w:val="000000"/>
                <w:lang w:val="en-US"/>
              </w:rPr>
              <w:t xml:space="preserve">，且专门针对本项目，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871"/>
              <w:jc w:val="left"/>
              <w:keepLines w:val="0"/>
              <w:keepNext w:val="0"/>
              <w:pageBreakBefore w:val="0"/>
              <w:spacing w:line="264" w:lineRule="auto"/>
              <w:widowControl/>
              <w:rPr>
                <w:rFonts w:ascii="宋体" w:hAnsi="宋体" w:eastAsia="宋体" w:cs="宋体"/>
                <w:color w:val="000000"/>
                <w:lang w:val="zh-CN" w:eastAsia="zh-CN"/>
              </w:rPr>
            </w:pPr>
            <w:r>
              <w:rPr>
                <w:rFonts w:hint="eastAsia" w:ascii="宋体" w:hAnsi="宋体" w:eastAsia="宋体" w:cs="宋体"/>
                <w:color w:val="000000"/>
                <w:lang w:val="en-US"/>
              </w:rPr>
              <w:t xml:space="preserve">上述每项内容符合得2分；部分符合得1分；不符合或不提供不得分。</w:t>
            </w:r>
            <w:r>
              <w:rPr>
                <w:rFonts w:ascii="宋体" w:hAnsi="宋体" w:eastAsia="宋体" w:cs="宋体"/>
                <w:color w:val="000000"/>
                <w:lang w:val="zh-CN" w:eastAsia="zh-CN"/>
              </w:rPr>
            </w:r>
            <w:r/>
          </w:p>
        </w:tc>
        <w:tc>
          <w:tcPr>
            <w:tcW w:w="647" w:type="dxa"/>
            <w:vAlign w:val="center"/>
            <w:textDirection w:val="lrTb"/>
            <w:noWrap w:val="false"/>
          </w:tcPr>
          <w:p>
            <w:pPr>
              <w:pStyle w:val="871"/>
              <w:jc w:val="center"/>
              <w:spacing w:before="68" w:line="264" w:lineRule="auto"/>
              <w:rPr>
                <w:rFonts w:ascii="宋体" w:hAnsi="宋体" w:cs="宋体"/>
                <w:sz w:val="21"/>
                <w:szCs w:val="21"/>
                <w:lang w:val="en-US" w:eastAsia="zh-CN" w:bidi="ar-SA"/>
              </w:rPr>
            </w:pPr>
            <w:r>
              <w:rPr>
                <w:rFonts w:hint="eastAsia" w:ascii="宋体" w:hAnsi="宋体" w:cs="宋体"/>
                <w:color w:val="000000"/>
              </w:rPr>
              <w:t xml:space="preserve">8</w:t>
            </w:r>
            <w:r>
              <w:rPr>
                <w:rFonts w:ascii="宋体" w:hAnsi="宋体" w:cs="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ascii="宋体" w:hAnsi="宋体" w:eastAsia="宋体" w:cs="宋体"/>
                <w:spacing w:val="-6"/>
                <w:sz w:val="21"/>
                <w:szCs w:val="21"/>
                <w:highlight w:val="none"/>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培训方案</w:t>
            </w:r>
            <w:r>
              <w:rPr>
                <w:rFonts w:hint="eastAsia" w:ascii="宋体" w:hAnsi="宋体" w:eastAsia="宋体" w:cs="宋体"/>
                <w:color w:val="000000"/>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rPr>
                <w:rFonts w:ascii="宋体" w:hAnsi="宋体" w:eastAsia="宋体" w:cs="宋体"/>
                <w:color w:val="000000"/>
                <w:lang w:val="en-US" w:eastAsia="zh-CN"/>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w:t>
            </w:r>
            <w:r>
              <w:rPr>
                <w:rFonts w:hint="eastAsia" w:ascii="宋体" w:hAnsi="宋体" w:eastAsia="宋体" w:cs="宋体"/>
                <w:color w:val="000000"/>
                <w:lang w:val="en-US"/>
              </w:rPr>
              <w:t xml:space="preserve">，内容</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培训计划</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培训内容</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师资力量</w:t>
            </w:r>
            <w:r>
              <w:rPr>
                <w:rFonts w:hint="eastAsia" w:ascii="宋体" w:hAnsi="宋体" w:eastAsia="宋体" w:cs="宋体"/>
                <w:color w:val="000000"/>
                <w:lang w:val="en-US" w:eastAsia="zh-CN"/>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71"/>
              <w:jc w:val="left"/>
              <w:keepLines w:val="0"/>
              <w:keepNext w:val="0"/>
              <w:pageBreakBefore w:val="0"/>
              <w:spacing w:line="264" w:lineRule="auto"/>
              <w:widowControl/>
              <w:rPr>
                <w:rFonts w:hint="eastAsia" w:ascii="宋体" w:hAnsi="宋体" w:eastAsia="宋体" w:cs="宋体"/>
                <w:color w:val="000000"/>
                <w:lang w:val="en-US"/>
              </w:rPr>
            </w:pPr>
            <w:r>
              <w:rPr>
                <w:rFonts w:hint="eastAsia" w:ascii="宋体" w:hAnsi="宋体" w:eastAsia="宋体" w:cs="宋体"/>
                <w:color w:val="000000"/>
                <w:lang w:val="en-US"/>
              </w:rPr>
              <w:t xml:space="preserve">方案内容</w:t>
            </w:r>
            <w:r>
              <w:rPr>
                <w:rFonts w:ascii="宋体" w:hAnsi="宋体" w:eastAsia="宋体" w:cs="宋体"/>
                <w:color w:val="000000"/>
                <w:lang w:val="en-US" w:eastAsia="zh-CN"/>
              </w:rPr>
              <w:t xml:space="preserve">完整详细、针对性强</w:t>
            </w:r>
            <w:r>
              <w:rPr>
                <w:rFonts w:hint="eastAsia" w:ascii="宋体" w:hAnsi="宋体" w:eastAsia="宋体" w:cs="宋体"/>
                <w:color w:val="000000"/>
                <w:lang w:val="en-US"/>
              </w:rPr>
              <w:t xml:space="preserve">，且专门针对本项目，</w:t>
            </w:r>
            <w:r>
              <w:rPr>
                <w:rFonts w:hint="eastAsia" w:ascii="宋体" w:hAnsi="宋体" w:eastAsia="宋体" w:cs="宋体"/>
                <w:color w:val="000000"/>
                <w:lang w:val="en-US" w:eastAsia="zh-CN"/>
              </w:rPr>
              <w:t xml:space="preserve">契合</w:t>
            </w:r>
            <w:r>
              <w:rPr>
                <w:rFonts w:hint="eastAsia" w:ascii="宋体" w:hAnsi="宋体" w:eastAsia="宋体" w:cs="宋体"/>
                <w:color w:val="000000"/>
                <w:lang w:val="en-US"/>
              </w:rPr>
              <w:t xml:space="preserve">采购需求视为符合；方案内容属于通用类，非专门针对本项目，部分</w:t>
            </w:r>
            <w:r>
              <w:rPr>
                <w:rFonts w:hint="eastAsia" w:ascii="宋体" w:hAnsi="宋体" w:eastAsia="宋体" w:cs="宋体"/>
                <w:color w:val="000000"/>
                <w:lang w:val="en-US" w:eastAsia="zh-CN"/>
              </w:rPr>
              <w:t xml:space="preserve">契合采购需求</w:t>
            </w:r>
            <w:r>
              <w:rPr>
                <w:rFonts w:hint="eastAsia" w:ascii="宋体" w:hAnsi="宋体" w:eastAsia="宋体" w:cs="宋体"/>
                <w:color w:val="000000"/>
                <w:lang w:val="en-US"/>
              </w:rPr>
              <w:t xml:space="preserve">视为部分符合；方案内容非专门针对本项目</w:t>
            </w:r>
            <w:r>
              <w:rPr>
                <w:rFonts w:hint="eastAsia" w:ascii="宋体" w:hAnsi="宋体" w:eastAsia="宋体" w:cs="宋体"/>
                <w:color w:val="000000"/>
                <w:lang w:val="en-US" w:eastAsia="zh-CN"/>
              </w:rPr>
              <w:t xml:space="preserve">，脱离</w:t>
            </w:r>
            <w:r>
              <w:rPr>
                <w:rFonts w:hint="eastAsia" w:ascii="宋体" w:hAnsi="宋体" w:eastAsia="宋体" w:cs="宋体"/>
                <w:color w:val="000000"/>
                <w:lang w:val="en-US"/>
              </w:rPr>
              <w:t xml:space="preserve">采购需求视为不符合。</w:t>
            </w:r>
            <w:r>
              <w:rPr>
                <w:rFonts w:hint="eastAsia" w:ascii="宋体" w:hAnsi="宋体" w:eastAsia="宋体" w:cs="宋体"/>
                <w:color w:val="000000"/>
                <w:lang w:val="en-US"/>
              </w:rPr>
            </w:r>
            <w:r/>
          </w:p>
          <w:p>
            <w:pPr>
              <w:pStyle w:val="871"/>
              <w:jc w:val="left"/>
              <w:keepLines w:val="0"/>
              <w:keepNext w:val="0"/>
              <w:pageBreakBefore w:val="0"/>
              <w:spacing w:line="264" w:lineRule="auto"/>
              <w:widowControl/>
              <w:rPr>
                <w:rFonts w:ascii="宋体" w:hAnsi="宋体" w:eastAsia="宋体" w:cs="宋体"/>
                <w:color w:val="000000"/>
                <w:lang w:val="en-US" w:eastAsia="zh-CN"/>
              </w:rPr>
            </w:pPr>
            <w:r>
              <w:rPr>
                <w:rFonts w:hint="eastAsia" w:ascii="宋体" w:hAnsi="宋体" w:eastAsia="宋体" w:cs="宋体"/>
                <w:color w:val="000000"/>
                <w:lang w:val="en-US"/>
              </w:rPr>
              <w:t xml:space="preserve">上述每项内容符合得2分；部分符合得1分；不符合或不提供不得分。</w:t>
            </w:r>
            <w:r>
              <w:rPr>
                <w:rFonts w:ascii="宋体" w:hAnsi="宋体" w:eastAsia="宋体" w:cs="宋体"/>
                <w:color w:val="000000"/>
                <w:lang w:val="en-US" w:eastAsia="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lang w:val="en-US" w:eastAsia="zh-CN"/>
              </w:rPr>
            </w:r>
            <w:r/>
          </w:p>
        </w:tc>
        <w:tc>
          <w:tcPr>
            <w:tcW w:w="900" w:type="dxa"/>
            <w:vAlign w:val="center"/>
            <w:textDirection w:val="lrTb"/>
            <w:noWrap w:val="false"/>
          </w:tcPr>
          <w:p>
            <w:pPr>
              <w:pStyle w:val="871"/>
              <w:jc w:val="center"/>
              <w:spacing w:before="68" w:line="264" w:lineRule="auto"/>
              <w:rPr>
                <w:rFonts w:ascii="宋体" w:hAnsi="宋体" w:eastAsia="宋体" w:cs="宋体"/>
                <w:color w:val="000000"/>
                <w:lang w:val="en-US" w:eastAsia="zh-CN"/>
              </w:rPr>
            </w:pPr>
            <w:r>
              <w:rPr>
                <w:rFonts w:hint="eastAsia" w:ascii="宋体" w:hAnsi="宋体" w:eastAsia="宋体" w:cs="宋体"/>
                <w:color w:val="000000"/>
                <w:lang w:eastAsia="zh-CN"/>
              </w:rPr>
              <w:t xml:space="preserve">主观分</w:t>
            </w:r>
            <w:r>
              <w:rPr>
                <w:rFonts w:ascii="宋体" w:hAnsi="宋体" w:eastAsia="宋体" w:cs="宋体"/>
                <w:color w:val="000000"/>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ascii="宋体" w:hAnsi="宋体" w:eastAsia="宋体" w:cs="宋体"/>
                <w:sz w:val="21"/>
                <w:szCs w:val="21"/>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.1</w:t>
            </w:r>
            <w:r>
              <w:rPr>
                <w:rFonts w:ascii="宋体" w:hAnsi="宋体" w:eastAsia="宋体" w:cs="宋体"/>
                <w:spacing w:val="-2"/>
                <w:sz w:val="21"/>
                <w:szCs w:val="21"/>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投标人业绩</w:t>
            </w:r>
            <w:r>
              <w:rPr>
                <w:rFonts w:ascii="宋体" w:hAnsi="宋体" w:eastAsia="宋体" w:cs="宋体"/>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投标人</w:t>
            </w:r>
            <w:r>
              <w:rPr>
                <w:rFonts w:hint="eastAsia" w:ascii="宋体" w:hAnsi="宋体" w:eastAsia="宋体" w:cs="宋体"/>
                <w:sz w:val="21"/>
                <w:szCs w:val="21"/>
                <w:lang w:val="en-US" w:eastAsia="zh-CN"/>
              </w:rPr>
              <w:t xml:space="preserve">提供</w:t>
            </w:r>
            <w:r>
              <w:rPr>
                <w:rFonts w:ascii="宋体" w:hAnsi="宋体" w:eastAsia="宋体" w:cs="宋体"/>
                <w:sz w:val="21"/>
                <w:szCs w:val="21"/>
                <w:lang w:val="en-US" w:eastAsia="zh-CN"/>
              </w:rPr>
              <w:t xml:space="preserve">20</w:t>
            </w:r>
            <w:r>
              <w:rPr>
                <w:rFonts w:hint="eastAsia" w:ascii="宋体" w:hAnsi="宋体" w:eastAsia="宋体" w:cs="宋体"/>
                <w:sz w:val="21"/>
                <w:szCs w:val="21"/>
                <w:lang w:val="en-US" w:eastAsia="zh-CN"/>
              </w:rPr>
              <w:t xml:space="preserve">23</w:t>
            </w:r>
            <w:r>
              <w:rPr>
                <w:rFonts w:ascii="宋体" w:hAnsi="宋体" w:eastAsia="宋体" w:cs="宋体"/>
                <w:sz w:val="21"/>
                <w:szCs w:val="21"/>
                <w:lang w:val="en-US" w:eastAsia="zh-CN"/>
              </w:rPr>
              <w:t xml:space="preserve">年</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月</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日（含）以来类似项目业绩，每提供</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个得1分</w:t>
            </w:r>
            <w:r>
              <w:rPr>
                <w:rFonts w:hint="eastAsia" w:ascii="宋体" w:hAnsi="宋体" w:eastAsia="宋体" w:cs="宋体"/>
                <w:sz w:val="21"/>
                <w:szCs w:val="21"/>
                <w:lang w:val="en-US" w:eastAsia="zh-CN"/>
              </w:rPr>
              <w:t xml:space="preserve">，最多得2分，未提供不得分</w:t>
            </w: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时间以合同签订时间为准，</w:t>
            </w:r>
            <w:r>
              <w:rPr>
                <w:rFonts w:ascii="宋体" w:hAnsi="宋体" w:eastAsia="宋体" w:cs="宋体"/>
                <w:sz w:val="21"/>
                <w:szCs w:val="21"/>
                <w:lang w:val="en-US" w:eastAsia="zh-CN"/>
              </w:rPr>
              <w:t xml:space="preserve">提供有效合同，合同</w:t>
            </w:r>
            <w:r>
              <w:rPr>
                <w:rFonts w:hint="eastAsia" w:ascii="宋体" w:hAnsi="宋体" w:eastAsia="宋体" w:cs="宋体"/>
                <w:sz w:val="21"/>
                <w:szCs w:val="21"/>
                <w:lang w:val="en-US" w:eastAsia="zh-CN"/>
              </w:rPr>
              <w:t xml:space="preserve">页</w:t>
            </w:r>
            <w:r>
              <w:rPr>
                <w:rFonts w:ascii="宋体" w:hAnsi="宋体" w:eastAsia="宋体" w:cs="宋体"/>
                <w:sz w:val="21"/>
                <w:szCs w:val="21"/>
                <w:lang w:val="en-US" w:eastAsia="zh-CN"/>
              </w:rPr>
              <w:t xml:space="preserve">须清晰可见相应内容）</w:t>
            </w:r>
            <w:r>
              <w:rPr>
                <w:rFonts w:ascii="宋体" w:hAnsi="宋体" w:eastAsia="宋体" w:cs="宋体"/>
                <w:sz w:val="21"/>
                <w:szCs w:val="21"/>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2</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ascii="宋体" w:hAnsi="宋体" w:eastAsia="宋体" w:cs="宋体"/>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履约能力1</w:t>
            </w:r>
            <w:r>
              <w:rPr>
                <w:rFonts w:hint="eastAsia" w:ascii="宋体" w:hAnsi="宋体" w:eastAsia="宋体" w:cs="宋体"/>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投标人拟投入本项目的项目经理具有高级工程师（</w:t>
            </w:r>
            <w:r>
              <w:rPr>
                <w:rFonts w:hint="eastAsia"/>
                <w:lang w:val="en-US" w:eastAsia="zh-CN"/>
              </w:rPr>
              <w:t xml:space="preserve">电子信息类或者数字经济类</w:t>
            </w:r>
            <w:r>
              <w:rPr>
                <w:rFonts w:hint="eastAsia" w:ascii="宋体" w:hAnsi="宋体" w:eastAsia="宋体" w:cs="宋体"/>
                <w:sz w:val="21"/>
                <w:szCs w:val="21"/>
                <w:lang w:val="en-US" w:eastAsia="zh-CN"/>
              </w:rPr>
              <w:t xml:space="preserve">）、信息系统项目管理师、注册信息安全专业人员（注册信息安全管理人员）CISP-CISO、ITSS-信息技术应用创新服务经理、数据库认证专家（OCP）证书，每提供1个得1分，最多得5分。</w:t>
            </w:r>
            <w:r>
              <w:rPr>
                <w:rFonts w:ascii="宋体" w:hAnsi="宋体" w:eastAsia="宋体" w:cs="宋体"/>
                <w:sz w:val="21"/>
                <w:szCs w:val="21"/>
                <w:lang w:val="en-US" w:eastAsia="zh-CN"/>
              </w:rPr>
            </w:r>
            <w:r/>
          </w:p>
          <w:p>
            <w:pPr>
              <w:pStyle w:val="871"/>
              <w:jc w:val="both"/>
              <w:keepLines w:val="0"/>
              <w:keepNext w:val="0"/>
              <w:pageBreakBefore w:val="0"/>
              <w:spacing w:line="264" w:lineRule="auto"/>
              <w:widowControl w:val="off"/>
              <w:rPr>
                <w:rFonts w:ascii="宋体" w:hAnsi="宋体" w:eastAsia="宋体" w:cs="宋体"/>
                <w:sz w:val="21"/>
                <w:szCs w:val="21"/>
                <w:lang w:val="en-US" w:eastAsia="zh-CN"/>
              </w:rPr>
            </w:pPr>
            <w:r>
              <w:rPr>
                <w:rFonts w:ascii="宋体" w:hAnsi="宋体" w:eastAsia="宋体" w:cs="宋体"/>
                <w:sz w:val="21"/>
                <w:szCs w:val="21"/>
                <w:lang w:val="zh-CN" w:eastAsia="zh-CN"/>
              </w:rPr>
              <w:t xml:space="preserve">（提供</w:t>
            </w:r>
            <w:r>
              <w:rPr>
                <w:rFonts w:hint="eastAsia" w:ascii="宋体" w:hAnsi="宋体" w:eastAsia="宋体" w:cs="宋体"/>
                <w:sz w:val="21"/>
                <w:szCs w:val="21"/>
                <w:lang w:val="zh-CN" w:eastAsia="zh-CN"/>
              </w:rPr>
              <w:t xml:space="preserve">人员</w:t>
            </w:r>
            <w:r>
              <w:rPr>
                <w:rFonts w:ascii="宋体" w:hAnsi="宋体" w:eastAsia="宋体" w:cs="宋体"/>
                <w:sz w:val="21"/>
                <w:szCs w:val="21"/>
                <w:lang w:val="zh-CN" w:eastAsia="zh-CN"/>
              </w:rPr>
              <w:t xml:space="preserve">证书</w:t>
            </w:r>
            <w:r>
              <w:rPr>
                <w:rFonts w:hint="eastAsia" w:ascii="宋体" w:hAnsi="宋体" w:eastAsia="宋体" w:cs="宋体"/>
                <w:sz w:val="21"/>
                <w:szCs w:val="21"/>
                <w:lang w:val="en-US" w:eastAsia="zh-CN"/>
              </w:rPr>
              <w:t xml:space="preserve">及投标人为其缴纳的2026年1月以来任意一个月的社保证明材料，缺一不可）</w:t>
            </w:r>
            <w:r>
              <w:rPr>
                <w:rFonts w:ascii="宋体" w:hAnsi="宋体" w:eastAsia="宋体" w:cs="宋体"/>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投标人拟投入本项目的技术负责人具有</w:t>
            </w:r>
            <w:r>
              <w:rPr>
                <w:rFonts w:hint="eastAsia" w:ascii="宋体" w:hAnsi="宋体" w:cs="宋体"/>
                <w:color w:val="000000"/>
              </w:rPr>
              <w:t xml:space="preserve">通信工程师、网络工程师、信息安全工程师、ITSS-信息技术应用创新服务工程师、ITSS-IT服务工程师，每提供1个得1分，最多得5分。</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ascii="宋体" w:hAnsi="宋体" w:eastAsia="宋体" w:cs="宋体"/>
                <w:color w:val="000000"/>
                <w:sz w:val="21"/>
                <w:szCs w:val="21"/>
                <w:lang w:val="zh-CN" w:eastAsia="zh-CN"/>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ascii="宋体" w:hAnsi="宋体" w:eastAsia="宋体" w:cs="宋体"/>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ff"/>
                <w:spacing w:val="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投标人拟投入本项目的实施人员（不含项目经理和技术负责人）</w:t>
            </w:r>
            <w:r>
              <w:rPr>
                <w:rFonts w:hint="eastAsia" w:ascii="宋体" w:hAnsi="宋体" w:cs="宋体"/>
                <w:color w:val="000000"/>
              </w:rPr>
              <w:t xml:space="preserve">具有网络工程师、注册信息安全专业人员（</w:t>
            </w:r>
            <w:r>
              <w:rPr>
                <w:rFonts w:hint="eastAsia" w:ascii="宋体" w:hAnsi="宋体" w:cs="宋体"/>
                <w:color w:val="000000"/>
                <w:lang w:val="en-US" w:eastAsia="zh-CN"/>
              </w:rPr>
              <w:t xml:space="preserve">或</w:t>
            </w:r>
            <w:r>
              <w:rPr>
                <w:rFonts w:hint="eastAsia" w:ascii="宋体" w:hAnsi="宋体" w:cs="宋体"/>
                <w:color w:val="000000"/>
              </w:rPr>
              <w:t xml:space="preserve">注册信息安全工程师 CISP-CISE）的，每提供一个证书得1分，最高</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hint="eastAsia" w:ascii="宋体" w:hAnsi="宋体" w:eastAsia="宋体" w:cs="宋体"/>
                <w:sz w:val="21"/>
                <w:szCs w:val="21"/>
                <w:lang w:val="en-US" w:eastAsia="zh-CN"/>
              </w:rPr>
            </w:r>
            <w:r/>
          </w:p>
          <w:p>
            <w:pPr>
              <w:pStyle w:val="871"/>
              <w:jc w:val="both"/>
              <w:keepLines w:val="0"/>
              <w:keepNext w:val="0"/>
              <w:pageBreakBefore w:val="0"/>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w:t>
            </w:r>
            <w:r>
              <w:rPr>
                <w:rFonts w:hint="eastAsia" w:ascii="宋体" w:hAnsi="宋体" w:eastAsia="宋体" w:cs="宋体"/>
                <w:color w:val="000000"/>
                <w:sz w:val="21"/>
                <w:szCs w:val="21"/>
                <w:lang w:val="en-US" w:eastAsia="zh-CN"/>
              </w:rPr>
              <w:t xml:space="preserve">多人一证、一人多证不重复计分</w:t>
            </w:r>
            <w:r>
              <w:rPr>
                <w:rFonts w:hint="eastAsia" w:ascii="宋体" w:hAnsi="宋体" w:eastAsia="宋体" w:cs="宋体"/>
                <w:sz w:val="21"/>
                <w:szCs w:val="21"/>
                <w:lang w:val="en-US" w:eastAsia="zh-CN"/>
              </w:rPr>
              <w:t xml:space="preserve">，提供团队成员证书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5.4</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投标人具有本项目相关的软件著作权证书，包括</w:t>
            </w:r>
            <w:r>
              <w:rPr>
                <w:rFonts w:ascii="宋体" w:hAnsi="宋体" w:eastAsia="宋体" w:cs="宋体"/>
                <w:color w:val="000000"/>
                <w:sz w:val="21"/>
                <w:szCs w:val="21"/>
                <w:lang w:val="en-US" w:eastAsia="zh-CN"/>
              </w:rPr>
              <w:t xml:space="preserve">“</w:t>
            </w:r>
            <w:r>
              <w:rPr>
                <w:rFonts w:hint="eastAsia" w:ascii="宋体" w:hAnsi="宋体" w:cs="宋体"/>
                <w:color w:val="000000"/>
              </w:rPr>
              <w:t xml:space="preserve">闭环质量管理”、“</w:t>
            </w:r>
            <w:r>
              <w:rPr>
                <w:rFonts w:hint="eastAsia" w:ascii="宋体" w:hAnsi="宋体" w:cs="宋体"/>
                <w:color w:val="000000"/>
                <w:szCs w:val="22"/>
              </w:rPr>
              <w:t xml:space="preserve">临床一体化</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等，每提供1个证书得1.5分，最多得3分。 </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hint="eastAsia"/>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949"/>
        <w:rPr>
          <w:rFonts w:hint="eastAsia"/>
        </w:rPr>
      </w:pPr>
      <w:r>
        <w:rPr>
          <w:rFonts w:hint="eastAsia"/>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195" w:name="_Toc26554094"/>
      <w:r/>
      <w:bookmarkStart w:id="196" w:name="_Toc49090576"/>
      <w:r/>
      <w:bookmarkStart w:id="197" w:name="_Toc120614282"/>
      <w:r/>
      <w:bookmarkStart w:id="198" w:name="_Hlt26955039"/>
      <w:r/>
      <w:bookmarkEnd w:id="198"/>
      <w:r/>
      <w:bookmarkStart w:id="199" w:name="_Hlt26671244"/>
      <w:r/>
      <w:bookmarkEnd w:id="199"/>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83"/>
        <w:rPr>
          <w:lang w:val="en-US" w:eastAsia="zh-CN"/>
        </w:rPr>
      </w:pPr>
      <w:r>
        <w:rPr>
          <w:lang w:val="en-US" w:eastAsia="zh-CN"/>
        </w:rPr>
      </w:r>
      <w:r/>
    </w:p>
    <w:p>
      <w:pPr>
        <w:pStyle w:val="871"/>
        <w:rPr>
          <w:lang w:val="en-US" w:eastAsia="zh-CN"/>
        </w:rPr>
      </w:pPr>
      <w:r>
        <w:rPr>
          <w:lang w:val="en-US" w:eastAsia="zh-CN"/>
        </w:rPr>
      </w:r>
      <w:r/>
    </w:p>
    <w:p>
      <w:pPr>
        <w:pStyle w:val="883"/>
        <w:rPr>
          <w:lang w:val="en-US" w:eastAsia="zh-CN"/>
        </w:rPr>
      </w:pPr>
      <w:r>
        <w:rPr>
          <w:lang w:val="en-US" w:eastAsia="zh-CN"/>
        </w:rPr>
      </w:r>
      <w:r/>
    </w:p>
    <w:p>
      <w:pPr>
        <w:pStyle w:val="871"/>
        <w:rPr>
          <w:lang w:val="en-US" w:eastAsia="zh-CN"/>
        </w:rPr>
      </w:pPr>
      <w:r>
        <w:rPr>
          <w:lang w:val="en-US" w:eastAsia="zh-CN"/>
        </w:rPr>
      </w:r>
      <w:r/>
    </w:p>
    <w:p>
      <w:pPr>
        <w:pStyle w:val="883"/>
        <w:rPr>
          <w:lang w:val="en-US" w:eastAsia="zh-CN"/>
        </w:rPr>
      </w:pPr>
      <w:r>
        <w:rPr>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jc w:val="left"/>
        <w:spacing w:line="360" w:lineRule="auto"/>
        <w:rPr>
          <w:rFonts w:hint="eastAsia" w:ascii="黑体" w:hAnsi="黑体" w:eastAsia="黑体" w:cs="Times New Roman"/>
          <w:i w:val="0"/>
          <w:sz w:val="32"/>
          <w:szCs w:val="32"/>
          <w:u w:val="none"/>
          <w:lang w:val="en-US" w:eastAsia="zh-CN"/>
        </w:rPr>
      </w:pPr>
      <w:r/>
      <w:bookmarkEnd w:id="195"/>
      <w:r/>
      <w:bookmarkEnd w:id="196"/>
      <w:r/>
      <w:bookmarkEnd w:id="197"/>
      <w:r/>
      <w:bookmarkStart w:id="200" w:name="_Toc120614284"/>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1" w:name="_Hlt26671380"/>
      <w:r/>
      <w:bookmarkEnd w:id="201"/>
      <w:r/>
      <w:bookmarkStart w:id="202" w:name="_Hlt26955070"/>
      <w:r/>
      <w:bookmarkEnd w:id="202"/>
      <w:r/>
      <w:bookmarkStart w:id="203" w:name="_格式3__银行出具的资信证明"/>
      <w:r/>
      <w:bookmarkEnd w:id="203"/>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投标总报价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1"/>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3"/>
        <w:rPr>
          <w:rFonts w:hint="eastAsia"/>
        </w:rPr>
      </w:pPr>
      <w:r>
        <w:rPr>
          <w:rFonts w:hint="eastAsia"/>
        </w:rPr>
      </w:r>
      <w:r/>
    </w:p>
    <w:p>
      <w:pPr>
        <w:pStyle w:val="871"/>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3"/>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83"/>
        <w:rPr>
          <w:rFonts w:hint="eastAsia"/>
          <w:lang w:val="en-US" w:eastAsia="zh-CN"/>
        </w:rPr>
      </w:pPr>
      <w:r>
        <w:rPr>
          <w:rFonts w:hint="eastAsia"/>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71"/>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投标总价（元）</w:t>
            </w:r>
            <w:r>
              <w:rPr>
                <w:rFonts w:ascii="宋体" w:hAnsi="宋体" w:eastAsia="宋体" w:cs="Times New Roman"/>
                <w:sz w:val="24"/>
                <w:szCs w:val="24"/>
                <w:lang w:val="en-US" w:eastAsia="zh-CN"/>
              </w:rPr>
            </w:r>
            <w:r/>
          </w:p>
        </w:tc>
        <w:tc>
          <w:tcPr>
            <w:gridSpan w:val="5"/>
            <w:tcW w:w="69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3"/>
      <w:r/>
      <w:bookmarkEnd w:id="44"/>
      <w:r/>
      <w:bookmarkEnd w:id="200"/>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rPr>
          <w:rFonts w:hint="eastAsia" w:ascii="黑体" w:hAnsi="黑体" w:eastAsia="黑体" w:cs="Times New Roman"/>
          <w:i w:val="0"/>
          <w:iCs/>
          <w:color w:val="000000"/>
          <w:sz w:val="32"/>
          <w:szCs w:val="32"/>
          <w:u w:val="none"/>
          <w:lang w:val="en-US" w:eastAsia="zh-CN"/>
        </w:rPr>
      </w:pPr>
      <w:r/>
      <w:bookmarkStart w:id="204" w:name="_Hlt26955054"/>
      <w:r/>
      <w:bookmarkEnd w:id="204"/>
      <w:r>
        <w:rPr>
          <w:rFonts w:hint="eastAsia" w:ascii="黑体" w:hAnsi="黑体" w:eastAsia="黑体" w:cs="Times New Roman"/>
          <w:i w:val="0"/>
          <w:iCs/>
          <w:color w:val="000000"/>
          <w:sz w:val="32"/>
          <w:szCs w:val="32"/>
          <w:u w:val="none"/>
          <w:lang w:val="en-US"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rPr>
            </w:pPr>
            <w:r/>
            <w:bookmarkStart w:id="205" w:name="_Hlt26782999"/>
            <w:r/>
            <w:bookmarkEnd w:id="205"/>
            <w:r/>
            <w:bookmarkStart w:id="206" w:name="_Hlt26955056"/>
            <w:r/>
            <w:bookmarkEnd w:id="206"/>
            <w:r/>
            <w:bookmarkStart w:id="207" w:name="_Hlt26580838"/>
            <w:r/>
            <w:bookmarkEnd w:id="207"/>
            <w:r/>
            <w:bookmarkStart w:id="208" w:name="_Hlt26671343"/>
            <w:r/>
            <w:bookmarkEnd w:id="208"/>
            <w:r/>
            <w:bookmarkStart w:id="209" w:name="_Hlt24879081"/>
            <w:r/>
            <w:bookmarkEnd w:id="209"/>
            <w:r/>
            <w:bookmarkStart w:id="210" w:name="_Hlt26955064"/>
            <w:r/>
            <w:bookmarkEnd w:id="210"/>
            <w:r/>
            <w:bookmarkStart w:id="211" w:name="_Hlt26609391"/>
            <w:r/>
            <w:bookmarkEnd w:id="211"/>
            <w:r/>
            <w:bookmarkStart w:id="212" w:name="_Hlt26671372"/>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rPr>
          <w:color w:val="000000"/>
        </w:rPr>
      </w:pPr>
      <w:r>
        <w:rPr>
          <w:color w:val="000000"/>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color w:val="000000"/>
        </w:rPr>
      </w:pPr>
      <w:r>
        <w:rPr>
          <w:rFonts w:hint="eastAsia"/>
          <w:color w:val="000000"/>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1"/>
    <w:basedOn w:val="871"/>
    <w:next w:val="952"/>
    <w:link w:val="871"/>
    <w:qFormat/>
    <w:pPr>
      <w:ind w:firstLine="645"/>
    </w:pPr>
    <w:rPr>
      <w:rFonts w:ascii="楷体_GB2312" w:eastAsia="楷体_GB2312"/>
      <w:sz w:val="32"/>
      <w:szCs w:val="32"/>
    </w:rPr>
  </w:style>
  <w:style w:type="paragraph" w:styleId="952">
    <w:name w:val="寄信人地址1"/>
    <w:basedOn w:val="871"/>
    <w:next w:val="952"/>
    <w:link w:val="871"/>
    <w:qFormat/>
    <w:rPr>
      <w:rFonts w:ascii="Arial" w:hAnsi="Arial" w:eastAsia="宋体" w:cs="宋体"/>
    </w:rPr>
  </w:style>
  <w:style w:type="paragraph" w:styleId="953">
    <w:name w:val="标题 41"/>
    <w:basedOn w:val="871"/>
    <w:next w:val="954"/>
    <w:link w:val="871"/>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71"/>
    <w:next w:val="954"/>
    <w:link w:val="871"/>
    <w:qFormat/>
    <w:pPr>
      <w:ind w:firstLine="420"/>
    </w:pPr>
  </w:style>
  <w:style w:type="paragraph" w:styleId="955">
    <w:name w:val="正文文本12"/>
    <w:basedOn w:val="871"/>
    <w:next w:val="955"/>
    <w:link w:val="871"/>
    <w:uiPriority w:val="1"/>
    <w:qFormat/>
    <w:pPr>
      <w:ind w:left="120"/>
    </w:pPr>
    <w:rPr>
      <w:rFonts w:ascii="宋体" w:hAnsi="宋体" w:eastAsia="宋体" w:cs="宋体"/>
      <w:sz w:val="21"/>
      <w:szCs w:val="21"/>
      <w:lang w:val="zh-CN" w:eastAsia="zh-CN" w:bidi="zh-CN"/>
    </w:rPr>
  </w:style>
  <w:style w:type="character" w:styleId="956">
    <w:name w:val="font5 Char"/>
    <w:next w:val="956"/>
    <w:link w:val="871"/>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1"/>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1"/>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1"/>
    <w:next w:val="907"/>
    <w:link w:val="871"/>
    <w:pPr>
      <w:spacing w:after="120"/>
    </w:pPr>
    <w:rPr>
      <w:rFonts w:ascii="宋体" w:hAnsi="Arial"/>
      <w:bCs/>
      <w:iCs/>
      <w:szCs w:val="24"/>
    </w:rPr>
  </w:style>
  <w:style w:type="paragraph" w:styleId="962">
    <w:name w:val="xl27"/>
    <w:basedOn w:val="871"/>
    <w:next w:val="96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1"/>
    <w:next w:val="963"/>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1"/>
    <w:next w:val="964"/>
    <w:link w:val="871"/>
    <w:pPr>
      <w:ind w:firstLine="200"/>
      <w:tabs>
        <w:tab w:val="left" w:pos="360" w:leader="none"/>
      </w:tabs>
    </w:pPr>
    <w:rPr>
      <w:sz w:val="28"/>
      <w:szCs w:val="30"/>
    </w:rPr>
  </w:style>
  <w:style w:type="paragraph" w:styleId="965">
    <w:name w:val=" Char"/>
    <w:basedOn w:val="901"/>
    <w:next w:val="965"/>
    <w:link w:val="871"/>
    <w:rPr>
      <w:rFonts w:ascii="Tahoma" w:hAnsi="Tahoma"/>
      <w:sz w:val="24"/>
      <w:szCs w:val="24"/>
    </w:rPr>
  </w:style>
  <w:style w:type="paragraph" w:styleId="966">
    <w:name w:val="普通正文"/>
    <w:basedOn w:val="871"/>
    <w:next w:val="966"/>
    <w:link w:val="871"/>
    <w:pPr>
      <w:ind w:firstLine="480"/>
      <w:jc w:val="left"/>
      <w:spacing w:before="120" w:after="120" w:line="360" w:lineRule="auto"/>
    </w:pPr>
    <w:rPr>
      <w:rFonts w:ascii="Arial" w:hAnsi="Arial"/>
      <w:sz w:val="24"/>
      <w:szCs w:val="24"/>
    </w:rPr>
  </w:style>
  <w:style w:type="paragraph" w:styleId="967">
    <w:name w:val="table_lines"/>
    <w:basedOn w:val="871"/>
    <w:next w:val="967"/>
    <w:link w:val="871"/>
    <w:pPr>
      <w:jc w:val="left"/>
      <w:widowControl/>
    </w:pPr>
    <w:rPr>
      <w:sz w:val="20"/>
      <w:szCs w:val="20"/>
      <w:lang w:val="de-DE" w:eastAsia="de-DE"/>
    </w:rPr>
  </w:style>
  <w:style w:type="paragraph" w:styleId="968">
    <w:name w:val="附录1"/>
    <w:next w:val="968"/>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1"/>
    <w:next w:val="969"/>
    <w:link w:val="871"/>
    <w:pPr>
      <w:jc w:val="left"/>
      <w:spacing w:before="100" w:beforeAutospacing="1" w:after="100" w:afterAutospacing="1"/>
      <w:widowControl/>
    </w:pPr>
    <w:rPr>
      <w:rFonts w:hint="eastAsia" w:ascii="宋体" w:hAnsi="宋体"/>
      <w:sz w:val="18"/>
      <w:szCs w:val="18"/>
    </w:rPr>
  </w:style>
  <w:style w:type="paragraph" w:styleId="970">
    <w:name w:val=" Char Char Char Char"/>
    <w:basedOn w:val="901"/>
    <w:next w:val="970"/>
    <w:link w:val="871"/>
    <w:pPr>
      <w:spacing w:line="360" w:lineRule="auto"/>
    </w:pPr>
    <w:rPr>
      <w:rFonts w:ascii="Tahoma" w:hAnsi="Tahoma"/>
      <w:sz w:val="24"/>
      <w:szCs w:val="24"/>
    </w:rPr>
  </w:style>
  <w:style w:type="paragraph" w:styleId="971">
    <w:name w:val="列出段落"/>
    <w:basedOn w:val="871"/>
    <w:next w:val="971"/>
    <w:link w:val="871"/>
    <w:qFormat/>
    <w:pPr>
      <w:contextualSpacing/>
      <w:ind w:left="720"/>
      <w:jc w:val="left"/>
      <w:widowControl/>
    </w:pPr>
    <w:rPr>
      <w:rFonts w:ascii="Calibri" w:hAnsi="Calibri"/>
      <w:sz w:val="24"/>
      <w:szCs w:val="24"/>
      <w:lang w:eastAsia="en-US" w:bidi="en-US"/>
    </w:rPr>
  </w:style>
  <w:style w:type="paragraph" w:styleId="972">
    <w:name w:val="4"/>
    <w:basedOn w:val="871"/>
    <w:next w:val="929"/>
    <w:link w:val="871"/>
    <w:pPr>
      <w:ind w:firstLine="420"/>
      <w:spacing w:line="360" w:lineRule="auto"/>
    </w:pPr>
    <w:rPr>
      <w:color w:val="ff0000"/>
      <w:sz w:val="24"/>
      <w:szCs w:val="24"/>
    </w:rPr>
  </w:style>
  <w:style w:type="paragraph" w:styleId="973">
    <w:name w:val="普通 (Web)"/>
    <w:basedOn w:val="871"/>
    <w:next w:val="973"/>
    <w:link w:val="871"/>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1"/>
    <w:next w:val="974"/>
    <w:link w:val="871"/>
    <w:pPr>
      <w:spacing w:line="360" w:lineRule="auto"/>
    </w:pPr>
    <w:rPr>
      <w:sz w:val="24"/>
      <w:szCs w:val="20"/>
    </w:rPr>
  </w:style>
  <w:style w:type="paragraph" w:styleId="975">
    <w:name w:val="样式1"/>
    <w:basedOn w:val="871"/>
    <w:next w:val="975"/>
    <w:link w:val="871"/>
    <w:pPr>
      <w:numPr>
        <w:ilvl w:val="0"/>
        <w:numId w:val="3"/>
      </w:numPr>
      <w:tabs>
        <w:tab w:val="left" w:pos="709" w:leader="none"/>
      </w:tabs>
    </w:pPr>
    <w:rPr>
      <w:rFonts w:ascii="宋体" w:hAnsi="宋体"/>
    </w:rPr>
  </w:style>
  <w:style w:type="paragraph" w:styleId="976">
    <w:name w:val="font6"/>
    <w:basedOn w:val="871"/>
    <w:next w:val="976"/>
    <w:link w:val="871"/>
    <w:pPr>
      <w:jc w:val="left"/>
      <w:spacing w:before="100" w:beforeAutospacing="1" w:after="100" w:afterAutospacing="1"/>
      <w:widowControl/>
    </w:pPr>
    <w:rPr>
      <w:rFonts w:hint="eastAsia" w:ascii="宋体" w:hAnsi="宋体"/>
      <w:sz w:val="28"/>
      <w:szCs w:val="28"/>
      <w:u w:val="single"/>
    </w:rPr>
  </w:style>
  <w:style w:type="paragraph" w:styleId="977">
    <w:name w:val="xl25"/>
    <w:basedOn w:val="871"/>
    <w:next w:val="977"/>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1"/>
    <w:next w:val="871"/>
    <w:link w:val="871"/>
    <w:pPr>
      <w:ind w:firstLine="624"/>
      <w:spacing w:line="590" w:lineRule="atLeast"/>
    </w:pPr>
    <w:rPr>
      <w:rFonts w:ascii="方正黑体_GBK" w:eastAsia="方正黑体_GBK"/>
      <w:sz w:val="32"/>
      <w:szCs w:val="32"/>
    </w:rPr>
  </w:style>
  <w:style w:type="paragraph" w:styleId="980">
    <w:name w:val="xl24"/>
    <w:basedOn w:val="871"/>
    <w:next w:val="98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1"/>
    <w:next w:val="981"/>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1"/>
    <w:next w:val="982"/>
    <w:link w:val="871"/>
    <w:pPr>
      <w:jc w:val="left"/>
      <w:spacing w:after="160" w:line="240" w:lineRule="exact"/>
      <w:widowControl/>
    </w:pPr>
    <w:rPr>
      <w:rFonts w:ascii="Verdana" w:hAnsi="Verdana"/>
      <w:sz w:val="20"/>
      <w:szCs w:val="20"/>
      <w:lang w:eastAsia="en-US"/>
    </w:rPr>
  </w:style>
  <w:style w:type="paragraph" w:styleId="983">
    <w:name w:val="xl28"/>
    <w:basedOn w:val="871"/>
    <w:next w:val="983"/>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30"/>
    <w:basedOn w:val="871"/>
    <w:next w:val="985"/>
    <w:link w:val="871"/>
    <w:pPr>
      <w:jc w:val="center"/>
      <w:spacing w:before="100" w:beforeAutospacing="1" w:after="100" w:afterAutospacing="1"/>
      <w:widowControl/>
    </w:pPr>
    <w:rPr>
      <w:rFonts w:ascii="宋体" w:hAnsi="宋体"/>
      <w:b/>
      <w:bCs/>
      <w:sz w:val="36"/>
      <w:szCs w:val="36"/>
    </w:rPr>
  </w:style>
  <w:style w:type="paragraph" w:styleId="986">
    <w:name w:val="Char Char Char Char"/>
    <w:basedOn w:val="901"/>
    <w:next w:val="986"/>
    <w:link w:val="871"/>
    <w:pPr>
      <w:spacing w:line="360" w:lineRule="auto"/>
    </w:pPr>
    <w:rPr>
      <w:rFonts w:ascii="Tahoma" w:hAnsi="Tahoma"/>
      <w:sz w:val="24"/>
      <w:szCs w:val="24"/>
    </w:rPr>
  </w:style>
  <w:style w:type="paragraph" w:styleId="987">
    <w:name w:val="table_1stline"/>
    <w:basedOn w:val="871"/>
    <w:next w:val="987"/>
    <w:link w:val="871"/>
    <w:pPr>
      <w:jc w:val="left"/>
      <w:spacing w:before="120"/>
      <w:widowControl/>
    </w:pPr>
    <w:rPr>
      <w:bCs/>
      <w:sz w:val="20"/>
      <w:szCs w:val="20"/>
      <w:lang w:val="de-DE" w:eastAsia="de-DE"/>
    </w:rPr>
  </w:style>
  <w:style w:type="paragraph" w:styleId="988">
    <w:name w:val="font5"/>
    <w:basedOn w:val="871"/>
    <w:next w:val="988"/>
    <w:link w:val="871"/>
    <w:pPr>
      <w:jc w:val="left"/>
      <w:spacing w:before="100" w:beforeAutospacing="1" w:after="100" w:afterAutospacing="1"/>
      <w:widowControl/>
    </w:pPr>
    <w:rPr>
      <w:rFonts w:hint="eastAsia" w:ascii="宋体" w:hAnsi="宋体"/>
      <w:sz w:val="28"/>
      <w:szCs w:val="28"/>
    </w:rPr>
  </w:style>
  <w:style w:type="paragraph" w:styleId="989">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1"/>
    <w:uiPriority w:val="99"/>
    <w:semiHidden/>
    <w:rPr>
      <w:rFonts w:ascii="Times New Roman" w:hAnsi="Times New Roman"/>
      <w:sz w:val="21"/>
      <w:szCs w:val="21"/>
      <w:lang w:val="en-US" w:eastAsia="zh-CN" w:bidi="ar-SA"/>
    </w:rPr>
  </w:style>
  <w:style w:type="paragraph" w:styleId="991">
    <w:name w:val="无间隔"/>
    <w:next w:val="991"/>
    <w:link w:val="871"/>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71"/>
    <w:next w:val="992"/>
    <w:link w:val="871"/>
    <w:uiPriority w:val="99"/>
    <w:qFormat/>
    <w:pPr>
      <w:jc w:val="center"/>
    </w:pPr>
    <w:rPr>
      <w:b/>
      <w:bCs/>
      <w:sz w:val="20"/>
      <w:szCs w:val="20"/>
    </w:rPr>
  </w:style>
  <w:style w:type="table" w:styleId="993">
    <w:name w:val="Table Normal"/>
    <w:next w:val="993"/>
    <w:link w:val="871"/>
    <w:qFormat/>
    <w:tblPr/>
  </w:style>
  <w:style w:type="paragraph" w:styleId="994">
    <w:name w:val="正文文本1"/>
    <w:basedOn w:val="871"/>
    <w:next w:val="871"/>
    <w:link w:val="871"/>
    <w:semiHidden/>
    <w:qFormat/>
    <w:rPr>
      <w:rFonts w:ascii="Arial" w:hAnsi="Arial" w:eastAsia="Arial" w:cs="Arial"/>
      <w:sz w:val="21"/>
      <w:szCs w:val="21"/>
      <w:lang w:val="en-US" w:eastAsia="en-US" w:bidi="ar-SA"/>
    </w:rPr>
  </w:style>
  <w:style w:type="paragraph" w:styleId="995">
    <w:name w:val="纯文本1"/>
    <w:basedOn w:val="871"/>
    <w:next w:val="995"/>
    <w:link w:val="871"/>
    <w:qFormat/>
    <w:rPr>
      <w:rFonts w:ascii="宋体" w:hAnsi="Courier New" w:cs="Courier New"/>
    </w:rPr>
  </w:style>
  <w:style w:type="table" w:styleId="996">
    <w:name w:val="网格型1"/>
    <w:basedOn w:val="997"/>
    <w:next w:val="996"/>
    <w:link w:val="871"/>
    <w:qFormat/>
    <w:pPr>
      <w:jc w:val="both"/>
      <w:widowControl w:val="off"/>
    </w:pPr>
    <w:tblPr/>
  </w:style>
  <w:style w:type="table" w:styleId="997">
    <w:name w:val="普通表格1"/>
    <w:next w:val="997"/>
    <w:link w:val="871"/>
    <w:uiPriority w:val="99"/>
    <w:unhideWhenUsed/>
    <w:qFormat/>
    <w:tblPr/>
  </w:style>
  <w:style w:type="character" w:styleId="998">
    <w:name w:val="15"/>
    <w:basedOn w:val="881"/>
    <w:next w:val="998"/>
    <w:link w:val="871"/>
    <w:rPr>
      <w:rFonts w:ascii="Times New Roman" w:hAnsi="Times New Roman" w:cs="Times New Roman"/>
    </w:rPr>
  </w:style>
  <w:style w:type="paragraph" w:styleId="999">
    <w:name w:val="正文首行缩进 211"/>
    <w:basedOn w:val="951"/>
    <w:next w:val="871"/>
    <w:link w:val="871"/>
    <w:qFormat/>
    <w:pPr>
      <w:ind w:left="0" w:firstLine="420"/>
      <w:spacing w:after="0" w:line="360" w:lineRule="auto"/>
    </w:pPr>
    <w:rPr>
      <w:rFonts w:ascii="宋体" w:hAnsi="宋体" w:eastAsia="宋体" w:cs="Times New Roman"/>
      <w:szCs w:val="2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2023-03-16T02:16:00Z</dcterms:created>
  <dcterms:modified xsi:type="dcterms:W3CDTF">2026-05-26T06:55:50Z</dcterms:modified>
</cp:coreProperties>
</file>