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153160" cy="137541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1153160" cy="137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0.8pt;height:108.3pt;mso-wrap-distance-left:0.0pt;mso-wrap-distance-top:0.0pt;mso-wrap-distance-right:0.0pt;mso-wrap-distance-bottom:0.0pt;" stroked="f">
                <v:path textboxrect="0,0,0,0"/>
                <v:imagedata r:id="rId13" o:title=""/>
              </v:shape>
            </w:pict>
          </mc:Fallback>
        </mc:AlternateContent>
      </w:r>
      <w:r/>
    </w:p>
    <w:p>
      <w:pPr>
        <w:ind w:left="0" w:firstLine="0"/>
        <w:jc w:val="center"/>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 xml:space="preserve">竞争性磋商文件</w:t>
      </w:r>
      <w:r/>
    </w:p>
    <w:p>
      <w:pPr>
        <w:ind w:left="0" w:firstLine="0"/>
        <w:jc w:val="center"/>
        <w:spacing w:before="120" w:after="120" w:line="360" w:lineRule="auto"/>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pPr>
      <w:r/>
      <w:bookmarkStart w:id="0" w:name="OLE_LINK7"/>
      <w:r>
        <w:rPr>
          <w:rFonts w:hint="eastAsia" w:ascii="仿宋" w:hAnsi="仿宋" w:eastAsia="仿宋" w:cs="仿宋"/>
          <w:b/>
          <w:bCs/>
          <w:color w:val="000000" w:themeColor="text1"/>
          <w:sz w:val="36"/>
          <w:szCs w:val="36"/>
          <w:highlight w:val="none"/>
          <w14:textFill>
            <w14:solidFill>
              <w14:schemeClr w14:val="tx1"/>
            </w14:solidFill>
          </w14:textFill>
        </w:rPr>
        <w:t xml:space="preserve">项目名称：南京市2026年智慧图书馆体系资源建设</w:t>
      </w:r>
      <w:r/>
    </w:p>
    <w:p>
      <w:pPr>
        <w:ind w:left="0" w:firstLine="0"/>
        <w:jc w:val="center"/>
        <w:spacing w:before="120" w:after="120" w:line="360" w:lineRule="auto"/>
        <w:rPr>
          <w:rFonts w:hint="eastAsia" w:ascii="仿宋" w:hAnsi="仿宋" w:eastAsia="仿宋" w:cs="仿宋"/>
          <w:b/>
          <w:bCs/>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 xml:space="preserve">项</w:t>
      </w:r>
      <w:r>
        <w:rPr>
          <w:rFonts w:hint="eastAsia" w:ascii="仿宋" w:hAnsi="仿宋" w:eastAsia="仿宋" w:cs="仿宋"/>
          <w:b/>
          <w:bCs/>
          <w:color w:val="000000" w:themeColor="text1"/>
          <w:sz w:val="36"/>
          <w:szCs w:val="36"/>
          <w:highlight w:val="none"/>
          <w14:textFill>
            <w14:solidFill>
              <w14:schemeClr w14:val="tx1"/>
            </w14:solidFill>
          </w14:textFill>
        </w:rPr>
        <w:t xml:space="preserve">目编号：</w:t>
      </w:r>
      <w:r>
        <w:rPr>
          <w:rFonts w:hint="eastAsia" w:ascii="仿宋" w:hAnsi="仿宋" w:cs="仿宋"/>
          <w:b/>
          <w:bCs/>
          <w:color w:val="000000" w:themeColor="text1"/>
          <w:sz w:val="36"/>
          <w:szCs w:val="36"/>
          <w:highlight w:val="none"/>
          <w:lang w:eastAsia="zh-CN"/>
          <w14:textFill>
            <w14:solidFill>
              <w14:schemeClr w14:val="tx1"/>
            </w14:solidFill>
          </w14:textFill>
        </w:rPr>
        <w:t xml:space="preserve">JSZC-320100-SJGC-C2026-0004</w:t>
      </w:r>
      <w:bookmarkEnd w:id="0"/>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both"/>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734"/>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34"/>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34"/>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1084"/>
        <w:jc w:val="left"/>
        <w:spacing w:line="360" w:lineRule="auto"/>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采 购 人：金陵图书馆</w:t>
      </w:r>
      <w:r/>
    </w:p>
    <w:p>
      <w:pPr>
        <w:ind w:firstLine="1084"/>
        <w:jc w:val="left"/>
        <w:spacing w:line="360" w:lineRule="auto"/>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招标代理：江苏苏建工程项目管理咨询有限公司</w:t>
      </w:r>
      <w:r/>
    </w:p>
    <w:p>
      <w:pPr>
        <w:pStyle w:val="961"/>
        <w:ind w:left="0" w:firstLine="0"/>
        <w:jc w:val="both"/>
        <w:rPr>
          <w:rFonts w:hint="eastAsia" w:ascii="仿宋" w:hAnsi="仿宋" w:eastAsia="仿宋" w:cs="仿宋"/>
          <w:b/>
          <w:bCs/>
          <w:color w:val="000000" w:themeColor="text1"/>
          <w:sz w:val="32"/>
          <w:highlight w:val="none"/>
          <w:u w:val="none"/>
          <w14:textFill>
            <w14:solidFill>
              <w14:schemeClr w14:val="tx1"/>
            </w14:solidFill>
          </w14:textFill>
        </w:rPr>
      </w:pPr>
      <w:r>
        <w:rPr>
          <w:rFonts w:hint="eastAsia" w:ascii="仿宋" w:hAnsi="仿宋" w:eastAsia="仿宋" w:cs="仿宋"/>
          <w:b/>
          <w:bCs/>
          <w:color w:val="000000" w:themeColor="text1"/>
          <w:sz w:val="32"/>
          <w:highlight w:val="none"/>
          <w:u w:val="none"/>
          <w14:textFill>
            <w14:solidFill>
              <w14:schemeClr w14:val="tx1"/>
            </w14:solidFill>
          </w14:textFill>
        </w:rPr>
      </w:r>
      <w:r/>
    </w:p>
    <w:p>
      <w:pPr>
        <w:pStyle w:val="961"/>
        <w:ind w:left="0" w:firstLine="0"/>
        <w:jc w:val="center"/>
        <w:rPr>
          <w:rFonts w:hint="eastAsia" w:ascii="仿宋" w:hAnsi="仿宋" w:eastAsia="仿宋" w:cs="仿宋"/>
          <w:b/>
          <w:bCs/>
          <w:color w:val="000000" w:themeColor="text1"/>
          <w:sz w:val="36"/>
          <w:szCs w:val="36"/>
          <w:highlight w:val="none"/>
          <w:u w:val="none"/>
          <w14:textFill>
            <w14:solidFill>
              <w14:schemeClr w14:val="tx1"/>
            </w14:solidFill>
          </w14:textFill>
        </w:rPr>
      </w:pP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2026</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年</w:t>
      </w: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4</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月</w:t>
      </w:r>
      <w:r/>
    </w:p>
    <w:p>
      <w:pPr>
        <w:jc w:val="left"/>
        <w:spacing w:before="120" w:after="120"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left="0" w:firstLine="0"/>
        <w:jc w:val="center"/>
        <w:spacing w:line="480" w:lineRule="auto"/>
        <w:rPr>
          <w:rStyle w:val="923"/>
          <w:rFonts w:hint="eastAsia" w:ascii="仿宋" w:hAnsi="仿宋" w:eastAsia="仿宋" w:cs="仿宋"/>
          <w:color w:val="000000" w:themeColor="text1"/>
          <w:highlight w:val="none"/>
          <w14:textFill>
            <w14:solidFill>
              <w14:schemeClr w14:val="tx1"/>
            </w14:solidFill>
          </w14:textFill>
        </w:rPr>
        <w:outlineLvl w:val="0"/>
      </w:pPr>
      <w:r/>
      <w:bookmarkStart w:id="1" w:name="_Toc160699550"/>
      <w:r/>
      <w:bookmarkStart w:id="2" w:name="_Toc120614210"/>
      <w:r/>
      <w:bookmarkStart w:id="3" w:name="_Toc16938516"/>
      <w:r/>
      <w:bookmarkStart w:id="4" w:name="_Toc523127445"/>
      <w:r/>
      <w:bookmarkStart w:id="5" w:name="_Toc513029200"/>
      <w:r/>
      <w:bookmarkStart w:id="6" w:name="_Toc20823272"/>
      <w:r/>
      <w:bookmarkStart w:id="7" w:name="_Toc479757206"/>
      <w:r>
        <w:rPr>
          <w:rStyle w:val="923"/>
          <w:rFonts w:hint="eastAsia" w:ascii="仿宋" w:hAnsi="仿宋" w:eastAsia="仿宋" w:cs="仿宋"/>
          <w:color w:val="000000" w:themeColor="text1"/>
          <w:highlight w:val="none"/>
          <w14:textFill>
            <w14:solidFill>
              <w14:schemeClr w14:val="tx1"/>
            </w14:solidFill>
          </w14:textFill>
        </w:rPr>
        <w:t xml:space="preserve">总  目  录</w:t>
      </w:r>
      <w:bookmarkEnd w:id="1"/>
      <w:r/>
      <w:r/>
    </w:p>
    <w:p>
      <w:pPr>
        <w:pStyle w:val="747"/>
        <w:ind w:firstLine="420"/>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HYPERLINK \l "_Toc160699550"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Style w:val="770"/>
          <w:rFonts w:hint="eastAsia" w:ascii="仿宋" w:hAnsi="仿宋" w:eastAsia="仿宋" w:cs="仿宋"/>
          <w:b w:val="0"/>
          <w:bCs w:val="0"/>
          <w:color w:val="000000" w:themeColor="text1"/>
          <w:sz w:val="28"/>
          <w:szCs w:val="28"/>
          <w:highlight w:val="none"/>
          <w14:textFill>
            <w14:solidFill>
              <w14:schemeClr w14:val="tx1"/>
            </w14:solidFill>
          </w14:textFill>
        </w:rPr>
        <w:t xml:space="preserve">总  目  录</w:t>
      </w:r>
      <w:r>
        <w:rPr>
          <w:rFonts w:hint="eastAsia" w:ascii="仿宋" w:hAnsi="仿宋" w:eastAsia="仿宋" w:cs="仿宋"/>
          <w:b w:val="0"/>
          <w:bCs w:val="0"/>
          <w:color w:val="000000" w:themeColor="text1"/>
          <w:sz w:val="28"/>
          <w:szCs w:val="28"/>
          <w:highlight w:val="none"/>
          <w14:textFill>
            <w14:solidFill>
              <w14:schemeClr w14:val="tx1"/>
            </w14:solidFill>
          </w14:textFill>
        </w:rPr>
        <w:tab/>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2</w: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p>
    <w:p>
      <w:pPr>
        <w:pStyle w:val="747"/>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"_Toc160699551"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0"/>
          <w:rFonts w:hint="eastAsia" w:ascii="仿宋" w:hAnsi="仿宋" w:eastAsia="仿宋" w:cs="仿宋"/>
          <w:color w:val="000000" w:themeColor="text1"/>
          <w:sz w:val="28"/>
          <w:szCs w:val="28"/>
          <w:highlight w:val="none"/>
          <w14:textFill>
            <w14:solidFill>
              <w14:schemeClr w14:val="tx1"/>
            </w14:solidFill>
          </w14:textFill>
        </w:rPr>
        <w:t xml:space="preserve">第一章  磋商邀请</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7"/>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"_Toc160699560"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0"/>
          <w:rFonts w:hint="eastAsia" w:ascii="仿宋" w:hAnsi="仿宋" w:eastAsia="仿宋" w:cs="仿宋"/>
          <w:color w:val="000000" w:themeColor="text1"/>
          <w:sz w:val="28"/>
          <w:szCs w:val="28"/>
          <w:highlight w:val="none"/>
          <w14:textFill>
            <w14:solidFill>
              <w14:schemeClr w14:val="tx1"/>
            </w14:solidFill>
          </w14:textFill>
        </w:rPr>
        <w:t xml:space="preserve">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7"/>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"_Toc160699566"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0"/>
          <w:rFonts w:hint="eastAsia" w:ascii="仿宋" w:hAnsi="仿宋" w:eastAsia="仿宋" w:cs="仿宋"/>
          <w:color w:val="000000" w:themeColor="text1"/>
          <w:sz w:val="28"/>
          <w:szCs w:val="28"/>
          <w:highlight w:val="none"/>
          <w14:textFill>
            <w14:solidFill>
              <w14:schemeClr w14:val="tx1"/>
            </w14:solidFill>
          </w14:textFill>
        </w:rPr>
        <w:t xml:space="preserve">第三章  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7"/>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"_Toc160699567"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0"/>
          <w:rFonts w:hint="eastAsia" w:ascii="仿宋" w:hAnsi="仿宋" w:eastAsia="仿宋" w:cs="仿宋"/>
          <w:color w:val="000000" w:themeColor="text1"/>
          <w:sz w:val="28"/>
          <w:szCs w:val="28"/>
          <w:highlight w:val="none"/>
          <w14:textFill>
            <w14:solidFill>
              <w14:schemeClr w14:val="tx1"/>
            </w14:solidFill>
          </w14:textFill>
        </w:rPr>
        <w:t xml:space="preserve">第四章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_Toc160699567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7"/>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0"/>
          <w:rFonts w:hint="eastAsia" w:ascii="仿宋" w:hAnsi="仿宋" w:eastAsia="仿宋" w:cs="仿宋"/>
          <w:color w:val="000000" w:themeColor="text1"/>
          <w:sz w:val="28"/>
          <w:szCs w:val="28"/>
          <w:highlight w:val="none"/>
          <w14:textFill>
            <w14:solidFill>
              <w14:schemeClr w14:val="tx1"/>
            </w14:solidFill>
          </w14:textFill>
        </w:rPr>
        <w:t xml:space="preserve">第五章  评审方法与评审标准</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_Toc160699568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7"/>
        <w:keepLines w:val="0"/>
        <w:keepNext w:val="0"/>
        <w:pageBreakBefore w:val="0"/>
        <w:spacing w:before="0" w:after="0" w:line="360" w:lineRule="auto"/>
        <w:widowControl w:val="off"/>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0"/>
          <w:rFonts w:hint="eastAsia" w:ascii="仿宋" w:hAnsi="仿宋" w:eastAsia="仿宋" w:cs="仿宋"/>
          <w:color w:val="000000" w:themeColor="text1"/>
          <w:sz w:val="28"/>
          <w:szCs w:val="28"/>
          <w:highlight w:val="none"/>
          <w14:textFill>
            <w14:solidFill>
              <w14:schemeClr w14:val="tx1"/>
            </w14:solidFill>
          </w14:textFill>
        </w:rPr>
        <w:t xml:space="preserve">第六章  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71</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38"/>
        <w:tabs>
          <w:tab w:val="right" w:pos="9170" w:leader="dot"/>
        </w:tabs>
        <w:rPr>
          <w:rFonts w:hint="eastAsia" w:ascii="仿宋" w:hAnsi="仿宋" w:eastAsia="仿宋" w:cs="仿宋"/>
          <w:i w:val="0"/>
          <w:iCs w:val="0"/>
          <w:color w:val="000000" w:themeColor="text1"/>
          <w:szCs w:val="22"/>
          <w:highlight w:val="none"/>
          <w14:textFill>
            <w14:solidFill>
              <w14:schemeClr w14:val="tx1"/>
            </w14:solidFill>
          </w14:textFill>
        </w:rPr>
      </w:pPr>
      <w:r>
        <w:rPr>
          <w:rFonts w:hint="eastAsia" w:ascii="仿宋" w:hAnsi="仿宋" w:eastAsia="仿宋" w:cs="仿宋"/>
          <w:i w:val="0"/>
          <w:iCs w:val="0"/>
          <w:color w:val="000000" w:themeColor="text1"/>
          <w:szCs w:val="2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end"/>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clear="all"/>
      </w:r>
      <w:r/>
    </w:p>
    <w:p>
      <w:pPr>
        <w:pStyle w:val="713"/>
        <w:ind w:left="0" w:firstLine="0"/>
        <w:jc w:val="center"/>
        <w:rPr>
          <w:rFonts w:hint="eastAsia" w:ascii="仿宋" w:hAnsi="仿宋" w:eastAsia="仿宋" w:cs="仿宋"/>
          <w:color w:val="000000" w:themeColor="text1"/>
          <w:highlight w:val="none"/>
          <w14:textFill>
            <w14:solidFill>
              <w14:schemeClr w14:val="tx1"/>
            </w14:solidFill>
          </w14:textFill>
        </w:rPr>
      </w:pPr>
      <w:r/>
      <w:bookmarkStart w:id="8" w:name="_Toc160699551"/>
      <w:r>
        <w:rPr>
          <w:rFonts w:hint="eastAsia" w:ascii="仿宋" w:hAnsi="仿宋" w:eastAsia="仿宋" w:cs="仿宋"/>
          <w:color w:val="000000" w:themeColor="text1"/>
          <w:highlight w:val="none"/>
          <w14:textFill>
            <w14:solidFill>
              <w14:schemeClr w14:val="tx1"/>
            </w14:solidFill>
          </w14:textFill>
        </w:rPr>
        <w:t xml:space="preserve">第一章  </w:t>
      </w:r>
      <w:bookmarkEnd w:id="2"/>
      <w:r>
        <w:rPr>
          <w:rFonts w:hint="eastAsia" w:ascii="仿宋" w:hAnsi="仿宋" w:eastAsia="仿宋" w:cs="仿宋"/>
          <w:color w:val="000000" w:themeColor="text1"/>
          <w:highlight w:val="none"/>
          <w14:textFill>
            <w14:solidFill>
              <w14:schemeClr w14:val="tx1"/>
            </w14:solidFill>
          </w14:textFill>
        </w:rPr>
        <w:t xml:space="preserve">磋商邀请</w:t>
      </w:r>
      <w:bookmarkEnd w:id="8"/>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受</w:t>
      </w:r>
      <w:r>
        <w:rPr>
          <w:rFonts w:hint="eastAsia" w:ascii="仿宋" w:hAnsi="仿宋" w:eastAsia="仿宋" w:cs="仿宋"/>
          <w:b/>
          <w:bCs/>
          <w:color w:val="000000" w:themeColor="text1"/>
          <w:highlight w:val="none"/>
          <w:u w:val="single"/>
          <w14:textFill>
            <w14:solidFill>
              <w14:schemeClr w14:val="tx1"/>
            </w14:solidFill>
          </w14:textFill>
        </w:rPr>
        <w:t xml:space="preserve">金陵图书馆</w:t>
      </w:r>
      <w:r>
        <w:rPr>
          <w:rFonts w:hint="eastAsia" w:ascii="仿宋" w:hAnsi="仿宋" w:eastAsia="仿宋" w:cs="仿宋"/>
          <w:color w:val="000000" w:themeColor="text1"/>
          <w:highlight w:val="none"/>
          <w14:textFill>
            <w14:solidFill>
              <w14:schemeClr w14:val="tx1"/>
            </w14:solidFill>
          </w14:textFill>
        </w:rPr>
        <w:t xml:space="preserve">的委托，江苏苏建工程项目管理咨询有限公司就</w:t>
      </w:r>
      <w:r>
        <w:rPr>
          <w:rFonts w:hint="eastAsia" w:ascii="仿宋" w:hAnsi="仿宋" w:cs="仿宋"/>
          <w:b/>
          <w:bCs/>
          <w:color w:val="000000" w:themeColor="text1"/>
          <w:highlight w:val="none"/>
          <w:u w:val="single"/>
          <w:lang w:eastAsia="zh-CN"/>
          <w14:textFill>
            <w14:solidFill>
              <w14:schemeClr w14:val="tx1"/>
            </w14:solidFill>
          </w14:textFill>
        </w:rPr>
        <w:t xml:space="preserve">南京市2026年智慧图书馆体系资源建设</w:t>
      </w:r>
      <w:r>
        <w:rPr>
          <w:rFonts w:hint="eastAsia" w:ascii="仿宋" w:hAnsi="仿宋" w:eastAsia="仿宋" w:cs="仿宋"/>
          <w:color w:val="000000" w:themeColor="text1"/>
          <w:highlight w:val="none"/>
          <w14:textFill>
            <w14:solidFill>
              <w14:schemeClr w14:val="tx1"/>
            </w14:solidFill>
          </w14:textFill>
        </w:rPr>
        <w:t xml:space="preserve">进行竞争性磋商采购，欢迎符合条件的供应商参加磋商。</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9" w:name="_Toc38985263"/>
      <w:r/>
      <w:bookmarkStart w:id="10" w:name="_Toc160699552"/>
      <w:r/>
      <w:bookmarkStart w:id="11" w:name="_Toc28359079"/>
      <w:r/>
      <w:bookmarkStart w:id="12" w:name="_Toc35393621"/>
      <w:r/>
      <w:bookmarkStart w:id="13" w:name="_Toc35393790"/>
      <w:r/>
      <w:bookmarkStart w:id="14" w:name="_Toc28359002"/>
      <w:r/>
      <w:bookmarkStart w:id="15" w:name="_Hlk24379207"/>
      <w:r>
        <w:rPr>
          <w:rFonts w:hint="eastAsia" w:ascii="仿宋" w:hAnsi="仿宋" w:eastAsia="仿宋" w:cs="仿宋"/>
          <w:b/>
          <w:bCs/>
          <w:color w:val="000000" w:themeColor="text1"/>
          <w:sz w:val="28"/>
          <w:szCs w:val="28"/>
          <w:highlight w:val="none"/>
          <w14:textFill>
            <w14:solidFill>
              <w14:schemeClr w14:val="tx1"/>
            </w14:solidFill>
          </w14:textFill>
        </w:rPr>
        <w:t xml:space="preserve">一、项目基本情况</w:t>
      </w:r>
      <w:bookmarkEnd w:id="9"/>
      <w:r/>
      <w:bookmarkEnd w:id="10"/>
      <w:r/>
      <w:bookmarkEnd w:id="11"/>
      <w:r/>
      <w:bookmarkEnd w:id="12"/>
      <w:r/>
      <w:bookmarkEnd w:id="13"/>
      <w:r/>
      <w:bookmarkEnd w:id="14"/>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1.项目编号：</w:t>
      </w:r>
      <w:r>
        <w:rPr>
          <w:rFonts w:hint="eastAsia" w:ascii="仿宋" w:hAnsi="仿宋" w:cs="仿宋"/>
          <w:color w:val="000000" w:themeColor="text1"/>
          <w:highlight w:val="none"/>
          <w:lang w:eastAsia="zh-CN"/>
          <w14:textFill>
            <w14:solidFill>
              <w14:schemeClr w14:val="tx1"/>
            </w14:solidFill>
          </w14:textFill>
        </w:rPr>
        <w:t xml:space="preserve">JSZC-320100-SJGC-C2026-0004</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2.项目名称：</w:t>
      </w:r>
      <w:r>
        <w:rPr>
          <w:rFonts w:hint="eastAsia" w:ascii="仿宋" w:hAnsi="仿宋" w:cs="仿宋"/>
          <w:color w:val="000000" w:themeColor="text1"/>
          <w:highlight w:val="none"/>
          <w:lang w:eastAsia="zh-CN"/>
          <w14:textFill>
            <w14:solidFill>
              <w14:schemeClr w14:val="tx1"/>
            </w14:solidFill>
          </w14:textFill>
        </w:rPr>
        <w:t xml:space="preserve">南京市2026年智慧图书馆体系资源建设</w:t>
      </w:r>
      <w:bookmarkEnd w:id="15"/>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3.预算金额：140万元（报价超过项目预算作无效响应处理）</w:t>
      </w:r>
      <w:r/>
    </w:p>
    <w:p>
      <w:pPr>
        <w:ind w:left="0"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4.采购需求（简介）：</w:t>
      </w:r>
      <w:bookmarkStart w:id="16" w:name="OLE_LINK3"/>
      <w:r>
        <w:rPr>
          <w:rFonts w:hint="eastAsia" w:ascii="仿宋" w:hAnsi="仿宋" w:eastAsia="仿宋" w:cs="仿宋"/>
          <w:color w:val="000000" w:themeColor="text1"/>
          <w:highlight w:val="none"/>
          <w14:textFill>
            <w14:solidFill>
              <w14:schemeClr w14:val="tx1"/>
            </w14:solidFill>
          </w14:textFill>
        </w:rPr>
        <w:t xml:space="preserve">本项目主要内容是南京地区公共图书馆（含金陵、鼓楼、秦淮、江宁、六合、高淳等）馆藏古籍文献的图像数据化和知识化处理工作，包括文献整理和登记、图像采集与处理，符合长期保存级和发布服务级数据技术要求、书目数据著录、古籍结构数据和卷目篇目数据标引，制作XML封装文件等，最终形成南京地区公共图书馆馆藏古籍文献专题数据库。</w:t>
      </w:r>
      <w:r/>
    </w:p>
    <w:tbl>
      <w:tblPr>
        <w:tblStyle w:val="7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2348"/>
        <w:gridCol w:w="1910"/>
        <w:gridCol w:w="2160"/>
        <w:gridCol w:w="2285"/>
      </w:tblGrid>
      <w:tr>
        <w:trPr>
          <w:jc w:val="center"/>
        </w:trPr>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分包号</w:t>
            </w:r>
            <w:r/>
          </w:p>
        </w:tc>
        <w:tc>
          <w:tcPr>
            <w:tcBorders>
              <w:top w:val="single" w:color="auto" w:sz="4" w:space="0"/>
              <w:left w:val="single" w:color="auto" w:sz="4" w:space="0"/>
              <w:bottom w:val="single" w:color="auto" w:sz="4" w:space="0"/>
              <w:right w:val="single" w:color="auto" w:sz="4" w:space="0"/>
            </w:tcBorders>
            <w:tcW w:w="1191"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分包名称</w:t>
            </w:r>
            <w:r/>
          </w:p>
        </w:tc>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分包内容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区域</w:t>
            </w:r>
            <w:r/>
          </w:p>
        </w:tc>
        <w:tc>
          <w:tcPr>
            <w:tcBorders>
              <w:top w:val="single" w:color="auto" w:sz="4" w:space="0"/>
              <w:left w:val="single" w:color="auto" w:sz="4" w:space="0"/>
              <w:bottom w:val="single" w:color="auto" w:sz="4" w:space="0"/>
              <w:right w:val="single" w:color="auto" w:sz="4" w:space="0"/>
            </w:tcBorders>
            <w:tcW w:w="1096"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各分包预算金额</w:t>
            </w:r>
            <w:r/>
          </w:p>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备注</w:t>
            </w:r>
            <w:r/>
          </w:p>
        </w:tc>
      </w:tr>
      <w:tr>
        <w:trPr>
          <w:jc w:val="center"/>
          <w:trHeight w:val="622"/>
        </w:trPr>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17" w:name="OLE_LINK2"/>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91" w:type="pct"/>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南京市2026年智慧图书馆体系资源建设包1</w:t>
            </w:r>
            <w:r/>
          </w:p>
        </w:tc>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金陵图书馆</w:t>
            </w:r>
            <w:r/>
          </w:p>
        </w:tc>
        <w:tc>
          <w:tcPr>
            <w:tcBorders>
              <w:top w:val="single" w:color="auto" w:sz="4" w:space="0"/>
              <w:left w:val="single" w:color="auto" w:sz="4" w:space="0"/>
              <w:bottom w:val="single" w:color="auto" w:sz="4" w:space="0"/>
              <w:right w:val="single" w:color="auto" w:sz="4" w:space="0"/>
            </w:tcBorders>
            <w:tcW w:w="1096" w:type="pct"/>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87.5</w:t>
            </w:r>
            <w:r/>
          </w:p>
        </w:tc>
        <w:tc>
          <w:tcPr>
            <w:tcBorders>
              <w:top w:val="single" w:color="auto" w:sz="4" w:space="0"/>
              <w:left w:val="single" w:color="auto" w:sz="4" w:space="0"/>
              <w:right w:val="single" w:color="auto" w:sz="4" w:space="0"/>
            </w:tcBorders>
            <w:tcW w:w="1159" w:type="pct"/>
            <w:vAlign w:val="center"/>
            <w:vMerge w:val="restart"/>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本项目共计划分2个分包，可兼投但不可兼中。</w:t>
            </w:r>
            <w:r/>
          </w:p>
        </w:tc>
      </w:tr>
      <w:tr>
        <w:trPr>
          <w:jc w:val="center"/>
          <w:trHeight w:val="877"/>
        </w:trPr>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91"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南京市2026年智慧图书馆体系资源建设包</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秦淮、鼓楼、六合、江宁</w:t>
            </w:r>
            <w:r>
              <w:rPr>
                <w:rFonts w:hint="eastAsia" w:ascii="仿宋" w:hAnsi="仿宋" w:cs="仿宋"/>
                <w:color w:val="000000" w:themeColor="text1"/>
                <w:sz w:val="24"/>
                <w:szCs w:val="24"/>
                <w:highlight w:val="none"/>
                <w:lang w:val="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高淳五家区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图书馆</w:t>
            </w:r>
            <w:r/>
          </w:p>
        </w:tc>
        <w:tc>
          <w:tcPr>
            <w:tcBorders>
              <w:top w:val="single" w:color="auto" w:sz="4" w:space="0"/>
              <w:left w:val="single" w:color="auto" w:sz="4" w:space="0"/>
              <w:bottom w:val="single" w:color="auto" w:sz="4" w:space="0"/>
              <w:right w:val="single" w:color="auto" w:sz="4" w:space="0"/>
            </w:tcBorders>
            <w:tcW w:w="1096" w:type="pct"/>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52.5</w:t>
            </w:r>
            <w:r/>
          </w:p>
        </w:tc>
        <w:tc>
          <w:tcPr>
            <w:tcBorders>
              <w:left w:val="single" w:color="auto" w:sz="4" w:space="0"/>
              <w:right w:val="single" w:color="auto" w:sz="4" w:space="0"/>
            </w:tcBorders>
            <w:tcW w:w="1159" w:type="pct"/>
            <w:vAlign w:val="center"/>
            <w:vMerge w:val="continue"/>
            <w:textDirection w:val="lrTb"/>
            <w:noWrap w:val="false"/>
          </w:tcPr>
          <w:p>
            <w:pPr>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bookmarkEnd w:id="16"/>
            <w:r/>
            <w:bookmarkEnd w:id="17"/>
            <w:r/>
            <w:r/>
          </w:p>
        </w:tc>
      </w:tr>
    </w:tbl>
    <w:p>
      <w:pPr>
        <w:ind w:left="0"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详见采购文件第四章）</w:t>
      </w:r>
      <w:r/>
    </w:p>
    <w:p>
      <w:pPr>
        <w:ind w:left="0"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5.合同履行期限：</w:t>
      </w:r>
      <w:r>
        <w:rPr>
          <w:rFonts w:hint="eastAsia" w:ascii="仿宋" w:hAnsi="仿宋" w:eastAsia="仿宋" w:cs="仿宋"/>
          <w:color w:val="000000" w:themeColor="text1"/>
          <w:highlight w:val="none"/>
          <w:lang w:val="en-US" w:eastAsia="zh-CN"/>
          <w14:textFill>
            <w14:solidFill>
              <w14:schemeClr w14:val="tx1"/>
            </w14:solidFill>
          </w14:textFill>
        </w:rPr>
        <w:t xml:space="preserve">自合同签订之日至</w:t>
      </w:r>
      <w:r>
        <w:rPr>
          <w:rFonts w:hint="eastAsia" w:ascii="仿宋" w:hAnsi="仿宋" w:cs="仿宋"/>
          <w:color w:val="000000" w:themeColor="text1"/>
          <w:highlight w:val="none"/>
          <w:lang w:val="en-US" w:eastAsia="zh-CN"/>
          <w14:textFill>
            <w14:solidFill>
              <w14:schemeClr w14:val="tx1"/>
            </w14:solidFill>
          </w14:textFill>
        </w:rPr>
        <w:t xml:space="preserve">2026</w:t>
      </w:r>
      <w:r>
        <w:rPr>
          <w:rFonts w:hint="eastAsia" w:ascii="仿宋" w:hAnsi="仿宋" w:eastAsia="仿宋" w:cs="仿宋"/>
          <w:color w:val="000000" w:themeColor="text1"/>
          <w:highlight w:val="none"/>
          <w:lang w:val="en-US" w:eastAsia="zh-CN"/>
          <w14:textFill>
            <w14:solidFill>
              <w14:schemeClr w14:val="tx1"/>
            </w14:solidFill>
          </w14:textFill>
        </w:rPr>
        <w:t xml:space="preserve">年1</w:t>
      </w:r>
      <w:r>
        <w:rPr>
          <w:rFonts w:hint="eastAsia" w:ascii="仿宋" w:hAnsi="仿宋" w:cs="仿宋"/>
          <w:color w:val="000000" w:themeColor="text1"/>
          <w:highlight w:val="none"/>
          <w:lang w:val="en-US" w:eastAsia="zh-CN"/>
          <w14:textFill>
            <w14:solidFill>
              <w14:schemeClr w14:val="tx1"/>
            </w14:solidFill>
          </w14:textFill>
        </w:rPr>
        <w:t xml:space="preserve">1</w:t>
      </w:r>
      <w:r>
        <w:rPr>
          <w:rFonts w:hint="eastAsia" w:ascii="仿宋" w:hAnsi="仿宋" w:eastAsia="仿宋" w:cs="仿宋"/>
          <w:color w:val="000000" w:themeColor="text1"/>
          <w:highlight w:val="none"/>
          <w:lang w:val="en-US" w:eastAsia="zh-CN"/>
          <w14:textFill>
            <w14:solidFill>
              <w14:schemeClr w14:val="tx1"/>
            </w14:solidFill>
          </w14:textFill>
        </w:rPr>
        <w:t xml:space="preserve">月15日。成交供应商应将项目成果以移动硬盘承载方式提交给采购人。</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6.本项目不接受进口产品参加磋商。</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7.本项目不接受联合体参与磋商。</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18" w:name="_Toc28359080"/>
      <w:r/>
      <w:bookmarkStart w:id="19" w:name="_Toc35393622"/>
      <w:r/>
      <w:bookmarkStart w:id="20" w:name="_Toc28359003"/>
      <w:r/>
      <w:bookmarkStart w:id="21" w:name="_Toc160699553"/>
      <w:r/>
      <w:bookmarkStart w:id="22" w:name="_Toc35393791"/>
      <w:r/>
      <w:bookmarkStart w:id="23" w:name="_Toc38985264"/>
      <w:r>
        <w:rPr>
          <w:rFonts w:hint="eastAsia" w:ascii="仿宋" w:hAnsi="仿宋" w:eastAsia="仿宋" w:cs="仿宋"/>
          <w:b/>
          <w:bCs/>
          <w:color w:val="000000" w:themeColor="text1"/>
          <w:sz w:val="28"/>
          <w:szCs w:val="28"/>
          <w:highlight w:val="none"/>
          <w14:textFill>
            <w14:solidFill>
              <w14:schemeClr w14:val="tx1"/>
            </w14:solidFill>
          </w14:textFill>
        </w:rPr>
        <w:t xml:space="preserve">二、申请人的资格要求</w:t>
      </w:r>
      <w:bookmarkEnd w:id="18"/>
      <w:r/>
      <w:bookmarkEnd w:id="19"/>
      <w:r/>
      <w:bookmarkEnd w:id="20"/>
      <w:r/>
      <w:bookmarkEnd w:id="21"/>
      <w:r/>
      <w:bookmarkEnd w:id="22"/>
      <w:r/>
      <w:bookmarkEnd w:id="23"/>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24" w:name="_Toc35393623"/>
      <w:r/>
      <w:bookmarkStart w:id="25" w:name="_Toc35393792"/>
      <w:r/>
      <w:bookmarkStart w:id="26" w:name="_Toc28359081"/>
      <w:r/>
      <w:bookmarkStart w:id="27" w:name="_Toc38985265"/>
      <w:r/>
      <w:bookmarkStart w:id="28" w:name="_Toc28359004"/>
      <w:r/>
      <w:bookmarkStart w:id="29" w:name="_Toc160699554"/>
      <w:r>
        <w:rPr>
          <w:rFonts w:hint="eastAsia" w:ascii="仿宋" w:hAnsi="仿宋" w:eastAsia="仿宋" w:cs="仿宋"/>
          <w:color w:val="000000" w:themeColor="text1"/>
          <w:highlight w:val="none"/>
          <w:lang w:val="en-US" w:eastAsia="zh-CN"/>
          <w14:textFill>
            <w14:solidFill>
              <w14:schemeClr w14:val="tx1"/>
            </w14:solidFill>
          </w14:textFill>
        </w:rPr>
        <w:t xml:space="preserve">（一）通用资格要求</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1.满足《中华人民共和国政府采购法》第二十二条规定，并提供下列材料：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1.1</w:t>
      </w:r>
      <w:r>
        <w:rPr>
          <w:rFonts w:hint="eastAsia" w:ascii="仿宋" w:hAnsi="仿宋" w:eastAsia="仿宋" w:cs="仿宋"/>
          <w:color w:val="000000" w:themeColor="text1"/>
          <w:highlight w:val="none"/>
          <w:lang w:val="zh-CN" w:eastAsia="zh-CN"/>
          <w14:textFill>
            <w14:solidFill>
              <w14:schemeClr w14:val="tx1"/>
            </w14:solidFill>
          </w14:textFill>
        </w:rPr>
        <w:t xml:space="preserve">供应商信用承诺函</w:t>
      </w:r>
      <w:r>
        <w:rPr>
          <w:rFonts w:hint="eastAsia" w:ascii="仿宋" w:hAnsi="仿宋" w:cs="仿宋"/>
          <w:color w:val="000000" w:themeColor="text1"/>
          <w:highlight w:val="none"/>
          <w:lang w:val="zh-CN" w:eastAsia="zh-CN"/>
          <w14:textFill>
            <w14:solidFill>
              <w14:schemeClr w14:val="tx1"/>
            </w14:solidFill>
          </w14:textFill>
        </w:rPr>
        <w:t xml:space="preserve">；</w:t>
      </w:r>
      <w:r>
        <w:rPr>
          <w:rFonts w:hint="eastAsia" w:ascii="仿宋" w:hAnsi="仿宋" w:eastAsia="仿宋" w:cs="仿宋"/>
          <w:color w:val="000000" w:themeColor="text1"/>
          <w:highlight w:val="none"/>
          <w:lang w:val="zh-CN" w:eastAsia="zh-CN"/>
          <w14:textFill>
            <w14:solidFill>
              <w14:schemeClr w14:val="tx1"/>
            </w14:solidFill>
          </w14:textFill>
        </w:rPr>
        <w:t xml:space="preserve">（格式见第六章）</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1.2南京市政府采购供应商信用记录表暨信用承诺书</w:t>
      </w:r>
      <w:r>
        <w:rPr>
          <w:rFonts w:hint="eastAsia" w:ascii="仿宋" w:hAnsi="仿宋" w:cs="仿宋"/>
          <w:color w:val="000000" w:themeColor="text1"/>
          <w:highlight w:val="none"/>
          <w:lang w:val="zh-CN"/>
          <w14:textFill>
            <w14:solidFill>
              <w14:schemeClr w14:val="tx1"/>
            </w14:solidFill>
          </w14:textFill>
        </w:rPr>
        <w:t xml:space="preserve">。</w:t>
      </w:r>
      <w:r>
        <w:rPr>
          <w:rFonts w:hint="eastAsia" w:ascii="仿宋" w:hAnsi="仿宋" w:eastAsia="仿宋" w:cs="仿宋"/>
          <w:color w:val="000000" w:themeColor="text1"/>
          <w:highlight w:val="none"/>
          <w:lang w:val="zh-CN"/>
          <w14:textFill>
            <w14:solidFill>
              <w14:schemeClr w14:val="tx1"/>
            </w14:solidFill>
          </w14:textFill>
        </w:rPr>
        <w:t xml:space="preserve">（原件并加盖公章）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2.落实政府采购政策需满足的资格要求：无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本项目采购标的对应的中小企业划分标准所属行业为：</w:t>
      </w:r>
      <w:r>
        <w:rPr>
          <w:rFonts w:hint="eastAsia" w:ascii="仿宋" w:hAnsi="仿宋" w:eastAsia="仿宋" w:cs="仿宋"/>
          <w:color w:val="000000" w:themeColor="text1"/>
          <w:highlight w:val="none"/>
          <w:lang w:val="en-US" w:eastAsia="zh-CN"/>
          <w14:textFill>
            <w14:solidFill>
              <w14:schemeClr w14:val="tx1"/>
            </w14:solidFill>
          </w14:textFill>
        </w:rPr>
        <w:t xml:space="preserve">其他未列明行业。</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（二）本项目的特定资格要求：无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（三）拒绝下述供应商参加本次采购活动</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1.单位负责人为同一人或者存在直接控股、管理关系的不同供应商，不得参加同一合同项下的政府采购活动。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2.为采购项目提供整体设计、规范编制或者项目管理、监理、检测等服务的供应商，不得参加本项目的采购活动。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rPr>
          <w:rFonts w:hint="eastAsia" w:ascii="仿宋" w:hAnsi="仿宋" w:eastAsia="仿宋" w:cs="仿宋"/>
          <w:color w:val="000000" w:themeColor="text1"/>
          <w:highlight w:val="none"/>
          <w:lang w:val="en-US" w:eastAsia="zh-CN"/>
          <w14:textFill>
            <w14:solidFill>
              <w14:schemeClr w14:val="tx1"/>
            </w14:solidFill>
          </w14:textFill>
        </w:rPr>
        <w:t xml:space="preserve">代理机构将在文件提交截止时间后，通过信用中国</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中国政府采购网等网站查询供应商信用记录并保存)</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三、获取</w:t>
      </w:r>
      <w:bookmarkEnd w:id="24"/>
      <w:r/>
      <w:bookmarkEnd w:id="25"/>
      <w:r/>
      <w:bookmarkEnd w:id="26"/>
      <w:r/>
      <w:bookmarkEnd w:id="27"/>
      <w:r/>
      <w:bookmarkEnd w:id="28"/>
      <w:r>
        <w:rPr>
          <w:rFonts w:hint="eastAsia" w:ascii="仿宋" w:hAnsi="仿宋" w:eastAsia="仿宋" w:cs="仿宋"/>
          <w:b/>
          <w:bCs/>
          <w:color w:val="000000" w:themeColor="text1"/>
          <w:highlight w:val="none"/>
          <w14:textFill>
            <w14:solidFill>
              <w14:schemeClr w14:val="tx1"/>
            </w14:solidFill>
          </w14:textFill>
        </w:rPr>
        <w:t xml:space="preserve">磋商文件</w:t>
      </w:r>
      <w:bookmarkEnd w:id="29"/>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30" w:name="_Toc28359005"/>
      <w:r/>
      <w:bookmarkStart w:id="31" w:name="_Toc28359082"/>
      <w:r/>
      <w:bookmarkStart w:id="32" w:name="_Toc38985266"/>
      <w:r/>
      <w:bookmarkStart w:id="33" w:name="_Toc35393624"/>
      <w:r/>
      <w:bookmarkStart w:id="34" w:name="_Toc160699555"/>
      <w:r/>
      <w:bookmarkStart w:id="35" w:name="_Toc35393793"/>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时间：自</w:t>
      </w:r>
      <w:r>
        <w:rPr>
          <w:rFonts w:hint="eastAsia" w:ascii="仿宋" w:hAnsi="仿宋" w:eastAsia="仿宋" w:cs="仿宋"/>
          <w:color w:val="000000" w:themeColor="text1"/>
          <w:highlight w:val="none"/>
          <w:lang w:val="en-US" w:eastAsia="zh-CN"/>
          <w14:textFill>
            <w14:solidFill>
              <w14:schemeClr w14:val="tx1"/>
            </w14:solidFill>
          </w14:textFill>
        </w:rPr>
        <w:t xml:space="preserve">磋商</w:t>
      </w:r>
      <w:r>
        <w:rPr>
          <w:rFonts w:hint="eastAsia" w:ascii="仿宋" w:hAnsi="仿宋" w:eastAsia="仿宋" w:cs="仿宋"/>
          <w:color w:val="000000" w:themeColor="text1"/>
          <w:highlight w:val="none"/>
          <w14:textFill>
            <w14:solidFill>
              <w14:schemeClr w14:val="tx1"/>
            </w14:solidFill>
          </w14:textFill>
        </w:rPr>
        <w:t xml:space="preserve">文件公告发布之日起</w:t>
      </w:r>
      <w:r>
        <w:rPr>
          <w:rFonts w:hint="eastAsia" w:ascii="仿宋" w:hAnsi="仿宋" w:eastAsia="仿宋" w:cs="仿宋"/>
          <w:color w:val="000000" w:themeColor="text1"/>
          <w:highlight w:val="none"/>
          <w:lang w:val="en-US" w:eastAsia="zh-CN"/>
          <w14:textFill>
            <w14:solidFill>
              <w14:schemeClr w14:val="tx1"/>
            </w14:solidFill>
          </w14:textFill>
        </w:rPr>
        <w:t xml:space="preserve">5个工作日。</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方式：</w:t>
      </w:r>
      <w:r>
        <w:rPr>
          <w:rFonts w:hint="eastAsia" w:ascii="仿宋" w:hAnsi="仿宋" w:eastAsia="仿宋" w:cs="仿宋"/>
          <w:color w:val="000000" w:themeColor="text1"/>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四、提交</w:t>
      </w:r>
      <w:bookmarkEnd w:id="30"/>
      <w:r/>
      <w:bookmarkEnd w:id="31"/>
      <w:r>
        <w:rPr>
          <w:rFonts w:hint="eastAsia" w:ascii="仿宋" w:hAnsi="仿宋" w:eastAsia="仿宋" w:cs="仿宋"/>
          <w:b/>
          <w:bCs/>
          <w:color w:val="000000" w:themeColor="text1"/>
          <w:sz w:val="28"/>
          <w:szCs w:val="28"/>
          <w:highlight w:val="none"/>
          <w14:textFill>
            <w14:solidFill>
              <w14:schemeClr w14:val="tx1"/>
            </w14:solidFill>
          </w14:textFill>
        </w:rPr>
        <w:t xml:space="preserve">响应文件时间</w:t>
      </w:r>
      <w:bookmarkEnd w:id="32"/>
      <w:r/>
      <w:bookmarkEnd w:id="33"/>
      <w:r/>
      <w:bookmarkEnd w:id="34"/>
      <w:r/>
      <w:bookmarkEnd w:id="35"/>
      <w:r/>
      <w:r/>
    </w:p>
    <w:p>
      <w:pPr>
        <w:ind w:firstLine="0"/>
        <w:jc w:val="left"/>
        <w:keepLines w:val="0"/>
        <w:keepNext w:val="0"/>
        <w:pageBreakBefore w:val="0"/>
        <w:spacing w:line="560" w:lineRule="exact"/>
        <w:widowControl w:val="off"/>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bookmarkStart w:id="36" w:name="_Toc28359084"/>
      <w:r/>
      <w:bookmarkStart w:id="37" w:name="_Toc38985267"/>
      <w:r/>
      <w:bookmarkStart w:id="38" w:name="_Toc35393794"/>
      <w:r/>
      <w:bookmarkStart w:id="39" w:name="_Toc160699556"/>
      <w:r/>
      <w:bookmarkStart w:id="40" w:name="_Toc35393625"/>
      <w:r/>
      <w:bookmarkStart w:id="41" w:name="_Toc28359007"/>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1</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提交投标文件截止时间、开标时间：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2026</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05</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月</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08</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日</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时30分（北京时间）。</w:t>
      </w:r>
      <w:r/>
    </w:p>
    <w:p>
      <w:pPr>
        <w:ind w:firstLine="0"/>
        <w:jc w:val="left"/>
        <w:keepLines w:val="0"/>
        <w:keepNext w:val="0"/>
        <w:pageBreakBefore w:val="0"/>
        <w:spacing w:line="560" w:lineRule="exact"/>
        <w:widowControl w:val="off"/>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2</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五、公告期限</w:t>
      </w:r>
      <w:bookmarkEnd w:id="36"/>
      <w:r/>
      <w:bookmarkEnd w:id="37"/>
      <w:r/>
      <w:bookmarkEnd w:id="38"/>
      <w:r/>
      <w:bookmarkEnd w:id="39"/>
      <w:r/>
      <w:bookmarkEnd w:id="40"/>
      <w:r/>
      <w:bookmarkEnd w:id="41"/>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14:textFill>
            <w14:solidFill>
              <w14:schemeClr w14:val="tx1"/>
            </w14:solidFill>
          </w14:textFill>
        </w:rPr>
      </w:pPr>
      <w:r/>
      <w:bookmarkStart w:id="42" w:name="_Toc35393626"/>
      <w:r/>
      <w:bookmarkStart w:id="43" w:name="_Toc38985268"/>
      <w:r/>
      <w:bookmarkStart w:id="44" w:name="_Toc35393795"/>
      <w:r/>
      <w:bookmarkStart w:id="45" w:name="_Toc160699557"/>
      <w:r>
        <w:rPr>
          <w:rFonts w:hint="eastAsia" w:ascii="仿宋" w:hAnsi="仿宋" w:eastAsia="仿宋" w:cs="仿宋"/>
          <w:color w:val="000000" w:themeColor="text1"/>
          <w:highlight w:val="none"/>
          <w:lang w:val="zh-CN"/>
          <w14:textFill>
            <w14:solidFill>
              <w14:schemeClr w14:val="tx1"/>
            </w14:solidFill>
          </w14:textFill>
        </w:rPr>
        <w:t xml:space="preserve">自本公告在“</w:t>
      </w:r>
      <w:r>
        <w:rPr>
          <w:rFonts w:hint="eastAsia" w:ascii="仿宋" w:hAnsi="仿宋" w:cs="仿宋"/>
          <w:color w:val="000000" w:themeColor="text1"/>
          <w:highlight w:val="none"/>
          <w:lang w:val="en-US" w:eastAsia="zh-CN"/>
          <w14:textFill>
            <w14:solidFill>
              <w14:schemeClr w14:val="tx1"/>
            </w14:solidFill>
          </w14:textFill>
        </w:rPr>
        <w:t xml:space="preserve">江苏政府采购网</w:t>
      </w:r>
      <w:r>
        <w:rPr>
          <w:rFonts w:hint="eastAsia" w:ascii="仿宋" w:hAnsi="仿宋" w:eastAsia="仿宋" w:cs="仿宋"/>
          <w:color w:val="000000" w:themeColor="text1"/>
          <w:highlight w:val="none"/>
          <w:lang w:val="zh-CN"/>
          <w14:textFill>
            <w14:solidFill>
              <w14:schemeClr w14:val="tx1"/>
            </w14:solidFill>
          </w14:textFill>
        </w:rPr>
        <w:t xml:space="preserve">”发布之日起</w:t>
      </w:r>
      <w:r>
        <w:rPr>
          <w:rFonts w:hint="eastAsia" w:ascii="仿宋" w:hAnsi="仿宋" w:eastAsia="仿宋" w:cs="仿宋"/>
          <w:color w:val="000000" w:themeColor="text1"/>
          <w:highlight w:val="none"/>
          <w14:textFill>
            <w14:solidFill>
              <w14:schemeClr w14:val="tx1"/>
            </w14:solidFill>
          </w14:textFill>
        </w:rPr>
        <w:t xml:space="preserve">三</w:t>
      </w:r>
      <w:r>
        <w:rPr>
          <w:rFonts w:hint="eastAsia" w:ascii="仿宋" w:hAnsi="仿宋" w:eastAsia="仿宋" w:cs="仿宋"/>
          <w:color w:val="000000" w:themeColor="text1"/>
          <w:highlight w:val="none"/>
          <w:lang w:val="zh-CN"/>
          <w14:textFill>
            <w14:solidFill>
              <w14:schemeClr w14:val="tx1"/>
            </w14:solidFill>
          </w14:textFill>
        </w:rPr>
        <w:t xml:space="preserve">个工作日。</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六、其他补充事宜</w:t>
      </w:r>
      <w:bookmarkEnd w:id="42"/>
      <w:r/>
      <w:bookmarkEnd w:id="43"/>
      <w:r/>
      <w:bookmarkEnd w:id="44"/>
      <w:r/>
      <w:bookmarkEnd w:id="45"/>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46" w:name="_Toc28359085"/>
      <w:r/>
      <w:bookmarkStart w:id="47" w:name="_Toc35393796"/>
      <w:r/>
      <w:bookmarkStart w:id="48" w:name="_Toc38985269"/>
      <w:r/>
      <w:bookmarkStart w:id="49" w:name="_Toc28359008"/>
      <w:r/>
      <w:bookmarkStart w:id="50" w:name="_Toc35393627"/>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.本次磋商不收取磋商保证金。</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2.现场勘察及答疑：本项目不组织集中勘察及答疑，供应商如对采购需求有疑问，请咨询采购单位联系人。</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供应商通过苏采云系统参与政府采购项目，需要办理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江苏省政府采购数字证书及</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电子签章，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具体详见苏采云系统登录页“新CA办理指南”。供应商</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按《苏采云系统供应商操作手册》（</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以下简称“操作手册”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）进行注册，</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并</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制作上传电子响应文件。《操作手册》</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separate"/>
      </w:r>
      <w:r>
        <w:rPr>
          <w:rStyle w:val="768"/>
          <w:rFonts w:hint="eastAsia" w:ascii="仿宋" w:hAnsi="仿宋" w:eastAsia="仿宋" w:cs="仿宋"/>
          <w:color w:val="000000" w:themeColor="text1"/>
          <w:sz w:val="28"/>
          <w:szCs w:val="28"/>
          <w:highlight w:val="none"/>
          <w:lang w:eastAsia="zh-CN"/>
          <w14:textFill>
            <w14:solidFill>
              <w14:schemeClr w14:val="tx1"/>
            </w14:solidFill>
          </w14:textFill>
        </w:rPr>
        <w:t xml:space="preserve">下载地址</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（CTRL+鼠标左键）。</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（1）符合国家相关规定的财务状况报告；</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（2）依法缴纳税收的证明材料；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（3）依法缴纳社会保障资金的证明材料；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（4）具备履行政府采购合同所必需的设备和专业技术能力的证明材料；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（5）参加政府采购活动前三年内在经营活动中没有重大违法记录的证明材料；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供应商涉及以下情形的，不适用信用承诺:</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（1）供应商被列入严重失信主体名单；</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（2）被相关监管部门作出行政处罚且尚在处罚有效期内；</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（3）其他法律、行政法规规定的不适用信用承诺的情形；</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供应商对信用承诺内容的真实性、合法性、有效性负责。如作出虚假信用承诺，视同为“提供虚假材料谋取成交”的违法行为。</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51" w:name="_Toc160699558"/>
      <w:r>
        <w:rPr>
          <w:rFonts w:hint="eastAsia" w:ascii="仿宋" w:hAnsi="仿宋" w:eastAsia="仿宋" w:cs="仿宋"/>
          <w:b/>
          <w:bCs/>
          <w:color w:val="000000" w:themeColor="text1"/>
          <w:sz w:val="28"/>
          <w:szCs w:val="28"/>
          <w:highlight w:val="none"/>
          <w14:textFill>
            <w14:solidFill>
              <w14:schemeClr w14:val="tx1"/>
            </w14:solidFill>
          </w14:textFill>
        </w:rPr>
        <w:t xml:space="preserve">七、本次磋商联系方式</w:t>
      </w:r>
      <w:bookmarkEnd w:id="46"/>
      <w:r/>
      <w:bookmarkEnd w:id="47"/>
      <w:r/>
      <w:bookmarkEnd w:id="48"/>
      <w:r/>
      <w:bookmarkEnd w:id="49"/>
      <w:r/>
      <w:bookmarkEnd w:id="50"/>
      <w:r/>
      <w:bookmarkEnd w:id="51"/>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bookmarkStart w:id="52" w:name="_Toc28359010"/>
      <w:r/>
      <w:bookmarkStart w:id="53" w:name="_Toc28359087"/>
      <w:r>
        <w:rPr>
          <w:rFonts w:hint="eastAsia" w:ascii="仿宋" w:hAnsi="仿宋" w:eastAsia="仿宋" w:cs="仿宋"/>
          <w:b/>
          <w:bCs/>
          <w:color w:val="000000" w:themeColor="text1"/>
          <w:highlight w:val="none"/>
          <w14:textFill>
            <w14:solidFill>
              <w14:schemeClr w14:val="tx1"/>
            </w14:solidFill>
          </w14:textFill>
        </w:rPr>
        <w:t xml:space="preserve">1.采购人信息</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名    称</w:t>
      </w:r>
      <w:r>
        <w:rPr>
          <w:rFonts w:hint="eastAsia" w:ascii="仿宋" w:hAnsi="仿宋" w:eastAsia="仿宋" w:cs="仿宋"/>
          <w:color w:val="000000" w:themeColor="text1"/>
          <w:highlight w:val="none"/>
          <w:lang w:eastAsia="zh-CN"/>
          <w14:textFill>
            <w14:solidFill>
              <w14:schemeClr w14:val="tx1"/>
            </w14:solidFill>
          </w14:textFill>
        </w:rPr>
        <w:t xml:space="preserve">：金陵图书馆</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    址：南京市建邺区乐山路158号</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t xml:space="preserve">联 系 人：</w:t>
      </w:r>
      <w:r>
        <w:rPr>
          <w:rFonts w:hint="eastAsia" w:ascii="仿宋" w:hAnsi="仿宋" w:cs="仿宋"/>
          <w:color w:val="000000" w:themeColor="text1"/>
          <w:highlight w:val="none"/>
          <w:shd w:val="clear" w:color="auto" w:fill="auto"/>
          <w:lang w:val="en-US" w:eastAsia="zh-CN"/>
          <w14:textFill>
            <w14:solidFill>
              <w14:schemeClr w14:val="tx1"/>
            </w14:solidFill>
          </w14:textFill>
        </w:rPr>
        <w:t xml:space="preserve">纪老师</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highlight w:val="none"/>
          <w:shd w:val="clear" w:color="auto" w:fill="auto"/>
          <w14:textFill>
            <w14:solidFill>
              <w14:schemeClr w14:val="tx1"/>
            </w14:solidFill>
          </w14:textFill>
        </w:rPr>
        <w:t xml:space="preserve">联系电话：</w:t>
      </w:r>
      <w:bookmarkStart w:id="54" w:name="_Toc28359086"/>
      <w:r/>
      <w:bookmarkStart w:id="55" w:name="_Toc28359009"/>
      <w:r>
        <w:rPr>
          <w:rFonts w:hint="eastAsia" w:ascii="仿宋" w:hAnsi="仿宋" w:eastAsia="仿宋" w:cs="仿宋"/>
          <w:color w:val="000000" w:themeColor="text1"/>
          <w:highlight w:val="none"/>
          <w:shd w:val="clear" w:color="auto" w:fill="auto"/>
          <w14:textFill>
            <w14:solidFill>
              <w14:schemeClr w14:val="tx1"/>
            </w14:solidFill>
          </w14:textFill>
        </w:rPr>
        <w:t xml:space="preserve">025-51872782</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2.</w:t>
      </w:r>
      <w:bookmarkEnd w:id="54"/>
      <w:r/>
      <w:bookmarkEnd w:id="55"/>
      <w:r>
        <w:rPr>
          <w:rFonts w:hint="eastAsia" w:ascii="仿宋" w:hAnsi="仿宋" w:eastAsia="仿宋" w:cs="仿宋"/>
          <w:b/>
          <w:bCs/>
          <w:color w:val="000000" w:themeColor="text1"/>
          <w:highlight w:val="none"/>
          <w14:textFill>
            <w14:solidFill>
              <w14:schemeClr w14:val="tx1"/>
            </w14:solidFill>
          </w14:textFill>
        </w:rPr>
        <w:t xml:space="preserve">代理机构信息</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    址：南京市雨花台区软件大道180号大数据5号楼M层</w:t>
      </w:r>
      <w:r>
        <w:rPr>
          <w:rFonts w:hint="eastAsia" w:ascii="仿宋" w:hAnsi="仿宋" w:eastAsia="仿宋" w:cs="仿宋"/>
          <w:color w:val="000000" w:themeColor="text1"/>
          <w:highlight w:val="none"/>
          <w:lang w:eastAsia="zh-CN"/>
          <w14:textFill>
            <w14:solidFill>
              <w14:schemeClr w14:val="tx1"/>
            </w14:solidFill>
          </w14:textFill>
        </w:rPr>
        <w:t xml:space="preserve">B108-B</w:t>
      </w:r>
      <w:r>
        <w:rPr>
          <w:rFonts w:hint="eastAsia" w:ascii="仿宋" w:hAnsi="仿宋" w:eastAsia="仿宋" w:cs="仿宋"/>
          <w:color w:val="000000" w:themeColor="text1"/>
          <w:highlight w:val="none"/>
          <w14:textFill>
            <w14:solidFill>
              <w14:schemeClr w14:val="tx1"/>
            </w14:solidFill>
          </w14:textFill>
        </w:rPr>
        <w:t xml:space="preserve"> </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 系 人：</w:t>
      </w:r>
      <w:r>
        <w:rPr>
          <w:rFonts w:hint="eastAsia" w:ascii="仿宋" w:hAnsi="仿宋" w:cs="仿宋"/>
          <w:color w:val="000000" w:themeColor="text1"/>
          <w:highlight w:val="none"/>
          <w:lang w:val="en-US" w:eastAsia="zh-CN"/>
          <w14:textFill>
            <w14:solidFill>
              <w14:schemeClr w14:val="tx1"/>
            </w14:solidFill>
          </w14:textFill>
        </w:rPr>
        <w:t xml:space="preserve">顾工、吴工</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w:t>
      </w:r>
      <w:r>
        <w:rPr>
          <w:rFonts w:hint="eastAsia" w:ascii="仿宋" w:hAnsi="仿宋" w:cs="仿宋"/>
          <w:color w:val="000000" w:themeColor="text1"/>
          <w:highlight w:val="none"/>
          <w:lang w:val="en-US" w:eastAsia="zh-CN"/>
          <w14:textFill>
            <w14:solidFill>
              <w14:schemeClr w14:val="tx1"/>
            </w14:solidFill>
          </w14:textFill>
        </w:rPr>
        <w:t xml:space="preserve">15952197379</w:t>
      </w:r>
      <w:r/>
    </w:p>
    <w:p>
      <w:pPr>
        <w:ind w:firstLine="0"/>
        <w:keepLines w:val="0"/>
        <w:keepNext w:val="0"/>
        <w:pageBreakBefore w:val="0"/>
        <w:spacing w:line="560" w:lineRule="exact"/>
        <w:widowControl w:val="off"/>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有关本次</w:t>
      </w:r>
      <w:r>
        <w:rPr>
          <w:rFonts w:hint="eastAsia" w:ascii="仿宋" w:hAnsi="仿宋" w:cs="仿宋"/>
          <w:color w:val="000000" w:themeColor="text1"/>
          <w:sz w:val="28"/>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的事项若存在变动或修改，敬请及时关注“江苏政府采购网”发布的信息更正公告。</w:t>
      </w:r>
      <w:r/>
    </w:p>
    <w:p>
      <w:pPr>
        <w:pStyle w:val="763"/>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bookmarkEnd w:id="52"/>
      <w:r/>
      <w:bookmarkEnd w:id="53"/>
      <w:r/>
      <w:r/>
    </w:p>
    <w:p>
      <w:pPr>
        <w:pStyle w:val="713"/>
        <w:rPr>
          <w:rFonts w:hint="eastAsia" w:ascii="仿宋" w:hAnsi="仿宋" w:eastAsia="仿宋" w:cs="仿宋"/>
          <w:color w:val="000000" w:themeColor="text1"/>
          <w:sz w:val="44"/>
          <w:szCs w:val="44"/>
          <w:highlight w:val="none"/>
          <w14:textFill>
            <w14:solidFill>
              <w14:schemeClr w14:val="tx1"/>
            </w14:solidFill>
          </w14:textFill>
        </w:rPr>
      </w:pPr>
      <w:r/>
      <w:bookmarkStart w:id="56" w:name="_Toc120614211"/>
      <w:r>
        <w:rPr>
          <w:rFonts w:hint="eastAsia" w:ascii="仿宋" w:hAnsi="仿宋" w:eastAsia="仿宋" w:cs="仿宋"/>
          <w:b/>
          <w:bCs/>
          <w:color w:val="000000" w:themeColor="text1"/>
          <w:sz w:val="44"/>
          <w:szCs w:val="44"/>
          <w:highlight w:val="none"/>
          <w14:textFill>
            <w14:solidFill>
              <w14:schemeClr w14:val="tx1"/>
            </w14:solidFill>
          </w14:textFill>
        </w:rPr>
        <w:br w:type="page" w:clear="all"/>
      </w:r>
      <w:bookmarkStart w:id="57" w:name="_Toc160699560"/>
      <w:r>
        <w:rPr>
          <w:rStyle w:val="923"/>
          <w:rFonts w:hint="eastAsia" w:ascii="仿宋" w:hAnsi="仿宋" w:eastAsia="仿宋" w:cs="仿宋"/>
          <w:b/>
          <w:color w:val="000000" w:themeColor="text1"/>
          <w:highlight w:val="none"/>
          <w14:textFill>
            <w14:solidFill>
              <w14:schemeClr w14:val="tx1"/>
            </w14:solidFill>
          </w14:textFill>
        </w:rPr>
        <w:t xml:space="preserve">第二章  </w:t>
      </w:r>
      <w:bookmarkEnd w:id="3"/>
      <w:r/>
      <w:bookmarkEnd w:id="4"/>
      <w:r/>
      <w:bookmarkEnd w:id="5"/>
      <w:r/>
      <w:bookmarkEnd w:id="6"/>
      <w:r/>
      <w:bookmarkEnd w:id="7"/>
      <w:r/>
      <w:bookmarkEnd w:id="56"/>
      <w:r>
        <w:rPr>
          <w:rStyle w:val="923"/>
          <w:rFonts w:hint="eastAsia" w:ascii="仿宋" w:hAnsi="仿宋" w:eastAsia="仿宋" w:cs="仿宋"/>
          <w:b/>
          <w:color w:val="000000" w:themeColor="text1"/>
          <w:highlight w:val="none"/>
          <w14:textFill>
            <w14:solidFill>
              <w14:schemeClr w14:val="tx1"/>
            </w14:solidFill>
          </w14:textFill>
        </w:rPr>
        <w:t xml:space="preserve">供应商须知</w:t>
      </w:r>
      <w:bookmarkEnd w:id="57"/>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58" w:name="_Toc120614214"/>
      <w:r/>
      <w:bookmarkStart w:id="59" w:name="_Toc20823275"/>
      <w:r/>
      <w:bookmarkStart w:id="60" w:name="_Toc513029203"/>
      <w:r/>
      <w:bookmarkStart w:id="61" w:name="_Toc16938519"/>
      <w:r/>
      <w:bookmarkStart w:id="62" w:name="_Toc120614221"/>
      <w:r/>
      <w:bookmarkStart w:id="63" w:name="_Toc513029242"/>
      <w:r/>
      <w:bookmarkStart w:id="64" w:name="_Toc16938558"/>
      <w:r/>
      <w:bookmarkStart w:id="65" w:name="_Toc479757207"/>
      <w:r/>
      <w:bookmarkStart w:id="66" w:name="_Toc20823314"/>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一、总则</w:t>
      </w:r>
      <w:bookmarkEnd w:id="58"/>
      <w:r/>
      <w:bookmarkEnd w:id="59"/>
      <w:r/>
      <w:bookmarkEnd w:id="60"/>
      <w:r/>
      <w:bookmarkEnd w:id="61"/>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67" w:name="_Hlt16619475"/>
      <w:r/>
      <w:bookmarkEnd w:id="67"/>
      <w:r/>
      <w:bookmarkStart w:id="68" w:name="_Toc458694821"/>
      <w:r/>
      <w:bookmarkStart w:id="69" w:name="_Toc513029204"/>
      <w:r/>
      <w:bookmarkStart w:id="70" w:name="_Toc20823276"/>
      <w:r/>
      <w:bookmarkStart w:id="71" w:name="_Toc16938520"/>
      <w:r>
        <w:rPr>
          <w:rFonts w:hint="eastAsia" w:ascii="仿宋" w:hAnsi="仿宋" w:eastAsia="仿宋" w:cs="仿宋"/>
          <w:color w:val="000000" w:themeColor="text1"/>
          <w:sz w:val="28"/>
          <w:szCs w:val="28"/>
          <w:highlight w:val="none"/>
          <w14:textFill>
            <w14:solidFill>
              <w14:schemeClr w14:val="tx1"/>
            </w14:solidFill>
          </w14:textFill>
        </w:rPr>
        <w:t xml:space="preserve">1</w:t>
      </w:r>
      <w:bookmarkEnd w:id="68"/>
      <w:r>
        <w:rPr>
          <w:rFonts w:hint="eastAsia" w:ascii="仿宋" w:hAnsi="仿宋" w:eastAsia="仿宋" w:cs="仿宋"/>
          <w:color w:val="000000" w:themeColor="text1"/>
          <w:sz w:val="28"/>
          <w:szCs w:val="28"/>
          <w:highlight w:val="none"/>
          <w14:textFill>
            <w14:solidFill>
              <w14:schemeClr w14:val="tx1"/>
            </w14:solidFill>
          </w14:textFill>
        </w:rPr>
        <w:t xml:space="preserve">.采购方式</w:t>
      </w:r>
      <w:bookmarkEnd w:id="69"/>
      <w:r/>
      <w:bookmarkEnd w:id="70"/>
      <w:r/>
      <w:bookmarkEnd w:id="71"/>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本次政府采购活动采取竞争性磋商(以下简称“磋商”)方式，本磋商文件仅适用于磋商公告中所述项目。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2" w:name="_Toc20823277"/>
      <w:r/>
      <w:bookmarkStart w:id="73" w:name="_Toc16938521"/>
      <w:r/>
      <w:bookmarkStart w:id="74" w:name="_Toc513029205"/>
      <w:r>
        <w:rPr>
          <w:rFonts w:hint="eastAsia" w:ascii="仿宋" w:hAnsi="仿宋" w:eastAsia="仿宋" w:cs="仿宋"/>
          <w:color w:val="000000" w:themeColor="text1"/>
          <w:sz w:val="28"/>
          <w:szCs w:val="28"/>
          <w:highlight w:val="none"/>
          <w14:textFill>
            <w14:solidFill>
              <w14:schemeClr w14:val="tx1"/>
            </w14:solidFill>
          </w14:textFill>
        </w:rPr>
        <w:t xml:space="preserve">2.合格的</w:t>
      </w:r>
      <w:bookmarkEnd w:id="72"/>
      <w:r/>
      <w:bookmarkEnd w:id="73"/>
      <w:r/>
      <w:bookmarkEnd w:id="74"/>
      <w:r>
        <w:rPr>
          <w:rFonts w:hint="eastAsia" w:ascii="仿宋" w:hAnsi="仿宋" w:eastAsia="仿宋" w:cs="仿宋"/>
          <w:color w:val="000000" w:themeColor="text1"/>
          <w:sz w:val="28"/>
          <w:szCs w:val="28"/>
          <w:highlight w:val="none"/>
          <w14:textFill>
            <w14:solidFill>
              <w14:schemeClr w14:val="tx1"/>
            </w14:solidFill>
          </w14:textFill>
        </w:rPr>
        <w:t xml:space="preserve">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满足磋商公告对供应商资格要求的规定。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2.2 满足本磋商文件规定的实质性要求和条件。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5" w:name="_Toc513029206"/>
      <w:r/>
      <w:bookmarkStart w:id="76" w:name="_Toc16938522"/>
      <w:r/>
      <w:bookmarkStart w:id="77" w:name="_Toc20823278"/>
      <w:r>
        <w:rPr>
          <w:rFonts w:hint="eastAsia" w:ascii="仿宋" w:hAnsi="仿宋" w:eastAsia="仿宋" w:cs="仿宋"/>
          <w:color w:val="000000" w:themeColor="text1"/>
          <w:sz w:val="28"/>
          <w:szCs w:val="28"/>
          <w:highlight w:val="none"/>
          <w14:textFill>
            <w14:solidFill>
              <w14:schemeClr w14:val="tx1"/>
            </w14:solidFill>
          </w14:textFill>
        </w:rPr>
        <w:t xml:space="preserve">3.适用法律</w:t>
      </w:r>
      <w:bookmarkEnd w:id="75"/>
      <w:r/>
      <w:bookmarkEnd w:id="76"/>
      <w:r/>
      <w:bookmarkEnd w:id="77"/>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3.1 本次磋商及由此产生的合同受中华人民共和国有关的法律法规制约和保护。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8" w:name="_Toc16938523"/>
      <w:r/>
      <w:bookmarkStart w:id="79" w:name="_Toc20823279"/>
      <w:r/>
      <w:bookmarkStart w:id="80" w:name="_Toc513029207"/>
      <w:r/>
      <w:bookmarkStart w:id="81" w:name="_Toc462564067"/>
      <w:r>
        <w:rPr>
          <w:rFonts w:hint="eastAsia" w:ascii="仿宋" w:hAnsi="仿宋" w:eastAsia="仿宋" w:cs="仿宋"/>
          <w:color w:val="000000" w:themeColor="text1"/>
          <w:sz w:val="28"/>
          <w:szCs w:val="28"/>
          <w:highlight w:val="none"/>
          <w14:textFill>
            <w14:solidFill>
              <w14:schemeClr w14:val="tx1"/>
            </w14:solidFill>
          </w14:textFill>
        </w:rPr>
        <w:t xml:space="preserve">4.磋商费用</w:t>
      </w:r>
      <w:bookmarkEnd w:id="78"/>
      <w:r/>
      <w:bookmarkEnd w:id="79"/>
      <w:r/>
      <w:bookmarkEnd w:id="80"/>
      <w:r/>
      <w:bookmarkEnd w:id="81"/>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供应商应自行承担所有与参加磋商有关的费用，无论磋商过程中的做法和结果如何，代理机构</w:t>
      </w:r>
      <w:r>
        <w:rPr>
          <w:rFonts w:hint="eastAsia" w:ascii="仿宋" w:hAnsi="仿宋" w:eastAsia="仿宋" w:cs="仿宋"/>
          <w:color w:val="000000" w:themeColor="text1"/>
          <w:sz w:val="28"/>
          <w:szCs w:val="28"/>
          <w:highlight w:val="none"/>
          <w14:textFill>
            <w14:solidFill>
              <w14:schemeClr w14:val="tx1"/>
            </w14:solidFill>
          </w14:textFill>
        </w:rPr>
        <w:t xml:space="preserve">和采购人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在任何情况下均无义务和责任承担这些费用。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4.2</w:t>
      </w:r>
      <w:r>
        <w:rPr>
          <w:rFonts w:hint="eastAsia" w:ascii="仿宋" w:hAnsi="仿宋" w:eastAsia="仿宋" w:cs="仿宋"/>
          <w:color w:val="000000" w:themeColor="text1"/>
          <w:sz w:val="28"/>
          <w:szCs w:val="28"/>
          <w:highlight w:val="none"/>
          <w14:textFill>
            <w14:solidFill>
              <w14:schemeClr w14:val="tx1"/>
            </w14:solidFill>
          </w14:textFill>
        </w:rPr>
        <w:t xml:space="preserve"> 本次采购代理服务费由</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8"/>
          <w:szCs w:val="28"/>
          <w:highlight w:val="none"/>
          <w14:textFill>
            <w14:solidFill>
              <w14:schemeClr w14:val="tx1"/>
            </w14:solidFill>
          </w14:textFill>
        </w:rPr>
        <w:t xml:space="preserve">供应商在领取《</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8"/>
          <w:szCs w:val="28"/>
          <w:highlight w:val="none"/>
          <w14:textFill>
            <w14:solidFill>
              <w14:schemeClr w14:val="tx1"/>
            </w14:solidFill>
          </w14:textFill>
        </w:rPr>
        <w:t xml:space="preserve">通知书》前支付给代理机构，</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代理服务费参照《招标代理服务收费管理暂行办法》（计价格【2002】1980号）计费</w:t>
      </w:r>
      <w:r>
        <w:rPr>
          <w:rFonts w:hint="eastAsia" w:ascii="仿宋" w:hAnsi="仿宋" w:eastAsia="仿宋" w:cs="仿宋"/>
          <w:color w:val="000000" w:themeColor="text1"/>
          <w:sz w:val="28"/>
          <w:szCs w:val="28"/>
          <w:highlight w:val="none"/>
          <w14:textFill>
            <w14:solidFill>
              <w14:schemeClr w14:val="tx1"/>
            </w14:solidFill>
          </w14:textFill>
        </w:rPr>
        <w:t xml:space="preserve">。付款时请供应商备注项目名称和项目编号以便核实。</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账户名称：江苏苏建工程项目管理咨询有限公司</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开 户 行：中国银行南京东宝路支行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   号：480676846430</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支付宝：jiangsusjgc@163.com</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5.磋商文件的约束力</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供应商一旦参加本项目采购活动，即被认为接受了本磋商文件的规定和约束。</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82" w:name="_Toc16938525"/>
      <w:r/>
      <w:bookmarkStart w:id="83" w:name="_Toc20823281"/>
      <w:r/>
      <w:bookmarkStart w:id="84" w:name="_Toc120614215"/>
      <w:r/>
      <w:bookmarkStart w:id="85" w:name="_Toc513029209"/>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w:t>
      </w:r>
      <w:bookmarkEnd w:id="82"/>
      <w:r/>
      <w:bookmarkEnd w:id="83"/>
      <w:r/>
      <w:bookmarkEnd w:id="84"/>
      <w:r/>
      <w:bookmarkEnd w:id="85"/>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磋商文件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86" w:name="_Toc20823282"/>
      <w:r/>
      <w:bookmarkStart w:id="87" w:name="_Toc16938526"/>
      <w:r/>
      <w:bookmarkStart w:id="88" w:name="_Toc513029210"/>
      <w:r>
        <w:rPr>
          <w:rFonts w:hint="eastAsia" w:ascii="仿宋" w:hAnsi="仿宋" w:eastAsia="仿宋" w:cs="仿宋"/>
          <w:color w:val="000000" w:themeColor="text1"/>
          <w:sz w:val="28"/>
          <w:szCs w:val="28"/>
          <w:highlight w:val="none"/>
          <w14:textFill>
            <w14:solidFill>
              <w14:schemeClr w14:val="tx1"/>
            </w14:solidFill>
          </w14:textFill>
        </w:rPr>
        <w:t xml:space="preserve">6.磋商文件构成</w:t>
      </w:r>
      <w:bookmarkEnd w:id="86"/>
      <w:r/>
      <w:bookmarkEnd w:id="87"/>
      <w:r/>
      <w:bookmarkEnd w:id="88"/>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磋商文件由以下部分组成：</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竞争性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磋商邀请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竞争性磋商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须知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合同文本</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采购需求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（5）评审方法与评审标准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（6）竞争性磋商响应文件格式及附件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供应商应仔细检查磋商文件是否齐全，如有缺漏请立即与代理机构联系。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89" w:name="_Toc20823283"/>
      <w:r/>
      <w:bookmarkStart w:id="90" w:name="_Toc16938527"/>
      <w:r/>
      <w:bookmarkStart w:id="91" w:name="_Toc462564070"/>
      <w:r/>
      <w:bookmarkStart w:id="92" w:name="_Toc513029211"/>
      <w:r>
        <w:rPr>
          <w:rFonts w:hint="eastAsia" w:ascii="仿宋" w:hAnsi="仿宋" w:eastAsia="仿宋" w:cs="仿宋"/>
          <w:color w:val="000000" w:themeColor="text1"/>
          <w:sz w:val="28"/>
          <w:szCs w:val="28"/>
          <w:highlight w:val="none"/>
          <w14:textFill>
            <w14:solidFill>
              <w14:schemeClr w14:val="tx1"/>
            </w14:solidFill>
          </w14:textFill>
        </w:rPr>
        <w:t xml:space="preserve">7.磋商文件的澄清</w:t>
      </w:r>
      <w:bookmarkEnd w:id="89"/>
      <w:r/>
      <w:bookmarkEnd w:id="90"/>
      <w:r/>
      <w:bookmarkEnd w:id="91"/>
      <w:r/>
      <w:bookmarkEnd w:id="92"/>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7.1 任何要求对磋商文件进行澄清的供应商，应在磋商截止期五日前按磋商公告中的通讯地址，以书面形式通知代理机构。</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93" w:name="_Toc513029212"/>
      <w:r/>
      <w:bookmarkStart w:id="94" w:name="_Toc20823284"/>
      <w:r/>
      <w:bookmarkStart w:id="95" w:name="_Toc16938528"/>
      <w:r/>
      <w:bookmarkStart w:id="96" w:name="_Toc462564071"/>
      <w:r>
        <w:rPr>
          <w:rFonts w:hint="eastAsia" w:ascii="仿宋" w:hAnsi="仿宋" w:eastAsia="仿宋" w:cs="仿宋"/>
          <w:color w:val="000000" w:themeColor="text1"/>
          <w:sz w:val="28"/>
          <w:szCs w:val="28"/>
          <w:highlight w:val="none"/>
          <w14:textFill>
            <w14:solidFill>
              <w14:schemeClr w14:val="tx1"/>
            </w14:solidFill>
          </w14:textFill>
        </w:rPr>
        <w:t xml:space="preserve">8.磋商文件的澄清和修改</w:t>
      </w:r>
      <w:bookmarkEnd w:id="93"/>
      <w:r/>
      <w:bookmarkEnd w:id="94"/>
      <w:r/>
      <w:bookmarkEnd w:id="95"/>
      <w:r/>
      <w:bookmarkEnd w:id="96"/>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bookmarkStart w:id="97" w:name="_Toc20823285"/>
      <w:r/>
      <w:bookmarkStart w:id="98" w:name="_Toc513029213"/>
      <w:r/>
      <w:bookmarkStart w:id="99" w:name="_Toc16938529"/>
      <w:r/>
      <w:bookmarkStart w:id="100" w:name="_Toc462564072"/>
      <w:r/>
      <w:bookmarkStart w:id="101" w:name="_Toc120614216"/>
      <w:r>
        <w:rPr>
          <w:rFonts w:hint="eastAsia" w:ascii="仿宋" w:hAnsi="仿宋" w:eastAsia="仿宋" w:cs="仿宋"/>
          <w:color w:val="000000" w:themeColor="text1"/>
          <w:sz w:val="28"/>
          <w:szCs w:val="28"/>
          <w:highlight w:val="none"/>
          <w:lang w:val="zh-CN"/>
          <w14:textFill>
            <w14:solidFill>
              <w14:schemeClr w14:val="tx1"/>
            </w14:solidFill>
          </w14:textFill>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供应商应在提交响应文件截止时间前，关注原公告媒体有关本项目的更正公告，根据更正公告内容自行决定是否需要重新制作和提交响应文件，并承担由此产生的相应责任。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代理机构有权按照法定的要求推迟提交响应文件截止时间，并在原公告媒体发布更正公告。</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三、响应文件的编制</w:t>
      </w:r>
      <w:bookmarkEnd w:id="97"/>
      <w:r/>
      <w:bookmarkEnd w:id="98"/>
      <w:r/>
      <w:bookmarkEnd w:id="99"/>
      <w:r/>
      <w:bookmarkEnd w:id="100"/>
      <w:r/>
      <w:bookmarkEnd w:id="101"/>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02" w:name="_Toc462564073"/>
      <w:r/>
      <w:bookmarkStart w:id="103" w:name="_Toc20823286"/>
      <w:r/>
      <w:bookmarkStart w:id="104" w:name="_Toc513029214"/>
      <w:r/>
      <w:bookmarkStart w:id="105" w:name="_Toc16938530"/>
      <w:r>
        <w:rPr>
          <w:rFonts w:hint="eastAsia" w:ascii="仿宋" w:hAnsi="仿宋" w:eastAsia="仿宋" w:cs="仿宋"/>
          <w:color w:val="000000" w:themeColor="text1"/>
          <w:sz w:val="28"/>
          <w:szCs w:val="28"/>
          <w:highlight w:val="none"/>
          <w14:textFill>
            <w14:solidFill>
              <w14:schemeClr w14:val="tx1"/>
            </w14:solidFill>
          </w14:textFill>
        </w:rPr>
        <w:t xml:space="preserve">9.响应文件的语言及度量衡单位</w:t>
      </w:r>
      <w:bookmarkEnd w:id="102"/>
      <w:r/>
      <w:bookmarkEnd w:id="103"/>
      <w:r/>
      <w:bookmarkEnd w:id="104"/>
      <w:r/>
      <w:bookmarkEnd w:id="105"/>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供应商提交的响应文件以及供应商与代理机构就有关磋商的所有来往通知、函件和文件均应使用简体中文。</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9.2 除技术性能另有规定外，响应文件所使用的度量衡单位，均须采用国家法定计量单位。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06" w:name="_Toc462564074"/>
      <w:r/>
      <w:bookmarkStart w:id="107" w:name="_Toc20823287"/>
      <w:r/>
      <w:bookmarkStart w:id="108" w:name="_Toc16938531"/>
      <w:r/>
      <w:bookmarkStart w:id="109" w:name="_Toc513029215"/>
      <w:r>
        <w:rPr>
          <w:rFonts w:hint="eastAsia" w:ascii="仿宋" w:hAnsi="仿宋" w:eastAsia="仿宋" w:cs="仿宋"/>
          <w:color w:val="000000" w:themeColor="text1"/>
          <w:sz w:val="28"/>
          <w:szCs w:val="28"/>
          <w:highlight w:val="none"/>
          <w14:textFill>
            <w14:solidFill>
              <w14:schemeClr w14:val="tx1"/>
            </w14:solidFill>
          </w14:textFill>
        </w:rPr>
        <w:t xml:space="preserve">10.响应文件构成</w:t>
      </w:r>
      <w:bookmarkEnd w:id="106"/>
      <w:r/>
      <w:bookmarkEnd w:id="107"/>
      <w:r/>
      <w:bookmarkEnd w:id="108"/>
      <w:r/>
      <w:bookmarkEnd w:id="10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供应商编写的响应文件应包括资格证明文件、符合性证明文件、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分项报价表、采购需求偏离表、其他证明文件、磋商响应函等部分。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★（1）报价表、分项报价表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bookmarkStart w:id="110" w:name="OLE_LINK1"/>
      <w:r>
        <w:rPr>
          <w:rFonts w:hint="eastAsia" w:ascii="仿宋" w:hAnsi="仿宋" w:cs="仿宋"/>
          <w:color w:val="000000" w:themeColor="text1"/>
          <w:sz w:val="28"/>
          <w:szCs w:val="28"/>
          <w:highlight w:val="none"/>
          <w:lang w:val="en-US" w:eastAsia="zh-CN"/>
          <w14:textFill>
            <w14:solidFill>
              <w14:schemeClr w14:val="tx1"/>
            </w14:solidFill>
          </w14:textFill>
        </w:rPr>
        <w:t xml:space="preserve">采购需求响应及偏离表</w:t>
      </w:r>
      <w:bookmarkEnd w:id="110"/>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10.2 如标书制作工具中格式和内容与“江苏政府采购网”发布的磋商文件不一致，以“江苏政府采购网”发布的磋商文件为准。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11" w:name="_Hlt26670360"/>
      <w:r/>
      <w:bookmarkEnd w:id="111"/>
      <w:r/>
      <w:bookmarkStart w:id="112" w:name="_Hlt26668975"/>
      <w:r/>
      <w:bookmarkEnd w:id="112"/>
      <w:r/>
      <w:bookmarkStart w:id="113" w:name="_Hlt26954838"/>
      <w:r/>
      <w:bookmarkEnd w:id="113"/>
      <w:r/>
      <w:bookmarkStart w:id="114" w:name="_Toc49090507"/>
      <w:r/>
      <w:bookmarkStart w:id="115" w:name="_Toc14577354"/>
      <w:r/>
      <w:bookmarkStart w:id="116" w:name="_Toc14577357"/>
      <w:r/>
      <w:bookmarkStart w:id="117" w:name="_Toc513029216"/>
      <w:r/>
      <w:bookmarkStart w:id="118" w:name="_Toc513029219"/>
      <w:r/>
      <w:bookmarkStart w:id="119" w:name="_Toc49090509"/>
      <w:r/>
      <w:bookmarkStart w:id="120" w:name="_Toc49090508"/>
      <w:r/>
      <w:bookmarkStart w:id="121" w:name="_Toc14577355"/>
      <w:r>
        <w:rPr>
          <w:rFonts w:hint="eastAsia" w:ascii="仿宋" w:hAnsi="仿宋" w:eastAsia="仿宋" w:cs="仿宋"/>
          <w:color w:val="000000" w:themeColor="text1"/>
          <w:sz w:val="28"/>
          <w:szCs w:val="28"/>
          <w:highlight w:val="none"/>
          <w14:textFill>
            <w14:solidFill>
              <w14:schemeClr w14:val="tx1"/>
            </w14:solidFill>
          </w14:textFill>
        </w:rPr>
        <w:t xml:space="preserve">11.证明磋商响应标的符合磋商文件规定的文件</w:t>
      </w:r>
      <w:bookmarkEnd w:id="114"/>
      <w:r/>
      <w:bookmarkEnd w:id="115"/>
      <w:r/>
      <w:bookmarkEnd w:id="116"/>
      <w:r/>
      <w:bookmarkEnd w:id="117"/>
      <w:r/>
      <w:bookmarkEnd w:id="118"/>
      <w:r/>
      <w:bookmarkEnd w:id="11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供应商应按照法律、法规、规章和规范性文件以及磋商文件要求提交证明文件，证明其响应标的符合磋商文件规定。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磋商文件对证明文件无明确形式要求的，证明文件可以以文字资料、图纸和数据等形式提交。</w:t>
      </w:r>
      <w:bookmarkEnd w:id="120"/>
      <w:r/>
      <w:bookmarkEnd w:id="121"/>
      <w:r/>
      <w:r/>
    </w:p>
    <w:p>
      <w:pPr>
        <w:ind w:firstLine="0"/>
        <w:jc w:val="left"/>
        <w:keepLines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12.分项报价表</w:t>
      </w:r>
      <w:r>
        <w:rPr>
          <w:rFonts w:hint="eastAsia" w:ascii="仿宋" w:hAnsi="仿宋" w:cs="仿宋"/>
          <w:color w:val="000000" w:themeColor="text1"/>
          <w:sz w:val="28"/>
          <w:szCs w:val="28"/>
          <w:highlight w:val="none"/>
          <w:lang w:eastAsia="zh-CN"/>
          <w14:textFill>
            <w14:solidFill>
              <w14:schemeClr w14:val="tx1"/>
            </w14:solidFill>
          </w14:textFill>
        </w:rPr>
        <w:t xml:space="preserve">（</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供应商应按照磋商文件规定格式填报分项报价表。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磋商货币。响应文件中的单价和总价无特殊规定的采用人民币报价，以元为单位标注。磋商文件中另有规定的按规定执行。</w:t>
      </w:r>
      <w:r/>
    </w:p>
    <w:p>
      <w:pPr>
        <w:ind w:firstLine="0"/>
        <w:jc w:val="left"/>
        <w:keepLines w:val="0"/>
        <w:pageBreakBefore w:val="0"/>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bookmarkStart w:id="122" w:name="_Hlt26954848"/>
      <w:r/>
      <w:bookmarkEnd w:id="122"/>
      <w:r/>
      <w:bookmarkStart w:id="123" w:name="_Hlt26954846"/>
      <w:r/>
      <w:bookmarkEnd w:id="123"/>
      <w:r/>
      <w:bookmarkStart w:id="124" w:name="_Hlt26670482"/>
      <w:r/>
      <w:bookmarkEnd w:id="124"/>
      <w:r/>
      <w:bookmarkStart w:id="125" w:name="_Hlt26954731"/>
      <w:r/>
      <w:bookmarkEnd w:id="125"/>
      <w:r/>
      <w:bookmarkStart w:id="126" w:name="_Hlt26670486"/>
      <w:r/>
      <w:bookmarkEnd w:id="126"/>
      <w:r>
        <w:rPr>
          <w:rFonts w:hint="eastAsia" w:ascii="仿宋" w:hAnsi="仿宋" w:eastAsia="仿宋" w:cs="仿宋"/>
          <w:color w:val="000000" w:themeColor="text1"/>
          <w:sz w:val="28"/>
          <w:szCs w:val="28"/>
          <w:highlight w:val="none"/>
          <w:lang w:val="zh-CN"/>
          <w14:textFill>
            <w14:solidFill>
              <w14:schemeClr w14:val="tx1"/>
            </w14:solidFill>
          </w14:textFill>
        </w:rPr>
        <w:t xml:space="preserve">13.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、商务要求响应及偏离表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13.1 供应商需对磋商文件中的</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项目需求</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逐项作出响应或偏离说明。</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13.2 供应商可在响应文件中提供认为需要的其他技术文件或说明。</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7" w:name="_Toc14577359"/>
      <w:r/>
      <w:bookmarkStart w:id="128" w:name="_Toc49090510"/>
      <w:r>
        <w:rPr>
          <w:rFonts w:hint="eastAsia" w:ascii="仿宋" w:hAnsi="仿宋" w:eastAsia="仿宋" w:cs="仿宋"/>
          <w:color w:val="000000" w:themeColor="text1"/>
          <w:sz w:val="28"/>
          <w:szCs w:val="28"/>
          <w:highlight w:val="none"/>
          <w14:textFill>
            <w14:solidFill>
              <w14:schemeClr w14:val="tx1"/>
            </w14:solidFill>
          </w14:textFill>
        </w:rPr>
        <w:t xml:space="preserve">14.</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和报价表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供应商应按照磋商文件规定格式完整、正确填报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竞争性</w:t>
      </w:r>
      <w:r>
        <w:rPr>
          <w:rFonts w:hint="eastAsia" w:ascii="仿宋" w:hAnsi="仿宋" w:eastAsia="仿宋" w:cs="仿宋"/>
          <w:color w:val="000000" w:themeColor="text1"/>
          <w:sz w:val="28"/>
          <w:szCs w:val="28"/>
          <w:highlight w:val="none"/>
          <w14:textFill>
            <w14:solidFill>
              <w14:schemeClr w14:val="tx1"/>
            </w14:solidFill>
          </w14:textFill>
        </w:rPr>
        <w:t xml:space="preserve">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申请及声明和报价表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bookmarkEnd w:id="127"/>
      <w:r/>
      <w:bookmarkEnd w:id="128"/>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9" w:name="_Toc14577360"/>
      <w:r/>
      <w:bookmarkStart w:id="130" w:name="_Toc49090511"/>
      <w:r>
        <w:rPr>
          <w:rFonts w:hint="eastAsia" w:ascii="仿宋" w:hAnsi="仿宋" w:eastAsia="仿宋" w:cs="仿宋"/>
          <w:color w:val="000000" w:themeColor="text1"/>
          <w:sz w:val="28"/>
          <w:szCs w:val="28"/>
          <w:highlight w:val="none"/>
          <w14:textFill>
            <w14:solidFill>
              <w14:schemeClr w14:val="tx1"/>
            </w14:solidFill>
          </w14:textFill>
        </w:rPr>
        <w:t xml:space="preserve">15.磋商有效期</w:t>
      </w:r>
      <w:bookmarkEnd w:id="129"/>
      <w:r/>
      <w:bookmarkEnd w:id="130"/>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磋商有效期为采购公告规定的提交响应文件截止之日起六十天。磋商有效期比规定短的将被视为非实质性响应磋商文件而被拒绝。</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16.磋商有效期的延长</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31" w:name="_Hlt26954739"/>
      <w:r/>
      <w:bookmarkEnd w:id="131"/>
      <w:r/>
      <w:bookmarkStart w:id="132" w:name="_Hlt26954852"/>
      <w:r/>
      <w:bookmarkEnd w:id="132"/>
      <w:r/>
      <w:bookmarkStart w:id="133" w:name="_Toc120614217"/>
      <w:r/>
      <w:bookmarkStart w:id="134" w:name="_Toc20823296"/>
      <w:r/>
      <w:bookmarkStart w:id="135" w:name="_Toc16938540"/>
      <w:r/>
      <w:bookmarkStart w:id="136" w:name="_Toc513029224"/>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四、响应文件的递交</w:t>
      </w:r>
      <w:bookmarkEnd w:id="133"/>
      <w:r/>
      <w:bookmarkEnd w:id="134"/>
      <w:r/>
      <w:bookmarkEnd w:id="135"/>
      <w:r/>
      <w:bookmarkEnd w:id="136"/>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37" w:name="_Toc462564084"/>
      <w:r/>
      <w:bookmarkStart w:id="138" w:name="_Toc16938541"/>
      <w:r/>
      <w:bookmarkStart w:id="139" w:name="_Toc20823297"/>
      <w:r/>
      <w:bookmarkStart w:id="140" w:name="_Toc513029225"/>
      <w:r>
        <w:rPr>
          <w:rFonts w:hint="eastAsia" w:ascii="仿宋" w:hAnsi="仿宋" w:eastAsia="仿宋" w:cs="仿宋"/>
          <w:color w:val="000000" w:themeColor="text1"/>
          <w:sz w:val="28"/>
          <w:szCs w:val="28"/>
          <w:highlight w:val="none"/>
          <w14:textFill>
            <w14:solidFill>
              <w14:schemeClr w14:val="tx1"/>
            </w14:solidFill>
          </w14:textFill>
        </w:rPr>
        <w:t xml:space="preserve">17.</w:t>
      </w:r>
      <w:bookmarkEnd w:id="137"/>
      <w:r/>
      <w:bookmarkEnd w:id="138"/>
      <w:r/>
      <w:bookmarkEnd w:id="139"/>
      <w:r/>
      <w:bookmarkEnd w:id="140"/>
      <w:r>
        <w:rPr>
          <w:rFonts w:hint="eastAsia" w:ascii="仿宋" w:hAnsi="仿宋" w:eastAsia="仿宋" w:cs="仿宋"/>
          <w:color w:val="000000" w:themeColor="text1"/>
          <w:sz w:val="28"/>
          <w:szCs w:val="28"/>
          <w:highlight w:val="none"/>
          <w14:textFill>
            <w14:solidFill>
              <w14:schemeClr w14:val="tx1"/>
            </w14:solidFill>
          </w14:textFill>
        </w:rPr>
        <w:t xml:space="preserve">响应文件的递交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响应文件应加盖投标供应商公章。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41" w:name="_Toc20823298"/>
      <w:r/>
      <w:bookmarkEnd w:id="141"/>
      <w:r/>
      <w:bookmarkStart w:id="142" w:name="_Toc16938542"/>
      <w:r/>
      <w:bookmarkEnd w:id="142"/>
      <w:r/>
      <w:bookmarkStart w:id="143" w:name="_Toc513029226"/>
      <w:r/>
      <w:bookmarkEnd w:id="143"/>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供应商应充分考虑网络环境、网络带宽等因素</w:t>
      </w:r>
      <w:r>
        <w:rPr>
          <w:rFonts w:hint="eastAsia" w:ascii="仿宋" w:hAnsi="仿宋" w:eastAsia="仿宋" w:cs="仿宋"/>
          <w:color w:val="000000" w:themeColor="text1"/>
          <w:sz w:val="28"/>
          <w:szCs w:val="28"/>
          <w:highlight w:val="none"/>
          <w14:textFill>
            <w14:solidFill>
              <w14:schemeClr w14:val="tx1"/>
            </w14:solidFill>
          </w14:textFill>
        </w:rPr>
        <w:t xml:space="preserve">可能对磋商产生的影响</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，如因供应商自身原因造成的电子响应文件上传不成功的，按照本磋商文件第二章第2</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.3条规定做无效响应处理。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44" w:name="_Toc16938543"/>
      <w:r/>
      <w:bookmarkStart w:id="145" w:name="_Toc513029227"/>
      <w:r/>
      <w:bookmarkStart w:id="146" w:name="_Toc20823299"/>
      <w:r>
        <w:rPr>
          <w:rFonts w:hint="eastAsia" w:ascii="仿宋" w:hAnsi="仿宋" w:eastAsia="仿宋" w:cs="仿宋"/>
          <w:color w:val="000000" w:themeColor="text1"/>
          <w:sz w:val="28"/>
          <w:szCs w:val="28"/>
          <w:highlight w:val="none"/>
          <w14:textFill>
            <w14:solidFill>
              <w14:schemeClr w14:val="tx1"/>
            </w14:solidFill>
          </w14:textFill>
        </w:rPr>
        <w:t xml:space="preserve">18.响应文件</w:t>
      </w:r>
      <w:bookmarkEnd w:id="144"/>
      <w:r/>
      <w:bookmarkEnd w:id="145"/>
      <w:r/>
      <w:bookmarkEnd w:id="146"/>
      <w:r>
        <w:rPr>
          <w:rFonts w:hint="eastAsia" w:ascii="仿宋" w:hAnsi="仿宋" w:eastAsia="仿宋" w:cs="仿宋"/>
          <w:color w:val="000000" w:themeColor="text1"/>
          <w:sz w:val="28"/>
          <w:szCs w:val="28"/>
          <w:highlight w:val="none"/>
          <w14:textFill>
            <w14:solidFill>
              <w14:schemeClr w14:val="tx1"/>
            </w14:solidFill>
          </w14:textFill>
        </w:rPr>
        <w:t xml:space="preserve">的拒收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 代理机构拒绝接收提交响应文件截止时间后上传的任何电子响应文件。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47" w:name="_Toc20823300"/>
      <w:r/>
      <w:bookmarkStart w:id="148" w:name="_Toc16938544"/>
      <w:r/>
      <w:bookmarkStart w:id="149" w:name="_Toc513029228"/>
      <w:r>
        <w:rPr>
          <w:rFonts w:hint="eastAsia" w:ascii="仿宋" w:hAnsi="仿宋" w:eastAsia="仿宋" w:cs="仿宋"/>
          <w:color w:val="000000" w:themeColor="text1"/>
          <w:sz w:val="28"/>
          <w:szCs w:val="28"/>
          <w:highlight w:val="none"/>
          <w14:textFill>
            <w14:solidFill>
              <w14:schemeClr w14:val="tx1"/>
            </w14:solidFill>
          </w14:textFill>
        </w:rPr>
        <w:t xml:space="preserve">19.响应文件的撤回和修改</w:t>
      </w:r>
      <w:bookmarkEnd w:id="147"/>
      <w:r/>
      <w:bookmarkEnd w:id="148"/>
      <w:r/>
      <w:bookmarkEnd w:id="14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响应文件的撤回</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供应商可在提交响应文件截止时间前撤回其电子响应文件，具体操作方法见《操作手册》。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供应商撤回电子响应文件，则认为其不再参与本项目磋商活动。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响应文件的修改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供应商可在提交响应文件截止时间前对其电子响应文件进行修改，具体操作方法见《操作手册》。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提交响应文件截止时间之后，供应商不得对其电子响应文件作任何修改。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50" w:name="_Toc20823301"/>
      <w:r/>
      <w:bookmarkStart w:id="151" w:name="_Toc120614218"/>
      <w:r/>
      <w:bookmarkStart w:id="152" w:name="_Toc513029229"/>
      <w:r/>
      <w:bookmarkStart w:id="153" w:name="_Toc16938545"/>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五、响应文件的解密与评审</w:t>
      </w:r>
      <w:bookmarkEnd w:id="150"/>
      <w:r/>
      <w:bookmarkEnd w:id="151"/>
      <w:r/>
      <w:bookmarkEnd w:id="152"/>
      <w:r/>
      <w:bookmarkEnd w:id="153"/>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4" w:name="_Toc513029230"/>
      <w:r/>
      <w:bookmarkStart w:id="155" w:name="_Toc16938546"/>
      <w:r/>
      <w:bookmarkStart w:id="156" w:name="_Toc20823302"/>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54"/>
      <w:r/>
      <w:bookmarkEnd w:id="155"/>
      <w:r/>
      <w:bookmarkEnd w:id="156"/>
      <w:r>
        <w:rPr>
          <w:rFonts w:hint="eastAsia" w:ascii="仿宋" w:hAnsi="仿宋" w:eastAsia="仿宋" w:cs="仿宋"/>
          <w:color w:val="000000" w:themeColor="text1"/>
          <w:sz w:val="28"/>
          <w:szCs w:val="28"/>
          <w:highlight w:val="none"/>
          <w14:textFill>
            <w14:solidFill>
              <w14:schemeClr w14:val="tx1"/>
            </w14:solidFill>
          </w14:textFill>
        </w:rPr>
        <w:t xml:space="preserve">0.响应文件解密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20.1 供应商应当按照《操作手册》规定，在苏采云系统规定的时间内对响应文件进行解密。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7" w:name="_Toc20823303"/>
      <w:r/>
      <w:bookmarkStart w:id="158" w:name="_Toc513029231"/>
      <w:r/>
      <w:bookmarkStart w:id="159" w:name="_Toc16938547"/>
      <w:r>
        <w:rPr>
          <w:rFonts w:hint="eastAsia" w:ascii="仿宋" w:hAnsi="仿宋" w:eastAsia="仿宋" w:cs="仿宋"/>
          <w:color w:val="000000" w:themeColor="text1"/>
          <w:sz w:val="28"/>
          <w:szCs w:val="28"/>
          <w:highlight w:val="none"/>
          <w14:textFill>
            <w14:solidFill>
              <w14:schemeClr w14:val="tx1"/>
            </w14:solidFill>
          </w14:textFill>
        </w:rPr>
        <w:t xml:space="preserve">21.磋商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21.1 代理机构将组织磋商小组对响应文件进行评审。</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21.2 磋商小组由采购人代表和有关技术、经济等方面的专家组成，且人员构成符合政府采购有关规定。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21.3 磋商小组独立工作，负责评审所有响应文件并推荐成交侯选人，或根据采购人授权直接确定成交供应商。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22.评审过程的保密与公正</w:t>
      </w:r>
      <w:bookmarkEnd w:id="157"/>
      <w:r/>
      <w:bookmarkEnd w:id="158"/>
      <w:r/>
      <w:bookmarkEnd w:id="15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22.2 供应商不得以任何方式影响磋商评审，否则其响应文件将被作为无效响应文件。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22.3 代理机构和磋商小组不向未成交的供应商解释未成交原因，也不公布评审过程中的相关细节。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0" w:name="_Toc16938548"/>
      <w:r/>
      <w:bookmarkStart w:id="161" w:name="_Toc20823304"/>
      <w:r/>
      <w:bookmarkStart w:id="162" w:name="_Toc513029232"/>
      <w:r>
        <w:rPr>
          <w:rFonts w:hint="eastAsia" w:ascii="仿宋" w:hAnsi="仿宋" w:eastAsia="仿宋" w:cs="仿宋"/>
          <w:color w:val="000000" w:themeColor="text1"/>
          <w:sz w:val="28"/>
          <w:szCs w:val="28"/>
          <w:highlight w:val="none"/>
          <w14:textFill>
            <w14:solidFill>
              <w14:schemeClr w14:val="tx1"/>
            </w14:solidFill>
          </w14:textFill>
        </w:rPr>
        <w:t xml:space="preserve">23.评审过程中的澄清</w:t>
      </w:r>
      <w:bookmarkEnd w:id="160"/>
      <w:r/>
      <w:bookmarkEnd w:id="161"/>
      <w:r/>
      <w:bookmarkEnd w:id="162"/>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供应商的澄清、说明或者补正不得超出响应文件的范围或者改变响应文件的实质性内容。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磋商小组并非对每个供应商都作澄清要求。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23.2 需要供应商进行澄清、说明和补正的，磋商小组将通过苏采云系统向供应商发出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，接到</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的供应商应当按照要求在苏采云系统中提交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并加盖电子公章。澄清、说明和补正的内容作为响应文件的补充部分，具体操作方式见《操作手册》。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23.3 接到磋商小组澄清、说明和补正要求的供应商如未按规定做出澄清、说明和补正，其风险由供应商自行承担。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3" w:name="_Toc16938549"/>
      <w:r/>
      <w:bookmarkStart w:id="164" w:name="_Toc513029233"/>
      <w:r/>
      <w:bookmarkStart w:id="165" w:name="_Toc20823305"/>
      <w:r>
        <w:rPr>
          <w:rFonts w:hint="eastAsia" w:ascii="仿宋" w:hAnsi="仿宋" w:eastAsia="仿宋" w:cs="仿宋"/>
          <w:color w:val="000000" w:themeColor="text1"/>
          <w:sz w:val="28"/>
          <w:szCs w:val="28"/>
          <w:highlight w:val="none"/>
          <w14:textFill>
            <w14:solidFill>
              <w14:schemeClr w14:val="tx1"/>
            </w14:solidFill>
          </w14:textFill>
        </w:rPr>
        <w:t xml:space="preserve">24.响应文件的审</w:t>
      </w:r>
      <w:bookmarkEnd w:id="163"/>
      <w:r/>
      <w:bookmarkEnd w:id="164"/>
      <w:r/>
      <w:bookmarkEnd w:id="165"/>
      <w:r>
        <w:rPr>
          <w:rFonts w:hint="eastAsia" w:ascii="仿宋" w:hAnsi="仿宋" w:eastAsia="仿宋" w:cs="仿宋"/>
          <w:color w:val="000000" w:themeColor="text1"/>
          <w:sz w:val="28"/>
          <w:szCs w:val="28"/>
          <w:highlight w:val="none"/>
          <w14:textFill>
            <w14:solidFill>
              <w14:schemeClr w14:val="tx1"/>
            </w14:solidFill>
          </w14:textFill>
        </w:rPr>
        <w:t xml:space="preserve">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 响应文件审查分为资格审查和符合性审查。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8"/>
          <w:szCs w:val="28"/>
          <w:highlight w:val="none"/>
          <w14:textFill>
            <w14:solidFill>
              <w14:schemeClr w14:val="tx1"/>
            </w14:solidFill>
          </w14:textFill>
        </w:rPr>
        <w:t xml:space="preserve">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仿宋" w:hAnsi="仿宋" w:eastAsia="仿宋" w:cs="仿宋"/>
          <w:color w:val="000000" w:themeColor="text1"/>
          <w:sz w:val="28"/>
          <w:szCs w:val="28"/>
          <w:highlight w:val="none"/>
          <w14:textFill>
            <w14:solidFill>
              <w14:schemeClr w14:val="tx1"/>
            </w14:solidFill>
          </w14:textFill>
        </w:rPr>
        <w:t xml:space="preserve">由</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磋商小组</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少数服从多数的原则作出结论。</w:t>
      </w:r>
      <w:r>
        <w:rPr>
          <w:rFonts w:hint="eastAsia" w:ascii="仿宋" w:hAnsi="仿宋" w:eastAsia="仿宋" w:cs="仿宋"/>
          <w:color w:val="000000" w:themeColor="text1"/>
          <w:sz w:val="28"/>
          <w:szCs w:val="28"/>
          <w:highlight w:val="none"/>
          <w14:textFill>
            <w14:solidFill>
              <w14:schemeClr w14:val="tx1"/>
            </w14:solidFill>
          </w14:textFill>
        </w:rPr>
        <w:t xml:space="preserve">磋商小组认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 未实质性响应磋商文件的情形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 供应商在苏采云系统规定的时间内未成功解密电子响应文件。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24.3.2 供应商未按照磋商文件要求上传电子响应文件。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24.3.3 同一供应商提交两个（含两个）以上不同的响应文件或者最后报价。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24.3.4 供应商不具备磋商文件中规定资格要求。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24.3.5 供应商的最后报价超过了采购预算或最高限价。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24.3.6 不符合磋商文件中规定的实质性要求和条件（本磋商文件中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打“</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w:t>
      </w:r>
      <w:r>
        <w:rPr>
          <w:rFonts w:hint="eastAsia" w:ascii="仿宋" w:hAnsi="仿宋" w:eastAsia="仿宋" w:cs="仿宋"/>
          <w:color w:val="000000" w:themeColor="text1"/>
          <w:sz w:val="28"/>
          <w:szCs w:val="28"/>
          <w:highlight w:val="none"/>
          <w14:textFill>
            <w14:solidFill>
              <w14:schemeClr w14:val="tx1"/>
            </w14:solidFill>
          </w14:textFill>
        </w:rPr>
        <w:t xml:space="preserve">为实质性要求和条件）。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24.3.8 响应文件含有采购人不能接受的附加条件。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24.3.10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24.3.11 响应文件未按照磋商文件要求加盖电子公章。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24.3.12 法律法规及本磋商文件规定的其他无效响应的情形。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24.4 未实质性响应磋商文件的响应文件按无效响应处理。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24.5 如果响应文件实质上没有响应磋商文件的要求，磋商小组将予以拒绝，供应商不得通过修改或撤销不合要求的偏离或保留而使其成为实质性响应的文件。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6" w:name="_Toc513029234"/>
      <w:r/>
      <w:bookmarkStart w:id="167" w:name="_Toc16938550"/>
      <w:r/>
      <w:bookmarkStart w:id="168" w:name="_Toc20823306"/>
      <w:r>
        <w:rPr>
          <w:rFonts w:hint="eastAsia" w:ascii="仿宋" w:hAnsi="仿宋" w:eastAsia="仿宋" w:cs="仿宋"/>
          <w:color w:val="000000" w:themeColor="text1"/>
          <w:sz w:val="28"/>
          <w:szCs w:val="28"/>
          <w:highlight w:val="none"/>
          <w14:textFill>
            <w14:solidFill>
              <w14:schemeClr w14:val="tx1"/>
            </w14:solidFill>
          </w14:textFill>
        </w:rPr>
        <w:t xml:space="preserve">24.6 供应商在项目评审全过程中应保持通讯畅通，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及时登录苏采云系统查阅、答复相关信息，并安排专人与代理机构及磋商小组联系。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66"/>
      <w:r/>
      <w:bookmarkEnd w:id="167"/>
      <w:r/>
      <w:bookmarkEnd w:id="168"/>
      <w:r>
        <w:rPr>
          <w:rFonts w:hint="eastAsia" w:ascii="仿宋" w:hAnsi="仿宋" w:eastAsia="仿宋" w:cs="仿宋"/>
          <w:color w:val="000000" w:themeColor="text1"/>
          <w:sz w:val="28"/>
          <w:szCs w:val="28"/>
          <w:highlight w:val="none"/>
          <w14:textFill>
            <w14:solidFill>
              <w14:schemeClr w14:val="tx1"/>
            </w14:solidFill>
          </w14:textFill>
        </w:rPr>
        <w:t xml:space="preserve">5.磋商程序及评审方法和评审标准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9" w:name="_Toc20823307"/>
      <w:r/>
      <w:bookmarkStart w:id="170" w:name="_Toc16938551"/>
      <w:r/>
      <w:bookmarkStart w:id="171" w:name="_Toc513029235"/>
      <w:r/>
      <w:bookmarkStart w:id="172" w:name="_Toc120614219"/>
      <w:r>
        <w:rPr>
          <w:rFonts w:hint="eastAsia" w:ascii="仿宋" w:hAnsi="仿宋" w:eastAsia="仿宋" w:cs="仿宋"/>
          <w:color w:val="000000" w:themeColor="text1"/>
          <w:sz w:val="28"/>
          <w:szCs w:val="28"/>
          <w:highlight w:val="none"/>
          <w14:textFill>
            <w14:solidFill>
              <w14:schemeClr w14:val="tx1"/>
            </w14:solidFill>
          </w14:textFill>
        </w:rPr>
        <w:t xml:space="preserve">25.1 磋商程序</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 评审方法和评审标准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25.2.1 评审方法。经磋商确定最终采购需求和提交最后报价的供应商后，由磋商小组采用综合评分法对提交最后报价的供应商的响应文件和最后报价进行综合评分。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25.2.2 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见本磋商文件第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 采购活动终止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出现下列情形之一的，本次采购活动将被终止：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25.3.1 因情况变化，不再符合竞争性磋商采购方式适用情形。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25.3.2 出现影响采购公正的违法、违规行为。</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25.3.3 在苏采云系统规定时间内成功解密电子响应文件的供应商不足3家。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25.3.4 除本磋商文件第二章第25.1.2条第三款规定的情形外，磋商过程中符合要求的供应商或者提交最后报价且未超过采购预算（最高限价）的供应商不足3家。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.3.5</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法律法规规定的其他应当终止情形。</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六、</w:t>
      </w:r>
      <w:bookmarkEnd w:id="169"/>
      <w:r/>
      <w:bookmarkEnd w:id="170"/>
      <w:r/>
      <w:bookmarkEnd w:id="171"/>
      <w:r/>
      <w:bookmarkEnd w:id="172"/>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成交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73" w:name="_Toc513029238"/>
      <w:r/>
      <w:bookmarkStart w:id="174" w:name="_Toc20823310"/>
      <w:r/>
      <w:bookmarkStart w:id="175" w:name="_Toc16938554"/>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73"/>
      <w:r>
        <w:rPr>
          <w:rFonts w:hint="eastAsia" w:ascii="仿宋" w:hAnsi="仿宋" w:eastAsia="仿宋" w:cs="仿宋"/>
          <w:color w:val="000000" w:themeColor="text1"/>
          <w:sz w:val="28"/>
          <w:szCs w:val="28"/>
          <w:highlight w:val="none"/>
          <w14:textFill>
            <w14:solidFill>
              <w14:schemeClr w14:val="tx1"/>
            </w14:solidFill>
          </w14:textFill>
        </w:rPr>
        <w:t xml:space="preserve">6.确定</w:t>
      </w:r>
      <w:bookmarkEnd w:id="174"/>
      <w:r/>
      <w:bookmarkEnd w:id="175"/>
      <w:r>
        <w:rPr>
          <w:rFonts w:hint="eastAsia" w:ascii="仿宋" w:hAnsi="仿宋" w:eastAsia="仿宋" w:cs="仿宋"/>
          <w:color w:val="000000" w:themeColor="text1"/>
          <w:sz w:val="28"/>
          <w:szCs w:val="28"/>
          <w:highlight w:val="none"/>
          <w14:textFill>
            <w14:solidFill>
              <w14:schemeClr w14:val="tx1"/>
            </w14:solidFill>
          </w14:textFill>
        </w:rPr>
        <w:t xml:space="preserve">成交单位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26.1 成交候选供应商的确定原则和数量</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采用综合评分法。（1）本次招标每个分包确定1家成交供应商。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（2）每个供应商本次最多可投2个分包，但仅限中1个分包。2个分包按分包顺序评标，即按分包1、2的顺序进行评标，各分包不重复成交（出现下述（4）情形除外）。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（3）确定为前一分包第一成交候选人的，将自动失去后续分包的中标资格，在此基础上每包的合格投标人不得少于3家。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如果某一分包因故出现第一成交候选人被取消成交资格情况的，这种情况不影响其它分包已经完成的确定进入评审的供应商、评标、成交候选人推荐和成交供应商的确定。如果因此出现重复成交的情况，将把已经成交候选人除开后，按照名次顺位由下一位供应商成交，保证不重复成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按以下第（</w:t>
      </w: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直接确定排名第一的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为</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（2）采购人在</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按第二种方式确定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26.3 代理机构将在“江苏政府采购网”发布成交结果公告，公告期限为1个工作日。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 若有充分证据证明成交供应商有下列情况之一的，一经查实将被取消成交资格：</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26.4.1 提供虚假材料谋取成交。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26.4.2 与评审专家、采购人、其他供应商或者代理机构工作人员恶意串通。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26.4.3 向评审专家、采购人或代理机构工作人员行贿或者提供其他不正当利益。</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26.4.4 不满足本磋商文件规定的实质性要求，但在评审过程中未被磋商小组发现。</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26.4.5 成交后无正当理由拒不与采购人签订政府采购合同或者未按照磋商文件确定的事项签订政府采购合同。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26.4.6 将合同标的转包。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76" w:name="_Toc200451960"/>
      <w:r>
        <w:rPr>
          <w:rFonts w:hint="eastAsia" w:ascii="仿宋" w:hAnsi="仿宋" w:eastAsia="仿宋" w:cs="仿宋"/>
          <w:color w:val="000000" w:themeColor="text1"/>
          <w:sz w:val="28"/>
          <w:szCs w:val="28"/>
          <w:highlight w:val="none"/>
          <w14:textFill>
            <w14:solidFill>
              <w14:schemeClr w14:val="tx1"/>
            </w14:solidFill>
          </w14:textFill>
        </w:rPr>
        <w:t xml:space="preserve">27.成交通知书</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27.2 《成交通知书》将是合同的一个组成部分，对采购人和成交供应商均具有法律效力。《成交通知书》发出后，采购人改变成交结果的，或者成交供应商放弃成交项目的，应当依法承担法律责任。</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七、授予合同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28.签订合同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28.l 成交供应商应当在《成交通知书》发出之日起三十日内，按照磋商文件确定的事项与采购人签订政府采购合同。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28.2 磋商文件、成交供应商的响应文件及磋商过程中有关澄清、承诺文件均作为合同附件。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不得参加采购人</w:t>
      </w:r>
      <w:r>
        <w:rPr>
          <w:rFonts w:hint="eastAsia" w:ascii="仿宋" w:hAnsi="仿宋" w:eastAsia="仿宋" w:cs="仿宋"/>
          <w:color w:val="000000" w:themeColor="text1"/>
          <w:sz w:val="28"/>
          <w:szCs w:val="28"/>
          <w:highlight w:val="none"/>
          <w14:textFill>
            <w14:solidFill>
              <w14:schemeClr w14:val="tx1"/>
            </w14:solidFill>
          </w14:textFill>
        </w:rPr>
        <w:t xml:space="preserve">重新组织的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采购活动，</w:t>
      </w:r>
      <w:r>
        <w:rPr>
          <w:rFonts w:hint="eastAsia" w:ascii="仿宋" w:hAnsi="仿宋" w:eastAsia="仿宋" w:cs="仿宋"/>
          <w:color w:val="000000" w:themeColor="text1"/>
          <w:sz w:val="28"/>
          <w:szCs w:val="28"/>
          <w:highlight w:val="none"/>
          <w14:textFill>
            <w14:solidFill>
              <w14:schemeClr w14:val="tx1"/>
            </w14:solidFill>
          </w14:textFill>
        </w:rPr>
        <w:t xml:space="preserve">且将可能被拒绝参加该采购人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一年内</w:t>
      </w:r>
      <w:r>
        <w:rPr>
          <w:rFonts w:hint="eastAsia" w:ascii="仿宋" w:hAnsi="仿宋" w:eastAsia="仿宋" w:cs="仿宋"/>
          <w:color w:val="000000" w:themeColor="text1"/>
          <w:sz w:val="28"/>
          <w:szCs w:val="28"/>
          <w:highlight w:val="none"/>
          <w14:textFill>
            <w14:solidFill>
              <w14:schemeClr w14:val="tx1"/>
            </w14:solidFill>
          </w14:textFill>
        </w:rPr>
        <w:t xml:space="preserve">的其他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政府采购活动。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29.标的物的追加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八、质疑</w:t>
      </w:r>
      <w:bookmarkEnd w:id="176"/>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8"/>
          <w:szCs w:val="28"/>
          <w:highlight w:val="none"/>
          <w14:textFill>
            <w14:solidFill>
              <w14:schemeClr w14:val="tx1"/>
            </w14:solidFill>
          </w14:textFill>
        </w:rPr>
        <w:t xml:space="preserve">按照第3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条</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条</w:t>
      </w:r>
      <w:r>
        <w:rPr>
          <w:rFonts w:hint="eastAsia" w:ascii="仿宋" w:hAnsi="仿宋" w:eastAsia="仿宋" w:cs="仿宋"/>
          <w:color w:val="000000" w:themeColor="text1"/>
          <w:sz w:val="28"/>
          <w:szCs w:val="28"/>
          <w:highlight w:val="none"/>
          <w14:textFill>
            <w14:solidFill>
              <w14:schemeClr w14:val="tx1"/>
            </w14:solidFill>
          </w14:textFill>
        </w:rPr>
        <w:t xml:space="preserve">之</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规定以书面形式向代理机构或采购人提出质疑。上述应知其权益受到损害之日是指：</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对采购文件提出质疑的，为收到采购文件之日或者采购文件公告期限届满之日。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int="eastAsia" w:ascii="仿宋" w:hAnsi="仿宋" w:eastAsia="仿宋" w:cs="仿宋"/>
          <w:color w:val="000000" w:themeColor="text1"/>
          <w:sz w:val="28"/>
          <w:szCs w:val="28"/>
          <w:highlight w:val="none"/>
          <w14:textFill>
            <w14:solidFill>
              <w14:schemeClr w14:val="tx1"/>
            </w14:solidFill>
          </w14:textFill>
        </w:rPr>
        <w:t xml:space="preserve">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供应商提出质疑应提交《质疑函》原件，且尽可能通过邮寄方式送达，代理机构和采购人不接受无运单的快件。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以下情形的质疑不予受理：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超出政府采购法定期限的质疑。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未参加磋商活动的供应商或在磋商活动中自身权益未受到损害的供应商所提出的质疑。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8"/>
          <w:szCs w:val="28"/>
          <w:highlight w:val="none"/>
          <w14:textFill>
            <w14:solidFill>
              <w14:schemeClr w14:val="tx1"/>
            </w14:solidFill>
          </w14:textFill>
        </w:rPr>
        <w:t xml:space="preserve">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不予受理情形。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九、政策功能落实</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.促进中小企业发展</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（1）在货物</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w:t>
      </w:r>
      <w:r>
        <w:rPr>
          <w:rFonts w:hint="eastAsia" w:ascii="仿宋" w:hAnsi="仿宋" w:eastAsia="仿宋" w:cs="仿宋"/>
          <w:color w:val="000000" w:themeColor="text1"/>
          <w:sz w:val="28"/>
          <w:szCs w:val="28"/>
          <w:highlight w:val="none"/>
          <w14:textFill>
            <w14:solidFill>
              <w14:schemeClr w14:val="tx1"/>
            </w14:solidFill>
          </w14:textFill>
        </w:rPr>
        <w:t xml:space="preserve">全部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货物由中小企业制造；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（2）在服务</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项目中，服务由中小企业承接。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.3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仿宋" w:hAnsi="仿宋" w:eastAsia="仿宋" w:cs="仿宋"/>
          <w:color w:val="000000" w:themeColor="text1"/>
          <w:sz w:val="28"/>
          <w:szCs w:val="28"/>
          <w:highlight w:val="none"/>
          <w14:textFill>
            <w14:solidFill>
              <w14:schemeClr w14:val="tx1"/>
            </w14:solidFill>
          </w14:textFill>
        </w:rPr>
        <w:t xml:space="preserve">支持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监狱和戒毒企业（简称监狱企业）视同小型、微型企业。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仿宋" w:hAnsi="仿宋" w:eastAsia="仿宋" w:cs="仿宋"/>
          <w:color w:val="000000" w:themeColor="text1"/>
          <w:sz w:val="28"/>
          <w:szCs w:val="28"/>
          <w:highlight w:val="none"/>
          <w14:textFill>
            <w14:solidFill>
              <w14:schemeClr w14:val="tx1"/>
            </w14:solidFill>
          </w14:textFill>
        </w:rPr>
        <w:t xml:space="preserve">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残疾人福利性单位视同小型、微型企业。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按照《关于促进残疾人就业政府采购政策的通知》（财库〔2017〕141号）规定，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残疾人福利单位</w:t>
      </w:r>
      <w:r>
        <w:rPr>
          <w:rFonts w:hint="eastAsia" w:ascii="仿宋" w:hAnsi="仿宋" w:eastAsia="仿宋" w:cs="仿宋"/>
          <w:color w:val="000000" w:themeColor="text1"/>
          <w:sz w:val="28"/>
          <w:szCs w:val="28"/>
          <w:highlight w:val="none"/>
          <w14:textFill>
            <w14:solidFill>
              <w14:schemeClr w14:val="tx1"/>
            </w14:solidFill>
          </w14:textFill>
        </w:rPr>
        <w:t xml:space="preserve">需</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提供《残疾人福利性单位声明函》。</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节能环保产品</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.2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.3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themeColor="text1"/>
          <w:sz w:val="28"/>
          <w:szCs w:val="28"/>
          <w:highlight w:val="none"/>
          <w14:textFill>
            <w14:solidFill>
              <w14:schemeClr w14:val="tx1"/>
            </w14:solidFill>
          </w14:textFill>
        </w:rPr>
        <w:t xml:space="preserve">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成交标准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0"/>
        <w:jc w:val="left"/>
        <w:keepLines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13"/>
        <w:ind w:left="0" w:firstLine="0"/>
        <w:jc w:val="center"/>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bookmarkStart w:id="177" w:name="_Toc160699566"/>
      <w:r>
        <w:rPr>
          <w:rFonts w:hint="eastAsia" w:ascii="仿宋" w:hAnsi="仿宋" w:eastAsia="仿宋" w:cs="仿宋"/>
          <w:color w:val="000000" w:themeColor="text1"/>
          <w:highlight w:val="none"/>
          <w14:textFill>
            <w14:solidFill>
              <w14:schemeClr w14:val="tx1"/>
            </w14:solidFill>
          </w14:textFill>
        </w:rPr>
        <w:t xml:space="preserve">第三章  合同</w:t>
      </w:r>
      <w:bookmarkEnd w:id="62"/>
      <w:r/>
      <w:bookmarkEnd w:id="63"/>
      <w:r/>
      <w:bookmarkEnd w:id="64"/>
      <w:r/>
      <w:bookmarkEnd w:id="65"/>
      <w:r/>
      <w:bookmarkEnd w:id="66"/>
      <w:r>
        <w:rPr>
          <w:rFonts w:hint="eastAsia" w:ascii="仿宋" w:hAnsi="仿宋" w:eastAsia="仿宋" w:cs="仿宋"/>
          <w:color w:val="000000" w:themeColor="text1"/>
          <w:highlight w:val="none"/>
          <w14:textFill>
            <w14:solidFill>
              <w14:schemeClr w14:val="tx1"/>
            </w14:solidFill>
          </w14:textFill>
        </w:rPr>
        <w:t xml:space="preserve">文本</w:t>
      </w:r>
      <w:bookmarkEnd w:id="177"/>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bookmarkStart w:id="178" w:name="_Hlt16619369"/>
      <w:r/>
      <w:bookmarkEnd w:id="178"/>
      <w:r/>
      <w:bookmarkStart w:id="179" w:name="_Toc16938559"/>
      <w:r/>
      <w:bookmarkStart w:id="180" w:name="_Toc20823315"/>
      <w:r/>
      <w:bookmarkStart w:id="181" w:name="_Toc513029243"/>
      <w:r/>
      <w:bookmarkStart w:id="182" w:name="_Hlt16619350"/>
      <w:r/>
      <w:bookmarkStart w:id="183" w:name="_Toc120614244"/>
      <w:r/>
      <w:bookmarkStart w:id="184" w:name="_Toc16938590"/>
      <w:r/>
      <w:bookmarkStart w:id="185" w:name="_Toc20823346"/>
      <w:r/>
      <w:bookmarkStart w:id="186" w:name="_Toc479757211"/>
      <w:r/>
      <w:bookmarkStart w:id="187" w:name="_Toc462564139"/>
      <w:r>
        <w:rPr>
          <w:rFonts w:hint="eastAsia" w:ascii="仿宋" w:hAnsi="仿宋" w:eastAsia="仿宋" w:cs="仿宋"/>
          <w:color w:val="000000" w:themeColor="text1"/>
          <w:highlight w:val="none"/>
          <w14:textFill>
            <w14:solidFill>
              <w14:schemeClr w14:val="tx1"/>
            </w14:solidFill>
          </w14:textFill>
        </w:rPr>
        <w:t xml:space="preserve">以下为成交后签定本项目合同的通用条款，供应商不得提出实质性的修改。</w:t>
      </w:r>
      <w:r/>
    </w:p>
    <w:p>
      <w:pPr>
        <w:ind w:firstLine="0"/>
        <w:jc w:val="center"/>
        <w:keepLines w:val="0"/>
        <w:pageBreakBefore w:val="0"/>
        <w:spacing w:line="560" w:lineRule="exact"/>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 xml:space="preserve">南京市政府采购合同（服务）</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                                       项目编号：</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甲方：（买方）_________</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乙方：（卖方）_________</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 甲、乙双方根据江苏苏建工程项目管理咨询有限公司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项目竞争性磋商的结果，签署本合同。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一、合同内容</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 标的名称：</w:t>
      </w:r>
      <w:r>
        <w:rPr>
          <w:rFonts w:hint="eastAsia" w:ascii="仿宋" w:hAnsi="仿宋" w:cs="仿宋"/>
          <w:color w:val="000000" w:themeColor="text1"/>
          <w:highlight w:val="none"/>
          <w:lang w:eastAsia="zh-CN"/>
          <w14:textFill>
            <w14:solidFill>
              <w14:schemeClr w14:val="tx1"/>
            </w14:solidFill>
          </w14:textFill>
        </w:rPr>
        <w:t xml:space="preserve">XXXXXXX</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 标的质量：</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1.3 标的数量（规模）：</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 履行时间（期限）：</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1.5 履行地点：</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1.6 履行方式：</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二、合同金额</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2.1 本合同金额为（大写）：____________________（_______________元）人民币。</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三、技术资料</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3.1 乙方应按采购文件规定的时间向甲方提供服务（包含与服务相关的货物）的有关技术资料。</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四、知识产权</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五、产权担保</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5.1 乙方保证所交付的服务（包含与服务相关的货物）的所有权完全属于乙方且无任何抵押、查封等产权瑕疵。</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六、履约保证金</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6.1 本项目乙方无需缴纳履约保证金。</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七、合同转包或分包</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7.1 乙方不得将合同标的转包给他人履行。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7.2 乙方不得将合同标的分包给他人履行。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7.3 乙方如有转包或未经甲方同意的分包行为，甲方有权解除合同。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八、合同款项支付</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8.1 合同款项的支付方式及进度安排（详见磋商文件第四章）</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九、税费</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9.1 本合同执行中相关的一切税费均由乙方负担。</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十、项目验收</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10.1 甲方依法组织履约验收工作。</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10.3 对于实际使用人和甲方分离的项目，甲方邀请实际使用人参与验收。</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十一、违约责任</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11.1 甲方无正当理由拒绝接受乙方提供服务的，甲方向乙方偿付拒绝接受服务合同价款总值    的违约金。</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11.2 甲方无故逾期验收和办理合同款项支付手续的，甲方应按逾期付款总额    每日向乙方支付违约金。</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十二、不可抗力事件处理</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12.2 不可抗力事件发生后，应立即通知对方，并寄送有关权威机构出具的证明。</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12.3 不可抗力事件延续120天以上，双方应通过友好协商，确定是否继续履行合同。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十三、解决争议的方法</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13.1 双方在签订、履行合同中所发生的一切争议，应通过友好协商解决。如协商不成，由甲方住所地人民法院管辖。</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十四、合同生效及其它</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14.1 合同经双方法定代表人或授权委托代表人签字并加盖单位公章后生效。</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14.2 本合同未尽事宜，遵照《民法典》、《政府采购法》有关条文执行。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14.3 本合同正本一式两份，具有同等法律效力，甲方、乙方各执一份。</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                        乙方：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地址：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法定代表人或授权代表：        法定代表人或授权代表：</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                    联系电话：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签订日期：      年    月   日</w:t>
      </w:r>
      <w:bookmarkEnd w:id="179"/>
      <w:r/>
      <w:bookmarkEnd w:id="180"/>
      <w:r/>
      <w:bookmarkEnd w:id="181"/>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9"/>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9"/>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left="0" w:firstLine="0"/>
        <w:jc w:val="left"/>
        <w:keepLines w:val="0"/>
        <w:pageBreakBefore w:val="0"/>
        <w:spacing w:line="560" w:lineRule="exact"/>
        <w:widowControl/>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br w:type="page" w:clear="all"/>
      </w:r>
      <w:r/>
    </w:p>
    <w:p>
      <w:pPr>
        <w:ind w:firstLine="0"/>
        <w:jc w:val="center"/>
        <w:keepLines w:val="0"/>
        <w:pageBreakBefore w:val="0"/>
        <w:spacing w:line="560" w:lineRule="exact"/>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 xml:space="preserve">《*******合同》补充协议（合同附件）</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如遇采购文件及合同未约定事项，双方可友好协商签订补充协议。</w:t>
      </w:r>
      <w:r/>
    </w:p>
    <w:p>
      <w:pPr>
        <w:ind w:left="0" w:firstLine="0"/>
        <w:jc w:val="center"/>
        <w:keepNext/>
        <w:rPr>
          <w:rFonts w:hint="eastAsia" w:ascii="仿宋" w:hAnsi="仿宋" w:eastAsia="仿宋" w:cs="仿宋"/>
          <w:color w:val="000000" w:themeColor="text1"/>
          <w:sz w:val="44"/>
          <w:szCs w:val="4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188" w:name="_Toc160699567"/>
      <w:r>
        <w:rPr>
          <w:rStyle w:val="923"/>
          <w:rFonts w:hint="eastAsia" w:ascii="仿宋" w:hAnsi="仿宋" w:eastAsia="仿宋" w:cs="仿宋"/>
          <w:color w:val="000000" w:themeColor="text1"/>
          <w:highlight w:val="none"/>
          <w14:textFill>
            <w14:solidFill>
              <w14:schemeClr w14:val="tx1"/>
            </w14:solidFill>
          </w14:textFill>
        </w:rPr>
        <w:t xml:space="preserve">第</w:t>
      </w:r>
      <w:bookmarkEnd w:id="182"/>
      <w:r>
        <w:rPr>
          <w:rStyle w:val="923"/>
          <w:rFonts w:hint="eastAsia" w:ascii="仿宋" w:hAnsi="仿宋" w:eastAsia="仿宋" w:cs="仿宋"/>
          <w:color w:val="000000" w:themeColor="text1"/>
          <w:highlight w:val="none"/>
          <w14:textFill>
            <w14:solidFill>
              <w14:schemeClr w14:val="tx1"/>
            </w14:solidFill>
          </w14:textFill>
        </w:rPr>
        <w:t xml:space="preserve">四章 </w:t>
      </w:r>
      <w:r>
        <w:rPr>
          <w:rStyle w:val="923"/>
          <w:rFonts w:hint="eastAsia" w:ascii="仿宋" w:hAnsi="仿宋" w:eastAsia="仿宋" w:cs="仿宋"/>
          <w:color w:val="000000" w:themeColor="text1"/>
          <w:highlight w:val="none"/>
          <w:lang w:val="en-US" w:eastAsia="zh-CN"/>
          <w14:textFill>
            <w14:solidFill>
              <w14:schemeClr w14:val="tx1"/>
            </w14:solidFill>
          </w14:textFill>
        </w:rPr>
        <w:t xml:space="preserve"> </w:t>
      </w:r>
      <w:r>
        <w:rPr>
          <w:rStyle w:val="923"/>
          <w:rFonts w:hint="eastAsia" w:ascii="仿宋" w:hAnsi="仿宋" w:eastAsia="仿宋" w:cs="仿宋"/>
          <w:color w:val="000000" w:themeColor="text1"/>
          <w:highlight w:val="none"/>
          <w14:textFill>
            <w14:solidFill>
              <w14:schemeClr w14:val="tx1"/>
            </w14:solidFill>
          </w14:textFill>
        </w:rPr>
        <w:t xml:space="preserve">采购需求</w:t>
      </w:r>
      <w:bookmarkEnd w:id="183"/>
      <w:r/>
      <w:bookmarkEnd w:id="184"/>
      <w:r/>
      <w:bookmarkEnd w:id="185"/>
      <w:r/>
      <w:bookmarkEnd w:id="188"/>
      <w:r/>
      <w:bookmarkStart w:id="189" w:name="_Toc49090575"/>
      <w:r/>
      <w:bookmarkStart w:id="190" w:name="_Toc26554093"/>
      <w:r/>
      <w:r/>
    </w:p>
    <w:p>
      <w:pPr>
        <w:jc w:val="left"/>
        <w:keepLines w:val="0"/>
        <w:keepNext w:val="0"/>
        <w:pageBreakBefore w:val="0"/>
        <w:spacing w:line="560" w:lineRule="exact"/>
        <w:widowControl/>
        <w:rPr>
          <w:rFonts w:ascii="仿宋" w:hAnsi="仿宋" w:eastAsia="仿宋" w:cs="仿宋"/>
          <w:b/>
          <w:bCs/>
          <w:color w:val="000000" w:themeColor="text1"/>
          <w:sz w:val="28"/>
          <w:szCs w:val="28"/>
          <w:highlight w:val="none"/>
          <w14:textFill>
            <w14:solidFill>
              <w14:schemeClr w14:val="tx1"/>
            </w14:solidFill>
          </w14:textFill>
        </w:rPr>
        <w:outlineLvl w:val="1"/>
      </w:pPr>
      <w:r/>
      <w:bookmarkStart w:id="191" w:name="_Toc6397"/>
      <w:r/>
      <w:bookmarkStart w:id="192" w:name="_Toc160699568"/>
      <w:r/>
      <w:bookmarkStart w:id="193" w:name="_Toc120614281"/>
      <w:r>
        <w:rPr>
          <w:rFonts w:hint="eastAsia" w:ascii="仿宋" w:hAnsi="仿宋" w:eastAsia="仿宋" w:cs="仿宋"/>
          <w:b/>
          <w:bCs/>
          <w:color w:val="000000" w:themeColor="text1"/>
          <w:sz w:val="28"/>
          <w:szCs w:val="28"/>
          <w:highlight w:val="none"/>
          <w14:textFill>
            <w14:solidFill>
              <w14:schemeClr w14:val="tx1"/>
            </w14:solidFill>
          </w14:textFill>
        </w:rPr>
        <w:t xml:space="preserve">一、项目内容</w:t>
      </w:r>
      <w:bookmarkEnd w:id="191"/>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1、项目名称：</w:t>
      </w:r>
      <w:r>
        <w:rPr>
          <w:rFonts w:hint="eastAsia" w:ascii="仿宋" w:hAnsi="仿宋" w:cs="仿宋"/>
          <w:color w:val="000000" w:themeColor="text1"/>
          <w:highlight w:val="none"/>
          <w:lang w:eastAsia="zh-CN"/>
          <w14:textFill>
            <w14:solidFill>
              <w14:schemeClr w14:val="tx1"/>
            </w14:solidFill>
          </w14:textFill>
        </w:rPr>
        <w:t xml:space="preserve">南京市2026年智慧图书馆体系资源建设</w:t>
      </w:r>
      <w:r/>
    </w:p>
    <w:p>
      <w:pPr>
        <w:ind w:left="0"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2、采购内容：</w:t>
      </w:r>
      <w:r>
        <w:rPr>
          <w:rFonts w:hint="eastAsia" w:ascii="仿宋" w:hAnsi="仿宋" w:eastAsia="仿宋" w:cs="仿宋"/>
          <w:color w:val="000000" w:themeColor="text1"/>
          <w:highlight w:val="none"/>
          <w14:textFill>
            <w14:solidFill>
              <w14:schemeClr w14:val="tx1"/>
            </w14:solidFill>
          </w14:textFill>
        </w:rPr>
        <w:t xml:space="preserve">本项目主要内容是南京地区公共图书馆（含金陵、鼓楼、秦淮、江宁、六合、高淳等）馆藏古籍文献的图像数据化和知识化处理工作，包括文献整理和登记、图像采集与处理，符合长期保存级和发布服务级数据技术要求、书目数据著录、古籍结构数据和卷目篇目数据标引，制作XML封装文件等，最终形成南京地区公共图书馆馆藏古籍文献专题数据库。</w:t>
      </w:r>
      <w:r/>
    </w:p>
    <w:tbl>
      <w:tblPr>
        <w:tblStyle w:val="7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2348"/>
        <w:gridCol w:w="1910"/>
        <w:gridCol w:w="2160"/>
        <w:gridCol w:w="2285"/>
      </w:tblGrid>
      <w:tr>
        <w:trPr>
          <w:jc w:val="center"/>
        </w:trPr>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分包号</w:t>
            </w:r>
            <w:r/>
          </w:p>
        </w:tc>
        <w:tc>
          <w:tcPr>
            <w:tcBorders>
              <w:top w:val="single" w:color="auto" w:sz="4" w:space="0"/>
              <w:left w:val="single" w:color="auto" w:sz="4" w:space="0"/>
              <w:bottom w:val="single" w:color="auto" w:sz="4" w:space="0"/>
              <w:right w:val="single" w:color="auto" w:sz="4" w:space="0"/>
            </w:tcBorders>
            <w:tcW w:w="1191"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分包名称</w:t>
            </w:r>
            <w:r/>
          </w:p>
        </w:tc>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分包内容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区域</w:t>
            </w:r>
            <w:r/>
          </w:p>
        </w:tc>
        <w:tc>
          <w:tcPr>
            <w:tcBorders>
              <w:top w:val="single" w:color="auto" w:sz="4" w:space="0"/>
              <w:left w:val="single" w:color="auto" w:sz="4" w:space="0"/>
              <w:bottom w:val="single" w:color="auto" w:sz="4" w:space="0"/>
              <w:right w:val="single" w:color="auto" w:sz="4" w:space="0"/>
            </w:tcBorders>
            <w:tcW w:w="1096"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各分包预算金额</w:t>
            </w:r>
            <w:r/>
          </w:p>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备注</w:t>
            </w:r>
            <w:r/>
          </w:p>
        </w:tc>
      </w:tr>
      <w:tr>
        <w:trPr>
          <w:jc w:val="center"/>
          <w:trHeight w:val="622"/>
        </w:trPr>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348" w:type="dxa"/>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南京市2026年智慧图书馆体系资源建设包1</w:t>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金陵图书馆</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87.5</w:t>
            </w:r>
            <w:r/>
          </w:p>
        </w:tc>
        <w:tc>
          <w:tcPr>
            <w:tcBorders>
              <w:top w:val="single" w:color="auto" w:sz="4" w:space="0"/>
              <w:left w:val="single" w:color="auto" w:sz="4" w:space="0"/>
              <w:right w:val="single" w:color="auto" w:sz="4" w:space="0"/>
            </w:tcBorders>
            <w:tcW w:w="1159" w:type="pct"/>
            <w:vAlign w:val="center"/>
            <w:vMerge w:val="restart"/>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本项目共计划分2个分包，可兼投但不可兼中。</w:t>
            </w:r>
            <w:r/>
          </w:p>
        </w:tc>
      </w:tr>
      <w:tr>
        <w:trPr>
          <w:jc w:val="center"/>
          <w:trHeight w:val="877"/>
        </w:trPr>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348" w:type="dxa"/>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南京市2026年智慧图书馆体系资源建设包</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ind w:left="0" w:firstLine="0"/>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秦淮、鼓楼、六合、江宁</w:t>
            </w:r>
            <w:r>
              <w:rPr>
                <w:rFonts w:hint="eastAsia" w:ascii="仿宋" w:hAnsi="仿宋" w:cs="仿宋"/>
                <w:color w:val="000000" w:themeColor="text1"/>
                <w:sz w:val="24"/>
                <w:szCs w:val="24"/>
                <w:highlight w:val="none"/>
                <w:lang w:val="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高淳五家区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图书馆</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left="0" w:firstLine="0"/>
              <w:jc w:val="center"/>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52.5</w:t>
            </w:r>
            <w:r/>
          </w:p>
        </w:tc>
        <w:tc>
          <w:tcPr>
            <w:tcBorders>
              <w:left w:val="single" w:color="auto" w:sz="4" w:space="0"/>
              <w:right w:val="single" w:color="auto" w:sz="4" w:space="0"/>
            </w:tcBorders>
            <w:tcW w:w="1159" w:type="pct"/>
            <w:vAlign w:val="center"/>
            <w:vMerge w:val="continue"/>
            <w:textDirection w:val="lrTb"/>
            <w:noWrap w:val="false"/>
          </w:tcPr>
          <w:p>
            <w:pPr>
              <w:jc w:val="center"/>
              <w:spacing w:line="240"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bl>
    <w:p>
      <w:pPr>
        <w:numPr>
          <w:ilvl w:val="0"/>
          <w:numId w:val="0"/>
        </w:num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合同履行时间：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自合同签订之日至</w:t>
      </w:r>
      <w:r>
        <w:rPr>
          <w:rFonts w:hint="eastAsia" w:ascii="仿宋" w:hAnsi="仿宋" w:cs="仿宋"/>
          <w:color w:val="000000" w:themeColor="text1"/>
          <w:sz w:val="28"/>
          <w:szCs w:val="28"/>
          <w:highlight w:val="none"/>
          <w:lang w:val="en-US" w:eastAsia="zh-CN"/>
          <w14:textFill>
            <w14:solidFill>
              <w14:schemeClr w14:val="tx1"/>
            </w14:solidFill>
          </w14:textFill>
        </w:rPr>
        <w:t xml:space="preserve">2026</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年1</w:t>
      </w:r>
      <w:r>
        <w:rPr>
          <w:rFonts w:hint="eastAsia" w:ascii="仿宋" w:hAnsi="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月15日。成交供应商应将项目成果以移动硬盘承载方式提交给采购人。</w:t>
      </w:r>
      <w:r/>
    </w:p>
    <w:p>
      <w:pPr>
        <w:numPr>
          <w:ilvl w:val="0"/>
          <w:numId w:val="0"/>
        </w:numPr>
        <w:ind w:left="2520" w:hanging="1960"/>
        <w:jc w:val="left"/>
        <w:keepLines w:val="0"/>
        <w:keepNext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实施地点：分包1：金陵图书馆</w:t>
      </w:r>
      <w:r>
        <w:rPr>
          <w:rFonts w:hint="eastAsia" w:ascii="仿宋" w:hAnsi="仿宋" w:cs="仿宋"/>
          <w:color w:val="000000" w:themeColor="text1"/>
          <w:sz w:val="28"/>
          <w:szCs w:val="28"/>
          <w:highlight w:val="none"/>
          <w:lang w:val="en-US" w:eastAsia="zh-CN"/>
          <w14:textFill>
            <w14:solidFill>
              <w14:schemeClr w14:val="tx1"/>
            </w14:solidFill>
          </w14:textFill>
        </w:rPr>
        <w:t xml:space="preserve">（南京市建邺区乐山路158号）</w:t>
      </w:r>
      <w:r/>
    </w:p>
    <w:p>
      <w:pPr>
        <w:numPr>
          <w:ilvl w:val="0"/>
          <w:numId w:val="0"/>
        </w:numPr>
        <w:ind w:left="0" w:firstLine="0"/>
        <w:jc w:val="left"/>
        <w:keepLines w:val="0"/>
        <w:keepNext w:val="0"/>
        <w:pageBreakBefore w:val="0"/>
        <w:spacing w:line="560" w:lineRule="exact"/>
        <w:widowControl w:val="off"/>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分包2：秦淮</w:t>
      </w:r>
      <w:r>
        <w:rPr>
          <w:rFonts w:hint="eastAsia" w:ascii="仿宋" w:hAnsi="仿宋" w:cs="仿宋"/>
          <w:color w:val="000000" w:themeColor="text1"/>
          <w:sz w:val="28"/>
          <w:szCs w:val="28"/>
          <w:highlight w:val="none"/>
          <w:lang w:val="en-US" w:eastAsia="zh-CN"/>
          <w14:textFill>
            <w14:solidFill>
              <w14:schemeClr w14:val="tx1"/>
            </w14:solidFill>
          </w14:textFill>
        </w:rPr>
        <w:t xml:space="preserve">（南京市秦淮区钞库街21号）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、鼓楼</w:t>
      </w:r>
      <w:r>
        <w:rPr>
          <w:rFonts w:hint="eastAsia" w:ascii="仿宋" w:hAnsi="仿宋" w:cs="仿宋"/>
          <w:color w:val="000000" w:themeColor="text1"/>
          <w:sz w:val="28"/>
          <w:szCs w:val="28"/>
          <w:highlight w:val="none"/>
          <w:lang w:val="en-US" w:eastAsia="zh-CN"/>
          <w14:textFill>
            <w14:solidFill>
              <w14:schemeClr w14:val="tx1"/>
            </w14:solidFill>
          </w14:textFill>
        </w:rPr>
        <w:t xml:space="preserve">（南京市鼓楼区二板桥486号）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、六合</w:t>
      </w:r>
      <w:r>
        <w:rPr>
          <w:rFonts w:hint="eastAsia" w:ascii="仿宋" w:hAnsi="仿宋" w:cs="仿宋"/>
          <w:color w:val="000000" w:themeColor="text1"/>
          <w:sz w:val="28"/>
          <w:szCs w:val="28"/>
          <w:highlight w:val="none"/>
          <w:lang w:val="en-US" w:eastAsia="zh-CN"/>
          <w14:textFill>
            <w14:solidFill>
              <w14:schemeClr w14:val="tx1"/>
            </w14:solidFill>
          </w14:textFill>
        </w:rPr>
        <w:t xml:space="preserve">（南京市六合区雄州街道王桥路155号）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、江宁</w:t>
      </w:r>
      <w:r>
        <w:rPr>
          <w:rFonts w:hint="eastAsia" w:ascii="仿宋" w:hAnsi="仿宋" w:cs="仿宋"/>
          <w:color w:val="000000" w:themeColor="text1"/>
          <w:sz w:val="28"/>
          <w:szCs w:val="28"/>
          <w:highlight w:val="none"/>
          <w:lang w:val="en-US" w:eastAsia="zh-CN"/>
          <w14:textFill>
            <w14:solidFill>
              <w14:schemeClr w14:val="tx1"/>
            </w14:solidFill>
          </w14:textFill>
        </w:rPr>
        <w:t xml:space="preserve">(江宁区东山街道土山路46号)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图书馆</w:t>
      </w:r>
      <w:r>
        <w:rPr>
          <w:rFonts w:hint="eastAsia" w:ascii="仿宋" w:hAnsi="仿宋" w:cs="仿宋"/>
          <w:color w:val="000000" w:themeColor="text1"/>
          <w:sz w:val="28"/>
          <w:szCs w:val="28"/>
          <w:highlight w:val="none"/>
          <w:lang w:val="en-US" w:eastAsia="zh-CN"/>
          <w14:textFill>
            <w14:solidFill>
              <w14:schemeClr w14:val="tx1"/>
            </w14:solidFill>
          </w14:textFill>
        </w:rPr>
        <w:t xml:space="preserve">、高淳（淳溪镇石臼湖南路7号）</w:t>
      </w:r>
      <w:r/>
    </w:p>
    <w:p>
      <w:pPr>
        <w:jc w:val="left"/>
        <w:spacing w:line="560" w:lineRule="exact"/>
        <w:rPr>
          <w:rFonts w:hint="eastAsia" w:ascii="仿宋" w:hAnsi="仿宋" w:eastAsia="仿宋" w:cs="仿宋"/>
          <w:b/>
          <w:bCs/>
          <w:color w:val="000000" w:themeColor="text1"/>
          <w:sz w:val="28"/>
          <w:szCs w:val="28"/>
          <w:highlight w:val="none"/>
          <w:lang w:val="en-US" w:eastAsia="zh-CN"/>
          <w14:textFill>
            <w14:solidFill>
              <w14:schemeClr w14:val="tx1"/>
            </w14:solidFill>
          </w14:textFill>
        </w:rPr>
        <w:outlineLvl w:val="1"/>
      </w:pPr>
      <w:r/>
      <w:bookmarkStart w:id="194" w:name="_Toc415"/>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二、项目内容</w:t>
      </w:r>
      <w:bookmarkEnd w:id="194"/>
      <w:r/>
      <w:r/>
    </w:p>
    <w:p>
      <w:pPr>
        <w:ind w:firstLine="562"/>
        <w:jc w:val="left"/>
        <w:spacing w:line="560" w:lineRule="exact"/>
        <w:rPr>
          <w:rFonts w:hint="eastAsia" w:ascii="仿宋" w:hAnsi="仿宋" w:eastAsia="仿宋" w:cs="仿宋"/>
          <w:b/>
          <w:bCs/>
          <w:color w:val="000000" w:themeColor="text1"/>
          <w:sz w:val="28"/>
          <w:szCs w:val="28"/>
          <w:highlight w:val="none"/>
          <w:lang w:val="en-US" w:eastAsia="zh-CN"/>
          <w14:textFill>
            <w14:solidFill>
              <w14:schemeClr w14:val="tx1"/>
            </w14:solidFill>
          </w14:textFill>
        </w:rPr>
        <w:outlineLvl w:val="2"/>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（一）分包1：</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古籍数字化加工服务</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驻场</w:t>
      </w:r>
      <w:r>
        <w:rPr>
          <w:rFonts w:hint="eastAsia" w:ascii="仿宋" w:hAnsi="仿宋" w:eastAsia="仿宋" w:cs="仿宋"/>
          <w:color w:val="000000" w:themeColor="text1"/>
          <w:sz w:val="28"/>
          <w:szCs w:val="28"/>
          <w:highlight w:val="none"/>
          <w14:textFill>
            <w14:solidFill>
              <w14:schemeClr w14:val="tx1"/>
            </w14:solidFill>
          </w14:textFill>
        </w:rPr>
        <w:t xml:space="preserve">完成金陵图书馆2</w:t>
      </w:r>
      <w:r>
        <w:rPr>
          <w:rFonts w:hint="eastAsia" w:ascii="仿宋" w:hAnsi="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万筒子叶的古籍数字化加工（具体册数以采购人提供的为准）。加工标准依据为国家图书馆（国家古籍保护中心）制定的《全国智慧图书馆体系建设：古籍数字化和知识标引规范手册（暂行）》。依标准完成古籍原件及古籍文献登记、古籍基本元数据著录、古籍结构数据标引、古籍卷目和篇目数据标引、古籍全文文本转化、XML封装，以及规范提供TIFF、PDF、TXT等格式。并配套提供数据成果发布服务平台加工要求。项目实施所需的软硬件设备均由成交供应商提供。</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14:textFill>
            <w14:solidFill>
              <w14:schemeClr w14:val="tx1"/>
            </w14:solidFill>
          </w14:textFill>
        </w:rPr>
        <w:t xml:space="preserve">采购项目技术及服务要求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各项技术标准须符合国家图书馆（国家古籍保护中心）《全国智慧图书馆体系建设：古籍数字化和知识标引规范手册（暂行）》（2024年2月）（以下简称“《规范手册》”）相关要求（若国家图书馆（国家古籍保护中心）在项目建设期内对相关标准进行修订或更新，则以修订、更新版本为准），包括但不限于以下技术需求（若相关需求与《规范手册》不一致，负偏离部分以《规范手册》为准）。</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服务期限</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本项目服务完成期限为</w:t>
      </w:r>
      <w:r>
        <w:rPr>
          <w:rFonts w:hint="eastAsia" w:ascii="仿宋" w:hAnsi="仿宋" w:cs="仿宋"/>
          <w:color w:val="000000" w:themeColor="text1"/>
          <w:sz w:val="28"/>
          <w:szCs w:val="28"/>
          <w:highlight w:val="none"/>
          <w:lang w:val="en-US" w:eastAsia="zh-CN"/>
          <w14:textFill>
            <w14:solidFill>
              <w14:schemeClr w14:val="tx1"/>
            </w14:solidFill>
          </w14:textFill>
        </w:rPr>
        <w:t xml:space="preserve">2026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cs="仿宋"/>
          <w:color w:val="000000" w:themeColor="text1"/>
          <w:sz w:val="28"/>
          <w:szCs w:val="28"/>
          <w:highlight w:val="none"/>
          <w:lang w:val="en-US" w:eastAsia="zh-CN"/>
          <w14:textFill>
            <w14:solidFill>
              <w14:schemeClr w14:val="tx1"/>
            </w14:solidFill>
          </w14:textFill>
        </w:rPr>
        <w:t xml:space="preserve">15</w:t>
      </w:r>
      <w:r>
        <w:rPr>
          <w:rFonts w:hint="eastAsia" w:ascii="仿宋" w:hAnsi="仿宋" w:eastAsia="仿宋" w:cs="仿宋"/>
          <w:color w:val="000000" w:themeColor="text1"/>
          <w:sz w:val="28"/>
          <w:szCs w:val="28"/>
          <w:highlight w:val="none"/>
          <w14:textFill>
            <w14:solidFill>
              <w14:schemeClr w14:val="tx1"/>
            </w14:solidFill>
          </w14:textFill>
        </w:rPr>
        <w:t xml:space="preserve">日，成交供应商应将项目成果以移动硬盘承载方式提交给采购人，移动硬盘涉及的费用已包含在报价内。</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古籍数字化加工服务成果形态与质量要求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28"/>
          <w:szCs w:val="28"/>
          <w:highlight w:val="none"/>
          <w14:textFill>
            <w14:solidFill>
              <w14:schemeClr w14:val="tx1"/>
            </w14:solidFill>
          </w14:textFill>
        </w:rPr>
        <w:t xml:space="preserve">数据成果文件与格式要求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要求提交XML 文件、长期保存级及发布服务级对象数据、文献整理登记表和外字表、说明文件等成果文件。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（1）XML 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XML 文件内容包括古籍基本元数据、结构数据、卷目篇名。</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（2）对象数据</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长期保存级、发布服务级数据，包括：</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TIFF 格式文件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格式文件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TXT 格式文件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（3）文献整理登记表和外字表</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文献整理登记表和外字表用 EXCEL 表填写。</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文献整理登记表内容包括：名录号、普查编号、索书号、题名、册数、总叶数、开本尺寸、透字、夹框、夹字、皱折、缺残叶、重叶、签条、夹纸、登记人员、登记日期、备注。</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外字表的内容包括：加工记录标识号、内部序号、外字、描述、位置。</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（4）说明文件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项目总体说明文件用 EXCEL 表填写。</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填写内容包括：项目建设年、单位名称；记录标识号、题名、TIFF 格式文件数量、PDF 格式文件数量、TXT 格式文件数量、采集分辨率/拍照像素；备注（需要特别说明的事项）。</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28"/>
          <w:szCs w:val="28"/>
          <w:highlight w:val="none"/>
          <w14:textFill>
            <w14:solidFill>
              <w14:schemeClr w14:val="tx1"/>
            </w14:solidFill>
          </w14:textFill>
        </w:rPr>
        <w:t xml:space="preserve">成果数据存储结构要求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（1）单种古籍建立四级文件目录，分别为：</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一级目录：加工记录标识号</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二级目录：metadata、object、information</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三级目录：对象数据。在 Object 下面建立三个子目录，即 TIFF、PDF、TXT</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四级目录：按图书册次建立的册目录；</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（2）丛书古籍建立五级文件目录，分别为：</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一级目录：丛书加工记录标识号</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二级目录：metadata、object、information</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三级目录：对象数据。在 Object 下面建立三个子目录，即 TIFF、PDF、TXT</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四级目录：子目加工记录标识号</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五级目录：按图书册次建立的册目录</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28"/>
          <w:szCs w:val="28"/>
          <w:highlight w:val="none"/>
          <w14:textFill>
            <w14:solidFill>
              <w14:schemeClr w14:val="tx1"/>
            </w14:solidFill>
          </w14:textFill>
        </w:rPr>
        <w:t xml:space="preserve">验收及成果数据质量要求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将对图像文件、双层PDF文件、数据成果等逐一进行验收，发现问题后承建单位需按照采购方要求及时进行返工。全部合格后，项目才能通过验收。成果文件需存储到承建方提供的光盘和移动硬盘中。承建方在项目结束后需将计算机内硬盘、存储介质等移交馆方。</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（1）送检数据有效，与《规范手册》中要求提交的成果数据文件的内容和数量一致，不夹杂无关文件。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（2）著录、标引文字、符号、标引位置等信息准确，综合错误率不超过 0.3‰。</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（3）双层 PDF、全文文本文件的内容编码、文字识别等，综合错误率不超过 1‰。</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（4）数据的采集方式、技术指标、文件格式、文件命名、图像处理等综合错误率不超过 1‰。</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（5）成果数据中古籍图像完整，无缺失；数据类型和文件结构符合规范要求，且无坏死文件、不携带病毒，错误率为 0。</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（6）达到标准的数据视为合格，在规定错误率范围内检查出的数据问题由资源提交单位进行修正；超出错误率、未达到标准的数据由资源提交单位对全部数据进行整改、返工处理。</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流程要求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.4.1.</w:t>
      </w:r>
      <w:r>
        <w:rPr>
          <w:rFonts w:hint="eastAsia" w:ascii="仿宋" w:hAnsi="仿宋" w:eastAsia="仿宋" w:cs="仿宋"/>
          <w:color w:val="000000" w:themeColor="text1"/>
          <w:sz w:val="28"/>
          <w:szCs w:val="28"/>
          <w:highlight w:val="none"/>
          <w14:textFill>
            <w14:solidFill>
              <w14:schemeClr w14:val="tx1"/>
            </w14:solidFill>
          </w14:textFill>
        </w:rPr>
        <w:t xml:space="preserve">古籍图像数字化需求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.4.1.1.</w:t>
      </w:r>
      <w:r>
        <w:rPr>
          <w:rFonts w:hint="eastAsia" w:ascii="仿宋" w:hAnsi="仿宋" w:eastAsia="仿宋" w:cs="仿宋"/>
          <w:color w:val="000000" w:themeColor="text1"/>
          <w:sz w:val="28"/>
          <w:szCs w:val="28"/>
          <w:highlight w:val="none"/>
          <w14:textFill>
            <w14:solidFill>
              <w14:schemeClr w14:val="tx1"/>
            </w14:solidFill>
          </w14:textFill>
        </w:rPr>
        <w:t xml:space="preserve">总体要求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古籍图像采集须按标准要求进行图像色彩位数、分辨率、像素、格式采集及存储。后期图像处理须严格执行色彩管理，并按要求做好色彩校正、输出色彩转换、格式转换、图像切分及图像拼接等工作。</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.4.1.2.</w:t>
      </w:r>
      <w:r>
        <w:rPr>
          <w:rFonts w:hint="eastAsia" w:ascii="仿宋" w:hAnsi="仿宋" w:eastAsia="仿宋" w:cs="仿宋"/>
          <w:color w:val="000000" w:themeColor="text1"/>
          <w:sz w:val="28"/>
          <w:szCs w:val="28"/>
          <w:highlight w:val="none"/>
          <w14:textFill>
            <w14:solidFill>
              <w14:schemeClr w14:val="tx1"/>
            </w14:solidFill>
          </w14:textFill>
        </w:rPr>
        <w:t xml:space="preserve">数字化加工设备参数要求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（一）设备要求：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（1）扫描：扫描设备选择非接触式扫描仪</w:t>
      </w:r>
      <w:r>
        <w:rPr>
          <w:rFonts w:hint="eastAsia" w:ascii="仿宋" w:hAnsi="仿宋" w:cs="仿宋"/>
          <w:color w:val="000000" w:themeColor="text1"/>
          <w:sz w:val="28"/>
          <w:szCs w:val="28"/>
          <w:highlight w:val="none"/>
          <w:lang w:val="en-US" w:eastAsia="zh-CN"/>
          <w14:textFill>
            <w14:solidFill>
              <w14:schemeClr w14:val="tx1"/>
            </w14:solidFill>
          </w14:textFill>
        </w:rPr>
        <w:t xml:space="preserve">2台</w:t>
      </w:r>
      <w:r>
        <w:rPr>
          <w:rFonts w:hint="eastAsia" w:ascii="仿宋" w:hAnsi="仿宋" w:eastAsia="仿宋" w:cs="仿宋"/>
          <w:color w:val="000000" w:themeColor="text1"/>
          <w:sz w:val="28"/>
          <w:szCs w:val="28"/>
          <w:highlight w:val="none"/>
          <w14:textFill>
            <w14:solidFill>
              <w14:schemeClr w14:val="tx1"/>
            </w14:solidFill>
          </w14:textFill>
        </w:rPr>
        <w:t xml:space="preserve">。设备A3幅面的光学分辨率600dpi以上，色彩位数24bit。扫描设备应是无紫外线的同步冷光源。</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（2）拍照：数码拍照相机的有效像素不低于6500万像素，裁切后图像短边像素换算分辨率不得低于同规格扫描分辨率，感光元件尺寸不低于全画幅（36×24mm），采用1：1微距镜头。</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备注：每日设备使用前进行色彩校正，以使文献色彩还原度高，真实。</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（二）其他附件要求</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2．其它辅件要求</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（1）托稿台：为文献数码拍照的平台。托稿台材质应选用经过脱酸处理的，书籍托架应稳定牢固。</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（2）扫描仪的自动评测被拍摄物重量，通过液压调节拍摄物与上下压平装置的空间和力度，控制拍摄物位置和平整度。</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（3）照明：无紫外线或红外线的排放，冷光源LED照明系统。</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（4）避光：日光灯、太阳光线</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（5）扫描方式：国图标准色卡校对，手动对焦。</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（6）背景布置：中灰色纸板，即18%灰板。</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.4.1.3.</w:t>
      </w:r>
      <w:r>
        <w:rPr>
          <w:rFonts w:hint="eastAsia" w:ascii="仿宋" w:hAnsi="仿宋" w:eastAsia="仿宋" w:cs="仿宋"/>
          <w:color w:val="000000" w:themeColor="text1"/>
          <w:sz w:val="28"/>
          <w:szCs w:val="28"/>
          <w:highlight w:val="none"/>
          <w14:textFill>
            <w14:solidFill>
              <w14:schemeClr w14:val="tx1"/>
            </w14:solidFill>
          </w14:textFill>
        </w:rPr>
        <w:t xml:space="preserve">数字化图像采集参数</w:t>
      </w:r>
      <w:r/>
    </w:p>
    <w:tbl>
      <w:tblPr>
        <w:tblStyle w:val="76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128"/>
        <w:gridCol w:w="1277"/>
        <w:gridCol w:w="1193"/>
        <w:gridCol w:w="1348"/>
        <w:gridCol w:w="1090"/>
        <w:gridCol w:w="1413"/>
        <w:gridCol w:w="1220"/>
      </w:tblGrid>
      <w:tr>
        <w:trPr>
          <w:jc w:val="center"/>
        </w:trPr>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资源级别</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载体规格</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分辨率（dpi）</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色彩位深</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格式</w:t>
            </w:r>
            <w:r/>
          </w:p>
        </w:tc>
        <w:tc>
          <w:tcPr>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短边像素</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文件大小</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说明</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长期保存级</w:t>
            </w:r>
            <w:r/>
          </w:p>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（A）</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文献短边≥14.8cm（A5尺寸）</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800</w:t>
            </w:r>
            <w:r/>
          </w:p>
        </w:tc>
        <w:tc>
          <w:tcPr>
            <w:tcBorders>
              <w:top w:val="single" w:color="auto" w:sz="4" w:space="0"/>
              <w:left w:val="single" w:color="auto" w:sz="4" w:space="0"/>
              <w:bottom w:val="single" w:color="auto" w:sz="4" w:space="0"/>
              <w:right w:val="single" w:color="auto" w:sz="4" w:space="0"/>
            </w:tcBorders>
            <w:tcW w:w="605"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RGB24位以上</w:t>
            </w:r>
            <w:r/>
          </w:p>
        </w:tc>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TIFF（LZW）</w:t>
            </w:r>
            <w:r/>
          </w:p>
        </w:tc>
        <w:tc>
          <w:tcPr>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不小于4500</w:t>
            </w:r>
            <w:r/>
          </w:p>
        </w:tc>
        <w:tc>
          <w:tcPr>
            <w:tcBorders>
              <w:top w:val="single" w:color="auto" w:sz="4" w:space="0"/>
              <w:left w:val="single" w:color="auto" w:sz="4" w:space="0"/>
              <w:bottom w:val="single" w:color="auto" w:sz="4" w:space="0"/>
              <w:right w:val="single" w:color="auto" w:sz="4" w:space="0"/>
            </w:tcBorders>
            <w:tcW w:w="717"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文献开本小于A5应提高采集分辨率</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文献短边≥21m（A4尺寸）</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600</w:t>
            </w:r>
            <w:r/>
          </w:p>
        </w:tc>
        <w:tc>
          <w:tcPr>
            <w:tcBorders>
              <w:top w:val="single" w:color="auto" w:sz="4" w:space="0"/>
              <w:left w:val="single" w:color="auto" w:sz="4" w:space="0"/>
              <w:bottom w:val="single" w:color="auto" w:sz="4" w:space="0"/>
              <w:right w:val="single" w:color="auto" w:sz="4" w:space="0"/>
            </w:tcBorders>
            <w:tcW w:w="605"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不小于4800</w:t>
            </w:r>
            <w:r/>
          </w:p>
        </w:tc>
        <w:tc>
          <w:tcPr>
            <w:tcBorders>
              <w:top w:val="single" w:color="auto" w:sz="4" w:space="0"/>
              <w:left w:val="single" w:color="auto" w:sz="4" w:space="0"/>
              <w:bottom w:val="single" w:color="auto" w:sz="4" w:space="0"/>
              <w:right w:val="single" w:color="auto" w:sz="4" w:space="0"/>
            </w:tcBorders>
            <w:tcW w:w="717"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文献开本大于A4采集分辨率不变</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发布服务级（D）</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文献短边≥14.8cm（A5尺寸）</w:t>
            </w:r>
            <w:r/>
          </w:p>
        </w:tc>
        <w:tc>
          <w:tcPr>
            <w:tcBorders>
              <w:top w:val="single" w:color="auto" w:sz="4" w:space="0"/>
              <w:left w:val="single" w:color="auto" w:sz="4" w:space="0"/>
              <w:bottom w:val="single" w:color="auto" w:sz="4" w:space="0"/>
              <w:right w:val="single" w:color="auto" w:sz="4" w:space="0"/>
            </w:tcBorders>
            <w:tcW w:w="648"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原有分辨率保持不变</w:t>
            </w:r>
            <w:r/>
          </w:p>
        </w:tc>
        <w:tc>
          <w:tcPr>
            <w:tcBorders>
              <w:top w:val="single" w:color="auto" w:sz="4" w:space="0"/>
              <w:left w:val="single" w:color="auto" w:sz="4" w:space="0"/>
              <w:bottom w:val="single" w:color="auto" w:sz="4" w:space="0"/>
              <w:right w:val="single" w:color="auto" w:sz="4" w:space="0"/>
            </w:tcBorders>
            <w:tcW w:w="605"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RGB24位</w:t>
            </w:r>
            <w:r/>
          </w:p>
        </w:tc>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双层PDF</w:t>
            </w:r>
            <w:r/>
          </w:p>
        </w:tc>
        <w:tc>
          <w:tcPr>
            <w:tcBorders>
              <w:top w:val="single" w:color="auto" w:sz="4" w:space="0"/>
              <w:left w:val="single" w:color="auto" w:sz="4" w:space="0"/>
              <w:bottom w:val="single" w:color="auto" w:sz="4" w:space="0"/>
              <w:right w:val="single" w:color="auto" w:sz="4" w:space="0"/>
            </w:tcBorders>
            <w:tcW w:w="553"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17"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500KB-1MB</w:t>
            </w:r>
            <w:r/>
          </w:p>
        </w:tc>
        <w:tc>
          <w:tcPr>
            <w:tcBorders>
              <w:top w:val="single" w:color="auto" w:sz="4" w:space="0"/>
              <w:left w:val="single" w:color="auto" w:sz="4" w:space="0"/>
              <w:bottom w:val="single" w:color="auto" w:sz="4" w:space="0"/>
              <w:right w:val="single" w:color="auto" w:sz="4" w:space="0"/>
            </w:tcBorders>
            <w:tcW w:w="619"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通过JPEG2000图像压缩处理和OCR识别，并辅以校对生成。</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文献短边≥21m（A4尺寸）</w:t>
            </w:r>
            <w:r/>
          </w:p>
        </w:tc>
        <w:tc>
          <w:tcPr>
            <w:tcBorders>
              <w:top w:val="single" w:color="auto" w:sz="4" w:space="0"/>
              <w:left w:val="single" w:color="auto" w:sz="4" w:space="0"/>
              <w:bottom w:val="single" w:color="auto" w:sz="4" w:space="0"/>
              <w:right w:val="single" w:color="auto" w:sz="4" w:space="0"/>
            </w:tcBorders>
            <w:tcW w:w="648"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5"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3"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7"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9"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.4.1.4.</w:t>
      </w:r>
      <w:r>
        <w:rPr>
          <w:rFonts w:hint="eastAsia" w:ascii="仿宋" w:hAnsi="仿宋" w:eastAsia="仿宋" w:cs="仿宋"/>
          <w:color w:val="000000" w:themeColor="text1"/>
          <w:sz w:val="28"/>
          <w:szCs w:val="28"/>
          <w:highlight w:val="none"/>
          <w14:textFill>
            <w14:solidFill>
              <w14:schemeClr w14:val="tx1"/>
            </w14:solidFill>
          </w14:textFill>
        </w:rPr>
        <w:t xml:space="preserve">图像采集操作要求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不拆书，采用非接触性拍摄或扫描设备采集图像，一般采集双半叶古籍TIFF图像，封面封底除外（单半叶）。线装书以外古籍，需根据装帧、版式等实际情况再确定采集图像方式，原则上一套古籍只采用一种采集方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（2）古籍原件，以册为单位进行数字化，从古籍封面、前护、正文、后护、封底等依次加工。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（3）采用IT8 标准色彩导表（以下简称色卡），色卡（含标尺）应与每册古籍封面一同拍摄或扫描。色卡位置与古籍左侧书角对齐，距离封面左侧 0.1～1 厘米位置。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（4）采集图像清晰，数据文件叶码连续，没有重叶、缺叶，错叶、折叶等情况（原书缺叶、错叶除外）。</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（5）按 1:1 比例扫描，图书叶面外围要求留白，宽度不超过 1 厘米；书叶间距不超过 0.1 厘米。</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（6）以原书的上边沿为基准，以中缝为中心线，保持原文献的天头、地脚的尺寸不变，左右两边的尺寸基本不变。图像倾斜角度不大于 0.2 度。</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（7）原件表面有其他粘贴物件时，先将原件与粘贴物（即粘贴物覆盖于文献）一起扫描，然后将粘贴物掀开，再次扫描原件。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古籍整理完毕后，需根据古籍实际透字状态确定有无必要添加衬纸。透字情况不很严重、不影响阅读的情况下，无需添加衬纸。必须注意的是，加垫衬纸不应对古籍造成损坏。加垫衬纸前应先评估图书纸张厚度、纸张强度、折叶空隙等情况，选择适宜的衬纸。衬纸应保持整洁，出现污渍、褶皱时要及时更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（9）原件超大幅面（如地图）分画幅扫描时，各扫描区域边缘必须留有 2厘米（含）以上的重复扫描区。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（10）采集图像完整清晰，无扭曲、变形现象发生。数字图像文件用图形图像类软件检查清晰度（图像放大至实际尺寸 100%），确保图像不失真。</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（11）定时做采集设备和输出设备的色彩校正。工作过程中，当数字图像文件与古籍原件颜色不一致时，应及时进行色彩校正，重新完成图像采集工作。</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.4.1.5.</w:t>
      </w:r>
      <w:r>
        <w:rPr>
          <w:rFonts w:hint="eastAsia" w:ascii="仿宋" w:hAnsi="仿宋" w:eastAsia="仿宋" w:cs="仿宋"/>
          <w:color w:val="000000" w:themeColor="text1"/>
          <w:sz w:val="28"/>
          <w:szCs w:val="28"/>
          <w:highlight w:val="none"/>
          <w14:textFill>
            <w14:solidFill>
              <w14:schemeClr w14:val="tx1"/>
            </w14:solidFill>
          </w14:textFill>
        </w:rPr>
        <w:t xml:space="preserve">图像处理要求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（1）针对长期保存级的古籍图像处理应在未改变原扫描图像色彩位数、分辨率、像素、格式等情况下进行。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纠偏处理。对出现偏斜的图像进行纠偏处理，对方向不正确的图像进行旋转还原，以符合阅读习惯。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图像剪裁。只允许处理古籍背景纸与图书外边缘的空白处。古籍原书与背景纸外边缘距离 0.5～1 厘米。</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不能进行锐化或者图像增强处理，不能更改图像的颜色，尽量减少对图像文件的后期处理。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（2）发布级的图像需要进行格式转换、图像切分及图像拼接和双层PDF处理，要求如下：</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格式转换要求：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由长期保存级文件（A）转换为发布服务级（D）文件。在评估文献的纸张颜色、文字大小、版面、清晰度等因素基础上，将无损 TIFF 格式按 jpeg2000 压缩方法，选择适宜的压缩因子，做有损压缩处理后转换为 PDF 格式文件。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图像切分要求：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半叶图像文件处理。通常数字化采集的古籍图像为双半叶 TIFF 文件，PDF 文件须按半叶图像进行切分保存。切分图像分辨率不做任何改变，以书脊中线为切分线，将原有的半叶处理为独立的页面。书脊右侧的半叶为页面 A，书脊左侧的半叶为页面 B。切分后，包含古籍版框和文字的图像信息应完整无损，并按命名规则对切分文件进行命名。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古籍封面文件处理。古籍封面的 TIFF 文件带有色卡和标尺。为保持全册古籍图像画面大小一致，须对封面 PDF 文件进行色卡和标尺的裁切处理，裁切后只保留古籍封面。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图像拼接要求：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古籍超大幅面（如地图）分拍采集影像后，按需对古籍图像进行拼接处理，即对 PDF 格式文件做拼接处理。拼接时对图像分辨率不做任何改变，拼接后图像与古籍的原貌基本一致，无重影，拼接处无明显歪斜变形。按命名规则重新对拼接文件进行命名。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双层 PDF 输出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经过图像处理和 OCR 识别，采用图在文上的模式进行双层 PDF 输出。该文件是双层的，上层是原始图像，下层是识别结果。</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文件的图像层包括古籍图书从封面到封底的所有叶。根据图像尺寸、颜色、数据存储量，按 JPEG2000 有损压缩，压缩因子适度动态调整，在确保图像清晰的情况下，尽量压缩图像文件所占空间至最小。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文件的文字层所使用的字体以“已嵌入子集”方式嵌入 PDF 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单个文件存储容量不超过 1MB。</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文件格式编码为 1.5 版本以上，兼容 Adobe reader6.0 及以上</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.4.2.</w:t>
      </w:r>
      <w:r>
        <w:rPr>
          <w:rFonts w:hint="eastAsia" w:ascii="仿宋" w:hAnsi="仿宋" w:eastAsia="仿宋" w:cs="仿宋"/>
          <w:color w:val="000000" w:themeColor="text1"/>
          <w:sz w:val="28"/>
          <w:szCs w:val="28"/>
          <w:highlight w:val="none"/>
          <w14:textFill>
            <w14:solidFill>
              <w14:schemeClr w14:val="tx1"/>
            </w14:solidFill>
          </w14:textFill>
        </w:rPr>
        <w:t xml:space="preserve">古籍元数据著录需求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.4.2.1.</w:t>
      </w:r>
      <w:r>
        <w:rPr>
          <w:rFonts w:hint="eastAsia" w:ascii="仿宋" w:hAnsi="仿宋" w:eastAsia="仿宋" w:cs="仿宋"/>
          <w:color w:val="000000" w:themeColor="text1"/>
          <w:sz w:val="28"/>
          <w:szCs w:val="28"/>
          <w:highlight w:val="none"/>
          <w14:textFill>
            <w14:solidFill>
              <w14:schemeClr w14:val="tx1"/>
            </w14:solidFill>
          </w14:textFill>
        </w:rPr>
        <w:t xml:space="preserve">文献整理登记要求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工作人员检查原书状况，清点文献册数，根据“古籍文献整理登记”项目的内容和要求，客观、准确记录文献存藏状况。</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古籍文献整理登记项目共 18 项，如下表所示：</w:t>
      </w:r>
      <w:r/>
    </w:p>
    <w:tbl>
      <w:tblPr>
        <w:tblStyle w:val="9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5524"/>
        <w:gridCol w:w="3244"/>
      </w:tblGrid>
      <w:tr>
        <w:trPr>
          <w:jc w:val="center"/>
        </w:trPr>
        <w:tc>
          <w:tcPr>
            <w:tcW w:w="551" w:type="pct"/>
            <w:vAlign w:val="center"/>
            <w:textDirection w:val="lrTb"/>
            <w:noWrap w:val="false"/>
          </w:tcPr>
          <w:p>
            <w:pPr>
              <w:ind w:firstLine="0"/>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序号</w:t>
            </w:r>
            <w:r/>
          </w:p>
        </w:tc>
        <w:tc>
          <w:tcPr>
            <w:tcW w:w="2802" w:type="pct"/>
            <w:vAlign w:val="center"/>
            <w:textDirection w:val="lrTb"/>
            <w:noWrap w:val="false"/>
          </w:tcPr>
          <w:p>
            <w:pPr>
              <w:ind w:firstLine="0"/>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项目</w:t>
            </w:r>
            <w:r/>
          </w:p>
        </w:tc>
        <w:tc>
          <w:tcPr>
            <w:tcW w:w="1645" w:type="pct"/>
            <w:vAlign w:val="center"/>
            <w:textDirection w:val="lrTb"/>
            <w:noWrap w:val="false"/>
          </w:tcPr>
          <w:p>
            <w:pPr>
              <w:ind w:firstLine="0"/>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属性</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名录号</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普查编号</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索书号</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题名（正题名、卷数以及题名说明</w:t>
            </w:r>
            <w:r/>
          </w:p>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文字）</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册数</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总叶数</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7</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开本尺寸（高度×宽度，单位 cm）</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8</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透字（有无）</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9</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夹框（有无）</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10</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夹字（有无）</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11</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皱褶（总数量及位置）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12</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缺残叶（总数量及位置）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13</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重叶（总数量及位置）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14</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签条（总数量及位置）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15</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夹纸（总数量及位置）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16</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登记人员（单位）</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17</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登记日期</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18</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备注</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.4.2.2.</w:t>
      </w:r>
      <w:r>
        <w:rPr>
          <w:rFonts w:hint="eastAsia" w:ascii="仿宋" w:hAnsi="仿宋" w:eastAsia="仿宋" w:cs="仿宋"/>
          <w:color w:val="000000" w:themeColor="text1"/>
          <w:sz w:val="28"/>
          <w:szCs w:val="28"/>
          <w:highlight w:val="none"/>
          <w14:textFill>
            <w14:solidFill>
              <w14:schemeClr w14:val="tx1"/>
            </w14:solidFill>
          </w14:textFill>
        </w:rPr>
        <w:t xml:space="preserve">基本元数据著录要求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（1）著录对象：古籍原件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（2）著录单位：以每种（部）古籍原件为基本著录单位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著录文字：除“题名”客观著录外，其他采用规范的繁体汉字。参照国务院公布，教育部、国家语言文字工作委员会制定《通用规范汉字表》。“题名”中的卷数、“日期”元素中的年号纪年应使用汉文数字著录；其他如数量、开本尺寸和公元纪年等数字均用阿拉伯数字著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（4）著录项目：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基本著录项目：共17个元素。</w:t>
      </w:r>
      <w:r/>
    </w:p>
    <w:tbl>
      <w:tblPr>
        <w:tblStyle w:val="9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4"/>
        <w:gridCol w:w="3180"/>
        <w:gridCol w:w="1862"/>
        <w:gridCol w:w="3088"/>
      </w:tblGrid>
      <w:tr>
        <w:trPr>
          <w:jc w:val="center"/>
        </w:trPr>
        <w:tc>
          <w:tcPr>
            <w:tcW w:w="1491"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元素</w:t>
            </w:r>
            <w:r/>
          </w:p>
        </w:tc>
        <w:tc>
          <w:tcPr>
            <w:tcW w:w="2750"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元素修饰词</w:t>
            </w:r>
            <w:r/>
          </w:p>
        </w:tc>
        <w:tc>
          <w:tcPr>
            <w:tcW w:w="1610"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编码体系修饰词</w:t>
            </w:r>
            <w:r/>
          </w:p>
        </w:tc>
        <w:tc>
          <w:tcPr>
            <w:tcW w:w="2671"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属性</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标识符</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加工记录标识号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国家珍贵古籍名录号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省级珍贵古籍名录号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Height w:val="516"/>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古籍普查登记号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书目记录标识号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题名</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并列题名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其他题名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主要责任者</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责任者说明</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其他责任者</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责任者说明</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版本类型</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出版者</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出版地</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印刷者</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印刷地</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日期</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公元纪年</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年号纪年</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出版日期</w:t>
            </w:r>
            <w:r/>
          </w:p>
        </w:tc>
        <w:tc>
          <w:tcPr>
            <w:tcW w:w="1610"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印刷日期</w:t>
            </w:r>
            <w:r/>
          </w:p>
        </w:tc>
        <w:tc>
          <w:tcPr>
            <w:tcW w:w="1610"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载体形态</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装帧形式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数量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开本尺寸</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图表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附件</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附注</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版本描述</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责任者附注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残存附注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缺字附注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丛书附注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合订附注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版框尺寸</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提要</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收藏历史</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批校题跋者</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批校题跋者说明</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Height w:val="605"/>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批校题跋方式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文物保护</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文物级别</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破损级别</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馆藏信息</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收藏单位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索书号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相关资源</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丛书题名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丛书链接</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子目题名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子目链接</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合订题名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合订链接</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主题</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中国分类主题词表（CCT）</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四部分类法（FDC）</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语种</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权限</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文献类型</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扩展项目：可根据古籍知识内容具体应用，依据《规范手册》扩展原则进行本地扩展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丛书和合函/合订处理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default" w:ascii="Arial" w:hAnsi="Arial" w:eastAsia="仿宋" w:cs="Arial"/>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丛书和合函/合订著录一条古籍基本元数据。丛书数据中需著录“相关资源”的“子目题名”和“子目链接”。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default" w:ascii="Arial" w:hAnsi="Arial" w:eastAsia="仿宋" w:cs="Arial"/>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每个子目著录一条古籍基本元数据。子目数据中需著录“相关资源”的“丛书题名”和“丛书链接”。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default" w:ascii="Arial" w:hAnsi="Arial" w:eastAsia="仿宋" w:cs="Arial"/>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已单独流传、单独编目的丛书零种仅著录一条古籍基本元数据，并在元素“附注”的元素修饰词“丛书附注”项著录其所属的丛书题名。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.4.2.3.</w:t>
      </w:r>
      <w:r>
        <w:rPr>
          <w:rFonts w:hint="eastAsia" w:ascii="仿宋" w:hAnsi="仿宋" w:eastAsia="仿宋" w:cs="仿宋"/>
          <w:color w:val="000000" w:themeColor="text1"/>
          <w:sz w:val="28"/>
          <w:szCs w:val="28"/>
          <w:highlight w:val="none"/>
          <w14:textFill>
            <w14:solidFill>
              <w14:schemeClr w14:val="tx1"/>
            </w14:solidFill>
          </w14:textFill>
        </w:rPr>
        <w:t xml:space="preserve">标引要求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.4.2.3.1.</w:t>
      </w:r>
      <w:r>
        <w:rPr>
          <w:rFonts w:hint="eastAsia" w:ascii="仿宋" w:hAnsi="仿宋" w:eastAsia="仿宋" w:cs="仿宋"/>
          <w:color w:val="000000" w:themeColor="text1"/>
          <w:sz w:val="28"/>
          <w:szCs w:val="28"/>
          <w:highlight w:val="none"/>
          <w14:textFill>
            <w14:solidFill>
              <w14:schemeClr w14:val="tx1"/>
            </w14:solidFill>
          </w14:textFill>
        </w:rPr>
        <w:t xml:space="preserve">结构数据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本部分标引对象为整理后的PDF文件目录结构，包括品种层、子目层(有则必备)、册目录、册内文件数量。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（1）标引规则</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准确记录古籍原书各册信息，以及各册与古籍图像的对应关系。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古籍数字资源按子目拆分或者合订拆分时，按实际拆分结果，记录古籍书册信息，以及与古籍图像的对应关系。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（2）标引项目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古籍分册保存目录结构的标引项目及属性如表7所示。</w:t>
      </w:r>
      <w:r/>
    </w:p>
    <w:p>
      <w:pPr>
        <w:ind w:firstLine="482"/>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表7古籍结构数据标引项目列表</w:t>
      </w:r>
      <w:r/>
    </w:p>
    <w:tbl>
      <w:tblPr>
        <w:tblStyle w:val="985"/>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4"/>
        <w:gridCol w:w="2846"/>
        <w:gridCol w:w="4849"/>
      </w:tblGrid>
      <w:tr>
        <w:trPr>
          <w:jc w:val="center"/>
          <w:trHeight w:val="454"/>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序号</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项目</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属性</w:t>
            </w:r>
            <w:r/>
          </w:p>
        </w:tc>
      </w:tr>
      <w:tr>
        <w:trPr>
          <w:jc w:val="center"/>
          <w:trHeight w:val="458"/>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加工记录标识号</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48"/>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内部序号</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58"/>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册名称</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49"/>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册号</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43"/>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册内文件数</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（3）标引项目说明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加工记录标识号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古籍数字资源的加工唯一标识号，与该书古籍基本元数据的加工记录标识号一</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致，作用于古籍元数据和对象数据的关联。应填写正确，以免链接错误。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内部序号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标引数据的内部顺序号。数据类型为数字型，每条记录从1开始编号。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册名称</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古籍册次名称，自拟每册名称。名称包含册顺序号，并用括号括注该册古籍的</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起讫卷次信息，如“第一册(卷首上、卷首下)”“第二册(卷一至二)”。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册号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古籍图像文件按“册”保存的文件目录名称，数据类型为数字型，为4位阿拉伯数字，如“0001”“0002”等。</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册内文件数</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古籍册文件目录内的全部图像文件的数量。数据类型为数字型，用阿拉伯数字表示。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.4.2.3.2.</w:t>
      </w:r>
      <w:r>
        <w:rPr>
          <w:rFonts w:hint="eastAsia" w:ascii="仿宋" w:hAnsi="仿宋" w:eastAsia="仿宋" w:cs="仿宋"/>
          <w:color w:val="000000" w:themeColor="text1"/>
          <w:sz w:val="28"/>
          <w:szCs w:val="28"/>
          <w:highlight w:val="none"/>
          <w14:textFill>
            <w14:solidFill>
              <w14:schemeClr w14:val="tx1"/>
            </w14:solidFill>
          </w14:textFill>
        </w:rPr>
        <w:t xml:space="preserve">卷目和篇名数据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本部分标引对象为整理后的PDF各级目录和文件。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（1）标引规则</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卷目篇名数据是每部古籍数字资源的分卷和篇名信息。如果加工的古籍是丛书，应先将丛书拆分为子目，再对每个子目做卷目篇名数据。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古籍图书目录、类名、篇名具有多层次、多样化的特点，标引时很多细节难 以把握且不易硬性规定其取舍。因此，标引人员应从用户的角度分析判断，做到在实际使用中方便、合理。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卷目篇名在数据标引工作中应做到准确、客观。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准确性要求：标引词(古籍目录中的卷号、卷名、篇名)与标引对象(图像 文件的文件名)指向正确。古籍文献中存在较多的错字、别字、异体字，故录入 标引词时要兼顾字义、字音、字形诸因素。难以确定的文字应结合与该字相配的 词组，分析比较词意，取用表意准确的字进行标引。难以确定或使用现有字库无法录入的文字，可选择描述的方式，具体参见《汉语文古籍机读目录格式使用手册》中393字段系统外字附注的相关规定。</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客观性要求：客观性是指古籍图像数据标引必须来源于古籍文献，不加入标 引人员的看法和观点。实际工作中，在不影响标引客观性的前提下，可以对标引 数据进行必要的规范化处理。目录类名与正文类名不一致时，以正文为准。卷名、篇名、篇作者等信息一律取自正文，原书目录(总目、分卷目等)作为参考。</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古籍原书有目录，可以参考目录中的分卷分篇层级进行标引。每部古籍第一条记录取自“古籍基本元数据”的“题名”项。第二条起按古籍原书实际内容顺序客观标引。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古籍原书无目录，但有卷级信息，按书内正文客观标引；古籍原书无 目录，且无卷级信息，第一条标引记录取自“古籍基本元数据”的“题名”项，第二条标引“题名”项+“正文”。</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（2）标引项目</w:t>
      </w:r>
      <w:r/>
    </w:p>
    <w:p>
      <w:pPr>
        <w:ind w:firstLine="560"/>
        <w:jc w:val="left"/>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古籍分卷及篇名作者的标引项目及属性如表8所示。</w:t>
      </w:r>
      <w:r/>
    </w:p>
    <w:p>
      <w:pPr>
        <w:ind w:firstLine="482"/>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表8古籍卷目篇名数据标引项目列表</w:t>
      </w:r>
      <w:r/>
    </w:p>
    <w:tbl>
      <w:tblPr>
        <w:tblStyle w:val="985"/>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4"/>
        <w:gridCol w:w="2846"/>
        <w:gridCol w:w="4849"/>
      </w:tblGrid>
      <w:tr>
        <w:trPr>
          <w:jc w:val="center"/>
          <w:trHeight w:val="474"/>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序号</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项目</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属性</w:t>
            </w:r>
            <w:r/>
          </w:p>
        </w:tc>
      </w:tr>
      <w:tr>
        <w:trPr>
          <w:jc w:val="center"/>
          <w:trHeight w:val="43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加工记录标识号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68"/>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内部序号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3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层级号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6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卷名篇名</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48"/>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作者</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Height w:val="45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54"/>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7</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叶码</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（3）标引项目说明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加工记录标识号</w:t>
      </w:r>
      <w:r/>
    </w:p>
    <w:p>
      <w:pPr>
        <w:jc w:val="lef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古籍数字资源的加工唯一标识号，作用于古籍元数据和对象数据的关联，应 填写正确，以免链接错误。 一部古籍的加工记录标识号是一个号，各种数据类型使用加工记录标识号时应保持一致。</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内部序号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一部古籍卷目篇名的标引内部顺序号。每个加工记录标识号下的标引记录从1开始编号。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层级号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表示一个加工记录标识号下的各级卷目篇目之间的层级关系。书名为1级， 卷目层级为2级。同一级别卷目，属于并列关系，可重复使用“层级号”。卷内为包含关系的层级，从2级起，按序号递加方式标引。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.4.3.</w:t>
      </w:r>
      <w:r>
        <w:rPr>
          <w:rFonts w:hint="eastAsia" w:ascii="仿宋" w:hAnsi="仿宋" w:eastAsia="仿宋" w:cs="仿宋"/>
          <w:color w:val="000000" w:themeColor="text1"/>
          <w:sz w:val="28"/>
          <w:szCs w:val="28"/>
          <w:highlight w:val="none"/>
          <w14:textFill>
            <w14:solidFill>
              <w14:schemeClr w14:val="tx1"/>
            </w14:solidFill>
          </w14:textFill>
        </w:rPr>
        <w:t xml:space="preserve">古籍全文文本转换需求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对古籍数字化图像文件进行OCR识别和人工校对，并转换为文本文件。实现对于古籍文献的自动全文识别，支持版刻、抄本、油印等多种版本类型识别，能处理大小字、双行夹注、眉批、横竖混排等复杂版式条件下的识别问题。</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（1）支持对获取的图像，根据版面布局、内容进行分析理解，划分出区域栏。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（2）将版式分析合格的结果进行单字切分。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（3）按照古籍文本内容的逻辑顺序进行录入，强调字符、数字和各种可打印符号的准确性和完整性，可以忽略版式信息，如分栏的文本以单元格或栏目顺序为单位进行录入，而不是逐行录入。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（4）正文、注释、小注等区分。同一版面的大、小字，将单行或双行小字，在文本文件的对应位置用括号“（）”标识，将文字内容放在括号里。 </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（5）正确划分文本段落。每个段落用“回行”区分处理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（6）不需转换的空白页。为保持古籍内容完整性和页面连贯性，需保留正文中空白页，并按照命名规则正确命名，内容标注为“[=此叶为空白叶页=]”。</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（7）地图、表格无需处理。正文中地图、表格无需识别转换，在文本文件的对应位置用方括号“[ ]”做内容标注。如“[=此处为地图=]”或“[= 此处为表格=]”。</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（8）因古籍图书的残缺、断版，文字漫漶不清等情况，造成文本数据转换困难时，可在文本文件对于应位置用方括号“[ ]”做出标注。如“[=此处版面残缺=]”“[=此处文字模糊=]”。</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（9）使用 UTF-8 编码方式、Unicode5.0 以上版本字符集。文件格式与字符编码无误。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10）集外字处理。对于集外字或现有字库中无法显示的汉字，用符号“〓”表示缺字，并应建立“集外字表”，详细填写该字的描述信息。描述方法具体参见国家图书馆编《汉语文古籍机读目录格式使用手册》中393 字段“系统外字附注”等相关说明。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（11）文本数据的字符、符号等信息的综合错误率不超过 1‰。</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（12）文本数据与基本元数据、结构数据、标引数据、说明文件等各类数据，具有关联关系且著录无误。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（13）由图像文件逐页进行文本转换，生成单版 TXT 文件，文件名与对应图像文件名一致。</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（14）文本文件内容应忠实于原典文献，完整有序。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.4.4.</w:t>
      </w:r>
      <w:r>
        <w:rPr>
          <w:rFonts w:hint="eastAsia" w:ascii="仿宋" w:hAnsi="仿宋" w:eastAsia="仿宋" w:cs="仿宋"/>
          <w:color w:val="000000" w:themeColor="text1"/>
          <w:sz w:val="28"/>
          <w:szCs w:val="28"/>
          <w:highlight w:val="none"/>
          <w14:textFill>
            <w14:solidFill>
              <w14:schemeClr w14:val="tx1"/>
            </w14:solidFill>
          </w14:textFill>
        </w:rPr>
        <w:t xml:space="preserve">数据命名要求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严格按照《规范手册》数据命名要求执行。每部古籍分配唯一的古籍文献加工记录标识号，每部古籍目录结构分为 2 层，包括函文件夹和册文件夹。按《规范手册》做好古籍数据文件的命名，并做好元数据和对象数据的正确关联。</w:t>
      </w:r>
      <w:r/>
    </w:p>
    <w:p>
      <w:pPr>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技术方法、设备要求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拥有自主研发的数字化加工软件平台，具备项目管理、流程管控、任务分配、统计管理、权限管理、数据包流转管理等模块，包括图像自动处理、全文识别、古籍标引、人机交互质检等，并提供平台对应工序的界面截图。</w:t>
      </w:r>
      <w:r/>
    </w:p>
    <w:p>
      <w:pPr>
        <w:numPr>
          <w:ilvl w:val="0"/>
          <w:numId w:val="0"/>
        </w:numPr>
        <w:ind w:left="0" w:firstLine="0"/>
        <w:jc w:val="both"/>
        <w:keepLines w:val="0"/>
        <w:keepNext w:val="0"/>
        <w:pageBreakBefore w:val="0"/>
        <w:spacing w:line="560" w:lineRule="exact"/>
        <w:widowControl w:val="off"/>
        <w:rPr>
          <w:rFonts w:hint="default" w:ascii="仿宋" w:hAnsi="仿宋" w:eastAsia="仿宋" w:cs="仿宋"/>
          <w:b/>
          <w:bCs/>
          <w:color w:val="000000" w:themeColor="text1"/>
          <w:sz w:val="28"/>
          <w:szCs w:val="28"/>
          <w:highlight w:val="none"/>
          <w:lang w:val="en-US" w:eastAsia="zh-CN" w:bidi="ar-SA"/>
          <w14:textFill>
            <w14:solidFill>
              <w14:schemeClr w14:val="tx1"/>
            </w14:solidFill>
          </w14:textFill>
        </w:rPr>
        <w:outlineLvl w:val="2"/>
      </w:pPr>
      <w:r>
        <w:rPr>
          <w:rFonts w:hint="eastAsia" w:ascii="仿宋" w:hAnsi="仿宋" w:cs="仿宋"/>
          <w:b/>
          <w:bCs/>
          <w:color w:val="000000" w:themeColor="text1"/>
          <w:sz w:val="28"/>
          <w:szCs w:val="28"/>
          <w:highlight w:val="none"/>
          <w:lang w:val="zh-CN" w:eastAsia="zh-CN" w:bidi="ar-SA"/>
          <w14:textFill>
            <w14:solidFill>
              <w14:schemeClr w14:val="tx1"/>
            </w14:solidFill>
          </w14:textFill>
        </w:rPr>
        <w:t xml:space="preserve">（</w:t>
      </w:r>
      <w:r>
        <w:rPr>
          <w:rFonts w:hint="eastAsia" w:ascii="仿宋" w:hAnsi="仿宋" w:cs="仿宋"/>
          <w:b/>
          <w:bCs/>
          <w:color w:val="000000" w:themeColor="text1"/>
          <w:sz w:val="28"/>
          <w:szCs w:val="28"/>
          <w:highlight w:val="none"/>
          <w:lang w:val="en-US" w:eastAsia="zh-CN" w:bidi="ar-SA"/>
          <w14:textFill>
            <w14:solidFill>
              <w14:schemeClr w14:val="tx1"/>
            </w14:solidFill>
          </w14:textFill>
        </w:rPr>
        <w:t xml:space="preserve">二）分包2：</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古籍数字化加工服务</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驻场完成秦淮、鼓楼、六合、江宁</w:t>
      </w:r>
      <w:r>
        <w:rPr>
          <w:rFonts w:hint="eastAsia" w:ascii="仿宋" w:hAnsi="仿宋" w:cs="仿宋"/>
          <w:color w:val="000000" w:themeColor="text1"/>
          <w:sz w:val="28"/>
          <w:szCs w:val="28"/>
          <w:highlight w:val="none"/>
          <w:lang w:eastAsia="zh-CN"/>
          <w14:textFill>
            <w14:solidFill>
              <w14:schemeClr w14:val="tx1"/>
            </w14:solidFill>
          </w14:textFill>
        </w:rPr>
        <w:t xml:space="preserve">、</w:t>
      </w:r>
      <w:r>
        <w:rPr>
          <w:rFonts w:hint="eastAsia" w:ascii="仿宋" w:hAnsi="仿宋" w:cs="仿宋"/>
          <w:color w:val="000000" w:themeColor="text1"/>
          <w:sz w:val="28"/>
          <w:szCs w:val="28"/>
          <w:highlight w:val="none"/>
          <w:lang w:val="en-US" w:eastAsia="zh-CN"/>
          <w14:textFill>
            <w14:solidFill>
              <w14:schemeClr w14:val="tx1"/>
            </w14:solidFill>
          </w14:textFill>
        </w:rPr>
        <w:t xml:space="preserve">高淳等五</w:t>
      </w:r>
      <w:r>
        <w:rPr>
          <w:rFonts w:hint="eastAsia" w:ascii="仿宋" w:hAnsi="仿宋" w:eastAsia="仿宋" w:cs="仿宋"/>
          <w:color w:val="000000" w:themeColor="text1"/>
          <w:sz w:val="28"/>
          <w:szCs w:val="28"/>
          <w:highlight w:val="none"/>
          <w14:textFill>
            <w14:solidFill>
              <w14:schemeClr w14:val="tx1"/>
            </w14:solidFill>
          </w14:textFill>
        </w:rPr>
        <w:t xml:space="preserve">家区图书馆共计1</w:t>
      </w:r>
      <w:r>
        <w:rPr>
          <w:rFonts w:hint="eastAsia" w:ascii="仿宋" w:hAnsi="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万筒子叶的古籍数字化加工（具体册数以采购人提供的为准）。加工标准依据为国家图书馆（国家古籍保护中心）制定的《全国智慧图书馆体系建设：古籍数字化和知识标引规范手册（暂行）》。依标准完成古籍原件及古籍文献登记、古籍基本元数据著录、古籍结构数据标引、古籍卷目和篇目数据标引、古籍全文文本转化、XML封装，以及规范提供TIFF、PDF、TXT等格式。项目实施所需的软硬件设备均由成交供应商提供。</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14:textFill>
            <w14:solidFill>
              <w14:schemeClr w14:val="tx1"/>
            </w14:solidFill>
          </w14:textFill>
        </w:rPr>
        <w:t xml:space="preserve">采购项目技术及服务要求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各项技术标准须符合国家图书馆（国家古籍保护中心）《全国智慧图书馆体系建设：古籍数字化和知识标引规范手册（暂行）》（2024年2月）（以下简称“《规范手册》”）相关要求（若国家图书馆（国家古籍保护中心）在项目建设期内对相关标准进行修订或更新，则以修订、更新版本为准），包括但不限于以下技术需求（若相关需求与《规范手册》不一致，负偏离部分以《规范手册》为准）。</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3.1.</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服务期限</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本项目服务完成期限为</w:t>
      </w:r>
      <w:bookmarkStart w:id="195" w:name="OLE_LINK6"/>
      <w:r>
        <w:rPr>
          <w:rFonts w:hint="eastAsia" w:ascii="仿宋" w:hAnsi="仿宋" w:cs="仿宋"/>
          <w:color w:val="000000" w:themeColor="text1"/>
          <w:sz w:val="28"/>
          <w:szCs w:val="28"/>
          <w:highlight w:val="none"/>
          <w:lang w:val="en-US" w:eastAsia="zh-CN"/>
          <w14:textFill>
            <w14:solidFill>
              <w14:schemeClr w14:val="tx1"/>
            </w14:solidFill>
          </w14:textFill>
        </w:rPr>
        <w:t xml:space="preserve">2026</w:t>
      </w:r>
      <w:bookmarkEnd w:id="195"/>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cs="仿宋"/>
          <w:color w:val="000000" w:themeColor="text1"/>
          <w:sz w:val="28"/>
          <w:szCs w:val="28"/>
          <w:highlight w:val="none"/>
          <w:lang w:val="en-US" w:eastAsia="zh-CN"/>
          <w14:textFill>
            <w14:solidFill>
              <w14:schemeClr w14:val="tx1"/>
            </w14:solidFill>
          </w14:textFill>
        </w:rPr>
        <w:t xml:space="preserve">15</w:t>
      </w:r>
      <w:r>
        <w:rPr>
          <w:rFonts w:hint="eastAsia" w:ascii="仿宋" w:hAnsi="仿宋" w:eastAsia="仿宋" w:cs="仿宋"/>
          <w:color w:val="000000" w:themeColor="text1"/>
          <w:sz w:val="28"/>
          <w:szCs w:val="28"/>
          <w:highlight w:val="none"/>
          <w14:textFill>
            <w14:solidFill>
              <w14:schemeClr w14:val="tx1"/>
            </w14:solidFill>
          </w14:textFill>
        </w:rPr>
        <w:t xml:space="preserve">日，成交供应商应将项目成果以移动硬盘承载方式提交给采购人，移动硬盘涉及的费用已包含在报价内。</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3.2.</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古籍数字化加工服务成果形态与质量要求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3.2.1.</w:t>
      </w:r>
      <w:r>
        <w:rPr>
          <w:rFonts w:hint="eastAsia" w:ascii="仿宋" w:hAnsi="仿宋" w:eastAsia="仿宋" w:cs="仿宋"/>
          <w:color w:val="000000" w:themeColor="text1"/>
          <w:sz w:val="28"/>
          <w:szCs w:val="28"/>
          <w:highlight w:val="none"/>
          <w14:textFill>
            <w14:solidFill>
              <w14:schemeClr w14:val="tx1"/>
            </w14:solidFill>
          </w14:textFill>
        </w:rPr>
        <w:t xml:space="preserve">数据成果文件与格式要求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要求提交XML 文件、长期保存级及发布服务级对象数据、文献整理登记表和外字表、说明文件等成果文件。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（1）XML 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XML 文件内容包括古籍基本元数据、结构数据、卷目篇名。</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（2）对象数据</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长期保存级、发布服务级数据，包括：</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TIFF 格式文件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格式文件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TXT 格式文件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（3）文献整理登记表和外字表</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文献整理登记表和外字表用 EXCEL 表填写。</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文献整理登记表内容包括：名录号、普查编号、索书号、题名、册数、总叶数、开本尺寸、透字、夹框、夹字、皱折、缺残叶、重叶、签条、夹纸、登记人员、登记日期、备注。</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外字表的内容包括：加工记录标识号、内部序号、外字、描述、位置。</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（4）说明文件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项目总体说明文件用 EXCEL 表填写。</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填写内容包括：项目建设年、单位名称；记录标识号、题名、TIFF 格式文件数量、PDF 格式文件数量、TXT 格式文件数量、采集分辨率/拍照像素；备注（需要特别说明的事项）。</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3.2.2.</w:t>
      </w:r>
      <w:r>
        <w:rPr>
          <w:rFonts w:hint="eastAsia" w:ascii="仿宋" w:hAnsi="仿宋" w:eastAsia="仿宋" w:cs="仿宋"/>
          <w:color w:val="000000" w:themeColor="text1"/>
          <w:sz w:val="28"/>
          <w:szCs w:val="28"/>
          <w:highlight w:val="none"/>
          <w14:textFill>
            <w14:solidFill>
              <w14:schemeClr w14:val="tx1"/>
            </w14:solidFill>
          </w14:textFill>
        </w:rPr>
        <w:t xml:space="preserve">成果数据存储结构要求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（1）单种古籍建立四级文件目录，分别为：</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一级目录：加工记录标识号</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二级目录：metadata、object、information</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三级目录：对象数据。在 Object 下面建立三个子目录，即 TIFF、PDF、TXT</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四级目录：按图书册次建立的册目录；</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（2）丛书古籍建立五级文件目录，分别为：</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一级目录：丛书加工记录标识号</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二级目录：metadata、object、information</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三级目录：对象数据。在 Object 下面建立三个子目录，即 TIFF、PDF、TXT</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四级目录：子目加工记录标识号</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五级目录：按图书册次建立的册目录</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3.2.3.</w:t>
      </w:r>
      <w:r>
        <w:rPr>
          <w:rFonts w:hint="eastAsia" w:ascii="仿宋" w:hAnsi="仿宋" w:eastAsia="仿宋" w:cs="仿宋"/>
          <w:color w:val="000000" w:themeColor="text1"/>
          <w:sz w:val="28"/>
          <w:szCs w:val="28"/>
          <w:highlight w:val="none"/>
          <w14:textFill>
            <w14:solidFill>
              <w14:schemeClr w14:val="tx1"/>
            </w14:solidFill>
          </w14:textFill>
        </w:rPr>
        <w:t xml:space="preserve">验收及成果数据质量要求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将对图像文件、双层PDF文件、数据成果等逐一进行验收，发现问题后承建单位需按照采购方要求及时进行返工。全部合格后，项目才能通过验收。成果文件需存储到承建方提供的光盘和移动硬盘中。承建方在项目结束后需将计算机内硬盘、存储介质等移交馆方。</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（1）送检数据有效，与《规范手册》中要求提交的成果数据文件的内容和数量一致，不夹杂无关文件。</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（2）著录、标引文字、符号、标引位置等信息准确，综合错误率不超过 0.3‰。</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（3）双层 PDF、全文文本文件的内容编码、文字识别等，综合错误率不超过 1‰。</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（4）数据的采集方式、技术指标、文件格式、文件命名、图像处理等综合错误率不超过 1‰。</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（5）成果数据中古籍图像完整，无缺失；数据类型和文件结构符合规范要求，且无坏死文件、不携带病毒，错误率为 0。</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（6）达到标准的数据视为合格，在规定错误率范围内检查出的数据问题由资源提交单位进行修正；超出错误率、未达到标准的数据由资源提交单位对全部数据进行整改、返工处理。</w:t>
      </w:r>
      <w:r/>
    </w:p>
    <w:p>
      <w:pPr>
        <w:ind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流程要求 </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古籍图像数字化需求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总体要求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古籍图像采集须按标准要求进行图像色彩位数、分辨率、像素、格式采集及存储。后期图像处理须严格执行色彩管理，并按要求做好色彩校正、输出色彩转换、格式转换、图像切分及图像拼接等工作。</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数字化加工设备参数要求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（一）设备要求：</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（1）扫描：扫描设备选择非接触式扫描仪</w:t>
      </w:r>
      <w:r>
        <w:rPr>
          <w:rFonts w:hint="eastAsia" w:ascii="仿宋" w:hAnsi="仿宋" w:cs="仿宋"/>
          <w:color w:val="000000" w:themeColor="text1"/>
          <w:sz w:val="28"/>
          <w:szCs w:val="28"/>
          <w:highlight w:val="none"/>
          <w:lang w:val="en-US" w:eastAsia="zh-CN"/>
          <w14:textFill>
            <w14:solidFill>
              <w14:schemeClr w14:val="tx1"/>
            </w14:solidFill>
          </w14:textFill>
        </w:rPr>
        <w:t xml:space="preserve">2台</w:t>
      </w:r>
      <w:r>
        <w:rPr>
          <w:rFonts w:hint="eastAsia" w:ascii="仿宋" w:hAnsi="仿宋" w:eastAsia="仿宋" w:cs="仿宋"/>
          <w:color w:val="000000" w:themeColor="text1"/>
          <w:sz w:val="28"/>
          <w:szCs w:val="28"/>
          <w:highlight w:val="none"/>
          <w14:textFill>
            <w14:solidFill>
              <w14:schemeClr w14:val="tx1"/>
            </w14:solidFill>
          </w14:textFill>
        </w:rPr>
        <w:t xml:space="preserve">。设备A3幅面的光学分辨率600dpi以上，色彩位数24bit。扫描设备应是无紫外线的同步冷光源。</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（2）拍照：数码拍照相机的有效像素不低于6500万像素，裁切后图像短边像素换算分辨率不得低于同规格扫描分辨率，感光元件尺寸不低于全画幅（36×24mm），采用1：1微距镜头。</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备注：每日设备使用前进行色彩校正，以使文献色彩还原度高，真实。</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（二）其他附件要求</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（1）托稿台：为文献数码拍照的平台。托稿台材质应选用经过脱酸处理的，书籍托架应稳定牢固。</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（2）扫描仪的自动评测被拍摄物重量，通过液压调节拍摄物与上下压平装置的空间和力度，控制拍摄物位置和平整度。</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（3）照明：无紫外线或红外线的排放，冷光源LED照明系统。</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（4）避光：日光灯、太阳光线</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（5）扫描方式：国图标准色卡校对，手动对焦。</w:t>
      </w:r>
      <w:r/>
    </w:p>
    <w:p>
      <w:pPr>
        <w:ind w:firstLine="560"/>
        <w:jc w:val="left"/>
        <w:keepLines w:val="0"/>
        <w:keepNext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（6）背景布置：中灰色纸板，即18%灰板。</w:t>
      </w:r>
      <w:r/>
    </w:p>
    <w:p>
      <w:pPr>
        <w:ind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8"/>
          <w:szCs w:val="28"/>
          <w:highlight w:val="none"/>
          <w14:textFill>
            <w14:solidFill>
              <w14:schemeClr w14:val="tx1"/>
            </w14:solidFill>
          </w14:textFill>
        </w:rPr>
        <w:t xml:space="preserve">数字化图像采集参数</w:t>
      </w:r>
      <w:r/>
    </w:p>
    <w:tbl>
      <w:tblPr>
        <w:tblStyle w:val="76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128"/>
        <w:gridCol w:w="1277"/>
        <w:gridCol w:w="1193"/>
        <w:gridCol w:w="1348"/>
        <w:gridCol w:w="1090"/>
        <w:gridCol w:w="1413"/>
        <w:gridCol w:w="1220"/>
      </w:tblGrid>
      <w:tr>
        <w:trPr>
          <w:jc w:val="center"/>
        </w:trPr>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资源级别</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载体规格</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分辨率（dpi）</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色彩位深</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格式</w:t>
            </w:r>
            <w:r/>
          </w:p>
        </w:tc>
        <w:tc>
          <w:tcPr>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短边像素</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文件大小</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说明</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长期保存级</w:t>
            </w:r>
            <w:r/>
          </w:p>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（A）</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文献短边≥14.8cm（A5尺寸）</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800</w:t>
            </w:r>
            <w:r/>
          </w:p>
        </w:tc>
        <w:tc>
          <w:tcPr>
            <w:tcBorders>
              <w:top w:val="single" w:color="auto" w:sz="4" w:space="0"/>
              <w:left w:val="single" w:color="auto" w:sz="4" w:space="0"/>
              <w:bottom w:val="single" w:color="auto" w:sz="4" w:space="0"/>
              <w:right w:val="single" w:color="auto" w:sz="4" w:space="0"/>
            </w:tcBorders>
            <w:tcW w:w="605"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RGB24位以上</w:t>
            </w:r>
            <w:r/>
          </w:p>
        </w:tc>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TIFF（LZW）</w:t>
            </w:r>
            <w:r/>
          </w:p>
        </w:tc>
        <w:tc>
          <w:tcPr>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不小于4500</w:t>
            </w:r>
            <w:r/>
          </w:p>
        </w:tc>
        <w:tc>
          <w:tcPr>
            <w:tcBorders>
              <w:top w:val="single" w:color="auto" w:sz="4" w:space="0"/>
              <w:left w:val="single" w:color="auto" w:sz="4" w:space="0"/>
              <w:bottom w:val="single" w:color="auto" w:sz="4" w:space="0"/>
              <w:right w:val="single" w:color="auto" w:sz="4" w:space="0"/>
            </w:tcBorders>
            <w:tcW w:w="717"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文献开本小于A5应提高采集分辨率</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文献短边≥21m（A4尺寸）</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600</w:t>
            </w:r>
            <w:r/>
          </w:p>
        </w:tc>
        <w:tc>
          <w:tcPr>
            <w:tcBorders>
              <w:top w:val="single" w:color="auto" w:sz="4" w:space="0"/>
              <w:left w:val="single" w:color="auto" w:sz="4" w:space="0"/>
              <w:bottom w:val="single" w:color="auto" w:sz="4" w:space="0"/>
              <w:right w:val="single" w:color="auto" w:sz="4" w:space="0"/>
            </w:tcBorders>
            <w:tcW w:w="605"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3"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不小于4800</w:t>
            </w:r>
            <w:r/>
          </w:p>
        </w:tc>
        <w:tc>
          <w:tcPr>
            <w:tcBorders>
              <w:top w:val="single" w:color="auto" w:sz="4" w:space="0"/>
              <w:left w:val="single" w:color="auto" w:sz="4" w:space="0"/>
              <w:bottom w:val="single" w:color="auto" w:sz="4" w:space="0"/>
              <w:right w:val="single" w:color="auto" w:sz="4" w:space="0"/>
            </w:tcBorders>
            <w:tcW w:w="717"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文献开本大于A4采集分辨率不变</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发布服务级（D）</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文献短边≥14.8cm（A5尺寸）</w:t>
            </w:r>
            <w:r/>
          </w:p>
        </w:tc>
        <w:tc>
          <w:tcPr>
            <w:tcBorders>
              <w:top w:val="single" w:color="auto" w:sz="4" w:space="0"/>
              <w:left w:val="single" w:color="auto" w:sz="4" w:space="0"/>
              <w:bottom w:val="single" w:color="auto" w:sz="4" w:space="0"/>
              <w:right w:val="single" w:color="auto" w:sz="4" w:space="0"/>
            </w:tcBorders>
            <w:tcW w:w="648"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原有分辨率保持不变</w:t>
            </w:r>
            <w:r/>
          </w:p>
        </w:tc>
        <w:tc>
          <w:tcPr>
            <w:tcBorders>
              <w:top w:val="single" w:color="auto" w:sz="4" w:space="0"/>
              <w:left w:val="single" w:color="auto" w:sz="4" w:space="0"/>
              <w:bottom w:val="single" w:color="auto" w:sz="4" w:space="0"/>
              <w:right w:val="single" w:color="auto" w:sz="4" w:space="0"/>
            </w:tcBorders>
            <w:tcW w:w="605"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RGB24位</w:t>
            </w:r>
            <w:r/>
          </w:p>
        </w:tc>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双层PDF</w:t>
            </w:r>
            <w:r/>
          </w:p>
        </w:tc>
        <w:tc>
          <w:tcPr>
            <w:tcBorders>
              <w:top w:val="single" w:color="auto" w:sz="4" w:space="0"/>
              <w:left w:val="single" w:color="auto" w:sz="4" w:space="0"/>
              <w:bottom w:val="single" w:color="auto" w:sz="4" w:space="0"/>
              <w:right w:val="single" w:color="auto" w:sz="4" w:space="0"/>
            </w:tcBorders>
            <w:tcW w:w="553"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17"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500KB-1MB</w:t>
            </w:r>
            <w:r/>
          </w:p>
        </w:tc>
        <w:tc>
          <w:tcPr>
            <w:tcBorders>
              <w:top w:val="single" w:color="auto" w:sz="4" w:space="0"/>
              <w:left w:val="single" w:color="auto" w:sz="4" w:space="0"/>
              <w:bottom w:val="single" w:color="auto" w:sz="4" w:space="0"/>
              <w:right w:val="single" w:color="auto" w:sz="4" w:space="0"/>
            </w:tcBorders>
            <w:tcW w:w="619" w:type="pct"/>
            <w:vAlign w:val="center"/>
            <w:vMerge w:val="restart"/>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通过JPEG2000图像压缩处理和OCR识别，并辅以校对生成。</w:t>
            </w:r>
            <w:r/>
          </w:p>
        </w:tc>
      </w:tr>
      <w:tr>
        <w:trPr>
          <w:jc w:val="center"/>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文献短边≥21m（A4尺寸）</w:t>
            </w:r>
            <w:r/>
          </w:p>
        </w:tc>
        <w:tc>
          <w:tcPr>
            <w:tcBorders>
              <w:top w:val="single" w:color="auto" w:sz="4" w:space="0"/>
              <w:left w:val="single" w:color="auto" w:sz="4" w:space="0"/>
              <w:bottom w:val="single" w:color="auto" w:sz="4" w:space="0"/>
              <w:right w:val="single" w:color="auto" w:sz="4" w:space="0"/>
            </w:tcBorders>
            <w:tcW w:w="648"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5"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3"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7"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9" w:type="pct"/>
            <w:vAlign w:val="center"/>
            <w:vMerge w:val="continue"/>
            <w:textDirection w:val="lrTb"/>
            <w:noWrap w:val="false"/>
          </w:tcPr>
          <w:p>
            <w:pPr>
              <w:ind w:firstLine="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仿宋"/>
          <w:color w:val="000000" w:themeColor="text1"/>
          <w:sz w:val="28"/>
          <w:szCs w:val="28"/>
          <w:highlight w:val="none"/>
          <w14:textFill>
            <w14:solidFill>
              <w14:schemeClr w14:val="tx1"/>
            </w14:solidFill>
          </w14:textFill>
        </w:rPr>
        <w:t xml:space="preserve">图像采集操作要求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不拆书，采用非接触性拍摄或扫描设备采集图像，一般采集双半叶古籍TIFF图像，封面封底除外（单半叶）。线装书以外古籍，需根据装帧、版式等实际情况再确定采集图像方式，原则上一套古籍只采用一种采集方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（2）古籍原件，以册为单位进行数字化，从古籍封面、前护、正文、后护、封底等依次加工。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（3）采用IT8 标准色彩导表（以下简称色卡），色卡（含标尺）应与每册古籍封面一同拍摄或扫描。色卡位置与古籍左侧书角对齐，距离封面左侧 0.1～1 厘米位置。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（4）采集图像清晰，数据文件叶码连续，没有重叶、缺叶，错叶、折叶等情况（原书缺叶、错叶除外）。</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（5）按 1:1 比例扫描，图书叶面外围要求留白，宽度不超过 1 厘米；书叶间距不超过 0.1 厘米。</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（6）以原书的上边沿为基准，以中缝为中心线，保持原文献的天头、地脚的尺寸不变，左右两边的尺寸基本不变。图像倾斜角度不大于 0.2 度。</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（7）原件表面有其他粘贴物件时，先将原件与粘贴物（即粘贴物覆盖于文献）一起扫描，然后将粘贴物掀开，再次扫描原件。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古籍整理完毕后，需根据古籍实际透字状态确定有无必要添加衬纸。透字情况不很严重、不影响阅读的情况下，无需添加衬纸。必须注意的是，加垫衬纸不应对古籍造成损坏。加垫衬纸前应先评估图书纸张厚度、纸张强度、折叶空隙等情况，选择适宜的衬纸。衬纸应保持整洁，出现污渍、褶皱时要及时更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（9）原件超大幅面（如地图）分画幅扫描时，各扫描区域边缘必须留有 2厘米（含）以上的重复扫描区。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（10）采集图像完整清晰，无扭曲、变形现象发生。数字图像文件用图形图像类软件检查清晰度（图像放大至实际尺寸 100%），确保图像不失真。</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（11）定时做采集设备和输出设备的色彩校正。工作过程中，当数字图像文件与古籍原件颜色不一致时，应及时进行色彩校正，重新完成图像采集工作。</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.1.5.</w:t>
      </w:r>
      <w:r>
        <w:rPr>
          <w:rFonts w:hint="eastAsia" w:ascii="仿宋" w:hAnsi="仿宋" w:eastAsia="仿宋" w:cs="仿宋"/>
          <w:color w:val="000000" w:themeColor="text1"/>
          <w:sz w:val="28"/>
          <w:szCs w:val="28"/>
          <w:highlight w:val="none"/>
          <w14:textFill>
            <w14:solidFill>
              <w14:schemeClr w14:val="tx1"/>
            </w14:solidFill>
          </w14:textFill>
        </w:rPr>
        <w:t xml:space="preserve">图像处理要求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（1）针对长期保存级的古籍图像处理应在未改变原扫描图像色彩位数、分辨率、像素、格式等情况下进行。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纠偏处理。对出现偏斜的图像进行纠偏处理，对方向不正确的图像进行旋转还原，以符合阅读习惯。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图像剪裁。只允许处理古籍背景纸与图书外边缘的空白处。古籍原书与背景纸外边缘距离 0.5～1 厘米。</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不能进行锐化或者图像增强处理，不能更改图像的颜色，尽量减少对图像文件的后期处理。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（2）发布级的图像需要进行格式转换、图像切分及图像拼接和双层PDF处理，要求如下：</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格式转换要求：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由长期保存级文件（A）转换为发布服务级（D）文件。在评估文献的纸张颜色、文字大小、版面、清晰度等因素基础上，将无损 TIFF 格式按 jpeg2000 压缩方法，选择适宜的压缩因子，做有损压缩处理后转换为 PDF 格式文件。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图像切分要求：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半叶图像文件处理。通常数字化采集的古籍图像为双半叶 TIFF 文件，PDF 文件须按半叶图像进行切分保存。切分图像分辨率不做任何改变，以书脊中线为切分线，将原有的半叶处理为独立的页面。书脊右侧的半叶为页面 A，书脊左侧的半叶为页面 B。切分后，包含古籍版框和文字的图像信息应完整无损，并按命名规则对切分文件进行命名。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古籍封面文件处理。古籍封面的 TIFF 文件带有色卡和标尺。为保持全册古籍图像画面大小一致，须对封面 PDF 文件进行色卡和标尺的裁切处理，裁切后只保留古籍封面。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图像拼接要求：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古籍超大幅面（如地图）分拍采集影像后，按需对古籍图像进行拼接处理，即对 PDF 格式文件做拼接处理。拼接时对图像分辨率不做任何改变，拼接后图像与古籍的原貌基本一致，无重影，拼接处无明显歪斜变形。按命名规则重新对拼接文件进行命名。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双层 PDF 输出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经过图像处理和 OCR 识别，采用图在文上的模式进行双层 PDF 输出。该文件是双层的，上层是原始图像，下层是识别结果。</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文件的图像层包括古籍图书从封面到封底的所有叶。根据图像尺寸、颜色、数据存储量，按 JPEG2000 有损压缩，压缩因子适度动态调整，在确保图像清晰的情况下，尽量压缩图像文件所占空间至最小。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文件的文字层所使用的字体以“已嵌入子集”方式嵌入 PDF 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单个文件存储容量不超过 1MB。</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PDF 文件格式编码为 1.5 版本以上，兼容 Adobe reader6.0 及以上</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古籍元数据著录需求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28"/>
          <w:szCs w:val="28"/>
          <w:highlight w:val="none"/>
          <w14:textFill>
            <w14:solidFill>
              <w14:schemeClr w14:val="tx1"/>
            </w14:solidFill>
          </w14:textFill>
        </w:rPr>
        <w:t xml:space="preserve">文献整理登记要求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工作人员检查原书状况，清点文献册数，根据“古籍文献整理登记”项目的内容和要求，客观、准确记录文献存藏状况。</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古籍文献整理登记项目共 18 项，如下表所示：</w:t>
      </w:r>
      <w:r/>
    </w:p>
    <w:tbl>
      <w:tblPr>
        <w:tblStyle w:val="9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5524"/>
        <w:gridCol w:w="3244"/>
      </w:tblGrid>
      <w:tr>
        <w:trPr>
          <w:jc w:val="center"/>
        </w:trPr>
        <w:tc>
          <w:tcPr>
            <w:tcW w:w="551" w:type="pct"/>
            <w:vAlign w:val="center"/>
            <w:textDirection w:val="lrTb"/>
            <w:noWrap w:val="false"/>
          </w:tcPr>
          <w:p>
            <w:pPr>
              <w:ind w:firstLine="0"/>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序号</w:t>
            </w:r>
            <w:r/>
          </w:p>
        </w:tc>
        <w:tc>
          <w:tcPr>
            <w:tcW w:w="2802" w:type="pct"/>
            <w:vAlign w:val="center"/>
            <w:textDirection w:val="lrTb"/>
            <w:noWrap w:val="false"/>
          </w:tcPr>
          <w:p>
            <w:pPr>
              <w:ind w:firstLine="0"/>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项目</w:t>
            </w:r>
            <w:r/>
          </w:p>
        </w:tc>
        <w:tc>
          <w:tcPr>
            <w:tcW w:w="1645" w:type="pct"/>
            <w:vAlign w:val="center"/>
            <w:textDirection w:val="lrTb"/>
            <w:noWrap w:val="false"/>
          </w:tcPr>
          <w:p>
            <w:pPr>
              <w:ind w:firstLine="0"/>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属性</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名录号</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普查编号</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索书号</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题名（正题名、卷数以及题名说明</w:t>
            </w:r>
            <w:r/>
          </w:p>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文字）</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册数</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总叶数</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7</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开本尺寸（高度×宽度，单位 cm）</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8</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透字（有无）</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9</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夹框（有无）</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10</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夹字（有无）</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11</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皱褶（总数量及位置）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12</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缺残叶（总数量及位置）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13</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重叶（总数量及位置）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14</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签条（总数量及位置）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15</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夹纸（总数量及位置）</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16</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登记人员（单位）</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17</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登记日期</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r>
        <w:trPr>
          <w:jc w:val="center"/>
        </w:trPr>
        <w:tc>
          <w:tcPr>
            <w:tcW w:w="551"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18</w:t>
            </w:r>
            <w:r/>
          </w:p>
        </w:tc>
        <w:tc>
          <w:tcPr>
            <w:tcW w:w="2802"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备注</w:t>
            </w:r>
            <w:r/>
          </w:p>
        </w:tc>
        <w:tc>
          <w:tcPr>
            <w:tcW w:w="1645" w:type="pct"/>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28"/>
          <w:szCs w:val="28"/>
          <w:highlight w:val="none"/>
          <w14:textFill>
            <w14:solidFill>
              <w14:schemeClr w14:val="tx1"/>
            </w14:solidFill>
          </w14:textFill>
        </w:rPr>
        <w:t xml:space="preserve">基本元数据著录要求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（1）著录对象：古籍原件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（2）著录单位：以每种（部）古籍原件为基本著录单位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著录文字：除“题名”客观著录外，其他采用规范的繁体汉字。参照国务院公布，教育部、国家语言文字工作委员会制定《通用规范汉字表》。“题名”中的卷数、“日期”元素中的年号纪年应使用汉文数字著录；其他如数量、开本尺寸和公元纪年等数字均用阿拉伯数字著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（4）著录项目：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基本著录项目：共17个元素。</w:t>
      </w:r>
      <w:r/>
    </w:p>
    <w:tbl>
      <w:tblPr>
        <w:tblStyle w:val="9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4"/>
        <w:gridCol w:w="3180"/>
        <w:gridCol w:w="1862"/>
        <w:gridCol w:w="3088"/>
      </w:tblGrid>
      <w:tr>
        <w:trPr>
          <w:jc w:val="center"/>
        </w:trPr>
        <w:tc>
          <w:tcPr>
            <w:tcW w:w="1491"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元素</w:t>
            </w:r>
            <w:r/>
          </w:p>
        </w:tc>
        <w:tc>
          <w:tcPr>
            <w:tcW w:w="2750"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元素修饰词</w:t>
            </w:r>
            <w:r/>
          </w:p>
        </w:tc>
        <w:tc>
          <w:tcPr>
            <w:tcW w:w="1610"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编码体系修饰词</w:t>
            </w:r>
            <w:r/>
          </w:p>
        </w:tc>
        <w:tc>
          <w:tcPr>
            <w:tcW w:w="2671" w:type="dxa"/>
            <w:vAlign w:val="center"/>
            <w:textDirection w:val="lrTb"/>
            <w:noWrap w:val="false"/>
          </w:tcPr>
          <w:p>
            <w:pPr>
              <w:ind w:firstLine="0"/>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属性</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标识符</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加工记录标识号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国家珍贵古籍名录号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省级珍贵古籍名录号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Height w:val="516"/>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古籍普查登记号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书目记录标识号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题名</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并列题名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其他题名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主要责任者</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责任者说明</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其他责任者</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责任者说明</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版本类型</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出版者</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出版地</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印刷者</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印刷地</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日期</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公元纪年</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年号纪年</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出版日期</w:t>
            </w:r>
            <w:r/>
          </w:p>
        </w:tc>
        <w:tc>
          <w:tcPr>
            <w:tcW w:w="1610"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印刷日期</w:t>
            </w:r>
            <w:r/>
          </w:p>
        </w:tc>
        <w:tc>
          <w:tcPr>
            <w:tcW w:w="1610"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载体形态</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装帧形式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数量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开本尺寸</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图表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附件</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附注</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版本描述</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责任者附注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残存附注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缺字附注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丛书附注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合订附注</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版框尺寸</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版式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提要</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收藏历史</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批校题跋者</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批校题跋者说明</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Height w:val="605"/>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批校题跋方式</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文物保护</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文物级别</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破损级别</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可选，不可重复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馆藏信息</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收藏单位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索书号</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相关资源</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丛书题名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丛书链接</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有则必备，不可重复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子目题名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子目链接</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合订题名</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合订链接</w:t>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vMerge w:val="restart"/>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主题</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中国分类主题词表（CCT）</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vMerge w:val="continue"/>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四部分类法（FDC）</w:t>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可选，可重复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语种</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权限</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Pr>
        <w:tc>
          <w:tcPr>
            <w:tcW w:w="149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文献类型</w:t>
            </w:r>
            <w:r/>
          </w:p>
        </w:tc>
        <w:tc>
          <w:tcPr>
            <w:tcW w:w="275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610"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2671"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扩展项目：可根据古籍知识内容具体应用，依据《规范手册》扩展原则进行本地扩展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丛书和合函/合订处理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default" w:ascii="Arial" w:hAnsi="Arial" w:eastAsia="仿宋" w:cs="Arial"/>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丛书和合函/合订著录一条古籍基本元数据。丛书数据中需著录“相关资源”的“子目题名”和“子目链接”。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default" w:ascii="Arial" w:hAnsi="Arial" w:eastAsia="仿宋" w:cs="Arial"/>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每个子目著录一条古籍基本元数据。子目数据中需著录“相关资源”的“丛书题名”和“丛书链接”。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default" w:ascii="Arial" w:hAnsi="Arial" w:eastAsia="仿宋" w:cs="Arial"/>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已单独流传、单独编目的丛书零种仅著录一条古籍基本元数据，并在元素“附注”的元素修饰词“丛书附注”项著录其所属的丛书题名。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28"/>
          <w:szCs w:val="28"/>
          <w:highlight w:val="none"/>
          <w14:textFill>
            <w14:solidFill>
              <w14:schemeClr w14:val="tx1"/>
            </w14:solidFill>
          </w14:textFill>
        </w:rPr>
        <w:t xml:space="preserve">标引要求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.2.3.1.</w:t>
      </w:r>
      <w:r>
        <w:rPr>
          <w:rFonts w:hint="eastAsia" w:ascii="仿宋" w:hAnsi="仿宋" w:eastAsia="仿宋" w:cs="仿宋"/>
          <w:color w:val="000000" w:themeColor="text1"/>
          <w:sz w:val="28"/>
          <w:szCs w:val="28"/>
          <w:highlight w:val="none"/>
          <w14:textFill>
            <w14:solidFill>
              <w14:schemeClr w14:val="tx1"/>
            </w14:solidFill>
          </w14:textFill>
        </w:rPr>
        <w:t xml:space="preserve">结构数据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本部分标引对象为整理后的PDF文件目录结构，包括品种层、子目层(有则必备)、册目录、册内文件数量。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（1）标引规则</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准确记录古籍原书各册信息，以及各册与古籍图像的对应关系。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古籍数字资源按子目拆分或者合订拆分时，按实际拆分结果，记录古籍书册信息，以及与古籍图像的对应关系。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（2）标引项目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古籍分册保存目录结构的标引项目及属性如表7所示。</w:t>
      </w:r>
      <w:r/>
    </w:p>
    <w:p>
      <w:pPr>
        <w:ind w:firstLine="482"/>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表7古籍结构数据标引项目列表</w:t>
      </w:r>
      <w:r/>
    </w:p>
    <w:tbl>
      <w:tblPr>
        <w:tblStyle w:val="985"/>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4"/>
        <w:gridCol w:w="2846"/>
        <w:gridCol w:w="4849"/>
      </w:tblGrid>
      <w:tr>
        <w:trPr>
          <w:jc w:val="center"/>
          <w:trHeight w:val="454"/>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序号</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项目</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属性</w:t>
            </w:r>
            <w:r/>
          </w:p>
        </w:tc>
      </w:tr>
      <w:tr>
        <w:trPr>
          <w:jc w:val="center"/>
          <w:trHeight w:val="458"/>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加工记录标识号</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48"/>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内部序号</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58"/>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册名称</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49"/>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册号</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43"/>
        </w:trPr>
        <w:tc>
          <w:tcPr>
            <w:tcW w:w="804"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w:t>
            </w:r>
            <w:r/>
          </w:p>
        </w:tc>
        <w:tc>
          <w:tcPr>
            <w:tcW w:w="2846"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册内文件数</w:t>
            </w:r>
            <w:r/>
          </w:p>
        </w:tc>
        <w:tc>
          <w:tcPr>
            <w:tcW w:w="4849" w:type="dxa"/>
            <w:vAlign w:val="center"/>
            <w:textDirection w:val="lrTb"/>
            <w:noWrap w:val="false"/>
          </w:tcPr>
          <w:p>
            <w:pPr>
              <w:ind w:firstLine="48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（3）标引项目说明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加工记录标识号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古籍数字资源的加工唯一标识号，与该书古籍基本元数据的加工记录标识号一</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致，作用于古籍元数据和对象数据的关联。应填写正确，以免链接错误。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内部序号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标引数据的内部顺序号。数据类型为数字型，每条记录从1开始编号。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册名称</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古籍册次名称，自拟每册名称。名称包含册顺序号，并用括号括注该册古籍的</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起讫卷次信息，如“第一册(卷首上、卷首下)”“第二册(卷一至二)”。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册号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古籍图像文件按“册”保存的文件目录名称，数据类型为数字型，为4位阿拉</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伯数字，如“0001”“0002”等。</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册内文件数</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古籍册文件目录内的全部图像文件的数量。数据类型为数字型，用阿拉伯数字表示。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.2.3.2.</w:t>
      </w:r>
      <w:r>
        <w:rPr>
          <w:rFonts w:hint="eastAsia" w:ascii="仿宋" w:hAnsi="仿宋" w:eastAsia="仿宋" w:cs="仿宋"/>
          <w:color w:val="000000" w:themeColor="text1"/>
          <w:sz w:val="28"/>
          <w:szCs w:val="28"/>
          <w:highlight w:val="none"/>
          <w14:textFill>
            <w14:solidFill>
              <w14:schemeClr w14:val="tx1"/>
            </w14:solidFill>
          </w14:textFill>
        </w:rPr>
        <w:t xml:space="preserve">卷目和篇名数据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本部分标引对象为整理后的PDF各级目录和文件。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（1）标引规则</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卷目篇名数据是每部古籍数字资源的分卷和篇名信息。如果加工的古籍是丛书，应先将丛书拆分为子目，再对每个子目做卷目篇名数据。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古籍图书目录、类名、篇名具有多层次、多样化的特点，标引时很多细节难 以把握且不易硬性规定其取舍。因此，标引人员应从用户的角度分析判断，做到在实际使用中方便、合理。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卷目篇名在数据标引工作中应做到准确、客观。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准确性要求：标引词(古籍目录中的卷号、卷名、篇名)与标引对象(图像 文件的文件名)指向正确。古籍文献中存在较多的错字、别字、异体字，故录入 标引词时要兼顾字义、字音、字形诸因素。难以确定的文字应结合与该字相配的 词组，分析比较词意，取用表意准确的字进行标引。难以确定或使用现有字库无法录入的文字，可选择描述的方式，具体参见《汉语文古籍机读目录格式使用手册》中393字段系统外字附注的相关规定。</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客观性要求：客观性是指古籍图像数据标引必须来源于古籍文献，不加入标 引人员的看法和观点。实际工作中，在不影响标引客观性的前提下，可以对标引 数据进行必要的规范化处理。目录类名与正文类名不一致时，以正文为准。卷名、篇名、篇作者等信息一律取自正文，原书目录(总目、分卷目等)作为参考。</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古籍原书有目录，可以参考目录中的分卷分篇层级进行标引。每部古籍第一条记录取自“古籍基本元数据”的“题名”项。第二条起按古籍原书实际内容顺序客观标引。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古籍原书无目录，但有卷级信息，按书内正文客观标引；古籍原书无 目录，且无卷级信息，第一条标引记录取自“古籍基本元数据”的“题名”项，第二条标引“题名”项+“正文”。</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（2）标引项目</w:t>
      </w:r>
      <w:r/>
    </w:p>
    <w:p>
      <w:pPr>
        <w:ind w:firstLine="560"/>
        <w:jc w:val="left"/>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古籍分卷及篇名作者的标引项目及属性如表8所示。</w:t>
      </w:r>
      <w:r/>
    </w:p>
    <w:p>
      <w:pPr>
        <w:ind w:firstLine="482"/>
        <w:jc w:val="center"/>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表8古籍卷目篇名数据标引项目列表</w:t>
      </w:r>
      <w:r/>
    </w:p>
    <w:tbl>
      <w:tblPr>
        <w:tblStyle w:val="985"/>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4"/>
        <w:gridCol w:w="2846"/>
        <w:gridCol w:w="4849"/>
      </w:tblGrid>
      <w:tr>
        <w:trPr>
          <w:jc w:val="center"/>
          <w:trHeight w:val="474"/>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序号</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项目</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属性</w:t>
            </w:r>
            <w:r/>
          </w:p>
        </w:tc>
      </w:tr>
      <w:tr>
        <w:trPr>
          <w:jc w:val="center"/>
          <w:trHeight w:val="43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加工记录标识号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68"/>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内部序号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必备，不可重复</w:t>
            </w:r>
            <w:r/>
          </w:p>
        </w:tc>
      </w:tr>
      <w:tr>
        <w:trPr>
          <w:jc w:val="center"/>
          <w:trHeight w:val="43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层级号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6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卷名篇名</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48"/>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作者</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有则必备，可重复</w:t>
            </w:r>
            <w:r/>
          </w:p>
        </w:tc>
      </w:tr>
      <w:tr>
        <w:trPr>
          <w:jc w:val="center"/>
          <w:trHeight w:val="459"/>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册号</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r>
        <w:trPr>
          <w:jc w:val="center"/>
          <w:trHeight w:val="454"/>
        </w:trPr>
        <w:tc>
          <w:tcPr>
            <w:tcW w:w="804"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7</w:t>
            </w:r>
            <w:r/>
          </w:p>
        </w:tc>
        <w:tc>
          <w:tcPr>
            <w:tcW w:w="2846"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叶码</w:t>
            </w:r>
            <w:r/>
          </w:p>
        </w:tc>
        <w:tc>
          <w:tcPr>
            <w:tcW w:w="4849" w:type="dxa"/>
            <w:vAlign w:val="center"/>
            <w:textDirection w:val="lrTb"/>
            <w:noWrap w:val="false"/>
          </w:tcPr>
          <w:p>
            <w:pPr>
              <w:ind w:firstLine="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必备，可重复</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（3）标引项目说明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加工记录标识号</w:t>
      </w:r>
      <w:r/>
    </w:p>
    <w:p>
      <w:pPr>
        <w:jc w:val="lef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古籍数字资源的加工唯一标识号，作用于古籍元数据和对象数据的关联，应 填写正确，以免链接错误。 一部古籍的加工记录标识号是一个号，各种数据类型使用加工记录标识号时应保持一致。</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内部序号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一部古籍卷目篇名的标引内部顺序号。每个加工记录标识号下的标引记录从1开始编号。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微软雅黑" w:hAnsi="微软雅黑" w:eastAsia="微软雅黑" w:cs="微软雅黑"/>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层级号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表示一个加工记录标识号下的各级卷目篇目之间的层级关系。书名为1级， 卷目层级为2级。同一级别卷目，属于并列关系，可重复使用“层级号”。卷内为包含关系的层级，从2级起，按序号递加方式标引。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古籍全文文本转换需求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对古籍数字化图像文件进行OCR识别和人工校对，并转换为文本文件。实现对于古籍文献的自动全文识别，支持版刻、抄本、油印等多种版本类型识别，能处理大小字、双行夹注、眉批、横竖混排等复杂版式条件下的识别问题。</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（1）支持对获取的图像，根据版面布局、内容进行分析理解，划分出区域栏。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（2）将版式分析合格的结果进行单字切分。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（3）按照古籍文本内容的逻辑顺序进行录入，强调字符、数字和各种可打印符号的准确性和完整性，可以忽略版式信息，如分栏的文本以单元格或栏目顺序为单位进行录入，而不是逐行录入。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（4）正文、注释、小注等区分。同一版面的大、小字，将单行或双行小字，在文本文件的对应位置用括号“（）”标识，将文字内容放在括号里。 </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（5）正确划分文本段落。每个段落用“回行”区分处理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（6）不需转换的空白页。为保持古籍内容完整性和页面连贯性，需保留正文中空白页，并按照命名规则正确命名，内容标注为“[=此叶为空白叶页=]”。</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（7）地图、表格无需处理。正文中地图、表格无需识别转换，在文本文件的对应位置用方括号“[ ]”做内容标注。如“[=此处为地图=]”或“[= 此处为表格=]”。</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（8）因古籍图书的残缺、断版，文字漫漶不清等情况，造成文本数据转换困难时，可在文本文件对于应位置用方括号“[ ]”做出标注。如“[=此处版面残缺=]”“[=此处文字模糊=]”。</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（9）使用 UTF-8 编码方式、Unicode5.0 以上版本字符集。文件格式与字符编码无误。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10）集外字处理。对于集外字或现有字库中无法显示的汉字，用符号“〓”表示缺字，并应建立“集外字表”，详细填写该字的描述信息。描述方法具体参见国家图书馆编《汉语文古籍机读目录格式使用手册》中393 字段“系统外字附注”等相关说明。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（11）文本数据的字符、符号等信息的综合错误率不超过 1‰。</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（12）文本数据与基本元数据、结构数据、标引数据、说明文件等各类数据，具有关联关系且著录无误。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（13）由图像文件逐页进行文本转换，生成单版 TXT 文件，文件名与对应图像文件名一致。</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（14）文本文件内容应忠实于原典文献，完整有序。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数据命名要求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严格按照《规范手册》数据命名要求执行。每部古籍分配唯一的古籍文献加工记录标识号，每部古籍目录结构分为 2 层，包括函文件夹和册文件夹。按《规范手册》做好古籍数据文件的命名，并做好元数据和对象数据的正确关联。</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3.</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4</w:t>
      </w:r>
      <w:r>
        <w:rPr>
          <w:rFonts w:hint="default" w:ascii="仿宋" w:hAnsi="仿宋" w:eastAsia="仿宋" w:cs="仿宋"/>
          <w:b/>
          <w:bCs/>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技术方法、设备要求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拥有自主研发的数字化加工软件平台，具备项目管理、流程管控、任务分配、统计管理、权限管理、数据包流转管理等模块，包括图像自动处理、全文识别、古籍标引、人机交互质检等，并提供平台对应工序的界面截图。</w:t>
      </w:r>
      <w:r/>
    </w:p>
    <w:p>
      <w:pPr>
        <w:ind w:firstLine="562"/>
        <w:jc w:val="left"/>
        <w:keepLines w:val="0"/>
        <w:keepNext w:val="0"/>
        <w:pageBreakBefore w:val="0"/>
        <w:spacing w:line="560" w:lineRule="exact"/>
        <w:rPr>
          <w:rFonts w:hint="default" w:ascii="仿宋" w:hAnsi="仿宋" w:eastAsia="仿宋" w:cs="仿宋"/>
          <w:b/>
          <w:bCs/>
          <w:color w:val="000000" w:themeColor="text1"/>
          <w:sz w:val="28"/>
          <w:szCs w:val="28"/>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三、项目要求</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（分包1、分包2）</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项目实施要求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供应商承诺严格按照加工标准进行加工，需要提供完善合理的质量保证方案及措施。如果后期出现质量问题，要求在规定时间内快速响应修正，不能够影响项目的完成周期。</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古籍原件及成果保护要求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针对本次古籍原件的加工与存放项目，投标方需提出全面且细致的保护措施。</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在古籍原件的加工过程中，必须确保采用无损害材料的处理工艺，严格遵循古籍修复标准，防止任何形式的物理或化学损伤。存放环境应满足恒温恒湿、防尘防虫等基本要求，以保障古籍的长期保存状态。</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对于加工场地，投标方需确保场地环境清洁、安静，并配备必要的消防和安保设施，以预防火灾、盗窃等风险。同时，投标方还需制定详细的应急预案，以应对可能出现的紧急情况。</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对于项目成果的保护，投标方应提出具体可行的措施，包括但不限于数字化备份、安全存储等，确保古籍原件及其加工成果的安全、完整与传承。</w:t>
      </w:r>
      <w:r/>
    </w:p>
    <w:p>
      <w:pPr>
        <w:ind w:firstLine="562"/>
        <w:jc w:val="left"/>
        <w:keepLines w:val="0"/>
        <w:keepNext w:val="0"/>
        <w:pageBreakBefore w:val="0"/>
        <w:spacing w:line="560" w:lineRule="exact"/>
        <w:widowControl w:val="off"/>
        <w:rPr>
          <w:rFonts w:hint="default"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3、质量保证要求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的质量保证期（质保期）为1年（自验收合格之日起计算）。在质保期内，承建单位应向馆方提供本项目内产品的技术支持及数据运维服务，服务包括交付物的修改、完善和优化。服务方式主要包括：现场服务、电话支持、在线支持、邮件支持、应急事件处理等。</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质保期内承建单位提供的合同成果存在质量缺陷的，承建单位应在馆方指定的时间内自费负责返工或者采取补救措施，并赔偿因质量缺陷给馆方造成的其他损失。</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en-US"/>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8"/>
          <w:szCs w:val="28"/>
          <w:highlight w:val="none"/>
          <w:lang w:val="en-US"/>
          <w14:textFill>
            <w14:solidFill>
              <w14:schemeClr w14:val="tx1"/>
            </w14:solidFill>
          </w14:textFill>
        </w:rPr>
        <w:t xml:space="preserve">安全保密要求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（1）驻场工作要求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本项目古籍数字化采集需在图书馆馆内进行，馆方负责提供场地和必要的条件，资源加工所需各类设备均由承建单位自行准备。</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为保障建设质量和进度，承建单位须承诺安排不少于2名工作人员到图书馆开展驻场服务，内容包括但不限于文献扫描、图像修正、文献著录等工作环节。在驻场服务团队人员当中，应至少包含1名现场安全负责人及数据安全负责人。安全负责人对本项目应负项目安全责任，并定时对项目员工进行专门的安全保密意识培训。本项目团队的加工人员，应在项目开展前接受过针对本项目特点的专业培训，具有相应的资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建方工作人员应服从图书馆管理部门的管理，遵守图书馆的各项规章制度。在扫描加工工作区域内，严禁携带照相机、摄像机、移动存储介质及其他与工作无关的物品，严禁进食及从事与数字化加工无关的活动；不得带出任何与本项目相关的文献原件或副件（副件包括拍照、复印、扫描、传真、摘抄等形式的复制品）、工作资料原件或副件、存储设备。</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（2）古籍文献与数据安全要求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古籍文献具有稀缺性、文物性等特点，在数字化过程中，承建单位加工人员对接触到的古籍文献和数据负有安全性和保密性等管理义务。</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承建单位加工过程中应严格遵守《中华人民共和国保密法》《中华人民共和国文物法》以及国家相关法规，签订《安全保密协议》，不得以任何形式外传、外流、发布本项目涉及的数据或工作信息（包括但不限于项目实施全程涉及的文献图像资料、单个或部分文字资料、全部成品及过程中的工作文件、馆方业务数据等）。不得将任何存储设备带出加工场地，不得保存或持有任何形式的文献、数据或工作文件。承建单位必须严格杜绝数据信息泄露与数字化成果再利用，如发生任何数据外流等问题，由承建单位承担全部法律及经济责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在整个加工过程中，应保证古籍原件的安全，不得遗失，须确保古籍原件完好、不受损。在操作过程中一定要对古籍轻拿轻放，不能对古籍有二次损害。</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所有接触古籍的操作人员，必须佩戴白色纯棉薄手套。为了避免操作时误伤古籍，可将手套的手指部分剪掉，露出手指。所有接触古籍人员，严禁做美甲或戴戒指、手链等饰品，严禁涂抹护手霜等。</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加工过程中如果出现古籍破损，须第一时间向馆方报告，由馆方确定处理方式。如要修复，需派请由馆方认可的、有古籍修复专业资质的人员来进行，相关费用已包含在加工费用中，由承建单位承担。修复古籍由馆方验收。如破损古籍不可修复，双方协商，承建单位须承担赔偿责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数据提交验收后，承建单位不得保存馆方任何业务数据、数字化成果。</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b/>
          <w:bCs/>
          <w:color w:val="000000" w:themeColor="text1"/>
          <w:sz w:val="28"/>
          <w:szCs w:val="28"/>
          <w:highlight w:val="none"/>
          <w14:textFill>
            <w14:solidFill>
              <w14:schemeClr w14:val="tx1"/>
            </w14:solidFill>
          </w14:textFill>
        </w:rPr>
        <w:t xml:space="preserve">验收要求</w:t>
      </w:r>
      <w:r/>
    </w:p>
    <w:p>
      <w:pPr>
        <w:ind w:firstLine="560"/>
        <w:jc w:val="left"/>
        <w:keepLines w:val="0"/>
        <w:keepNext w:val="0"/>
        <w:pageBreakBefore w:val="0"/>
        <w:spacing w:line="560" w:lineRule="exact"/>
        <w:widowControl w:val="off"/>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5.1供应商应响应文件中明确提供后期数字化加工具体的工作地点，以便采购人不定期检查。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5.2</w:t>
      </w:r>
      <w:r>
        <w:rPr>
          <w:rFonts w:hint="eastAsia" w:ascii="仿宋" w:hAnsi="仿宋" w:eastAsia="仿宋" w:cs="仿宋"/>
          <w:color w:val="000000" w:themeColor="text1"/>
          <w:sz w:val="28"/>
          <w:szCs w:val="28"/>
          <w:highlight w:val="none"/>
          <w14:textFill>
            <w14:solidFill>
              <w14:schemeClr w14:val="tx1"/>
            </w14:solidFill>
          </w14:textFill>
        </w:rPr>
        <w:t xml:space="preserve">本项目采项目实施过程中采购人有权定期或不定期对数据进行抽检，数据检验不合格一次警告处理；三次不合格，采购人有权终止项目合作，并保留追求供应商的违约责任的权利。</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5.3</w:t>
      </w:r>
      <w:r>
        <w:rPr>
          <w:rFonts w:hint="eastAsia" w:ascii="仿宋" w:hAnsi="仿宋" w:eastAsia="仿宋" w:cs="仿宋"/>
          <w:color w:val="000000" w:themeColor="text1"/>
          <w:sz w:val="28"/>
          <w:szCs w:val="28"/>
          <w:highlight w:val="none"/>
          <w14:textFill>
            <w14:solidFill>
              <w14:schemeClr w14:val="tx1"/>
            </w14:solidFill>
          </w14:textFill>
        </w:rPr>
        <w:t xml:space="preserve">用乙方自检、第三方质检和甲方抽检的方式。乙方负责自检并提供自检报告，自检率须达到100%；</w:t>
      </w:r>
      <w:r>
        <w:rPr>
          <w:rFonts w:hint="eastAsia" w:ascii="仿宋" w:hAnsi="仿宋" w:cs="仿宋"/>
          <w:color w:val="000000" w:themeColor="text1"/>
          <w:sz w:val="28"/>
          <w:szCs w:val="28"/>
          <w:highlight w:val="none"/>
          <w:lang w:val="en-US" w:eastAsia="zh-CN"/>
          <w14:textFill>
            <w14:solidFill>
              <w14:schemeClr w14:val="tx1"/>
            </w14:solidFill>
          </w14:textFill>
        </w:rPr>
        <w:t xml:space="preserve">乙方</w:t>
      </w:r>
      <w:r>
        <w:rPr>
          <w:rFonts w:hint="eastAsia" w:ascii="仿宋" w:hAnsi="仿宋" w:eastAsia="仿宋" w:cs="仿宋"/>
          <w:color w:val="000000" w:themeColor="text1"/>
          <w:sz w:val="28"/>
          <w:szCs w:val="28"/>
          <w:highlight w:val="none"/>
          <w14:textFill>
            <w14:solidFill>
              <w14:schemeClr w14:val="tx1"/>
            </w14:solidFill>
          </w14:textFill>
        </w:rPr>
        <w:t xml:space="preserve">委托第三方检测并提供报告，</w:t>
      </w:r>
      <w:r>
        <w:rPr>
          <w:rFonts w:hint="eastAsia" w:ascii="仿宋" w:hAnsi="仿宋" w:cs="仿宋"/>
          <w:color w:val="000000" w:themeColor="text1"/>
          <w:sz w:val="28"/>
          <w:szCs w:val="28"/>
          <w:highlight w:val="none"/>
          <w:lang w:val="en-US" w:eastAsia="zh-CN"/>
          <w14:textFill>
            <w14:solidFill>
              <w14:schemeClr w14:val="tx1"/>
            </w14:solidFill>
          </w14:textFill>
        </w:rPr>
        <w:t xml:space="preserve">抽</w:t>
      </w:r>
      <w:r>
        <w:rPr>
          <w:rFonts w:hint="eastAsia" w:ascii="仿宋" w:hAnsi="仿宋" w:eastAsia="仿宋" w:cs="仿宋"/>
          <w:color w:val="000000" w:themeColor="text1"/>
          <w:sz w:val="28"/>
          <w:szCs w:val="28"/>
          <w:highlight w:val="none"/>
          <w14:textFill>
            <w14:solidFill>
              <w14:schemeClr w14:val="tx1"/>
            </w14:solidFill>
          </w14:textFill>
        </w:rPr>
        <w:t xml:space="preserve">检率不低于35%，质检费用含在投标报价中。</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（1）送检数据与《古籍数字资源提交单》的内容一致，各种格式数据和数据说明文件一一对应，不可夹杂无关文件。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（2）各种标引、说明文件的文字、符号、版式、位置和名称准确，其综合错误率不超过0.3‰。</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（3）图像数据扫描方式、扫描规格、文件格式、文件命名、图像处理、压缩方式等符合要求，其综合错误率不超过1‰。</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（4）图像完整性 100%正确。不能丢失、错位。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（5）图像歪斜、压缩转换等综合错误率不超过 1‰。</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（6）双层 PDF 文件的图像层和文字层的文字对位准确，反显区域与文字区域相差 1 毫米以内。</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（7）文本数据的文字、版式、符号、段落顺序等，其字符综合错误率不超过1‰。</w:t>
      </w:r>
      <w:r>
        <w:rPr>
          <w:rFonts w:hint="eastAsia" w:ascii="仿宋" w:hAnsi="仿宋" w:eastAsia="仿宋" w:cs="仿宋"/>
          <w:color w:val="000000" w:themeColor="text1"/>
          <w:sz w:val="28"/>
          <w:szCs w:val="28"/>
          <w:highlight w:val="none"/>
          <w14:textFill>
            <w14:solidFill>
              <w14:schemeClr w14:val="tx1"/>
            </w14:solidFill>
          </w14:textFill>
        </w:rPr>
        <w:br/>
      </w:r>
      <w:r>
        <w:rPr>
          <w:rFonts w:hint="eastAsia" w:ascii="仿宋" w:hAnsi="仿宋" w:eastAsia="仿宋" w:cs="仿宋"/>
          <w:color w:val="000000" w:themeColor="text1"/>
          <w:sz w:val="28"/>
          <w:szCs w:val="28"/>
          <w:highlight w:val="none"/>
          <w14:textFill>
            <w14:solidFill>
              <w14:schemeClr w14:val="tx1"/>
            </w14:solidFill>
          </w14:textFill>
        </w:rPr>
        <w:t xml:space="preserve">    （8）双层 PDF、全文文本文件的内容编码、文字识别等，综合错误率不超过 1‰。</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（9）文本数据文件与发布服务级 PDF 文件一一对应，叶面连续，不得跳号，不丢失文件。错误率为 0。</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（10）数字化成品以硬盘形式提交，成品数据数量、保存介质命名、数据存放方式、数据内容符合规范要求，且各类型保存介质内无坏死文件、不准携带病毒，错误率为0。</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（11）本馆派遣人员现场监督中标公司数字化加工，负责现场数据安全、质量检查等工作。</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（12）达到验收标准的数据视为合格，在规定错误率范围内检查出的数据问题由加工单位进行修正；超出错误率、未达到验收标准的数据由加工单位对全部提交数据进行整改、重新数字化等返工处理。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（13）形成相应的过程记录档案，项目完成后进行归档。</w:t>
      </w:r>
      <w:r/>
    </w:p>
    <w:p>
      <w:pPr>
        <w:ind w:firstLine="560"/>
        <w:jc w:val="left"/>
        <w:keepLines w:val="0"/>
        <w:keepNext w:val="0"/>
        <w:pageBreakBefore w:val="0"/>
        <w:spacing w:line="560" w:lineRule="exact"/>
        <w:widowControl w:val="off"/>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5.4</w:t>
      </w:r>
      <w:r>
        <w:rPr>
          <w:rFonts w:hint="eastAsia" w:ascii="仿宋" w:hAnsi="仿宋" w:eastAsia="仿宋" w:cs="仿宋"/>
          <w:color w:val="000000" w:themeColor="text1"/>
          <w:sz w:val="28"/>
          <w:szCs w:val="28"/>
          <w:highlight w:val="none"/>
          <w14:textFill>
            <w14:solidFill>
              <w14:schemeClr w14:val="tx1"/>
            </w14:solidFill>
          </w14:textFill>
        </w:rPr>
        <w:t xml:space="preserve">项目全部完成后，采购人依据《全国智慧图书馆体系建设：古籍数字化和知识标引规范手册（暂行）》要求对中标人移交的数据进行整体验收</w:t>
      </w:r>
      <w:r>
        <w:rPr>
          <w:rFonts w:hint="eastAsia" w:ascii="仿宋" w:hAnsi="仿宋" w:cs="仿宋"/>
          <w:color w:val="000000" w:themeColor="text1"/>
          <w:sz w:val="28"/>
          <w:szCs w:val="28"/>
          <w:highlight w:val="none"/>
          <w:lang w:val="en-US"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5.5</w:t>
      </w:r>
      <w:r>
        <w:rPr>
          <w:rFonts w:hint="eastAsia" w:ascii="仿宋" w:hAnsi="仿宋" w:eastAsia="仿宋" w:cs="仿宋"/>
          <w:color w:val="000000" w:themeColor="text1"/>
          <w:sz w:val="28"/>
          <w:szCs w:val="28"/>
          <w:highlight w:val="none"/>
          <w14:textFill>
            <w14:solidFill>
              <w14:schemeClr w14:val="tx1"/>
            </w14:solidFill>
          </w14:textFill>
        </w:rPr>
        <w:t xml:space="preserve">《全国智慧图书馆体系建设：古籍数字化和知识标引规范手册（暂行）》获取地址：</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https://www.nlc.cn/web/smartlibrary/sc.pdf。</w:t>
      </w:r>
      <w:r/>
    </w:p>
    <w:p>
      <w:pPr>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28"/>
          <w:szCs w:val="28"/>
          <w:highlight w:val="none"/>
          <w14:textFill>
            <w14:solidFill>
              <w14:schemeClr w14:val="tx1"/>
            </w14:solidFill>
          </w14:textFill>
        </w:rPr>
        <w:t xml:space="preserve">质量保证及售后服务要求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的质量保证期（质保期）为1年（自验收合格之日起计算）。在质保期内，成交供应商应向采购人提供本项目内产品的技术支持及数据运维服务，服务包括交付物的修改、完善和优化。服务方式主要包括：现场服务、电话支持、在线支持、邮件支持、应急事件处理等。</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质保期内成交供应商提供的合同成果存在质量缺陷的，成交供应商应在采购人指定的时间内自费负责返工或者采取补救措施，并赔偿因质量缺陷给采购人造成的其他损失。</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7、最终提交材料要求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项目完成后，提供二套不同格式的数据，配合采购人提交相关部门。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提交采购方数据1套：</w:t>
      </w:r>
      <w:r/>
    </w:p>
    <w:tbl>
      <w:tblPr>
        <w:tblStyle w:val="723"/>
        <w:tblW w:w="7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915"/>
        <w:gridCol w:w="1069"/>
        <w:gridCol w:w="3565"/>
      </w:tblGrid>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格式</w:t>
            </w:r>
            <w:r/>
          </w:p>
        </w:tc>
        <w:tc>
          <w:tcPr>
            <w:tcW w:w="915"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份数</w:t>
            </w:r>
            <w:r/>
          </w:p>
        </w:tc>
        <w:tc>
          <w:tcPr>
            <w:tcW w:w="1069"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载体</w:t>
            </w:r>
            <w:r/>
          </w:p>
        </w:tc>
        <w:tc>
          <w:tcPr>
            <w:tcW w:w="3565"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用途</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TIFF格式</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存储格式长期保存备份</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JPEGEG2000格式</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复制加工格式长期保存备份</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PDF格式</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带水印和不带水印，双层 PDF</w:t>
            </w:r>
            <w:r/>
          </w:p>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提交发布</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TXT文件</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提交发布</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说明文件</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存档</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元数据表</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存档</w:t>
            </w:r>
            <w:r/>
          </w:p>
        </w:tc>
      </w:tr>
    </w:tbl>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提交国家图书馆数据1套，须符合《全国智慧图书馆体系建设：古籍数字化和知识标引规范手册》要求（含存储载体）。</w:t>
      </w:r>
      <w:r/>
    </w:p>
    <w:tbl>
      <w:tblPr>
        <w:tblStyle w:val="723"/>
        <w:tblW w:w="7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915"/>
        <w:gridCol w:w="1069"/>
        <w:gridCol w:w="3565"/>
      </w:tblGrid>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格式</w:t>
            </w:r>
            <w:r/>
          </w:p>
        </w:tc>
        <w:tc>
          <w:tcPr>
            <w:tcW w:w="915"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份数</w:t>
            </w:r>
            <w:r/>
          </w:p>
        </w:tc>
        <w:tc>
          <w:tcPr>
            <w:tcW w:w="1069"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载体</w:t>
            </w:r>
            <w:r/>
          </w:p>
        </w:tc>
        <w:tc>
          <w:tcPr>
            <w:tcW w:w="3565" w:type="dxa"/>
            <w:vAlign w:val="center"/>
            <w:textDirection w:val="lrTb"/>
            <w:noWrap w:val="false"/>
          </w:tcPr>
          <w:p>
            <w:pPr>
              <w:ind w:left="0" w:firstLine="0"/>
              <w:jc w:val="center"/>
              <w:spacing w:line="4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用途</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TIFF格式</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存储格式长期保存备份</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PDF格式</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带水印和不带水印，双层 PDF</w:t>
            </w:r>
            <w:r/>
          </w:p>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提交发布</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TXT文件</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提交发布</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说明文件</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存档</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文献整理登记表和外字表</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存档</w:t>
            </w:r>
            <w:r/>
          </w:p>
        </w:tc>
      </w:tr>
      <w:tr>
        <w:trPr>
          <w:jc w:val="center"/>
        </w:trPr>
        <w:tc>
          <w:tcPr>
            <w:tcW w:w="2341"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XML文件</w:t>
            </w:r>
            <w:r/>
          </w:p>
        </w:tc>
        <w:tc>
          <w:tcPr>
            <w:tcW w:w="91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069"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硬盘</w:t>
            </w:r>
            <w:r/>
          </w:p>
        </w:tc>
        <w:tc>
          <w:tcPr>
            <w:tcW w:w="3565" w:type="dxa"/>
            <w:vAlign w:val="center"/>
            <w:textDirection w:val="lrTb"/>
            <w:noWrap w:val="false"/>
          </w:tcPr>
          <w:p>
            <w:pPr>
              <w:ind w:left="0" w:firstLine="0"/>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存档</w:t>
            </w:r>
            <w:r/>
          </w:p>
        </w:tc>
      </w:tr>
    </w:tbl>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8、报价要求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报价中</w:t>
      </w:r>
      <w:r>
        <w:rPr>
          <w:rFonts w:hint="eastAsia" w:ascii="仿宋" w:hAnsi="仿宋" w:cs="仿宋"/>
          <w:color w:val="000000" w:themeColor="text1"/>
          <w:sz w:val="28"/>
          <w:szCs w:val="28"/>
          <w:highlight w:val="none"/>
          <w:lang w:val="en-US" w:eastAsia="zh-CN"/>
          <w14:textFill>
            <w14:solidFill>
              <w14:schemeClr w14:val="tx1"/>
            </w14:solidFill>
          </w14:textFill>
        </w:rPr>
        <w:t xml:space="preserve">需</w:t>
      </w:r>
      <w:r>
        <w:rPr>
          <w:rFonts w:hint="eastAsia" w:ascii="仿宋" w:hAnsi="仿宋" w:eastAsia="仿宋" w:cs="仿宋"/>
          <w:color w:val="000000" w:themeColor="text1"/>
          <w:sz w:val="28"/>
          <w:szCs w:val="28"/>
          <w:highlight w:val="none"/>
          <w14:textFill>
            <w14:solidFill>
              <w14:schemeClr w14:val="tx1"/>
            </w14:solidFill>
          </w14:textFill>
        </w:rPr>
        <w:t xml:space="preserve">包含衬纸、扫描、著录、OCR、元数据加工、第三方质检验收、硬盘存储等所有</w:t>
      </w:r>
      <w:r>
        <w:rPr>
          <w:rFonts w:hint="eastAsia" w:ascii="仿宋" w:hAnsi="仿宋" w:cs="仿宋"/>
          <w:color w:val="000000" w:themeColor="text1"/>
          <w:sz w:val="28"/>
          <w:szCs w:val="28"/>
          <w:highlight w:val="none"/>
          <w:lang w:val="en-US" w:eastAsia="zh-CN"/>
          <w14:textFill>
            <w14:solidFill>
              <w14:schemeClr w14:val="tx1"/>
            </w14:solidFill>
          </w14:textFill>
        </w:rPr>
        <w:t xml:space="preserve">完成本项目所产生的有关费用</w:t>
      </w:r>
      <w:r>
        <w:rPr>
          <w:rFonts w:hint="eastAsia" w:ascii="仿宋" w:hAnsi="仿宋" w:eastAsia="仿宋" w:cs="仿宋"/>
          <w:color w:val="000000" w:themeColor="text1"/>
          <w:sz w:val="28"/>
          <w:szCs w:val="28"/>
          <w:highlight w:val="none"/>
          <w14:textFill>
            <w14:solidFill>
              <w14:schemeClr w14:val="tx1"/>
            </w14:solidFill>
          </w14:textFill>
        </w:rPr>
        <w:t xml:space="preserve">；投标文件中对所用材料和加工流程、质量、标准要加以详细描述，对相关的材料规格要加以量化描述。其他服务内容也需要给予说明。</w:t>
      </w:r>
      <w:r/>
    </w:p>
    <w:p>
      <w:pPr>
        <w:numPr>
          <w:ilvl w:val="0"/>
          <w:numId w:val="0"/>
        </w:numPr>
        <w:ind w:firstLine="562"/>
        <w:jc w:val="left"/>
        <w:keepLines w:val="0"/>
        <w:keepNext w:val="0"/>
        <w:pageBreakBefore w:val="0"/>
        <w:spacing w:line="560" w:lineRule="exact"/>
        <w:widowControl w:val="off"/>
        <w:rPr>
          <w:rFonts w:hint="eastAsia" w:ascii="仿宋" w:hAnsi="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 xml:space="preserve">9、</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人员要求</w:t>
      </w:r>
      <w:r/>
    </w:p>
    <w:p>
      <w:pPr>
        <w:numPr>
          <w:ilvl w:val="0"/>
          <w:numId w:val="0"/>
        </w:numPr>
        <w:ind w:firstLine="560"/>
        <w:jc w:val="left"/>
        <w:keepLines w:val="0"/>
        <w:keepNext w:val="0"/>
        <w:pageBreakBefore w:val="0"/>
        <w:spacing w:line="560" w:lineRule="exact"/>
        <w:widowControl w:val="off"/>
        <w:rPr>
          <w:rFonts w:hint="default" w:ascii="仿宋" w:hAnsi="仿宋" w:cs="仿宋"/>
          <w:color w:val="000000" w:themeColor="text1"/>
          <w:sz w:val="28"/>
          <w:szCs w:val="28"/>
          <w:highlight w:val="none"/>
          <w:lang w:val="en-US" w:eastAsia="zh-CN"/>
          <w14:textFill>
            <w14:solidFill>
              <w14:schemeClr w14:val="tx1"/>
            </w14:solidFill>
          </w14:textFill>
        </w:rPr>
      </w:pPr>
      <w:r/>
      <w:bookmarkStart w:id="196" w:name="OLE_LINK5"/>
      <w:r>
        <w:rPr>
          <w:rFonts w:hint="eastAsia" w:ascii="仿宋" w:hAnsi="仿宋" w:cs="仿宋"/>
          <w:color w:val="000000" w:themeColor="text1"/>
          <w:sz w:val="28"/>
          <w:szCs w:val="28"/>
          <w:highlight w:val="none"/>
          <w:lang w:val="en-US" w:eastAsia="zh-CN"/>
          <w14:textFill>
            <w14:solidFill>
              <w14:schemeClr w14:val="tx1"/>
            </w14:solidFill>
          </w14:textFill>
        </w:rPr>
        <w:t xml:space="preserve">分包1：配备项目负责人、专业技术人员、相关实施人员，总服务人员不少于20人，其中驻场人员不少于2人。</w:t>
      </w:r>
      <w:r/>
    </w:p>
    <w:p>
      <w:pPr>
        <w:numPr>
          <w:ilvl w:val="0"/>
          <w:numId w:val="0"/>
        </w:numPr>
        <w:ind w:firstLine="560"/>
        <w:jc w:val="left"/>
        <w:keepLines w:val="0"/>
        <w:keepNext w:val="0"/>
        <w:pageBreakBefore w:val="0"/>
        <w:spacing w:line="560" w:lineRule="exact"/>
        <w:widowControl w:val="off"/>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分包2：配备项目负责人、专业技术人员、相关实施人员，总服务人员不少于12人，其中驻场人员不少于2人。</w:t>
      </w:r>
      <w:bookmarkEnd w:id="196"/>
      <w:r/>
      <w:r/>
    </w:p>
    <w:p>
      <w:pPr>
        <w:numPr>
          <w:ilvl w:val="0"/>
          <w:numId w:val="0"/>
        </w:numPr>
        <w:ind w:firstLine="562"/>
        <w:jc w:val="left"/>
        <w:keepLines w:val="0"/>
        <w:keepNext w:val="0"/>
        <w:pageBreakBefore w:val="0"/>
        <w:spacing w:line="560" w:lineRule="exact"/>
        <w:widowControl w:val="off"/>
        <w:rPr>
          <w:rFonts w:hint="eastAsia" w:ascii="仿宋" w:hAnsi="仿宋" w:cs="仿宋"/>
          <w:b/>
          <w:bCs/>
          <w:color w:val="000000" w:themeColor="text1"/>
          <w:sz w:val="28"/>
          <w:szCs w:val="28"/>
          <w:highlight w:val="none"/>
          <w:lang w:val="en-US" w:eastAsia="zh-CN"/>
          <w14:textFill>
            <w14:solidFill>
              <w14:schemeClr w14:val="tx1"/>
            </w14:solidFill>
          </w14:textFill>
        </w:rPr>
        <w:outlineLvl w:val="1"/>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四、付款方式</w:t>
      </w:r>
      <w:r/>
    </w:p>
    <w:p>
      <w:pPr>
        <w:numPr>
          <w:ilvl w:val="0"/>
          <w:numId w:val="0"/>
        </w:numPr>
        <w:ind w:firstLine="560"/>
        <w:jc w:val="left"/>
        <w:keepLines w:val="0"/>
        <w:keepNext w:val="0"/>
        <w:pageBreakBefore w:val="0"/>
        <w:spacing w:line="560" w:lineRule="exact"/>
        <w:widowControl w:val="off"/>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（1）采购人在合同签订后，10个工作日内向供应商支付40%合同款；</w:t>
      </w:r>
      <w:r/>
    </w:p>
    <w:p>
      <w:pPr>
        <w:numPr>
          <w:ilvl w:val="0"/>
          <w:numId w:val="0"/>
        </w:numPr>
        <w:ind w:firstLine="560"/>
        <w:jc w:val="left"/>
        <w:keepLines w:val="0"/>
        <w:keepNext w:val="0"/>
        <w:pageBreakBefore w:val="0"/>
        <w:spacing w:line="560" w:lineRule="exact"/>
        <w:widowControl w:val="off"/>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（2）供应商完成所有项目内容且通过验收合格后，采购人在10个工作日内向供应商支付60%合同款。</w:t>
      </w:r>
      <w:r/>
    </w:p>
    <w:p>
      <w:pPr>
        <w:numPr>
          <w:ilvl w:val="0"/>
          <w:numId w:val="0"/>
        </w:numPr>
        <w:ind w:firstLine="560"/>
        <w:jc w:val="left"/>
        <w:keepLines w:val="0"/>
        <w:keepNext w:val="0"/>
        <w:pageBreakBefore w:val="0"/>
        <w:spacing w:line="560" w:lineRule="exact"/>
        <w:widowControl w:val="off"/>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付款出具文件：采购人付款前应收到供应商提供的正规发票。</w:t>
      </w:r>
      <w:r/>
    </w:p>
    <w:p>
      <w:pPr>
        <w:numPr>
          <w:ilvl w:val="0"/>
          <w:numId w:val="0"/>
        </w:numPr>
        <w:ind w:firstLine="883"/>
        <w:jc w:val="left"/>
        <w:keepLines w:val="0"/>
        <w:keepNext w:val="0"/>
        <w:pageBreakBefore w:val="0"/>
        <w:spacing w:line="560" w:lineRule="exact"/>
        <w:widowControl w:val="off"/>
        <w:rPr>
          <w:rStyle w:val="923"/>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numPr>
          <w:ilvl w:val="0"/>
          <w:numId w:val="0"/>
        </w:numPr>
        <w:ind w:firstLine="883"/>
        <w:jc w:val="left"/>
        <w:keepLines w:val="0"/>
        <w:keepNext w:val="0"/>
        <w:pageBreakBefore w:val="0"/>
        <w:spacing w:line="560" w:lineRule="exact"/>
        <w:widowControl w:val="off"/>
        <w:rPr>
          <w:rStyle w:val="923"/>
          <w:rFonts w:hint="eastAsia" w:ascii="仿宋" w:hAnsi="仿宋" w:eastAsia="仿宋" w:cs="仿宋"/>
          <w:color w:val="000000" w:themeColor="text1"/>
          <w:highlight w:val="none"/>
          <w14:textFill>
            <w14:solidFill>
              <w14:schemeClr w14:val="tx1"/>
            </w14:solidFill>
          </w14:textFill>
        </w:rPr>
      </w:pPr>
      <w:r>
        <w:rPr>
          <w:rStyle w:val="923"/>
          <w:rFonts w:hint="eastAsia" w:ascii="仿宋" w:hAnsi="仿宋" w:eastAsia="仿宋" w:cs="仿宋"/>
          <w:color w:val="000000" w:themeColor="text1"/>
          <w:highlight w:val="none"/>
          <w14:textFill>
            <w14:solidFill>
              <w14:schemeClr w14:val="tx1"/>
            </w14:solidFill>
          </w14:textFill>
        </w:rPr>
        <w:br w:type="page" w:clear="all"/>
      </w:r>
      <w:r/>
    </w:p>
    <w:p>
      <w:pPr>
        <w:numPr>
          <w:ilvl w:val="0"/>
          <w:numId w:val="0"/>
        </w:numPr>
        <w:ind w:left="0" w:firstLine="0"/>
        <w:jc w:val="center"/>
        <w:keepNext/>
        <w:rPr>
          <w:rStyle w:val="923"/>
          <w:rFonts w:hint="eastAsia" w:ascii="仿宋" w:hAnsi="仿宋" w:eastAsia="仿宋" w:cs="仿宋"/>
          <w:color w:val="000000" w:themeColor="text1"/>
          <w:highlight w:val="none"/>
          <w14:textFill>
            <w14:solidFill>
              <w14:schemeClr w14:val="tx1"/>
            </w14:solidFill>
          </w14:textFill>
        </w:rPr>
        <w:outlineLvl w:val="0"/>
      </w:pPr>
      <w:r/>
      <w:bookmarkStart w:id="218" w:name="_GoBack"/>
      <w:r/>
      <w:bookmarkEnd w:id="218"/>
      <w:r>
        <w:rPr>
          <w:rStyle w:val="923"/>
          <w:rFonts w:hint="eastAsia" w:ascii="仿宋" w:hAnsi="仿宋" w:eastAsia="仿宋" w:cs="仿宋"/>
          <w:color w:val="000000" w:themeColor="text1"/>
          <w:highlight w:val="none"/>
          <w14:textFill>
            <w14:solidFill>
              <w14:schemeClr w14:val="tx1"/>
            </w14:solidFill>
          </w14:textFill>
        </w:rPr>
        <w:t xml:space="preserve">第五章  评审方法与评审标准</w:t>
      </w:r>
      <w:bookmarkEnd w:id="192"/>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一、</w:t>
      </w:r>
      <w:r>
        <w:rPr>
          <w:rFonts w:hint="eastAsia" w:ascii="仿宋" w:hAnsi="仿宋" w:eastAsia="仿宋" w:cs="仿宋"/>
          <w:b/>
          <w:bCs/>
          <w:color w:val="000000" w:themeColor="text1"/>
          <w:sz w:val="28"/>
          <w:szCs w:val="28"/>
          <w:highlight w:val="none"/>
          <w14:textFill>
            <w14:solidFill>
              <w14:schemeClr w14:val="tx1"/>
            </w14:solidFill>
          </w14:textFill>
        </w:rPr>
        <w:t xml:space="preserve">评</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审</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方法</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采用</w:t>
      </w:r>
      <w:r>
        <w:rPr>
          <w:rFonts w:hint="eastAsia" w:ascii="仿宋" w:hAnsi="仿宋" w:eastAsia="仿宋" w:cs="仿宋"/>
          <w:color w:val="000000" w:themeColor="text1"/>
          <w:sz w:val="28"/>
          <w:szCs w:val="28"/>
          <w:highlight w:val="none"/>
          <w14:textFill>
            <w14:solidFill>
              <w14:schemeClr w14:val="tx1"/>
            </w14:solidFill>
          </w14:textFill>
        </w:rPr>
        <w:t xml:space="preserve">综合评分法，对满足磋商文件全部实质性要求的响应文件按评审因素的量化指标评审总分对供应商进行排序。</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经磋商确定最终采购需求和提交最后报价的供应商后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成员独立</w:t>
      </w:r>
      <w:r>
        <w:rPr>
          <w:rFonts w:hint="eastAsia" w:ascii="仿宋" w:hAnsi="仿宋" w:eastAsia="仿宋" w:cs="仿宋"/>
          <w:color w:val="000000" w:themeColor="text1"/>
          <w:sz w:val="28"/>
          <w:szCs w:val="28"/>
          <w:highlight w:val="none"/>
          <w14:textFill>
            <w14:solidFill>
              <w14:schemeClr w14:val="tx1"/>
            </w14:solidFill>
          </w14:textFill>
        </w:rPr>
        <w:t xml:space="preserve">对提交最后报价的供应商的响应文件和最后报价进行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综合</w:t>
      </w:r>
      <w:r>
        <w:rPr>
          <w:rFonts w:hint="eastAsia" w:ascii="仿宋" w:hAnsi="仿宋" w:eastAsia="仿宋" w:cs="仿宋"/>
          <w:color w:val="000000" w:themeColor="text1"/>
          <w:sz w:val="28"/>
          <w:szCs w:val="28"/>
          <w:highlight w:val="none"/>
          <w14:textFill>
            <w14:solidFill>
              <w14:schemeClr w14:val="tx1"/>
            </w14:solidFill>
          </w14:textFill>
        </w:rPr>
        <w:t xml:space="preserve">评分。</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磋商小组按照评审</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总</w:t>
      </w:r>
      <w:r>
        <w:rPr>
          <w:rFonts w:hint="eastAsia" w:ascii="仿宋" w:hAnsi="仿宋" w:eastAsia="仿宋" w:cs="仿宋"/>
          <w:color w:val="000000" w:themeColor="text1"/>
          <w:sz w:val="28"/>
          <w:szCs w:val="28"/>
          <w:highlight w:val="none"/>
          <w14:textFill>
            <w14:solidFill>
              <w14:schemeClr w14:val="tx1"/>
            </w14:solidFill>
          </w14:textFill>
        </w:rPr>
        <w:t xml:space="preserve">分由高到低顺序推荐</w:t>
      </w:r>
      <w:r>
        <w:rPr>
          <w:rFonts w:hint="eastAsia" w:ascii="仿宋" w:hAnsi="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名</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14:textFill>
            <w14:solidFill>
              <w14:schemeClr w14:val="tx1"/>
            </w14:solidFill>
          </w14:textFill>
        </w:rPr>
        <w:t xml:space="preserve">并编写评审报告。</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二、</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小微企业价格扣除</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本项目服务全部由小微企业承接</w:t>
      </w:r>
      <w:r>
        <w:rPr>
          <w:rFonts w:hint="eastAsia" w:ascii="仿宋" w:hAnsi="仿宋" w:eastAsia="仿宋" w:cs="仿宋"/>
          <w:color w:val="000000" w:themeColor="text1"/>
          <w:sz w:val="28"/>
          <w:szCs w:val="28"/>
          <w:highlight w:val="none"/>
          <w:lang w:val="zh-CN" w:eastAsia="zh-CN"/>
          <w14:textFill>
            <w14:solidFill>
              <w14:schemeClr w14:val="tx1"/>
            </w14:solidFill>
          </w14:textFill>
        </w:rPr>
        <w:t xml:space="preserve">的，</w:t>
      </w:r>
      <w:r>
        <w:rPr>
          <w:rFonts w:hint="eastAsia" w:ascii="仿宋" w:hAnsi="仿宋" w:eastAsia="仿宋" w:cs="仿宋"/>
          <w:color w:val="000000" w:themeColor="text1"/>
          <w:sz w:val="28"/>
          <w:szCs w:val="28"/>
          <w:highlight w:val="none"/>
          <w14:textFill>
            <w14:solidFill>
              <w14:schemeClr w14:val="tx1"/>
            </w14:solidFill>
          </w14:textFill>
        </w:rPr>
        <w:t xml:space="preserve">对报价给予</w:t>
      </w:r>
      <w:r>
        <w:rPr>
          <w:rFonts w:hint="eastAsia" w:ascii="仿宋" w:hAnsi="仿宋" w:cs="仿宋"/>
          <w:color w:val="000000" w:themeColor="text1"/>
          <w:highlight w:val="none"/>
          <w:lang w:val="zh-CN"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的扣除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残疾人福利性单位视同小型、微型企业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相同</w:t>
      </w:r>
      <w:r>
        <w:rPr>
          <w:rFonts w:hint="eastAsia" w:ascii="仿宋" w:hAnsi="仿宋" w:eastAsia="仿宋" w:cs="仿宋"/>
          <w:color w:val="000000" w:themeColor="text1"/>
          <w:sz w:val="28"/>
          <w:szCs w:val="28"/>
          <w:highlight w:val="none"/>
          <w14:textFill>
            <w14:solidFill>
              <w14:schemeClr w14:val="tx1"/>
            </w14:solidFill>
          </w14:textFill>
        </w:rPr>
        <w:t xml:space="preserve">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监狱和戒毒企业视同小型、微型企业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相同</w:t>
      </w:r>
      <w:r>
        <w:rPr>
          <w:rFonts w:hint="eastAsia" w:ascii="仿宋" w:hAnsi="仿宋" w:eastAsia="仿宋" w:cs="仿宋"/>
          <w:color w:val="000000" w:themeColor="text1"/>
          <w:sz w:val="28"/>
          <w:szCs w:val="28"/>
          <w:highlight w:val="none"/>
          <w14:textFill>
            <w14:solidFill>
              <w14:schemeClr w14:val="tx1"/>
            </w14:solidFill>
          </w14:textFill>
        </w:rPr>
        <w:t xml:space="preserve">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残疾人福利单位、监狱企业属于小型、微型企业的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不重复享受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价格扣除</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三、评审标准</w:t>
      </w:r>
      <w:r/>
    </w:p>
    <w:tbl>
      <w:tblPr>
        <w:tblStyle w:val="723"/>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289"/>
        <w:gridCol w:w="6944"/>
        <w:gridCol w:w="807"/>
      </w:tblGrid>
      <w:tr>
        <w:trPr>
          <w:trHeight w:val="493"/>
        </w:trPr>
        <w:tc>
          <w:tcPr>
            <w:tcW w:w="400"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序号</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评标项目</w:t>
            </w:r>
            <w:r/>
          </w:p>
        </w:tc>
        <w:tc>
          <w:tcPr>
            <w:gridSpan w:val="2"/>
            <w:tcW w:w="394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评标细则</w:t>
            </w:r>
            <w:r/>
          </w:p>
        </w:tc>
      </w:tr>
      <w:tr>
        <w:trPr>
          <w:trHeight w:val="220"/>
        </w:trPr>
        <w:tc>
          <w:tcPr>
            <w:tcW w:w="400"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价格</w:t>
            </w:r>
            <w:r/>
          </w:p>
        </w:tc>
        <w:tc>
          <w:tcPr>
            <w:tcW w:w="3532"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对所有供应商的磋商价格按照以下办法进行评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（小数点留两位）</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报价低于采购项目预算50%，或者低于采购项目最高限价45%，或者报价过低，有可能影响产品或服务质量或不能诚信履约的，评委会将启动异常低价投标审查机制，供应商应在评委会规定的合理时间内通过苏采云系统提供项目具体成本测算等与报价合理性相关的书面说明及相关证明材料。供应商不提供书面说明及证明材料，或者书面说明、证明材料不能证明其报价合理性的，将作为无效投标处理。</w:t>
            </w:r>
            <w:r/>
          </w:p>
        </w:tc>
        <w:tc>
          <w:tcPr>
            <w:tcW w:w="410"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p>
        </w:tc>
        <w:tc>
          <w:tcPr>
            <w:tcW w:w="656"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项目实施方案</w:t>
            </w:r>
            <w:r/>
          </w:p>
        </w:tc>
        <w:tc>
          <w:tcPr>
            <w:tcW w:w="3532"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投标人针对本项目的实施方案进行综合评审，方案描述本项目古籍数字化加工服务的行业标准、工作方法、实施流程，内容包括但不限于：①项目前期准备，②图像采集，③文字识别，④数据标引，⑤数据整合。</w:t>
            </w:r>
            <w:r/>
          </w:p>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（1）方案完整合理、可行性高的得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（2）方案较完整合理，可行性较高得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（3）方案</w:t>
            </w:r>
            <w:r>
              <w:rPr>
                <w:rFonts w:hint="eastAsia" w:ascii="宋体" w:hAnsi="宋体" w:cs="宋体"/>
                <w:color w:val="000000" w:themeColor="text1"/>
                <w:sz w:val="24"/>
                <w:highlight w:val="none"/>
                <w:lang w:val="en-US" w:eastAsia="zh-CN"/>
                <w14:textFill>
                  <w14:solidFill>
                    <w14:schemeClr w14:val="tx1"/>
                  </w14:solidFill>
                </w14:textFill>
              </w:rPr>
              <w:t xml:space="preserve">欠缺</w:t>
            </w:r>
            <w:r>
              <w:rPr>
                <w:rFonts w:hint="eastAsia" w:ascii="宋体" w:hAnsi="宋体" w:cs="宋体"/>
                <w:color w:val="000000" w:themeColor="text1"/>
                <w:sz w:val="24"/>
                <w:highlight w:val="none"/>
                <w14:textFill>
                  <w14:solidFill>
                    <w14:schemeClr w14:val="tx1"/>
                  </w14:solidFill>
                </w14:textFill>
              </w:rPr>
              <w:t xml:space="preserve">，可行性</w:t>
            </w:r>
            <w:r>
              <w:rPr>
                <w:rFonts w:hint="eastAsia" w:ascii="宋体" w:hAnsi="宋体" w:cs="宋体"/>
                <w:color w:val="000000" w:themeColor="text1"/>
                <w:sz w:val="24"/>
                <w:highlight w:val="none"/>
                <w:lang w:val="en-US" w:eastAsia="zh-CN"/>
                <w14:textFill>
                  <w14:solidFill>
                    <w14:schemeClr w14:val="tx1"/>
                  </w14:solidFill>
                </w14:textFill>
              </w:rPr>
              <w:t xml:space="preserve">欠缺</w:t>
            </w:r>
            <w:r>
              <w:rPr>
                <w:rFonts w:hint="eastAsia" w:ascii="宋体" w:hAnsi="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（4）方案差或未提供的不得分。</w:t>
            </w:r>
            <w:r/>
          </w:p>
        </w:tc>
        <w:tc>
          <w:tcPr>
            <w:tcW w:w="410"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3</w:t>
            </w:r>
            <w:r/>
          </w:p>
        </w:tc>
        <w:tc>
          <w:tcPr>
            <w:tcW w:w="656"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进度计划及保障措施方案</w:t>
            </w:r>
            <w:r/>
          </w:p>
        </w:tc>
        <w:tc>
          <w:tcPr>
            <w:tcW w:w="3532"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对投标人针对本项目的实施进度计划及保障措施方案进行综合评审，内容包括但不限于①进度计划安排，②设备保障，③人员保障，④应急措施。</w:t>
            </w:r>
            <w:r/>
          </w:p>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（1）实施进度计划清晰、明确，保障措施完善、合理的得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（2）进度计划符合采购人要求的工作时限，保障措施基本完善、合理的得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（3）有进度计划相关内容，但内容含糊，保障措施不完善的得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（4）方案差或不提供的不得分。</w:t>
            </w:r>
            <w:r/>
          </w:p>
        </w:tc>
        <w:tc>
          <w:tcPr>
            <w:tcW w:w="410"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古籍原件安全保护方案</w:t>
            </w:r>
            <w:r/>
          </w:p>
        </w:tc>
        <w:tc>
          <w:tcPr>
            <w:tcW w:w="3532" w:type="pct"/>
            <w:vAlign w:val="center"/>
            <w:textDirection w:val="lrTb"/>
            <w:noWrap w:val="false"/>
          </w:tcPr>
          <w:p>
            <w:pPr>
              <w:ind w:firstLine="0"/>
              <w:keepLines w:val="0"/>
              <w:keepNext w:val="0"/>
              <w:pageBreakBefore w:val="0"/>
              <w:spacing w:line="24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对投标人针对本项目制定的古籍原件安全保护方案及相关协议进行综合评审。</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（1）方案内容完整、措施严密、责任分明，符合本项目特点及实际情况的得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（2）方案基本完整、描述较清晰、责任较明确，有一定针对性的得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（3）方案不完善、存在明显漏洞、责任不清，没有针对性的得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widowControl/>
              <w:rPr>
                <w:rFonts w:hint="eastAsia"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（4）其他不得分。</w:t>
            </w:r>
            <w:r/>
          </w:p>
        </w:tc>
        <w:tc>
          <w:tcPr>
            <w:tcW w:w="410" w:type="pct"/>
            <w:vAlign w:val="center"/>
            <w:textDirection w:val="lrTb"/>
            <w:noWrap w:val="false"/>
          </w:tcPr>
          <w:p>
            <w:pPr>
              <w:ind w:firstLine="0"/>
              <w:jc w:val="center"/>
              <w:keepLines w:val="0"/>
              <w:keepNext w:val="0"/>
              <w:pageBreakBefore w:val="0"/>
              <w:spacing w:line="240" w:lineRule="auto"/>
              <w:rPr>
                <w:rFonts w:hint="default"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szCs w:val="22"/>
                <w:highlight w:val="none"/>
                <w:lang w:val="en-US" w:eastAsia="zh-CN" w:bidi="ar-SA"/>
                <w14:textFill>
                  <w14:solidFill>
                    <w14:schemeClr w14:val="tx1"/>
                  </w14:solidFill>
                </w14:textFill>
              </w:rPr>
              <w:t xml:space="preserve">7</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成果数据保护方案及相关协议</w:t>
            </w:r>
            <w:r/>
          </w:p>
        </w:tc>
        <w:tc>
          <w:tcPr>
            <w:tcW w:w="3532" w:type="pct"/>
            <w:vAlign w:val="center"/>
            <w:textDirection w:val="lrTb"/>
            <w:noWrap w:val="false"/>
          </w:tcPr>
          <w:p>
            <w:pPr>
              <w:ind w:firstLine="0"/>
              <w:keepLines w:val="0"/>
              <w:keepNext w:val="0"/>
              <w:pageBreakBefore w:val="0"/>
              <w:spacing w:line="24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对投标人针对本项目制定的成果数据保护方案及相关协议进行综合评审。</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（1）方案内容完整、措施严密、责任分明，符合本项目特点及实际情况的得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（2）方案基本完整、描述较清晰、责任较明确，有一定针对性的得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（3）方案不完善、存在明显漏洞、责任不清，没有针对性的得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widowControl/>
              <w:rPr>
                <w:rFonts w:hint="eastAsia"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（4）其他不得分。</w:t>
            </w:r>
            <w:r/>
          </w:p>
        </w:tc>
        <w:tc>
          <w:tcPr>
            <w:tcW w:w="410"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6</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质量保证方案及措施</w:t>
            </w:r>
            <w:r/>
          </w:p>
        </w:tc>
        <w:tc>
          <w:tcPr>
            <w:tcW w:w="3532"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对投标人针对本项目的</w:t>
            </w:r>
            <w:bookmarkStart w:id="197" w:name="OLE_LINK4"/>
            <w:r>
              <w:rPr>
                <w:rFonts w:hint="eastAsia" w:ascii="宋体" w:hAnsi="宋体" w:cs="宋体"/>
                <w:color w:val="000000" w:themeColor="text1"/>
                <w:sz w:val="24"/>
                <w:highlight w:val="none"/>
                <w14:textFill>
                  <w14:solidFill>
                    <w14:schemeClr w14:val="tx1"/>
                  </w14:solidFill>
                </w14:textFill>
              </w:rPr>
              <w:t xml:space="preserve">质量保证方案及措施</w:t>
            </w:r>
            <w:bookmarkEnd w:id="197"/>
            <w:r>
              <w:rPr>
                <w:rFonts w:hint="eastAsia" w:ascii="宋体" w:hAnsi="宋体" w:cs="宋体"/>
                <w:color w:val="000000" w:themeColor="text1"/>
                <w:sz w:val="24"/>
                <w:highlight w:val="none"/>
                <w14:textFill>
                  <w14:solidFill>
                    <w14:schemeClr w14:val="tx1"/>
                  </w14:solidFill>
                </w14:textFill>
              </w:rPr>
              <w:t xml:space="preserve">进行综合评审，内容包括但不限于①图像质检，②文字内容质检，③信息标引质检，④数据备份质检，⑤第三方公司质检。</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（1）质量保证方案及措施详细，合理可行，方案总体相对完整的得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（2）质量保证方案及措施较详细，方案总体相对较完整的得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（3）提供项目质量保证方案及措施，方案总体相对</w:t>
            </w:r>
            <w:r>
              <w:rPr>
                <w:rFonts w:hint="eastAsia" w:ascii="宋体" w:hAnsi="宋体" w:cs="宋体"/>
                <w:color w:val="000000" w:themeColor="text1"/>
                <w:sz w:val="24"/>
                <w:highlight w:val="none"/>
                <w:lang w:val="en-US" w:eastAsia="zh-CN"/>
                <w14:textFill>
                  <w14:solidFill>
                    <w14:schemeClr w14:val="tx1"/>
                  </w14:solidFill>
                </w14:textFill>
              </w:rPr>
              <w:t xml:space="preserve">欠缺</w:t>
            </w:r>
            <w:r>
              <w:rPr>
                <w:rFonts w:hint="eastAsia" w:ascii="宋体" w:hAnsi="宋体" w:cs="宋体"/>
                <w:color w:val="000000" w:themeColor="text1"/>
                <w:sz w:val="24"/>
                <w:highlight w:val="none"/>
                <w14:textFill>
                  <w14:solidFill>
                    <w14:schemeClr w14:val="tx1"/>
                  </w14:solidFill>
                </w14:textFill>
              </w:rPr>
              <w:t xml:space="preserve">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（4）没有方案或未提供的不得分</w:t>
            </w:r>
            <w:r/>
          </w:p>
        </w:tc>
        <w:tc>
          <w:tcPr>
            <w:tcW w:w="410" w:type="pct"/>
            <w:vAlign w:val="center"/>
            <w:textDirection w:val="lrTb"/>
            <w:noWrap w:val="false"/>
          </w:tcPr>
          <w:p>
            <w:pPr>
              <w:ind w:firstLine="0"/>
              <w:jc w:val="center"/>
              <w:keepLines w:val="0"/>
              <w:keepNext w:val="0"/>
              <w:pageBreakBefore w:val="0"/>
              <w:spacing w:line="240" w:lineRule="auto"/>
              <w:rPr>
                <w:rFonts w:hint="default"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szCs w:val="22"/>
                <w:highlight w:val="none"/>
                <w:lang w:val="en-US" w:eastAsia="zh-CN" w:bidi="ar-SA"/>
                <w14:textFill>
                  <w14:solidFill>
                    <w14:schemeClr w14:val="tx1"/>
                  </w14:solidFill>
                </w14:textFill>
              </w:rPr>
              <w:t xml:space="preserve">6</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7</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演示</w:t>
            </w:r>
            <w:r/>
          </w:p>
        </w:tc>
        <w:tc>
          <w:tcPr>
            <w:tcW w:w="3532"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投标人根据</w:t>
            </w:r>
            <w:r>
              <w:rPr>
                <w:rFonts w:hint="eastAsia" w:ascii="宋体" w:hAnsi="宋体" w:cs="宋体"/>
                <w:b/>
                <w:bCs/>
                <w:color w:val="000000" w:themeColor="text1"/>
                <w:sz w:val="24"/>
                <w:highlight w:val="none"/>
                <w14:textFill>
                  <w14:solidFill>
                    <w14:schemeClr w14:val="tx1"/>
                  </w14:solidFill>
                </w14:textFill>
              </w:rPr>
              <w:t xml:space="preserve">“演示功能要求”</w:t>
            </w:r>
            <w:r>
              <w:rPr>
                <w:rFonts w:hint="eastAsia" w:ascii="宋体" w:hAnsi="宋体" w:cs="宋体"/>
                <w:color w:val="000000" w:themeColor="text1"/>
                <w:sz w:val="24"/>
                <w:highlight w:val="none"/>
                <w14:textFill>
                  <w14:solidFill>
                    <w14:schemeClr w14:val="tx1"/>
                  </w14:solidFill>
                </w14:textFill>
              </w:rPr>
              <w:t xml:space="preserve">录制演示视频（录像或录屏），视频文件的格式为*.mp4或*.avi，供应商须将视频文件分段压缩为*.zip文件上传（单个文件不得大于50M，所有文件合计不得大于300M）。文件上传方式见《操作手册》，上传的演示视频将作为投标文件的组成部分。视频时长总计不超过</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分钟。共有四项演示功能要求，此项满分</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演示效果要求</w:t>
            </w:r>
            <w:r>
              <w:rPr>
                <w:rFonts w:hint="eastAsia" w:ascii="宋体" w:hAnsi="宋体" w:cs="宋体"/>
                <w:color w:val="000000" w:themeColor="text1"/>
                <w:sz w:val="24"/>
                <w:highlight w:val="none"/>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（1）投标人提供的视频必须是对实际运行系统进行的录制或录屛；</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）每个演示</w:t>
            </w:r>
            <w:r>
              <w:rPr>
                <w:rFonts w:hint="eastAsia" w:ascii="宋体" w:hAnsi="宋体" w:cs="宋体"/>
                <w:color w:val="000000" w:themeColor="text1"/>
                <w:sz w:val="24"/>
                <w:highlight w:val="none"/>
                <w:lang w:val="en-US" w:eastAsia="zh-CN"/>
                <w14:textFill>
                  <w14:solidFill>
                    <w14:schemeClr w14:val="tx1"/>
                  </w14:solidFill>
                </w14:textFill>
              </w:rPr>
              <w:t xml:space="preserve">点</w:t>
            </w:r>
            <w:r>
              <w:rPr>
                <w:rFonts w:hint="eastAsia" w:ascii="宋体" w:hAnsi="宋体" w:cs="宋体"/>
                <w:color w:val="000000" w:themeColor="text1"/>
                <w:sz w:val="24"/>
                <w:highlight w:val="none"/>
                <w14:textFill>
                  <w14:solidFill>
                    <w14:schemeClr w14:val="tx1"/>
                  </w14:solidFill>
                </w14:textFill>
              </w:rPr>
              <w:t xml:space="preserve">完全满足演示要求的得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分；功能欠缺的得</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分；非实际运行系统演示视频或不提供的不得分。</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（3）演示视频中需提供必要的解说，并在演示功能时，重点描述出当前演示功能名称及功能要求演示响应情况。</w:t>
            </w:r>
            <w:r/>
          </w:p>
          <w:p>
            <w:pPr>
              <w:ind w:firstLine="0"/>
              <w:jc w:val="left"/>
              <w:keepLines w:val="0"/>
              <w:keepNext w:val="0"/>
              <w:pageBreakBefore w:val="0"/>
              <w:spacing w:line="24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演示功能要求：</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古籍扫描、图像处理功能（</w:t>
            </w:r>
            <w:r>
              <w:rPr>
                <w:rFonts w:hint="eastAsia" w:ascii="宋体" w:hAnsi="宋体" w:cs="宋体"/>
                <w:color w:val="000000" w:themeColor="text1"/>
                <w:sz w:val="24"/>
                <w:highlight w:val="none"/>
                <w:lang w:val="en-US" w:eastAsia="zh-CN"/>
                <w14:textFill>
                  <w14:solidFill>
                    <w14:schemeClr w14:val="tx1"/>
                  </w14:solidFill>
                </w14:textFill>
              </w:rPr>
              <w:t xml:space="preserve">本项满分4</w:t>
            </w:r>
            <w:r>
              <w:rPr>
                <w:rFonts w:hint="eastAsia" w:ascii="宋体" w:hAnsi="宋体" w:cs="宋体"/>
                <w:color w:val="000000" w:themeColor="text1"/>
                <w:sz w:val="24"/>
                <w:highlight w:val="none"/>
                <w14:textFill>
                  <w14:solidFill>
                    <w14:schemeClr w14:val="tx1"/>
                  </w14:solidFill>
                </w14:textFill>
              </w:rPr>
              <w:t xml:space="preserve">分）；</w:t>
            </w:r>
            <w:r/>
          </w:p>
          <w:p>
            <w:pPr>
              <w:numPr>
                <w:ilvl w:val="255"/>
                <w:numId w:val="0"/>
              </w:num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完成古籍扫描、图像处理功能演示，要求包括：①古籍扫描、②图像预处理、③人工校对、④成果导出的具体操作演示。</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2"/>
                <w:highlight w:val="none"/>
                <w:lang w:val="en-US" w:eastAsia="zh-CN" w:bidi="ar-SA"/>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古籍OCR全文识别功能（</w:t>
            </w:r>
            <w:r>
              <w:rPr>
                <w:rFonts w:hint="eastAsia" w:ascii="宋体" w:hAnsi="宋体" w:cs="宋体"/>
                <w:color w:val="000000" w:themeColor="text1"/>
                <w:sz w:val="24"/>
                <w:highlight w:val="none"/>
                <w:lang w:val="en-US" w:eastAsia="zh-CN"/>
                <w14:textFill>
                  <w14:solidFill>
                    <w14:schemeClr w14:val="tx1"/>
                  </w14:solidFill>
                </w14:textFill>
              </w:rPr>
              <w:t xml:space="preserve">本项满分4</w:t>
            </w:r>
            <w:r>
              <w:rPr>
                <w:rFonts w:hint="eastAsia" w:ascii="宋体" w:hAnsi="宋体" w:cs="宋体"/>
                <w:color w:val="000000" w:themeColor="text1"/>
                <w:sz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完成古籍OCR全文识别功能演示，功能要求包括①支持对于多类型文件识别（JPG、PDF、TIFF等）；②支持自行设置输入、输出路径；③支持输出PDF、TXT等格式的成果；④成果数据能够记录古籍版式信息和文字坐标。</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2"/>
                <w:highlight w:val="none"/>
                <w:lang w:val="en-US" w:eastAsia="zh-CN" w:bidi="ar-SA"/>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古籍数据标引功能（</w:t>
            </w:r>
            <w:r>
              <w:rPr>
                <w:rFonts w:hint="eastAsia" w:ascii="宋体" w:hAnsi="宋体" w:cs="宋体"/>
                <w:color w:val="000000" w:themeColor="text1"/>
                <w:sz w:val="24"/>
                <w:highlight w:val="none"/>
                <w:lang w:val="en-US" w:eastAsia="zh-CN"/>
                <w14:textFill>
                  <w14:solidFill>
                    <w14:schemeClr w14:val="tx1"/>
                  </w14:solidFill>
                </w14:textFill>
              </w:rPr>
              <w:t xml:space="preserve">本项满分6</w:t>
            </w:r>
            <w:r>
              <w:rPr>
                <w:rFonts w:hint="eastAsia" w:ascii="宋体" w:hAnsi="宋体" w:cs="宋体"/>
                <w:color w:val="000000" w:themeColor="text1"/>
                <w:sz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完成古籍数据标引加工软件及样本古籍数据标引过程全流程演示，软件功能要求①古籍基本信息著录、②版式分析、③自动识别、④数据标引、⑤人工校对、⑥成果数据导出(XML文件格式）的具体功能操作演示。要求对古籍知识标引成果XML文件（含古籍基本元数据、结构数据、卷目篇名）进行展示</w:t>
            </w:r>
            <w:r/>
          </w:p>
        </w:tc>
        <w:tc>
          <w:tcPr>
            <w:tcW w:w="410" w:type="pct"/>
            <w:vAlign w:val="center"/>
            <w:textDirection w:val="lrTb"/>
            <w:noWrap w:val="false"/>
          </w:tcPr>
          <w:p>
            <w:pPr>
              <w:ind w:firstLine="0"/>
              <w:jc w:val="center"/>
              <w:keepLines w:val="0"/>
              <w:keepNext w:val="0"/>
              <w:pageBreakBefore w:val="0"/>
              <w:spacing w:line="240" w:lineRule="auto"/>
              <w:rPr>
                <w:rFonts w:hint="default"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14</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8</w:t>
            </w:r>
            <w:r/>
          </w:p>
        </w:tc>
        <w:tc>
          <w:tcPr>
            <w:tcW w:w="656"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采购需求响应</w:t>
            </w:r>
            <w:r/>
          </w:p>
        </w:tc>
        <w:tc>
          <w:tcPr>
            <w:tcW w:w="3532" w:type="pct"/>
            <w:vAlign w:val="center"/>
            <w:textDirection w:val="lrTb"/>
            <w:noWrap w:val="false"/>
          </w:tcPr>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评委根据供应商投标文件中提供的《</w:t>
            </w:r>
            <w:r>
              <w:rPr>
                <w:rFonts w:hint="eastAsia" w:ascii="宋体" w:hAnsi="宋体" w:cs="宋体"/>
                <w:bCs/>
                <w:color w:val="000000" w:themeColor="text1"/>
                <w:sz w:val="24"/>
                <w:highlight w:val="none"/>
                <w:lang w:val="en-US" w:eastAsia="zh-CN"/>
                <w14:textFill>
                  <w14:solidFill>
                    <w14:schemeClr w14:val="tx1"/>
                  </w14:solidFill>
                </w14:textFill>
              </w:rPr>
              <w:t xml:space="preserve">采购需求</w:t>
            </w:r>
            <w:r>
              <w:rPr>
                <w:rFonts w:hint="eastAsia" w:ascii="宋体" w:hAnsi="宋体" w:cs="宋体"/>
                <w:bCs/>
                <w:color w:val="000000" w:themeColor="text1"/>
                <w:sz w:val="24"/>
                <w:highlight w:val="none"/>
                <w14:textFill>
                  <w14:solidFill>
                    <w14:schemeClr w14:val="tx1"/>
                  </w14:solidFill>
                </w14:textFill>
              </w:rPr>
              <w:t xml:space="preserve">响应及偏离表》和《商务要求响应及偏离表》响应及偏离情况进行评审：</w:t>
            </w:r>
            <w:r/>
          </w:p>
          <w:p>
            <w:pPr>
              <w:ind w:firstLine="0"/>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投标人全部满足招标文件“第四章 项目需求”要求，响应情况为无偏离或正偏离的得满分</w:t>
            </w:r>
            <w:r>
              <w:rPr>
                <w:rFonts w:hint="eastAsia" w:ascii="宋体" w:hAnsi="宋体" w:cs="宋体"/>
                <w:bCs/>
                <w:color w:val="000000" w:themeColor="text1"/>
                <w:sz w:val="24"/>
                <w:highlight w:val="none"/>
                <w:lang w:val="en-US" w:eastAsia="zh-CN"/>
                <w14:textFill>
                  <w14:solidFill>
                    <w14:schemeClr w14:val="tx1"/>
                  </w14:solidFill>
                </w14:textFill>
              </w:rPr>
              <w:t xml:space="preserve">14</w:t>
            </w:r>
            <w:r>
              <w:rPr>
                <w:rFonts w:hint="eastAsia" w:ascii="宋体" w:hAnsi="宋体" w:cs="宋体"/>
                <w:bCs/>
                <w:color w:val="000000" w:themeColor="text1"/>
                <w:sz w:val="24"/>
                <w:highlight w:val="none"/>
                <w14:textFill>
                  <w14:solidFill>
                    <w14:schemeClr w14:val="tx1"/>
                  </w14:solidFill>
                </w14:textFill>
              </w:rPr>
              <w:t xml:space="preserve">分每有一项负偏离扣0.5分，满分</w:t>
            </w:r>
            <w:r>
              <w:rPr>
                <w:rFonts w:hint="eastAsia" w:ascii="宋体" w:hAnsi="宋体" w:cs="宋体"/>
                <w:bCs/>
                <w:color w:val="000000" w:themeColor="text1"/>
                <w:sz w:val="24"/>
                <w:highlight w:val="none"/>
                <w:lang w:val="en-US" w:eastAsia="zh-CN"/>
                <w14:textFill>
                  <w14:solidFill>
                    <w14:schemeClr w14:val="tx1"/>
                  </w14:solidFill>
                </w14:textFill>
              </w:rPr>
              <w:t xml:space="preserve">14</w:t>
            </w:r>
            <w:r>
              <w:rPr>
                <w:rFonts w:hint="eastAsia" w:ascii="宋体" w:hAnsi="宋体" w:cs="宋体"/>
                <w:bCs/>
                <w:color w:val="000000" w:themeColor="text1"/>
                <w:sz w:val="24"/>
                <w:highlight w:val="none"/>
                <w14:textFill>
                  <w14:solidFill>
                    <w14:schemeClr w14:val="tx1"/>
                  </w14:solidFill>
                </w14:textFill>
              </w:rPr>
              <w:t xml:space="preserve">分，扣完为止。</w:t>
            </w:r>
            <w:r/>
          </w:p>
        </w:tc>
        <w:tc>
          <w:tcPr>
            <w:tcW w:w="410" w:type="pct"/>
            <w:vAlign w:val="center"/>
            <w:textDirection w:val="lrTb"/>
            <w:noWrap w:val="false"/>
          </w:tcPr>
          <w:p>
            <w:pPr>
              <w:ind w:firstLine="0"/>
              <w:jc w:val="center"/>
              <w:keepLines w:val="0"/>
              <w:keepNext w:val="0"/>
              <w:pageBreakBefore w:val="0"/>
              <w:spacing w:line="240" w:lineRule="auto"/>
              <w:rPr>
                <w:rFonts w:hint="default"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szCs w:val="22"/>
                <w:highlight w:val="none"/>
                <w:lang w:val="en-US" w:eastAsia="zh-CN" w:bidi="ar-SA"/>
                <w14:textFill>
                  <w14:solidFill>
                    <w14:schemeClr w14:val="tx1"/>
                  </w14:solidFill>
                </w14:textFill>
              </w:rPr>
              <w:t xml:space="preserve">14</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9</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项目负责</w:t>
            </w:r>
            <w:r>
              <w:rPr>
                <w:rFonts w:hint="eastAsia" w:ascii="宋体" w:hAnsi="宋体" w:cs="宋体"/>
                <w:bCs/>
                <w:color w:val="000000" w:themeColor="text1"/>
                <w:sz w:val="24"/>
                <w:highlight w:val="none"/>
                <w:lang w:val="en-US" w:eastAsia="zh-CN"/>
                <w14:textFill>
                  <w14:solidFill>
                    <w14:schemeClr w14:val="tx1"/>
                  </w14:solidFill>
                </w14:textFill>
              </w:rPr>
              <w:t xml:space="preserve">人</w:t>
            </w:r>
            <w:r/>
          </w:p>
        </w:tc>
        <w:tc>
          <w:tcPr>
            <w:tcW w:w="3532" w:type="pct"/>
            <w:vAlign w:val="center"/>
            <w:textDirection w:val="lrTb"/>
            <w:noWrap w:val="false"/>
          </w:tcPr>
          <w:p>
            <w:pPr>
              <w:ind w:firstLine="0"/>
              <w:keepLines w:val="0"/>
              <w:keepNext w:val="0"/>
              <w:pageBreakBefore w:val="0"/>
              <w:spacing w:line="24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项目负责人满足下列条件：</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项目负责人须具备以下资质证书，单独具备其中1项得1分，同时具备得4分。</w:t>
            </w:r>
            <w:r/>
          </w:p>
          <w:p>
            <w:pPr>
              <w:numPr>
                <w:ilvl w:val="0"/>
                <w:numId w:val="0"/>
              </w:num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文史类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计算机技术类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图书情报类</w:t>
            </w:r>
            <w:r>
              <w:rPr>
                <w:rFonts w:hint="eastAsia" w:ascii="宋体" w:hAnsi="宋体" w:cs="宋体"/>
                <w:color w:val="000000" w:themeColor="text1"/>
                <w:sz w:val="24"/>
                <w:highlight w:val="none"/>
                <w14:textFill>
                  <w14:solidFill>
                    <w14:schemeClr w14:val="tx1"/>
                  </w14:solidFill>
                </w14:textFill>
              </w:rPr>
              <w:t xml:space="preserve">等相关专业硕士及以上学历；</w:t>
            </w:r>
            <w:r/>
          </w:p>
          <w:p>
            <w:pPr>
              <w:numPr>
                <w:ilvl w:val="0"/>
                <w:numId w:val="0"/>
              </w:num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2"/>
                <w:highlight w:val="none"/>
                <w:lang w:val="en-US" w:eastAsia="zh-CN" w:bidi="ar-SA"/>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拥有三年及以上古籍文献类数字化工作项目负责人经验。</w:t>
            </w:r>
            <w:r/>
          </w:p>
          <w:p>
            <w:pPr>
              <w:ind w:firstLine="0"/>
              <w:keepLines w:val="0"/>
              <w:keepNext w:val="0"/>
              <w:pageBreakBefore w:val="0"/>
              <w:spacing w:line="24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应提供以下全部证明材料，缺项或漏项不得分：</w:t>
            </w:r>
            <w:r/>
          </w:p>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①投标人投标时须提供项目负责人的学历相关证明材料扫描件和项目负责人三年及以上古籍文献类数字化工作经验书面证明材料（包含但不限于个人工作简历、参与项目履约合同等）</w:t>
            </w:r>
            <w:r/>
          </w:p>
          <w:p>
            <w:pPr>
              <w:ind w:firstLine="0"/>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②投标人提供为项目负责人缴纳的前6个月任意一</w:t>
            </w:r>
            <w:r>
              <w:rPr>
                <w:rFonts w:ascii="宋体" w:hAnsi="宋体" w:cs="宋体"/>
                <w:bCs/>
                <w:color w:val="000000" w:themeColor="text1"/>
                <w:sz w:val="24"/>
                <w:highlight w:val="none"/>
                <w14:textFill>
                  <w14:solidFill>
                    <w14:schemeClr w14:val="tx1"/>
                  </w14:solidFill>
                </w14:textFill>
              </w:rPr>
              <w:t xml:space="preserve">个月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2025年10月-2026年3月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的社保证明复印件。项目负责人为退休返聘人员，应提供退休返聘劳动合同和前6个月内至少一个月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2025年10月-2026年3月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的企业账户支付工资证明材料。</w:t>
            </w:r>
            <w:r/>
          </w:p>
        </w:tc>
        <w:tc>
          <w:tcPr>
            <w:tcW w:w="410" w:type="pct"/>
            <w:vAlign w:val="center"/>
            <w:textDirection w:val="lrTb"/>
            <w:noWrap w:val="false"/>
          </w:tcPr>
          <w:p>
            <w:pPr>
              <w:ind w:firstLine="0"/>
              <w:jc w:val="center"/>
              <w:keepLines w:val="0"/>
              <w:keepNext w:val="0"/>
              <w:pageBreakBefore w:val="0"/>
              <w:spacing w:line="240" w:lineRule="auto"/>
              <w:rPr>
                <w:rFonts w:hint="eastAsia" w:ascii="宋体" w:hAnsi="宋体" w:eastAsia="仿宋" w:cs="宋体"/>
                <w:color w:val="000000" w:themeColor="text1"/>
                <w:sz w:val="24"/>
                <w:szCs w:val="22"/>
                <w:highlight w:val="none"/>
                <w:lang w:val="en-US" w:eastAsia="zh-CN" w:bidi="ar-SA"/>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10</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团队成员</w:t>
            </w:r>
            <w:r/>
          </w:p>
        </w:tc>
        <w:tc>
          <w:tcPr>
            <w:tcW w:w="3532" w:type="pct"/>
            <w:vAlign w:val="center"/>
            <w:textDirection w:val="lrTb"/>
            <w:noWrap w:val="false"/>
          </w:tcPr>
          <w:p>
            <w:pPr>
              <w:ind w:firstLine="0"/>
              <w:keepLines w:val="0"/>
              <w:keepNext w:val="0"/>
              <w:pageBreakBefore w:val="0"/>
              <w:spacing w:line="24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项目团队成员（项目负责人除外）具备下列条件之一要求的，每有一人满足其中1项要求的得0.</w:t>
            </w:r>
            <w:r>
              <w:rPr>
                <w:rFonts w:ascii="宋体" w:hAnsi="宋体" w:cs="宋体"/>
                <w:b/>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分；每有一人同时满足2项要求的得</w:t>
            </w: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分，此项团队成员可累计得分，满分</w:t>
            </w:r>
            <w:r>
              <w:rPr>
                <w:rFonts w:ascii="宋体" w:hAnsi="宋体" w:cs="宋体"/>
                <w:b/>
                <w:color w:val="000000" w:themeColor="text1"/>
                <w:sz w:val="24"/>
                <w:highlight w:val="none"/>
                <w14:textFill>
                  <w14:solidFill>
                    <w14:schemeClr w14:val="tx1"/>
                  </w14:solidFill>
                </w14:textFill>
              </w:rPr>
              <w:t xml:space="preserve">8</w:t>
            </w:r>
            <w:r>
              <w:rPr>
                <w:rFonts w:hint="eastAsia" w:ascii="宋体" w:hAnsi="宋体" w:cs="宋体"/>
                <w:b/>
                <w:color w:val="000000" w:themeColor="text1"/>
                <w:sz w:val="24"/>
                <w:highlight w:val="none"/>
                <w14:textFill>
                  <w14:solidFill>
                    <w14:schemeClr w14:val="tx1"/>
                  </w14:solidFill>
                </w14:textFill>
              </w:rPr>
              <w:t xml:space="preserve">分。</w:t>
            </w:r>
            <w:r/>
          </w:p>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（1）项目团队成员具备文史类或计算机技术类</w:t>
            </w:r>
            <w:r>
              <w:rPr>
                <w:rFonts w:hint="eastAsia" w:ascii="宋体" w:hAnsi="宋体" w:cs="宋体"/>
                <w:bCs/>
                <w:color w:val="000000" w:themeColor="text1"/>
                <w:sz w:val="24"/>
                <w:highlight w:val="none"/>
                <w:lang w:val="en-US" w:eastAsia="zh-CN"/>
                <w14:textFill>
                  <w14:solidFill>
                    <w14:schemeClr w14:val="tx1"/>
                  </w14:solidFill>
                </w14:textFill>
              </w:rPr>
              <w:t xml:space="preserve">本科及以上学历证书</w:t>
            </w:r>
            <w:r>
              <w:rPr>
                <w:rFonts w:hint="eastAsia" w:ascii="宋体" w:hAnsi="宋体" w:cs="宋体"/>
                <w:bCs/>
                <w:color w:val="000000" w:themeColor="text1"/>
                <w:sz w:val="24"/>
                <w:highlight w:val="none"/>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项目团队成员拥有国家图书馆培训中心颁发的图书文献编目证书或拥有国家古籍保护中心或省级古籍保护中心颁发的古籍工作类培训证书或由中国电子信息行业联合会和工信部教育与考试中心联合颁发的数据管理与知识服务相关证书。</w:t>
            </w:r>
            <w:r/>
          </w:p>
          <w:p>
            <w:pPr>
              <w:ind w:firstLine="0"/>
              <w:keepLines w:val="0"/>
              <w:keepNext w:val="0"/>
              <w:pageBreakBefore w:val="0"/>
              <w:spacing w:line="24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应提供以下全部证明材料，缺项或漏项对应项目成员不计分：</w:t>
            </w:r>
            <w:r/>
          </w:p>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①投标人提供项目团队成员的</w:t>
            </w:r>
            <w:r>
              <w:rPr>
                <w:rFonts w:hint="eastAsia" w:ascii="宋体" w:hAnsi="宋体" w:cs="宋体"/>
                <w:bCs/>
                <w:color w:val="000000" w:themeColor="text1"/>
                <w:sz w:val="24"/>
                <w:highlight w:val="none"/>
                <w:lang w:val="en-US" w:eastAsia="zh-CN"/>
                <w14:textFill>
                  <w14:solidFill>
                    <w14:schemeClr w14:val="tx1"/>
                  </w14:solidFill>
                </w14:textFill>
              </w:rPr>
              <w:t xml:space="preserve">学历</w:t>
            </w:r>
            <w:r>
              <w:rPr>
                <w:rFonts w:hint="eastAsia" w:ascii="宋体" w:hAnsi="宋体" w:cs="宋体"/>
                <w:bCs/>
                <w:color w:val="000000" w:themeColor="text1"/>
                <w:sz w:val="24"/>
                <w:highlight w:val="none"/>
                <w14:textFill>
                  <w14:solidFill>
                    <w14:schemeClr w14:val="tx1"/>
                  </w14:solidFill>
                </w14:textFill>
              </w:rPr>
              <w:t xml:space="preserve">证书或相应技能证书复印件。</w:t>
            </w:r>
            <w:r/>
          </w:p>
          <w:p>
            <w:pPr>
              <w:ind w:firstLine="0"/>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②投标人提供为项目团队成员缴纳的前6个月内任意一个月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2025年10月-2026年3月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的社保证明复印件。项目团队成员为退休返聘人员，应提供退休返聘劳动合同和前6个月内至少一个月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2025年10月-2026年3月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的企业账户支付工资证明材料。</w:t>
            </w:r>
            <w:r/>
          </w:p>
        </w:tc>
        <w:tc>
          <w:tcPr>
            <w:tcW w:w="41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8</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11</w:t>
            </w:r>
            <w:r/>
          </w:p>
        </w:tc>
        <w:tc>
          <w:tcPr>
            <w:tcW w:w="6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项目团队成员数量</w:t>
            </w:r>
            <w:r/>
          </w:p>
        </w:tc>
        <w:tc>
          <w:tcPr>
            <w:tcW w:w="3532" w:type="pct"/>
            <w:vAlign w:val="center"/>
            <w:textDirection w:val="lrTb"/>
            <w:noWrap w:val="false"/>
          </w:tcPr>
          <w:p>
            <w:pPr>
              <w:ind w:firstLine="0"/>
              <w:keepLines w:val="0"/>
              <w:keepNext w:val="0"/>
              <w:pageBreakBefore w:val="0"/>
              <w:spacing w:line="240" w:lineRule="auto"/>
              <w:widowControl/>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项目团队成员数量在满足</w:t>
            </w:r>
            <w:r>
              <w:rPr>
                <w:rFonts w:hint="eastAsia" w:ascii="宋体" w:hAnsi="宋体" w:cs="宋体"/>
                <w:bCs/>
                <w:color w:val="000000" w:themeColor="text1"/>
                <w:sz w:val="24"/>
                <w:highlight w:val="none"/>
                <w:lang w:val="en-US" w:eastAsia="zh-CN"/>
                <w14:textFill>
                  <w14:solidFill>
                    <w14:schemeClr w14:val="tx1"/>
                  </w14:solidFill>
                </w14:textFill>
              </w:rPr>
              <w:t xml:space="preserve">需求</w:t>
            </w:r>
            <w:r>
              <w:rPr>
                <w:rFonts w:hint="eastAsia" w:ascii="宋体" w:hAnsi="宋体" w:cs="宋体"/>
                <w:bCs/>
                <w:color w:val="000000" w:themeColor="text1"/>
                <w:sz w:val="24"/>
                <w:highlight w:val="none"/>
                <w14:textFill>
                  <w14:solidFill>
                    <w14:schemeClr w14:val="tx1"/>
                  </w14:solidFill>
                </w14:textFill>
              </w:rPr>
              <w:t xml:space="preserve">的基础上</w:t>
            </w:r>
            <w:r>
              <w:rPr>
                <w:rFonts w:hint="eastAsia" w:ascii="宋体" w:hAnsi="宋体" w:cs="宋体"/>
                <w:bCs/>
                <w:color w:val="000000" w:themeColor="text1"/>
                <w:sz w:val="24"/>
                <w:highlight w:val="none"/>
                <w:lang w:eastAsia="zh-CN"/>
                <w14:textFill>
                  <w14:solidFill>
                    <w14:schemeClr w14:val="tx1"/>
                  </w14:solidFill>
                </w14:textFill>
              </w:rPr>
              <w:t xml:space="preserve">（分包1：配备项目负责人、专业技术人员、相关实施人员，总服务人员不少于20人，其中驻场人员不少于2人；</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分包2：配备项目负责人、专业技术人员、相关实施人员，总服务人员不少于12人，其中驻场人员不少于2人）</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每增加一名满足要求的</w:t>
            </w:r>
            <w:r>
              <w:rPr>
                <w:rFonts w:hint="eastAsia" w:ascii="宋体" w:hAnsi="宋体" w:cs="宋体"/>
                <w:color w:val="000000" w:themeColor="text1"/>
                <w:sz w:val="24"/>
                <w:highlight w:val="none"/>
                <w:lang w:val="en-US" w:eastAsia="zh-CN"/>
                <w14:textFill>
                  <w14:solidFill>
                    <w14:schemeClr w14:val="tx1"/>
                  </w14:solidFill>
                </w14:textFill>
              </w:rPr>
              <w:t xml:space="preserve">成员，</w:t>
            </w:r>
            <w:r>
              <w:rPr>
                <w:rFonts w:hint="eastAsia" w:ascii="宋体" w:hAnsi="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分，此项满分6分。</w:t>
            </w:r>
            <w:r/>
          </w:p>
          <w:p>
            <w:pPr>
              <w:ind w:firstLine="0"/>
              <w:keepLines w:val="0"/>
              <w:keepNext w:val="0"/>
              <w:pageBreakBefore w:val="0"/>
              <w:spacing w:line="24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团队成员拥有国家图书馆培训中心颁发的图书文献编目证书或拥有国家古籍保护中心或省级古籍保护中心颁发的古籍工作类培训证书或由中国电子信息行业联合会和工信部教育与考试中心联合颁发的数据管理与知识服务相关证书。</w:t>
            </w:r>
            <w:r/>
          </w:p>
          <w:p>
            <w:pPr>
              <w:ind w:firstLine="0"/>
              <w:keepLines w:val="0"/>
              <w:keepNext w:val="0"/>
              <w:pageBreakBefore w:val="0"/>
              <w:spacing w:line="24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应提供以下证明材料，缺项或漏项对应项目成员不计分：</w:t>
            </w:r>
            <w:r/>
          </w:p>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①应在投标文件中提供人员配备一览表。未在人员配备一览表中列明的成员，不计分。</w:t>
            </w:r>
            <w:r/>
          </w:p>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②投标人提供为项目团队成员缴纳的前6个月内任意一个月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2025年10月-2026年3月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的社保证明复印件。项目团队成员为退休返聘人员，应提供退休返聘劳动合同和前6个月内至少一个月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2025年10月-2026年3月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的企业账户支付工资证明材料。</w:t>
            </w:r>
            <w:r/>
          </w:p>
          <w:p>
            <w:pPr>
              <w:ind w:firstLine="0"/>
              <w:keepLines w:val="0"/>
              <w:keepNext w:val="0"/>
              <w:pageBreakBefore w:val="0"/>
              <w:spacing w:line="24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w:t>
            </w:r>
            <w:r>
              <w:rPr>
                <w:rFonts w:hint="eastAsia" w:ascii="宋体" w:hAnsi="宋体" w:cs="宋体"/>
                <w:bCs/>
                <w:color w:val="000000" w:themeColor="text1"/>
                <w:sz w:val="24"/>
                <w:highlight w:val="none"/>
                <w14:textFill>
                  <w14:solidFill>
                    <w14:schemeClr w14:val="tx1"/>
                  </w14:solidFill>
                </w14:textFill>
              </w:rPr>
              <w:t xml:space="preserve">投标人提供项目团队成员的相应技能证书复印件。</w:t>
            </w:r>
            <w:r/>
          </w:p>
          <w:p>
            <w:pPr>
              <w:ind w:firstLine="0"/>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④“项目负责人”及“团队成员”中的人员在此项不重复计分</w:t>
            </w:r>
            <w:r/>
          </w:p>
        </w:tc>
        <w:tc>
          <w:tcPr>
            <w:tcW w:w="41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6</w:t>
            </w:r>
            <w:r/>
          </w:p>
        </w:tc>
      </w:tr>
      <w:tr>
        <w:trPr>
          <w:trHeight w:val="90"/>
        </w:trPr>
        <w:tc>
          <w:tcPr>
            <w:tcW w:w="400"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12</w:t>
            </w:r>
            <w:r/>
          </w:p>
        </w:tc>
        <w:tc>
          <w:tcPr>
            <w:tcW w:w="656" w:type="pct"/>
            <w:vAlign w:val="center"/>
            <w:textDirection w:val="lrTb"/>
            <w:noWrap w:val="false"/>
          </w:tcPr>
          <w:p>
            <w:pPr>
              <w:ind w:firstLine="0"/>
              <w:jc w:val="center"/>
              <w:keepLines w:val="0"/>
              <w:keepNext w:val="0"/>
              <w:pageBreakBefore w:val="0"/>
              <w:spacing w:line="240" w:lineRule="auto"/>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拟投入扫描仪设备</w:t>
            </w:r>
            <w:r/>
          </w:p>
        </w:tc>
        <w:tc>
          <w:tcPr>
            <w:tcW w:w="3532" w:type="pct"/>
            <w:vAlign w:val="center"/>
            <w:textDirection w:val="lrTb"/>
            <w:noWrap w:val="false"/>
          </w:tcPr>
          <w:p>
            <w:pPr>
              <w:ind w:firstLine="0"/>
              <w:jc w:val="left"/>
              <w:keepLines w:val="0"/>
              <w:keepNext w:val="0"/>
              <w:pageBreakBefore w:val="0"/>
              <w:spacing w:line="24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投标人拟投入本项目中使用的专用非接触式书刊类扫描仪，应在提供满足招标文件“项目需求”中设备技术参数的</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台设备基础上，每多提供一台得1分，此项满分4分。</w:t>
            </w:r>
            <w:r/>
          </w:p>
          <w:p>
            <w:pPr>
              <w:ind w:firstLine="0"/>
              <w:keepLines w:val="0"/>
              <w:keepNext w:val="0"/>
              <w:pageBreakBefore w:val="0"/>
              <w:spacing w:line="24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应提供以下证明材料，缺项或漏项对应扫描仪不计分：</w:t>
            </w:r>
            <w:r/>
          </w:p>
          <w:p>
            <w:pPr>
              <w:ind w:firstLine="0"/>
              <w:jc w:val="left"/>
              <w:keepLines w:val="0"/>
              <w:keepNext w:val="0"/>
              <w:pageBreakBefore w:val="0"/>
              <w:spacing w:line="24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①应在投标文件中提供扫描仪设备配备一览表（包含但不限于产品名称、规格型号、技术参数、数量等）。</w:t>
            </w:r>
            <w:r/>
          </w:p>
          <w:p>
            <w:pPr>
              <w:ind w:firstLine="0"/>
              <w:jc w:val="left"/>
              <w:keepLines w:val="0"/>
              <w:keepNext w:val="0"/>
              <w:pageBreakBefore w:val="0"/>
              <w:spacing w:line="240" w:lineRule="auto"/>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应提供扫描仪采购发票复印件（发票购买者名称应与投标人企业名称、税号一致；扫描仪发票产品型号规格应与对应设备一致）；设备为租赁的，应提供租赁合同复印件和出租方购买设备发票复印件（发票购买者名称应与出租方名称、税号一致；扫描仪发票产品型号规格应与对应设备一致）。</w:t>
            </w:r>
            <w:r/>
          </w:p>
        </w:tc>
        <w:tc>
          <w:tcPr>
            <w:tcW w:w="410" w:type="pct"/>
            <w:vAlign w:val="center"/>
            <w:textDirection w:val="lrTb"/>
            <w:noWrap w:val="false"/>
          </w:tcPr>
          <w:p>
            <w:pPr>
              <w:ind w:firstLine="0"/>
              <w:jc w:val="center"/>
              <w:keepLines w:val="0"/>
              <w:keepNext w:val="0"/>
              <w:pageBreakBefore w:val="0"/>
              <w:spacing w:line="240" w:lineRule="auto"/>
              <w:rPr>
                <w:rFonts w:hint="eastAsia"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r>
      <w:tr>
        <w:trPr>
          <w:trHeight w:val="90"/>
        </w:trPr>
        <w:tc>
          <w:tcPr>
            <w:tcW w:w="0" w:type="auto"/>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14</w:t>
            </w:r>
            <w:r/>
          </w:p>
        </w:tc>
        <w:tc>
          <w:tcPr>
            <w:tcW w:w="0" w:type="auto"/>
            <w:vAlign w:val="center"/>
            <w:textDirection w:val="lrTb"/>
            <w:noWrap w:val="false"/>
          </w:tcPr>
          <w:p>
            <w:pPr>
              <w:ind w:firstLine="0"/>
              <w:jc w:val="center"/>
              <w:keepLines w:val="0"/>
              <w:keepNext w:val="0"/>
              <w:pageBreakBefore w:val="0"/>
              <w:spacing w:line="240" w:lineRule="auto"/>
              <w:widowControl/>
              <w:rPr>
                <w:rFonts w:hint="eastAsia"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项目业绩</w:t>
            </w:r>
            <w:r/>
          </w:p>
        </w:tc>
        <w:tc>
          <w:tcPr>
            <w:tcW w:w="0" w:type="auto"/>
            <w:vAlign w:val="center"/>
            <w:textDirection w:val="lrTb"/>
            <w:noWrap w:val="false"/>
          </w:tcPr>
          <w:p>
            <w:pPr>
              <w:ind w:firstLine="0"/>
              <w:jc w:val="left"/>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w:t>
            </w:r>
            <w:r>
              <w:rPr>
                <w:rFonts w:hint="eastAsia" w:ascii="宋体" w:hAnsi="宋体" w:cs="宋体"/>
                <w:color w:val="000000" w:themeColor="text1"/>
                <w:sz w:val="24"/>
                <w:highlight w:val="none"/>
                <w:lang w:val="en-US" w:eastAsia="zh-CN"/>
                <w14:textFill>
                  <w14:solidFill>
                    <w14:schemeClr w14:val="tx1"/>
                  </w14:solidFill>
                </w14:textFill>
              </w:rPr>
              <w:t xml:space="preserve">2023</w:t>
            </w:r>
            <w:r>
              <w:rPr>
                <w:rFonts w:hint="eastAsia" w:ascii="宋体" w:hAnsi="宋体" w:cs="宋体"/>
                <w:color w:val="000000" w:themeColor="text1"/>
                <w:sz w:val="24"/>
                <w:highlight w:val="none"/>
                <w14:textFill>
                  <w14:solidFill>
                    <w14:schemeClr w14:val="tx1"/>
                  </w14:solidFill>
                </w14:textFill>
              </w:rPr>
              <w:t xml:space="preserve">年01月01日以来（以合同签订时间为准），投标人具有</w:t>
            </w:r>
            <w:r>
              <w:rPr>
                <w:rFonts w:hint="eastAsia" w:ascii="宋体" w:hAnsi="宋体" w:cs="宋体"/>
                <w:color w:val="000000" w:themeColor="text1"/>
                <w:sz w:val="24"/>
                <w:highlight w:val="none"/>
                <w:lang w:val="en-US" w:eastAsia="zh-CN"/>
                <w14:textFill>
                  <w14:solidFill>
                    <w14:schemeClr w14:val="tx1"/>
                  </w14:solidFill>
                </w14:textFill>
              </w:rPr>
              <w:t xml:space="preserve">古籍数字化或相关项目</w:t>
            </w:r>
            <w:r>
              <w:rPr>
                <w:rFonts w:hint="eastAsia" w:ascii="宋体" w:hAnsi="宋体" w:cs="宋体"/>
                <w:color w:val="000000" w:themeColor="text1"/>
                <w:sz w:val="24"/>
                <w:highlight w:val="none"/>
                <w14:textFill>
                  <w14:solidFill>
                    <w14:schemeClr w14:val="tx1"/>
                  </w14:solidFill>
                </w14:textFill>
              </w:rPr>
              <w:t xml:space="preserve">的合同，每提供1个业绩得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分，满分</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应提供以下证明材料，缺项或漏项项目业绩不计分：</w:t>
            </w:r>
            <w:r/>
          </w:p>
          <w:p>
            <w:pPr>
              <w:ind w:firstLine="0"/>
              <w:jc w:val="left"/>
              <w:keepLines w:val="0"/>
              <w:keepNext w:val="0"/>
              <w:pageBreakBefore w:val="0"/>
              <w:spacing w:line="240" w:lineRule="auto"/>
              <w:rPr>
                <w:rFonts w:hint="eastAsia" w:ascii="宋体" w:hAnsi="宋体" w:eastAsia="仿宋" w:cs="宋体"/>
                <w:color w:val="000000" w:themeColor="text1"/>
                <w:sz w:val="24"/>
                <w:szCs w:val="22"/>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①投标文件中应提供项目业绩合同复印件（合同应包含合同首页、服务内容页、签字盖章页）和付款发票复印件。</w:t>
            </w:r>
            <w:r/>
          </w:p>
        </w:tc>
        <w:tc>
          <w:tcPr>
            <w:tcW w:w="0" w:type="auto"/>
            <w:vAlign w:val="center"/>
            <w:textDirection w:val="lrTb"/>
            <w:noWrap w:val="false"/>
          </w:tcPr>
          <w:p>
            <w:pPr>
              <w:ind w:firstLine="0"/>
              <w:jc w:val="center"/>
              <w:keepLines w:val="0"/>
              <w:keepNext w:val="0"/>
              <w:pageBreakBefore w:val="0"/>
              <w:spacing w:line="240" w:lineRule="auto"/>
              <w:rPr>
                <w:rFonts w:hint="default" w:ascii="宋体" w:hAnsi="宋体" w:eastAsia="仿宋" w:cs="宋体"/>
                <w:bCs/>
                <w:color w:val="000000" w:themeColor="text1"/>
                <w:sz w:val="24"/>
                <w:szCs w:val="22"/>
                <w:highlight w:val="none"/>
                <w:lang w:val="en-US" w:eastAsia="zh-CN" w:bidi="ar-SA"/>
                <w14:textFill>
                  <w14:solidFill>
                    <w14:schemeClr w14:val="tx1"/>
                  </w14:solidFill>
                </w14:textFill>
              </w:rPr>
            </w:pPr>
            <w:r>
              <w:rPr>
                <w:rFonts w:hint="eastAsia" w:ascii="宋体" w:hAnsi="宋体" w:cs="宋体"/>
                <w:bCs/>
                <w:color w:val="000000" w:themeColor="text1"/>
                <w:sz w:val="24"/>
                <w:szCs w:val="22"/>
                <w:highlight w:val="none"/>
                <w:lang w:val="en-US" w:eastAsia="zh-CN" w:bidi="ar-SA"/>
                <w14:textFill>
                  <w14:solidFill>
                    <w14:schemeClr w14:val="tx1"/>
                  </w14:solidFill>
                </w14:textFill>
              </w:rPr>
              <w:t xml:space="preserve">9</w:t>
            </w:r>
            <w:r/>
          </w:p>
        </w:tc>
      </w:tr>
      <w:tr>
        <w:trPr>
          <w:trHeight w:val="90"/>
        </w:trPr>
        <w:tc>
          <w:tcPr>
            <w:gridSpan w:val="3"/>
            <w:tcW w:w="4589" w:type="pct"/>
            <w:textDirection w:val="lrTb"/>
            <w:noWrap w:val="false"/>
          </w:tcPr>
          <w:p>
            <w:pPr>
              <w:ind w:firstLine="0"/>
              <w:jc w:val="left"/>
              <w:keepLines w:val="0"/>
              <w:keepNext w:val="0"/>
              <w:pageBreakBefore w:val="0"/>
              <w:spacing w:line="240" w:lineRule="auto"/>
              <w:rPr>
                <w:rFonts w:hint="eastAsia" w:ascii="宋体" w:hAnsi="宋体" w:eastAsia="仿宋"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合计</w:t>
            </w:r>
            <w:r/>
          </w:p>
        </w:tc>
        <w:tc>
          <w:tcPr>
            <w:tcW w:w="0" w:type="auto"/>
            <w:vAlign w:val="center"/>
            <w:textDirection w:val="lrTb"/>
            <w:noWrap w:val="false"/>
          </w:tcPr>
          <w:p>
            <w:pPr>
              <w:ind w:firstLine="0"/>
              <w:jc w:val="center"/>
              <w:keepLines w:val="0"/>
              <w:keepNext w:val="0"/>
              <w:pageBreakBefore w:val="0"/>
              <w:spacing w:line="240" w:lineRule="auto"/>
              <w:rPr>
                <w:rFonts w:hint="default" w:ascii="宋体" w:hAnsi="宋体" w:eastAsia="仿宋"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100</w:t>
            </w:r>
            <w:r/>
          </w:p>
        </w:tc>
      </w:tr>
    </w:tbl>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br w:type="page" w:clear="all"/>
      </w:r>
      <w:r/>
    </w:p>
    <w:p>
      <w:pPr>
        <w:jc w:val="center"/>
        <w:rPr>
          <w:rFonts w:hint="eastAsia" w:ascii="仿宋" w:hAnsi="仿宋" w:eastAsia="仿宋" w:cs="仿宋"/>
          <w:bCs/>
          <w:color w:val="000000" w:themeColor="text1"/>
          <w:sz w:val="44"/>
          <w:szCs w:val="28"/>
          <w:highlight w:val="none"/>
          <w14:textFill>
            <w14:solidFill>
              <w14:schemeClr w14:val="tx1"/>
            </w14:solidFill>
          </w14:textFill>
        </w:rPr>
        <w:outlineLvl w:val="0"/>
      </w:pPr>
      <w:r/>
      <w:bookmarkStart w:id="198" w:name="_Toc160699569"/>
      <w:r>
        <w:rPr>
          <w:rStyle w:val="923"/>
          <w:rFonts w:hint="eastAsia" w:ascii="仿宋" w:hAnsi="仿宋" w:eastAsia="仿宋" w:cs="仿宋"/>
          <w:color w:val="000000" w:themeColor="text1"/>
          <w:highlight w:val="none"/>
          <w14:textFill>
            <w14:solidFill>
              <w14:schemeClr w14:val="tx1"/>
            </w14:solidFill>
          </w14:textFill>
        </w:rPr>
        <w:t xml:space="preserve">第六章  </w:t>
      </w:r>
      <w:bookmarkEnd w:id="189"/>
      <w:r/>
      <w:bookmarkEnd w:id="190"/>
      <w:r/>
      <w:bookmarkEnd w:id="193"/>
      <w:r>
        <w:rPr>
          <w:rStyle w:val="923"/>
          <w:rFonts w:hint="eastAsia" w:ascii="仿宋" w:hAnsi="仿宋" w:eastAsia="仿宋" w:cs="仿宋"/>
          <w:color w:val="000000" w:themeColor="text1"/>
          <w:highlight w:val="none"/>
          <w14:textFill>
            <w14:solidFill>
              <w14:schemeClr w14:val="tx1"/>
            </w14:solidFill>
          </w14:textFill>
        </w:rPr>
        <w:t xml:space="preserve">响应文件格式</w:t>
      </w:r>
      <w:bookmarkEnd w:id="198"/>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bookmarkStart w:id="199" w:name="_Hlt26955039"/>
      <w:r/>
      <w:bookmarkEnd w:id="199"/>
      <w:r/>
      <w:bookmarkStart w:id="200" w:name="_Hlt26671244"/>
      <w:r/>
      <w:bookmarkEnd w:id="200"/>
      <w:r/>
      <w:bookmarkStart w:id="201" w:name="_Toc49090576"/>
      <w:r/>
      <w:bookmarkStart w:id="202" w:name="_Toc120614282"/>
      <w:r/>
      <w:bookmarkStart w:id="203" w:name="_Toc26554094"/>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 xml:space="preserve">响  应  文  件</w:t>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spacing w:line="44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ind w:left="0" w:firstLine="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 xml:space="preserve">响应文件目录</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一、供应商信用承诺函</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二、满足特定资格要求的证明文件（如果设置特定资格要求，则需要提供）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三、法人授权书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四、磋商响应函</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五、报价表</w:t>
      </w:r>
      <w:r/>
    </w:p>
    <w:p>
      <w:pPr>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六、分项报价表</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七、</w:t>
      </w:r>
      <w:r>
        <w:rPr>
          <w:rFonts w:hint="eastAsia" w:ascii="仿宋" w:hAnsi="仿宋" w:cs="仿宋"/>
          <w:color w:val="000000" w:themeColor="text1"/>
          <w:highlight w:val="none"/>
          <w:lang w:val="en-US" w:eastAsia="zh-CN"/>
          <w14:textFill>
            <w14:solidFill>
              <w14:schemeClr w14:val="tx1"/>
            </w14:solidFill>
          </w14:textFill>
        </w:rPr>
        <w:t xml:space="preserve">采购需求响应及</w:t>
      </w:r>
      <w:r>
        <w:rPr>
          <w:rFonts w:hint="eastAsia" w:ascii="仿宋" w:hAnsi="仿宋" w:eastAsia="仿宋" w:cs="仿宋"/>
          <w:color w:val="000000" w:themeColor="text1"/>
          <w:highlight w:val="none"/>
          <w14:textFill>
            <w14:solidFill>
              <w14:schemeClr w14:val="tx1"/>
            </w14:solidFill>
          </w14:textFill>
        </w:rPr>
        <w:t xml:space="preserve">偏离表</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八</w:t>
      </w:r>
      <w:r>
        <w:rPr>
          <w:rFonts w:hint="eastAsia" w:ascii="仿宋" w:hAnsi="仿宋" w:eastAsia="仿宋" w:cs="仿宋"/>
          <w:color w:val="000000" w:themeColor="text1"/>
          <w:highlight w:val="none"/>
          <w14:textFill>
            <w14:solidFill>
              <w14:schemeClr w14:val="tx1"/>
            </w14:solidFill>
          </w14:textFill>
        </w:rPr>
        <w:t xml:space="preserve">、项目实施方案</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九</w:t>
      </w:r>
      <w:r>
        <w:rPr>
          <w:rFonts w:hint="eastAsia" w:ascii="仿宋" w:hAnsi="仿宋" w:eastAsia="仿宋" w:cs="仿宋"/>
          <w:color w:val="000000" w:themeColor="text1"/>
          <w:highlight w:val="none"/>
          <w14:textFill>
            <w14:solidFill>
              <w14:schemeClr w14:val="tx1"/>
            </w14:solidFill>
          </w14:textFill>
        </w:rPr>
        <w:t xml:space="preserve">、服务与承诺</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color w:val="000000" w:themeColor="text1"/>
          <w:highlight w:val="none"/>
          <w:lang w:val="zh-CN"/>
          <w14:textFill>
            <w14:solidFill>
              <w14:schemeClr w14:val="tx1"/>
            </w14:solidFill>
          </w14:textFill>
        </w:rPr>
        <w:t xml:space="preserve">竞争性磋商需要的其他证明文件及材料（</w:t>
      </w:r>
      <w:r>
        <w:rPr>
          <w:rFonts w:hint="eastAsia" w:ascii="仿宋" w:hAnsi="仿宋" w:eastAsia="仿宋" w:cs="仿宋"/>
          <w:color w:val="000000" w:themeColor="text1"/>
          <w:highlight w:val="none"/>
          <w14:textFill>
            <w14:solidFill>
              <w14:schemeClr w14:val="tx1"/>
            </w14:solidFill>
          </w14:textFill>
        </w:rPr>
        <w:t xml:space="preserve">格式自拟</w:t>
      </w:r>
      <w:r>
        <w:rPr>
          <w:rFonts w:hint="eastAsia" w:ascii="仿宋" w:hAnsi="仿宋" w:eastAsia="仿宋" w:cs="仿宋"/>
          <w:color w:val="000000" w:themeColor="text1"/>
          <w:highlight w:val="none"/>
          <w:lang w:val="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十</w:t>
      </w:r>
      <w:r>
        <w:rPr>
          <w:rFonts w:hint="eastAsia" w:ascii="仿宋" w:hAnsi="仿宋" w:cs="仿宋"/>
          <w:color w:val="000000" w:themeColor="text1"/>
          <w:highlight w:val="none"/>
          <w:lang w:val="en-US" w:eastAsia="zh-CN"/>
          <w14:textFill>
            <w14:solidFill>
              <w14:schemeClr w14:val="tx1"/>
            </w14:solidFill>
          </w14:textFill>
        </w:rPr>
        <w:t xml:space="preserve">一</w:t>
      </w:r>
      <w:r>
        <w:rPr>
          <w:rFonts w:hint="eastAsia" w:ascii="仿宋" w:hAnsi="仿宋" w:eastAsia="仿宋" w:cs="仿宋"/>
          <w:color w:val="000000" w:themeColor="text1"/>
          <w:highlight w:val="none"/>
          <w14:textFill>
            <w14:solidFill>
              <w14:schemeClr w14:val="tx1"/>
            </w14:solidFill>
          </w14:textFill>
        </w:rPr>
        <w:t xml:space="preserve">、附件</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中小企业声明函（如有）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残疾人福利性单位声明函（如有）</w:t>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97"/>
        <w:keepLines/>
        <w:keepNext/>
        <w:spacing w:before="145" w:after="145" w:line="264" w:lineRule="auto"/>
        <w:rPr>
          <w:rFonts w:hint="eastAsia" w:ascii="仿宋" w:hAnsi="仿宋" w:eastAsia="仿宋" w:cs="仿宋"/>
          <w:i/>
          <w:color w:val="000000" w:themeColor="text1"/>
          <w:sz w:val="32"/>
          <w:szCs w:val="32"/>
          <w:highlight w:val="none"/>
          <w:u w:val="single"/>
          <w:lang w:eastAsia="zh-CN"/>
          <w14:textFill>
            <w14:solidFill>
              <w14:schemeClr w14:val="tx1"/>
            </w14:solidFill>
          </w14:textFill>
        </w:rPr>
        <w:outlineLvl w:val="2"/>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bookmarkStart w:id="204" w:name="_Toc160699570"/>
      <w:r>
        <w:rPr>
          <w:rStyle w:val="924"/>
          <w:rFonts w:hint="eastAsia" w:ascii="仿宋" w:hAnsi="仿宋" w:eastAsia="仿宋" w:cs="仿宋"/>
          <w:color w:val="000000" w:themeColor="text1"/>
          <w:highlight w:val="none"/>
          <w14:textFill>
            <w14:solidFill>
              <w14:schemeClr w14:val="tx1"/>
            </w14:solidFill>
          </w14:textFill>
        </w:rPr>
        <w:t xml:space="preserve">一、供应商信用承诺函</w:t>
      </w:r>
      <w:bookmarkEnd w:id="204"/>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供应商信用承诺函</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致：金陵图书馆</w:t>
      </w:r>
      <w:r/>
    </w:p>
    <w:p>
      <w:pPr>
        <w:ind w:firstLine="11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江苏苏建工程项目管理咨询有限公司</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（供应商名称）郑重承诺：</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我公司符合下列要求：</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(一)具有独立承担民事责任的能力；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(二)具有良好的商业信誉和健全的财务会计制度；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(三)具有履行合同所必需的设备和专业技术能力；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(四)有依法缴纳税收和社会保障资金的良好记录；</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(五)参加政府采购活动前三年内</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在经营活动中没有重大违法记录</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如果我公司</w:t>
      </w:r>
      <w:r>
        <w:rPr>
          <w:rFonts w:hint="eastAsia" w:ascii="仿宋" w:hAnsi="仿宋" w:eastAsia="仿宋" w:cs="仿宋"/>
          <w:b/>
          <w:bCs/>
          <w:color w:val="000000" w:themeColor="text1"/>
          <w:highlight w:val="none"/>
          <w:lang w:eastAsia="zh-CN"/>
          <w14:textFill>
            <w14:solidFill>
              <w14:schemeClr w14:val="tx1"/>
            </w14:solidFill>
          </w14:textFill>
        </w:rPr>
        <w:t xml:space="preserve">成交，</w:t>
      </w:r>
      <w:r>
        <w:rPr>
          <w:rFonts w:hint="eastAsia" w:ascii="仿宋" w:hAnsi="仿宋" w:eastAsia="仿宋" w:cs="仿宋"/>
          <w:b/>
          <w:bCs/>
          <w:color w:val="000000" w:themeColor="text1"/>
          <w:highlight w:val="none"/>
          <w14:textFill>
            <w14:solidFill>
              <w14:schemeClr w14:val="tx1"/>
            </w14:solidFill>
          </w14:textFill>
        </w:rPr>
        <w:t xml:space="preserve">将在</w:t>
      </w:r>
      <w:r>
        <w:rPr>
          <w:rFonts w:hint="eastAsia" w:ascii="仿宋" w:hAnsi="仿宋" w:eastAsia="仿宋" w:cs="仿宋"/>
          <w:b/>
          <w:bCs/>
          <w:color w:val="000000" w:themeColor="text1"/>
          <w:highlight w:val="none"/>
          <w:lang w:eastAsia="zh-CN"/>
          <w14:textFill>
            <w14:solidFill>
              <w14:schemeClr w14:val="tx1"/>
            </w14:solidFill>
          </w14:textFill>
        </w:rPr>
        <w:t xml:space="preserve">成交</w:t>
      </w:r>
      <w:r>
        <w:rPr>
          <w:rFonts w:hint="eastAsia" w:ascii="仿宋" w:hAnsi="仿宋" w:eastAsia="仿宋" w:cs="仿宋"/>
          <w:b/>
          <w:bCs/>
          <w:color w:val="000000" w:themeColor="text1"/>
          <w:highlight w:val="none"/>
          <w14:textFill>
            <w14:solidFill>
              <w14:schemeClr w14:val="tx1"/>
            </w14:solidFill>
          </w14:textFill>
        </w:rPr>
        <w:t xml:space="preserve">结果公示后七个工作日内向</w:t>
      </w:r>
      <w:r>
        <w:rPr>
          <w:rFonts w:hint="eastAsia" w:ascii="仿宋" w:hAnsi="仿宋" w:cs="仿宋"/>
          <w:b/>
          <w:bCs/>
          <w:color w:val="000000" w:themeColor="text1"/>
          <w:highlight w:val="none"/>
          <w:lang w:val="en-US" w:eastAsia="zh-CN"/>
          <w14:textFill>
            <w14:solidFill>
              <w14:schemeClr w14:val="tx1"/>
            </w14:solidFill>
          </w14:textFill>
        </w:rPr>
        <w:t xml:space="preserve">代理机构和采购人</w:t>
      </w:r>
      <w:r>
        <w:rPr>
          <w:rFonts w:hint="eastAsia" w:ascii="仿宋" w:hAnsi="仿宋" w:eastAsia="仿宋" w:cs="仿宋"/>
          <w:b/>
          <w:bCs/>
          <w:color w:val="000000" w:themeColor="text1"/>
          <w:highlight w:val="none"/>
          <w14:textFill>
            <w14:solidFill>
              <w14:schemeClr w14:val="tx1"/>
            </w14:solidFill>
          </w14:textFill>
        </w:rPr>
        <w:t xml:space="preserve">提供下列材料核验：</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（1）营业执照副本或事业单位法人登记证书；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（2）参加本次政府采购活动前一年的经审计的财务报告（包括“四表一注”</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法人成立满一年的提供）或参加本次政府采购活动前一年内的银行资信证明（法人或其他组织提供）或其他证明材料；</w:t>
      </w:r>
      <w:r/>
    </w:p>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color w:val="000000" w:themeColor="text1"/>
          <w:highlight w:val="none"/>
          <w14:textFill>
            <w14:solidFill>
              <w14:schemeClr w14:val="tx1"/>
            </w14:solidFill>
          </w14:textFill>
        </w:rPr>
        <w:t xml:space="preserve">履行合同所必需的设备和专业技术能力</w:t>
      </w:r>
      <w:r>
        <w:rPr>
          <w:rFonts w:hint="eastAsia" w:ascii="仿宋" w:hAnsi="仿宋" w:eastAsia="仿宋" w:cs="仿宋"/>
          <w:color w:val="000000" w:themeColor="text1"/>
          <w:highlight w:val="none"/>
          <w:lang w:eastAsia="zh-CN"/>
          <w14:textFill>
            <w14:solidFill>
              <w14:schemeClr w14:val="tx1"/>
            </w14:solidFill>
          </w14:textFill>
        </w:rPr>
        <w:t xml:space="preserve">证明材料；</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4</w:t>
      </w:r>
      <w:r>
        <w:rPr>
          <w:rFonts w:hint="eastAsia" w:ascii="仿宋" w:hAnsi="仿宋" w:eastAsia="仿宋" w:cs="仿宋"/>
          <w:color w:val="000000" w:themeColor="text1"/>
          <w:highlight w:val="none"/>
          <w14:textFill>
            <w14:solidFill>
              <w14:schemeClr w14:val="tx1"/>
            </w14:solidFill>
          </w14:textFill>
        </w:rPr>
        <w:t xml:space="preserve">）参加本次政府采购活动前一年内至少一个月依法缴纳税收和社会保障资金的证明材料。</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本公司对上述承诺</w:t>
      </w:r>
      <w:r>
        <w:rPr>
          <w:rFonts w:hint="eastAsia" w:ascii="仿宋" w:hAnsi="仿宋" w:eastAsia="仿宋" w:cs="仿宋"/>
          <w:color w:val="000000" w:themeColor="text1"/>
          <w:highlight w:val="none"/>
          <w:lang w:eastAsia="zh-CN"/>
          <w14:textFill>
            <w14:solidFill>
              <w14:schemeClr w14:val="tx1"/>
            </w14:solidFill>
          </w14:textFill>
        </w:rPr>
        <w:t xml:space="preserve">内容</w:t>
      </w:r>
      <w:r>
        <w:rPr>
          <w:rFonts w:hint="eastAsia" w:ascii="仿宋" w:hAnsi="仿宋" w:eastAsia="仿宋" w:cs="仿宋"/>
          <w:color w:val="000000" w:themeColor="text1"/>
          <w:highlight w:val="none"/>
          <w14:textFill>
            <w14:solidFill>
              <w14:schemeClr w14:val="tx1"/>
            </w14:solidFill>
          </w14:textFill>
        </w:rPr>
        <w:t xml:space="preserve">的真实性</w:t>
      </w:r>
      <w:r>
        <w:rPr>
          <w:rFonts w:hint="eastAsia" w:ascii="仿宋" w:hAnsi="仿宋" w:eastAsia="仿宋" w:cs="仿宋"/>
          <w:color w:val="000000" w:themeColor="text1"/>
          <w:highlight w:val="none"/>
          <w:lang w:eastAsia="zh-CN"/>
          <w14:textFill>
            <w14:solidFill>
              <w14:schemeClr w14:val="tx1"/>
            </w14:solidFill>
          </w14:textFill>
        </w:rPr>
        <w:t xml:space="preserve">、合法性、有效性</w:t>
      </w:r>
      <w:r>
        <w:rPr>
          <w:rFonts w:hint="eastAsia" w:ascii="仿宋" w:hAnsi="仿宋" w:eastAsia="仿宋" w:cs="仿宋"/>
          <w:color w:val="000000" w:themeColor="text1"/>
          <w:highlight w:val="none"/>
          <w14:textFill>
            <w14:solidFill>
              <w14:schemeClr w14:val="tx1"/>
            </w14:solidFill>
          </w14:textFill>
        </w:rPr>
        <w:t xml:space="preserve">负责</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如有虚假</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86"/>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供应商</w:t>
      </w:r>
      <w:r>
        <w:rPr>
          <w:rFonts w:hint="eastAsia" w:ascii="仿宋" w:hAnsi="仿宋" w:eastAsia="仿宋" w:cs="仿宋"/>
          <w:color w:val="000000" w:themeColor="text1"/>
          <w:highlight w:val="none"/>
          <w14:textFill>
            <w14:solidFill>
              <w14:schemeClr w14:val="tx1"/>
            </w14:solidFill>
          </w14:textFill>
        </w:rPr>
        <w:t xml:space="preserve">名称</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（加盖电子公章）</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日  期：</w:t>
      </w:r>
      <w:r/>
    </w:p>
    <w:p>
      <w:pPr>
        <w:ind w:left="0" w:firstLine="0"/>
        <w:jc w:val="left"/>
        <w:widowControl/>
        <w:rPr>
          <w:rFonts w:hint="eastAsia" w:ascii="仿宋" w:hAnsi="仿宋" w:eastAsia="仿宋" w:cs="仿宋"/>
          <w:b/>
          <w:bCs/>
          <w:color w:val="000000" w:themeColor="text1"/>
          <w:highlight w:val="none"/>
          <w14:textFill>
            <w14:solidFill>
              <w14:schemeClr w14:val="tx1"/>
            </w14:solidFill>
          </w14:textFill>
        </w:rPr>
        <w:outlineLvl w:val="2"/>
      </w:pPr>
      <w:r/>
      <w:bookmarkStart w:id="205" w:name="_Toc160699571"/>
      <w:r>
        <w:rPr>
          <w:rFonts w:hint="eastAsia" w:ascii="仿宋" w:hAnsi="仿宋" w:eastAsia="仿宋" w:cs="仿宋"/>
          <w:b/>
          <w:bCs/>
          <w:color w:val="000000" w:themeColor="text1"/>
          <w:highlight w:val="none"/>
          <w14:textFill>
            <w14:solidFill>
              <w14:schemeClr w14:val="tx1"/>
            </w14:solidFill>
          </w14:textFill>
        </w:rPr>
        <w:t xml:space="preserve">二、特定资格要求的证明文件</w:t>
      </w:r>
      <w:bookmarkEnd w:id="205"/>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如果本项目申请人的特定资格要求中要求提供的，必须提供。</w:t>
      </w:r>
      <w:bookmarkEnd w:id="201"/>
      <w:r/>
      <w:bookmarkEnd w:id="202"/>
      <w:r/>
      <w:bookmarkEnd w:id="203"/>
      <w:r/>
      <w:r/>
    </w:p>
    <w:p>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bookmarkStart w:id="206" w:name="_Toc120614284"/>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715"/>
        <w:rPr>
          <w:rFonts w:hint="eastAsia" w:ascii="仿宋" w:hAnsi="仿宋" w:eastAsia="仿宋" w:cs="仿宋"/>
          <w:color w:val="000000" w:themeColor="text1"/>
          <w:highlight w:val="none"/>
          <w14:textFill>
            <w14:solidFill>
              <w14:schemeClr w14:val="tx1"/>
            </w14:solidFill>
          </w14:textFill>
        </w:rPr>
      </w:pPr>
      <w:r/>
      <w:bookmarkStart w:id="207" w:name="_Toc160699572"/>
      <w:r>
        <w:rPr>
          <w:rFonts w:hint="eastAsia" w:ascii="仿宋" w:hAnsi="仿宋" w:eastAsia="仿宋" w:cs="仿宋"/>
          <w:color w:val="000000" w:themeColor="text1"/>
          <w:highlight w:val="none"/>
          <w14:textFill>
            <w14:solidFill>
              <w14:schemeClr w14:val="tx1"/>
            </w14:solidFill>
          </w14:textFill>
        </w:rPr>
        <w:t xml:space="preserve">三、法人授权书</w:t>
      </w:r>
      <w:bookmarkEnd w:id="207"/>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法人授权书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本授权书声明：____________（供应商名称）授权________________（被授权人的姓名）为我方就（项目名称XXX）项目（编号XXX）采购活动的合法代理人，以本单位名义全权处理一切与该项目采购有关的事务。</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本授权书于______年____月____日起生效，特此声明。</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被授权人身份证号码：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被授权人联系电话：（手机）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授权单位名称：________________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单位地址：________________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    期：</w:t>
      </w:r>
      <w:bookmarkStart w:id="208" w:name="_Hlt26671380"/>
      <w:r/>
      <w:bookmarkEnd w:id="208"/>
      <w:r/>
      <w:bookmarkStart w:id="209" w:name="_Hlt26955070"/>
      <w:r/>
      <w:bookmarkEnd w:id="209"/>
      <w:r/>
      <w:bookmarkStart w:id="210" w:name="_格式3__银行出具的资信证明"/>
      <w:r/>
      <w:bookmarkEnd w:id="210"/>
      <w:r>
        <w:rPr>
          <w:rFonts w:hint="eastAsia" w:ascii="仿宋" w:hAnsi="仿宋" w:eastAsia="仿宋" w:cs="仿宋"/>
          <w:color w:val="000000" w:themeColor="text1"/>
          <w:highlight w:val="none"/>
          <w14:textFill>
            <w14:solidFill>
              <w14:schemeClr w14:val="tx1"/>
            </w14:solidFill>
          </w14:textFill>
        </w:rPr>
        <w:t xml:space="preserve">________________                                         </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法人</w:t>
      </w:r>
      <w:r>
        <w:rPr>
          <w:rFonts w:hint="eastAsia" w:ascii="仿宋" w:hAnsi="仿宋" w:eastAsia="仿宋" w:cs="仿宋"/>
          <w:color w:val="000000" w:themeColor="text1"/>
          <w:highlight w:val="none"/>
          <w14:textFill>
            <w14:solidFill>
              <w14:schemeClr w14:val="tx1"/>
            </w14:solidFill>
          </w14:textFill>
        </w:rPr>
        <w:t xml:space="preserve">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ind w:left="0" w:firstLine="0"/>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715"/>
        <w:rPr>
          <w:rFonts w:hint="eastAsia" w:ascii="仿宋" w:hAnsi="仿宋" w:eastAsia="仿宋" w:cs="仿宋"/>
          <w:color w:val="000000" w:themeColor="text1"/>
          <w:highlight w:val="none"/>
          <w14:textFill>
            <w14:solidFill>
              <w14:schemeClr w14:val="tx1"/>
            </w14:solidFill>
          </w14:textFill>
        </w:rPr>
      </w:pPr>
      <w:r/>
      <w:bookmarkStart w:id="211" w:name="_Toc160699573"/>
      <w:r>
        <w:rPr>
          <w:rFonts w:hint="eastAsia" w:ascii="仿宋" w:hAnsi="仿宋" w:eastAsia="仿宋" w:cs="仿宋"/>
          <w:color w:val="000000" w:themeColor="text1"/>
          <w:highlight w:val="none"/>
          <w14:textFill>
            <w14:solidFill>
              <w14:schemeClr w14:val="tx1"/>
            </w14:solidFill>
          </w14:textFill>
        </w:rPr>
        <w:t xml:space="preserve">四、磋商响应函</w:t>
      </w:r>
      <w:bookmarkEnd w:id="211"/>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磋商响应函</w:t>
      </w:r>
      <w:r/>
    </w:p>
    <w:p>
      <w:pPr>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致：</w:t>
      </w:r>
      <w:r>
        <w:rPr>
          <w:rFonts w:hint="eastAsia" w:ascii="仿宋" w:hAnsi="仿宋" w:cs="仿宋"/>
          <w:color w:val="000000" w:themeColor="text1"/>
          <w:highlight w:val="none"/>
          <w:lang w:eastAsia="zh-CN"/>
          <w14:textFill>
            <w14:solidFill>
              <w14:schemeClr w14:val="tx1"/>
            </w14:solidFill>
          </w14:textFill>
        </w:rPr>
        <w:t xml:space="preserve">金陵图书馆</w:t>
      </w:r>
      <w:r/>
    </w:p>
    <w:p>
      <w:pPr>
        <w:ind w:firstLine="112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江苏苏建工程项目管理咨询有限公司</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根据贵方的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（项目编号）</w:t>
      </w:r>
      <w:r>
        <w:rPr>
          <w:rFonts w:hint="eastAsia" w:ascii="仿宋" w:hAnsi="仿宋" w:eastAsia="仿宋" w:cs="仿宋"/>
          <w:color w:val="000000" w:themeColor="text1"/>
          <w:sz w:val="28"/>
          <w:szCs w:val="28"/>
          <w:highlight w:val="none"/>
          <w14:textFill>
            <w14:solidFill>
              <w14:schemeClr w14:val="tx1"/>
            </w14:solidFill>
          </w14:textFill>
        </w:rPr>
        <w:t xml:space="preserve">磋商文件，正式授权下述______(姓名)代表我方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（供应商的名称），全权处理本次项目磋商的有关事宜。</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据此函，</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签字人兹宣布同意如下：</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7.我方为：</w:t>
      </w:r>
      <w:r>
        <w:rPr>
          <w:rFonts w:ascii="Wingdings 2" w:hAnsi="Wingdings 2" w:eastAsia="Wingdings 2" w:cs="Wingdings 2"/>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大型企业</w:t>
      </w:r>
      <w:r>
        <w:rPr>
          <w:rFonts w:hint="eastAsia" w:ascii="仿宋" w:hAnsi="仿宋" w:cs="仿宋"/>
          <w:color w:val="000000" w:themeColor="text1"/>
          <w:sz w:val="28"/>
          <w:szCs w:val="28"/>
          <w:highlight w:val="none"/>
          <w:lang w:val="en-US" w:eastAsia="zh-CN"/>
          <w14:textFill>
            <w14:solidFill>
              <w14:schemeClr w14:val="tx1"/>
            </w14:solidFill>
          </w14:textFill>
        </w:rPr>
        <w:t xml:space="preserve"> </w:t>
      </w:r>
      <w:r>
        <w:rPr>
          <w:rFonts w:ascii="Wingdings 2" w:hAnsi="Wingdings 2" w:eastAsia="Wingdings 2" w:cs="Wingdings 2"/>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中型企业 </w:t>
      </w:r>
      <w:r>
        <w:rPr>
          <w:rFonts w:ascii="Wingdings 2" w:hAnsi="Wingdings 2" w:eastAsia="Wingdings 2" w:cs="Wingdings 2"/>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小型企业 </w:t>
      </w:r>
      <w:r>
        <w:rPr>
          <w:rFonts w:ascii="Wingdings 2" w:hAnsi="Wingdings 2" w:eastAsia="Wingdings 2" w:cs="Wingdings 2"/>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微型企业（对应</w:t>
      </w:r>
      <w:r>
        <w:rPr>
          <w:rFonts w:ascii="Wingdings 2" w:hAnsi="Wingdings 2" w:eastAsia="Wingdings 2" w:cs="Wingdings 2"/>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上打“√”</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8.我方与本磋商有关的正式通讯地址为：</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邮      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供应商开户行：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1"/>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715"/>
        <w:rPr>
          <w:rFonts w:hint="eastAsia" w:ascii="仿宋" w:hAnsi="仿宋" w:eastAsia="仿宋" w:cs="仿宋"/>
          <w:color w:val="000000" w:themeColor="text1"/>
          <w:highlight w:val="none"/>
          <w14:textFill>
            <w14:solidFill>
              <w14:schemeClr w14:val="tx1"/>
            </w14:solidFill>
          </w14:textFill>
        </w:rPr>
      </w:pPr>
      <w:r/>
      <w:bookmarkStart w:id="212" w:name="_Toc160699574"/>
      <w:r>
        <w:rPr>
          <w:rFonts w:hint="eastAsia" w:ascii="仿宋" w:hAnsi="仿宋" w:eastAsia="仿宋" w:cs="仿宋"/>
          <w:color w:val="000000" w:themeColor="text1"/>
          <w:highlight w:val="none"/>
          <w14:textFill>
            <w14:solidFill>
              <w14:schemeClr w14:val="tx1"/>
            </w14:solidFill>
          </w14:textFill>
        </w:rPr>
        <w:t xml:space="preserve">五、</w:t>
      </w:r>
      <w:r>
        <w:rPr>
          <w:rFonts w:hint="eastAsia" w:ascii="仿宋" w:hAnsi="仿宋" w:cs="仿宋"/>
          <w:color w:val="000000" w:themeColor="text1"/>
          <w:highlight w:val="none"/>
          <w:lang w:val="en-US" w:eastAsia="zh-CN"/>
          <w14:textFill>
            <w14:solidFill>
              <w14:schemeClr w14:val="tx1"/>
            </w14:solidFill>
          </w14:textFill>
        </w:rPr>
        <w:t xml:space="preserve">磋商</w:t>
      </w:r>
      <w:r>
        <w:rPr>
          <w:rFonts w:hint="eastAsia" w:ascii="仿宋" w:hAnsi="仿宋" w:eastAsia="仿宋" w:cs="仿宋"/>
          <w:color w:val="000000" w:themeColor="text1"/>
          <w:highlight w:val="none"/>
          <w14:textFill>
            <w14:solidFill>
              <w14:schemeClr w14:val="tx1"/>
            </w14:solidFill>
          </w14:textFill>
        </w:rPr>
        <w:t xml:space="preserve">报价表</w:t>
      </w:r>
      <w:bookmarkEnd w:id="212"/>
      <w:r/>
      <w:r/>
    </w:p>
    <w:p>
      <w:pPr>
        <w:ind w:firstLine="562"/>
        <w:jc w:val="center"/>
        <w:spacing w:line="480" w:lineRule="auto"/>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磋商报价表</w:t>
      </w:r>
      <w:r/>
    </w:p>
    <w:p>
      <w:pPr>
        <w:ind w:firstLine="56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供应商名称：（加盖电子公章） </w:t>
      </w:r>
      <w:r/>
    </w:p>
    <w:p>
      <w:pPr>
        <w:ind w:firstLine="560"/>
        <w:spacing w:line="240" w:lineRule="auto"/>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项目名称：</w:t>
      </w:r>
      <w:r/>
    </w:p>
    <w:p>
      <w:pPr>
        <w:ind w:firstLine="560"/>
        <w:spacing w:line="240" w:lineRule="auto"/>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项目编号：                                   分包号：</w:t>
      </w:r>
      <w:r/>
    </w:p>
    <w:tbl>
      <w:tblPr>
        <w:tblStyle w:val="72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center"/>
              <w:spacing w:line="480" w:lineRule="auto"/>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961"/>
              <w:ind w:firstLine="560"/>
              <w:spacing w:before="0" w:after="0" w:line="480" w:lineRule="auto"/>
              <w:rPr>
                <w:rFonts w:ascii="仿宋" w:hAnsi="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小写（元）：                             </w:t>
            </w:r>
            <w:r/>
          </w:p>
        </w:tc>
      </w:tr>
    </w:tbl>
    <w:p>
      <w:pPr>
        <w:ind w:firstLine="560"/>
        <w:spacing w:line="480" w:lineRule="auto"/>
        <w:rPr>
          <w:rFonts w:ascii="仿宋" w:hAnsi="仿宋" w:cs="仿宋"/>
          <w:color w:val="000000" w:themeColor="text1"/>
          <w:szCs w:val="28"/>
          <w:highlight w:val="none"/>
          <w14:textFill>
            <w14:solidFill>
              <w14:schemeClr w14:val="tx1"/>
            </w14:solidFill>
          </w14:textFill>
        </w:rPr>
      </w:pPr>
      <w:r>
        <w:rPr>
          <w:rFonts w:ascii="仿宋" w:hAnsi="仿宋" w:cs="仿宋"/>
          <w:color w:val="000000" w:themeColor="text1"/>
          <w:szCs w:val="28"/>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                                              日  期</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715"/>
        <w:rPr>
          <w:rFonts w:hint="eastAsia" w:ascii="仿宋" w:hAnsi="仿宋" w:eastAsia="仿宋" w:cs="仿宋"/>
          <w:color w:val="000000" w:themeColor="text1"/>
          <w:highlight w:val="none"/>
          <w14:textFill>
            <w14:solidFill>
              <w14:schemeClr w14:val="tx1"/>
            </w14:solidFill>
          </w14:textFill>
        </w:rPr>
      </w:pPr>
      <w:r/>
      <w:bookmarkStart w:id="213" w:name="_Toc160699575"/>
      <w:r>
        <w:rPr>
          <w:rFonts w:hint="eastAsia" w:ascii="仿宋" w:hAnsi="仿宋" w:eastAsia="仿宋" w:cs="仿宋"/>
          <w:color w:val="000000" w:themeColor="text1"/>
          <w:highlight w:val="none"/>
          <w14:textFill>
            <w14:solidFill>
              <w14:schemeClr w14:val="tx1"/>
            </w14:solidFill>
          </w14:textFill>
        </w:rPr>
        <w:t xml:space="preserve">六、分项报价表</w:t>
      </w:r>
      <w:bookmarkEnd w:id="213"/>
      <w:r/>
      <w:r/>
    </w:p>
    <w:p>
      <w:pPr>
        <w:jc w:val="left"/>
        <w:spacing w:line="240" w:lineRule="atLeast"/>
        <w:widowControl/>
        <w:rPr>
          <w:rFonts w:hint="eastAsia" w:ascii="仿宋" w:hAnsi="仿宋" w:eastAsia="仿宋" w:cs="仿宋"/>
          <w:b/>
          <w:color w:val="000000" w:themeColor="text1"/>
          <w:sz w:val="28"/>
          <w:szCs w:val="24"/>
          <w:highlight w:val="none"/>
          <w:lang w:val="zh-CN"/>
          <w14:textFill>
            <w14:solidFill>
              <w14:schemeClr w14:val="tx1"/>
            </w14:solidFill>
          </w14:textFill>
        </w:rPr>
      </w:pPr>
      <w:r>
        <w:rPr>
          <w:rFonts w:hint="eastAsia" w:ascii="仿宋" w:hAnsi="仿宋" w:eastAsia="仿宋" w:cs="仿宋"/>
          <w:b/>
          <w:color w:val="000000" w:themeColor="text1"/>
          <w:sz w:val="28"/>
          <w:szCs w:val="24"/>
          <w:highlight w:val="none"/>
          <w:lang w:val="zh-CN"/>
          <w14:textFill>
            <w14:solidFill>
              <w14:schemeClr w14:val="tx1"/>
            </w14:solidFill>
          </w14:textFill>
        </w:rPr>
        <w:t xml:space="preserve">                         分项报价表</w:t>
      </w:r>
      <w:r/>
    </w:p>
    <w:p>
      <w:pPr>
        <w:jc w:val="left"/>
        <w:spacing w:line="240" w:lineRule="atLeast"/>
        <w:widowControl/>
        <w:rPr>
          <w:rFonts w:hint="eastAsia" w:ascii="仿宋" w:hAnsi="仿宋" w:eastAsia="仿宋" w:cs="仿宋"/>
          <w:b/>
          <w:color w:val="000000" w:themeColor="text1"/>
          <w:sz w:val="32"/>
          <w:szCs w:val="28"/>
          <w:highlight w:val="none"/>
          <w:lang w:val="zh-CN"/>
          <w14:textFill>
            <w14:solidFill>
              <w14:schemeClr w14:val="tx1"/>
            </w14:solidFill>
          </w14:textFill>
        </w:rPr>
      </w:pPr>
      <w:r>
        <w:rPr>
          <w:rFonts w:hint="eastAsia" w:ascii="仿宋" w:hAnsi="仿宋" w:eastAsia="仿宋" w:cs="仿宋"/>
          <w:b/>
          <w:color w:val="000000" w:themeColor="text1"/>
          <w:sz w:val="32"/>
          <w:szCs w:val="28"/>
          <w:highlight w:val="none"/>
          <w:lang w:val="zh-CN"/>
          <w14:textFill>
            <w14:solidFill>
              <w14:schemeClr w14:val="tx1"/>
            </w14:solidFill>
          </w14:textFill>
        </w:rPr>
      </w:r>
      <w:r/>
    </w:p>
    <w:tbl>
      <w:tblPr>
        <w:tblStyle w:val="7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73"/>
        <w:gridCol w:w="1648"/>
        <w:gridCol w:w="1311"/>
        <w:gridCol w:w="1311"/>
        <w:gridCol w:w="1392"/>
        <w:gridCol w:w="1163"/>
      </w:tblGrid>
      <w:tr>
        <w:trPr>
          <w:jc w:val="center"/>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ind w:left="0" w:firstLine="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                                               </w:t>
            </w:r>
            <w:r/>
          </w:p>
          <w:p>
            <w:pPr>
              <w:ind w:left="0" w:firstLine="0"/>
              <w:jc w:val="left"/>
              <w:spacing w:line="360" w:lineRule="auto"/>
              <w:widowControl/>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905"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840"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数量</w:t>
            </w:r>
            <w:r/>
          </w:p>
        </w:tc>
        <w:tc>
          <w:tcPr>
            <w:tcBorders>
              <w:top w:val="single" w:color="auto" w:sz="4" w:space="0"/>
              <w:left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是否属于小、微型企业的服务</w:t>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gridSpan w:val="3"/>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总价（人民币，大写）</w:t>
            </w:r>
            <w:r/>
          </w:p>
        </w:tc>
        <w:tc>
          <w:tcPr>
            <w:gridSpan w:val="4"/>
            <w:tcBorders>
              <w:top w:val="single" w:color="auto" w:sz="4" w:space="0"/>
              <w:left w:val="single" w:color="auto" w:sz="4" w:space="0"/>
              <w:bottom w:val="single" w:color="auto" w:sz="4" w:space="0"/>
              <w:right w:val="single" w:color="auto" w:sz="4" w:space="0"/>
            </w:tcBorders>
            <w:tcW w:w="2648" w:type="pct"/>
            <w:textDirection w:val="lrTb"/>
            <w:noWrap w:val="false"/>
          </w:tcPr>
          <w:p>
            <w:pPr>
              <w:ind w:firstLine="288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元</w:t>
            </w:r>
            <w:r/>
          </w:p>
        </w:tc>
      </w:tr>
    </w:tbl>
    <w:p>
      <w:pPr>
        <w:jc w:val="left"/>
        <w:spacing w:line="560" w:lineRule="exact"/>
        <w:widowControl/>
        <w:rPr>
          <w:rFonts w:hint="eastAsia" w:ascii="仿宋" w:hAnsi="仿宋" w:eastAsia="仿宋" w:cs="仿宋"/>
          <w:color w:val="000000" w:themeColor="text1"/>
          <w:sz w:val="28"/>
          <w:szCs w:val="24"/>
          <w:highlight w:val="none"/>
          <w:lang w:val="zh-CN"/>
          <w14:textFill>
            <w14:solidFill>
              <w14:schemeClr w14:val="tx1"/>
            </w14:solidFill>
          </w14:textFill>
        </w:rPr>
      </w:pPr>
      <w:r>
        <w:rPr>
          <w:rFonts w:hint="eastAsia" w:ascii="仿宋" w:hAnsi="仿宋" w:eastAsia="仿宋" w:cs="仿宋"/>
          <w:color w:val="000000" w:themeColor="text1"/>
          <w:sz w:val="28"/>
          <w:szCs w:val="24"/>
          <w:highlight w:val="none"/>
          <w:lang w:val="zh-CN"/>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u w:val="single"/>
          <w14:textFill>
            <w14:solidFill>
              <w14:schemeClr w14:val="tx1"/>
            </w14:solidFill>
          </w14:textFill>
        </w:rPr>
      </w:pPr>
      <w:r>
        <w:rPr>
          <w:rFonts w:hint="eastAsia" w:ascii="仿宋" w:hAnsi="仿宋" w:eastAsia="仿宋" w:cs="仿宋"/>
          <w:color w:val="000000" w:themeColor="text1"/>
          <w:sz w:val="24"/>
          <w:szCs w:val="21"/>
          <w:highlight w:val="none"/>
          <w:u w:val="single"/>
          <w14:textFill>
            <w14:solidFill>
              <w14:schemeClr w14:val="tx1"/>
            </w14:solidFill>
          </w14:textFill>
        </w:rPr>
        <w:t xml:space="preserve">供应商名称：                                             （</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 xml:space="preserve">加盖电子章</w:t>
      </w:r>
      <w:r>
        <w:rPr>
          <w:rFonts w:hint="eastAsia" w:ascii="仿宋" w:hAnsi="仿宋" w:eastAsia="仿宋" w:cs="仿宋"/>
          <w:color w:val="000000" w:themeColor="text1"/>
          <w:sz w:val="24"/>
          <w:szCs w:val="21"/>
          <w:highlight w:val="none"/>
          <w:u w:val="single"/>
          <w14:textFill>
            <w14:solidFill>
              <w14:schemeClr w14:val="tx1"/>
            </w14:solidFill>
          </w14:textFill>
        </w:rPr>
        <w:t xml:space="preserve">）</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注：1、在“是否属于小、微型企业的服务”栏内，填写“是”或“否”，如果小微型企业的服务报价无法划分计算的，评标时将不予认可。小型和微型企业服务是指供应商为小企业，且符合中小企业划分标准，提供本企业提供的服务。</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2、经磋商后，如果成交价高于或低于供应商在响应文件首次报价的，分项报价同比例调整。</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715"/>
        <w:rPr>
          <w:rFonts w:hint="eastAsia" w:ascii="仿宋" w:hAnsi="仿宋" w:eastAsia="仿宋" w:cs="仿宋"/>
          <w:color w:val="000000" w:themeColor="text1"/>
          <w:highlight w:val="none"/>
          <w:lang w:val="en-US" w:eastAsia="zh-CN"/>
          <w14:textFill>
            <w14:solidFill>
              <w14:schemeClr w14:val="tx1"/>
            </w14:solidFill>
          </w14:textFill>
        </w:rPr>
      </w:pPr>
      <w:r/>
      <w:bookmarkStart w:id="214" w:name="_Toc160699578"/>
      <w:r>
        <w:rPr>
          <w:rFonts w:hint="eastAsia" w:ascii="仿宋" w:hAnsi="仿宋" w:eastAsia="仿宋" w:cs="仿宋"/>
          <w:color w:val="000000" w:themeColor="text1"/>
          <w:highlight w:val="none"/>
          <w14:textFill>
            <w14:solidFill>
              <w14:schemeClr w14:val="tx1"/>
            </w14:solidFill>
          </w14:textFill>
        </w:rPr>
        <w:t xml:space="preserve">七、</w:t>
      </w:r>
      <w:bookmarkEnd w:id="214"/>
      <w:r>
        <w:rPr>
          <w:rFonts w:hint="eastAsia" w:ascii="仿宋" w:hAnsi="仿宋" w:cs="仿宋"/>
          <w:color w:val="000000" w:themeColor="text1"/>
          <w:highlight w:val="none"/>
          <w:lang w:val="en-US" w:eastAsia="zh-CN"/>
          <w14:textFill>
            <w14:solidFill>
              <w14:schemeClr w14:val="tx1"/>
            </w14:solidFill>
          </w14:textFill>
        </w:rPr>
        <w:t xml:space="preserve">采购需求</w:t>
      </w:r>
      <w:r>
        <w:rPr>
          <w:rFonts w:hint="eastAsia" w:ascii="仿宋" w:hAnsi="仿宋" w:eastAsia="仿宋" w:cs="仿宋"/>
          <w:color w:val="000000" w:themeColor="text1"/>
          <w:highlight w:val="none"/>
          <w:lang w:val="en-US" w:eastAsia="zh-CN"/>
          <w14:textFill>
            <w14:solidFill>
              <w14:schemeClr w14:val="tx1"/>
            </w14:solidFill>
          </w14:textFill>
        </w:rPr>
        <w:t xml:space="preserve">响应及偏离表</w:t>
      </w:r>
      <w:r/>
    </w:p>
    <w:p>
      <w:pPr>
        <w:jc w:val="center"/>
        <w:spacing w:line="240" w:lineRule="atLeast"/>
        <w:widowControl/>
        <w:rPr>
          <w:rFonts w:hint="eastAsia" w:ascii="仿宋" w:hAnsi="仿宋" w:eastAsia="仿宋" w:cs="仿宋"/>
          <w:b/>
          <w:color w:val="000000" w:themeColor="text1"/>
          <w:sz w:val="28"/>
          <w:szCs w:val="24"/>
          <w:highlight w:val="none"/>
          <w:lang w:val="en-US" w:eastAsia="zh-CN"/>
          <w14:textFill>
            <w14:solidFill>
              <w14:schemeClr w14:val="tx1"/>
            </w14:solidFill>
          </w14:textFill>
        </w:rPr>
      </w:pPr>
      <w:r>
        <w:rPr>
          <w:rFonts w:hint="eastAsia" w:ascii="仿宋" w:hAnsi="仿宋" w:eastAsia="仿宋" w:cs="仿宋"/>
          <w:b/>
          <w:color w:val="000000" w:themeColor="text1"/>
          <w:sz w:val="28"/>
          <w:szCs w:val="24"/>
          <w:highlight w:val="none"/>
          <w:lang w:val="en-US" w:eastAsia="zh-CN"/>
          <w14:textFill>
            <w14:solidFill>
              <w14:schemeClr w14:val="tx1"/>
            </w14:solidFill>
          </w14:textFill>
        </w:rPr>
        <w:t xml:space="preserve">采购需求响应及偏离表</w:t>
      </w:r>
      <w:r/>
    </w:p>
    <w:tbl>
      <w:tblPr>
        <w:tblStyle w:val="7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917"/>
        <w:gridCol w:w="2824"/>
        <w:gridCol w:w="3366"/>
      </w:tblGrid>
      <w:tr>
        <w:trPr>
          <w:cantSplit/>
        </w:trPr>
        <w:tc>
          <w:tcPr>
            <w:tcW w:w="37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148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磋商</w:t>
            </w:r>
            <w:r>
              <w:rPr>
                <w:rFonts w:hint="eastAsia" w:ascii="仿宋" w:hAnsi="仿宋" w:eastAsia="仿宋" w:cs="仿宋"/>
                <w:color w:val="000000" w:themeColor="text1"/>
                <w:sz w:val="24"/>
                <w:szCs w:val="24"/>
                <w:highlight w:val="none"/>
                <w14:textFill>
                  <w14:solidFill>
                    <w14:schemeClr w14:val="tx1"/>
                  </w14:solidFill>
                </w14:textFill>
              </w:rPr>
              <w:t xml:space="preserve">文件要求</w:t>
            </w:r>
            <w:r/>
          </w:p>
        </w:tc>
        <w:tc>
          <w:tcPr>
            <w:tcW w:w="143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响应情况</w:t>
            </w:r>
            <w:r/>
          </w:p>
        </w:tc>
        <w:tc>
          <w:tcPr>
            <w:tcW w:w="170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758"/>
        <w:jc w:val="both"/>
        <w:keepLines w:val="0"/>
        <w:keepNext w:val="0"/>
        <w:spacing w:before="0" w:beforeAutospacing="0" w:after="0" w:afterAutospacing="0"/>
        <w:widowControl/>
        <w:rPr>
          <w:rFonts w:hint="eastAsia" w:ascii="仿宋" w:hAnsi="仿宋" w:eastAsia="仿宋" w:cs="仿宋"/>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560"/>
        <w:jc w:val="both"/>
        <w:keepLines w:val="0"/>
        <w:keepNext w:val="0"/>
        <w:pageBreakBefore w:val="0"/>
        <w:spacing w:line="360" w:lineRule="auto"/>
        <w:rPr>
          <w:rFonts w:hint="eastAsia" w:ascii="宋体" w:hAnsi="宋体"/>
          <w:color w:val="000000" w:themeColor="text1"/>
          <w:sz w:val="28"/>
          <w:szCs w:val="28"/>
          <w:highlight w:val="none"/>
          <w:u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color w:val="000000" w:themeColor="text1"/>
          <w:sz w:val="28"/>
          <w:szCs w:val="28"/>
          <w:highlight w:val="none"/>
          <w14:textFill>
            <w14:solidFill>
              <w14:schemeClr w14:val="tx1"/>
            </w14:solidFill>
          </w14:textFill>
        </w:rPr>
        <w:t xml:space="preserve">名称</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u w:val="none"/>
          <w14:textFill>
            <w14:solidFill>
              <w14:schemeClr w14:val="tx1"/>
            </w14:solidFill>
          </w14:textFill>
        </w:rPr>
        <w:t xml:space="preserve">（加盖电子公章）</w:t>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pStyle w:val="758"/>
        <w:ind w:firstLine="560"/>
        <w:jc w:val="both"/>
        <w:spacing w:before="0" w:beforeAutospacing="0" w:after="0" w:afterAutospacing="0"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备注： </w:t>
      </w:r>
      <w:r/>
    </w:p>
    <w:p>
      <w:pPr>
        <w:pStyle w:val="758"/>
        <w:ind w:firstLine="562"/>
        <w:jc w:val="both"/>
        <w:spacing w:before="0" w:beforeAutospacing="0" w:after="0" w:afterAutospacing="0"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1.供应商须对磋商文件采购需求中的实质性要求（斜体下划线内容或打“★”内容）及其他要求做出明确响应，否则视为无效响应。</w:t>
      </w:r>
      <w:r/>
    </w:p>
    <w:p>
      <w:pPr>
        <w:pStyle w:val="758"/>
        <w:ind w:firstLine="560"/>
        <w:jc w:val="both"/>
        <w:spacing w:before="0" w:beforeAutospacing="0" w:after="0" w:afterAutospacing="0"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2.行数不够，可自行添加。</w:t>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bookmarkStart w:id="215" w:name="_Hlt26955054"/>
      <w:r/>
      <w:bookmarkEnd w:id="215"/>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clear="all"/>
      </w:r>
      <w:r/>
    </w:p>
    <w:p>
      <w:pPr>
        <w:pStyle w:val="715"/>
        <w:numPr>
          <w:ilvl w:val="0"/>
          <w:numId w:val="0"/>
        </w:numPr>
        <w:ind w:firstLine="562"/>
        <w:rPr>
          <w:rFonts w:hint="eastAsia" w:ascii="仿宋" w:hAnsi="仿宋" w:eastAsia="仿宋" w:cs="仿宋"/>
          <w:color w:val="000000" w:themeColor="text1"/>
          <w:highlight w:val="none"/>
          <w14:textFill>
            <w14:solidFill>
              <w14:schemeClr w14:val="tx1"/>
            </w14:solidFill>
          </w14:textFill>
        </w:rPr>
      </w:pPr>
      <w:r/>
      <w:bookmarkStart w:id="216" w:name="_Toc160699579"/>
      <w:r>
        <w:rPr>
          <w:rFonts w:hint="eastAsia" w:ascii="仿宋" w:hAnsi="仿宋" w:cs="仿宋"/>
          <w:b/>
          <w:bCs/>
          <w:color w:val="000000" w:themeColor="text1"/>
          <w:sz w:val="28"/>
          <w:szCs w:val="32"/>
          <w:highlight w:val="none"/>
          <w:lang w:val="en-US" w:eastAsia="zh-CN" w:bidi="ar-SA"/>
          <w14:textFill>
            <w14:solidFill>
              <w14:schemeClr w14:val="tx1"/>
            </w14:solidFill>
          </w14:textFill>
        </w:rPr>
        <w:t xml:space="preserve">八</w:t>
      </w:r>
      <w:r>
        <w:rPr>
          <w:rFonts w:hint="eastAsia" w:ascii="仿宋" w:hAnsi="仿宋" w:eastAsia="仿宋" w:cs="仿宋"/>
          <w:b/>
          <w:bCs/>
          <w:color w:val="000000" w:themeColor="text1"/>
          <w:sz w:val="28"/>
          <w:szCs w:val="32"/>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项目实施方案</w:t>
      </w:r>
      <w:bookmarkEnd w:id="216"/>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734"/>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715"/>
        <w:rPr>
          <w:rFonts w:hint="eastAsia" w:ascii="仿宋" w:hAnsi="仿宋" w:eastAsia="仿宋" w:cs="仿宋"/>
          <w:color w:val="000000" w:themeColor="text1"/>
          <w:highlight w:val="none"/>
          <w14:textFill>
            <w14:solidFill>
              <w14:schemeClr w14:val="tx1"/>
            </w14:solidFill>
          </w14:textFill>
        </w:rPr>
      </w:pPr>
      <w:r/>
      <w:bookmarkStart w:id="217" w:name="_Toc160699580"/>
      <w:r>
        <w:rPr>
          <w:rFonts w:hint="eastAsia" w:ascii="仿宋" w:hAnsi="仿宋" w:cs="仿宋"/>
          <w:color w:val="000000" w:themeColor="text1"/>
          <w:highlight w:val="none"/>
          <w:lang w:val="en-US" w:eastAsia="zh-CN"/>
          <w14:textFill>
            <w14:solidFill>
              <w14:schemeClr w14:val="tx1"/>
            </w14:solidFill>
          </w14:textFill>
        </w:rPr>
        <w:t xml:space="preserve">九</w:t>
      </w:r>
      <w:r>
        <w:rPr>
          <w:rFonts w:hint="eastAsia" w:ascii="仿宋" w:hAnsi="仿宋" w:eastAsia="仿宋" w:cs="仿宋"/>
          <w:color w:val="000000" w:themeColor="text1"/>
          <w:highlight w:val="none"/>
          <w14:textFill>
            <w14:solidFill>
              <w14:schemeClr w14:val="tx1"/>
            </w14:solidFill>
          </w14:textFill>
        </w:rPr>
        <w:t xml:space="preserve">、服务与承诺</w:t>
      </w:r>
      <w:bookmarkEnd w:id="217"/>
      <w:r/>
      <w:bookmarkEnd w:id="186"/>
      <w:r/>
      <w:bookmarkEnd w:id="187"/>
      <w:r/>
      <w:bookmarkEnd w:id="206"/>
      <w:r/>
      <w:r/>
    </w:p>
    <w:p>
      <w:pP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 </w:t>
      </w:r>
      <w:r/>
    </w:p>
    <w:p>
      <w:pPr>
        <w:pStyle w:val="734"/>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34"/>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34"/>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34"/>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15"/>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、竞争性磋商需要的其他证明文件及材料（格式自拟）</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97"/>
        <w:keepLines/>
        <w:keepNext/>
        <w:spacing w:before="145" w:after="145" w:line="264" w:lineRule="auto"/>
        <w:rPr>
          <w:rFonts w:hint="eastAsia" w:ascii="仿宋" w:hAnsi="仿宋" w:eastAsia="仿宋" w:cs="仿宋"/>
          <w:b/>
          <w:bCs/>
          <w:color w:val="000000" w:themeColor="text1"/>
          <w:sz w:val="28"/>
          <w:szCs w:val="32"/>
          <w:highlight w:val="none"/>
          <w:lang w:val="en-US" w:eastAsia="zh-CN"/>
          <w14:textFill>
            <w14:solidFill>
              <w14:schemeClr w14:val="tx1"/>
            </w14:solidFill>
          </w14:textFill>
        </w:rPr>
        <w:outlineLvl w:val="2"/>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rPr>
          <w:rStyle w:val="926"/>
          <w:rFonts w:hint="eastAsia" w:ascii="仿宋" w:hAnsi="仿宋" w:eastAsia="仿宋" w:cs="仿宋"/>
          <w:color w:val="000000" w:themeColor="text1"/>
          <w:highlight w:val="none"/>
          <w14:textFill>
            <w14:solidFill>
              <w14:schemeClr w14:val="tx1"/>
            </w14:solidFill>
          </w14:textFill>
        </w:rPr>
        <w:t xml:space="preserve">十</w:t>
      </w:r>
      <w:r>
        <w:rPr>
          <w:rStyle w:val="926"/>
          <w:rFonts w:hint="eastAsia" w:ascii="仿宋" w:hAnsi="仿宋" w:cs="仿宋"/>
          <w:color w:val="000000" w:themeColor="text1"/>
          <w:highlight w:val="none"/>
          <w:lang w:val="en-US" w:eastAsia="zh-CN"/>
          <w14:textFill>
            <w14:solidFill>
              <w14:schemeClr w14:val="tx1"/>
            </w14:solidFill>
          </w14:textFill>
        </w:rPr>
        <w:t xml:space="preserve">二</w:t>
      </w:r>
      <w:r>
        <w:rPr>
          <w:rStyle w:val="926"/>
          <w:rFonts w:hint="eastAsia" w:ascii="仿宋" w:hAnsi="仿宋" w:eastAsia="仿宋" w:cs="仿宋"/>
          <w:color w:val="000000" w:themeColor="text1"/>
          <w:highlight w:val="none"/>
          <w14:textFill>
            <w14:solidFill>
              <w14:schemeClr w14:val="tx1"/>
            </w14:solidFill>
          </w14:textFill>
        </w:rPr>
        <w:t xml:space="preserve">、附件</w:t>
      </w:r>
      <w:r>
        <w:rPr>
          <w:rStyle w:val="926"/>
          <w:rFonts w:hint="eastAsia" w:ascii="仿宋" w:hAnsi="仿宋" w:eastAsia="仿宋" w:cs="仿宋"/>
          <w:color w:val="000000" w:themeColor="text1"/>
          <w:highlight w:val="none"/>
          <w:lang w:val="en-US" w:eastAsia="zh-CN"/>
          <w14:textFill>
            <w14:solidFill>
              <w14:schemeClr w14:val="tx1"/>
            </w14:solidFill>
          </w14:textFill>
        </w:rPr>
        <w:t xml:space="preserve">一</w:t>
      </w:r>
      <w:r/>
    </w:p>
    <w:p>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中小企业声明函（如有）</w:t>
      </w:r>
      <w:r/>
    </w:p>
    <w:p>
      <w:pPr>
        <w:jc w:val="center"/>
        <w:keepLines w:val="0"/>
        <w:keepNext w:val="0"/>
        <w:pageBreakBefore w:val="0"/>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本公司（联合体）郑重声明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根据《政府采购促进中小企业发展管理办法》(财库〔2020〕46号)的规定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本公司（联合体）参加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u w:val="none"/>
          <w14:textFill>
            <w14:solidFill>
              <w14:schemeClr w14:val="tx1"/>
            </w14:solidFill>
          </w14:textFill>
        </w:rPr>
        <w:t xml:space="preserve">（单位名称）</w:t>
      </w:r>
      <w:r>
        <w:rPr>
          <w:rFonts w:hint="eastAsia" w:ascii="仿宋" w:hAnsi="仿宋" w:eastAsia="仿宋" w:cs="仿宋"/>
          <w:color w:val="000000" w:themeColor="text1"/>
          <w:sz w:val="24"/>
          <w:szCs w:val="24"/>
          <w:highlight w:val="none"/>
          <w14:textFill>
            <w14:solidFill>
              <w14:schemeClr w14:val="tx1"/>
            </w14:solidFill>
          </w14:textFill>
        </w:rPr>
        <w:t xml:space="preserve">采购编号为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u w:val="none"/>
          <w14:textFill>
            <w14:solidFill>
              <w14:schemeClr w14:val="tx1"/>
            </w14:solidFill>
          </w14:textFill>
        </w:rPr>
        <w:t xml:space="preserve">（分包号：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w:t>
      </w:r>
      <w:r>
        <w:rPr>
          <w:rFonts w:hint="eastAsia" w:ascii="仿宋" w:hAnsi="仿宋" w:eastAsia="仿宋" w:cs="仿宋"/>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的采购活动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服务全部由符合政策的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w:t>
      </w:r>
      <w:r>
        <w:rPr>
          <w:rFonts w:hint="eastAsia" w:ascii="仿宋" w:hAnsi="仿宋" w:eastAsia="仿宋" w:cs="仿宋"/>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相关企业（含联合体中的小微企业、签订分包意向协议的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w:t>
      </w:r>
      <w:r>
        <w:rPr>
          <w:rFonts w:hint="eastAsia" w:ascii="仿宋" w:hAnsi="仿宋" w:eastAsia="仿宋" w:cs="仿宋"/>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仿宋" w:hAnsi="仿宋" w:eastAsia="仿宋" w:cs="仿宋"/>
          <w:i/>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承接企业</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i/>
          <w:color w:val="000000" w:themeColor="text1"/>
          <w:sz w:val="24"/>
          <w:szCs w:val="24"/>
          <w:highlight w:val="none"/>
          <w:u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承接企业</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以上企业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不属于大企业的分支机构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不存在控股股东为大企业的情形</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本企业对上述声明内容的真实性负责</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如有虚假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将依法承担相应责任</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950"/>
        <w:keepLines w:val="0"/>
        <w:keepNext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内打“√”。</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3.供应商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如不提供此声明函，不得参加专门面向中小企业采购项目或者</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不得享受小微企业价格扣除政策</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4.服务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采购项目中，服务的承接商应当为中小企业，不对其中涉及的货物的制造商、工程的承建商作出要求。</w:t>
      </w:r>
      <w:r/>
    </w:p>
    <w:p>
      <w:pP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lang w:val="en-US" w:eastAsia="zh-CN"/>
          <w14:textFill>
            <w14:solidFill>
              <w14:schemeClr w14:val="tx1"/>
            </w14:solidFill>
          </w14:textFill>
        </w:rPr>
        <w:t xml:space="preserve">附件二、</w:t>
      </w:r>
      <w:r>
        <w:rPr>
          <w:rFonts w:hint="eastAsia" w:ascii="仿宋" w:hAnsi="仿宋" w:eastAsia="仿宋" w:cs="仿宋"/>
          <w:b/>
          <w:bCs/>
          <w:color w:val="000000" w:themeColor="text1"/>
          <w:sz w:val="32"/>
          <w:szCs w:val="32"/>
          <w:highlight w:val="none"/>
          <w14:textFill>
            <w14:solidFill>
              <w14:schemeClr w14:val="tx1"/>
            </w14:solidFill>
          </w14:textFill>
        </w:rPr>
        <w:t xml:space="preserve">残疾人福利性单位声明函（如有）</w:t>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残疾人福利性单位声明函</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项目（分包号：**）采购活动提供本单位承担的服务。</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r>
      <w:r/>
    </w:p>
    <w:p>
      <w:pPr>
        <w:pStyle w:val="98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                   </w:t>
      </w:r>
      <w:r/>
    </w:p>
    <w:p>
      <w:pPr>
        <w:ind w:firstLine="57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年___月___日</w:t>
      </w:r>
      <w:r/>
    </w:p>
    <w:p>
      <w:pPr>
        <w:jc w:val="center"/>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b/>
          <w:color w:val="000000" w:themeColor="text1"/>
          <w:szCs w:val="32"/>
          <w:highlight w:val="none"/>
          <w14:textFill>
            <w14:solidFill>
              <w14:schemeClr w14:val="tx1"/>
            </w14:solidFill>
          </w14:textFill>
        </w:rPr>
        <w:br w:type="page" w:clear="all"/>
      </w: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属于监狱企业的证明文件</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节能产品认证证书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ind w:firstLine="480"/>
        <w:spacing w:line="588"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环境标志产品认证证书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32"/>
          <w:szCs w:val="32"/>
          <w:highlight w:val="none"/>
          <w:lang w:val="zh-CN"/>
          <w14:textFill>
            <w14:solidFill>
              <w14:schemeClr w14:val="tx1"/>
            </w14:solidFill>
          </w14:textFill>
        </w:rPr>
      </w:pPr>
      <w:r>
        <w:rPr>
          <w:rFonts w:hint="eastAsia" w:ascii="仿宋" w:hAnsi="仿宋" w:eastAsia="仿宋" w:cs="仿宋"/>
          <w:b/>
          <w:color w:val="000000" w:themeColor="text1"/>
          <w:sz w:val="32"/>
          <w:szCs w:val="32"/>
          <w:highlight w:val="none"/>
          <w:lang w:val="zh-CN"/>
          <w14:textFill>
            <w14:solidFill>
              <w14:schemeClr w14:val="tx1"/>
            </w14:solidFill>
          </w14:textFill>
        </w:rPr>
        <w:t xml:space="preserve">进口产品转让技术、消化吸收再创新方案</w:t>
      </w:r>
      <w:r/>
    </w:p>
    <w:p>
      <w:pPr>
        <w:jc w:val="center"/>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（对于允许进口产品参加的项目）</w:t>
      </w:r>
      <w:r/>
    </w:p>
    <w:p>
      <w:pPr>
        <w:ind w:firstLine="480"/>
        <w:spacing w:line="588"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73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Fonts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5</w:t>
    </w:r>
    <w:r>
      <w:rPr>
        <w:rFonts w:ascii="宋体" w:hAnsi="宋体"/>
      </w:rPr>
      <w:fldChar w:fldCharType="end"/>
    </w:r>
    <w:r/>
  </w:p>
  <w:p>
    <w:pPr>
      <w:pStyle w:val="74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8"/>
      <w:isLgl w:val="false"/>
      <w:suff w:val="nothing"/>
      <w:lvlText w:val=""/>
      <w:lvlJc w:val="left"/>
      <w:pPr>
        <w:ind w:left="0" w:firstLine="0"/>
      </w:pPr>
      <w:rPr>
        <w:rFonts w:hint="eastAsia"/>
      </w:rPr>
    </w:lvl>
    <w:lvl w:ilvl="6">
      <w:start w:val="1"/>
      <w:numFmt w:val="decimal"/>
      <w:pStyle w:val="719"/>
      <w:isLgl w:val="false"/>
      <w:suff w:val="nothing"/>
      <w:lvlText w:val=""/>
      <w:lvlJc w:val="left"/>
      <w:pPr>
        <w:ind w:left="0" w:firstLine="0"/>
      </w:pPr>
      <w:rPr>
        <w:rFonts w:hint="eastAsia"/>
      </w:rPr>
    </w:lvl>
    <w:lvl w:ilvl="7">
      <w:start w:val="1"/>
      <w:numFmt w:val="decimal"/>
      <w:pStyle w:val="720"/>
      <w:isLgl w:val="false"/>
      <w:suff w:val="nothing"/>
      <w:lvlText w:val=""/>
      <w:lvlJc w:val="left"/>
      <w:pPr>
        <w:ind w:left="0" w:firstLine="0"/>
      </w:pPr>
      <w:rPr>
        <w:rFonts w:hint="eastAsia"/>
      </w:rPr>
    </w:lvl>
    <w:lvl w:ilvl="8">
      <w:start w:val="1"/>
      <w:numFmt w:val="decimal"/>
      <w:pStyle w:val="721"/>
      <w:isLgl w:val="false"/>
      <w:suff w:val="nothing"/>
      <w:lvlText w:val=""/>
      <w:lvlJc w:val="left"/>
      <w:pPr>
        <w:ind w:left="0" w:firstLine="0"/>
      </w:pPr>
      <w:rPr>
        <w:rFonts w:hint="eastAsia"/>
      </w:rPr>
    </w:lvl>
  </w:abstractNum>
  <w:abstractNum w:abstractNumId="1">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Title Char"/>
    <w:basedOn w:val="722"/>
    <w:link w:val="760"/>
    <w:uiPriority w:val="10"/>
    <w:rPr>
      <w:sz w:val="48"/>
      <w:szCs w:val="48"/>
    </w:rPr>
  </w:style>
  <w:style w:type="character" w:styleId="687">
    <w:name w:val="Subtitle Char"/>
    <w:basedOn w:val="722"/>
    <w:link w:val="749"/>
    <w:uiPriority w:val="11"/>
    <w:rPr>
      <w:sz w:val="24"/>
      <w:szCs w:val="24"/>
    </w:rPr>
  </w:style>
  <w:style w:type="character" w:styleId="688">
    <w:name w:val="Quote Char"/>
    <w:link w:val="788"/>
    <w:uiPriority w:val="29"/>
    <w:rPr>
      <w:i/>
    </w:rPr>
  </w:style>
  <w:style w:type="character" w:styleId="689">
    <w:name w:val="Intense Quote Char"/>
    <w:link w:val="790"/>
    <w:uiPriority w:val="30"/>
    <w:rPr>
      <w:i/>
    </w:rPr>
  </w:style>
  <w:style w:type="table" w:styleId="690">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9">
    <w:name w:val="Footnote Text Char"/>
    <w:link w:val="751"/>
    <w:uiPriority w:val="99"/>
    <w:rPr>
      <w:sz w:val="18"/>
    </w:rPr>
  </w:style>
  <w:style w:type="character" w:styleId="710">
    <w:name w:val="Endnote Text Char"/>
    <w:link w:val="743"/>
    <w:uiPriority w:val="99"/>
    <w:rPr>
      <w:sz w:val="20"/>
    </w:rPr>
  </w:style>
  <w:style w:type="paragraph" w:styleId="711">
    <w:name w:val="TOC Heading"/>
    <w:uiPriority w:val="39"/>
    <w:unhideWhenUsed/>
  </w:style>
  <w:style w:type="paragraph" w:styleId="712" w:default="1">
    <w:name w:val="Normal"/>
    <w:next w:val="724"/>
    <w:uiPriority w:val="0"/>
    <w:qFormat/>
    <w:pPr>
      <w:ind w:firstLine="420"/>
      <w:jc w:val="both"/>
      <w:spacing w:line="360" w:lineRule="auto"/>
      <w:widowControl w:val="off"/>
    </w:pPr>
    <w:rPr>
      <w:rFonts w:ascii="Times New Roman" w:hAnsi="Times New Roman" w:eastAsia="仿宋" w:cs="Times New Roman"/>
      <w:sz w:val="28"/>
      <w:szCs w:val="22"/>
      <w:lang w:val="en-US" w:eastAsia="zh-CN" w:bidi="ar-SA"/>
    </w:rPr>
  </w:style>
  <w:style w:type="paragraph" w:styleId="713">
    <w:name w:val="Heading 1"/>
    <w:basedOn w:val="712"/>
    <w:next w:val="712"/>
    <w:link w:val="923"/>
    <w:uiPriority w:val="0"/>
    <w:qFormat/>
    <w:pPr>
      <w:jc w:val="center"/>
      <w:keepNext/>
      <w:spacing w:line="360" w:lineRule="auto"/>
      <w:outlineLvl w:val="0"/>
    </w:pPr>
    <w:rPr>
      <w:rFonts w:ascii="楷体_GB2312" w:hAnsi="楷体_GB2312"/>
      <w:b/>
      <w:sz w:val="44"/>
      <w:szCs w:val="28"/>
    </w:rPr>
  </w:style>
  <w:style w:type="paragraph" w:styleId="714">
    <w:name w:val="Heading 2"/>
    <w:basedOn w:val="712"/>
    <w:next w:val="712"/>
    <w:link w:val="924"/>
    <w:uiPriority w:val="0"/>
    <w:qFormat/>
    <w:pPr>
      <w:jc w:val="center"/>
      <w:keepLines/>
      <w:keepNext/>
      <w:spacing w:line="360" w:lineRule="auto"/>
      <w:outlineLvl w:val="1"/>
    </w:pPr>
    <w:rPr>
      <w:rFonts w:ascii="Arial" w:hAnsi="Arial" w:cs="Arial"/>
      <w:b/>
      <w:bCs/>
      <w:sz w:val="32"/>
      <w:szCs w:val="44"/>
    </w:rPr>
  </w:style>
  <w:style w:type="paragraph" w:styleId="715">
    <w:name w:val="Heading 3"/>
    <w:basedOn w:val="712"/>
    <w:next w:val="725"/>
    <w:link w:val="926"/>
    <w:uiPriority w:val="0"/>
    <w:qFormat/>
    <w:pPr>
      <w:jc w:val="left"/>
      <w:keepLines/>
      <w:keepNext/>
      <w:spacing w:line="360" w:lineRule="auto"/>
      <w:outlineLvl w:val="2"/>
    </w:pPr>
    <w:rPr>
      <w:b/>
      <w:bCs/>
      <w:sz w:val="28"/>
      <w:szCs w:val="32"/>
    </w:rPr>
  </w:style>
  <w:style w:type="paragraph" w:styleId="716">
    <w:name w:val="Heading 4"/>
    <w:basedOn w:val="712"/>
    <w:next w:val="725"/>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717">
    <w:name w:val="Heading 5"/>
    <w:basedOn w:val="712"/>
    <w:next w:val="725"/>
    <w:link w:val="928"/>
    <w:uiPriority w:val="0"/>
    <w:qFormat/>
    <w:pPr>
      <w:keepNext/>
      <w:outlineLvl w:val="4"/>
    </w:pPr>
    <w:rPr>
      <w:rFonts w:ascii="宋体"/>
      <w:color w:val="000000"/>
      <w:sz w:val="28"/>
      <w:szCs w:val="28"/>
    </w:rPr>
  </w:style>
  <w:style w:type="paragraph" w:styleId="718">
    <w:name w:val="Heading 6"/>
    <w:basedOn w:val="712"/>
    <w:next w:val="712"/>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30"/>
    <w:uiPriority w:val="0"/>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32"/>
    <w:uiPriority w:val="0"/>
    <w:qFormat/>
    <w:pPr>
      <w:numPr>
        <w:ilvl w:val="8"/>
        <w:numId w:val="1"/>
      </w:numPr>
      <w:keepLines/>
      <w:keepNext/>
      <w:spacing w:before="240" w:after="64" w:line="320" w:lineRule="auto"/>
      <w:outlineLvl w:val="8"/>
    </w:pPr>
    <w:rPr>
      <w:rFonts w:ascii="Arial" w:hAnsi="Arial" w:eastAsia="黑体"/>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index 4"/>
    <w:basedOn w:val="712"/>
    <w:next w:val="712"/>
    <w:uiPriority w:val="0"/>
    <w:semiHidden/>
    <w:qFormat/>
    <w:pPr>
      <w:ind w:left="1260"/>
    </w:pPr>
    <w:rPr>
      <w:rFonts w:ascii="Calibri" w:hAnsi="Calibri" w:eastAsia="Calibri" w:cs="宋体"/>
      <w:sz w:val="20"/>
      <w:lang w:val="zh-CN"/>
    </w:rPr>
  </w:style>
  <w:style w:type="paragraph" w:styleId="725">
    <w:name w:val="Normal Indent"/>
    <w:basedOn w:val="712"/>
    <w:next w:val="726"/>
    <w:link w:val="925"/>
    <w:uiPriority w:val="0"/>
    <w:qFormat/>
    <w:pPr>
      <w:ind w:firstLine="420"/>
    </w:pPr>
    <w:rPr>
      <w:szCs w:val="21"/>
    </w:rPr>
  </w:style>
  <w:style w:type="paragraph" w:styleId="726">
    <w:name w:val="Body Text Indent"/>
    <w:basedOn w:val="712"/>
    <w:next w:val="727"/>
    <w:link w:val="937"/>
    <w:uiPriority w:val="0"/>
    <w:unhideWhenUsed/>
    <w:qFormat/>
    <w:pPr>
      <w:ind w:left="420"/>
      <w:spacing w:after="120"/>
    </w:pPr>
  </w:style>
  <w:style w:type="paragraph" w:styleId="727">
    <w:name w:val="envelope return"/>
    <w:basedOn w:val="712"/>
    <w:uiPriority w:val="0"/>
    <w:qFormat/>
    <w:rPr>
      <w:rFonts w:ascii="Arial" w:hAnsi="Arial" w:eastAsia="宋体" w:cs="宋体"/>
    </w:rPr>
  </w:style>
  <w:style w:type="paragraph" w:styleId="728">
    <w:name w:val="List 3"/>
    <w:basedOn w:val="712"/>
    <w:uiPriority w:val="0"/>
    <w:qFormat/>
    <w:pPr>
      <w:ind w:left="100" w:hanging="200"/>
    </w:pPr>
    <w:rPr>
      <w:szCs w:val="21"/>
    </w:rPr>
  </w:style>
  <w:style w:type="paragraph" w:styleId="729">
    <w:name w:val="toc 7"/>
    <w:basedOn w:val="712"/>
    <w:next w:val="712"/>
    <w:uiPriority w:val="0"/>
    <w:semiHidden/>
    <w:qFormat/>
    <w:pPr>
      <w:ind w:left="1260"/>
      <w:jc w:val="left"/>
    </w:pPr>
    <w:rPr>
      <w:szCs w:val="21"/>
    </w:rPr>
  </w:style>
  <w:style w:type="paragraph" w:styleId="730">
    <w:name w:val="Caption"/>
    <w:basedOn w:val="712"/>
    <w:next w:val="712"/>
    <w:uiPriority w:val="35"/>
    <w:semiHidden/>
    <w:unhideWhenUsed/>
    <w:qFormat/>
    <w:pPr>
      <w:spacing w:line="276" w:lineRule="auto"/>
    </w:pPr>
    <w:rPr>
      <w:b/>
      <w:bCs/>
      <w:color w:val="4f81bd"/>
      <w:sz w:val="18"/>
      <w:szCs w:val="18"/>
    </w:rPr>
  </w:style>
  <w:style w:type="paragraph" w:styleId="731">
    <w:name w:val="Document Map"/>
    <w:basedOn w:val="712"/>
    <w:link w:val="933"/>
    <w:uiPriority w:val="0"/>
    <w:semiHidden/>
    <w:qFormat/>
    <w:pPr>
      <w:shd w:val="clear" w:color="auto" w:fill="000080"/>
    </w:pPr>
    <w:rPr>
      <w:szCs w:val="21"/>
    </w:rPr>
  </w:style>
  <w:style w:type="paragraph" w:styleId="732">
    <w:name w:val="annotation text"/>
    <w:basedOn w:val="712"/>
    <w:link w:val="934"/>
    <w:uiPriority w:val="0"/>
    <w:unhideWhenUsed/>
    <w:qFormat/>
    <w:pPr>
      <w:jc w:val="left"/>
    </w:pPr>
  </w:style>
  <w:style w:type="paragraph" w:styleId="733">
    <w:name w:val="Body Text 3"/>
    <w:basedOn w:val="712"/>
    <w:link w:val="935"/>
    <w:uiPriority w:val="0"/>
    <w:qFormat/>
    <w:rPr>
      <w:rFonts w:ascii="仿宋_GB2312" w:hAnsi="Arial" w:eastAsia="仿宋_GB2312"/>
      <w:sz w:val="32"/>
      <w:szCs w:val="32"/>
    </w:rPr>
  </w:style>
  <w:style w:type="paragraph" w:styleId="734">
    <w:name w:val="Body Text"/>
    <w:basedOn w:val="712"/>
    <w:next w:val="712"/>
    <w:link w:val="936"/>
    <w:uiPriority w:val="0"/>
    <w:qFormat/>
    <w:rPr>
      <w:rFonts w:ascii="楷体_GB2312" w:hAnsi="Arial" w:eastAsia="楷体_GB2312"/>
      <w:sz w:val="28"/>
      <w:szCs w:val="28"/>
    </w:rPr>
  </w:style>
  <w:style w:type="paragraph" w:styleId="735">
    <w:name w:val="List 2"/>
    <w:basedOn w:val="712"/>
    <w:uiPriority w:val="0"/>
    <w:qFormat/>
    <w:pPr>
      <w:ind w:left="100" w:hanging="200"/>
    </w:pPr>
    <w:rPr>
      <w:szCs w:val="21"/>
    </w:rPr>
  </w:style>
  <w:style w:type="paragraph" w:styleId="736">
    <w:name w:val="Block Text"/>
    <w:basedOn w:val="712"/>
    <w:uiPriority w:val="99"/>
    <w:unhideWhenUsed/>
    <w:qFormat/>
    <w:pPr>
      <w:ind w:left="1440" w:right="1440"/>
      <w:spacing w:after="120"/>
    </w:pPr>
  </w:style>
  <w:style w:type="paragraph" w:styleId="737">
    <w:name w:val="toc 5"/>
    <w:basedOn w:val="712"/>
    <w:next w:val="712"/>
    <w:uiPriority w:val="0"/>
    <w:semiHidden/>
    <w:qFormat/>
    <w:pPr>
      <w:ind w:left="840"/>
      <w:jc w:val="left"/>
    </w:pPr>
    <w:rPr>
      <w:szCs w:val="21"/>
    </w:rPr>
  </w:style>
  <w:style w:type="paragraph" w:styleId="738">
    <w:name w:val="toc 3"/>
    <w:basedOn w:val="712"/>
    <w:next w:val="712"/>
    <w:uiPriority w:val="39"/>
    <w:qFormat/>
    <w:pPr>
      <w:ind w:left="420"/>
      <w:jc w:val="left"/>
    </w:pPr>
    <w:rPr>
      <w:i/>
      <w:iCs/>
      <w:szCs w:val="24"/>
    </w:rPr>
  </w:style>
  <w:style w:type="paragraph" w:styleId="739">
    <w:name w:val="Plain Text"/>
    <w:basedOn w:val="712"/>
    <w:link w:val="938"/>
    <w:uiPriority w:val="0"/>
    <w:qFormat/>
    <w:rPr>
      <w:rFonts w:ascii="宋体" w:hAnsi="Courier New" w:cs="Courier New"/>
      <w:szCs w:val="21"/>
    </w:rPr>
  </w:style>
  <w:style w:type="paragraph" w:styleId="740">
    <w:name w:val="toc 8"/>
    <w:basedOn w:val="712"/>
    <w:next w:val="712"/>
    <w:uiPriority w:val="0"/>
    <w:semiHidden/>
    <w:qFormat/>
    <w:pPr>
      <w:ind w:left="1470"/>
      <w:jc w:val="left"/>
    </w:pPr>
    <w:rPr>
      <w:szCs w:val="21"/>
    </w:rPr>
  </w:style>
  <w:style w:type="paragraph" w:styleId="741">
    <w:name w:val="Date"/>
    <w:basedOn w:val="712"/>
    <w:next w:val="712"/>
    <w:link w:val="939"/>
    <w:uiPriority w:val="0"/>
    <w:qFormat/>
    <w:rPr>
      <w:sz w:val="24"/>
      <w:szCs w:val="24"/>
    </w:rPr>
  </w:style>
  <w:style w:type="paragraph" w:styleId="742">
    <w:name w:val="Body Text Indent 2"/>
    <w:basedOn w:val="712"/>
    <w:link w:val="940"/>
    <w:uiPriority w:val="0"/>
    <w:qFormat/>
    <w:pPr>
      <w:ind w:left="630" w:firstLine="645"/>
    </w:pPr>
    <w:rPr>
      <w:rFonts w:ascii="Arial" w:hAnsi="Arial" w:eastAsia="仿宋_GB2312" w:cs="Arial"/>
      <w:sz w:val="32"/>
      <w:szCs w:val="32"/>
    </w:rPr>
  </w:style>
  <w:style w:type="paragraph" w:styleId="743">
    <w:name w:val="endnote text"/>
    <w:basedOn w:val="712"/>
    <w:link w:val="921"/>
    <w:uiPriority w:val="99"/>
    <w:semiHidden/>
    <w:unhideWhenUsed/>
    <w:qFormat/>
    <w:rPr>
      <w:sz w:val="20"/>
    </w:rPr>
  </w:style>
  <w:style w:type="paragraph" w:styleId="744">
    <w:name w:val="Balloon Text"/>
    <w:basedOn w:val="712"/>
    <w:link w:val="941"/>
    <w:uiPriority w:val="0"/>
    <w:semiHidden/>
    <w:qFormat/>
    <w:rPr>
      <w:sz w:val="18"/>
      <w:szCs w:val="18"/>
    </w:rPr>
  </w:style>
  <w:style w:type="paragraph" w:styleId="745">
    <w:name w:val="Footer"/>
    <w:basedOn w:val="712"/>
    <w:link w:val="942"/>
    <w:uiPriority w:val="0"/>
    <w:qFormat/>
    <w:pPr>
      <w:jc w:val="left"/>
      <w:tabs>
        <w:tab w:val="center" w:pos="4153" w:leader="none"/>
        <w:tab w:val="right" w:pos="8306" w:leader="none"/>
      </w:tabs>
    </w:pPr>
    <w:rPr>
      <w:sz w:val="18"/>
      <w:szCs w:val="18"/>
    </w:rPr>
  </w:style>
  <w:style w:type="paragraph" w:styleId="746">
    <w:name w:val="Header"/>
    <w:basedOn w:val="712"/>
    <w:link w:val="943"/>
    <w:uiPriority w:val="0"/>
    <w:qFormat/>
    <w:pPr>
      <w:jc w:val="center"/>
      <w:tabs>
        <w:tab w:val="center" w:pos="4153" w:leader="none"/>
        <w:tab w:val="right" w:pos="8306" w:leader="none"/>
      </w:tabs>
      <w:pBdr>
        <w:bottom w:val="single" w:color="000000" w:sz="6" w:space="1"/>
      </w:pBdr>
    </w:pPr>
    <w:rPr>
      <w:sz w:val="18"/>
      <w:szCs w:val="18"/>
    </w:rPr>
  </w:style>
  <w:style w:type="paragraph" w:styleId="747">
    <w:name w:val="toc 1"/>
    <w:basedOn w:val="712"/>
    <w:next w:val="712"/>
    <w:uiPriority w:val="39"/>
    <w:qFormat/>
    <w:pPr>
      <w:jc w:val="left"/>
      <w:spacing w:before="120" w:after="120" w:line="400" w:lineRule="exact"/>
      <w:tabs>
        <w:tab w:val="right" w:pos="8720" w:leader="dot"/>
      </w:tabs>
    </w:pPr>
    <w:rPr>
      <w:rFonts w:ascii="宋体" w:hAnsi="宋体"/>
      <w:caps/>
      <w:sz w:val="24"/>
      <w:szCs w:val="24"/>
    </w:rPr>
  </w:style>
  <w:style w:type="paragraph" w:styleId="748">
    <w:name w:val="toc 4"/>
    <w:basedOn w:val="712"/>
    <w:next w:val="712"/>
    <w:uiPriority w:val="0"/>
    <w:semiHidden/>
    <w:qFormat/>
    <w:pPr>
      <w:ind w:left="630"/>
      <w:jc w:val="left"/>
    </w:pPr>
    <w:rPr>
      <w:szCs w:val="21"/>
    </w:rPr>
  </w:style>
  <w:style w:type="paragraph" w:styleId="749">
    <w:name w:val="Subtitle"/>
    <w:basedOn w:val="712"/>
    <w:next w:val="712"/>
    <w:link w:val="787"/>
    <w:uiPriority w:val="11"/>
    <w:qFormat/>
    <w:pPr>
      <w:spacing w:before="200" w:after="200"/>
    </w:pPr>
    <w:rPr>
      <w:sz w:val="24"/>
      <w:szCs w:val="24"/>
    </w:rPr>
  </w:style>
  <w:style w:type="paragraph" w:styleId="750">
    <w:name w:val="List"/>
    <w:basedOn w:val="712"/>
    <w:uiPriority w:val="0"/>
    <w:qFormat/>
    <w:pPr>
      <w:ind w:left="200" w:hanging="200"/>
    </w:pPr>
    <w:rPr>
      <w:szCs w:val="21"/>
    </w:rPr>
  </w:style>
  <w:style w:type="paragraph" w:styleId="751">
    <w:name w:val="footnote text"/>
    <w:basedOn w:val="712"/>
    <w:link w:val="920"/>
    <w:uiPriority w:val="99"/>
    <w:semiHidden/>
    <w:unhideWhenUsed/>
    <w:qFormat/>
    <w:pPr>
      <w:spacing w:after="40"/>
    </w:pPr>
    <w:rPr>
      <w:sz w:val="18"/>
    </w:rPr>
  </w:style>
  <w:style w:type="paragraph" w:styleId="752">
    <w:name w:val="toc 6"/>
    <w:basedOn w:val="712"/>
    <w:next w:val="712"/>
    <w:uiPriority w:val="0"/>
    <w:semiHidden/>
    <w:qFormat/>
    <w:pPr>
      <w:ind w:left="1050"/>
      <w:jc w:val="left"/>
    </w:pPr>
    <w:rPr>
      <w:szCs w:val="21"/>
    </w:rPr>
  </w:style>
  <w:style w:type="paragraph" w:styleId="753">
    <w:name w:val="Body Text Indent 3"/>
    <w:basedOn w:val="712"/>
    <w:link w:val="944"/>
    <w:uiPriority w:val="0"/>
    <w:qFormat/>
    <w:pPr>
      <w:ind w:left="645" w:firstLine="645"/>
    </w:pPr>
    <w:rPr>
      <w:rFonts w:ascii="Arial" w:hAnsi="Arial" w:eastAsia="仿宋_GB2312" w:cs="Arial"/>
      <w:color w:val="ffff00"/>
      <w:sz w:val="32"/>
      <w:szCs w:val="32"/>
    </w:rPr>
  </w:style>
  <w:style w:type="paragraph" w:styleId="754">
    <w:name w:val="table of figures"/>
    <w:basedOn w:val="712"/>
    <w:next w:val="712"/>
    <w:uiPriority w:val="0"/>
    <w:semiHidden/>
    <w:qFormat/>
    <w:pPr>
      <w:ind w:left="840" w:hanging="420"/>
    </w:pPr>
    <w:rPr>
      <w:szCs w:val="21"/>
    </w:rPr>
  </w:style>
  <w:style w:type="paragraph" w:styleId="755">
    <w:name w:val="toc 2"/>
    <w:basedOn w:val="712"/>
    <w:next w:val="712"/>
    <w:uiPriority w:val="39"/>
    <w:qFormat/>
    <w:pPr>
      <w:ind w:left="210"/>
      <w:jc w:val="left"/>
    </w:pPr>
    <w:rPr>
      <w:smallCaps/>
      <w:szCs w:val="24"/>
    </w:rPr>
  </w:style>
  <w:style w:type="paragraph" w:styleId="756">
    <w:name w:val="toc 9"/>
    <w:basedOn w:val="712"/>
    <w:next w:val="712"/>
    <w:uiPriority w:val="0"/>
    <w:semiHidden/>
    <w:qFormat/>
    <w:pPr>
      <w:ind w:left="1680"/>
      <w:jc w:val="left"/>
    </w:pPr>
    <w:rPr>
      <w:szCs w:val="21"/>
    </w:rPr>
  </w:style>
  <w:style w:type="paragraph" w:styleId="757">
    <w:name w:val="Body Text 2"/>
    <w:basedOn w:val="712"/>
    <w:link w:val="945"/>
    <w:uiPriority w:val="0"/>
    <w:qFormat/>
    <w:pPr>
      <w:jc w:val="center"/>
      <w:widowControl/>
    </w:pPr>
    <w:rPr>
      <w:rFonts w:ascii="楷体_GB2312" w:eastAsia="楷体_GB2312"/>
      <w:sz w:val="28"/>
      <w:szCs w:val="28"/>
    </w:rPr>
  </w:style>
  <w:style w:type="paragraph" w:styleId="758">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59">
    <w:name w:val="index 1"/>
    <w:basedOn w:val="712"/>
    <w:next w:val="712"/>
    <w:uiPriority w:val="0"/>
    <w:semiHidden/>
    <w:qFormat/>
    <w:pPr>
      <w:spacing w:line="240" w:lineRule="atLeast"/>
    </w:pPr>
    <w:rPr>
      <w:b/>
      <w:bCs/>
      <w:szCs w:val="21"/>
    </w:rPr>
  </w:style>
  <w:style w:type="paragraph" w:styleId="760">
    <w:name w:val="Title"/>
    <w:basedOn w:val="712"/>
    <w:next w:val="712"/>
    <w:link w:val="786"/>
    <w:uiPriority w:val="10"/>
    <w:qFormat/>
    <w:pPr>
      <w:contextualSpacing/>
      <w:spacing w:before="300" w:after="200"/>
    </w:pPr>
    <w:rPr>
      <w:sz w:val="48"/>
      <w:szCs w:val="48"/>
    </w:rPr>
  </w:style>
  <w:style w:type="paragraph" w:styleId="761">
    <w:name w:val="annotation subject"/>
    <w:basedOn w:val="732"/>
    <w:next w:val="732"/>
    <w:link w:val="946"/>
    <w:uiPriority w:val="0"/>
    <w:semiHidden/>
    <w:qFormat/>
    <w:rPr>
      <w:b/>
      <w:bCs/>
      <w:szCs w:val="21"/>
    </w:rPr>
  </w:style>
  <w:style w:type="paragraph" w:styleId="762">
    <w:name w:val="Body Text First Indent"/>
    <w:basedOn w:val="734"/>
    <w:link w:val="947"/>
    <w:uiPriority w:val="0"/>
    <w:qFormat/>
    <w:pPr>
      <w:ind w:firstLine="200"/>
      <w:spacing w:line="360" w:lineRule="auto"/>
    </w:pPr>
    <w:rPr>
      <w:rFonts w:ascii="仿宋_GB2312" w:eastAsia="仿宋_GB2312"/>
      <w:sz w:val="30"/>
      <w:szCs w:val="30"/>
    </w:rPr>
  </w:style>
  <w:style w:type="paragraph" w:styleId="763">
    <w:name w:val="Body Text First Indent 2"/>
    <w:basedOn w:val="726"/>
    <w:next w:val="712"/>
    <w:link w:val="948"/>
    <w:uiPriority w:val="0"/>
    <w:qFormat/>
    <w:pPr>
      <w:ind w:left="0" w:firstLine="420"/>
      <w:spacing w:after="0" w:line="360" w:lineRule="auto"/>
    </w:pPr>
    <w:rPr>
      <w:rFonts w:ascii="宋体" w:hAnsi="宋体"/>
      <w:szCs w:val="20"/>
    </w:rPr>
  </w:style>
  <w:style w:type="table" w:styleId="764">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bCs/>
    </w:rPr>
  </w:style>
  <w:style w:type="character" w:styleId="766">
    <w:name w:val="endnote reference"/>
    <w:uiPriority w:val="99"/>
    <w:semiHidden/>
    <w:unhideWhenUsed/>
    <w:qFormat/>
    <w:rPr>
      <w:vertAlign w:val="superscript"/>
    </w:rPr>
  </w:style>
  <w:style w:type="character" w:styleId="767">
    <w:name w:val="page number"/>
    <w:uiPriority w:val="0"/>
    <w:qFormat/>
  </w:style>
  <w:style w:type="character" w:styleId="768">
    <w:name w:val="FollowedHyperlink"/>
    <w:uiPriority w:val="0"/>
    <w:qFormat/>
    <w:rPr>
      <w:color w:val="800080"/>
      <w:u w:val="single"/>
    </w:rPr>
  </w:style>
  <w:style w:type="character" w:styleId="769">
    <w:name w:val="Emphasis"/>
    <w:basedOn w:val="722"/>
    <w:uiPriority w:val="20"/>
    <w:qFormat/>
    <w:rPr>
      <w:i/>
    </w:rPr>
  </w:style>
  <w:style w:type="character" w:styleId="770">
    <w:name w:val="Hyperlink"/>
    <w:uiPriority w:val="99"/>
    <w:qFormat/>
    <w:rPr>
      <w:color w:val="0000ff"/>
      <w:u w:val="single"/>
    </w:rPr>
  </w:style>
  <w:style w:type="character" w:styleId="771">
    <w:name w:val="annotation reference"/>
    <w:uiPriority w:val="0"/>
    <w:semiHidden/>
    <w:qFormat/>
    <w:rPr>
      <w:sz w:val="21"/>
      <w:szCs w:val="21"/>
    </w:rPr>
  </w:style>
  <w:style w:type="character" w:styleId="772">
    <w:name w:val="footnote reference"/>
    <w:uiPriority w:val="99"/>
    <w:unhideWhenUsed/>
    <w:qFormat/>
    <w:rPr>
      <w:vertAlign w:val="superscript"/>
    </w:rPr>
  </w:style>
  <w:style w:type="paragraph" w:styleId="773" w:customStyle="1">
    <w:name w:val="索引 411"/>
    <w:basedOn w:val="712"/>
    <w:next w:val="712"/>
    <w:uiPriority w:val="99"/>
    <w:unhideWhenUsed/>
    <w:qFormat/>
    <w:pPr>
      <w:jc w:val="left"/>
    </w:pPr>
    <w:rPr>
      <w:sz w:val="24"/>
      <w:szCs w:val="24"/>
    </w:rPr>
  </w:style>
  <w:style w:type="paragraph" w:styleId="774" w:customStyle="1">
    <w:name w:val="正文文本1"/>
    <w:basedOn w:val="712"/>
    <w:next w:val="712"/>
    <w:uiPriority w:val="0"/>
    <w:semiHidden/>
    <w:qFormat/>
    <w:rPr>
      <w:rFonts w:ascii="Arial" w:hAnsi="Arial" w:eastAsia="Arial" w:cs="Arial"/>
      <w:szCs w:val="21"/>
      <w:lang w:eastAsia="en-US"/>
    </w:rPr>
  </w:style>
  <w:style w:type="character" w:styleId="775" w:customStyle="1">
    <w:name w:val="Heading 1 Char"/>
    <w:uiPriority w:val="9"/>
    <w:qFormat/>
    <w:rPr>
      <w:rFonts w:ascii="Arial" w:hAnsi="Arial" w:eastAsia="Arial" w:cs="Arial"/>
      <w:sz w:val="40"/>
      <w:szCs w:val="40"/>
    </w:rPr>
  </w:style>
  <w:style w:type="character" w:styleId="776" w:customStyle="1">
    <w:name w:val="Heading 2 Char"/>
    <w:uiPriority w:val="9"/>
    <w:qFormat/>
    <w:rPr>
      <w:rFonts w:ascii="Arial" w:hAnsi="Arial" w:eastAsia="Arial" w:cs="Arial"/>
      <w:sz w:val="34"/>
    </w:rPr>
  </w:style>
  <w:style w:type="character" w:styleId="777" w:customStyle="1">
    <w:name w:val="Heading 3 Char"/>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uiPriority w:val="9"/>
    <w:qFormat/>
    <w:rPr>
      <w:rFonts w:ascii="Arial" w:hAnsi="Arial" w:eastAsia="Arial" w:cs="Arial"/>
      <w:b/>
      <w:bCs/>
      <w:sz w:val="24"/>
      <w:szCs w:val="24"/>
    </w:rPr>
  </w:style>
  <w:style w:type="character" w:styleId="780" w:customStyle="1">
    <w:name w:val="Heading 6 Char"/>
    <w:uiPriority w:val="9"/>
    <w:qFormat/>
    <w:rPr>
      <w:rFonts w:ascii="Arial" w:hAnsi="Arial" w:eastAsia="Arial" w:cs="Arial"/>
      <w:b/>
      <w:bCs/>
      <w:sz w:val="22"/>
      <w:szCs w:val="22"/>
    </w:rPr>
  </w:style>
  <w:style w:type="character" w:styleId="781" w:customStyle="1">
    <w:name w:val="Heading 7 Char"/>
    <w:uiPriority w:val="9"/>
    <w:qFormat/>
    <w:rPr>
      <w:rFonts w:ascii="Arial" w:hAnsi="Arial" w:eastAsia="Arial" w:cs="Arial"/>
      <w:b/>
      <w:bCs/>
      <w:i/>
      <w:iCs/>
      <w:sz w:val="22"/>
      <w:szCs w:val="22"/>
    </w:rPr>
  </w:style>
  <w:style w:type="character" w:styleId="782" w:customStyle="1">
    <w:name w:val="Heading 8 Char"/>
    <w:uiPriority w:val="9"/>
    <w:qFormat/>
    <w:rPr>
      <w:rFonts w:ascii="Arial" w:hAnsi="Arial" w:eastAsia="Arial" w:cs="Arial"/>
      <w:i/>
      <w:iCs/>
      <w:sz w:val="22"/>
      <w:szCs w:val="22"/>
    </w:rPr>
  </w:style>
  <w:style w:type="character" w:styleId="783" w:customStyle="1">
    <w:name w:val="Heading 9 Char"/>
    <w:uiPriority w:val="9"/>
    <w:qFormat/>
    <w:rPr>
      <w:rFonts w:ascii="Arial" w:hAnsi="Arial" w:eastAsia="Arial" w:cs="Arial"/>
      <w:i/>
      <w:iCs/>
      <w:sz w:val="21"/>
      <w:szCs w:val="21"/>
    </w:rPr>
  </w:style>
  <w:style w:type="paragraph" w:styleId="784">
    <w:name w:val="List Paragraph"/>
    <w:basedOn w:val="712"/>
    <w:uiPriority w:val="0"/>
    <w:qFormat/>
    <w:pPr>
      <w:contextualSpacing/>
      <w:ind w:left="720"/>
      <w:jc w:val="left"/>
      <w:widowControl/>
    </w:pPr>
    <w:rPr>
      <w:rFonts w:ascii="Calibri" w:hAnsi="Calibri"/>
      <w:sz w:val="24"/>
      <w:szCs w:val="24"/>
      <w:lang w:eastAsia="en-US" w:bidi="en-US"/>
    </w:rPr>
  </w:style>
  <w:style w:type="paragraph" w:styleId="78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6" w:customStyle="1">
    <w:name w:val="标题 Char"/>
    <w:link w:val="760"/>
    <w:uiPriority w:val="10"/>
    <w:qFormat/>
    <w:rPr>
      <w:sz w:val="48"/>
      <w:szCs w:val="48"/>
    </w:rPr>
  </w:style>
  <w:style w:type="character" w:styleId="787" w:customStyle="1">
    <w:name w:val="副标题 Char"/>
    <w:link w:val="749"/>
    <w:uiPriority w:val="11"/>
    <w:qFormat/>
    <w:rPr>
      <w:sz w:val="24"/>
      <w:szCs w:val="24"/>
    </w:rPr>
  </w:style>
  <w:style w:type="paragraph" w:styleId="788">
    <w:name w:val="Quote"/>
    <w:basedOn w:val="712"/>
    <w:next w:val="712"/>
    <w:link w:val="789"/>
    <w:uiPriority w:val="29"/>
    <w:qFormat/>
    <w:pPr>
      <w:ind w:left="720" w:right="720"/>
    </w:pPr>
    <w:rPr>
      <w:i/>
    </w:rPr>
  </w:style>
  <w:style w:type="character" w:styleId="789" w:customStyle="1">
    <w:name w:val="引用 Char"/>
    <w:link w:val="788"/>
    <w:uiPriority w:val="29"/>
    <w:qFormat/>
    <w:rPr>
      <w:i/>
    </w:rPr>
  </w:style>
  <w:style w:type="paragraph" w:styleId="790">
    <w:name w:val="Intense Quote"/>
    <w:basedOn w:val="712"/>
    <w:next w:val="712"/>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Char"/>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脚注文本 Char"/>
    <w:link w:val="751"/>
    <w:uiPriority w:val="99"/>
    <w:qFormat/>
    <w:rPr>
      <w:sz w:val="18"/>
    </w:rPr>
  </w:style>
  <w:style w:type="character" w:styleId="921" w:customStyle="1">
    <w:name w:val="尾注文本 Char"/>
    <w:link w:val="743"/>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标题 1 Char"/>
    <w:link w:val="713"/>
    <w:uiPriority w:val="0"/>
    <w:qFormat/>
    <w:rPr>
      <w:rFonts w:ascii="楷体_GB2312" w:hAnsi="楷体_GB2312" w:eastAsia="仿宋" w:cs="Times New Roman"/>
      <w:b/>
      <w:sz w:val="44"/>
      <w:szCs w:val="28"/>
    </w:rPr>
  </w:style>
  <w:style w:type="character" w:styleId="924" w:customStyle="1">
    <w:name w:val="标题 2 Char"/>
    <w:link w:val="714"/>
    <w:uiPriority w:val="0"/>
    <w:qFormat/>
    <w:rPr>
      <w:rFonts w:ascii="Arial" w:hAnsi="Arial" w:eastAsia="仿宋" w:cs="Arial"/>
      <w:b/>
      <w:bCs/>
      <w:sz w:val="32"/>
      <w:szCs w:val="44"/>
    </w:rPr>
  </w:style>
  <w:style w:type="character" w:styleId="925" w:customStyle="1">
    <w:name w:val="正文缩进 Char"/>
    <w:link w:val="725"/>
    <w:uiPriority w:val="0"/>
    <w:qFormat/>
    <w:rPr>
      <w:szCs w:val="21"/>
    </w:rPr>
  </w:style>
  <w:style w:type="character" w:styleId="926" w:customStyle="1">
    <w:name w:val="标题 3 Char"/>
    <w:link w:val="715"/>
    <w:uiPriority w:val="0"/>
    <w:qFormat/>
    <w:rPr>
      <w:rFonts w:ascii="Times New Roman" w:hAnsi="Times New Roman" w:eastAsia="仿宋" w:cs="Times New Roman"/>
      <w:b/>
      <w:bCs/>
      <w:sz w:val="28"/>
      <w:szCs w:val="32"/>
    </w:rPr>
  </w:style>
  <w:style w:type="character" w:styleId="927" w:customStyle="1">
    <w:name w:val="标题 4 Char"/>
    <w:link w:val="716"/>
    <w:uiPriority w:val="0"/>
    <w:qFormat/>
    <w:rPr>
      <w:rFonts w:ascii="Arial" w:hAnsi="Arial" w:eastAsia="黑体" w:cs="Arial"/>
      <w:b/>
      <w:bCs/>
      <w:sz w:val="28"/>
      <w:szCs w:val="28"/>
    </w:rPr>
  </w:style>
  <w:style w:type="character" w:styleId="928" w:customStyle="1">
    <w:name w:val="标题 5 Char"/>
    <w:link w:val="717"/>
    <w:uiPriority w:val="0"/>
    <w:qFormat/>
    <w:rPr>
      <w:rFonts w:ascii="宋体" w:hAnsi="Times New Roman" w:eastAsia="宋体" w:cs="Times New Roman"/>
      <w:color w:val="000000"/>
      <w:sz w:val="28"/>
      <w:szCs w:val="28"/>
    </w:rPr>
  </w:style>
  <w:style w:type="character" w:styleId="929" w:customStyle="1">
    <w:name w:val="标题 6 Char"/>
    <w:link w:val="718"/>
    <w:uiPriority w:val="0"/>
    <w:qFormat/>
    <w:rPr>
      <w:rFonts w:ascii="Arial" w:hAnsi="Arial" w:eastAsia="黑体" w:cs="Times New Roman"/>
      <w:b/>
      <w:bCs/>
      <w:sz w:val="24"/>
      <w:szCs w:val="24"/>
    </w:rPr>
  </w:style>
  <w:style w:type="character" w:styleId="930" w:customStyle="1">
    <w:name w:val="标题 7 Char"/>
    <w:link w:val="719"/>
    <w:uiPriority w:val="0"/>
    <w:qFormat/>
    <w:rPr>
      <w:rFonts w:ascii="Times New Roman" w:hAnsi="Times New Roman" w:eastAsia="宋体" w:cs="Times New Roman"/>
      <w:b/>
      <w:bCs/>
      <w:sz w:val="24"/>
      <w:szCs w:val="24"/>
    </w:rPr>
  </w:style>
  <w:style w:type="character" w:styleId="931" w:customStyle="1">
    <w:name w:val="标题 8 Char"/>
    <w:link w:val="720"/>
    <w:uiPriority w:val="0"/>
    <w:qFormat/>
    <w:rPr>
      <w:rFonts w:ascii="Arial" w:hAnsi="Arial" w:eastAsia="黑体" w:cs="Times New Roman"/>
      <w:sz w:val="24"/>
      <w:szCs w:val="24"/>
    </w:rPr>
  </w:style>
  <w:style w:type="character" w:styleId="932" w:customStyle="1">
    <w:name w:val="标题 9 Char"/>
    <w:link w:val="721"/>
    <w:uiPriority w:val="0"/>
    <w:qFormat/>
    <w:rPr>
      <w:rFonts w:ascii="Arial" w:hAnsi="Arial" w:eastAsia="黑体" w:cs="Times New Roman"/>
      <w:szCs w:val="21"/>
    </w:rPr>
  </w:style>
  <w:style w:type="character" w:styleId="933" w:customStyle="1">
    <w:name w:val="文档结构图 Char"/>
    <w:link w:val="731"/>
    <w:uiPriority w:val="0"/>
    <w:semiHidden/>
    <w:qFormat/>
    <w:rPr>
      <w:rFonts w:ascii="Times New Roman" w:hAnsi="Times New Roman" w:eastAsia="宋体" w:cs="Times New Roman"/>
      <w:szCs w:val="21"/>
      <w:shd w:val="clear" w:color="auto" w:fill="000080"/>
    </w:rPr>
  </w:style>
  <w:style w:type="character" w:styleId="934" w:customStyle="1">
    <w:name w:val="批注文字 Char"/>
    <w:basedOn w:val="722"/>
    <w:link w:val="732"/>
    <w:uiPriority w:val="99"/>
    <w:semiHidden/>
    <w:qFormat/>
  </w:style>
  <w:style w:type="character" w:styleId="935" w:customStyle="1">
    <w:name w:val="正文文本 3 Char"/>
    <w:link w:val="733"/>
    <w:uiPriority w:val="0"/>
    <w:qFormat/>
    <w:rPr>
      <w:rFonts w:ascii="仿宋_GB2312" w:hAnsi="Arial" w:eastAsia="仿宋_GB2312" w:cs="Times New Roman"/>
      <w:sz w:val="32"/>
      <w:szCs w:val="32"/>
    </w:rPr>
  </w:style>
  <w:style w:type="character" w:styleId="936" w:customStyle="1">
    <w:name w:val="正文文本 Char"/>
    <w:link w:val="734"/>
    <w:uiPriority w:val="0"/>
    <w:qFormat/>
    <w:rPr>
      <w:rFonts w:ascii="楷体_GB2312" w:hAnsi="Arial" w:eastAsia="楷体_GB2312" w:cs="Times New Roman"/>
      <w:sz w:val="28"/>
      <w:szCs w:val="28"/>
    </w:rPr>
  </w:style>
  <w:style w:type="character" w:styleId="937" w:customStyle="1">
    <w:name w:val="正文文本缩进 Char"/>
    <w:basedOn w:val="722"/>
    <w:link w:val="726"/>
    <w:uiPriority w:val="99"/>
    <w:semiHidden/>
    <w:qFormat/>
  </w:style>
  <w:style w:type="character" w:styleId="938" w:customStyle="1">
    <w:name w:val="纯文本 Char"/>
    <w:link w:val="739"/>
    <w:uiPriority w:val="0"/>
    <w:qFormat/>
    <w:rPr>
      <w:rFonts w:ascii="宋体" w:hAnsi="Courier New" w:eastAsia="宋体" w:cs="Courier New"/>
      <w:szCs w:val="21"/>
    </w:rPr>
  </w:style>
  <w:style w:type="character" w:styleId="939" w:customStyle="1">
    <w:name w:val="日期 Char"/>
    <w:link w:val="741"/>
    <w:uiPriority w:val="0"/>
    <w:qFormat/>
    <w:rPr>
      <w:rFonts w:ascii="Times New Roman" w:hAnsi="Times New Roman" w:eastAsia="宋体" w:cs="Times New Roman"/>
      <w:sz w:val="24"/>
      <w:szCs w:val="24"/>
    </w:rPr>
  </w:style>
  <w:style w:type="character" w:styleId="940" w:customStyle="1">
    <w:name w:val="正文文本缩进 2 Char"/>
    <w:link w:val="742"/>
    <w:uiPriority w:val="0"/>
    <w:qFormat/>
    <w:rPr>
      <w:rFonts w:ascii="Arial" w:hAnsi="Arial" w:eastAsia="仿宋_GB2312" w:cs="Arial"/>
      <w:sz w:val="32"/>
      <w:szCs w:val="32"/>
    </w:rPr>
  </w:style>
  <w:style w:type="character" w:styleId="941" w:customStyle="1">
    <w:name w:val="批注框文本 Char"/>
    <w:link w:val="744"/>
    <w:uiPriority w:val="0"/>
    <w:semiHidden/>
    <w:qFormat/>
    <w:rPr>
      <w:rFonts w:ascii="Times New Roman" w:hAnsi="Times New Roman" w:eastAsia="宋体" w:cs="Times New Roman"/>
      <w:sz w:val="18"/>
      <w:szCs w:val="18"/>
    </w:rPr>
  </w:style>
  <w:style w:type="character" w:styleId="942" w:customStyle="1">
    <w:name w:val="页脚 Char"/>
    <w:link w:val="745"/>
    <w:uiPriority w:val="0"/>
    <w:qFormat/>
    <w:rPr>
      <w:rFonts w:ascii="Times New Roman" w:hAnsi="Times New Roman" w:eastAsia="宋体" w:cs="Times New Roman"/>
      <w:sz w:val="18"/>
      <w:szCs w:val="18"/>
    </w:rPr>
  </w:style>
  <w:style w:type="character" w:styleId="943" w:customStyle="1">
    <w:name w:val="页眉 Char"/>
    <w:link w:val="746"/>
    <w:uiPriority w:val="0"/>
    <w:qFormat/>
    <w:rPr>
      <w:rFonts w:ascii="Times New Roman" w:hAnsi="Times New Roman" w:eastAsia="宋体" w:cs="Times New Roman"/>
      <w:sz w:val="18"/>
      <w:szCs w:val="18"/>
    </w:rPr>
  </w:style>
  <w:style w:type="character" w:styleId="944" w:customStyle="1">
    <w:name w:val="正文文本缩进 3 Char"/>
    <w:link w:val="753"/>
    <w:uiPriority w:val="0"/>
    <w:qFormat/>
    <w:rPr>
      <w:rFonts w:ascii="Arial" w:hAnsi="Arial" w:eastAsia="仿宋_GB2312" w:cs="Arial"/>
      <w:color w:val="ffff00"/>
      <w:sz w:val="32"/>
      <w:szCs w:val="32"/>
    </w:rPr>
  </w:style>
  <w:style w:type="character" w:styleId="945" w:customStyle="1">
    <w:name w:val="正文文本 2 Char"/>
    <w:link w:val="757"/>
    <w:uiPriority w:val="0"/>
    <w:qFormat/>
    <w:rPr>
      <w:rFonts w:ascii="楷体_GB2312" w:hAnsi="Times New Roman" w:eastAsia="楷体_GB2312" w:cs="Times New Roman"/>
      <w:sz w:val="28"/>
      <w:szCs w:val="28"/>
    </w:rPr>
  </w:style>
  <w:style w:type="character" w:styleId="946" w:customStyle="1">
    <w:name w:val="批注主题 Char"/>
    <w:link w:val="761"/>
    <w:uiPriority w:val="0"/>
    <w:semiHidden/>
    <w:qFormat/>
    <w:rPr>
      <w:rFonts w:ascii="Times New Roman" w:hAnsi="Times New Roman" w:eastAsia="宋体" w:cs="Times New Roman"/>
      <w:b/>
      <w:bCs/>
      <w:szCs w:val="21"/>
    </w:rPr>
  </w:style>
  <w:style w:type="character" w:styleId="947" w:customStyle="1">
    <w:name w:val="正文首行缩进 Char"/>
    <w:link w:val="762"/>
    <w:uiPriority w:val="0"/>
    <w:qFormat/>
    <w:rPr>
      <w:rFonts w:ascii="仿宋_GB2312" w:hAnsi="Times New Roman" w:eastAsia="仿宋_GB2312" w:cs="Times New Roman"/>
      <w:sz w:val="30"/>
      <w:szCs w:val="30"/>
    </w:rPr>
  </w:style>
  <w:style w:type="character" w:styleId="948" w:customStyle="1">
    <w:name w:val="正文首行缩进 2 Char"/>
    <w:link w:val="763"/>
    <w:uiPriority w:val="0"/>
    <w:qFormat/>
    <w:rPr>
      <w:rFonts w:ascii="宋体" w:hAnsi="宋体" w:eastAsia="宋体" w:cs="Times New Roman"/>
      <w:szCs w:val="20"/>
    </w:rPr>
  </w:style>
  <w:style w:type="character" w:styleId="949" w:customStyle="1">
    <w:name w:val="已访问的超链接1"/>
    <w:uiPriority w:val="0"/>
    <w:qFormat/>
    <w:rPr>
      <w:color w:val="800080"/>
      <w:u w:val="single"/>
    </w:rPr>
  </w:style>
  <w:style w:type="paragraph" w:styleId="950" w:customStyle="1">
    <w:name w:val="索引 41"/>
    <w:basedOn w:val="712"/>
    <w:next w:val="712"/>
    <w:uiPriority w:val="0"/>
    <w:semiHidden/>
    <w:qFormat/>
    <w:pPr>
      <w:ind w:left="1260"/>
    </w:pPr>
    <w:rPr>
      <w:rFonts w:ascii="Calibri" w:hAnsi="Calibri" w:eastAsia="Calibri" w:cs="宋体"/>
      <w:sz w:val="20"/>
      <w:lang w:val="zh-CN"/>
    </w:rPr>
  </w:style>
  <w:style w:type="character" w:styleId="951" w:customStyle="1">
    <w:name w:val="font5 Char"/>
    <w:uiPriority w:val="0"/>
    <w:qFormat/>
    <w:rPr>
      <w:rFonts w:ascii="宋体" w:hAnsi="宋体" w:eastAsia="宋体"/>
      <w:sz w:val="28"/>
      <w:szCs w:val="28"/>
      <w:lang w:val="en-US" w:eastAsia="zh-CN" w:bidi="ar-SA"/>
    </w:rPr>
  </w:style>
  <w:style w:type="character" w:styleId="952" w:customStyle="1">
    <w:name w:val="二级目录 Char"/>
    <w:link w:val="953"/>
    <w:uiPriority w:val="0"/>
    <w:qFormat/>
    <w:rPr>
      <w:b/>
      <w:sz w:val="30"/>
      <w:szCs w:val="28"/>
    </w:rPr>
  </w:style>
  <w:style w:type="paragraph" w:styleId="953" w:customStyle="1">
    <w:name w:val="二级目录"/>
    <w:next w:val="712"/>
    <w:link w:val="95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
    <w:basedOn w:val="712"/>
    <w:link w:val="954"/>
    <w:uiPriority w:val="0"/>
    <w:qFormat/>
    <w:pPr>
      <w:contextualSpacing/>
      <w:ind w:left="720"/>
      <w:jc w:val="left"/>
      <w:widowControl/>
    </w:pPr>
    <w:rPr>
      <w:rFonts w:ascii="Calibri" w:hAnsi="Calibri"/>
      <w:sz w:val="24"/>
      <w:szCs w:val="24"/>
      <w:lang w:eastAsia="en-US" w:bidi="en-US"/>
    </w:rPr>
  </w:style>
  <w:style w:type="paragraph" w:styleId="956" w:customStyle="1">
    <w:name w:val="Body Text(ch)"/>
    <w:basedOn w:val="712"/>
    <w:next w:val="734"/>
    <w:uiPriority w:val="0"/>
    <w:qFormat/>
    <w:pPr>
      <w:spacing w:after="120"/>
    </w:pPr>
    <w:rPr>
      <w:rFonts w:ascii="宋体" w:hAnsi="Arial"/>
      <w:bCs/>
      <w:iCs/>
      <w:szCs w:val="24"/>
    </w:rPr>
  </w:style>
  <w:style w:type="paragraph" w:styleId="957"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customStyle="1">
    <w:name w:val="Char"/>
    <w:basedOn w:val="712"/>
    <w:uiPriority w:val="0"/>
    <w:qFormat/>
    <w:pPr>
      <w:ind w:firstLine="200"/>
      <w:tabs>
        <w:tab w:val="left" w:pos="360" w:leader="none"/>
      </w:tabs>
    </w:pPr>
    <w:rPr>
      <w:sz w:val="28"/>
      <w:szCs w:val="30"/>
    </w:rPr>
  </w:style>
  <w:style w:type="paragraph" w:styleId="960" w:customStyle="1">
    <w:name w:val="Char1"/>
    <w:basedOn w:val="731"/>
    <w:uiPriority w:val="0"/>
    <w:qFormat/>
    <w:rPr>
      <w:rFonts w:ascii="Tahoma" w:hAnsi="Tahoma"/>
      <w:sz w:val="24"/>
      <w:szCs w:val="24"/>
    </w:rPr>
  </w:style>
  <w:style w:type="paragraph" w:styleId="961"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62" w:customStyle="1">
    <w:name w:val="table_lines"/>
    <w:basedOn w:val="712"/>
    <w:uiPriority w:val="0"/>
    <w:qFormat/>
    <w:pPr>
      <w:jc w:val="left"/>
      <w:widowControl/>
    </w:pPr>
    <w:rPr>
      <w:sz w:val="20"/>
      <w:szCs w:val="20"/>
      <w:lang w:val="de-DE" w:eastAsia="de-DE"/>
    </w:rPr>
  </w:style>
  <w:style w:type="paragraph" w:styleId="96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Char Char Char Char"/>
    <w:basedOn w:val="731"/>
    <w:uiPriority w:val="0"/>
    <w:qFormat/>
    <w:pPr>
      <w:spacing w:line="360" w:lineRule="auto"/>
    </w:pPr>
    <w:rPr>
      <w:rFonts w:ascii="Tahoma" w:hAnsi="Tahoma"/>
      <w:sz w:val="24"/>
      <w:szCs w:val="24"/>
    </w:rPr>
  </w:style>
  <w:style w:type="paragraph" w:styleId="966" w:customStyle="1">
    <w:name w:val="4"/>
    <w:basedOn w:val="712"/>
    <w:next w:val="753"/>
    <w:uiPriority w:val="0"/>
    <w:qFormat/>
    <w:pPr>
      <w:ind w:firstLine="420"/>
      <w:spacing w:line="360" w:lineRule="auto"/>
    </w:pPr>
    <w:rPr>
      <w:color w:val="ff0000"/>
      <w:sz w:val="24"/>
      <w:szCs w:val="24"/>
    </w:rPr>
  </w:style>
  <w:style w:type="paragraph" w:styleId="967"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968" w:customStyle="1">
    <w:name w:val="Char Char Char Char Char Char Char Char Char Char"/>
    <w:basedOn w:val="712"/>
    <w:uiPriority w:val="0"/>
    <w:qFormat/>
    <w:pPr>
      <w:spacing w:line="360" w:lineRule="auto"/>
    </w:pPr>
    <w:rPr>
      <w:sz w:val="24"/>
      <w:szCs w:val="20"/>
    </w:rPr>
  </w:style>
  <w:style w:type="paragraph" w:styleId="969" w:customStyle="1">
    <w:name w:val="样式1"/>
    <w:basedOn w:val="712"/>
    <w:uiPriority w:val="0"/>
    <w:qFormat/>
    <w:pPr>
      <w:numPr>
        <w:ilvl w:val="0"/>
        <w:numId w:val="3"/>
      </w:numPr>
    </w:pPr>
    <w:rPr>
      <w:rFonts w:ascii="宋体" w:hAnsi="宋体"/>
      <w:szCs w:val="21"/>
    </w:rPr>
  </w:style>
  <w:style w:type="paragraph" w:styleId="970"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971"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974"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6"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977"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8"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979"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980" w:customStyle="1">
    <w:name w:val="Char Char Char Char1"/>
    <w:basedOn w:val="731"/>
    <w:uiPriority w:val="0"/>
    <w:qFormat/>
    <w:pPr>
      <w:spacing w:line="360" w:lineRule="auto"/>
    </w:pPr>
    <w:rPr>
      <w:rFonts w:ascii="Tahoma" w:hAnsi="Tahoma"/>
      <w:sz w:val="24"/>
      <w:szCs w:val="24"/>
    </w:rPr>
  </w:style>
  <w:style w:type="paragraph" w:styleId="981" w:customStyle="1">
    <w:name w:val="table_1stline"/>
    <w:basedOn w:val="712"/>
    <w:uiPriority w:val="0"/>
    <w:qFormat/>
    <w:pPr>
      <w:jc w:val="left"/>
      <w:spacing w:before="120"/>
      <w:widowControl/>
    </w:pPr>
    <w:rPr>
      <w:bCs/>
      <w:sz w:val="20"/>
      <w:szCs w:val="20"/>
      <w:lang w:val="de-DE" w:eastAsia="de-DE"/>
    </w:rPr>
  </w:style>
  <w:style w:type="paragraph" w:styleId="982"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983"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customStyle="1">
    <w:name w:val="修订1"/>
    <w:uiPriority w:val="99"/>
    <w:semiHidden/>
    <w:qFormat/>
    <w:rPr>
      <w:rFonts w:ascii="Times New Roman" w:hAnsi="Times New Roman" w:eastAsia="宋体" w:cs="Times New Roman"/>
      <w:sz w:val="21"/>
      <w:szCs w:val="21"/>
      <w:lang w:val="en-US" w:eastAsia="zh-CN" w:bidi="ar-SA"/>
    </w:rPr>
  </w:style>
  <w:style w:type="table" w:styleId="985" w:customStyle="1">
    <w:name w:val="Table Normal"/>
    <w:uiPriority w:val="0"/>
    <w:qFormat/>
    <w:tblPr>
      <w:tblCellMar>
        <w:left w:w="0" w:type="dxa"/>
        <w:top w:w="0" w:type="dxa"/>
        <w:right w:w="0" w:type="dxa"/>
        <w:bottom w:w="0" w:type="dxa"/>
      </w:tblCellMar>
    </w:tblPr>
  </w:style>
  <w:style w:type="paragraph" w:styleId="986" w:customStyle="1">
    <w:name w:val="正文文本 211"/>
    <w:basedOn w:val="712"/>
    <w:uiPriority w:val="99"/>
    <w:qFormat/>
    <w:pPr>
      <w:jc w:val="center"/>
    </w:pPr>
    <w:rPr>
      <w:b/>
      <w:bCs/>
      <w:sz w:val="20"/>
      <w:szCs w:val="20"/>
    </w:rPr>
  </w:style>
  <w:style w:type="paragraph" w:styleId="987" w:customStyle="1">
    <w:name w:val="正文文本12"/>
    <w:basedOn w:val="712"/>
    <w:uiPriority w:val="1"/>
    <w:qFormat/>
    <w:pPr>
      <w:ind w:left="120"/>
    </w:pPr>
    <w:rPr>
      <w:rFonts w:ascii="宋体" w:hAnsi="宋体" w:cs="宋体"/>
      <w:szCs w:val="21"/>
      <w:lang w:val="zh-CN" w:bidi="zh-CN"/>
    </w:rPr>
  </w:style>
  <w:style w:type="paragraph" w:styleId="988" w:customStyle="1">
    <w:name w:val="Table Text"/>
    <w:basedOn w:val="712"/>
    <w:uiPriority w:val="0"/>
    <w:semiHidden/>
    <w:qFormat/>
    <w:pPr>
      <w:ind w:left="44" w:right="44"/>
      <w:spacing w:line="280" w:lineRule="exact"/>
    </w:pPr>
    <w:rPr>
      <w:rFonts w:ascii="宋体" w:hAnsi="宋体" w:cs="宋体"/>
      <w:lang w:eastAsia="en-US"/>
    </w:rPr>
  </w:style>
  <w:style w:type="paragraph" w:styleId="989" w:customStyle="1">
    <w:name w:val="正文缩进t"/>
    <w:basedOn w:val="712"/>
    <w:uiPriority w:val="0"/>
    <w:qFormat/>
    <w:pPr>
      <w:ind w:firstLine="200"/>
    </w:pPr>
  </w:style>
  <w:style w:type="table" w:styleId="990" w:customStyle="1">
    <w:name w:val="网格型1"/>
    <w:basedOn w:val="723"/>
    <w:uiPriority w:val="59"/>
    <w:qFormat/>
    <w:rPr>
      <w:rFonts w:ascii="Times New Roman" w:hAnsi="Times New Roman" w:eastAsia="宋体"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1" w:customStyle="1">
    <w:name w:val="正文文本缩进11"/>
    <w:basedOn w:val="712"/>
    <w:next w:val="992"/>
    <w:uiPriority w:val="0"/>
    <w:unhideWhenUsed/>
    <w:qFormat/>
    <w:pPr>
      <w:ind w:left="420"/>
      <w:spacing w:after="120"/>
    </w:pPr>
  </w:style>
  <w:style w:type="paragraph" w:styleId="992" w:customStyle="1">
    <w:name w:val="正文首行缩进 211"/>
    <w:basedOn w:val="991"/>
    <w:uiPriority w:val="0"/>
    <w:qFormat/>
    <w:pPr>
      <w:ind w:left="0" w:firstLine="420"/>
      <w:spacing w:after="0" w:line="360" w:lineRule="auto"/>
    </w:pPr>
    <w:rPr>
      <w:rFonts w:ascii="宋体" w:hAnsi="宋体" w:eastAsia="宋体" w:cs="Times New Roman"/>
      <w:szCs w:val="20"/>
    </w:rPr>
  </w:style>
  <w:style w:type="paragraph" w:styleId="993" w:customStyle="1">
    <w:name w:val="普通(网站)1"/>
    <w:basedOn w:val="712"/>
    <w:uiPriority w:val="99"/>
    <w:qFormat/>
    <w:pPr>
      <w:jc w:val="left"/>
      <w:spacing w:before="100" w:beforeAutospacing="1" w:after="100" w:afterAutospacing="1"/>
      <w:widowControl/>
    </w:pPr>
    <w:rPr>
      <w:rFonts w:ascii="宋体" w:hAnsi="宋体" w:eastAsia="宋体" w:cs="宋体"/>
      <w:sz w:val="24"/>
      <w:szCs w:val="24"/>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88067-0D45-4B50-9548-D0C8496510CD}"/>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苏建</cp:lastModifiedBy>
  <cp:revision>12</cp:revision>
  <dcterms:created xsi:type="dcterms:W3CDTF">2023-03-29T07:28:00Z</dcterms:created>
  <dcterms:modified xsi:type="dcterms:W3CDTF">2026-04-23T03:18:13Z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D1D4BAE37F504C61871D2630A5ACC7BA_13</vt:lpwstr>
  </property>
  <property fmtid="{D5CDD505-2E9C-101B-9397-08002B2CF9AE}" pid="4" name="KSOTemplateDocerSaveRecord">
    <vt:lpwstr>eyJoZGlkIjoiZTlmYWJjMWJkNTNjMTI1Zjk2YWMwOWI0YTBlODJlNjEiLCJ1c2VySWQiOiI0MjMwMzYwMDkifQ==</vt:lpwstr>
  </property>
</Properties>
</file>