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770"/>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770"/>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0"/>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70"/>
              <w:ind w:firstLine="883"/>
              <w:spacing w:line="360" w:lineRule="auto"/>
              <w:rPr>
                <w:rFonts w:hint="eastAsia" w:ascii="宋体" w:hAnsi="宋体" w:eastAsia="宋体" w:cs="宋体"/>
                <w:b/>
                <w:bCs/>
                <w:color w:val="000000"/>
                <w:sz w:val="44"/>
                <w:highlight w:val="none"/>
                <w:lang w:eastAsia="zh-CN"/>
              </w:rPr>
            </w:pPr>
            <w:r>
              <w:rPr>
                <w:rFonts w:hint="eastAsia" w:ascii="宋体" w:hAnsi="宋体" w:cs="宋体"/>
                <w:b/>
                <w:bCs/>
                <w:color w:val="000000"/>
                <w:sz w:val="44"/>
                <w:highlight w:val="none"/>
              </w:rPr>
              <w:t xml:space="preserve">项目编号：</w:t>
            </w:r>
            <w:r>
              <w:rPr>
                <w:rFonts w:hint="eastAsia" w:ascii="宋体" w:hAnsi="宋体" w:eastAsia="宋体" w:cs="宋体"/>
                <w:b/>
                <w:bCs/>
                <w:color w:val="000000"/>
                <w:sz w:val="44"/>
                <w:highlight w:val="none"/>
                <w:lang w:val="zh-CN"/>
              </w:rPr>
              <w:t xml:space="preserve">JSZC-320100-JYXJ-G2026-000</w:t>
            </w:r>
            <w:r>
              <w:rPr>
                <w:rFonts w:hint="eastAsia" w:ascii="宋体" w:hAnsi="宋体" w:eastAsia="宋体" w:cs="宋体"/>
                <w:b/>
                <w:bCs/>
                <w:color w:val="000000"/>
                <w:sz w:val="44"/>
                <w:highlight w:val="none"/>
                <w:lang w:val="en-US" w:eastAsia="zh-CN"/>
              </w:rPr>
              <w:t xml:space="preserve">2</w:t>
            </w:r>
            <w:r>
              <w:rPr>
                <w:rFonts w:hint="eastAsia" w:ascii="宋体" w:hAnsi="宋体" w:eastAsia="宋体" w:cs="宋体"/>
                <w:b/>
                <w:bCs/>
                <w:color w:val="000000"/>
                <w:sz w:val="44"/>
                <w:highlight w:val="none"/>
                <w:lang w:eastAsia="zh-CN"/>
              </w:rPr>
            </w:r>
            <w:r/>
          </w:p>
          <w:p>
            <w:pPr>
              <w:pStyle w:val="770"/>
              <w:ind w:left="3087" w:hanging="2209"/>
              <w:spacing w:line="288" w:lineRule="auto"/>
              <w:widowControl/>
              <w:rPr>
                <w:rFonts w:hint="eastAsia" w:ascii="宋体" w:hAnsi="宋体" w:cs="宋体"/>
                <w:b/>
                <w:bCs/>
                <w:color w:val="000000"/>
                <w:sz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江北新区滨江实验学校工程（南外）结算审核咨询服务</w:t>
            </w:r>
            <w:r>
              <w:rPr>
                <w:rFonts w:hint="eastAsia" w:ascii="宋体" w:hAnsi="宋体" w:cs="宋体"/>
                <w:b/>
                <w:bCs/>
                <w:color w:val="000000"/>
                <w:sz w:val="44"/>
                <w:highlight w:val="none"/>
                <w:lang w:val="zh-CN"/>
              </w:rPr>
            </w:r>
            <w:r/>
          </w:p>
          <w:p>
            <w:pPr>
              <w:pStyle w:val="852"/>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0"/>
              <w:ind w:left="3087" w:hanging="2209"/>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tc>
      </w:tr>
    </w:tbl>
    <w:p>
      <w:pPr>
        <w:pStyle w:val="770"/>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0"/>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0"/>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0"/>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0"/>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770"/>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代理机构：益嘉新建设咨询（南京）有限公司</w:t>
      </w:r>
      <w:r>
        <w:rPr>
          <w:rFonts w:hint="eastAsia" w:ascii="宋体" w:hAnsi="宋体" w:cs="宋体"/>
          <w:b/>
          <w:bCs/>
          <w:color w:val="000000"/>
          <w:sz w:val="32"/>
          <w:szCs w:val="32"/>
          <w:highlight w:val="none"/>
        </w:rPr>
      </w:r>
      <w:r/>
    </w:p>
    <w:p>
      <w:pPr>
        <w:pStyle w:val="770"/>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日    期：二〇二六年</w:t>
      </w:r>
      <w:r>
        <w:rPr>
          <w:rFonts w:hint="eastAsia" w:ascii="宋体" w:hAnsi="宋体" w:cs="宋体"/>
          <w:b/>
          <w:bCs/>
          <w:color w:val="000000"/>
          <w:sz w:val="32"/>
          <w:szCs w:val="32"/>
          <w:highlight w:val="none"/>
          <w:lang w:val="en-US" w:eastAsia="zh-CN"/>
        </w:rPr>
        <w:t xml:space="preserve">五</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rPr>
      </w:r>
      <w:r/>
    </w:p>
    <w:p>
      <w:pPr>
        <w:pStyle w:val="770"/>
        <w:jc w:val="left"/>
        <w:spacing w:line="360" w:lineRule="auto"/>
        <w:rPr>
          <w:rFonts w:hint="eastAsia" w:ascii="宋体" w:hAnsi="宋体" w:cs="宋体"/>
          <w:b/>
          <w:bCs/>
          <w:color w:val="000000"/>
          <w:sz w:val="44"/>
          <w:szCs w:val="22"/>
          <w:highlight w:val="none"/>
        </w:rPr>
      </w:pPr>
      <w:r>
        <w:rPr>
          <w:rFonts w:hint="eastAsia" w:ascii="宋体" w:hAnsi="宋体" w:cs="宋体"/>
          <w:b/>
          <w:bCs/>
          <w:color w:val="000000"/>
          <w:sz w:val="44"/>
          <w:szCs w:val="22"/>
          <w:highlight w:val="none"/>
        </w:rPr>
      </w:r>
      <w:r/>
    </w:p>
    <w:p>
      <w:pPr>
        <w:pStyle w:val="770"/>
        <w:jc w:val="center"/>
        <w:rPr>
          <w:rFonts w:hint="eastAsia" w:ascii="宋体" w:hAnsi="宋体" w:cs="宋体"/>
          <w:color w:val="000000"/>
          <w:highlight w:val="none"/>
        </w:rPr>
      </w:pPr>
      <w:r>
        <w:rPr>
          <w:rFonts w:hint="eastAsia" w:ascii="宋体" w:hAnsi="宋体" w:cs="宋体"/>
          <w:color w:val="000000"/>
          <w:highlight w:val="none"/>
        </w:rPr>
      </w:r>
      <w:r/>
    </w:p>
    <w:p>
      <w:pPr>
        <w:pStyle w:val="770"/>
        <w:jc w:val="center"/>
        <w:rPr>
          <w:rFonts w:hint="eastAsia" w:ascii="宋体" w:hAnsi="宋体" w:cs="宋体"/>
          <w:b/>
          <w:bCs/>
          <w:color w:val="000000"/>
          <w:sz w:val="48"/>
          <w:szCs w:val="48"/>
          <w:highlight w:val="none"/>
        </w:rPr>
      </w:pPr>
      <w:r>
        <w:rPr>
          <w:rFonts w:hint="eastAsia" w:ascii="宋体" w:hAnsi="宋体" w:cs="宋体"/>
          <w:b/>
          <w:bCs/>
          <w:color w:val="000000"/>
          <w:sz w:val="48"/>
          <w:szCs w:val="48"/>
          <w:highlight w:val="none"/>
        </w:rPr>
        <w:t xml:space="preserve">目录</w:t>
      </w:r>
      <w:r>
        <w:rPr>
          <w:rFonts w:hint="eastAsia" w:ascii="宋体" w:hAnsi="宋体" w:cs="宋体"/>
          <w:b/>
          <w:bCs/>
          <w:color w:val="000000"/>
          <w:sz w:val="48"/>
          <w:szCs w:val="48"/>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TOC \o "1-3" \h \u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_Toc32121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t xml:space="preserve">第一章  投标邀请</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_Toc32121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_Toc16202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一、项目基本情况：</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_Toc16202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_Toc13208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二、申请人的资格要求：</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_Toc13208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_Toc27996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三、获取招标文件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_Toc27996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_Toc28722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四、提交投标文件开始时间、开标时间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_Toc28722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_Toc15034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五、开启</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_Toc15034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_Toc30646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六、公告期限</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_Toc30646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_Toc27129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七、其他补充事宜</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_Toc27129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_Toc23226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八、对本次招标提出询问，请按以下方式联系</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_Toc23226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_Toc10311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t xml:space="preserve">第二章 供应商须知</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_Toc10311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_Toc15587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bidi="ar"/>
        </w:rPr>
        <w:t xml:space="preserve">一、总 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_Toc15587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_Toc12601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bidi="ar"/>
        </w:rPr>
        <w:t xml:space="preserve">二、招标文件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_Toc12601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11"/>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_Toc32741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bidi="ar"/>
        </w:rPr>
        <w:t xml:space="preserve">三、投标</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_Toc32741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_Toc2627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lang w:val="zh-CN"/>
        </w:rPr>
        <w:t xml:space="preserve">四、开标、评标与确定中标供应商</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_Toc2627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16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_Toc23479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五、签订合同</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_Toc23479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_Toc23205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六、质疑和投诉</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_Toc23205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_Toc29996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第三章</w:t>
      </w:r>
      <w:r>
        <w:rPr>
          <w:rFonts w:hint="eastAsia" w:ascii="宋体" w:hAnsi="宋体" w:cs="宋体"/>
          <w:bCs/>
          <w:color w:val="000000"/>
          <w:spacing w:val="-10"/>
          <w:sz w:val="24"/>
          <w:szCs w:val="24"/>
          <w:highlight w:val="none"/>
        </w:rPr>
        <w:t xml:space="preserve">   </w:t>
      </w:r>
      <w:r>
        <w:rPr>
          <w:rFonts w:hint="eastAsia" w:ascii="宋体" w:hAnsi="宋体" w:cs="宋体"/>
          <w:bCs/>
          <w:color w:val="000000"/>
          <w:spacing w:val="-10"/>
          <w:sz w:val="24"/>
          <w:szCs w:val="24"/>
          <w:highlight w:val="none"/>
          <w:lang w:val="zh-CN"/>
        </w:rPr>
        <w:t xml:space="preserve">评标方法和标准</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_Toc29996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_Toc19476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一、采用综合评分法</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_Toc19476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_Toc20113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二、综合评分法评审评分细则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_Toc20113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_Toc368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rPr>
        <w:t xml:space="preserve">第四章 采购项目技术、规格和数量要求等</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_Toc368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_Toc2560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pacing w:val="-10"/>
          <w:sz w:val="24"/>
          <w:szCs w:val="24"/>
          <w:highlight w:val="none"/>
          <w:lang w:val="zh-CN"/>
        </w:rPr>
        <w:t xml:space="preserve">第五章  合同主要条款及格式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_Toc2560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33</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_Toc23607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第一部分 建设工程造价咨询协议书</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_Toc23607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_Toc29577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第二部分 通用条款</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_Toc29577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37</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_Toc20129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rPr>
        <w:t xml:space="preserve">第三部分 专用条款</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_Toc20129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46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_Toc14687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_Toc14687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51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26"/>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_Toc10117 </w:instrText>
      </w:r>
      <w:r>
        <w:rPr>
          <w:rFonts w:hint="eastAsia" w:ascii="宋体" w:hAnsi="宋体" w:cs="宋体"/>
          <w:bCs/>
          <w:color w:val="000000"/>
          <w:spacing w:val="-10"/>
          <w:sz w:val="24"/>
          <w:szCs w:val="24"/>
          <w:highlight w:val="none"/>
        </w:rPr>
        <w:fldChar w:fldCharType="separate"/>
      </w:r>
      <w:r>
        <w:rPr>
          <w:rFonts w:hint="eastAsia" w:ascii="宋体" w:hAnsi="宋体" w:cs="宋体"/>
          <w:bCs/>
          <w:color w:val="000000"/>
          <w:sz w:val="24"/>
          <w:szCs w:val="24"/>
          <w:highlight w:val="none"/>
          <w:lang w:val="zh-CN"/>
        </w:rPr>
        <w:t xml:space="preserve">第六章 </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格式及附件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_Toc10117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_Toc10918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附件一、投标申请及声明格式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_Toc10918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67</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_Toc28277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附件二、法定代表人授权书格式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_Toc28277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68</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_Toc22948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附件三、开标一览表格式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_Toc22948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69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_Toc22965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附件四、</w:t>
      </w:r>
      <w:r>
        <w:rPr>
          <w:rFonts w:hint="eastAsia" w:ascii="宋体" w:hAnsi="宋体" w:cs="宋体"/>
          <w:color w:val="000000"/>
          <w:sz w:val="24"/>
          <w:szCs w:val="24"/>
          <w:highlight w:val="none"/>
        </w:rPr>
        <w:t xml:space="preserve">分项报价表格式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_Toc22965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70</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_Toc9298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附件五、</w:t>
      </w:r>
      <w:r>
        <w:rPr>
          <w:rFonts w:hint="eastAsia" w:ascii="宋体" w:hAnsi="宋体" w:cs="宋体"/>
          <w:color w:val="000000"/>
          <w:sz w:val="24"/>
          <w:szCs w:val="24"/>
          <w:highlight w:val="none"/>
        </w:rPr>
        <w:t xml:space="preserve">商务条款偏离表格式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_Toc9298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_Toc29950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lang w:val="zh-CN"/>
        </w:rPr>
        <w:t xml:space="preserve">附件六、</w:t>
      </w:r>
      <w:r>
        <w:rPr>
          <w:rFonts w:hint="eastAsia" w:ascii="宋体" w:hAnsi="宋体" w:cs="宋体"/>
          <w:color w:val="000000"/>
          <w:sz w:val="24"/>
          <w:szCs w:val="24"/>
          <w:highlight w:val="none"/>
        </w:rPr>
        <w:t xml:space="preserve">技术条款偏离表格式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_Toc29950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_Toc32419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附件七、项目组人员一览表</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_Toc32419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73</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_Toc1827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附件八、参加本项目实施的主要组成人员资历表</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_Toc1827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74</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_Toc29706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附件九、项目实施方案</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_Toc29706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_Toc30225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附件十、服务与承诺</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_Toc30225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_Toc16885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附件十一、投标需要的其他证明文件及材料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_Toc16885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75</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_Toc9167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附件十二、中小企业声明函格式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_Toc9167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76</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_Toc15194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附件十三、无重大违法记录声明格式</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_Toc15194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77</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_Toc21599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附件十四、具备履行合同所必需的设备和专业技术能力的声明格式及证明材料</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_Toc21599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78</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_Toc26001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z w:val="24"/>
          <w:szCs w:val="24"/>
          <w:highlight w:val="none"/>
        </w:rPr>
        <w:t xml:space="preserve">附件十五、南京市政府采购供应商信用记录表暨信用承诺书</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_Toc26001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79</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_Toc27561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pacing w:val="15"/>
          <w:sz w:val="24"/>
          <w:szCs w:val="24"/>
          <w:highlight w:val="none"/>
        </w:rPr>
        <w:t xml:space="preserve">附件十六：</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_Toc27561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80</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_Toc265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pacing w:val="15"/>
          <w:sz w:val="24"/>
          <w:szCs w:val="24"/>
          <w:highlight w:val="none"/>
        </w:rPr>
        <w:t xml:space="preserve">附件十七、残疾人福利性单位声明函</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_Toc265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81</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839"/>
        <w:tabs>
          <w:tab w:val="right" w:pos="9070" w:leader="dot"/>
        </w:tabs>
        <w:rPr>
          <w:rFonts w:hint="eastAsia" w:ascii="宋体" w:hAnsi="宋体" w:cs="宋体"/>
          <w:color w:val="000000"/>
          <w:sz w:val="24"/>
          <w:szCs w:val="24"/>
          <w:highlight w:val="none"/>
        </w:rPr>
      </w:pPr>
      <w:r>
        <w:rPr>
          <w:rFonts w:hint="eastAsia" w:ascii="宋体" w:hAnsi="宋体" w:cs="宋体"/>
          <w:bCs/>
          <w:color w:val="000000"/>
          <w:spacing w:val="-10"/>
          <w:sz w:val="24"/>
          <w:szCs w:val="24"/>
          <w:highlight w:val="none"/>
        </w:rPr>
        <w:fldChar w:fldCharType="begin"/>
      </w:r>
      <w:r>
        <w:rPr>
          <w:rFonts w:hint="eastAsia" w:ascii="宋体" w:hAnsi="宋体" w:cs="宋体"/>
          <w:bCs/>
          <w:color w:val="000000"/>
          <w:spacing w:val="-10"/>
          <w:sz w:val="24"/>
          <w:szCs w:val="24"/>
          <w:highlight w:val="none"/>
        </w:rPr>
        <w:instrText xml:space="preserve"> HYPERLINK \l _Toc3042 </w:instrText>
      </w:r>
      <w:r>
        <w:rPr>
          <w:rFonts w:hint="eastAsia" w:ascii="宋体" w:hAnsi="宋体" w:cs="宋体"/>
          <w:bCs/>
          <w:color w:val="000000"/>
          <w:spacing w:val="-10"/>
          <w:sz w:val="24"/>
          <w:szCs w:val="24"/>
          <w:highlight w:val="none"/>
        </w:rPr>
        <w:fldChar w:fldCharType="separate"/>
      </w:r>
      <w:r>
        <w:rPr>
          <w:rFonts w:hint="eastAsia" w:ascii="宋体" w:hAnsi="宋体" w:cs="宋体"/>
          <w:color w:val="000000"/>
          <w:spacing w:val="15"/>
          <w:sz w:val="24"/>
          <w:szCs w:val="24"/>
          <w:highlight w:val="none"/>
        </w:rPr>
        <w:t xml:space="preserve">附件十八、属于监狱企业的证明文件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_Toc3042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82</w:t>
      </w:r>
      <w:r>
        <w:rPr>
          <w:rFonts w:hint="eastAsia" w:ascii="宋体" w:hAnsi="宋体" w:cs="宋体"/>
          <w:color w:val="000000"/>
          <w:sz w:val="24"/>
          <w:szCs w:val="24"/>
          <w:highlight w:val="none"/>
        </w:rPr>
        <w:fldChar w:fldCharType="end"/>
      </w:r>
      <w:r>
        <w:rPr>
          <w:rFonts w:hint="eastAsia" w:ascii="宋体" w:hAnsi="宋体" w:cs="宋体"/>
          <w:bCs/>
          <w:color w:val="000000"/>
          <w:spacing w:val="-10"/>
          <w:sz w:val="24"/>
          <w:szCs w:val="24"/>
          <w:highlight w:val="none"/>
        </w:rPr>
        <w:fldChar w:fldCharType="end"/>
      </w:r>
      <w:r>
        <w:rPr>
          <w:rFonts w:hint="eastAsia" w:ascii="宋体" w:hAnsi="宋体" w:cs="宋体"/>
          <w:color w:val="000000"/>
          <w:sz w:val="24"/>
          <w:szCs w:val="24"/>
          <w:highlight w:val="none"/>
        </w:rPr>
      </w:r>
      <w:r/>
    </w:p>
    <w:p>
      <w:pPr>
        <w:pStyle w:val="770"/>
        <w:jc w:val="left"/>
        <w:spacing w:line="360" w:lineRule="auto"/>
        <w:rPr>
          <w:rFonts w:hint="eastAsia" w:ascii="宋体" w:hAnsi="宋体" w:cs="宋体"/>
          <w:bCs/>
          <w:color w:val="000000"/>
          <w:spacing w:val="-10"/>
          <w:sz w:val="24"/>
          <w:szCs w:val="24"/>
          <w:highlight w:val="none"/>
        </w:rPr>
      </w:pPr>
      <w:r>
        <w:rPr>
          <w:rFonts w:hint="eastAsia" w:ascii="宋体" w:hAnsi="宋体" w:cs="宋体"/>
          <w:bCs/>
          <w:color w:val="000000"/>
          <w:spacing w:val="-10"/>
          <w:sz w:val="24"/>
          <w:szCs w:val="24"/>
          <w:highlight w:val="none"/>
        </w:rPr>
        <w:fldChar w:fldCharType="end"/>
      </w:r>
      <w:r>
        <w:rPr>
          <w:rFonts w:hint="eastAsia" w:ascii="宋体" w:hAnsi="宋体" w:cs="宋体"/>
          <w:bCs/>
          <w:color w:val="000000"/>
          <w:spacing w:val="-10"/>
          <w:sz w:val="24"/>
          <w:szCs w:val="24"/>
          <w:highlight w:val="none"/>
        </w:rPr>
      </w:r>
      <w:r/>
    </w:p>
    <w:p>
      <w:pPr>
        <w:pStyle w:val="770"/>
        <w:jc w:val="center"/>
        <w:spacing w:line="360" w:lineRule="auto"/>
        <w:rPr>
          <w:rFonts w:hint="eastAsia" w:ascii="宋体" w:hAnsi="宋体" w:cs="宋体"/>
          <w:bCs/>
          <w:color w:val="000000"/>
          <w:spacing w:val="-10"/>
          <w:szCs w:val="36"/>
          <w:highlight w:val="none"/>
        </w:rPr>
      </w:pPr>
      <w:r>
        <w:rPr>
          <w:rFonts w:hint="eastAsia" w:ascii="宋体" w:hAnsi="宋体" w:cs="宋体"/>
          <w:bCs/>
          <w:color w:val="000000"/>
          <w:spacing w:val="-10"/>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z w:val="36"/>
          <w:szCs w:val="36"/>
          <w:highlight w:val="none"/>
          <w:lang w:val="zh-CN"/>
        </w:rPr>
        <w:outlineLvl w:val="0"/>
      </w:pPr>
      <w:r/>
      <w:bookmarkStart w:id="0" w:name="_Toc32121"/>
      <w:r/>
      <w:bookmarkStart w:id="1" w:name="_Toc745"/>
      <w:r>
        <w:rPr>
          <w:rFonts w:hint="eastAsia" w:ascii="宋体" w:hAnsi="宋体" w:cs="宋体"/>
          <w:b/>
          <w:bCs/>
          <w:color w:val="000000"/>
          <w:spacing w:val="-10"/>
          <w:sz w:val="36"/>
          <w:szCs w:val="36"/>
          <w:highlight w:val="none"/>
        </w:rPr>
        <w:t xml:space="preserve">第一章  投标邀请</w:t>
      </w:r>
      <w:bookmarkEnd w:id="0"/>
      <w:r/>
      <w:bookmarkEnd w:id="1"/>
      <w:r>
        <w:rPr>
          <w:rFonts w:hint="eastAsia" w:ascii="宋体" w:hAnsi="宋体" w:cs="宋体"/>
          <w:b/>
          <w:bCs/>
          <w:color w:val="000000"/>
          <w:sz w:val="36"/>
          <w:szCs w:val="36"/>
          <w:highlight w:val="none"/>
          <w:lang w:val="zh-CN"/>
        </w:rPr>
      </w:r>
      <w:r/>
    </w:p>
    <w:p>
      <w:pPr>
        <w:pStyle w:val="770"/>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rPr>
        <w:t xml:space="preserve">南京市江北新区公共工程建设中心</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 江北新区滨江实验学校工程（南外）结算审核咨询服务</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770"/>
        <w:ind w:firstLine="482"/>
        <w:jc w:val="left"/>
        <w:spacing w:before="75" w:after="75" w:line="360" w:lineRule="auto"/>
        <w:shd w:val="clear" w:color="auto" w:fill="ffffff"/>
        <w:widowControl/>
        <w:rPr>
          <w:rFonts w:hint="eastAsia" w:ascii="宋体" w:hAnsi="宋体" w:cs="宋体"/>
          <w:color w:val="000000"/>
          <w:sz w:val="24"/>
          <w:szCs w:val="24"/>
          <w:highlight w:val="none"/>
        </w:rPr>
        <w:outlineLvl w:val="0"/>
      </w:pPr>
      <w:r/>
      <w:bookmarkStart w:id="2" w:name="_Toc6870"/>
      <w:r/>
      <w:bookmarkStart w:id="3" w:name="_Toc16202"/>
      <w:r>
        <w:rPr>
          <w:rFonts w:hint="eastAsia" w:ascii="宋体" w:hAnsi="宋体" w:cs="宋体"/>
          <w:b/>
          <w:bCs/>
          <w:color w:val="000000"/>
          <w:sz w:val="24"/>
          <w:szCs w:val="24"/>
          <w:highlight w:val="none"/>
        </w:rPr>
        <w:t xml:space="preserve">一、项目基本情况：</w:t>
      </w:r>
      <w:bookmarkEnd w:id="2"/>
      <w:r/>
      <w:bookmarkEnd w:id="3"/>
      <w:r>
        <w:rPr>
          <w:rFonts w:hint="eastAsia" w:ascii="宋体" w:hAnsi="宋体" w:cs="宋体"/>
          <w:color w:val="000000"/>
          <w:sz w:val="24"/>
          <w:szCs w:val="24"/>
          <w:highlight w:val="none"/>
        </w:rPr>
      </w:r>
      <w:r/>
    </w:p>
    <w:p>
      <w:pPr>
        <w:pStyle w:val="770"/>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zh-CN"/>
        </w:rPr>
        <w:t xml:space="preserve">1、项目编号：JSZC-320100-JYXJ-G2026-000</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2、项目名称：江北新区滨江实验学校工程（南外）结算审核咨询服务</w:t>
      </w:r>
      <w:r>
        <w:rPr>
          <w:rFonts w:hint="eastAsia" w:ascii="宋体" w:hAnsi="宋体" w:cs="宋体"/>
          <w:bCs/>
          <w:color w:val="000000"/>
          <w:sz w:val="24"/>
          <w:szCs w:val="24"/>
          <w:highlight w:val="none"/>
          <w:lang w:val="zh-CN"/>
        </w:rPr>
      </w:r>
      <w:r/>
    </w:p>
    <w:p>
      <w:pPr>
        <w:pStyle w:val="77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江北新区滨江实验学校工程（南外）结算审核咨询服务</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77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采购预算：270</w:t>
      </w:r>
      <w:r>
        <w:rPr>
          <w:rFonts w:hint="eastAsia" w:ascii="宋体" w:hAnsi="宋体" w:cs="宋体"/>
          <w:bCs/>
          <w:color w:val="000000"/>
          <w:sz w:val="24"/>
          <w:szCs w:val="24"/>
          <w:highlight w:val="none"/>
          <w:lang w:val="zh-CN"/>
        </w:rPr>
        <w:t xml:space="preserve">万元。</w:t>
      </w:r>
      <w:r>
        <w:rPr>
          <w:rFonts w:hint="eastAsia" w:ascii="宋体" w:hAnsi="宋体" w:cs="宋体"/>
          <w:bCs/>
          <w:color w:val="000000"/>
          <w:sz w:val="24"/>
          <w:szCs w:val="24"/>
          <w:highlight w:val="none"/>
          <w:lang w:val="zh-CN"/>
        </w:rPr>
      </w:r>
      <w:r/>
    </w:p>
    <w:p>
      <w:pPr>
        <w:pStyle w:val="770"/>
        <w:ind w:firstLine="482"/>
        <w:spacing w:line="360" w:lineRule="auto"/>
        <w:rPr>
          <w:rFonts w:ascii="宋体" w:hAnsi="宋体" w:eastAsia="宋体" w:cs="宋体"/>
          <w:b/>
          <w:bCs w:val="0"/>
          <w:color w:val="0000ff"/>
          <w:sz w:val="24"/>
          <w:szCs w:val="24"/>
          <w:highlight w:val="none"/>
          <w:lang w:val="en-US" w:eastAsia="zh-CN"/>
        </w:rPr>
      </w:pPr>
      <w:r>
        <w:rPr>
          <w:rFonts w:hint="eastAsia" w:ascii="宋体" w:hAnsi="宋体" w:cs="宋体"/>
          <w:b/>
          <w:color w:val="000000"/>
          <w:sz w:val="24"/>
          <w:szCs w:val="24"/>
          <w:highlight w:val="none"/>
        </w:rPr>
        <w:t xml:space="preserve">6、最高限价：</w:t>
      </w:r>
      <w:r>
        <w:rPr>
          <w:rFonts w:hint="eastAsia" w:ascii="宋体" w:hAnsi="宋体" w:cs="宋体"/>
          <w:b/>
          <w:color w:val="000000"/>
          <w:sz w:val="24"/>
          <w:szCs w:val="24"/>
          <w:highlight w:val="none"/>
        </w:rPr>
        <w:t xml:space="preserve">计费额暂按</w:t>
      </w:r>
      <w:r>
        <w:rPr>
          <w:rFonts w:hint="eastAsia" w:ascii="宋体" w:hAnsi="宋体" w:cs="宋体"/>
          <w:b/>
          <w:color w:val="000000"/>
          <w:sz w:val="24"/>
          <w:szCs w:val="24"/>
          <w:highlight w:val="none"/>
          <w:u w:val="single"/>
        </w:rPr>
        <w:t xml:space="preserve">91131.3800</w:t>
      </w:r>
      <w:r>
        <w:rPr>
          <w:rFonts w:hint="eastAsia" w:ascii="宋体" w:hAnsi="宋体" w:cs="宋体"/>
          <w:b/>
          <w:color w:val="000000"/>
          <w:sz w:val="24"/>
          <w:szCs w:val="24"/>
          <w:highlight w:val="none"/>
        </w:rPr>
        <w:t xml:space="preserve">万元计，结算审计服务参照</w:t>
      </w:r>
      <w:r>
        <w:rPr>
          <w:rFonts w:hint="eastAsia" w:ascii="宋体" w:hAnsi="宋体" w:cs="宋体"/>
          <w:b/>
          <w:bCs/>
          <w:color w:val="000000"/>
          <w:sz w:val="24"/>
          <w:szCs w:val="24"/>
          <w:highlight w:val="none"/>
        </w:rPr>
        <w:t xml:space="preserve">“苏价服[2014]383号文件”编号12栏收费标准×折扣率，基本收费与效益收费折扣率不得高于40%</w:t>
      </w:r>
      <w:r>
        <w:rPr>
          <w:rFonts w:hint="eastAsia" w:ascii="宋体" w:hAnsi="宋体" w:cs="宋体"/>
          <w:b/>
          <w:bCs/>
          <w:color w:val="000000"/>
          <w:sz w:val="24"/>
          <w:szCs w:val="24"/>
          <w:highlight w:val="none"/>
        </w:rPr>
        <w:t xml:space="preserve">，投标人报价超过最高限价的为无效报价，按照无效响应处理</w:t>
      </w:r>
      <w:r>
        <w:rPr>
          <w:rFonts w:ascii="宋体" w:hAnsi="宋体" w:eastAsia="宋体" w:cs="宋体"/>
          <w:b/>
          <w:bCs w:val="0"/>
          <w:color w:val="0000ff"/>
          <w:sz w:val="24"/>
          <w:szCs w:val="24"/>
          <w:highlight w:val="none"/>
          <w:lang w:val="en-US" w:eastAsia="zh-CN"/>
        </w:rPr>
      </w:r>
      <w:r/>
    </w:p>
    <w:p>
      <w:pPr>
        <w:pStyle w:val="77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5、合同履行期限：</w:t>
      </w:r>
      <w:r>
        <w:rPr>
          <w:rFonts w:hint="eastAsia" w:ascii="宋体" w:hAnsi="宋体" w:cs="宋体"/>
          <w:color w:val="000000"/>
          <w:sz w:val="24"/>
          <w:szCs w:val="24"/>
          <w:highlight w:val="none"/>
        </w:rPr>
        <w:t xml:space="preserve">自合同签订之日开始实施至出具正式报告经委托人审核通过并配合完成竣工决算审计工作止。</w:t>
      </w:r>
      <w:r>
        <w:rPr>
          <w:rFonts w:hint="eastAsia" w:ascii="宋体" w:hAnsi="宋体" w:cs="宋体"/>
          <w:bCs/>
          <w:color w:val="000000"/>
          <w:sz w:val="24"/>
          <w:szCs w:val="24"/>
          <w:highlight w:val="none"/>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770"/>
        <w:ind w:firstLine="482"/>
        <w:jc w:val="left"/>
        <w:spacing w:before="75" w:after="75" w:line="360" w:lineRule="auto"/>
        <w:shd w:val="clear" w:color="auto" w:fill="ffffff"/>
        <w:widowControl/>
        <w:rPr>
          <w:rFonts w:hint="eastAsia" w:ascii="宋体" w:hAnsi="宋体" w:cs="宋体"/>
          <w:b/>
          <w:bCs/>
          <w:color w:val="000000"/>
          <w:sz w:val="24"/>
          <w:szCs w:val="24"/>
          <w:highlight w:val="none"/>
        </w:rPr>
        <w:outlineLvl w:val="1"/>
      </w:pPr>
      <w:r/>
      <w:bookmarkStart w:id="4" w:name="_Toc35393630"/>
      <w:r/>
      <w:bookmarkStart w:id="5" w:name="_Toc35393799"/>
      <w:r/>
      <w:bookmarkStart w:id="6" w:name="_Toc28359013"/>
      <w:r/>
      <w:bookmarkStart w:id="7" w:name="_Toc13208"/>
      <w:r/>
      <w:bookmarkStart w:id="8" w:name="_Toc31154"/>
      <w:r/>
      <w:bookmarkStart w:id="9" w:name="_Toc28359090"/>
      <w:r>
        <w:rPr>
          <w:rFonts w:hint="eastAsia" w:ascii="宋体" w:hAnsi="宋体" w:cs="宋体"/>
          <w:b/>
          <w:bCs/>
          <w:color w:val="000000"/>
          <w:sz w:val="24"/>
          <w:szCs w:val="24"/>
          <w:highlight w:val="none"/>
        </w:rPr>
        <w:t xml:space="preserve">二、申请人的资格要求：</w:t>
      </w:r>
      <w:bookmarkEnd w:id="4"/>
      <w:r/>
      <w:bookmarkEnd w:id="5"/>
      <w:r/>
      <w:bookmarkEnd w:id="6"/>
      <w:r/>
      <w:bookmarkEnd w:id="7"/>
      <w:r/>
      <w:bookmarkEnd w:id="8"/>
      <w:r/>
      <w:bookmarkEnd w:id="9"/>
      <w:r>
        <w:rPr>
          <w:rFonts w:hint="eastAsia" w:ascii="宋体" w:hAnsi="宋体" w:cs="宋体"/>
          <w:b/>
          <w:bCs/>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（1）具有独立承担民事责任的能力；《提供南京市政府采购供应商信用记录表暨信用承诺书》</w:t>
      </w:r>
      <w:r>
        <w:rPr>
          <w:rFonts w:hint="eastAsia" w:ascii="宋体" w:hAnsi="宋体" w:cs="宋体"/>
          <w:bCs/>
          <w:color w:val="000000"/>
          <w:sz w:val="24"/>
          <w:szCs w:val="24"/>
          <w:highlight w:val="none"/>
          <w:lang w:val="zh-CN"/>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（2）具有良好的商业信誉和健全的财务会计制度；《提供南京市政府采购供应商信用记录表暨信用承诺书》</w:t>
      </w:r>
      <w:r>
        <w:rPr>
          <w:rFonts w:hint="eastAsia" w:ascii="宋体" w:hAnsi="宋体" w:cs="宋体"/>
          <w:bCs/>
          <w:color w:val="000000"/>
          <w:sz w:val="24"/>
          <w:szCs w:val="24"/>
          <w:highlight w:val="none"/>
          <w:lang w:val="zh-CN"/>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（3）具有履行合同所必需的设备和专业技术能力；《提供南京市政府采购供应商信用记录表暨信用承诺书》</w:t>
      </w:r>
      <w:r>
        <w:rPr>
          <w:rFonts w:hint="eastAsia" w:ascii="宋体" w:hAnsi="宋体" w:cs="宋体"/>
          <w:bCs/>
          <w:color w:val="000000"/>
          <w:sz w:val="24"/>
          <w:szCs w:val="24"/>
          <w:highlight w:val="none"/>
          <w:lang w:val="zh-CN"/>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（4）有依法缴纳税收和社会保障资金的良好记录；《提供南京市政府采购供应商信用记录表暨信用承诺书》</w:t>
      </w:r>
      <w:r>
        <w:rPr>
          <w:rFonts w:hint="eastAsia" w:ascii="宋体" w:hAnsi="宋体" w:cs="宋体"/>
          <w:bCs/>
          <w:color w:val="000000"/>
          <w:sz w:val="24"/>
          <w:szCs w:val="24"/>
          <w:highlight w:val="none"/>
          <w:lang w:val="zh-CN"/>
        </w:rPr>
      </w:r>
      <w:r/>
    </w:p>
    <w:p>
      <w:pPr>
        <w:pStyle w:val="770"/>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（5）参加政府采购活动前三年内，在经营活动中没有重大违法记录；《提供南京市政府采购供应商信用记录表暨信用承诺书》</w:t>
      </w:r>
      <w:r>
        <w:rPr>
          <w:rFonts w:hint="eastAsia" w:ascii="宋体" w:hAnsi="宋体" w:cs="宋体"/>
          <w:bCs/>
          <w:color w:val="000000"/>
          <w:sz w:val="24"/>
          <w:szCs w:val="24"/>
          <w:highlight w:val="none"/>
          <w:lang w:val="zh-CN"/>
        </w:rPr>
      </w:r>
      <w:r/>
    </w:p>
    <w:p>
      <w:pPr>
        <w:pStyle w:val="770"/>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10"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cs="宋体"/>
          <w:bCs/>
          <w:color w:val="000000"/>
          <w:sz w:val="24"/>
          <w:szCs w:val="24"/>
          <w:highlight w:val="none"/>
          <w:lang w:bidi="ar"/>
        </w:rPr>
        <w:t xml:space="preserve"> </w:t>
      </w:r>
      <w:r>
        <w:rPr>
          <w:rFonts w:hint="eastAsia" w:ascii="宋体" w:hAnsi="宋体" w:cs="宋体"/>
          <w:color w:val="000000"/>
          <w:sz w:val="24"/>
          <w:szCs w:val="24"/>
          <w:highlight w:val="none"/>
        </w:rPr>
      </w:r>
      <w:r/>
    </w:p>
    <w:p>
      <w:pPr>
        <w:pStyle w:val="1172"/>
        <w:ind w:firstLine="482"/>
        <w:spacing w:line="360" w:lineRule="auto"/>
        <w:rPr>
          <w:rFonts w:hint="eastAsia" w:hAnsi="宋体"/>
          <w:b/>
          <w:bCs/>
          <w:color w:val="000000"/>
          <w:highlight w:val="none"/>
          <w:lang w:val="zh-CN"/>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lang w:val="zh-CN"/>
        </w:rPr>
      </w:r>
      <w:r/>
    </w:p>
    <w:p>
      <w:pPr>
        <w:pStyle w:val="770"/>
        <w:ind w:firstLine="480"/>
        <w:jc w:val="left"/>
        <w:spacing w:line="360" w:lineRule="auto"/>
        <w:tabs>
          <w:tab w:val="left" w:pos="37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（1）供应商应当具备特定行业的法定准入要求：</w:t>
      </w:r>
      <w:r>
        <w:rPr>
          <w:rFonts w:hint="eastAsia" w:ascii="宋体" w:hAnsi="宋体" w:cs="宋体"/>
          <w:color w:val="000000"/>
          <w:sz w:val="24"/>
          <w:szCs w:val="24"/>
          <w:highlight w:val="none"/>
        </w:rPr>
      </w:r>
      <w:r/>
    </w:p>
    <w:p>
      <w:pPr>
        <w:pStyle w:val="770"/>
        <w:ind w:firstLine="480"/>
        <w:jc w:val="left"/>
        <w:spacing w:line="360" w:lineRule="auto"/>
        <w:tabs>
          <w:tab w:val="left" w:pos="37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①投标人具有独立签订合同的能力，具有独立法人资格（提供营业执照，以扫描件形式上传至电子投标文件中）。</w:t>
      </w:r>
      <w:r>
        <w:rPr>
          <w:rFonts w:hint="eastAsia" w:ascii="宋体" w:hAnsi="宋体" w:cs="宋体"/>
          <w:color w:val="000000"/>
          <w:sz w:val="24"/>
          <w:szCs w:val="24"/>
          <w:highlight w:val="none"/>
        </w:rPr>
      </w:r>
      <w:r/>
    </w:p>
    <w:p>
      <w:pPr>
        <w:pStyle w:val="770"/>
        <w:ind w:firstLine="480"/>
        <w:jc w:val="left"/>
        <w:spacing w:line="360" w:lineRule="auto"/>
        <w:tabs>
          <w:tab w:val="left" w:pos="37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②项目负责人具有国家注册造价工程师（土建专业或安装专业）或国家注册一级造价工程师资格（土建专业或安装专业）（提供有效证书，以扫描件形式上传至电子投标文件中）。</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投标人须提供拟投入本项目的项目负责人与投标人签订的有效劳动合同及社保机构出具的（2025年11月-2026年4月）投标人为其缴纳的养老保险缴费证明材料，以扫描件形式上传至电子投标文件中，（劳动保障部门出具的社保证明材料，须加盖社保中心章或社保中心参保缴费证明电子专用章）。若项目负责人属企业退休人员、现役军人等客观原因无法提供养老保险金缴费证明，必须出具相关证明材料，否则一律按未提供养老保险金缴费证明材料处理。</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b/>
          <w:color w:val="000000"/>
          <w:sz w:val="24"/>
          <w:szCs w:val="24"/>
          <w:highlight w:val="none"/>
        </w:rPr>
        <w:t xml:space="preserve">拒绝下述供应商参加本次采购活动：</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（3）供应商被“信用中国”网站、“中国政府采购网”网站列入失信执行人、重大税收违法案件当事人名单、政府采购严重违法失信行为记录名单。</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1172"/>
        <w:ind w:firstLine="482"/>
        <w:spacing w:line="360" w:lineRule="auto"/>
        <w:rPr>
          <w:rFonts w:hint="eastAsia" w:hAnsi="宋体"/>
          <w:b/>
          <w:color w:val="000000"/>
          <w:highlight w:val="none"/>
        </w:rPr>
        <w:outlineLvl w:val="1"/>
      </w:pPr>
      <w:r/>
      <w:bookmarkStart w:id="11" w:name="_Toc31712"/>
      <w:r/>
      <w:bookmarkStart w:id="12" w:name="_Toc27996"/>
      <w:r>
        <w:rPr>
          <w:rFonts w:hint="eastAsia" w:hAnsi="宋体"/>
          <w:b/>
          <w:color w:val="000000"/>
          <w:highlight w:val="none"/>
        </w:rPr>
        <w:t xml:space="preserve">三、获取招标文件</w:t>
      </w:r>
      <w:bookmarkEnd w:id="11"/>
      <w:r/>
      <w:bookmarkEnd w:id="12"/>
      <w:r>
        <w:rPr>
          <w:rFonts w:hint="eastAsia" w:hAnsi="宋体"/>
          <w:b/>
          <w:color w:val="000000"/>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770"/>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770"/>
        <w:ind w:firstLine="482"/>
        <w:spacing w:line="360" w:lineRule="auto"/>
        <w:rPr>
          <w:rFonts w:hint="eastAsia" w:ascii="宋体" w:hAnsi="宋体" w:cs="宋体"/>
          <w:b/>
          <w:color w:val="000000"/>
          <w:sz w:val="24"/>
          <w:szCs w:val="24"/>
          <w:highlight w:val="none"/>
        </w:rPr>
        <w:outlineLvl w:val="1"/>
      </w:pPr>
      <w:r/>
      <w:bookmarkStart w:id="13" w:name="_Toc8452"/>
      <w:r/>
      <w:bookmarkStart w:id="14" w:name="_Toc28722"/>
      <w:r>
        <w:rPr>
          <w:rFonts w:hint="eastAsia" w:ascii="宋体" w:hAnsi="宋体" w:cs="宋体"/>
          <w:b/>
          <w:color w:val="000000"/>
          <w:sz w:val="24"/>
          <w:szCs w:val="24"/>
          <w:highlight w:val="none"/>
        </w:rPr>
        <w:t xml:space="preserve">四、提交投标文件开始时间、开标时间</w:t>
      </w:r>
      <w:bookmarkEnd w:id="13"/>
      <w:r/>
      <w:bookmarkEnd w:id="1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提交投标文件开始时间：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770"/>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提交投标文件截止时间及开标时间：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06</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16</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00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t xml:space="preserve">（北京时间）</w:t>
      </w:r>
      <w:r>
        <w:rPr>
          <w:rFonts w:hint="eastAsia" w:ascii="宋体" w:hAnsi="宋体" w:cs="宋体"/>
          <w:bCs/>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770"/>
        <w:ind w:firstLine="422"/>
        <w:spacing w:line="360" w:lineRule="auto"/>
        <w:shd w:val="clear" w:color="auto" w:fill="ffffff"/>
        <w:widowControl/>
        <w:rPr>
          <w:rFonts w:hint="eastAsia" w:ascii="宋体" w:hAnsi="宋体" w:cs="宋体"/>
          <w:b/>
          <w:bCs/>
          <w:color w:val="000000"/>
          <w:sz w:val="24"/>
          <w:szCs w:val="24"/>
          <w:highlight w:val="none"/>
        </w:rPr>
        <w:outlineLvl w:val="1"/>
      </w:pPr>
      <w:r/>
      <w:bookmarkStart w:id="15" w:name="_Toc15034"/>
      <w:r/>
      <w:bookmarkStart w:id="16" w:name="_Toc22212"/>
      <w:r>
        <w:rPr>
          <w:rFonts w:hint="eastAsia" w:ascii="宋体" w:hAnsi="宋体" w:cs="宋体"/>
          <w:b/>
          <w:bCs/>
          <w:color w:val="000000"/>
          <w:sz w:val="24"/>
          <w:szCs w:val="24"/>
          <w:highlight w:val="none"/>
        </w:rPr>
        <w:t xml:space="preserve">五、开启</w:t>
      </w:r>
      <w:bookmarkEnd w:id="15"/>
      <w:r/>
      <w:bookmarkEnd w:id="16"/>
      <w:r>
        <w:rPr>
          <w:rFonts w:hint="eastAsia" w:ascii="宋体" w:hAnsi="宋体" w:cs="宋体"/>
          <w:b/>
          <w:bCs/>
          <w:color w:val="000000"/>
          <w:sz w:val="24"/>
          <w:szCs w:val="24"/>
          <w:highlight w:val="none"/>
        </w:rPr>
      </w:r>
      <w:r/>
    </w:p>
    <w:p>
      <w:pPr>
        <w:pStyle w:val="770"/>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06</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16</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14</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00</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t xml:space="preserve">（北京时间）</w:t>
      </w:r>
      <w:r>
        <w:rPr>
          <w:rFonts w:hint="eastAsia" w:ascii="宋体" w:hAnsi="宋体" w:cs="宋体"/>
          <w:color w:val="000000"/>
          <w:spacing w:val="8"/>
          <w:sz w:val="24"/>
          <w:szCs w:val="24"/>
          <w:highlight w:val="none"/>
        </w:rPr>
      </w:r>
      <w:r/>
    </w:p>
    <w:p>
      <w:pPr>
        <w:pStyle w:val="770"/>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770"/>
        <w:ind w:firstLine="482"/>
        <w:spacing w:line="360" w:lineRule="auto"/>
        <w:rPr>
          <w:rFonts w:hint="eastAsia" w:ascii="宋体" w:hAnsi="宋体" w:cs="宋体"/>
          <w:b/>
          <w:color w:val="000000"/>
          <w:sz w:val="24"/>
          <w:szCs w:val="24"/>
          <w:highlight w:val="none"/>
        </w:rPr>
        <w:outlineLvl w:val="1"/>
      </w:pPr>
      <w:r/>
      <w:bookmarkStart w:id="17" w:name="_Toc30646"/>
      <w:r/>
      <w:bookmarkStart w:id="18" w:name="_Toc3442"/>
      <w:r>
        <w:rPr>
          <w:rFonts w:hint="eastAsia" w:ascii="宋体" w:hAnsi="宋体" w:cs="宋体"/>
          <w:b/>
          <w:color w:val="000000"/>
          <w:sz w:val="24"/>
          <w:szCs w:val="24"/>
          <w:highlight w:val="none"/>
        </w:rPr>
        <w:t xml:space="preserve">六、公告期限</w:t>
      </w:r>
      <w:bookmarkEnd w:id="17"/>
      <w:r/>
      <w:bookmarkEnd w:id="1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outlineLvl w:val="1"/>
      </w:pPr>
      <w:r/>
      <w:bookmarkStart w:id="19" w:name="_Toc19274"/>
      <w:r/>
      <w:bookmarkStart w:id="20" w:name="_Toc27129"/>
      <w:r>
        <w:rPr>
          <w:rFonts w:hint="eastAsia" w:ascii="宋体" w:hAnsi="宋体" w:cs="宋体"/>
          <w:b/>
          <w:color w:val="000000"/>
          <w:sz w:val="24"/>
          <w:szCs w:val="24"/>
          <w:highlight w:val="none"/>
        </w:rPr>
        <w:t xml:space="preserve">七、其他补充事宜</w:t>
      </w:r>
      <w:bookmarkEnd w:id="19"/>
      <w:r/>
      <w:bookmarkEnd w:id="20"/>
      <w:r>
        <w:rPr>
          <w:rFonts w:hint="eastAsia" w:ascii="宋体" w:hAnsi="宋体" w:cs="宋体"/>
          <w:b/>
          <w:color w:val="000000"/>
          <w:sz w:val="24"/>
          <w:szCs w:val="24"/>
          <w:highlight w:val="none"/>
        </w:rPr>
      </w:r>
      <w:r/>
    </w:p>
    <w:p>
      <w:pPr>
        <w:pStyle w:val="770"/>
        <w:ind w:firstLine="42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.本次采购采用“政府采购管理交易系统（苏采云）”，招标、投标、评标和中标结果发布全程电子化，</w:t>
      </w:r>
      <w:r>
        <w:rPr>
          <w:rFonts w:hint="eastAsia" w:ascii="宋体" w:hAnsi="宋体" w:cs="宋体"/>
          <w:color w:val="000000"/>
          <w:sz w:val="24"/>
          <w:szCs w:val="24"/>
          <w:highlight w:val="none"/>
          <w:lang w:val="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.潜在供应商访问政府采购管理交易系统（苏采云）的网络地址和方法：</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szCs w:val="24"/>
          <w:highlight w:val="none"/>
        </w:rPr>
      </w:r>
      <w:r/>
    </w:p>
    <w:p>
      <w:pPr>
        <w:pStyle w:val="770"/>
        <w:ind w:firstLine="42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（3）“CA</w:t>
      </w:r>
      <w:r>
        <w:rPr>
          <w:rFonts w:hint="eastAsia" w:ascii="宋体" w:hAnsi="宋体" w:cs="宋体"/>
          <w:color w:val="000000"/>
          <w:sz w:val="24"/>
          <w:szCs w:val="24"/>
          <w:highlight w:val="none"/>
          <w:lang w:val="zh-CN"/>
        </w:rPr>
        <w:t xml:space="preserve">数字证书</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的办理材料以及供应商操作手册详见</w:t>
      </w:r>
      <w:r>
        <w:rPr>
          <w:rFonts w:hint="eastAsia" w:ascii="宋体" w:hAnsi="宋体" w:cs="宋体"/>
          <w:color w:val="000000"/>
          <w:sz w:val="24"/>
          <w:szCs w:val="24"/>
          <w:highlight w:val="none"/>
        </w:rPr>
        <w:t xml:space="preserve">：http://jsxcmm.com/help/gys.html</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潜在供应商访问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苏采云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系统的网络地址和方法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苏采云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系统的网址</w:t>
      </w:r>
      <w:r>
        <w:rPr>
          <w:rFonts w:hint="eastAsia" w:ascii="宋体" w:hAnsi="宋体" w:cs="宋体"/>
          <w:color w:val="000000"/>
          <w:sz w:val="24"/>
          <w:szCs w:val="24"/>
          <w:highlight w:val="none"/>
        </w:rPr>
        <w:t xml:space="preserve">：http://jszfcg.jsczt.cn/jszc/login</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（6）招标代理机构（采购代理机构）将数据电文形式的采购文件加载至“苏采云”系统，供潜在供应商下载或者查阅。</w:t>
      </w:r>
      <w:r>
        <w:rPr>
          <w:rFonts w:hint="eastAsia" w:ascii="宋体" w:hAnsi="宋体" w:cs="宋体"/>
          <w:color w:val="000000"/>
          <w:sz w:val="24"/>
          <w:szCs w:val="24"/>
          <w:highlight w:val="none"/>
        </w:rPr>
      </w:r>
      <w:r/>
    </w:p>
    <w:p>
      <w:pPr>
        <w:pStyle w:val="770"/>
        <w:ind w:firstLine="425"/>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供应商诚信档案注册登记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按以下程序进行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供应商应尽早做好承诺工作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南京公共采购信息网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首页</w:t>
      </w:r>
      <w:r>
        <w:rPr>
          <w:rFonts w:hint="eastAsia" w:ascii="宋体" w:hAnsi="宋体" w:cs="宋体"/>
          <w:color w:val="000000"/>
          <w:sz w:val="24"/>
          <w:szCs w:val="24"/>
          <w:highlight w:val="none"/>
        </w:rPr>
        <w:t xml:space="preserve">（https://njgc.jfh.com/） “</w:t>
      </w:r>
      <w:r>
        <w:rPr>
          <w:rFonts w:hint="eastAsia" w:ascii="宋体" w:hAnsi="宋体" w:cs="宋体"/>
          <w:color w:val="000000"/>
          <w:sz w:val="24"/>
          <w:szCs w:val="24"/>
          <w:highlight w:val="none"/>
          <w:lang w:val="zh-CN"/>
        </w:rPr>
        <w:t xml:space="preserve">南京市政府采购供应商诚信档案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系统链接打开系统页面</w:t>
      </w:r>
      <w:r>
        <w:rPr>
          <w:rFonts w:hint="eastAsia" w:ascii="宋体" w:hAnsi="宋体" w:cs="宋体"/>
          <w:color w:val="000000"/>
          <w:sz w:val="24"/>
          <w:szCs w:val="24"/>
          <w:highlight w:val="none"/>
        </w:rPr>
        <w:t xml:space="preserve">（http://180.101.238.212:8280/hodeframe2018_cxda/index.action;jsessionid=769BA9C8E1729422E7173B991C8EC1E5）</w:t>
      </w:r>
      <w:r>
        <w:rPr>
          <w:rFonts w:hint="eastAsia" w:ascii="宋体" w:hAnsi="宋体" w:cs="宋体"/>
          <w:color w:val="000000"/>
          <w:sz w:val="24"/>
          <w:szCs w:val="24"/>
          <w:highlight w:val="none"/>
          <w:lang w:val="zh-CN"/>
        </w:rPr>
        <w:t xml:space="preserve">登录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未注册的供应商应先点击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供应商注册点这里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并按要求完成注册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然后在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信用记录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模块页面点击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信用记录打印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下载本单位《南京市政府采购供应商信用记录表暨信用承诺书》。</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（3）系统审核后，供应商即可登录系统进行相关功能操作。</w:t>
      </w:r>
      <w:r>
        <w:rPr>
          <w:rFonts w:hint="eastAsia" w:ascii="宋体" w:hAnsi="宋体" w:cs="宋体"/>
          <w:color w:val="000000"/>
          <w:sz w:val="24"/>
          <w:szCs w:val="24"/>
          <w:highlight w:val="none"/>
        </w:rPr>
      </w:r>
      <w:r/>
    </w:p>
    <w:p>
      <w:pPr>
        <w:pStyle w:val="770"/>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南京市政府采购供应商诚信档案管理系统客服电话：025-52718366；供应商可就用户注册与打印“南京市政府采购供应商信用记录表暨信用承诺书”等事宜进行咨询。</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.有关本次招标的事项若存在变动或修改，敬请及时关注原公告平台发布的信息更正公告。</w:t>
      </w:r>
      <w:r>
        <w:rPr>
          <w:rFonts w:hint="eastAsia" w:ascii="宋体" w:hAnsi="宋体" w:cs="宋体"/>
          <w:b/>
          <w:bCs/>
          <w:color w:val="000000"/>
          <w:sz w:val="24"/>
          <w:szCs w:val="24"/>
          <w:highlight w:val="none"/>
        </w:rPr>
      </w:r>
      <w:r/>
    </w:p>
    <w:p>
      <w:pPr>
        <w:pStyle w:val="77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5、按以下第（1）种方式组织集中考察或答疑 </w:t>
      </w:r>
      <w:r>
        <w:rPr>
          <w:rFonts w:hint="eastAsia" w:ascii="宋体" w:hAnsi="宋体" w:cs="宋体"/>
          <w:b/>
          <w:bCs/>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（1）采购人不组织集中考察或答疑，供应商如果对采购需求有疑问请咨询采购单位联系人； </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（2）供应商代表携带营业执照复印件（加盖单位公章）、法定代表人授权委托书、身份证参加集中考察或答疑。 </w:t>
      </w:r>
      <w:r>
        <w:rPr>
          <w:rFonts w:hint="eastAsia" w:ascii="宋体" w:hAnsi="宋体" w:cs="宋体"/>
          <w:color w:val="000000"/>
          <w:sz w:val="24"/>
          <w:szCs w:val="24"/>
          <w:highlight w:val="none"/>
        </w:rPr>
      </w:r>
      <w:r/>
    </w:p>
    <w:p>
      <w:pPr>
        <w:pStyle w:val="770"/>
        <w:ind w:firstLine="422"/>
        <w:spacing w:line="360" w:lineRule="auto"/>
        <w:shd w:val="clear" w:color="auto" w:fill="ffffff"/>
        <w:widowControl/>
        <w:rPr>
          <w:rFonts w:hint="eastAsia" w:ascii="宋体" w:hAnsi="宋体" w:cs="宋体"/>
          <w:b/>
          <w:bCs/>
          <w:color w:val="000000"/>
          <w:sz w:val="24"/>
          <w:szCs w:val="24"/>
          <w:highlight w:val="none"/>
        </w:rPr>
        <w:outlineLvl w:val="1"/>
      </w:pPr>
      <w:r/>
      <w:bookmarkStart w:id="21" w:name="_Toc28423"/>
      <w:r/>
      <w:bookmarkStart w:id="22" w:name="_Toc23226"/>
      <w:r>
        <w:rPr>
          <w:rFonts w:hint="eastAsia" w:ascii="宋体" w:hAnsi="宋体" w:cs="宋体"/>
          <w:b/>
          <w:bCs/>
          <w:color w:val="000000"/>
          <w:sz w:val="24"/>
          <w:szCs w:val="24"/>
          <w:highlight w:val="none"/>
        </w:rPr>
        <w:t xml:space="preserve">八、对本次招标提出询问，请按以下方式联系</w:t>
      </w:r>
      <w:bookmarkEnd w:id="21"/>
      <w:r/>
      <w:bookmarkEnd w:id="22"/>
      <w:r>
        <w:rPr>
          <w:rFonts w:hint="eastAsia" w:ascii="宋体" w:hAnsi="宋体" w:cs="宋体"/>
          <w:b/>
          <w:bCs/>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称：南京市江北新区公共工程建设中心</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址：南京市江北新区镇南河路100号</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联系人：戴科</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联系电话：025-58195943 </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称：益嘉新建设咨询（南京）有限公司  </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址：南京市建邺区乐山路190号江苏华坤大厦16楼</w:t>
      </w:r>
      <w:r>
        <w:rPr>
          <w:rFonts w:hint="eastAsia" w:ascii="宋体" w:hAnsi="宋体" w:cs="宋体"/>
          <w:color w:val="000000"/>
          <w:sz w:val="24"/>
          <w:szCs w:val="24"/>
          <w:highlight w:val="none"/>
        </w:rPr>
      </w:r>
      <w:r/>
    </w:p>
    <w:p>
      <w:pPr>
        <w:pStyle w:val="770"/>
        <w:ind w:firstLine="42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联系人：孟工</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联系方式：15996312499</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项目联系人：孟工</w:t>
      </w:r>
      <w:r>
        <w:rPr>
          <w:rFonts w:hint="eastAsia" w:ascii="宋体" w:hAnsi="宋体" w:cs="宋体"/>
          <w:color w:val="000000"/>
          <w:sz w:val="24"/>
          <w:szCs w:val="24"/>
          <w:highlight w:val="none"/>
        </w:rPr>
      </w:r>
      <w:r/>
    </w:p>
    <w:p>
      <w:pPr>
        <w:pStyle w:val="770"/>
        <w:ind w:firstLine="424"/>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电话：15996312499</w:t>
      </w:r>
      <w:r>
        <w:rPr>
          <w:rFonts w:hint="eastAsia" w:ascii="宋体" w:hAnsi="宋体" w:cs="宋体"/>
          <w:color w:val="000000"/>
          <w:sz w:val="24"/>
          <w:szCs w:val="24"/>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pPr>
      <w:r>
        <w:rPr>
          <w:rFonts w:hint="eastAsia" w:ascii="宋体" w:hAnsi="宋体" w:cs="宋体"/>
          <w:b/>
          <w:bCs/>
          <w:color w:val="000000"/>
          <w:spacing w:val="-10"/>
          <w:sz w:val="36"/>
          <w:szCs w:val="36"/>
          <w:highlight w:val="none"/>
        </w:rPr>
      </w:r>
      <w:r/>
    </w:p>
    <w:p>
      <w:pPr>
        <w:pStyle w:val="770"/>
        <w:jc w:val="center"/>
        <w:spacing w:line="360" w:lineRule="auto"/>
        <w:rPr>
          <w:rFonts w:hint="eastAsia" w:ascii="宋体" w:hAnsi="宋体" w:cs="宋体"/>
          <w:b/>
          <w:bCs/>
          <w:color w:val="000000"/>
          <w:spacing w:val="-10"/>
          <w:sz w:val="36"/>
          <w:szCs w:val="36"/>
          <w:highlight w:val="none"/>
        </w:rPr>
        <w:outlineLvl w:val="0"/>
      </w:pPr>
      <w:r/>
      <w:bookmarkStart w:id="23" w:name="_Toc10311"/>
      <w:r/>
      <w:bookmarkStart w:id="24" w:name="_Toc9011"/>
      <w:r>
        <w:rPr>
          <w:rFonts w:hint="eastAsia" w:ascii="宋体" w:hAnsi="宋体" w:cs="宋体"/>
          <w:b/>
          <w:bCs/>
          <w:color w:val="000000"/>
          <w:spacing w:val="-10"/>
          <w:sz w:val="36"/>
          <w:szCs w:val="36"/>
          <w:highlight w:val="none"/>
        </w:rPr>
        <w:t xml:space="preserve">第二章 供应商须知</w:t>
      </w:r>
      <w:bookmarkEnd w:id="23"/>
      <w:r/>
      <w:bookmarkEnd w:id="24"/>
      <w:r>
        <w:rPr>
          <w:rFonts w:hint="eastAsia" w:ascii="宋体" w:hAnsi="宋体" w:cs="宋体"/>
          <w:b/>
          <w:bCs/>
          <w:color w:val="000000"/>
          <w:spacing w:val="-10"/>
          <w:sz w:val="36"/>
          <w:szCs w:val="36"/>
          <w:highlight w:val="none"/>
        </w:rPr>
      </w:r>
      <w:r/>
    </w:p>
    <w:p>
      <w:pPr>
        <w:pStyle w:val="770"/>
        <w:ind w:firstLine="480"/>
        <w:jc w:val="left"/>
        <w:spacing w:line="360" w:lineRule="auto"/>
        <w:widowControl/>
        <w:rPr>
          <w:rFonts w:hint="eastAsia" w:ascii="宋体" w:hAnsi="宋体" w:cs="宋体"/>
          <w:color w:val="000000"/>
          <w:sz w:val="24"/>
          <w:szCs w:val="24"/>
          <w:highlight w:val="none"/>
        </w:rPr>
        <w:outlineLvl w:val="1"/>
      </w:pPr>
      <w:r/>
      <w:bookmarkStart w:id="25" w:name="_Toc15587"/>
      <w:r/>
      <w:bookmarkStart w:id="26" w:name="_Toc17141"/>
      <w:r/>
      <w:bookmarkStart w:id="27" w:name="_Hlk156125564"/>
      <w:r>
        <w:rPr>
          <w:rFonts w:hint="eastAsia" w:ascii="宋体" w:hAnsi="宋体" w:cs="宋体"/>
          <w:color w:val="000000"/>
          <w:sz w:val="24"/>
          <w:szCs w:val="24"/>
          <w:highlight w:val="none"/>
          <w:lang w:bidi="ar"/>
        </w:rPr>
        <w:t xml:space="preserve">一、总 则</w:t>
      </w:r>
      <w:bookmarkEnd w:id="25"/>
      <w:r/>
      <w:bookmarkEnd w:id="26"/>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 促进中小企业发展。在政府采购活动中，供应商提供的货物、工程或者服务符合下列情形的，享受中小企业扶持政策：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业商号或者注册商标；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rPr>
          <w:rFonts w:hint="eastAsia" w:ascii="宋体" w:hAnsi="宋体" w:cs="宋体"/>
          <w:color w:val="000000"/>
          <w:sz w:val="24"/>
          <w:szCs w:val="24"/>
          <w:highlight w:val="none"/>
        </w:rPr>
      </w:r>
      <w:r/>
    </w:p>
    <w:p>
      <w:pPr>
        <w:pStyle w:val="770"/>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 促进残疾人就业。残疾人福利性单位提供的产品和服务，在评标时将按照财库〔2017〕141号获得优势，参加投标的残疾人福利性单位，应当提供《残疾人福利性单位声明函》（格式见附件）。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 采购的产品属于政府强制采购节能产品的，供应商应当选择依据国家标准中二级能效（水效）指标认证的节能产品投标，并提供有效的节能产品认证证书扫描件。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 </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3.8采购本国产品的支持政策</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rPr>
        <w:outlineLvl w:val="1"/>
      </w:pPr>
      <w:r/>
      <w:bookmarkStart w:id="28" w:name="_Toc12601"/>
      <w:r/>
      <w:bookmarkStart w:id="29" w:name="_Toc8082"/>
      <w:r>
        <w:rPr>
          <w:rFonts w:hint="eastAsia" w:ascii="宋体" w:hAnsi="宋体" w:cs="宋体"/>
          <w:color w:val="000000"/>
          <w:sz w:val="24"/>
          <w:szCs w:val="24"/>
          <w:highlight w:val="none"/>
          <w:lang w:bidi="ar"/>
        </w:rPr>
        <w:t xml:space="preserve">二、招标文件</w:t>
      </w:r>
      <w:bookmarkEnd w:id="28"/>
      <w:r/>
      <w:bookmarkEnd w:id="29"/>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4.招标文件组成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4.1 招标文件由投标邀请、供应商须知、评标办法、采购需求、合同条款、附件等组成。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 招标的最小单位是包。招标服务数量及技术要求中未分包的，供应商对要求提供的服务不得部分投标；招标服务数量及技术要求中已经分包的，应当以包为单位投标。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 </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 </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 供应商应在投标截止时间前关注原采购信息发布媒体有关本招标项目有无变更公告。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outlineLvl w:val="2"/>
      </w:pPr>
      <w:r/>
      <w:bookmarkStart w:id="30" w:name="_Toc17409"/>
      <w:r/>
      <w:bookmarkStart w:id="31" w:name="_Toc32741"/>
      <w:r>
        <w:rPr>
          <w:rFonts w:hint="eastAsia" w:ascii="宋体" w:hAnsi="宋体" w:cs="宋体"/>
          <w:color w:val="000000"/>
          <w:sz w:val="24"/>
          <w:szCs w:val="24"/>
          <w:highlight w:val="none"/>
          <w:lang w:bidi="ar"/>
        </w:rPr>
        <w:t xml:space="preserve">三、投标</w:t>
      </w:r>
      <w:bookmarkEnd w:id="30"/>
      <w:r/>
      <w:bookmarkEnd w:id="31"/>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770"/>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 </w:t>
      </w:r>
      <w:r>
        <w:rPr>
          <w:rFonts w:hint="eastAsia" w:ascii="宋体" w:hAnsi="宋体" w:cs="宋体"/>
          <w:b/>
          <w:color w:val="000000"/>
          <w:sz w:val="24"/>
          <w:szCs w:val="24"/>
          <w:highlight w:val="none"/>
          <w:lang w:val="zh-CN"/>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 供应商应由其法定代表人或法定代表人授权委托人在规定的投标时间内，按时递交投标文件。 </w:t>
      </w:r>
      <w:r>
        <w:rPr>
          <w:rFonts w:hint="eastAsia" w:ascii="宋体" w:hAnsi="宋体" w:cs="宋体"/>
          <w:bCs/>
          <w:color w:val="000000"/>
          <w:sz w:val="24"/>
          <w:szCs w:val="24"/>
          <w:highlight w:val="none"/>
          <w:lang w:val="zh-CN"/>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 供应商应当对招标文件提出的要求和条件作出实质性响应，</w:t>
      </w:r>
      <w:r>
        <w:rPr>
          <w:rFonts w:hint="eastAsia" w:ascii="宋体" w:hAnsi="宋体" w:cs="宋体"/>
          <w:bCs/>
          <w:color w:val="000000"/>
          <w:sz w:val="24"/>
          <w:szCs w:val="24"/>
          <w:highlight w:val="none"/>
        </w:rPr>
        <w:t xml:space="preserve">并在投标文件中逐条应答。 </w:t>
      </w:r>
      <w:r>
        <w:rPr>
          <w:rFonts w:hint="eastAsia" w:ascii="宋体" w:hAnsi="宋体" w:cs="宋体"/>
          <w:bCs/>
          <w:color w:val="000000"/>
          <w:sz w:val="24"/>
          <w:szCs w:val="24"/>
          <w:highlight w:val="none"/>
          <w:lang w:val="zh-CN"/>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 供应商应当提供的资格证明文件（如资质证书、资格证书）、技术资料（如白皮书、彩页、手册、检测报告等）。 </w:t>
      </w:r>
      <w:r>
        <w:rPr>
          <w:rFonts w:hint="eastAsia" w:ascii="宋体" w:hAnsi="宋体" w:cs="宋体"/>
          <w:bCs/>
          <w:color w:val="000000"/>
          <w:sz w:val="24"/>
          <w:szCs w:val="24"/>
          <w:highlight w:val="none"/>
          <w:lang w:val="zh-CN"/>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 供应商应逐一说明投标产品品牌、型号、产地、性能参数。 </w:t>
      </w:r>
      <w:r>
        <w:rPr>
          <w:rFonts w:hint="eastAsia" w:ascii="宋体" w:hAnsi="宋体" w:cs="宋体"/>
          <w:bCs/>
          <w:color w:val="000000"/>
          <w:sz w:val="24"/>
          <w:szCs w:val="24"/>
          <w:highlight w:val="none"/>
          <w:lang w:val="zh-CN"/>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 投标产品属于国家认定的节能产品、环保产品、信息安全产品，应附认证证书复印件。 </w:t>
      </w:r>
      <w:r>
        <w:rPr>
          <w:rFonts w:hint="eastAsia" w:ascii="宋体" w:hAnsi="宋体" w:cs="宋体"/>
          <w:bCs/>
          <w:color w:val="000000"/>
          <w:sz w:val="24"/>
          <w:szCs w:val="24"/>
          <w:highlight w:val="none"/>
          <w:lang w:val="zh-CN"/>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val="zh-CN"/>
        </w:rPr>
        <w:t xml:space="preserve"> </w:t>
      </w:r>
      <w:r>
        <w:rPr>
          <w:rFonts w:hint="eastAsia" w:ascii="宋体" w:hAnsi="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rPr>
          <w:rFonts w:hint="eastAsia" w:ascii="宋体" w:hAnsi="宋体" w:cs="宋体"/>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 供应商所使用的计量单位应为国家法定计量单位。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 供应商应用人民币报价。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 供应商所使用的技术标准应遵循国家最新标准及规范。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 采购项目如接受联合体投标的，两个以上的自然人、法人或者其他组织可以组成一个联合体，以一个供应商的身份共同参加投标。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 鼓励大中型企业和其他自然人、法人或者其他组织与小型、微型企业组成联合体共同参加非专门面向中小企业的政府采购活动，并按规定享受价格扣除。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 政府采购合同分包履行的，中标供应商就采购项目和分包项目向采购人负责，分包项目供应商就分包项目承担责任，中标供应商与分包供应商之间应该签订分包意向协议。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 享受中小企业扶持政策获得政府采购合同的，小微企业不得将合同分包给大中型企业，中型企业不得将合同分包给大型企业。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 供应商应承担所有与准备和参加投标有关的费用，无论采购结果如何，代理机构和采购人在任何情况下均无义务和责任承担这些费用。 </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9.2 本项目招标代理费</w:t>
      </w:r>
      <w:r>
        <w:rPr>
          <w:rFonts w:hint="eastAsia" w:ascii="宋体" w:hAnsi="宋体" w:cs="宋体"/>
          <w:bCs/>
          <w:color w:val="000000"/>
          <w:sz w:val="24"/>
          <w:szCs w:val="24"/>
          <w:highlight w:val="none"/>
          <w:lang w:val="zh-CN"/>
        </w:rPr>
        <w:t xml:space="preserve">及</w:t>
      </w:r>
      <w:r>
        <w:rPr>
          <w:rFonts w:hint="eastAsia" w:ascii="宋体" w:hAnsi="宋体" w:cs="宋体"/>
          <w:bCs/>
          <w:color w:val="000000"/>
          <w:sz w:val="24"/>
          <w:szCs w:val="24"/>
          <w:highlight w:val="none"/>
        </w:rPr>
        <w:t xml:space="preserve">其</w:t>
      </w:r>
      <w:r>
        <w:rPr>
          <w:rFonts w:hint="eastAsia" w:ascii="宋体" w:hAnsi="宋体" w:cs="宋体"/>
          <w:bCs/>
          <w:color w:val="000000"/>
          <w:sz w:val="24"/>
          <w:szCs w:val="24"/>
          <w:highlight w:val="none"/>
          <w:lang w:val="zh-CN"/>
        </w:rPr>
        <w:t xml:space="preserve">相关</w:t>
      </w:r>
      <w:r>
        <w:rPr>
          <w:rFonts w:hint="eastAsia" w:ascii="宋体" w:hAnsi="宋体" w:cs="宋体"/>
          <w:bCs/>
          <w:color w:val="000000"/>
          <w:sz w:val="24"/>
          <w:szCs w:val="24"/>
          <w:highlight w:val="none"/>
        </w:rPr>
        <w:t xml:space="preserve">费用由中标供应商在领取中标通知书时支付，请充分考虑在投标报价中。招标代理服务费以各标段中标额乘以0.032%计取；上述费用均由成交供应商一次性支付。无论是否将该费用在报价中列明，均视为已含在总价中。</w:t>
      </w:r>
      <w:r>
        <w:rPr>
          <w:rFonts w:hint="eastAsia" w:ascii="宋体" w:hAnsi="宋体" w:cs="宋体"/>
          <w:bCs/>
          <w:color w:val="000000"/>
          <w:sz w:val="24"/>
          <w:szCs w:val="24"/>
          <w:highlight w:val="none"/>
          <w:lang w:val="zh-CN"/>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投标函（投标申请及声明，格式见附件）；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法定代表人授权委托书（格式见附件）及委托代理人的身份证扫描件；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 第一章投标邀请中规定的资格证明材料；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（4）★《南京市政府采购供应商信用记录表暨信用承诺书》；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（5）供应商认为需要提供的其他资格证明文件和商务资料。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 技术部分是证明供应商提供的服务是合格的、并符合招标文件要求的证明文件，以及对投标报价表中的服务的详细说明，这些文件可以是文字资料、图纸和数据等。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 若技术性能无特殊说明，则按国家有关部门最新颁布的标准及规范为准。 </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12.3 提供的技术如与招标文件要求有不符之处，应说明其差别之所在并逐条说明。</w:t>
      </w:r>
      <w:r>
        <w:rPr>
          <w:rFonts w:hint="eastAsia" w:ascii="宋体" w:hAnsi="宋体" w:cs="宋体"/>
          <w:color w:val="000000"/>
          <w:sz w:val="24"/>
          <w:szCs w:val="24"/>
          <w:highlight w:val="non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12.4 </w:t>
      </w:r>
      <w:r>
        <w:rPr>
          <w:rFonts w:hint="eastAsia" w:ascii="宋体" w:hAnsi="宋体" w:cs="宋体"/>
          <w:color w:val="000000"/>
          <w:sz w:val="24"/>
          <w:szCs w:val="24"/>
          <w:highlight w:val="none"/>
          <w:lang w:val="zh-CN"/>
        </w:rPr>
        <w:t xml:space="preserve">投标文件应按照招标文件要求 技术资料、文件和有关证明，包括但不限于下列文件，其中加“★”项目不得有缺失或无效：</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（2）项目组人员一览表；</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（3）参加本项目实施的主要组成人员资历表；</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（4）《技术条款偏离表》；</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（5）服务承诺（如有）；</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（6）供应商认为需要提供的其他技术资料。</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13.投标文件的价格部分 </w:t>
      </w:r>
      <w:r>
        <w:rPr>
          <w:rFonts w:hint="eastAsia" w:ascii="宋体" w:hAnsi="宋体" w:cs="宋体"/>
          <w:color w:val="000000"/>
          <w:sz w:val="24"/>
          <w:szCs w:val="24"/>
          <w:highlight w:val="none"/>
          <w:lang w:val="zh-CN"/>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 </w:t>
      </w:r>
      <w:r>
        <w:rPr>
          <w:rFonts w:hint="eastAsia" w:ascii="宋体" w:hAnsi="宋体" w:cs="宋体"/>
          <w:color w:val="000000"/>
          <w:sz w:val="24"/>
          <w:szCs w:val="24"/>
          <w:highlight w:val="none"/>
          <w:lang w:val="en-US" w:eastAsia="zh-CN" w:bidi="ar"/>
        </w:rPr>
        <w:t xml:space="preserve"> </w:t>
      </w:r>
      <w:r>
        <w:rPr>
          <w:rFonts w:hint="eastAsia" w:ascii="宋体" w:hAnsi="宋体" w:cs="宋体"/>
          <w:color w:val="000000"/>
          <w:sz w:val="24"/>
          <w:szCs w:val="24"/>
          <w:highlight w:val="none"/>
          <w:lang w:bidi="ar"/>
        </w:rPr>
        <w:t xml:space="preserve">价格部分是对投标服务价格构成的说明，每一项服务仅接受一个价格。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  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集和工作例会费、项目评审费、各项调查费、管理及人员费、专家咨询及会务费以及应由投标人支付的规费及税金等一切费用。</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 供应商的任何错漏、优惠、竞争性报价不得作为减轻责任、减少服务、增加收费、降低质量的理由。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 </w:t>
      </w:r>
      <w:r>
        <w:rPr>
          <w:rFonts w:hint="eastAsia" w:ascii="宋体" w:hAnsi="宋体" w:cs="宋体"/>
          <w:color w:val="000000"/>
          <w:sz w:val="24"/>
          <w:szCs w:val="24"/>
          <w:highlight w:val="none"/>
          <w:lang w:bidi="ar"/>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 </w:t>
      </w:r>
      <w:r>
        <w:rPr>
          <w:rFonts w:hint="eastAsia" w:ascii="宋体" w:hAnsi="宋体" w:cs="宋体"/>
          <w:color w:val="000000"/>
          <w:sz w:val="24"/>
          <w:szCs w:val="24"/>
          <w:highlight w:val="none"/>
        </w:rPr>
      </w:r>
      <w:r/>
    </w:p>
    <w:p>
      <w:pPr>
        <w:pStyle w:val="770"/>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 自开标之日起九十日内投标有效。 </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投标报价 </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 供应商应对招标文件内的</w:t>
      </w:r>
      <w:r>
        <w:rPr>
          <w:rFonts w:hint="eastAsia" w:ascii="宋体" w:hAnsi="宋体" w:cs="宋体"/>
          <w:color w:val="000000"/>
          <w:sz w:val="24"/>
          <w:szCs w:val="24"/>
          <w:highlight w:val="none"/>
        </w:rPr>
        <w:t xml:space="preserve">内容进行</w:t>
      </w:r>
      <w:r>
        <w:rPr>
          <w:rFonts w:hint="eastAsia" w:ascii="宋体" w:hAnsi="宋体" w:cs="宋体"/>
          <w:color w:val="000000"/>
          <w:sz w:val="24"/>
          <w:szCs w:val="24"/>
          <w:highlight w:val="none"/>
          <w:lang w:val="zh-CN"/>
        </w:rPr>
        <w:t xml:space="preserve">报价，并汇总报价。</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bCs/>
          <w:color w:val="0000ff"/>
          <w:sz w:val="24"/>
          <w:szCs w:val="24"/>
          <w:highlight w:val="none"/>
          <w:lang w:val="zh-CN"/>
        </w:rPr>
      </w:pPr>
      <w:r>
        <w:rPr>
          <w:rFonts w:hint="eastAsia" w:ascii="宋体" w:hAnsi="宋体" w:cs="宋体"/>
          <w:b/>
          <w:bCs/>
          <w:color w:val="0000ff"/>
          <w:sz w:val="24"/>
          <w:szCs w:val="24"/>
          <w:highlight w:val="none"/>
          <w:lang w:val="en-US" w:eastAsia="zh-CN"/>
        </w:rPr>
        <w:t xml:space="preserve">17.2</w:t>
      </w:r>
      <w:r>
        <w:rPr>
          <w:rFonts w:hint="eastAsia" w:ascii="宋体" w:hAnsi="宋体" w:cs="宋体"/>
          <w:b/>
          <w:bCs/>
          <w:color w:val="0000ff"/>
          <w:sz w:val="24"/>
          <w:szCs w:val="24"/>
          <w:highlight w:val="none"/>
          <w:lang w:val="zh-CN"/>
        </w:rPr>
        <w:t xml:space="preserve">投标人应充分考虑项目需求，进行</w:t>
      </w:r>
      <w:r>
        <w:rPr>
          <w:rFonts w:hint="eastAsia" w:ascii="宋体" w:hAnsi="宋体" w:cs="宋体"/>
          <w:b/>
          <w:bCs/>
          <w:color w:val="0000ff"/>
          <w:sz w:val="24"/>
          <w:szCs w:val="24"/>
          <w:highlight w:val="none"/>
          <w:lang w:val="en-US" w:eastAsia="zh-CN"/>
        </w:rPr>
        <w:t xml:space="preserve">折扣</w:t>
      </w:r>
      <w:r>
        <w:rPr>
          <w:rFonts w:hint="eastAsia" w:ascii="宋体" w:hAnsi="宋体" w:cs="宋体"/>
          <w:b/>
          <w:bCs/>
          <w:color w:val="0000ff"/>
          <w:sz w:val="24"/>
          <w:szCs w:val="24"/>
          <w:highlight w:val="none"/>
          <w:lang w:val="zh-CN"/>
        </w:rPr>
        <w:t xml:space="preserve">率报价。由于苏采云系统的报价为固定格式，本项目采用苏采云系统中“优惠率”进行报价，优惠率=100%-折扣率。</w:t>
      </w:r>
      <w:r>
        <w:rPr>
          <w:rFonts w:hint="eastAsia" w:ascii="宋体" w:hAnsi="宋体" w:cs="宋体"/>
          <w:b/>
          <w:bCs/>
          <w:color w:val="0000ff"/>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lang w:val="zh-CN"/>
        </w:rPr>
        <w:t xml:space="preserve">、修改和撤回 </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val="zh-CN"/>
        </w:rPr>
        <w:t xml:space="preserve">投标文件的撤回</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outlineLvl w:val="1"/>
      </w:pPr>
      <w:r/>
      <w:bookmarkStart w:id="32" w:name="_Toc7692"/>
      <w:r/>
      <w:bookmarkStart w:id="33" w:name="_Toc2627"/>
      <w:r>
        <w:rPr>
          <w:rFonts w:hint="eastAsia" w:ascii="宋体" w:hAnsi="宋体" w:cs="宋体"/>
          <w:b/>
          <w:bCs/>
          <w:color w:val="000000"/>
          <w:sz w:val="24"/>
          <w:szCs w:val="24"/>
          <w:highlight w:val="none"/>
          <w:lang w:val="zh-CN"/>
        </w:rPr>
        <w:t xml:space="preserve">四、开标、评标与确定中标供应商</w:t>
      </w:r>
      <w:bookmarkEnd w:id="32"/>
      <w:r/>
      <w:bookmarkEnd w:id="33"/>
      <w:r>
        <w:rPr>
          <w:rFonts w:hint="eastAsia" w:ascii="宋体" w:hAnsi="宋体" w:cs="宋体"/>
          <w:b/>
          <w:bCs/>
          <w:color w:val="000000"/>
          <w:sz w:val="24"/>
          <w:szCs w:val="24"/>
          <w:highlight w:val="none"/>
          <w:lang w:val="zh-CN"/>
        </w:rPr>
        <w:t xml:space="preserve"> </w:t>
      </w:r>
      <w:r>
        <w:rPr>
          <w:rFonts w:hint="eastAsia" w:ascii="宋体" w:hAnsi="宋体" w:cs="宋体"/>
          <w:b/>
          <w:bCs/>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 开标 </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 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20.4投标文件的解密：开标当天各供应商及时登录不见面开标大厅，投标文件递交截止时间后，采购人将在系统内公布供应商名单，然后通</w:t>
      </w:r>
      <w:r>
        <w:rPr>
          <w:rFonts w:hint="eastAsia" w:ascii="宋体" w:hAnsi="宋体" w:cs="宋体"/>
          <w:color w:val="000000"/>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sz w:val="24"/>
          <w:szCs w:val="24"/>
          <w:highlight w:val="none"/>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w:t>
      </w:r>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zh-CN"/>
        </w:rPr>
        <w:t xml:space="preserve">评标 </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 评标组织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 </w:t>
      </w:r>
      <w:r>
        <w:rPr>
          <w:rFonts w:hint="eastAsia" w:ascii="宋体" w:hAnsi="宋体" w:cs="宋体"/>
          <w:color w:val="000000"/>
          <w:sz w:val="24"/>
          <w:szCs w:val="24"/>
          <w:highlight w:val="none"/>
          <w:lang w:val="zh-CN"/>
        </w:rPr>
      </w:r>
      <w:r/>
    </w:p>
    <w:p>
      <w:pPr>
        <w:pStyle w:val="770"/>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 </w:t>
      </w:r>
      <w:r>
        <w:rPr>
          <w:rFonts w:hint="eastAsia" w:ascii="宋体" w:hAnsi="宋体" w:cs="宋体"/>
          <w:color w:val="000000"/>
          <w:sz w:val="24"/>
          <w:szCs w:val="24"/>
          <w:highlight w:val="none"/>
          <w:lang w:val="zh-CN"/>
        </w:rPr>
      </w:r>
      <w:r/>
    </w:p>
    <w:p>
      <w:pPr>
        <w:pStyle w:val="770"/>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 </w:t>
      </w:r>
      <w:r>
        <w:rPr>
          <w:rFonts w:hint="eastAsia" w:ascii="宋体" w:hAnsi="宋体" w:cs="宋体"/>
          <w:color w:val="000000"/>
          <w:sz w:val="24"/>
          <w:szCs w:val="24"/>
          <w:highlight w:val="none"/>
          <w:lang w:val="zh-CN"/>
        </w:rPr>
      </w:r>
      <w:r/>
    </w:p>
    <w:p>
      <w:pPr>
        <w:pStyle w:val="770"/>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 </w:t>
      </w:r>
      <w:r>
        <w:rPr>
          <w:rFonts w:hint="eastAsia" w:ascii="宋体" w:hAnsi="宋体" w:cs="宋体"/>
          <w:color w:val="000000"/>
          <w:sz w:val="24"/>
          <w:szCs w:val="24"/>
          <w:highlight w:val="none"/>
          <w:lang w:val="zh-CN"/>
        </w:rPr>
      </w:r>
      <w:r/>
    </w:p>
    <w:p>
      <w:pPr>
        <w:pStyle w:val="770"/>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 </w:t>
      </w:r>
      <w:r>
        <w:rPr>
          <w:rFonts w:hint="eastAsia" w:ascii="宋体" w:hAnsi="宋体" w:cs="宋体"/>
          <w:color w:val="000000"/>
          <w:sz w:val="24"/>
          <w:szCs w:val="24"/>
          <w:highlight w:val="none"/>
          <w:lang w:val="zh-CN"/>
        </w:rPr>
      </w:r>
      <w:r/>
    </w:p>
    <w:p>
      <w:pPr>
        <w:pStyle w:val="770"/>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 评标程序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 投标文件的资格审查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 采购人代表依法对投标人的资格进行审查。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 投标文件有下列情况之一的，在资格性审查时按照无效投标处理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 投标文件的符合性审查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 实质性要求是指本招标文件中带“★”的商务和技术要求。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 投标文件有下列情况之一的，在符合性审查时按照无效投标处理：</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 有下列情形之一的予以废标：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21.2.2.6 </w:t>
      </w:r>
      <w:r>
        <w:rPr>
          <w:rFonts w:hint="eastAsia" w:ascii="宋体" w:hAnsi="宋体" w:cs="宋体"/>
          <w:b/>
          <w:bCs/>
          <w:color w:val="000000"/>
          <w:sz w:val="24"/>
          <w:szCs w:val="24"/>
          <w:highlight w:val="none"/>
          <w:lang w:val="zh-CN"/>
        </w:rPr>
        <w:t xml:space="preserve">根据财政厅《关于推动解决政府采购异常低价问题的通知》(财库〔2026〕2号)要求，评审过程中出现下列情形之一的，评审委员会应当启动异常低价投标(响应)审查程序:</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（一）评审过程中出现下列情形之一的评审委员会应当启动异常低价投标（响应）审查程序</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3.投标（响应）报价低于采购项目最高限价45%的，即投标（响应）报价&lt;采购项目最高限价×45%；</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 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 比较与评价。</w:t>
      </w:r>
      <w:r>
        <w:rPr>
          <w:rFonts w:hint="eastAsia" w:ascii="宋体" w:hAnsi="宋体" w:cs="宋体"/>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770"/>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 评标方法和标准 </w:t>
      </w:r>
      <w:r>
        <w:rPr>
          <w:rFonts w:hint="eastAsia" w:ascii="宋体" w:hAnsi="宋体" w:cs="宋体"/>
          <w:color w:val="000000"/>
          <w:sz w:val="24"/>
          <w:szCs w:val="24"/>
          <w:highlight w:val="none"/>
          <w:lang w:val="zh-CN"/>
        </w:rPr>
      </w:r>
      <w:r/>
    </w:p>
    <w:p>
      <w:pPr>
        <w:pStyle w:val="770"/>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 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770"/>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 </w:t>
      </w:r>
      <w:r>
        <w:rPr>
          <w:rFonts w:hint="eastAsia" w:ascii="宋体" w:hAnsi="宋体" w:cs="宋体"/>
          <w:b/>
          <w:bCs/>
          <w:color w:val="000000"/>
          <w:sz w:val="24"/>
          <w:szCs w:val="24"/>
          <w:highlight w:val="none"/>
          <w:lang w:val="zh-CN"/>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cs="宋体"/>
          <w:color w:val="000000"/>
          <w:sz w:val="24"/>
          <w:szCs w:val="24"/>
          <w:highlight w:val="none"/>
        </w:rPr>
        <w:t xml:space="preserve">投标文件满足招标文件全部实质性要求，</w:t>
      </w:r>
      <w:bookmarkEnd w:id="34"/>
      <w:r/>
      <w:bookmarkStart w:id="35" w:name="_Hlk128053036"/>
      <w:r>
        <w:rPr>
          <w:rFonts w:hint="eastAsia" w:ascii="宋体" w:hAnsi="宋体" w:cs="宋体"/>
          <w:color w:val="000000"/>
          <w:sz w:val="24"/>
          <w:szCs w:val="24"/>
          <w:highlight w:val="none"/>
        </w:rPr>
        <w:t xml:space="preserve">且按照评审因素的量化指标评审得分，经采购人授权，评标委员会确定中标人。</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22.2中标人确定后，采购代理机构在</w:t>
      </w:r>
      <w:r>
        <w:rPr>
          <w:rFonts w:hint="eastAsia" w:ascii="宋体" w:hAnsi="宋体" w:cs="宋体"/>
          <w:color w:val="000000"/>
          <w:sz w:val="24"/>
          <w:szCs w:val="24"/>
          <w:highlight w:val="none"/>
          <w:lang w:val="zh-CN"/>
        </w:rPr>
        <w:t xml:space="preserve">“江苏政府采购网”发布</w:t>
      </w:r>
      <w:r>
        <w:rPr>
          <w:rFonts w:hint="eastAsia" w:ascii="宋体" w:hAnsi="宋体" w:cs="宋体"/>
          <w:color w:val="000000"/>
          <w:sz w:val="24"/>
          <w:szCs w:val="24"/>
          <w:highlight w:val="none"/>
        </w:rPr>
        <w:t xml:space="preserve">中标公告，公告期限为1个工作日。</w:t>
      </w:r>
      <w:bookmarkEnd w:id="35"/>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23.</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中标通知书</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23.l 中标结果确定后，采购代理机构将向中标人发出中标通知书。中标人可在中标结果公告届满之日起三十日内,登录苏采云系统下载。</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24.评标过程的保密性</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 采购人和采购代理机构将采取必要措施，保证评标在严格保密的情况下进行。</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任何单位和个人不得非法干预、影响评标办法的确定，以及评标过程和结果。</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 凡是与审查、澄清、评价和比较投标的有关资料等，均不向投标人及与评标无关的其他人员透露。</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outlineLvl w:val="1"/>
      </w:pPr>
      <w:r/>
      <w:bookmarkStart w:id="36" w:name="_Hlk176188663"/>
      <w:r/>
      <w:bookmarkStart w:id="37" w:name="_Toc5971"/>
      <w:r/>
      <w:bookmarkStart w:id="38" w:name="_Toc23479"/>
      <w:r>
        <w:rPr>
          <w:rFonts w:hint="eastAsia" w:ascii="宋体" w:hAnsi="宋体" w:cs="宋体"/>
          <w:b/>
          <w:bCs/>
          <w:color w:val="000000"/>
          <w:sz w:val="24"/>
          <w:szCs w:val="24"/>
          <w:highlight w:val="none"/>
        </w:rPr>
        <w:t xml:space="preserve">五、签订合同</w:t>
      </w:r>
      <w:bookmarkEnd w:id="36"/>
      <w:r/>
      <w:bookmarkEnd w:id="37"/>
      <w:r/>
      <w:bookmarkEnd w:id="38"/>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25.签订合同</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25.2采购人不得向中标人提出任何不合理的要求作为签订合同的条件。</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bookmarkStart w:id="39" w:name="_Hlk128053131"/>
      <w:r>
        <w:rPr>
          <w:rFonts w:hint="eastAsia" w:ascii="宋体" w:hAnsi="宋体" w:cs="宋体"/>
          <w:color w:val="000000"/>
          <w:sz w:val="24"/>
          <w:szCs w:val="24"/>
          <w:highlight w:val="none"/>
        </w:rPr>
        <w:t xml:space="preserve">25.3</w:t>
      </w:r>
      <w:bookmarkStart w:id="40" w:name="_Hlk134712780"/>
      <w:r>
        <w:rPr>
          <w:rFonts w:hint="eastAsia" w:ascii="宋体" w:hAnsi="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政府采购合同履行中，采购人需追加与合同标的相同的</w:t>
      </w:r>
      <w:bookmarkStart w:id="41" w:name="_Hlk176352307"/>
      <w:r>
        <w:rPr>
          <w:rFonts w:hint="eastAsia" w:ascii="宋体" w:hAnsi="宋体" w:cs="宋体"/>
          <w:color w:val="000000"/>
          <w:sz w:val="24"/>
          <w:szCs w:val="24"/>
          <w:highlight w:val="none"/>
        </w:rPr>
        <w:t xml:space="preserve">服务（包含与服务相关的货物）</w:t>
      </w:r>
      <w:bookmarkEnd w:id="41"/>
      <w:r>
        <w:rPr>
          <w:rFonts w:hint="eastAsia" w:ascii="宋体" w:hAnsi="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25.5招标文件、中标人的投标文件及招标过程中有关澄清、承诺文件均作为合同附件。</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25.6采购人与中标人应当根据合同的约定依法履行合同义务。</w:t>
      </w:r>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outlineLvl w:val="1"/>
      </w:pPr>
      <w:r/>
      <w:bookmarkStart w:id="42" w:name="_Toc15612"/>
      <w:r/>
      <w:bookmarkStart w:id="43" w:name="_Toc23205"/>
      <w:r>
        <w:rPr>
          <w:rFonts w:hint="eastAsia" w:ascii="宋体" w:hAnsi="宋体" w:cs="宋体"/>
          <w:b/>
          <w:bCs/>
          <w:color w:val="000000"/>
          <w:sz w:val="24"/>
          <w:szCs w:val="24"/>
          <w:highlight w:val="none"/>
        </w:rPr>
        <w:t xml:space="preserve">六、质疑和投诉</w:t>
      </w:r>
      <w:bookmarkEnd w:id="42"/>
      <w:r/>
      <w:bookmarkEnd w:id="43"/>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26.质疑</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bookmarkStart w:id="44" w:name="_Hlk135041925"/>
      <w:r>
        <w:rPr>
          <w:rFonts w:hint="eastAsia" w:ascii="宋体" w:hAnsi="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投标人必须在法定质疑期内一次性提出针对同一采购程序环节的质疑。</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投标人提出质疑应当按照《政府采购质疑和投诉办法》的规定提交质疑函和必要的证明材料。质疑函应当包括下列内容：</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（1）投标人的姓名或者名称、地址、邮编、联系人及联系电话；</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（3）具体、明确的质疑事项和与质疑事项相关的请求（具体条款）；</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（4）事实依据（具体条款）；</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（5）必要的法律依据（具体条款）；</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26.5 质疑函应当现场提交至采购代理机构联系人处，提交时应出示有效身份证明。未按上述要求提交质疑函的，质疑不予受理。</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highlight w:val="none"/>
        </w:rPr>
      </w:r>
      <w:r/>
    </w:p>
    <w:p>
      <w:pPr>
        <w:pStyle w:val="770"/>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 采购代理机构在收到投标人的书面质疑后将及时组织调查核实，在</w:t>
      </w:r>
      <w:r>
        <w:rPr>
          <w:rFonts w:hint="eastAsia" w:ascii="宋体" w:hAnsi="宋体" w:cs="宋体"/>
          <w:b/>
          <w:bCs/>
          <w:color w:val="000000"/>
          <w:sz w:val="24"/>
          <w:szCs w:val="24"/>
          <w:highlight w:val="none"/>
        </w:rPr>
        <w:t xml:space="preserve">七个工作日内</w:t>
      </w:r>
      <w:r>
        <w:rPr>
          <w:rFonts w:hint="eastAsia" w:ascii="宋体" w:hAnsi="宋体" w:cs="宋体"/>
          <w:color w:val="000000"/>
          <w:sz w:val="24"/>
          <w:szCs w:val="24"/>
          <w:highlight w:val="none"/>
        </w:rPr>
        <w:t xml:space="preserve">作出答复，并以书面或在网站公告形式通知质疑投标人和其他有关投标人，答复的内容不涉及商业秘密。</w:t>
      </w:r>
      <w:bookmarkEnd w:id="44"/>
      <w:r>
        <w:rPr>
          <w:rFonts w:hint="eastAsia" w:ascii="宋体" w:hAnsi="宋体" w:cs="宋体"/>
          <w:color w:val="000000"/>
          <w:sz w:val="24"/>
          <w:szCs w:val="24"/>
          <w:highlight w:val="none"/>
        </w:rPr>
      </w:r>
      <w:r/>
    </w:p>
    <w:p>
      <w:pPr>
        <w:pStyle w:val="770"/>
        <w:ind w:firstLine="482"/>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27.投诉</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投诉人在全国范围12个月内3次以上投诉查无实据的，由财政部门列入不良行为记录名单。</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spacing w:line="360" w:lineRule="auto"/>
        <w:rPr>
          <w:rFonts w:hint="eastAsia" w:ascii="宋体" w:hAnsi="宋体" w:cs="宋体"/>
          <w:b/>
          <w:bCs/>
          <w:color w:val="000000"/>
          <w:spacing w:val="-10"/>
          <w:sz w:val="36"/>
          <w:szCs w:val="36"/>
          <w:highlight w:val="none"/>
          <w:lang w:val="zh-CN"/>
        </w:rPr>
        <w:outlineLvl w:val="0"/>
      </w:pPr>
      <w:r/>
      <w:bookmarkStart w:id="45" w:name="_Toc29996"/>
      <w:r/>
      <w:bookmarkStart w:id="46" w:name="_Toc24697"/>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45"/>
      <w:r/>
      <w:bookmarkEnd w:id="46"/>
      <w:r>
        <w:rPr>
          <w:rFonts w:hint="eastAsia" w:ascii="宋体" w:hAnsi="宋体" w:cs="宋体"/>
          <w:b/>
          <w:bCs/>
          <w:color w:val="000000"/>
          <w:spacing w:val="-10"/>
          <w:sz w:val="36"/>
          <w:szCs w:val="36"/>
          <w:highlight w:val="none"/>
          <w:lang w:val="zh-CN"/>
        </w:rPr>
      </w:r>
      <w:r/>
    </w:p>
    <w:p>
      <w:pPr>
        <w:pStyle w:val="770"/>
        <w:jc w:val="left"/>
        <w:spacing w:line="360" w:lineRule="auto"/>
        <w:rPr>
          <w:rFonts w:hint="eastAsia" w:ascii="宋体" w:hAnsi="宋体" w:cs="宋体"/>
          <w:b/>
          <w:bCs/>
          <w:color w:val="000000"/>
          <w:spacing w:val="-10"/>
          <w:sz w:val="24"/>
          <w:szCs w:val="24"/>
          <w:highlight w:val="none"/>
          <w:lang w:val="zh-CN"/>
        </w:rPr>
        <w:outlineLvl w:val="1"/>
      </w:pPr>
      <w:r/>
      <w:bookmarkStart w:id="47" w:name="_Toc7626"/>
      <w:r/>
      <w:bookmarkStart w:id="48" w:name="_Toc19476"/>
      <w:r>
        <w:rPr>
          <w:rFonts w:hint="eastAsia" w:ascii="宋体" w:hAnsi="宋体" w:cs="宋体"/>
          <w:b/>
          <w:bCs/>
          <w:color w:val="000000"/>
          <w:spacing w:val="-10"/>
          <w:sz w:val="24"/>
          <w:szCs w:val="24"/>
          <w:highlight w:val="none"/>
          <w:lang w:val="zh-CN"/>
        </w:rPr>
        <w:t xml:space="preserve">一、采用综合评分法</w:t>
      </w:r>
      <w:bookmarkEnd w:id="47"/>
      <w:r/>
      <w:bookmarkEnd w:id="48"/>
      <w:r>
        <w:rPr>
          <w:rFonts w:hint="eastAsia" w:ascii="宋体" w:hAnsi="宋体" w:cs="宋体"/>
          <w:b/>
          <w:bCs/>
          <w:color w:val="000000"/>
          <w:spacing w:val="-10"/>
          <w:sz w:val="24"/>
          <w:szCs w:val="24"/>
          <w:highlight w:val="none"/>
          <w:lang w:val="zh-CN"/>
        </w:rPr>
      </w:r>
      <w:r/>
    </w:p>
    <w:p>
      <w:pPr>
        <w:pStyle w:val="770"/>
        <w:jc w:val="left"/>
        <w:spacing w:line="360" w:lineRule="auto"/>
        <w:rPr>
          <w:rFonts w:hint="eastAsia" w:ascii="宋体" w:hAnsi="宋体" w:cs="宋体"/>
          <w:color w:val="000000"/>
          <w:spacing w:val="-10"/>
          <w:sz w:val="24"/>
          <w:szCs w:val="24"/>
          <w:highlight w:val="none"/>
          <w:lang w:val="zh-CN"/>
        </w:rPr>
      </w:pPr>
      <w:r>
        <w:rPr>
          <w:rFonts w:hint="eastAsia" w:ascii="宋体" w:hAnsi="宋体" w:cs="宋体"/>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pacing w:val="-10"/>
          <w:sz w:val="24"/>
          <w:szCs w:val="24"/>
          <w:highlight w:val="none"/>
          <w:lang w:val="zh-CN"/>
        </w:rPr>
      </w:r>
      <w:r/>
    </w:p>
    <w:p>
      <w:pPr>
        <w:pStyle w:val="770"/>
        <w:jc w:val="left"/>
        <w:spacing w:line="360" w:lineRule="auto"/>
        <w:rPr>
          <w:rFonts w:hint="eastAsia" w:ascii="宋体" w:hAnsi="宋体" w:cs="宋体"/>
          <w:b/>
          <w:bCs/>
          <w:color w:val="000000"/>
          <w:spacing w:val="-10"/>
          <w:sz w:val="24"/>
          <w:szCs w:val="24"/>
          <w:highlight w:val="none"/>
          <w:lang w:val="zh-CN"/>
        </w:rPr>
        <w:outlineLvl w:val="1"/>
      </w:pPr>
      <w:r/>
      <w:bookmarkStart w:id="49" w:name="_Toc32490"/>
      <w:r/>
      <w:bookmarkStart w:id="50" w:name="_Toc20113"/>
      <w:r>
        <w:rPr>
          <w:rFonts w:hint="eastAsia" w:ascii="宋体" w:hAnsi="宋体" w:cs="宋体"/>
          <w:b/>
          <w:bCs/>
          <w:color w:val="000000"/>
          <w:spacing w:val="-10"/>
          <w:sz w:val="24"/>
          <w:szCs w:val="24"/>
          <w:highlight w:val="none"/>
          <w:lang w:val="zh-CN"/>
        </w:rPr>
        <w:t xml:space="preserve">二、综合评分法评审评分细则</w:t>
      </w:r>
      <w:bookmarkEnd w:id="49"/>
      <w:r/>
      <w:bookmarkEnd w:id="50"/>
      <w:r>
        <w:rPr>
          <w:rFonts w:hint="eastAsia" w:ascii="宋体" w:hAnsi="宋体" w:cs="宋体"/>
          <w:b/>
          <w:bCs/>
          <w:color w:val="000000"/>
          <w:spacing w:val="-10"/>
          <w:sz w:val="24"/>
          <w:szCs w:val="24"/>
          <w:highlight w:val="none"/>
          <w:lang w:val="zh-CN"/>
        </w:rPr>
      </w:r>
      <w:r/>
    </w:p>
    <w:p>
      <w:pPr>
        <w:pStyle w:val="770"/>
        <w:jc w:val="left"/>
        <w:spacing w:line="360" w:lineRule="auto"/>
        <w:rPr>
          <w:rFonts w:hint="eastAsia" w:ascii="宋体" w:hAnsi="宋体" w:cs="宋体"/>
          <w:color w:val="000000"/>
          <w:spacing w:val="-10"/>
          <w:sz w:val="24"/>
          <w:szCs w:val="24"/>
          <w:highlight w:val="none"/>
          <w:lang w:val="zh-CN"/>
        </w:rPr>
      </w:pPr>
      <w:r>
        <w:rPr>
          <w:rFonts w:hint="eastAsia" w:ascii="宋体" w:hAnsi="宋体" w:cs="宋体"/>
          <w:color w:val="000000"/>
          <w:spacing w:val="-10"/>
          <w:sz w:val="24"/>
          <w:szCs w:val="24"/>
          <w:highlight w:val="none"/>
          <w:lang w:val="zh-CN"/>
        </w:rPr>
        <w:t xml:space="preserve">具体评标方法和标准见下表：</w:t>
      </w:r>
      <w:r>
        <w:rPr>
          <w:rFonts w:hint="eastAsia" w:ascii="宋体" w:hAnsi="宋体" w:cs="宋体"/>
          <w:color w:val="000000"/>
          <w:spacing w:val="-10"/>
          <w:sz w:val="24"/>
          <w:szCs w:val="24"/>
          <w:highlight w:val="none"/>
          <w:lang w:val="zh-CN"/>
        </w:rPr>
      </w:r>
      <w:r/>
    </w:p>
    <w:tbl>
      <w:tblPr>
        <w:tblW w:w="516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97"/>
        <w:gridCol w:w="1897"/>
        <w:gridCol w:w="5463"/>
      </w:tblGrid>
      <w:tr>
        <w:trPr>
          <w:trHeight w:val="533"/>
        </w:trPr>
        <w:tc>
          <w:tcPr>
            <w:gridSpan w:val="2"/>
            <w:tcW w:w="2236" w:type="dxa"/>
            <w:vAlign w:val="center"/>
            <w:textDirection w:val="lrTb"/>
            <w:noWrap w:val="false"/>
          </w:tcPr>
          <w:p>
            <w:pPr>
              <w:pStyle w:val="770"/>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评分内容</w:t>
            </w:r>
            <w:r>
              <w:rPr>
                <w:rFonts w:hint="eastAsia" w:ascii="宋体" w:hAnsi="宋体" w:cs="宋体"/>
                <w:b/>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评分因素</w:t>
            </w:r>
            <w:r>
              <w:rPr>
                <w:rFonts w:hint="eastAsia" w:ascii="宋体" w:hAnsi="宋体" w:cs="宋体"/>
                <w:b/>
                <w:color w:val="000000"/>
                <w:sz w:val="24"/>
                <w:szCs w:val="24"/>
                <w:highlight w:val="none"/>
              </w:rPr>
            </w:r>
            <w:r/>
          </w:p>
        </w:tc>
        <w:tc>
          <w:tcPr>
            <w:tcW w:w="2846" w:type="dxa"/>
            <w:vAlign w:val="center"/>
            <w:textDirection w:val="lrTb"/>
            <w:noWrap w:val="false"/>
          </w:tcPr>
          <w:p>
            <w:pPr>
              <w:pStyle w:val="770"/>
              <w:jc w:val="center"/>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评分标准</w:t>
            </w:r>
            <w:r>
              <w:rPr>
                <w:rFonts w:hint="eastAsia" w:ascii="宋体" w:hAnsi="宋体" w:cs="宋体"/>
                <w:b/>
                <w:color w:val="000000"/>
                <w:sz w:val="24"/>
                <w:szCs w:val="24"/>
                <w:highlight w:val="none"/>
              </w:rPr>
            </w:r>
            <w:r/>
          </w:p>
        </w:tc>
      </w:tr>
      <w:tr>
        <w:trPr>
          <w:trHeight w:val="3575"/>
        </w:trPr>
        <w:tc>
          <w:tcPr>
            <w:tcW w:w="437"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727"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投标报价（10分）</w:t>
            </w: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w:t>
            </w:r>
            <w:r>
              <w:rPr>
                <w:rFonts w:hint="eastAsia" w:ascii="宋体" w:hAnsi="宋体" w:cs="宋体"/>
                <w:color w:val="000000"/>
                <w:sz w:val="24"/>
                <w:szCs w:val="24"/>
                <w:highlight w:val="none"/>
              </w:rPr>
            </w:r>
            <w:r/>
          </w:p>
        </w:tc>
        <w:tc>
          <w:tcPr>
            <w:tcW w:w="2846" w:type="dxa"/>
            <w:vAlign w:val="center"/>
            <w:textDirection w:val="lrTb"/>
            <w:noWrap w:val="false"/>
          </w:tcPr>
          <w:p>
            <w:pPr>
              <w:pStyle w:val="77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采用低价优先法计算，即满足招标文件要求且投标价格最低的投标报价为评标基准价，其价格分为满分。</w:t>
            </w:r>
            <w:r>
              <w:rPr>
                <w:rFonts w:hint="eastAsia" w:ascii="宋体" w:hAnsi="宋体" w:cs="宋体"/>
                <w:color w:val="000000"/>
                <w:sz w:val="24"/>
                <w:szCs w:val="24"/>
                <w:highlight w:val="none"/>
              </w:rPr>
            </w:r>
            <w:r/>
          </w:p>
          <w:p>
            <w:pPr>
              <w:pStyle w:val="77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其他投标人的价格分统一按照下列公式计算：投标报价得分=(评标基准价/投标报价)×10（小数点保留两位）</w:t>
            </w:r>
            <w:r>
              <w:rPr>
                <w:rFonts w:hint="eastAsia" w:ascii="宋体" w:hAnsi="宋体" w:cs="宋体"/>
                <w:color w:val="000000"/>
                <w:sz w:val="24"/>
                <w:szCs w:val="24"/>
                <w:highlight w:val="none"/>
              </w:rPr>
            </w:r>
            <w:r/>
          </w:p>
          <w:p>
            <w:pPr>
              <w:pStyle w:val="77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rPr>
              <w:t xml:space="preserve">有效报价为通过资格审查和符合性审查且不超过最高限价的响应人报价。</w:t>
            </w:r>
            <w:r>
              <w:rPr>
                <w:rFonts w:hint="eastAsia" w:ascii="宋体" w:hAnsi="宋体" w:cs="宋体"/>
                <w:color w:val="000000"/>
                <w:sz w:val="24"/>
                <w:szCs w:val="24"/>
                <w:highlight w:val="none"/>
              </w:rPr>
            </w:r>
            <w:r/>
          </w:p>
          <w:p>
            <w:pPr>
              <w:pStyle w:val="77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②</w:t>
            </w:r>
            <w:r>
              <w:rPr>
                <w:rFonts w:hint="eastAsia" w:ascii="宋体" w:hAnsi="宋体" w:eastAsia="宋体" w:cs="宋体"/>
                <w:b/>
                <w:bCs/>
                <w:color w:val="000000"/>
                <w:sz w:val="24"/>
                <w:szCs w:val="24"/>
              </w:rPr>
              <w:t xml:space="preserve">评标基准价为满足采购文件要求且（100%-最高优惠率）最低为评审基准价，即本项目所报折扣率。</w:t>
            </w:r>
            <w:r>
              <w:rPr>
                <w:rFonts w:ascii="宋体" w:hAnsi="宋体" w:eastAsia="宋体" w:cs="宋体"/>
                <w:color w:val="000000"/>
                <w:sz w:val="24"/>
                <w:szCs w:val="24"/>
                <w:highlight w:val="none"/>
                <w:lang w:val="en-US" w:eastAsia="zh-CN"/>
              </w:rPr>
            </w:r>
            <w:r/>
          </w:p>
        </w:tc>
      </w:tr>
      <w:tr>
        <w:trPr>
          <w:trHeight w:val="460"/>
        </w:trPr>
        <w:tc>
          <w:tcPr>
            <w:tcW w:w="437" w:type="dxa"/>
            <w:vAlign w:val="center"/>
            <w:vMerge w:val="restart"/>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727" w:type="dxa"/>
            <w:vAlign w:val="center"/>
            <w:vMerge w:val="restart"/>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rPr>
              <w:t xml:space="preserve">（50分）</w:t>
            </w: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结算审核咨询总体方案</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结算审核咨询总体方案：科学性、全面性、合理性、可行性，结构完整性等；（不超过15页）优：10分；良：9分；中：8分；差：7分；不提供得0分。</w:t>
            </w:r>
            <w:r>
              <w:rPr>
                <w:rFonts w:hint="eastAsia" w:ascii="宋体" w:hAnsi="宋体" w:cs="宋体"/>
                <w:color w:val="000000"/>
                <w:sz w:val="24"/>
                <w:szCs w:val="24"/>
                <w:highlight w:val="none"/>
              </w:rPr>
            </w:r>
            <w:r/>
          </w:p>
        </w:tc>
      </w:tr>
      <w:tr>
        <w:trPr>
          <w:trHeight w:val="410"/>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项目实施重点、难点关键过程分析及对策</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项目实施重点、难点关键过程分析及对策：重点及难点的认识、关键过程分析、解决思路及合理化建议等；（不超过15页）优：10分；良：9分；中：8分；差：7分；不提供得0分。</w:t>
            </w:r>
            <w:r>
              <w:rPr>
                <w:rFonts w:hint="eastAsia" w:ascii="宋体" w:hAnsi="宋体" w:cs="宋体"/>
                <w:color w:val="000000"/>
                <w:sz w:val="24"/>
                <w:szCs w:val="24"/>
                <w:highlight w:val="none"/>
              </w:rPr>
            </w:r>
            <w:r/>
          </w:p>
        </w:tc>
      </w:tr>
      <w:tr>
        <w:trPr>
          <w:trHeight w:val="454"/>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进度安排及质量保障措施</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进度安排及质量保障措施：编制进度计划、各阶段进度及方案质量保证措施等；（不超过15页）优：10分；良：9分；中：8分；差：7分；不提供得0分。</w:t>
            </w:r>
            <w:r>
              <w:rPr>
                <w:rFonts w:hint="eastAsia" w:ascii="宋体" w:hAnsi="宋体" w:cs="宋体"/>
                <w:color w:val="000000"/>
                <w:sz w:val="24"/>
                <w:szCs w:val="24"/>
                <w:highlight w:val="none"/>
              </w:rPr>
            </w:r>
            <w:r/>
          </w:p>
        </w:tc>
      </w:tr>
      <w:tr>
        <w:trPr>
          <w:trHeight w:val="454"/>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针对本项目结算审核咨询内容、方法和措施内容</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针对本项目结算审核咨询工作内容、方法和措施内容；（不超过15页）优：10分；良：9分；中：8分；差：7分；不提供得0分。</w:t>
            </w:r>
            <w:r>
              <w:rPr>
                <w:rFonts w:hint="eastAsia" w:ascii="宋体" w:hAnsi="宋体" w:cs="宋体"/>
                <w:color w:val="000000"/>
                <w:sz w:val="24"/>
                <w:szCs w:val="24"/>
                <w:highlight w:val="none"/>
              </w:rPr>
            </w:r>
            <w:r/>
          </w:p>
        </w:tc>
      </w:tr>
      <w:tr>
        <w:trPr>
          <w:trHeight w:val="454"/>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针对本项目制定的项目组织架构、工作流程及人员职责分工</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针对本项目制定的项目组织架构、工作流程及人员职责分工进行评分：（不超过10页）优：5分；良：4分；中：3分；差：2；不提供得0分。</w:t>
            </w:r>
            <w:r>
              <w:rPr>
                <w:rFonts w:hint="eastAsia" w:ascii="宋体" w:hAnsi="宋体" w:cs="宋体"/>
                <w:color w:val="000000"/>
                <w:sz w:val="24"/>
                <w:szCs w:val="24"/>
                <w:highlight w:val="none"/>
              </w:rPr>
            </w:r>
            <w:r/>
          </w:p>
        </w:tc>
      </w:tr>
      <w:tr>
        <w:trPr>
          <w:trHeight w:val="1112"/>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w:t>
            </w:r>
            <w:r>
              <w:rPr>
                <w:rFonts w:hint="eastAsia" w:ascii="宋体" w:hAnsi="宋体" w:cs="宋体"/>
                <w:color w:val="000000"/>
                <w:sz w:val="24"/>
                <w:szCs w:val="24"/>
                <w:highlight w:val="none"/>
              </w:rPr>
              <w:t xml:space="preserve">结算审核咨询</w:t>
            </w:r>
            <w:r>
              <w:rPr>
                <w:rFonts w:hint="eastAsia" w:ascii="宋体" w:hAnsi="宋体" w:cs="宋体"/>
                <w:color w:val="000000"/>
                <w:sz w:val="24"/>
                <w:szCs w:val="24"/>
                <w:highlight w:val="none"/>
              </w:rPr>
              <w:t xml:space="preserve">的服务承诺、企业优势及其他</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针对本项目结算审核咨询的服务承诺、企业优势及其他进行综合打分（不超过10页）优：5分；良：4分；中：3分；差：2；不提供得0分。</w:t>
            </w:r>
            <w:r>
              <w:rPr>
                <w:rFonts w:hint="eastAsia" w:ascii="宋体" w:hAnsi="宋体" w:cs="宋体"/>
                <w:color w:val="000000"/>
                <w:sz w:val="24"/>
                <w:szCs w:val="24"/>
                <w:highlight w:val="none"/>
              </w:rPr>
            </w:r>
            <w:r/>
          </w:p>
        </w:tc>
      </w:tr>
      <w:tr>
        <w:trPr>
          <w:trHeight w:val="1625"/>
        </w:trPr>
        <w:tc>
          <w:tcPr>
            <w:tcW w:w="437" w:type="dxa"/>
            <w:vAlign w:val="center"/>
            <w:vMerge w:val="restart"/>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727" w:type="dxa"/>
            <w:vAlign w:val="center"/>
            <w:vMerge w:val="restart"/>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业绩评审（9分）</w:t>
            </w: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企业业绩</w:t>
            </w:r>
            <w:r>
              <w:rPr>
                <w:rFonts w:hint="eastAsia" w:ascii="宋体" w:hAnsi="宋体" w:cs="宋体"/>
                <w:color w:val="000000"/>
                <w:sz w:val="24"/>
                <w:szCs w:val="24"/>
                <w:highlight w:val="none"/>
              </w:rPr>
            </w:r>
            <w:r/>
          </w:p>
        </w:tc>
        <w:tc>
          <w:tcPr>
            <w:tcW w:w="2846" w:type="dxa"/>
            <w:vAlign w:val="center"/>
            <w:textDirection w:val="lrTb"/>
            <w:noWrap w:val="false"/>
          </w:tcPr>
          <w:p>
            <w:pPr>
              <w:pStyle w:val="77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投标人自2020年12月1日（含）以来，承担过房屋建筑工程结算审核咨询服务业绩，每提供一个得5分，最多得5分。（</w:t>
            </w:r>
            <w:r>
              <w:rPr>
                <w:rFonts w:hint="eastAsia" w:ascii="宋体" w:hAnsi="宋体" w:cs="宋体"/>
                <w:bCs/>
                <w:color w:val="000000"/>
                <w:sz w:val="24"/>
                <w:szCs w:val="24"/>
                <w:highlight w:val="none"/>
              </w:rPr>
              <w:t xml:space="preserve">提供合同证明资料材料，以扫描件形式上传至电子投标文件中，</w:t>
            </w:r>
            <w:r>
              <w:rPr>
                <w:rFonts w:hint="eastAsia" w:ascii="宋体" w:hAnsi="宋体" w:cs="宋体"/>
                <w:color w:val="000000"/>
                <w:sz w:val="24"/>
                <w:szCs w:val="24"/>
                <w:highlight w:val="none"/>
              </w:rPr>
              <w:t xml:space="preserve">业绩时间以合同内容为准；提供的资料必须能反映相关内容，否则视为未提供。）</w:t>
            </w:r>
            <w:r>
              <w:rPr>
                <w:rFonts w:hint="eastAsia" w:ascii="宋体" w:hAnsi="宋体" w:cs="宋体"/>
                <w:color w:val="000000"/>
                <w:sz w:val="24"/>
                <w:szCs w:val="24"/>
                <w:highlight w:val="none"/>
              </w:rPr>
            </w:r>
            <w:r/>
          </w:p>
        </w:tc>
      </w:tr>
      <w:tr>
        <w:trPr>
          <w:trHeight w:val="346"/>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项目负责人业绩</w:t>
            </w:r>
            <w:r>
              <w:rPr>
                <w:rFonts w:hint="eastAsia" w:ascii="宋体" w:hAnsi="宋体" w:cs="宋体"/>
                <w:color w:val="000000"/>
                <w:sz w:val="24"/>
                <w:szCs w:val="24"/>
                <w:highlight w:val="none"/>
              </w:rPr>
            </w:r>
            <w:r/>
          </w:p>
        </w:tc>
        <w:tc>
          <w:tcPr>
            <w:tcW w:w="2846" w:type="dxa"/>
            <w:vAlign w:val="center"/>
            <w:textDirection w:val="lrTb"/>
            <w:noWrap w:val="false"/>
          </w:tcPr>
          <w:p>
            <w:pPr>
              <w:pStyle w:val="77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hint="eastAsia" w:ascii="宋体" w:hAnsi="宋体" w:cs="宋体"/>
                <w:bCs/>
                <w:color w:val="000000"/>
                <w:sz w:val="24"/>
                <w:szCs w:val="24"/>
                <w:highlight w:val="none"/>
              </w:rPr>
              <w:t xml:space="preserve">自2020年12月1日（含）以来</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承担过</w:t>
            </w:r>
            <w:r>
              <w:rPr>
                <w:rFonts w:hint="eastAsia" w:ascii="宋体" w:hAnsi="宋体" w:cs="宋体"/>
                <w:color w:val="000000"/>
                <w:sz w:val="24"/>
                <w:szCs w:val="24"/>
                <w:highlight w:val="none"/>
              </w:rPr>
              <w:t xml:space="preserve">房屋建筑工程结算审核咨询服务业绩</w:t>
            </w:r>
            <w:r>
              <w:rPr>
                <w:rFonts w:hint="eastAsia" w:ascii="宋体" w:hAnsi="宋体" w:cs="宋体"/>
                <w:bCs/>
                <w:color w:val="000000"/>
                <w:sz w:val="24"/>
                <w:szCs w:val="24"/>
                <w:highlight w:val="none"/>
              </w:rPr>
              <w:t xml:space="preserve">，每提供一个得</w:t>
            </w:r>
            <w:r>
              <w:rPr>
                <w:rFonts w:hint="eastAsia" w:ascii="宋体" w:hAnsi="宋体" w:cs="宋体"/>
                <w:color w:val="000000"/>
                <w:sz w:val="24"/>
                <w:szCs w:val="24"/>
                <w:highlight w:val="none"/>
              </w:rPr>
              <w:t xml:space="preserve">2分，最多得4分。</w:t>
            </w:r>
            <w:r>
              <w:rPr>
                <w:rFonts w:hint="eastAsia" w:ascii="宋体" w:hAnsi="宋体" w:cs="宋体"/>
                <w:bCs/>
                <w:color w:val="000000"/>
                <w:sz w:val="24"/>
                <w:szCs w:val="24"/>
                <w:highlight w:val="none"/>
              </w:rPr>
              <w:t xml:space="preserve">（提供合同证明资料材料，以扫描件形式上传至电子投标文件中，业绩时间以合同内容为准；</w:t>
            </w:r>
            <w:r>
              <w:rPr>
                <w:rFonts w:hint="eastAsia" w:ascii="宋体" w:hAnsi="宋体" w:cs="宋体"/>
                <w:color w:val="000000"/>
                <w:sz w:val="24"/>
                <w:szCs w:val="24"/>
                <w:highlight w:val="none"/>
              </w:rPr>
              <w:t xml:space="preserve">提供的资料必须能反映相关内容，否则视为未提供；业绩须为投标人承接，</w:t>
            </w:r>
            <w:r>
              <w:rPr>
                <w:rFonts w:hint="eastAsia" w:ascii="宋体" w:hAnsi="宋体" w:cs="宋体"/>
                <w:bCs/>
                <w:color w:val="000000"/>
                <w:sz w:val="24"/>
                <w:szCs w:val="24"/>
                <w:highlight w:val="none"/>
              </w:rPr>
              <w:t xml:space="preserve">企业业绩和项目负责人业绩不可兼得。</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p>
        </w:tc>
      </w:tr>
      <w:tr>
        <w:trPr>
          <w:trHeight w:val="1325"/>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restart"/>
            <w:textDirection w:val="lrTb"/>
            <w:noWrap w:val="false"/>
          </w:tcPr>
          <w:p>
            <w:pPr>
              <w:pStyle w:val="770"/>
              <w:jc w:val="center"/>
              <w:spacing w:line="400" w:lineRule="exact"/>
              <w:rPr>
                <w:rFonts w:hint="eastAsia" w:ascii="宋体" w:hAnsi="宋体" w:cs="宋体"/>
                <w:color w:val="000000"/>
                <w:sz w:val="24"/>
                <w:szCs w:val="24"/>
                <w:highlight w:val="none"/>
              </w:rPr>
            </w:pPr>
            <w:r/>
            <w:bookmarkStart w:id="51" w:name="OLE_LINK10"/>
            <w:r/>
            <w:bookmarkStart w:id="52" w:name="OLE_LINK9"/>
            <w:r>
              <w:rPr>
                <w:rFonts w:hint="eastAsia" w:ascii="宋体" w:hAnsi="宋体" w:cs="宋体"/>
                <w:color w:val="000000"/>
                <w:sz w:val="24"/>
                <w:szCs w:val="24"/>
                <w:highlight w:val="none"/>
              </w:rPr>
              <w:t xml:space="preserve">人员配备</w:t>
            </w:r>
            <w:bookmarkEnd w:id="51"/>
            <w:r/>
            <w:bookmarkEnd w:id="52"/>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项目负责人1名</w:t>
            </w:r>
            <w:r>
              <w:rPr>
                <w:rFonts w:hint="eastAsia" w:ascii="宋体" w:hAnsi="宋体" w:cs="宋体"/>
                <w:color w:val="000000"/>
                <w:sz w:val="24"/>
                <w:szCs w:val="24"/>
                <w:highlight w:val="none"/>
              </w:rPr>
            </w:r>
            <w:r/>
          </w:p>
        </w:tc>
        <w:tc>
          <w:tcPr>
            <w:tcW w:w="2846" w:type="dxa"/>
            <w:vAlign w:val="center"/>
            <w:textDirection w:val="lrTb"/>
            <w:noWrap w:val="false"/>
          </w:tcPr>
          <w:p>
            <w:pPr>
              <w:pStyle w:val="77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项目负责人具有工程建设类高级工程师及以上职称的得4分，具有工程建设类工程师职称的得2分。（提供有效证书</w:t>
            </w:r>
            <w:r>
              <w:rPr>
                <w:rFonts w:hint="eastAsia" w:ascii="宋体" w:hAnsi="宋体" w:cs="宋体"/>
                <w:bCs/>
                <w:color w:val="000000"/>
                <w:sz w:val="24"/>
                <w:szCs w:val="24"/>
                <w:highlight w:val="none"/>
              </w:rPr>
              <w:t xml:space="preserve">，以扫描件形式上传至电子投标文件中，</w:t>
            </w:r>
            <w:r>
              <w:rPr>
                <w:rFonts w:hint="eastAsia" w:ascii="宋体" w:hAnsi="宋体" w:cs="宋体"/>
                <w:color w:val="000000"/>
                <w:sz w:val="24"/>
                <w:szCs w:val="24"/>
                <w:highlight w:val="none"/>
              </w:rPr>
              <w:t xml:space="preserve">否则不得分）</w:t>
            </w:r>
            <w:r>
              <w:rPr>
                <w:rFonts w:hint="eastAsia" w:ascii="宋体" w:hAnsi="宋体" w:cs="宋体"/>
                <w:color w:val="000000"/>
                <w:sz w:val="24"/>
                <w:szCs w:val="24"/>
                <w:highlight w:val="none"/>
              </w:rPr>
            </w:r>
            <w:r/>
          </w:p>
        </w:tc>
      </w:tr>
      <w:tr>
        <w:trPr>
          <w:trHeight w:val="1625"/>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项目组成员（不含项目负责人）7人</w:t>
            </w:r>
            <w:r>
              <w:rPr>
                <w:rFonts w:hint="eastAsia" w:ascii="宋体" w:hAnsi="宋体" w:cs="宋体"/>
                <w:color w:val="000000"/>
                <w:sz w:val="24"/>
                <w:szCs w:val="24"/>
                <w:highlight w:val="none"/>
              </w:rPr>
            </w:r>
            <w:r/>
          </w:p>
        </w:tc>
        <w:tc>
          <w:tcPr>
            <w:tcW w:w="2846" w:type="dxa"/>
            <w:vAlign w:val="center"/>
            <w:textDirection w:val="lrTb"/>
            <w:noWrap w:val="false"/>
          </w:tcPr>
          <w:p>
            <w:pPr>
              <w:pStyle w:val="770"/>
              <w:jc w:val="left"/>
              <w:spacing w:line="380" w:lineRule="exact"/>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项目组成员（不含项目负责人）具有</w:t>
            </w:r>
            <w:r>
              <w:rPr>
                <w:rFonts w:hint="eastAsia" w:ascii="宋体" w:hAnsi="宋体" w:cs="宋体"/>
                <w:bCs/>
                <w:color w:val="000000"/>
                <w:sz w:val="24"/>
                <w:szCs w:val="24"/>
                <w:highlight w:val="none"/>
              </w:rPr>
              <w:t xml:space="preserve">国家注册一级造价工程师资格</w:t>
            </w:r>
            <w:r>
              <w:rPr>
                <w:rFonts w:hint="eastAsia" w:ascii="宋体" w:hAnsi="宋体" w:cs="宋体"/>
                <w:color w:val="000000"/>
                <w:sz w:val="24"/>
                <w:szCs w:val="24"/>
                <w:highlight w:val="none"/>
              </w:rPr>
              <w:t xml:space="preserve">（旧版为国家注册造价工程师）的得2分/人，最多得14分；同时具有工程建设类工程师及以上职称的加1分/人，最多加7分。</w:t>
            </w:r>
            <w:r>
              <w:rPr>
                <w:rFonts w:hint="eastAsia" w:ascii="宋体" w:hAnsi="宋体" w:cs="宋体"/>
                <w:bCs/>
                <w:color w:val="000000"/>
                <w:sz w:val="24"/>
                <w:szCs w:val="24"/>
                <w:highlight w:val="none"/>
              </w:rPr>
              <w:t xml:space="preserve">（提供有效证书，以扫描件形式上传至电子投标文件中，否则不得分）</w:t>
            </w:r>
            <w:r>
              <w:rPr>
                <w:rFonts w:hint="eastAsia" w:ascii="宋体" w:hAnsi="宋体" w:cs="宋体"/>
                <w:bCs/>
                <w:color w:val="000000"/>
                <w:sz w:val="24"/>
                <w:szCs w:val="24"/>
                <w:highlight w:val="none"/>
              </w:rPr>
            </w:r>
            <w:r/>
          </w:p>
          <w:p>
            <w:pPr>
              <w:pStyle w:val="770"/>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注：（1）项目组成员须配备4名土建专业人员，3名安装专业人员，每少1个专业人员扣3分，扣完为止。</w:t>
            </w:r>
            <w:r>
              <w:rPr>
                <w:rFonts w:hint="eastAsia" w:ascii="宋体" w:hAnsi="宋体" w:cs="宋体"/>
                <w:color w:val="000000"/>
                <w:sz w:val="24"/>
                <w:szCs w:val="24"/>
                <w:highlight w:val="none"/>
              </w:rPr>
            </w:r>
            <w:r/>
          </w:p>
          <w:p>
            <w:pPr>
              <w:pStyle w:val="770"/>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（2）项目负责人与项目组其他人员不得重复得分且同一人不得多专业重复计分。</w:t>
            </w:r>
            <w:r>
              <w:rPr>
                <w:rFonts w:hint="eastAsia" w:ascii="宋体" w:hAnsi="宋体" w:cs="宋体"/>
                <w:color w:val="000000"/>
                <w:sz w:val="24"/>
                <w:szCs w:val="24"/>
                <w:highlight w:val="none"/>
              </w:rPr>
            </w:r>
            <w:r/>
          </w:p>
          <w:p>
            <w:pPr>
              <w:pStyle w:val="770"/>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（3）人员证书以本单位注册证书为准，否则不得分。</w:t>
            </w:r>
            <w:r>
              <w:rPr>
                <w:rFonts w:hint="eastAsia" w:ascii="宋体" w:hAnsi="宋体" w:cs="宋体"/>
                <w:color w:val="000000"/>
                <w:sz w:val="24"/>
                <w:szCs w:val="24"/>
                <w:highlight w:val="none"/>
              </w:rPr>
            </w:r>
            <w:r/>
          </w:p>
          <w:p>
            <w:pPr>
              <w:pStyle w:val="770"/>
              <w:jc w:val="left"/>
              <w:spacing w:line="3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（4）投标人须提供拟投入本项目的上述人员与投标人签订的有效劳动合同及社保机构出具的（2025年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月-2026年</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月）投标人为其缴纳的养老保险缴费证明材料</w:t>
            </w:r>
            <w:r>
              <w:rPr>
                <w:rFonts w:hint="eastAsia" w:ascii="宋体" w:hAnsi="宋体" w:cs="宋体"/>
                <w:bCs/>
                <w:color w:val="000000"/>
                <w:sz w:val="24"/>
                <w:szCs w:val="24"/>
                <w:highlight w:val="none"/>
              </w:rPr>
              <w:t xml:space="preserve">，以扫描件形式上传至电子投标文件中，</w:t>
            </w:r>
            <w:r>
              <w:rPr>
                <w:rFonts w:hint="eastAsia" w:ascii="宋体" w:hAnsi="宋体" w:cs="宋体"/>
                <w:color w:val="000000"/>
                <w:sz w:val="24"/>
                <w:szCs w:val="24"/>
                <w:highlight w:val="none"/>
              </w:rPr>
              <w:t xml:space="preserve">（劳动保障部门出具的社保证明材料，须加盖社保中心章或社保中心参保缴费证明电子专用章）。若属企业退休人员、现役军人等客观原因无法提供养老保险金缴费证明，必须出具相关证明材料，否则一律按未提供养老保险金缴费证明材料处理。</w:t>
            </w:r>
            <w:r>
              <w:rPr>
                <w:rFonts w:hint="eastAsia" w:ascii="宋体" w:hAnsi="宋体" w:cs="宋体"/>
                <w:color w:val="000000"/>
                <w:sz w:val="24"/>
                <w:szCs w:val="24"/>
                <w:highlight w:val="none"/>
              </w:rPr>
            </w:r>
            <w:r/>
          </w:p>
        </w:tc>
      </w:tr>
      <w:tr>
        <w:trPr>
          <w:trHeight w:val="1625"/>
        </w:trPr>
        <w:tc>
          <w:tcPr>
            <w:tcW w:w="437" w:type="dxa"/>
            <w:vAlign w:val="center"/>
            <w:vMerge w:val="continue"/>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27"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其他因素（6分）</w:t>
            </w:r>
            <w:r>
              <w:rPr>
                <w:rFonts w:hint="eastAsia" w:ascii="宋体" w:hAnsi="宋体" w:cs="宋体"/>
                <w:color w:val="000000"/>
                <w:sz w:val="24"/>
                <w:szCs w:val="24"/>
                <w:highlight w:val="none"/>
              </w:rPr>
            </w:r>
            <w:r/>
          </w:p>
        </w:tc>
        <w:tc>
          <w:tcPr>
            <w:tcW w:w="988" w:type="dxa"/>
            <w:vAlign w:val="center"/>
            <w:textDirection w:val="lrTb"/>
            <w:noWrap w:val="false"/>
          </w:tcPr>
          <w:p>
            <w:pPr>
              <w:pStyle w:val="77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承诺书</w:t>
            </w:r>
            <w:r>
              <w:rPr>
                <w:rFonts w:hint="eastAsia" w:ascii="宋体" w:hAnsi="宋体" w:cs="宋体"/>
                <w:color w:val="000000"/>
                <w:sz w:val="24"/>
                <w:szCs w:val="24"/>
                <w:highlight w:val="none"/>
              </w:rPr>
            </w:r>
            <w:r/>
          </w:p>
        </w:tc>
        <w:tc>
          <w:tcPr>
            <w:tcW w:w="2846" w:type="dxa"/>
            <w:vAlign w:val="center"/>
            <w:textDirection w:val="lrTb"/>
            <w:noWrap w:val="false"/>
          </w:tcPr>
          <w:p>
            <w:pPr>
              <w:pStyle w:val="770"/>
              <w:numPr>
                <w:ilvl w:val="0"/>
                <w:numId w:val="7"/>
              </w:num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投标文件中的所有内容没有失实或弄虚作假。</w:t>
            </w:r>
            <w:r>
              <w:rPr>
                <w:rFonts w:hint="eastAsia" w:ascii="宋体" w:hAnsi="宋体" w:cs="宋体"/>
                <w:color w:val="000000"/>
                <w:sz w:val="24"/>
                <w:szCs w:val="24"/>
                <w:highlight w:val="none"/>
              </w:rPr>
            </w:r>
            <w:r/>
          </w:p>
          <w:p>
            <w:pPr>
              <w:pStyle w:val="770"/>
              <w:numPr>
                <w:ilvl w:val="0"/>
                <w:numId w:val="0"/>
              </w:num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（2）提供的结算报告必须满足招标文件要求。提供上述两项加盖投标人公章承诺书的得6分；格式自拟，未按要求提供不得分。</w:t>
            </w:r>
            <w:r>
              <w:rPr>
                <w:rFonts w:hint="eastAsia" w:ascii="宋体" w:hAnsi="宋体" w:cs="宋体"/>
                <w:color w:val="000000"/>
                <w:sz w:val="24"/>
                <w:szCs w:val="24"/>
                <w:highlight w:val="none"/>
              </w:rPr>
            </w:r>
            <w:r/>
          </w:p>
        </w:tc>
      </w:tr>
    </w:tbl>
    <w:p>
      <w:pPr>
        <w:pStyle w:val="873"/>
        <w:rPr>
          <w:rFonts w:hint="eastAsia" w:ascii="宋体" w:hAnsi="宋体"/>
          <w:color w:val="000000"/>
          <w:szCs w:val="21"/>
          <w:highlight w:val="none"/>
        </w:rPr>
      </w:pPr>
      <w:r>
        <w:rPr>
          <w:rFonts w:hint="eastAsia" w:ascii="宋体" w:hAnsi="宋体"/>
          <w:color w:val="000000"/>
          <w:szCs w:val="21"/>
          <w:highlight w:val="none"/>
        </w:rPr>
      </w:r>
      <w:r/>
    </w:p>
    <w:p>
      <w:pPr>
        <w:pStyle w:val="77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w:t>
      </w:r>
      <w:r>
        <w:rPr>
          <w:rFonts w:hint="eastAsia" w:ascii="宋体" w:hAnsi="宋体" w:cs="宋体"/>
          <w:b/>
          <w:bCs/>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1.实质性要求不得负偏离；否则，按照无效报价处理。</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3.小微企业的扣除</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3.1对小微企业生产的产品给予报价的10%价格扣除，用扣除后的价格参与评审。</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（1）供应商为小企业，且符合中小企业划分标准；</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color w:val="000000"/>
          <w:sz w:val="24"/>
          <w:szCs w:val="24"/>
          <w:highlight w:val="none"/>
        </w:rPr>
      </w:r>
      <w:r/>
    </w:p>
    <w:p>
      <w:pPr>
        <w:pStyle w:val="770"/>
        <w:numPr>
          <w:ilvl w:val="0"/>
          <w:numId w:val="8"/>
        </w:numPr>
        <w:spacing w:line="360" w:lineRule="auto"/>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监狱和戒毒企业的价格扣除</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4.1本项目对监狱和戒毒企业（简称监狱企业），给予10%的价格扣除，用扣除后的价格参与评审。</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4.2监狱企业需提供由省级以上监狱管理局、戒毒管理局（含新疆生产建设兵团）出具的属于监狱企业的证明文件。</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4.3监狱企业标准请参照《关于政府采购支持监狱企业发展有关问题的通知》（财库[2014]68号）。</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5.残疾人福利性单位的价格扣除</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5.1本项目对残疾人福利性单位，给予10%的价格扣除，用扣除后的价格参与评审。</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5.2残疾人福利单位需按照采购文件的要求提供《残疾人福利性单位声明函》。</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5.3残疾人福利单位标准请参照《关于促进残疾人就业政府采购政策的通知》（财库〔2017〕141号）。</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监狱企业、残疾人福利单位属于小型、微型企业的，不重复享受政策。</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6.采购本国产品的支持政策（本项目不采用）</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 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7.所有认证、证明和业绩均以有效的原件扫描件为依据（有特别说明的除外）。</w:t>
      </w:r>
      <w:r>
        <w:rPr>
          <w:rFonts w:hint="eastAsia" w:ascii="宋体" w:hAnsi="宋体" w:cs="宋体"/>
          <w:color w:val="000000"/>
          <w:sz w:val="24"/>
          <w:szCs w:val="24"/>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numPr>
          <w:ilvl w:val="0"/>
          <w:numId w:val="9"/>
        </w:numPr>
        <w:jc w:val="center"/>
        <w:spacing w:line="360" w:lineRule="auto"/>
        <w:rPr>
          <w:rFonts w:hint="eastAsia" w:ascii="宋体" w:hAnsi="宋体" w:cs="宋体"/>
          <w:b/>
          <w:bCs/>
          <w:color w:val="000000"/>
          <w:spacing w:val="-10"/>
          <w:sz w:val="36"/>
          <w:szCs w:val="36"/>
          <w:highlight w:val="none"/>
        </w:rPr>
        <w:outlineLvl w:val="0"/>
      </w:pPr>
      <w:r/>
      <w:bookmarkStart w:id="53" w:name="_Toc7936"/>
      <w:r>
        <w:rPr>
          <w:rFonts w:hint="eastAsia" w:ascii="宋体" w:hAnsi="宋体" w:cs="宋体"/>
          <w:b/>
          <w:bCs/>
          <w:color w:val="000000"/>
          <w:sz w:val="36"/>
          <w:szCs w:val="36"/>
          <w:highlight w:val="none"/>
          <w:lang w:val="zh-CN"/>
        </w:rPr>
        <w:t xml:space="preserve"> </w:t>
      </w:r>
      <w:bookmarkStart w:id="54" w:name="_Toc150538845"/>
      <w:r/>
      <w:bookmarkStart w:id="55" w:name="_Toc368"/>
      <w:r>
        <w:rPr>
          <w:rFonts w:hint="eastAsia" w:ascii="宋体" w:hAnsi="宋体" w:cs="宋体"/>
          <w:b/>
          <w:bCs/>
          <w:color w:val="000000"/>
          <w:spacing w:val="-10"/>
          <w:sz w:val="36"/>
          <w:szCs w:val="36"/>
          <w:highlight w:val="none"/>
        </w:rPr>
        <w:t xml:space="preserve">采购项目技术、规格和数量要求等</w:t>
      </w:r>
      <w:bookmarkEnd w:id="53"/>
      <w:r/>
      <w:bookmarkEnd w:id="54"/>
      <w:r/>
      <w:bookmarkEnd w:id="55"/>
      <w:r>
        <w:rPr>
          <w:rFonts w:hint="eastAsia" w:ascii="宋体" w:hAnsi="宋体" w:cs="宋体"/>
          <w:b/>
          <w:bCs/>
          <w:color w:val="000000"/>
          <w:spacing w:val="-10"/>
          <w:sz w:val="36"/>
          <w:szCs w:val="36"/>
          <w:highlight w:val="none"/>
        </w:rPr>
      </w:r>
      <w:r/>
    </w:p>
    <w:p>
      <w:pPr>
        <w:pStyle w:val="868"/>
        <w:ind w:firstLine="0"/>
        <w:rPr>
          <w:rFonts w:hint="eastAsia" w:cs="宋体"/>
          <w:color w:val="000000"/>
          <w:highlight w:val="none"/>
        </w:rPr>
      </w:pPr>
      <w:r>
        <w:rPr>
          <w:rFonts w:hint="eastAsia" w:cs="宋体"/>
          <w:color w:val="000000"/>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一、项目概况</w:t>
      </w:r>
      <w:r>
        <w:rPr>
          <w:rFonts w:hint="eastAsia" w:ascii="宋体" w:hAnsi="宋体" w:cs="宋体"/>
          <w:b/>
          <w:color w:val="000000"/>
          <w:sz w:val="24"/>
          <w:szCs w:val="24"/>
          <w:highlight w:val="none"/>
        </w:rPr>
      </w:r>
      <w:r/>
    </w:p>
    <w:p>
      <w:pPr>
        <w:pStyle w:val="770"/>
        <w:ind w:firstLine="476"/>
        <w:jc w:val="left"/>
        <w:spacing w:line="360" w:lineRule="auto"/>
        <w:rPr>
          <w:rFonts w:hint="eastAsia" w:ascii="宋体" w:hAnsi="宋体" w:cs="宋体"/>
          <w:bCs/>
          <w:color w:val="000000"/>
          <w:sz w:val="24"/>
          <w:szCs w:val="24"/>
          <w:highlight w:val="none"/>
        </w:rPr>
      </w:pPr>
      <w:r>
        <w:rPr>
          <w:rFonts w:hint="eastAsia" w:ascii="宋体" w:hAnsi="宋体" w:cs="宋体"/>
          <w:color w:val="000000"/>
          <w:spacing w:val="-1"/>
          <w:sz w:val="24"/>
          <w:szCs w:val="24"/>
          <w:highlight w:val="none"/>
        </w:rPr>
        <w:t xml:space="preserve">本项目位于南京市江北新区顶山街道，东至规划路，南至团结路，西至慧谷路，北至园创路。建设内容主要包括</w:t>
      </w:r>
      <w:r>
        <w:rPr>
          <w:rFonts w:hint="eastAsia" w:ascii="宋体" w:hAnsi="宋体" w:cs="宋体"/>
          <w:bCs/>
          <w:color w:val="000000"/>
          <w:sz w:val="24"/>
          <w:szCs w:val="24"/>
          <w:highlight w:val="none"/>
        </w:rPr>
        <w:t xml:space="preserve">“新建小学、初中各一所，项目总建筑面积125300.1平方米，其中，地上建筑面积 82486.89 平方米，地下建筑面积 42813.16 平方米。”项目建安费91131.3800万元。</w:t>
      </w:r>
      <w:r>
        <w:rPr>
          <w:rFonts w:hint="eastAsia" w:ascii="宋体" w:hAnsi="宋体" w:cs="宋体"/>
          <w:bCs/>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二、服务内容及服务期</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服务内容：本次招标范围包括但不限于前期费用、工程建安费以及涉及本工程的所有费用进行结算审核咨询服务。服务范围及工作内容详见附录A。</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合同履行期限：自合同签订之日开始实施至出具正式报告经委托人审核通过并配合完成竣工决算审计工作止。</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三、服务质量要求</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工程造价咨询成果文件应符合：</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1.项目业主（包括主管单位）的相关要求；</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2.财政部、住建部关于建设项目建设财务规范；</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3.财政性资金投资项目相关规范；</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4.《建设工程造价咨询成果文件质量标准》（CECA/GC7-2012）。</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5.投标人提交的咨询成果报告须文字清晰整齐，满足招标人及相关行业对存档资料的要求，相关有较强的可复查性。</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四、验收标准</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符合造价行业主管部门及国家、地方的有关规定。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五、酬金及付款方式</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详见合同文本</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六、审核依据</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协议书；中标通知书（如果有）；投标函及投标函附录（如果有）；专用合同条款及其附件；通用合同条款；技术标准和要求；图纸；已标价工程量清单或预算书；签证及变更文件；其他合同文件等进行现场查勘，量、价、费、人、材、机等全面审查、复核。</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七、审核工作要求</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1.服务的投标人专业人员基本要求</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服务的专业人员应具有较高的业务素质和良好的职业道德，遵守审计纪律，保守秘密，愿意接受区审计局的监督和管理；熟悉工程审计及管理的相关法规政策和业务知识，能够胜任工程审计等工作；无违法、违纪等不良记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2.投标人服务要求</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（1）严格按照相关法律、法规，恪守独立、客观、公正的原则，履行必要的执业规范和程序。</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（2）严格遵循诚实信用的原则，不得损害国家利益、社会公共利益和他人的合法权益。</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（3）严格遵守国家有关保密规定和审计、调查、审核等约定，不得泄露工作中知悉的国家秘密、商业秘密和内部情况，不得擅自将工作中取得的材料和信息透露给任何第三方。</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（4）服从采购人统一指挥和安排，按时保质保量地完成任务。</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（5）所做的工作底稿及参检过程中形成的其他资料应如实反映有关情况，做到事实准确、结论清楚；出具审计或调查报告，对报告承担责任。</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（6）在工作结束后应出具符合执业规范的审计、审核、调查报告等法律文书，并对审计、审核、调查结果负责。</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3.委托协议</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投标人和专业人员提供中介服务时，应根据需求签订审计合同，明确聘用业务的范围、实施聘用业务的时间、完成聘用业务质量和要求、服务收费标准、双方的权利和义务、违约责任等。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4.违约处理</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投标人有下列情形之一的，依法依纪作出处理处罚并扣减或拒付相关费用，视情节轻重解除聘用协议：</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（1）执业过程中，受到监管部门行政处罚的；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（2）隐瞒检查发现的问题或者与被查单位串通舞弊，导致严重质量问题的；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（3）利用受聘工作拉业务或从被查单位获取不正当利益的；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（4）违反保密纪律或回避规定的；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（5）拒绝接受审计业务指导和监督的；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（6）不履行聘请协议规定义务的；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（7）其他导致严重质量问题的等。</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八、报价说明</w:t>
      </w:r>
      <w:r>
        <w:rPr>
          <w:rFonts w:hint="eastAsia" w:ascii="宋体" w:hAnsi="宋体" w:cs="宋体"/>
          <w:b/>
          <w:color w:val="000000"/>
          <w:sz w:val="24"/>
          <w:szCs w:val="24"/>
          <w:highlight w:val="none"/>
        </w:rPr>
      </w:r>
      <w:r/>
    </w:p>
    <w:p>
      <w:pPr>
        <w:pStyle w:val="770"/>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1.施工阶段造价咨询服务费用：计费基数暂按建安工程费91131.3800万元计，以“苏价服[2014]383号文件”编号12栏收费标准×折扣率计取，①基本收费：所有送审合同结算审核的基本收费×  %，②效益收费：按标准计算的效益收费（核增额不计）×  %。最终以工程结算审定建安工程造价扣除设备费用为计费基数。</w:t>
      </w:r>
      <w:r>
        <w:rPr>
          <w:rFonts w:hint="eastAsia" w:ascii="宋体" w:hAnsi="宋体" w:cs="宋体"/>
          <w:bCs/>
          <w:color w:val="000000"/>
          <w:sz w:val="24"/>
          <w:szCs w:val="24"/>
          <w:highlight w:val="none"/>
        </w:rPr>
      </w:r>
      <w:r/>
    </w:p>
    <w:p>
      <w:pPr>
        <w:pStyle w:val="770"/>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报价为全包费用报价，投标报价应是全部工作内容及未说明但完成该项目必须包含的所有全包费用的价格体现。各投标人根据本项目概况和招标人的有关要求，结合自身的经验，对本项目所需费用进行报价，投标报价应包含招标文件所要求投标人完成本项目的咨询费、资料搜集和工作例会费、项目评审费、各项调查费、管理及人员费、专家咨询及会务费以及应由投标人支付的规费及税金等一切费用。</w:t>
      </w:r>
      <w:r>
        <w:rPr>
          <w:rFonts w:hint="eastAsia" w:ascii="宋体" w:hAnsi="宋体" w:cs="宋体"/>
          <w:bCs/>
          <w:color w:val="000000"/>
          <w:sz w:val="24"/>
          <w:szCs w:val="24"/>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73"/>
        <w:rPr>
          <w:rFonts w:hint="eastAsia" w:ascii="宋体" w:hAnsi="宋体"/>
          <w:color w:val="000000"/>
          <w:highlight w:val="none"/>
        </w:rPr>
      </w:pPr>
      <w:r>
        <w:rPr>
          <w:rFonts w:hint="eastAsia" w:ascii="宋体" w:hAnsi="宋体"/>
          <w:color w:val="000000"/>
          <w:highlight w:val="none"/>
        </w:rPr>
      </w:r>
      <w:r/>
    </w:p>
    <w:p>
      <w:pPr>
        <w:pStyle w:val="805"/>
        <w:jc w:val="center"/>
        <w:rPr>
          <w:rFonts w:hint="eastAsia" w:ascii="宋体" w:hAnsi="宋体" w:eastAsia="宋体" w:cs="宋体"/>
          <w:color w:val="000000"/>
          <w:szCs w:val="21"/>
          <w:highlight w:val="none"/>
          <w:lang w:val="zh-CN"/>
        </w:rPr>
        <w:outlineLvl w:val="0"/>
      </w:pPr>
      <w:r/>
      <w:bookmarkStart w:id="56" w:name="_Toc2560"/>
      <w:r/>
      <w:bookmarkStart w:id="57" w:name="_Toc2129"/>
      <w:r>
        <w:rPr>
          <w:rFonts w:hint="eastAsia" w:ascii="宋体" w:hAnsi="宋体" w:eastAsia="宋体" w:cs="宋体"/>
          <w:b/>
          <w:bCs/>
          <w:color w:val="000000"/>
          <w:spacing w:val="-10"/>
          <w:sz w:val="36"/>
          <w:szCs w:val="36"/>
          <w:highlight w:val="none"/>
          <w:lang w:val="zh-CN"/>
        </w:rPr>
        <w:t xml:space="preserve">第五章  合同主要条款及格式</w:t>
      </w:r>
      <w:bookmarkEnd w:id="56"/>
      <w:r/>
      <w:bookmarkEnd w:id="57"/>
      <w:r>
        <w:rPr>
          <w:rFonts w:hint="eastAsia" w:ascii="宋体" w:hAnsi="宋体" w:eastAsia="宋体" w:cs="宋体"/>
          <w:color w:val="000000"/>
          <w:szCs w:val="21"/>
          <w:highlight w:val="none"/>
          <w:lang w:val="zh-CN"/>
        </w:rPr>
      </w:r>
      <w:r/>
    </w:p>
    <w:p>
      <w:pPr>
        <w:pStyle w:val="770"/>
        <w:jc w:val="left"/>
        <w:spacing w:line="360" w:lineRule="auto"/>
        <w:rPr>
          <w:rFonts w:hint="eastAsia" w:ascii="宋体" w:hAnsi="宋体" w:cs="宋体"/>
          <w:bCs/>
          <w:color w:val="000000"/>
          <w:sz w:val="30"/>
          <w:szCs w:val="30"/>
          <w:highlight w:val="none"/>
        </w:rPr>
      </w:pPr>
      <w:r/>
      <w:bookmarkEnd w:id="27"/>
      <w:r/>
      <w:bookmarkStart w:id="58" w:name="_Toc16496"/>
      <w:r>
        <w:rPr>
          <w:rFonts w:hint="eastAsia" w:ascii="宋体" w:hAnsi="宋体" w:cs="宋体"/>
          <w:bCs/>
          <w:color w:val="000000"/>
          <w:sz w:val="30"/>
          <w:szCs w:val="30"/>
          <w:highlight w:val="none"/>
        </w:rPr>
      </w:r>
      <w:r/>
    </w:p>
    <w:p>
      <w:pPr>
        <w:pStyle w:val="770"/>
        <w:jc w:val="left"/>
        <w:spacing w:line="36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r>
      <w:r/>
    </w:p>
    <w:p>
      <w:pPr>
        <w:pStyle w:val="770"/>
        <w:jc w:val="left"/>
        <w:spacing w:line="360" w:lineRule="auto"/>
        <w:rPr>
          <w:rFonts w:hint="eastAsia" w:ascii="宋体" w:hAnsi="宋体" w:cs="宋体"/>
          <w:b/>
          <w:color w:val="000000"/>
          <w:sz w:val="52"/>
          <w:szCs w:val="52"/>
          <w:highlight w:val="none"/>
        </w:rPr>
      </w:pPr>
      <w:r>
        <w:rPr>
          <w:rFonts w:hint="eastAsia" w:ascii="宋体" w:hAnsi="宋体" w:cs="宋体"/>
          <w:bCs/>
          <w:color w:val="000000"/>
          <w:sz w:val="30"/>
          <w:szCs w:val="30"/>
          <w:highlight w:val="none"/>
        </w:rPr>
        <w:t xml:space="preserve">GF—2015—0212</w:t>
      </w:r>
      <w:r>
        <w:rPr>
          <w:rFonts w:hint="eastAsia" w:ascii="宋体" w:hAnsi="宋体" w:cs="宋体"/>
          <w:b/>
          <w:color w:val="000000"/>
          <w:sz w:val="52"/>
          <w:szCs w:val="52"/>
          <w:highlight w:val="none"/>
        </w:rPr>
      </w:r>
      <w:r/>
    </w:p>
    <w:p>
      <w:pPr>
        <w:pStyle w:val="770"/>
        <w:ind w:firstLine="5421"/>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合同编号：_________</w:t>
      </w:r>
      <w:r>
        <w:rPr>
          <w:rFonts w:hint="eastAsia" w:ascii="宋体" w:hAnsi="宋体" w:cs="宋体"/>
          <w:b/>
          <w:color w:val="000000"/>
          <w:sz w:val="30"/>
          <w:szCs w:val="30"/>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spacing w:line="360" w:lineRule="auto"/>
        <w:rPr>
          <w:rFonts w:hint="eastAsia" w:ascii="宋体" w:hAnsi="宋体" w:cs="宋体"/>
          <w:color w:val="000000"/>
          <w:sz w:val="22"/>
          <w:highlight w:val="none"/>
        </w:rPr>
      </w:pPr>
      <w:r>
        <w:rPr>
          <w:rFonts w:hint="eastAsia" w:ascii="宋体" w:hAnsi="宋体" w:cs="宋体"/>
          <w:b/>
          <w:color w:val="000000"/>
          <w:sz w:val="72"/>
          <w:szCs w:val="72"/>
          <w:highlight w:val="none"/>
        </w:rPr>
        <w:t xml:space="preserve">建设工程造价咨询合同</w:t>
      </w:r>
      <w:r>
        <w:rPr>
          <w:rFonts w:hint="eastAsia" w:ascii="宋体" w:hAnsi="宋体" w:cs="宋体"/>
          <w:color w:val="000000"/>
          <w:sz w:val="22"/>
          <w:highlight w:val="none"/>
        </w:rPr>
      </w:r>
      <w:r/>
    </w:p>
    <w:p>
      <w:pPr>
        <w:pStyle w:val="77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rPr>
          <w:rFonts w:hint="eastAsia" w:ascii="宋体" w:hAnsi="宋体" w:cs="宋体"/>
          <w:b/>
          <w:color w:val="000000"/>
          <w:sz w:val="52"/>
          <w:szCs w:val="52"/>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2409"/>
        <w:jc w:val="left"/>
        <w:spacing w:line="360" w:lineRule="auto"/>
        <w:rPr>
          <w:rFonts w:hint="eastAsia" w:ascii="宋体" w:hAnsi="宋体" w:cs="宋体"/>
          <w:bCs/>
          <w:smallCaps/>
          <w:color w:val="000000"/>
          <w:sz w:val="32"/>
          <w:szCs w:val="32"/>
          <w:highlight w:val="none"/>
        </w:rPr>
      </w:pPr>
      <w:r>
        <w:rPr>
          <w:rFonts w:hint="eastAsia" w:ascii="宋体" w:hAnsi="宋体" w:cs="宋体"/>
          <w:b/>
          <w:bCs/>
          <w:smallCaps/>
          <w:color w:val="000000"/>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3973830</wp:posOffset>
                </wp:positionH>
                <wp:positionV relativeFrom="paragraph">
                  <wp:posOffset>59690</wp:posOffset>
                </wp:positionV>
                <wp:extent cx="966470" cy="35496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66470" cy="354965"/>
                        </a:xfrm>
                        <a:prstGeom prst="rect">
                          <a:avLst/>
                        </a:prstGeom>
                        <a:solidFill>
                          <a:srgbClr val="FFFFFF"/>
                        </a:solidFill>
                        <a:ln>
                          <a:solidFill>
                            <a:srgbClr val="FFFFFF"/>
                          </a:solidFill>
                        </a:ln>
                      </wps:spPr>
                      <wps:txbx>
                        <w:txbxContent>
                          <w:p>
                            <w:pPr>
                              <w:pStyle w:val="770"/>
                              <w:rPr>
                                <w:b/>
                                <w:sz w:val="32"/>
                                <w:szCs w:val="32"/>
                              </w:rPr>
                            </w:pPr>
                            <w:r>
                              <w:rPr>
                                <w:rFonts w:hint="eastAsia"/>
                                <w:b/>
                                <w:sz w:val="32"/>
                                <w:szCs w:val="32"/>
                              </w:rPr>
                              <w:t xml:space="preserve">制定</w:t>
                            </w:r>
                            <w:r>
                              <w:rPr>
                                <w:b/>
                                <w:sz w:val="32"/>
                                <w:szCs w:val="32"/>
                              </w:rPr>
                            </w:r>
                            <w:r/>
                          </w:p>
                          <w:p>
                            <w:pPr>
                              <w:pStyle w:val="770"/>
                            </w:pPr>
                            <w:r/>
                            <w:r/>
                          </w:p>
                        </w:txbxContent>
                      </wps:txbx>
                      <wps:bodyPr wrap="square" upright="1">
                        <a:spAutoFit/>
                      </wps:bodyPr>
                    </wps:wsp>
                  </a:graphicData>
                </a:graphic>
              </wp:anchor>
            </w:drawing>
          </mc:Choice>
          <mc:Fallback>
            <w:pict>
              <v:shape id="shape 1" o:spid="_x0000_s1" o:spt="202" type="#_x0000_t202" style="position:absolute;z-index:524288;o:allowoverlap:true;o:allowincell:true;mso-position-horizontal-relative:text;margin-left:312.9pt;mso-position-horizontal:absolute;mso-position-vertical-relative:text;margin-top:4.7pt;mso-position-vertical:absolute;width:76.1pt;height:27.9pt;mso-wrap-distance-left:9.0pt;mso-wrap-distance-top:0.0pt;mso-wrap-distance-right:9.0pt;mso-wrap-distance-bottom:0.0pt;visibility:visible;" fillcolor="#FFFFFF" strokecolor="#FFFFFF">
                <v:textbox inset="0,0,0,0">
                  <w:txbxContent>
                    <w:p>
                      <w:pPr>
                        <w:pStyle w:val="770"/>
                        <w:rPr>
                          <w:b/>
                          <w:sz w:val="32"/>
                          <w:szCs w:val="32"/>
                        </w:rPr>
                      </w:pPr>
                      <w:r>
                        <w:rPr>
                          <w:rFonts w:hint="eastAsia"/>
                          <w:b/>
                          <w:sz w:val="32"/>
                          <w:szCs w:val="32"/>
                        </w:rPr>
                        <w:t xml:space="preserve">制定</w:t>
                      </w:r>
                      <w:r>
                        <w:rPr>
                          <w:b/>
                          <w:sz w:val="32"/>
                          <w:szCs w:val="32"/>
                        </w:rPr>
                      </w:r>
                      <w:r/>
                    </w:p>
                    <w:p>
                      <w:pPr>
                        <w:pStyle w:val="770"/>
                      </w:pPr>
                      <w:r/>
                      <w:r/>
                    </w:p>
                  </w:txbxContent>
                </v:textbox>
              </v:shape>
            </w:pict>
          </mc:Fallback>
        </mc:AlternateContent>
      </w:r>
      <w:r>
        <w:rPr>
          <w:rFonts w:hint="eastAsia" w:ascii="宋体" w:hAnsi="宋体" w:cs="宋体"/>
          <w:bCs/>
          <w:smallCaps/>
          <w:color w:val="000000"/>
          <w:sz w:val="32"/>
          <w:szCs w:val="32"/>
          <w:highlight w:val="none"/>
        </w:rPr>
        <w:t xml:space="preserve">住房和城乡建设部</w:t>
      </w:r>
      <w:r>
        <w:rPr>
          <w:rFonts w:hint="eastAsia" w:ascii="宋体" w:hAnsi="宋体" w:cs="宋体"/>
          <w:bCs/>
          <w:smallCaps/>
          <w:color w:val="000000"/>
          <w:sz w:val="32"/>
          <w:szCs w:val="32"/>
          <w:highlight w:val="none"/>
        </w:rPr>
      </w:r>
      <w:r/>
    </w:p>
    <w:p>
      <w:pPr>
        <w:pStyle w:val="770"/>
        <w:ind w:firstLine="2400"/>
        <w:jc w:val="left"/>
        <w:spacing w:line="360" w:lineRule="auto"/>
        <w:rPr>
          <w:rFonts w:hint="eastAsia" w:ascii="宋体" w:hAnsi="宋体" w:cs="宋体"/>
          <w:bCs/>
          <w:smallCaps/>
          <w:color w:val="000000"/>
          <w:sz w:val="32"/>
          <w:szCs w:val="32"/>
          <w:highlight w:val="none"/>
        </w:rPr>
      </w:pPr>
      <w:r>
        <w:rPr>
          <w:rFonts w:hint="eastAsia" w:ascii="宋体" w:hAnsi="宋体" w:cs="宋体"/>
          <w:bCs/>
          <w:smallCaps/>
          <w:color w:val="000000"/>
          <w:sz w:val="32"/>
          <w:szCs w:val="32"/>
          <w:highlight w:val="none"/>
        </w:rPr>
        <w:t xml:space="preserve">国家工商行政管理总局</w:t>
      </w:r>
      <w:r>
        <w:rPr>
          <w:rFonts w:hint="eastAsia" w:ascii="宋体" w:hAnsi="宋体" w:cs="宋体"/>
          <w:bCs/>
          <w:smallCaps/>
          <w:color w:val="000000"/>
          <w:sz w:val="32"/>
          <w:szCs w:val="32"/>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spacing w:line="360" w:lineRule="auto"/>
        <w:rPr>
          <w:rFonts w:hint="eastAsia" w:ascii="宋体" w:hAnsi="宋体" w:cs="宋体"/>
          <w:b/>
          <w:bCs/>
          <w:color w:val="000000"/>
          <w:sz w:val="30"/>
          <w:szCs w:val="30"/>
          <w:highlight w:val="none"/>
        </w:rPr>
        <w:outlineLvl w:val="1"/>
      </w:pPr>
      <w:r/>
      <w:bookmarkStart w:id="59" w:name="_Toc217581220"/>
      <w:r/>
      <w:bookmarkStart w:id="60" w:name="_Toc190435187"/>
      <w:r/>
      <w:bookmarkStart w:id="61" w:name="_Toc184916288"/>
      <w:r/>
      <w:bookmarkStart w:id="62" w:name="_Toc23607"/>
      <w:r>
        <w:rPr>
          <w:rFonts w:hint="eastAsia" w:ascii="宋体" w:hAnsi="宋体" w:cs="宋体"/>
          <w:b/>
          <w:bCs/>
          <w:color w:val="000000"/>
          <w:sz w:val="30"/>
          <w:szCs w:val="30"/>
          <w:highlight w:val="none"/>
        </w:rPr>
        <w:t xml:space="preserve">第一部分 建设工程造价咨询协议书</w:t>
      </w:r>
      <w:bookmarkEnd w:id="59"/>
      <w:r/>
      <w:bookmarkEnd w:id="60"/>
      <w:r/>
      <w:bookmarkEnd w:id="61"/>
      <w:r/>
      <w:bookmarkEnd w:id="62"/>
      <w:r>
        <w:rPr>
          <w:rFonts w:hint="eastAsia" w:ascii="宋体" w:hAnsi="宋体" w:cs="宋体"/>
          <w:b/>
          <w:bCs/>
          <w:color w:val="000000"/>
          <w:sz w:val="30"/>
          <w:szCs w:val="30"/>
          <w:highlight w:val="none"/>
        </w:rPr>
      </w:r>
      <w:r/>
    </w:p>
    <w:p>
      <w:pPr>
        <w:pStyle w:val="770"/>
        <w:jc w:val="left"/>
        <w:spacing w:line="360" w:lineRule="auto"/>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rPr>
        <w:t xml:space="preserve">委托人：</w:t>
      </w:r>
      <w:r>
        <w:rPr>
          <w:rFonts w:hint="eastAsia" w:ascii="宋体" w:hAnsi="宋体" w:cs="宋体"/>
          <w:b/>
          <w:bCs/>
          <w:color w:val="000000"/>
          <w:sz w:val="24"/>
          <w:szCs w:val="24"/>
          <w:highlight w:val="none"/>
          <w:u w:val="single"/>
          <w:lang w:bidi="zh-CN"/>
        </w:rPr>
        <w:t xml:space="preserve">南京市江北新区公共工程建设中心（代建单位）       </w:t>
      </w:r>
      <w:r>
        <w:rPr>
          <w:rFonts w:hint="eastAsia" w:ascii="宋体" w:hAnsi="宋体" w:cs="宋体"/>
          <w:b/>
          <w:bCs/>
          <w:color w:val="000000"/>
          <w:sz w:val="24"/>
          <w:szCs w:val="24"/>
          <w:highlight w:val="none"/>
          <w:u w:val="single"/>
        </w:rPr>
      </w:r>
      <w:r/>
    </w:p>
    <w:p>
      <w:pPr>
        <w:pStyle w:val="770"/>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咨询人：</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r>
      <w:r/>
    </w:p>
    <w:p>
      <w:pPr>
        <w:pStyle w:val="770"/>
        <w:ind w:firstLine="480"/>
        <w:jc w:val="left"/>
        <w:spacing w:line="360" w:lineRule="auto"/>
        <w:rPr>
          <w:rFonts w:hint="eastAsia" w:ascii="宋体" w:hAnsi="宋体" w:cs="宋体"/>
          <w:b/>
          <w:bCs/>
          <w:color w:val="000000"/>
          <w:sz w:val="24"/>
          <w:szCs w:val="24"/>
          <w:highlight w:val="none"/>
        </w:rPr>
      </w:pPr>
      <w:r>
        <w:rPr>
          <w:rFonts w:hint="eastAsia" w:ascii="宋体" w:hAnsi="宋体" w:cs="宋体"/>
          <w:color w:val="000000"/>
          <w:sz w:val="24"/>
          <w:highlight w:val="none"/>
        </w:rPr>
        <w:t xml:space="preserve">鉴于代建单位公建中心与建设单位南京江北新区管委会教育局签订了《委托代建合同》，本项目建设单位系南京江北新区管委会教育局，公建中心是受托方。本合同中咨询人对该委托关系知晓且认可，南京江北新区管委会教育局按照《委托代建合同》约定，履行落实资金的职责，公建中心作为代建单位履行发包人的设计管理职责。根据《中华人民共和国民法典》、《中华人民共和国建筑法》及有关法律规定，遵循平等、自愿、公平和诚实信用的原则，双方就</w:t>
      </w:r>
      <w:r>
        <w:rPr>
          <w:rFonts w:hint="eastAsia" w:ascii="宋体" w:hAnsi="宋体" w:cs="宋体"/>
          <w:color w:val="000000"/>
          <w:sz w:val="24"/>
          <w:szCs w:val="24"/>
          <w:highlight w:val="none"/>
          <w:u w:val="single"/>
          <w:lang w:bidi="zh-CN"/>
        </w:rPr>
        <w:t xml:space="preserve"> 江北新区滨江实验学校工程（南外）结算审核咨询服务</w:t>
      </w:r>
      <w:r>
        <w:rPr>
          <w:rFonts w:hint="eastAsia" w:ascii="宋体" w:hAnsi="宋体" w:cs="宋体"/>
          <w:color w:val="000000"/>
          <w:sz w:val="24"/>
          <w:highlight w:val="none"/>
        </w:rPr>
        <w:t xml:space="preserve">及有关事项协商一致，共同达成如下协议：</w:t>
      </w:r>
      <w:r>
        <w:rPr>
          <w:rFonts w:hint="eastAsia" w:ascii="宋体" w:hAnsi="宋体" w:cs="宋体"/>
          <w:b/>
          <w:bCs/>
          <w:color w:val="000000"/>
          <w:sz w:val="24"/>
          <w:szCs w:val="24"/>
          <w:highlight w:val="none"/>
        </w:rPr>
      </w:r>
      <w:r/>
    </w:p>
    <w:p>
      <w:pPr>
        <w:pStyle w:val="770"/>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一、工程概况</w:t>
      </w:r>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1.工程名称：</w:t>
      </w:r>
      <w:r>
        <w:rPr>
          <w:rFonts w:hint="eastAsia" w:ascii="宋体" w:hAnsi="宋体" w:cs="宋体"/>
          <w:color w:val="000000"/>
          <w:sz w:val="24"/>
          <w:szCs w:val="24"/>
          <w:highlight w:val="none"/>
          <w:u w:val="single"/>
          <w:lang w:bidi="zh-CN"/>
        </w:rPr>
        <w:t xml:space="preserve"> 江北新区滨江实验学校工程（南外）结算审核咨询服务</w:t>
      </w:r>
      <w:r>
        <w:rPr>
          <w:rFonts w:hint="eastAsia" w:ascii="宋体" w:hAnsi="宋体" w:cs="宋体"/>
          <w:color w:val="000000"/>
          <w:sz w:val="24"/>
          <w:szCs w:val="24"/>
          <w:highlight w:val="none"/>
          <w:u w:val="single"/>
          <w:lang w:bidi="zh-CN"/>
        </w:rPr>
      </w:r>
      <w:r/>
    </w:p>
    <w:p>
      <w:pPr>
        <w:pStyle w:val="770"/>
        <w:ind w:firstLine="480"/>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2.工程地点：</w:t>
      </w:r>
      <w:r>
        <w:rPr>
          <w:rFonts w:hint="eastAsia" w:ascii="宋体" w:hAnsi="宋体" w:cs="宋体"/>
          <w:color w:val="000000"/>
          <w:sz w:val="24"/>
          <w:szCs w:val="24"/>
          <w:highlight w:val="none"/>
          <w:u w:val="single"/>
          <w:lang w:bidi="zh-CN"/>
        </w:rPr>
        <w:t xml:space="preserve">南京市江北新区顶山街道，东至规划路，南至团结路，西至慧谷路，北至园创路</w:t>
      </w:r>
      <w:r>
        <w:rPr>
          <w:rFonts w:hint="eastAsia" w:ascii="宋体" w:hAnsi="宋体" w:cs="宋体"/>
          <w:color w:val="000000"/>
          <w:sz w:val="24"/>
          <w:szCs w:val="24"/>
          <w:highlight w:val="none"/>
          <w:u w:val="single"/>
          <w:lang w:bidi="zh-CN"/>
        </w:rPr>
      </w:r>
      <w:r/>
    </w:p>
    <w:p>
      <w:pPr>
        <w:pStyle w:val="770"/>
        <w:ind w:firstLine="480"/>
        <w:jc w:val="left"/>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3.工程规模：</w:t>
      </w:r>
      <w:r>
        <w:rPr>
          <w:rFonts w:hint="eastAsia" w:ascii="宋体" w:hAnsi="宋体" w:cs="宋体"/>
          <w:color w:val="000000"/>
          <w:sz w:val="24"/>
          <w:szCs w:val="24"/>
          <w:highlight w:val="none"/>
          <w:u w:val="single"/>
        </w:rPr>
        <w:t xml:space="preserve">建设内容主要包括“新建小学、初中各一所，项目总建筑面积125300.1平方米，其中，地上建筑面积 82486.89 平方米，地下建筑面积 42813.16 平方米。”项目建安费91131.3800万元。</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4.投资金额：</w:t>
      </w:r>
      <w:r>
        <w:rPr>
          <w:rFonts w:hint="eastAsia" w:ascii="宋体" w:hAnsi="宋体" w:cs="宋体"/>
          <w:color w:val="000000"/>
          <w:sz w:val="24"/>
          <w:szCs w:val="24"/>
          <w:highlight w:val="none"/>
          <w:u w:val="single"/>
          <w:lang w:bidi="zh-CN"/>
        </w:rPr>
        <w:t xml:space="preserve">总投资估算约</w:t>
      </w:r>
      <w:r>
        <w:rPr>
          <w:rFonts w:hint="eastAsia" w:ascii="宋体" w:hAnsi="宋体" w:cs="宋体"/>
          <w:color w:val="000000"/>
          <w:sz w:val="24"/>
          <w:szCs w:val="24"/>
          <w:highlight w:val="none"/>
          <w:u w:val="single"/>
        </w:rPr>
        <w:t xml:space="preserve">91131.3800</w:t>
      </w:r>
      <w:r>
        <w:rPr>
          <w:rFonts w:hint="eastAsia" w:ascii="宋体" w:hAnsi="宋体" w:cs="宋体"/>
          <w:color w:val="000000"/>
          <w:sz w:val="24"/>
          <w:szCs w:val="24"/>
          <w:highlight w:val="none"/>
          <w:u w:val="single"/>
          <w:lang w:bidi="zh-CN"/>
        </w:rPr>
        <w:t xml:space="preserve">万元</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5.资金来源：</w:t>
      </w:r>
      <w:r>
        <w:rPr>
          <w:rFonts w:hint="eastAsia" w:ascii="宋体" w:hAnsi="宋体" w:cs="宋体"/>
          <w:color w:val="000000"/>
          <w:sz w:val="24"/>
          <w:szCs w:val="24"/>
          <w:highlight w:val="none"/>
          <w:u w:val="single"/>
          <w:lang w:bidi="zh-CN"/>
        </w:rPr>
        <w:t xml:space="preserve">国有政府性资金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6.建设工期或周期：</w:t>
      </w:r>
      <w:r>
        <w:rPr>
          <w:rFonts w:hint="eastAsia" w:ascii="宋体" w:hAnsi="宋体" w:cs="宋体"/>
          <w:bCs/>
          <w:color w:val="000000"/>
          <w:sz w:val="24"/>
          <w:szCs w:val="24"/>
          <w:highlight w:val="none"/>
          <w:u w:val="single"/>
        </w:rPr>
        <w:t xml:space="preserve">自合同签订之日开始实施至出具正式报告经委托人审核通过并配合完成竣工决算审计工作止。</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63" w:name="_Toc66723111"/>
      <w:r/>
      <w:bookmarkStart w:id="64" w:name="_Toc422322472"/>
      <w:r/>
      <w:bookmarkStart w:id="65" w:name="_Toc419045059"/>
      <w:r>
        <w:rPr>
          <w:rFonts w:hint="eastAsia" w:ascii="宋体" w:hAnsi="宋体" w:cs="宋体"/>
          <w:b/>
          <w:color w:val="000000"/>
          <w:sz w:val="24"/>
          <w:szCs w:val="24"/>
          <w:highlight w:val="none"/>
        </w:rPr>
        <w:t xml:space="preserve">二、服务范围及工作内容</w:t>
      </w:r>
      <w:bookmarkEnd w:id="63"/>
      <w:r/>
      <w:bookmarkEnd w:id="64"/>
      <w:r/>
      <w:bookmarkEnd w:id="6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双方约定的服务范围及工作内容：</w:t>
      </w:r>
      <w:r>
        <w:rPr>
          <w:rFonts w:hint="eastAsia" w:ascii="宋体" w:hAnsi="宋体" w:cs="宋体"/>
          <w:color w:val="000000"/>
          <w:sz w:val="24"/>
          <w:szCs w:val="24"/>
          <w:highlight w:val="none"/>
          <w:u w:val="single"/>
        </w:rPr>
        <w:t xml:space="preserve">包括但不限于前期费用、工程建安费以及涉及本工程的所有费用进行结算审核咨询服务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服务范围及工作内容详见附录A。</w:t>
      </w:r>
      <w:bookmarkStart w:id="66" w:name="9"/>
      <w:r/>
      <w:bookmarkStart w:id="67" w:name="_Toc419045060"/>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68" w:name="_Toc66723112"/>
      <w:r/>
      <w:bookmarkStart w:id="69" w:name="_Toc422322473"/>
      <w:r>
        <w:rPr>
          <w:rFonts w:hint="eastAsia" w:ascii="宋体" w:hAnsi="宋体" w:cs="宋体"/>
          <w:b/>
          <w:color w:val="000000"/>
          <w:sz w:val="24"/>
          <w:szCs w:val="24"/>
          <w:highlight w:val="none"/>
        </w:rPr>
        <w:t xml:space="preserve">三、服务项目与工作计划期限</w:t>
      </w:r>
      <w:bookmarkEnd w:id="67"/>
      <w:r/>
      <w:bookmarkEnd w:id="68"/>
      <w:r/>
      <w:bookmarkEnd w:id="69"/>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bookmarkEnd w:id="66"/>
      <w:r/>
      <w:bookmarkStart w:id="70" w:name="_Toc66723113"/>
      <w:r/>
      <w:bookmarkStart w:id="71" w:name="_Toc422322474"/>
      <w:r/>
      <w:bookmarkStart w:id="72" w:name="_Toc419045061"/>
      <w:r>
        <w:rPr>
          <w:rFonts w:hint="eastAsia" w:ascii="宋体" w:hAnsi="宋体" w:cs="宋体"/>
          <w:color w:val="000000"/>
          <w:sz w:val="24"/>
          <w:szCs w:val="24"/>
          <w:highlight w:val="none"/>
          <w:u w:val="single"/>
        </w:rPr>
        <w:t xml:space="preserve">本合同服务为项目服务，</w:t>
      </w:r>
      <w:r>
        <w:rPr>
          <w:rFonts w:hint="eastAsia" w:ascii="宋体" w:hAnsi="宋体" w:cs="宋体"/>
          <w:bCs/>
          <w:color w:val="000000"/>
          <w:sz w:val="24"/>
          <w:szCs w:val="24"/>
          <w:highlight w:val="none"/>
          <w:u w:val="single"/>
        </w:rPr>
        <w:t xml:space="preserve">自合同签订之日开始实施至出具正式报告经委托人审核通过并配合完成竣工决算审计工作止。</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四、质量标准</w:t>
      </w:r>
      <w:bookmarkEnd w:id="70"/>
      <w:r/>
      <w:bookmarkEnd w:id="71"/>
      <w:r/>
      <w:bookmarkEnd w:id="7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工程造价咨询成果文件应符合：</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1.项目业主（包括主管单位）的相关要求；</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2.财政部、住建部关于建设项目建设财务规范；</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3.财政性资金投资项目相关规范；</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4.《建设工程造价咨询成果文件质量标准》（CECA/GC7-2012）。</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73" w:name="_Toc419045062"/>
      <w:r/>
      <w:bookmarkStart w:id="74" w:name="_Toc422322475"/>
      <w:r/>
      <w:bookmarkStart w:id="75" w:name="_Toc66723114"/>
      <w:r>
        <w:rPr>
          <w:rFonts w:hint="eastAsia" w:ascii="宋体" w:hAnsi="宋体" w:cs="宋体"/>
          <w:b/>
          <w:color w:val="000000"/>
          <w:sz w:val="24"/>
          <w:szCs w:val="24"/>
          <w:highlight w:val="none"/>
        </w:rPr>
        <w:t xml:space="preserve">五、酬金或计取方式</w:t>
      </w:r>
      <w:bookmarkEnd w:id="73"/>
      <w:r/>
      <w:bookmarkEnd w:id="74"/>
      <w:r/>
      <w:bookmarkEnd w:id="7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1.酬金：计费基数暂按建安工程费91131.38005元计，以“苏价服[2014]383号文件”编号12栏收费标准×折扣率计取，</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①基本收费：所有送审合同结算审核的基本收费×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②效益收费：按标准计算的效益收费（核增额不计）×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最终以工程结算审定建安工程造价扣除设备费用为计费基数。</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酬金或计取方式详见附录A。</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76" w:name="_Toc422322476"/>
      <w:r/>
      <w:bookmarkStart w:id="77" w:name="_Toc66723115"/>
      <w:r/>
      <w:bookmarkStart w:id="78" w:name="_Toc419045058"/>
      <w:r>
        <w:rPr>
          <w:rFonts w:hint="eastAsia" w:ascii="宋体" w:hAnsi="宋体" w:cs="宋体"/>
          <w:b/>
          <w:color w:val="000000"/>
          <w:sz w:val="24"/>
          <w:szCs w:val="24"/>
          <w:highlight w:val="none"/>
        </w:rPr>
        <w:t xml:space="preserve">六、合同文件的构成</w:t>
      </w:r>
      <w:bookmarkEnd w:id="76"/>
      <w:r/>
      <w:bookmarkEnd w:id="77"/>
      <w:r/>
      <w:bookmarkEnd w:id="7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本协议书与下列文件一起构成合同文件：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1.中标通知书或委托书（如果有）；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2.投标函及投标函附录或造价咨询服务建议书（如果有）；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3.专用条件及附录；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4.通用条件；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5.其他合同文件。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在合同订立及履行过程中形成的与合同有关的文件（包括补充协议）均构成合同文件的组成部分。</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79" w:name="_Toc419045057"/>
      <w:r/>
      <w:bookmarkStart w:id="80" w:name="_Toc422322477"/>
      <w:r/>
      <w:bookmarkStart w:id="81" w:name="_Toc66723116"/>
      <w:r>
        <w:rPr>
          <w:rFonts w:hint="eastAsia" w:ascii="宋体" w:hAnsi="宋体" w:cs="宋体"/>
          <w:b/>
          <w:color w:val="000000"/>
          <w:sz w:val="24"/>
          <w:szCs w:val="24"/>
          <w:highlight w:val="none"/>
        </w:rPr>
        <w:t xml:space="preserve">七、</w:t>
      </w:r>
      <w:bookmarkStart w:id="82" w:name="8"/>
      <w:r>
        <w:rPr>
          <w:rFonts w:hint="eastAsia" w:ascii="宋体" w:hAnsi="宋体" w:cs="宋体"/>
          <w:b/>
          <w:color w:val="000000"/>
          <w:sz w:val="24"/>
          <w:szCs w:val="24"/>
          <w:highlight w:val="none"/>
        </w:rPr>
        <w:t xml:space="preserve">词语</w:t>
      </w:r>
      <w:bookmarkEnd w:id="79"/>
      <w:r>
        <w:rPr>
          <w:rFonts w:hint="eastAsia" w:ascii="宋体" w:hAnsi="宋体" w:cs="宋体"/>
          <w:b/>
          <w:color w:val="000000"/>
          <w:sz w:val="24"/>
          <w:szCs w:val="24"/>
          <w:highlight w:val="none"/>
        </w:rPr>
        <w:t xml:space="preserve">定义</w:t>
      </w:r>
      <w:bookmarkEnd w:id="80"/>
      <w:r/>
      <w:bookmarkEnd w:id="81"/>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协议书中相关词语的含义与通用条件中的定义与解释相同。</w:t>
      </w:r>
      <w:bookmarkEnd w:id="82"/>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83" w:name="_Toc422322478"/>
      <w:r/>
      <w:bookmarkStart w:id="84" w:name="_Toc66723117"/>
      <w:r/>
      <w:bookmarkStart w:id="85" w:name="_Toc419045063"/>
      <w:r>
        <w:rPr>
          <w:rFonts w:hint="eastAsia" w:ascii="宋体" w:hAnsi="宋体" w:cs="宋体"/>
          <w:b/>
          <w:color w:val="000000"/>
          <w:sz w:val="24"/>
          <w:szCs w:val="24"/>
          <w:highlight w:val="none"/>
        </w:rPr>
        <w:t xml:space="preserve">八、合同订立</w:t>
      </w:r>
      <w:bookmarkEnd w:id="83"/>
      <w:r/>
      <w:bookmarkEnd w:id="84"/>
      <w:r/>
      <w:bookmarkEnd w:id="8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1.订立时间：2026年   月   日。</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2.订立地点：南京市江北新区。</w:t>
      </w:r>
      <w:r>
        <w:rPr>
          <w:rFonts w:hint="eastAsia" w:ascii="宋体" w:hAnsi="宋体" w:cs="宋体"/>
          <w:color w:val="000000"/>
          <w:sz w:val="24"/>
          <w:szCs w:val="24"/>
          <w:highlight w:val="none"/>
        </w:rPr>
      </w:r>
      <w:r/>
    </w:p>
    <w:p>
      <w:pPr>
        <w:pStyle w:val="770"/>
        <w:jc w:val="left"/>
        <w:spacing w:line="360" w:lineRule="auto"/>
        <w:rPr>
          <w:rFonts w:hint="eastAsia" w:ascii="宋体" w:hAnsi="宋体" w:cs="宋体"/>
          <w:b/>
          <w:color w:val="000000"/>
          <w:sz w:val="24"/>
          <w:szCs w:val="24"/>
          <w:highlight w:val="none"/>
        </w:rPr>
      </w:pPr>
      <w:r/>
      <w:bookmarkStart w:id="86" w:name="_Toc419045064"/>
      <w:r/>
      <w:bookmarkStart w:id="87" w:name="_Toc422322479"/>
      <w:r/>
      <w:bookmarkStart w:id="88" w:name="_Toc66723118"/>
      <w:r>
        <w:rPr>
          <w:rFonts w:hint="eastAsia" w:ascii="宋体" w:hAnsi="宋体" w:cs="宋体"/>
          <w:b/>
          <w:color w:val="000000"/>
          <w:sz w:val="24"/>
          <w:szCs w:val="24"/>
          <w:highlight w:val="none"/>
        </w:rPr>
        <w:t xml:space="preserve">九、合同生效</w:t>
      </w:r>
      <w:bookmarkEnd w:id="86"/>
      <w:r/>
      <w:bookmarkEnd w:id="87"/>
      <w:r/>
      <w:bookmarkEnd w:id="88"/>
      <w:r>
        <w:rPr>
          <w:rFonts w:hint="eastAsia" w:ascii="宋体" w:hAnsi="宋体" w:cs="宋体"/>
          <w:b/>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本合同自</w:t>
      </w:r>
      <w:r>
        <w:rPr>
          <w:rFonts w:hint="eastAsia" w:ascii="宋体" w:hAnsi="宋体" w:cs="宋体"/>
          <w:color w:val="000000"/>
          <w:sz w:val="24"/>
          <w:szCs w:val="24"/>
          <w:highlight w:val="none"/>
          <w:u w:val="single"/>
        </w:rPr>
        <w:t xml:space="preserve">双方法定代表人或其授权的代理人签字并加盖单位公章</w:t>
      </w:r>
      <w:r>
        <w:rPr>
          <w:rFonts w:hint="eastAsia" w:ascii="宋体" w:hAnsi="宋体" w:cs="宋体"/>
          <w:color w:val="000000"/>
          <w:sz w:val="24"/>
          <w:szCs w:val="24"/>
          <w:highlight w:val="none"/>
        </w:rPr>
        <w:t xml:space="preserve">之日起生效。</w:t>
      </w:r>
      <w:r>
        <w:rPr>
          <w:rFonts w:hint="eastAsia" w:ascii="宋体" w:hAnsi="宋体" w:cs="宋体"/>
          <w:color w:val="000000"/>
          <w:sz w:val="24"/>
          <w:szCs w:val="24"/>
          <w:highlight w:val="none"/>
        </w:rPr>
      </w:r>
      <w:r/>
    </w:p>
    <w:p>
      <w:pPr>
        <w:pStyle w:val="770"/>
        <w:jc w:val="left"/>
        <w:spacing w:line="360" w:lineRule="auto"/>
        <w:rPr>
          <w:rFonts w:hint="eastAsia" w:ascii="宋体" w:hAnsi="宋体" w:cs="宋体"/>
          <w:b/>
          <w:color w:val="000000"/>
          <w:sz w:val="24"/>
          <w:szCs w:val="24"/>
          <w:highlight w:val="none"/>
        </w:rPr>
      </w:pPr>
      <w:r/>
      <w:bookmarkStart w:id="89" w:name="_Toc422322480"/>
      <w:r/>
      <w:bookmarkStart w:id="90" w:name="_Toc66723119"/>
      <w:r/>
      <w:bookmarkStart w:id="91" w:name="_Toc419045065"/>
      <w:r>
        <w:rPr>
          <w:rFonts w:hint="eastAsia" w:ascii="宋体" w:hAnsi="宋体" w:cs="宋体"/>
          <w:b/>
          <w:color w:val="000000"/>
          <w:sz w:val="24"/>
          <w:szCs w:val="24"/>
          <w:highlight w:val="none"/>
        </w:rPr>
        <w:t xml:space="preserve">十、合同份数</w:t>
      </w:r>
      <w:bookmarkEnd w:id="89"/>
      <w:r/>
      <w:bookmarkEnd w:id="90"/>
      <w:r/>
      <w:bookmarkEnd w:id="91"/>
      <w:r>
        <w:rPr>
          <w:rFonts w:hint="eastAsia" w:ascii="宋体" w:hAnsi="宋体" w:cs="宋体"/>
          <w:b/>
          <w:color w:val="000000"/>
          <w:sz w:val="24"/>
          <w:szCs w:val="24"/>
          <w:highlight w:val="none"/>
        </w:rPr>
      </w:r>
      <w:r/>
    </w:p>
    <w:p>
      <w:pPr>
        <w:pStyle w:val="77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本合同一式</w:t>
      </w:r>
      <w:r>
        <w:rPr>
          <w:rFonts w:hint="eastAsia" w:ascii="宋体" w:hAnsi="宋体" w:cs="宋体"/>
          <w:color w:val="000000"/>
          <w:sz w:val="24"/>
          <w:szCs w:val="24"/>
          <w:highlight w:val="none"/>
          <w:u w:val="single"/>
        </w:rPr>
        <w:t xml:space="preserve">_玖 </w:t>
      </w:r>
      <w:r>
        <w:rPr>
          <w:rFonts w:hint="eastAsia" w:ascii="宋体" w:hAnsi="宋体" w:cs="宋体"/>
          <w:color w:val="000000"/>
          <w:sz w:val="24"/>
          <w:szCs w:val="24"/>
          <w:highlight w:val="none"/>
        </w:rPr>
        <w:t xml:space="preserve">份，正本</w:t>
      </w:r>
      <w:r>
        <w:rPr>
          <w:rFonts w:hint="eastAsia" w:ascii="宋体" w:hAnsi="宋体" w:cs="宋体"/>
          <w:color w:val="000000"/>
          <w:sz w:val="24"/>
          <w:szCs w:val="24"/>
          <w:highlight w:val="none"/>
          <w:u w:val="single"/>
        </w:rPr>
        <w:t xml:space="preserve">_叁 </w:t>
      </w:r>
      <w:r>
        <w:rPr>
          <w:rFonts w:hint="eastAsia" w:ascii="宋体" w:hAnsi="宋体" w:cs="宋体"/>
          <w:color w:val="000000"/>
          <w:sz w:val="24"/>
          <w:szCs w:val="24"/>
          <w:highlight w:val="none"/>
        </w:rPr>
        <w:t xml:space="preserve">份、副本</w:t>
      </w:r>
      <w:r>
        <w:rPr>
          <w:rFonts w:hint="eastAsia" w:ascii="宋体" w:hAnsi="宋体" w:cs="宋体"/>
          <w:color w:val="000000"/>
          <w:sz w:val="24"/>
          <w:szCs w:val="24"/>
          <w:highlight w:val="none"/>
          <w:u w:val="single"/>
        </w:rPr>
        <w:t xml:space="preserve">_陆 </w:t>
      </w:r>
      <w:r>
        <w:rPr>
          <w:rFonts w:hint="eastAsia" w:ascii="宋体" w:hAnsi="宋体" w:cs="宋体"/>
          <w:color w:val="000000"/>
          <w:sz w:val="24"/>
          <w:szCs w:val="24"/>
          <w:highlight w:val="none"/>
        </w:rPr>
        <w:t xml:space="preserve">份，具有同等法律效力，其中委托人咨询人各执正本</w:t>
      </w:r>
      <w:r>
        <w:rPr>
          <w:rFonts w:hint="eastAsia" w:ascii="宋体" w:hAnsi="宋体" w:cs="宋体"/>
          <w:color w:val="000000"/>
          <w:sz w:val="24"/>
          <w:szCs w:val="24"/>
          <w:highlight w:val="none"/>
          <w:u w:val="single"/>
        </w:rPr>
        <w:t xml:space="preserve"> 壹 </w:t>
      </w:r>
      <w:r>
        <w:rPr>
          <w:rFonts w:hint="eastAsia" w:ascii="宋体" w:hAnsi="宋体" w:cs="宋体"/>
          <w:color w:val="000000"/>
          <w:sz w:val="24"/>
          <w:szCs w:val="24"/>
          <w:highlight w:val="none"/>
        </w:rPr>
        <w:t xml:space="preserve">份、副</w:t>
      </w:r>
      <w:r>
        <w:rPr>
          <w:rFonts w:hint="eastAsia" w:ascii="宋体" w:hAnsi="宋体" w:cs="宋体"/>
          <w:color w:val="000000"/>
          <w:sz w:val="24"/>
          <w:szCs w:val="24"/>
          <w:highlight w:val="none"/>
          <w:u w:val="single"/>
        </w:rPr>
        <w:t xml:space="preserve"> 贰 </w:t>
      </w:r>
      <w:r>
        <w:rPr>
          <w:rFonts w:hint="eastAsia" w:ascii="宋体" w:hAnsi="宋体" w:cs="宋体"/>
          <w:color w:val="000000"/>
          <w:sz w:val="24"/>
          <w:szCs w:val="24"/>
          <w:highlight w:val="none"/>
        </w:rPr>
        <w:t xml:space="preserve">份。</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（此页无正文）</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投资人： </w:t>
      </w:r>
      <w:r>
        <w:rPr>
          <w:rFonts w:hint="eastAsia" w:ascii="宋体" w:hAnsi="宋体" w:cs="宋体"/>
          <w:color w:val="000000"/>
          <w:sz w:val="24"/>
          <w:szCs w:val="24"/>
          <w:highlight w:val="none"/>
          <w:u w:val="single"/>
        </w:rPr>
        <w:t xml:space="preserve"> （盖章）        </w:t>
      </w:r>
      <w:r>
        <w:rPr>
          <w:rFonts w:hint="eastAsia" w:ascii="宋体" w:hAnsi="宋体" w:cs="宋体"/>
          <w:color w:val="000000"/>
          <w:sz w:val="24"/>
          <w:szCs w:val="24"/>
          <w:highlight w:val="none"/>
          <w:u w:val="singl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法定代表人或其授权的代理人：  （签字）</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纳税人识别码：</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 </w:t>
      </w:r>
      <w:r>
        <w:rPr>
          <w:rFonts w:hint="eastAsia" w:ascii="宋体" w:hAnsi="宋体" w:cs="宋体"/>
          <w:color w:val="000000"/>
          <w:sz w:val="24"/>
          <w:szCs w:val="24"/>
          <w:highlight w:val="none"/>
          <w:u w:val="single"/>
        </w:rPr>
        <w:t xml:space="preserve"> （盖章）        </w:t>
      </w:r>
      <w:r>
        <w:rPr>
          <w:rFonts w:hint="eastAsia" w:ascii="宋体" w:hAnsi="宋体" w:cs="宋体"/>
          <w:color w:val="000000"/>
          <w:sz w:val="24"/>
          <w:szCs w:val="24"/>
          <w:highlight w:val="none"/>
        </w:rPr>
        <w:t xml:space="preserve">       造价咨询人：</w:t>
      </w:r>
      <w:r>
        <w:rPr>
          <w:rFonts w:hint="eastAsia" w:ascii="宋体" w:hAnsi="宋体" w:cs="宋体"/>
          <w:color w:val="000000"/>
          <w:sz w:val="24"/>
          <w:szCs w:val="24"/>
          <w:highlight w:val="none"/>
          <w:u w:val="single"/>
        </w:rPr>
        <w:t xml:space="preserve">  （盖章）</w:t>
      </w:r>
      <w:r>
        <w:rPr>
          <w:rFonts w:hint="eastAsia" w:ascii="宋体" w:hAnsi="宋体" w:cs="宋体"/>
          <w:color w:val="000000"/>
          <w:sz w:val="24"/>
          <w:szCs w:val="24"/>
          <w:highlight w:val="none"/>
          <w:u w:val="singl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法定代表人或其授权的代理人：     法定代表人或其授权的代理人：</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                        （签字）</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     组织机构代码：</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纳税人识别码：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     纳税人识别码：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传  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       电子信箱：</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开户银行：</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  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账  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  间：     年   月   日        时  间：     年   月   日</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spacing w:line="360" w:lineRule="auto"/>
        <w:rPr>
          <w:rFonts w:hint="eastAsia" w:ascii="宋体" w:hAnsi="宋体" w:cs="宋体"/>
          <w:b/>
          <w:bCs/>
          <w:color w:val="000000"/>
          <w:sz w:val="30"/>
          <w:szCs w:val="30"/>
          <w:highlight w:val="none"/>
        </w:rPr>
        <w:outlineLvl w:val="1"/>
      </w:pPr>
      <w:r>
        <w:rPr>
          <w:rFonts w:hint="eastAsia" w:ascii="宋体" w:hAnsi="宋体" w:cs="宋体"/>
          <w:color w:val="000000"/>
          <w:sz w:val="24"/>
          <w:szCs w:val="24"/>
          <w:highlight w:val="none"/>
        </w:rPr>
        <w:br w:type="page" w:clear="all"/>
      </w:r>
      <w:bookmarkStart w:id="92" w:name="_Toc184916289"/>
      <w:r/>
      <w:bookmarkStart w:id="93" w:name="_Toc217581221"/>
      <w:r/>
      <w:bookmarkStart w:id="94" w:name="_Toc29577"/>
      <w:r/>
      <w:bookmarkStart w:id="95" w:name="_Toc190435188"/>
      <w:r>
        <w:rPr>
          <w:rFonts w:hint="eastAsia" w:ascii="宋体" w:hAnsi="宋体" w:cs="宋体"/>
          <w:b/>
          <w:bCs/>
          <w:color w:val="000000"/>
          <w:sz w:val="30"/>
          <w:szCs w:val="30"/>
          <w:highlight w:val="none"/>
        </w:rPr>
        <w:t xml:space="preserve">第二部分 通用条款</w:t>
      </w:r>
      <w:bookmarkEnd w:id="92"/>
      <w:r/>
      <w:bookmarkEnd w:id="93"/>
      <w:r/>
      <w:bookmarkEnd w:id="94"/>
      <w:r/>
      <w:bookmarkEnd w:id="95"/>
      <w:r>
        <w:rPr>
          <w:rFonts w:hint="eastAsia" w:ascii="宋体" w:hAnsi="宋体" w:cs="宋体"/>
          <w:b/>
          <w:bCs/>
          <w:color w:val="000000"/>
          <w:sz w:val="30"/>
          <w:szCs w:val="30"/>
          <w:highlight w:val="none"/>
        </w:rPr>
      </w:r>
      <w:r/>
    </w:p>
    <w:p>
      <w:pPr>
        <w:pStyle w:val="770"/>
        <w:spacing w:line="360" w:lineRule="auto"/>
        <w:rPr>
          <w:rFonts w:hint="eastAsia" w:ascii="宋体" w:hAnsi="宋体" w:cs="宋体"/>
          <w:b/>
          <w:color w:val="000000"/>
          <w:sz w:val="24"/>
          <w:szCs w:val="24"/>
          <w:highlight w:val="none"/>
        </w:rPr>
      </w:pPr>
      <w:r/>
      <w:bookmarkStart w:id="96" w:name="_Toc66723121"/>
      <w:r>
        <w:rPr>
          <w:rFonts w:hint="eastAsia" w:ascii="宋体" w:hAnsi="宋体" w:cs="宋体"/>
          <w:b/>
          <w:color w:val="000000"/>
          <w:sz w:val="24"/>
          <w:szCs w:val="24"/>
          <w:highlight w:val="none"/>
        </w:rPr>
        <w:t xml:space="preserve">1.词语定义、语言、解释顺序与适用法律</w:t>
      </w:r>
      <w:bookmarkEnd w:id="96"/>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97" w:name="_Toc66723122"/>
      <w:r/>
      <w:bookmarkStart w:id="98" w:name="_Toc419045068"/>
      <w:r/>
      <w:bookmarkStart w:id="99" w:name="_Toc422322483"/>
      <w:r>
        <w:rPr>
          <w:rFonts w:hint="eastAsia" w:ascii="宋体" w:hAnsi="宋体" w:cs="宋体"/>
          <w:b/>
          <w:color w:val="000000"/>
          <w:sz w:val="24"/>
          <w:szCs w:val="24"/>
          <w:highlight w:val="none"/>
        </w:rPr>
        <w:t xml:space="preserve">1.1词语定义</w:t>
      </w:r>
      <w:bookmarkEnd w:id="97"/>
      <w:r/>
      <w:bookmarkEnd w:id="98"/>
      <w:r/>
      <w:bookmarkEnd w:id="99"/>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组成本合同的全部文件中的下列名词和用语应具有本款所赋予的含义：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1.1.1“工程”是指按照本合同约定实施造价咨询与其他服务的建设工程。</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1.1.2“工程造价”是指工程项目建设过程中预计或实际支出的全部费用。</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1.1.3“委托人”是指本合同中委托造价咨询与其他服务的一方，及其合法的继承人或受让人。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1.1.4“咨询人”是指本合同中提供造价咨询与其他服务的一方，及其合法的继承人。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1.1.5“第三人”是指除委托人、咨询人以外与本咨询业务有关的当事人。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1.1.6“正常工作”是指本合同订立时通用条件和专用条件中约定的咨询人的工作。</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1.1.7“附加工作”是指咨询人根据合同条件完成的正常工作以外的工作。</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1.1.8“项目咨询团队”是指咨询人指派负责履行本合同的团队，其团队成员为本合同的项目咨询人员。</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1.1.9“项目负责人”是指由咨询人的法定代表人书面授权，在授权范围内负责履行本合同、主持项目咨询团队工作的负责人。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1.1.10“委托人代表”是指由委托人的法定代表人书面授权，在授权范围内行使委托人权利的人。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1.1.11“酬金”是指咨询人履行本合同义务，委托人按照本合同约定给付咨询人的金额。</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1.1.12“正常工作酬金”是指在协议书中载明的，咨询人完成正常工作，委托人应给付咨询人的酬金。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1.1.13“附加工作酬金”是指咨询人完成附加工作，委托人应给付咨询人的酬金。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1.1.14 “书面形式”是指合同书、信件和数据电文（包括电报、电传、传真、电子数据交换和电子邮件）等可以有形地表现所载内容的形式。</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1.1.15 “不可抗力”是指委托人和咨询人在订立本合同时不可预见，在合同履行过程中不可避免并不能克服的自然灾害和社会性突发事件，如地震、海啸、瘟疫、水灾、骚乱、暴动、战争等情形。</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00" w:name="_Toc422322484"/>
      <w:r/>
      <w:bookmarkStart w:id="101" w:name="_Toc66723123"/>
      <w:r/>
      <w:bookmarkStart w:id="102" w:name="_Toc419045069"/>
      <w:r>
        <w:rPr>
          <w:rFonts w:hint="eastAsia" w:ascii="宋体" w:hAnsi="宋体" w:cs="宋体"/>
          <w:b/>
          <w:color w:val="000000"/>
          <w:sz w:val="24"/>
          <w:szCs w:val="24"/>
          <w:highlight w:val="none"/>
        </w:rPr>
        <w:t xml:space="preserve">1.2语言</w:t>
      </w:r>
      <w:bookmarkEnd w:id="100"/>
      <w:r/>
      <w:bookmarkEnd w:id="101"/>
      <w:r/>
      <w:bookmarkEnd w:id="10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本合同使用中文书写、解释和说明。如专用条件约定使用两种及以上语言文字时，应以中文为准。</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03" w:name="_Toc422322485"/>
      <w:r/>
      <w:bookmarkStart w:id="104" w:name="_Toc419045070"/>
      <w:r/>
      <w:bookmarkStart w:id="105" w:name="_Toc66723124"/>
      <w:r>
        <w:rPr>
          <w:rFonts w:hint="eastAsia" w:ascii="宋体" w:hAnsi="宋体" w:cs="宋体"/>
          <w:b/>
          <w:color w:val="000000"/>
          <w:sz w:val="24"/>
          <w:szCs w:val="24"/>
          <w:highlight w:val="none"/>
        </w:rPr>
        <w:t xml:space="preserve">1.3合同文件的优先顺序</w:t>
      </w:r>
      <w:bookmarkEnd w:id="103"/>
      <w:r/>
      <w:bookmarkEnd w:id="104"/>
      <w:r/>
      <w:bookmarkEnd w:id="10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组成本合同的下列文件彼此应能相互解释、互为说明。除专用条件另有约定外，本合同文件的解释顺序如下：</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1）协议书</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2）中标通知书或委托书（如果有）；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3）专用条件及附录；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4）通用条件；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5）投标函及投标函附录或造价咨询服务建议书（如果有）；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6)其他合同文件。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上述各项合同文件包括合同当事人就该项合同文件所作出的补充和修改，属于同一类内容的文件，应以最新签署的为准。</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在合同订立及履行过程中形成的与合同有关的文件均构成合同文件的组成部分。</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06" w:name="_Toc422322486"/>
      <w:r/>
      <w:bookmarkStart w:id="107" w:name="_Toc66723125"/>
      <w:r/>
      <w:bookmarkStart w:id="108" w:name="_Toc419045071"/>
      <w:r>
        <w:rPr>
          <w:rFonts w:hint="eastAsia" w:ascii="宋体" w:hAnsi="宋体" w:cs="宋体"/>
          <w:b/>
          <w:color w:val="000000"/>
          <w:sz w:val="24"/>
          <w:szCs w:val="24"/>
          <w:highlight w:val="none"/>
        </w:rPr>
        <w:t xml:space="preserve">1.4适用法律</w:t>
      </w:r>
      <w:bookmarkEnd w:id="106"/>
      <w:r/>
      <w:bookmarkEnd w:id="107"/>
      <w:r/>
      <w:bookmarkEnd w:id="10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本合同适用中华人民共和国法律、行政法规、部门规章以及工程所在地的地方性法规、自治条例、单行条例和地方政府规章等。</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合同当事人可以在专用条件中约定本合同适用的其他规范、规程、定额、技术标准等规范性文件。</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109" w:name="_Toc66723126"/>
      <w:r/>
      <w:bookmarkStart w:id="110" w:name="_Toc422322487"/>
      <w:r>
        <w:rPr>
          <w:rFonts w:hint="eastAsia" w:ascii="宋体" w:hAnsi="宋体" w:cs="宋体"/>
          <w:b/>
          <w:color w:val="000000"/>
          <w:sz w:val="24"/>
          <w:szCs w:val="24"/>
          <w:highlight w:val="none"/>
        </w:rPr>
        <w:t xml:space="preserve">2.委托人的义务</w:t>
      </w:r>
      <w:bookmarkEnd w:id="109"/>
      <w:r/>
      <w:bookmarkEnd w:id="110"/>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11" w:name="_Toc419045072"/>
      <w:r/>
      <w:bookmarkStart w:id="112" w:name="_Toc422322488"/>
      <w:r/>
      <w:bookmarkStart w:id="113" w:name="_Toc66723127"/>
      <w:r>
        <w:rPr>
          <w:rFonts w:hint="eastAsia" w:ascii="宋体" w:hAnsi="宋体" w:cs="宋体"/>
          <w:b/>
          <w:color w:val="000000"/>
          <w:sz w:val="24"/>
          <w:szCs w:val="24"/>
          <w:highlight w:val="none"/>
        </w:rPr>
        <w:t xml:space="preserve">2.1提供资料</w:t>
      </w:r>
      <w:bookmarkEnd w:id="111"/>
      <w:r/>
      <w:bookmarkEnd w:id="112"/>
      <w:r/>
      <w:bookmarkEnd w:id="113"/>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14" w:name="_Toc66723128"/>
      <w:r/>
      <w:bookmarkStart w:id="115" w:name="_Toc422322489"/>
      <w:r/>
      <w:bookmarkStart w:id="116" w:name="_Toc419045073"/>
      <w:r>
        <w:rPr>
          <w:rFonts w:hint="eastAsia" w:ascii="宋体" w:hAnsi="宋体" w:cs="宋体"/>
          <w:b/>
          <w:color w:val="000000"/>
          <w:sz w:val="24"/>
          <w:szCs w:val="24"/>
          <w:highlight w:val="none"/>
        </w:rPr>
        <w:t xml:space="preserve">2.2提供工作条件</w:t>
      </w:r>
      <w:bookmarkEnd w:id="114"/>
      <w:r/>
      <w:bookmarkEnd w:id="115"/>
      <w:r/>
      <w:bookmarkEnd w:id="116"/>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委托人应为咨询人完成造价咨询提供必要的条件。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2.2.1委托人需要咨询人派驻项目现场咨询人员的，除专用条件另有约定外，项目咨询人员有权无偿使用附录D中由委托人提供的房屋及设备。</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2.2.2委托人应负责与本工程造价咨询业务有关的所有外部关系的协调，为咨询人履行本合同提供必要的外部条件。</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17" w:name="_Toc66723129"/>
      <w:r/>
      <w:bookmarkStart w:id="118" w:name="_Toc419045074"/>
      <w:r/>
      <w:bookmarkStart w:id="119" w:name="_Toc422322490"/>
      <w:r>
        <w:rPr>
          <w:rFonts w:hint="eastAsia" w:ascii="宋体" w:hAnsi="宋体" w:cs="宋体"/>
          <w:b/>
          <w:color w:val="000000"/>
          <w:sz w:val="24"/>
          <w:szCs w:val="24"/>
          <w:highlight w:val="none"/>
        </w:rPr>
        <w:t xml:space="preserve">2.3合理工作时限</w:t>
      </w:r>
      <w:bookmarkEnd w:id="117"/>
      <w:r/>
      <w:bookmarkEnd w:id="118"/>
      <w:r/>
      <w:bookmarkEnd w:id="119"/>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委托人应当为咨询人完成其咨询工作，设定合理的工作时限。</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20" w:name="_Toc422322491"/>
      <w:r/>
      <w:bookmarkStart w:id="121" w:name="_Toc419045075"/>
      <w:r/>
      <w:bookmarkStart w:id="122" w:name="_Toc66723130"/>
      <w:r>
        <w:rPr>
          <w:rFonts w:hint="eastAsia" w:ascii="宋体" w:hAnsi="宋体" w:cs="宋体"/>
          <w:b/>
          <w:color w:val="000000"/>
          <w:sz w:val="24"/>
          <w:szCs w:val="24"/>
          <w:highlight w:val="none"/>
        </w:rPr>
        <w:t xml:space="preserve">2.4委托人代表</w:t>
      </w:r>
      <w:bookmarkEnd w:id="120"/>
      <w:r/>
      <w:bookmarkEnd w:id="121"/>
      <w:r/>
      <w:bookmarkEnd w:id="12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委托人应授权一名代表负责本合同的履行。委托人应在双方签订本合同7日内，将委托人代表的姓名和权限范围书面告知咨询人。委托人更换委托人代表时，应提前7日书面通知咨询人。</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23" w:name="_Toc66723131"/>
      <w:r/>
      <w:bookmarkStart w:id="124" w:name="_Toc419045076"/>
      <w:r/>
      <w:bookmarkStart w:id="125" w:name="_Toc422322492"/>
      <w:r>
        <w:rPr>
          <w:rFonts w:hint="eastAsia" w:ascii="宋体" w:hAnsi="宋体" w:cs="宋体"/>
          <w:b/>
          <w:color w:val="000000"/>
          <w:sz w:val="24"/>
          <w:szCs w:val="24"/>
          <w:highlight w:val="none"/>
        </w:rPr>
        <w:t xml:space="preserve">2.5答复</w:t>
      </w:r>
      <w:bookmarkEnd w:id="123"/>
      <w:r/>
      <w:bookmarkEnd w:id="124"/>
      <w:r/>
      <w:bookmarkEnd w:id="12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委托人应当在专用条件约定的时间内就咨询人以书面形式提交并要求做出答复的事宜给予书面答复。逾期未答复的，由此造成的工作延误和损失由委托人承担。</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26" w:name="_Toc66723132"/>
      <w:r/>
      <w:bookmarkStart w:id="127" w:name="_Toc422322493"/>
      <w:r/>
      <w:bookmarkStart w:id="128" w:name="_Toc419045077"/>
      <w:r>
        <w:rPr>
          <w:rFonts w:hint="eastAsia" w:ascii="宋体" w:hAnsi="宋体" w:cs="宋体"/>
          <w:b/>
          <w:color w:val="000000"/>
          <w:sz w:val="24"/>
          <w:szCs w:val="24"/>
          <w:highlight w:val="none"/>
        </w:rPr>
        <w:t xml:space="preserve">2.6支付</w:t>
      </w:r>
      <w:bookmarkEnd w:id="126"/>
      <w:r/>
      <w:bookmarkEnd w:id="127"/>
      <w:r/>
      <w:bookmarkEnd w:id="12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委托人应当按照合同的约定，向咨询人支付酬金。</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129" w:name="_Toc419045078"/>
      <w:r/>
      <w:bookmarkStart w:id="130" w:name="_Toc66723133"/>
      <w:r/>
      <w:bookmarkStart w:id="131" w:name="_Toc422322494"/>
      <w:r>
        <w:rPr>
          <w:rFonts w:hint="eastAsia" w:ascii="宋体" w:hAnsi="宋体" w:cs="宋体"/>
          <w:b/>
          <w:color w:val="000000"/>
          <w:sz w:val="24"/>
          <w:szCs w:val="24"/>
          <w:highlight w:val="none"/>
        </w:rPr>
        <w:t xml:space="preserve">3.咨询人的义务</w:t>
      </w:r>
      <w:bookmarkEnd w:id="129"/>
      <w:r/>
      <w:bookmarkEnd w:id="130"/>
      <w:r/>
      <w:bookmarkEnd w:id="131"/>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32" w:name="_Toc422322495"/>
      <w:r/>
      <w:bookmarkStart w:id="133" w:name="_Toc66723134"/>
      <w:r/>
      <w:bookmarkStart w:id="134" w:name="_Toc419045080"/>
      <w:r/>
      <w:bookmarkStart w:id="135" w:name="16"/>
      <w:r>
        <w:rPr>
          <w:rFonts w:hint="eastAsia" w:ascii="宋体" w:hAnsi="宋体" w:cs="宋体"/>
          <w:b/>
          <w:color w:val="000000"/>
          <w:sz w:val="24"/>
          <w:szCs w:val="24"/>
          <w:highlight w:val="none"/>
        </w:rPr>
        <w:t xml:space="preserve">3.1 项目咨询团队及人员</w:t>
      </w:r>
      <w:bookmarkEnd w:id="132"/>
      <w:r/>
      <w:bookmarkEnd w:id="133"/>
      <w:r/>
      <w:bookmarkEnd w:id="13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3.1.1项目咨询团队的主要人员应具有专用条件约定的资格条件，团队人员的数量应符合专用条件的约定。</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3.1.2项目负责人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咨询人应以书面形式授权一名项目负责人负责履行本合同、主持项目咨询团队工作。采用招标程序签署本合同的，项目负责人应当与投标文件载明的一致。</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3.1.3在本合同履行过程中，咨询人员应保持相对稳定，以保证咨询工作正常进行。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3.1.4咨询人员有下列情形之一，委托人要求咨询人更换的，咨询人应当更换：</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（1）存在严重过失行为的；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（2）存在违法行为不能履行职责的；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（3）涉嫌犯罪的；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（4）不能胜任岗位职责的；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（5）严重违反职业道德的；</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（6）专用条件约定的其他情形。</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36" w:name="_Toc66723135"/>
      <w:r/>
      <w:bookmarkStart w:id="137" w:name="_Toc422322496"/>
      <w:r>
        <w:rPr>
          <w:rFonts w:hint="eastAsia" w:ascii="宋体" w:hAnsi="宋体" w:cs="宋体"/>
          <w:b/>
          <w:color w:val="000000"/>
          <w:sz w:val="24"/>
          <w:szCs w:val="24"/>
          <w:highlight w:val="none"/>
        </w:rPr>
        <w:t xml:space="preserve">3.2 咨询人的工作要求</w:t>
      </w:r>
      <w:bookmarkEnd w:id="136"/>
      <w:r/>
      <w:bookmarkEnd w:id="137"/>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3.2.2咨询人应当在专用条件约定的时间内，按照专用条件约定的份数、组成向委托人提交咨询成果文件。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3.2.3咨询人提交的工程造价咨询成果文件，除加盖咨询人单位公章、工程造价咨询企业执业印章外，还必须按要求加盖参加咨询工作人员的执业（从业）资格印章。</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3.2.4咨询人应在专用条件约定的时间内，对委托人以书面形式提出的建议或者异议给予书面答复。</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3.2.5咨询人从事工程造价咨询活动，应当遵循独立、客观、公正、诚实信用的原则，不得损害社会公共利益和他人的合法权益。</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3.2.6咨询人承诺按照法律规定及合同约定，完成合同范围内的建设工程造价咨询服务，不转包承接的造价咨询服务业务。</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38" w:name="_Toc66723136"/>
      <w:r/>
      <w:bookmarkStart w:id="139" w:name="_Toc419045081"/>
      <w:r/>
      <w:bookmarkStart w:id="140" w:name="_Toc422322497"/>
      <w:r>
        <w:rPr>
          <w:rFonts w:hint="eastAsia" w:ascii="宋体" w:hAnsi="宋体" w:cs="宋体"/>
          <w:b/>
          <w:color w:val="000000"/>
          <w:sz w:val="24"/>
          <w:szCs w:val="24"/>
          <w:highlight w:val="none"/>
        </w:rPr>
        <w:t xml:space="preserve">3.3咨询人的工作依据</w:t>
      </w:r>
      <w:bookmarkEnd w:id="138"/>
      <w:r/>
      <w:bookmarkEnd w:id="139"/>
      <w:r/>
      <w:bookmarkEnd w:id="140"/>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咨询人应在专用条件内与委托人协商明确履行本合同约定的咨询服务需要适用的技术标准、规范、定额等工作依据，但不得违反国家及工程所在地的强制性标准、规范。</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咨询人应自行配备本条所述的技术标准、规范、定额等相关资料。必须由委托人提供的资料，应在附录C中载明。需要委托人协助才能获得的资料，委托人应予以协助。</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41" w:name="_Toc66723137"/>
      <w:r/>
      <w:bookmarkStart w:id="142" w:name="_Toc422322498"/>
      <w:r/>
      <w:bookmarkStart w:id="143" w:name="_Toc419045082"/>
      <w:r>
        <w:rPr>
          <w:rFonts w:hint="eastAsia" w:ascii="宋体" w:hAnsi="宋体" w:cs="宋体"/>
          <w:b/>
          <w:color w:val="000000"/>
          <w:sz w:val="24"/>
          <w:szCs w:val="24"/>
          <w:highlight w:val="none"/>
        </w:rPr>
        <w:t xml:space="preserve">3.4使用委托人房屋及设备的返还</w:t>
      </w:r>
      <w:bookmarkEnd w:id="141"/>
      <w:r/>
      <w:bookmarkEnd w:id="142"/>
      <w:r/>
      <w:bookmarkEnd w:id="143"/>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项目咨询人员使用委托人提供的房屋及设备的，咨询人应妥善使用和保管，在本合同终止时将上述房屋及设备按专用条件约定的时间和方式返还委托人。</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End w:id="135"/>
      <w:r/>
      <w:bookmarkStart w:id="144" w:name="_Toc422322499"/>
      <w:r/>
      <w:bookmarkStart w:id="145" w:name="_Toc419045083"/>
      <w:r/>
      <w:bookmarkStart w:id="146" w:name="_Toc66723138"/>
      <w:r/>
      <w:bookmarkStart w:id="147" w:name="19"/>
      <w:r>
        <w:rPr>
          <w:rFonts w:hint="eastAsia" w:ascii="宋体" w:hAnsi="宋体" w:cs="宋体"/>
          <w:b/>
          <w:color w:val="000000"/>
          <w:sz w:val="24"/>
          <w:szCs w:val="24"/>
          <w:highlight w:val="none"/>
        </w:rPr>
        <w:t xml:space="preserve">4.违约责任</w:t>
      </w:r>
      <w:bookmarkEnd w:id="144"/>
      <w:r/>
      <w:bookmarkEnd w:id="145"/>
      <w:r/>
      <w:bookmarkEnd w:id="146"/>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48" w:name="_Toc422322500"/>
      <w:r/>
      <w:bookmarkStart w:id="149" w:name="_Toc66723139"/>
      <w:r>
        <w:rPr>
          <w:rFonts w:hint="eastAsia" w:ascii="宋体" w:hAnsi="宋体" w:cs="宋体"/>
          <w:b/>
          <w:color w:val="000000"/>
          <w:sz w:val="24"/>
          <w:szCs w:val="24"/>
          <w:highlight w:val="none"/>
        </w:rPr>
        <w:t xml:space="preserve">4.1委托人的违约责任</w:t>
      </w:r>
      <w:bookmarkEnd w:id="148"/>
      <w:r/>
      <w:bookmarkEnd w:id="149"/>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4.1.1委托人不履行本合同义务或者履行义务不符合本合同约定的，应承担违约责任。双方可在专用条件中约定违约金的计算及支付方法。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4.1.2委托人违反本合同约定造成咨询人损失的，委托人应予以赔偿。双方可在专用条件中约定赔偿金额的确定及支付方法。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委托人未能按期支付酬金超过14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50" w:name="_Toc66723140"/>
      <w:r/>
      <w:bookmarkStart w:id="151" w:name="_Toc422322501"/>
      <w:r/>
      <w:bookmarkStart w:id="152" w:name="_Toc419045084"/>
      <w:r>
        <w:rPr>
          <w:rFonts w:hint="eastAsia" w:ascii="宋体" w:hAnsi="宋体" w:cs="宋体"/>
          <w:b/>
          <w:color w:val="000000"/>
          <w:sz w:val="24"/>
          <w:szCs w:val="24"/>
          <w:highlight w:val="none"/>
        </w:rPr>
        <w:t xml:space="preserve">4.2咨询人的违约责任</w:t>
      </w:r>
      <w:bookmarkEnd w:id="150"/>
      <w:r/>
      <w:bookmarkEnd w:id="151"/>
      <w:r/>
      <w:bookmarkEnd w:id="15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4.2.1咨询人不履行本合同义务或者履行义务不符合本合同约定的，应承担违约责任。双方可在专用条件中约定违约金的计算及支付方法。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4.2.2因咨询人违反本合同约定给委托人造成损失的，咨询人应当赔偿委托人损失。双方可在专用条件中约定赔偿金额的确定及支付方法。</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153" w:name="_Toc422322502"/>
      <w:r/>
      <w:bookmarkStart w:id="154" w:name="_Toc66723141"/>
      <w:r/>
      <w:bookmarkStart w:id="155" w:name="_Toc419045086"/>
      <w:r>
        <w:rPr>
          <w:rFonts w:hint="eastAsia" w:ascii="宋体" w:hAnsi="宋体" w:cs="宋体"/>
          <w:b/>
          <w:color w:val="000000"/>
          <w:sz w:val="24"/>
          <w:szCs w:val="24"/>
          <w:highlight w:val="none"/>
        </w:rPr>
        <w:t xml:space="preserve">5.支付</w:t>
      </w:r>
      <w:bookmarkEnd w:id="153"/>
      <w:r/>
      <w:bookmarkEnd w:id="154"/>
      <w:r/>
      <w:bookmarkEnd w:id="155"/>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56" w:name="_Toc419045087"/>
      <w:r/>
      <w:bookmarkStart w:id="157" w:name="_Toc66723142"/>
      <w:r/>
      <w:bookmarkStart w:id="158" w:name="_Toc422322503"/>
      <w:r>
        <w:rPr>
          <w:rFonts w:hint="eastAsia" w:ascii="宋体" w:hAnsi="宋体" w:cs="宋体"/>
          <w:b/>
          <w:color w:val="000000"/>
          <w:sz w:val="24"/>
          <w:szCs w:val="24"/>
          <w:highlight w:val="none"/>
        </w:rPr>
        <w:t xml:space="preserve">5.1支付货币</w:t>
      </w:r>
      <w:bookmarkEnd w:id="156"/>
      <w:r/>
      <w:bookmarkEnd w:id="157"/>
      <w:r/>
      <w:bookmarkEnd w:id="15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除专用条件另有约定外，酬金均以人民币支付。涉及外币支付的，所采用的货币种类和汇率等在专用条件中约定。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59" w:name="_Toc66723143"/>
      <w:r/>
      <w:bookmarkStart w:id="160" w:name="_Toc422322504"/>
      <w:r>
        <w:rPr>
          <w:rFonts w:hint="eastAsia" w:ascii="宋体" w:hAnsi="宋体" w:cs="宋体"/>
          <w:b/>
          <w:color w:val="000000"/>
          <w:sz w:val="24"/>
          <w:szCs w:val="24"/>
          <w:highlight w:val="none"/>
        </w:rPr>
        <w:t xml:space="preserve">5.2支付申请</w:t>
      </w:r>
      <w:bookmarkEnd w:id="159"/>
      <w:r/>
      <w:bookmarkEnd w:id="160"/>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61" w:name="_Toc422322505"/>
      <w:r/>
      <w:bookmarkStart w:id="162" w:name="_Toc66723144"/>
      <w:r>
        <w:rPr>
          <w:rFonts w:hint="eastAsia" w:ascii="宋体" w:hAnsi="宋体" w:cs="宋体"/>
          <w:b/>
          <w:color w:val="000000"/>
          <w:sz w:val="24"/>
          <w:szCs w:val="24"/>
          <w:highlight w:val="none"/>
        </w:rPr>
        <w:t xml:space="preserve">5.3 支付酬金</w:t>
      </w:r>
      <w:bookmarkEnd w:id="161"/>
      <w:r/>
      <w:bookmarkEnd w:id="16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支付酬金包括正常工作酬金、附加工作酬金、合理化建议奖励金额及费用。</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63" w:name="_Toc422322506"/>
      <w:r/>
      <w:bookmarkStart w:id="164" w:name="_Toc66723145"/>
      <w:r>
        <w:rPr>
          <w:rFonts w:hint="eastAsia" w:ascii="宋体" w:hAnsi="宋体" w:cs="宋体"/>
          <w:b/>
          <w:color w:val="000000"/>
          <w:sz w:val="24"/>
          <w:szCs w:val="24"/>
          <w:highlight w:val="none"/>
        </w:rPr>
        <w:t xml:space="preserve">5.4有异议部分的支付</w:t>
      </w:r>
      <w:bookmarkEnd w:id="163"/>
      <w:r/>
      <w:bookmarkEnd w:id="16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委托人对咨询人提交的支付申请书有异议时，应当在收到咨询人提交的支付申请书后7日内，以书面形式向咨询人发出异议通知。无异议部分的款项应按期支付，有异议部分的款项按第7条约定办理。</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165" w:name="_Toc419045088"/>
      <w:r/>
      <w:bookmarkStart w:id="166" w:name="_Toc66723146"/>
      <w:r/>
      <w:bookmarkStart w:id="167" w:name="_Toc422322507"/>
      <w:r>
        <w:rPr>
          <w:rFonts w:hint="eastAsia" w:ascii="宋体" w:hAnsi="宋体" w:cs="宋体"/>
          <w:b/>
          <w:color w:val="000000"/>
          <w:sz w:val="24"/>
          <w:szCs w:val="24"/>
          <w:highlight w:val="none"/>
        </w:rPr>
        <w:t xml:space="preserve">6.合同变更、解除与终止</w:t>
      </w:r>
      <w:bookmarkEnd w:id="165"/>
      <w:r/>
      <w:bookmarkEnd w:id="166"/>
      <w:r/>
      <w:bookmarkEnd w:id="167"/>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68" w:name="_Toc419045089"/>
      <w:r/>
      <w:bookmarkStart w:id="169" w:name="_Toc422322508"/>
      <w:r/>
      <w:bookmarkStart w:id="170" w:name="_Toc66723147"/>
      <w:r>
        <w:rPr>
          <w:rFonts w:hint="eastAsia" w:ascii="宋体" w:hAnsi="宋体" w:cs="宋体"/>
          <w:b/>
          <w:color w:val="000000"/>
          <w:sz w:val="24"/>
          <w:szCs w:val="24"/>
          <w:highlight w:val="none"/>
        </w:rPr>
        <w:t xml:space="preserve">6.1合同变更</w:t>
      </w:r>
      <w:bookmarkEnd w:id="168"/>
      <w:r/>
      <w:bookmarkEnd w:id="169"/>
      <w:r/>
      <w:bookmarkEnd w:id="170"/>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6.1.1 任何一方以书面形式提出变更请求时，双方经协商一致后可进行变更。</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6.1.4 因工程规模、服务范围及工作内容的变化等导致咨询人的工作量增减时，服务酬金应作相应调整，调整方法由双方在专用条件中约定。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71" w:name="_Toc419045090"/>
      <w:r/>
      <w:bookmarkStart w:id="172" w:name="_Toc422322509"/>
      <w:r>
        <w:rPr>
          <w:rFonts w:hint="eastAsia" w:ascii="宋体" w:hAnsi="宋体" w:cs="宋体"/>
          <w:b/>
          <w:color w:val="000000"/>
          <w:sz w:val="24"/>
          <w:szCs w:val="24"/>
          <w:highlight w:val="none"/>
        </w:rPr>
        <w:t xml:space="preserve">6.2合同解除</w:t>
      </w:r>
      <w:bookmarkEnd w:id="171"/>
      <w:r/>
      <w:bookmarkEnd w:id="17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6.2.1 委托人与咨询人协商一致，可以解除合同。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 有下列情形之一的，合同当事人一方或双方可以解除合同：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（1）咨询人将本合同约定的工程造价咨询服务工作全部或部分转包给他人，委托人可以解除合同；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（2）咨询人提供的造价咨询服务不符合合同约定的要求，经委托人催告仍不能达到合同约定要求的，委托人可以解除合同；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（3）委托人未按合同约定支付服务酬金，经咨询人催告后，在28天内仍未支付的，咨询人可以解除合同；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（4）因不可抗力致使合同无法履行；</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（5）因一方违约致使合同无法实际履行或实际履行已无必要。</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除上述情形外，双方可以根据委托的服务范围及工作内容，在专用条件中约定解除合同的其他条件。</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6.2.3 任何一方提出解除合同的，应提前30天书面通知对方。</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6.2.4合同解除后，委托人应按照合同约定向咨询人支付已完成部分的咨询服务酬金。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6.2.5本合同解除后，本合同约定的有关结算、争议解决方式的条款仍然有效。</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73" w:name="_Toc422322510"/>
      <w:r/>
      <w:bookmarkStart w:id="174" w:name="_Toc66723148"/>
      <w:r>
        <w:rPr>
          <w:rFonts w:hint="eastAsia" w:ascii="宋体" w:hAnsi="宋体" w:cs="宋体"/>
          <w:b/>
          <w:color w:val="000000"/>
          <w:sz w:val="24"/>
          <w:szCs w:val="24"/>
          <w:highlight w:val="none"/>
        </w:rPr>
        <w:t xml:space="preserve">6.3 合同终止</w:t>
      </w:r>
      <w:bookmarkEnd w:id="173"/>
      <w:r/>
      <w:bookmarkEnd w:id="17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除合同解除外，以下条件全部满足时，本合同终止：</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（1）咨询人完成本合同约定的全部工作；</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（2）委托人与咨询人结清并支付酬金；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（3）咨询人将委托人提供的资料交还。</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175" w:name="_Toc66723149"/>
      <w:r/>
      <w:bookmarkStart w:id="176" w:name="_Toc422322511"/>
      <w:r/>
      <w:bookmarkStart w:id="177" w:name="_Toc419045091"/>
      <w:r>
        <w:rPr>
          <w:rFonts w:hint="eastAsia" w:ascii="宋体" w:hAnsi="宋体" w:cs="宋体"/>
          <w:b/>
          <w:color w:val="000000"/>
          <w:sz w:val="24"/>
          <w:szCs w:val="24"/>
          <w:highlight w:val="none"/>
        </w:rPr>
        <w:t xml:space="preserve">7.争议解决</w:t>
      </w:r>
      <w:bookmarkEnd w:id="147"/>
      <w:r/>
      <w:bookmarkEnd w:id="175"/>
      <w:r/>
      <w:bookmarkEnd w:id="176"/>
      <w:r/>
      <w:bookmarkEnd w:id="177"/>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78" w:name="_Toc419045092"/>
      <w:r/>
      <w:bookmarkStart w:id="179" w:name="_Toc66723150"/>
      <w:r/>
      <w:bookmarkStart w:id="180" w:name="_Toc422322512"/>
      <w:r>
        <w:rPr>
          <w:rFonts w:hint="eastAsia" w:ascii="宋体" w:hAnsi="宋体" w:cs="宋体"/>
          <w:b/>
          <w:color w:val="000000"/>
          <w:sz w:val="24"/>
          <w:szCs w:val="24"/>
          <w:highlight w:val="none"/>
        </w:rPr>
        <w:t xml:space="preserve">7.1协商</w:t>
      </w:r>
      <w:bookmarkEnd w:id="178"/>
      <w:r/>
      <w:bookmarkEnd w:id="179"/>
      <w:r/>
      <w:bookmarkEnd w:id="180"/>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双方应本着诚实信用的原则协商解决本合同履行过程中发生的争议。</w:t>
      </w:r>
      <w:bookmarkStart w:id="181" w:name="37"/>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82" w:name="_Toc419045093"/>
      <w:r/>
      <w:bookmarkStart w:id="183" w:name="_Toc66723151"/>
      <w:r/>
      <w:bookmarkStart w:id="184" w:name="_Toc422322513"/>
      <w:r>
        <w:rPr>
          <w:rFonts w:hint="eastAsia" w:ascii="宋体" w:hAnsi="宋体" w:cs="宋体"/>
          <w:b/>
          <w:color w:val="000000"/>
          <w:sz w:val="24"/>
          <w:szCs w:val="24"/>
          <w:highlight w:val="none"/>
        </w:rPr>
        <w:t xml:space="preserve">7.2</w:t>
      </w:r>
      <w:bookmarkEnd w:id="181"/>
      <w:r>
        <w:rPr>
          <w:rFonts w:hint="eastAsia" w:ascii="宋体" w:hAnsi="宋体" w:cs="宋体"/>
          <w:b/>
          <w:color w:val="000000"/>
          <w:sz w:val="24"/>
          <w:szCs w:val="24"/>
          <w:highlight w:val="none"/>
        </w:rPr>
        <w:t xml:space="preserve">调解</w:t>
      </w:r>
      <w:bookmarkEnd w:id="182"/>
      <w:r/>
      <w:bookmarkEnd w:id="183"/>
      <w:r/>
      <w:bookmarkEnd w:id="18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如果双方不能在14日内或双方商定的其他时间内解决本合同争议，可以将其提交给专用条件约定的或事后达成协议的调解人进行调解。</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85" w:name="_Toc422322514"/>
      <w:r/>
      <w:bookmarkStart w:id="186" w:name="_Toc66723152"/>
      <w:r/>
      <w:bookmarkStart w:id="187" w:name="_Toc419045094"/>
      <w:r/>
      <w:bookmarkStart w:id="188" w:name="38"/>
      <w:r>
        <w:rPr>
          <w:rFonts w:hint="eastAsia" w:ascii="宋体" w:hAnsi="宋体" w:cs="宋体"/>
          <w:b/>
          <w:color w:val="000000"/>
          <w:sz w:val="24"/>
          <w:szCs w:val="24"/>
          <w:highlight w:val="none"/>
        </w:rPr>
        <w:t xml:space="preserve">7.</w:t>
      </w:r>
      <w:bookmarkEnd w:id="188"/>
      <w:r>
        <w:rPr>
          <w:rFonts w:hint="eastAsia" w:ascii="宋体" w:hAnsi="宋体" w:cs="宋体"/>
          <w:b/>
          <w:color w:val="000000"/>
          <w:sz w:val="24"/>
          <w:szCs w:val="24"/>
          <w:highlight w:val="none"/>
        </w:rPr>
        <w:t xml:space="preserve">3仲裁或诉讼</w:t>
      </w:r>
      <w:bookmarkEnd w:id="185"/>
      <w:r/>
      <w:bookmarkEnd w:id="186"/>
      <w:r/>
      <w:bookmarkEnd w:id="187"/>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双方均有权不经调解直接向专用条件约定的仲裁机构申请仲裁或向有管辖权的人民法院提起诉讼。</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189" w:name="_Toc422322515"/>
      <w:r/>
      <w:bookmarkStart w:id="190" w:name="_Toc419045095"/>
      <w:r/>
      <w:bookmarkStart w:id="191" w:name="_Toc66723153"/>
      <w:r>
        <w:rPr>
          <w:rFonts w:hint="eastAsia" w:ascii="宋体" w:hAnsi="宋体" w:cs="宋体"/>
          <w:b/>
          <w:color w:val="000000"/>
          <w:sz w:val="24"/>
          <w:szCs w:val="24"/>
          <w:highlight w:val="none"/>
        </w:rPr>
        <w:t xml:space="preserve">8.其他</w:t>
      </w:r>
      <w:bookmarkEnd w:id="189"/>
      <w:r/>
      <w:bookmarkEnd w:id="190"/>
      <w:r/>
      <w:bookmarkEnd w:id="191"/>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92" w:name="39"/>
      <w:r/>
      <w:bookmarkStart w:id="193" w:name="_Toc419045096"/>
      <w:r/>
      <w:bookmarkStart w:id="194" w:name="_Toc66723154"/>
      <w:r/>
      <w:bookmarkStart w:id="195" w:name="_Toc422322516"/>
      <w:r>
        <w:rPr>
          <w:rFonts w:hint="eastAsia" w:ascii="宋体" w:hAnsi="宋体" w:cs="宋体"/>
          <w:b/>
          <w:color w:val="000000"/>
          <w:sz w:val="24"/>
          <w:szCs w:val="24"/>
          <w:highlight w:val="none"/>
        </w:rPr>
        <w:t xml:space="preserve">8.1</w:t>
      </w:r>
      <w:bookmarkEnd w:id="192"/>
      <w:r>
        <w:rPr>
          <w:rFonts w:hint="eastAsia" w:ascii="宋体" w:hAnsi="宋体" w:cs="宋体"/>
          <w:b/>
          <w:color w:val="000000"/>
          <w:sz w:val="24"/>
          <w:szCs w:val="24"/>
          <w:highlight w:val="none"/>
        </w:rPr>
        <w:t xml:space="preserve">考察及相关费用</w:t>
      </w:r>
      <w:bookmarkEnd w:id="193"/>
      <w:r/>
      <w:bookmarkEnd w:id="194"/>
      <w:r/>
      <w:bookmarkEnd w:id="19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除专用条件另有约定外，咨询人经委托人同意进行考察发生的费用由委托人审核后另行支付。差旅费及相关费用的承担由双方在专用条件中约定。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96" w:name="_Toc66723155"/>
      <w:r/>
      <w:bookmarkStart w:id="197" w:name="_Toc422322517"/>
      <w:r>
        <w:rPr>
          <w:rFonts w:hint="eastAsia" w:ascii="宋体" w:hAnsi="宋体" w:cs="宋体"/>
          <w:b/>
          <w:color w:val="000000"/>
          <w:sz w:val="24"/>
          <w:szCs w:val="24"/>
          <w:highlight w:val="none"/>
        </w:rPr>
        <w:t xml:space="preserve">8.2奖励</w:t>
      </w:r>
      <w:bookmarkEnd w:id="196"/>
      <w:r/>
      <w:bookmarkEnd w:id="197"/>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对于咨询人在服务过程中提出合理化建议，使委托人获得效益的，双方在专用条件中约定奖励金额的确定方法。奖励金额在合理化建议被采纳后，与最近一期的正常工作酬金同期支付。</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198" w:name="_Toc66723156"/>
      <w:r/>
      <w:bookmarkStart w:id="199" w:name="_Toc422322518"/>
      <w:r>
        <w:rPr>
          <w:rFonts w:hint="eastAsia" w:ascii="宋体" w:hAnsi="宋体" w:cs="宋体"/>
          <w:b/>
          <w:color w:val="000000"/>
          <w:sz w:val="24"/>
          <w:szCs w:val="24"/>
          <w:highlight w:val="none"/>
        </w:rPr>
        <w:t xml:space="preserve">8.3保密</w:t>
      </w:r>
      <w:bookmarkEnd w:id="198"/>
      <w:r/>
      <w:bookmarkEnd w:id="199"/>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在本合同履行期间或专用条件约定的期限内，双方不得泄露对方申明的保密资料，亦不得泄露与实施工程有关的第三人所提供的保密资料。保密事项在专用条件中约定。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00" w:name="_Toc419045097"/>
      <w:r/>
      <w:bookmarkStart w:id="201" w:name="_Toc66723157"/>
      <w:r/>
      <w:bookmarkStart w:id="202" w:name="_Toc422322519"/>
      <w:r>
        <w:rPr>
          <w:rFonts w:hint="eastAsia" w:ascii="宋体" w:hAnsi="宋体" w:cs="宋体"/>
          <w:b/>
          <w:color w:val="000000"/>
          <w:sz w:val="24"/>
          <w:szCs w:val="24"/>
          <w:highlight w:val="none"/>
        </w:rPr>
        <w:t xml:space="preserve">8.4</w:t>
      </w:r>
      <w:bookmarkEnd w:id="200"/>
      <w:r>
        <w:rPr>
          <w:rFonts w:hint="eastAsia" w:ascii="宋体" w:hAnsi="宋体" w:cs="宋体"/>
          <w:b/>
          <w:color w:val="000000"/>
          <w:sz w:val="24"/>
          <w:szCs w:val="24"/>
          <w:highlight w:val="none"/>
        </w:rPr>
        <w:t xml:space="preserve">联络</w:t>
      </w:r>
      <w:bookmarkEnd w:id="201"/>
      <w:r/>
      <w:bookmarkEnd w:id="20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8.4.1与合同有关的通知、指示、要求、决定等，均应采用书面形式，并应在专用条件约定的期限内送达接收人和送达地点。</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8.4.2委托人和咨询人应在专用条件中约定各自的送达接收人、送达地点、电子邮箱。任何一方指定的接收人或送达地点或电子邮箱发生变动的，应提前3天以书面形式通知对方，否则视为未发生变动。</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8.4.3委托人和咨询人应当及时签收另一方送达至送达地点和指定接收人的往来函件，如确有充分证据证明一方无正当理由拒不签收的，视为认可往来函件的内容。</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03" w:name="_Toc422322520"/>
      <w:r/>
      <w:bookmarkStart w:id="204" w:name="_Toc66723158"/>
      <w:r>
        <w:rPr>
          <w:rFonts w:hint="eastAsia" w:ascii="宋体" w:hAnsi="宋体" w:cs="宋体"/>
          <w:b/>
          <w:color w:val="000000"/>
          <w:sz w:val="24"/>
          <w:szCs w:val="24"/>
          <w:highlight w:val="none"/>
        </w:rPr>
        <w:t xml:space="preserve">8.5知识产权</w:t>
      </w:r>
      <w:bookmarkEnd w:id="203"/>
      <w:r/>
      <w:bookmarkEnd w:id="20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双方保证在履行本合同过程中不侵犯对方及第三方的知识产权。因咨询人侵犯他人知识产权所引起的责任，由咨询人承担；因委托人提供的基础资料导致侵权的，由委托人承担责任。</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除专用条件另有约定外，双方均有权在履行本合同保密义务并且不损害对方利益的情况下，将履行本合同形成的有关成果文件用于企业宣传、申报奖项以及接受上级主管部门的检查。</w:t>
      </w:r>
      <w:r>
        <w:rPr>
          <w:rFonts w:hint="eastAsia" w:ascii="宋体" w:hAnsi="宋体" w:cs="宋体"/>
          <w:b/>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spacing w:line="360" w:lineRule="auto"/>
        <w:widowControl/>
        <w:rPr>
          <w:rFonts w:hint="eastAsia" w:ascii="宋体" w:hAnsi="宋体" w:cs="宋体"/>
          <w:b/>
          <w:bCs/>
          <w:color w:val="000000"/>
          <w:sz w:val="30"/>
          <w:szCs w:val="30"/>
          <w:highlight w:val="none"/>
        </w:rPr>
        <w:outlineLvl w:val="1"/>
      </w:pPr>
      <w:r>
        <w:rPr>
          <w:rFonts w:hint="eastAsia" w:ascii="宋体" w:hAnsi="宋体" w:cs="宋体"/>
          <w:color w:val="000000"/>
          <w:sz w:val="24"/>
          <w:szCs w:val="24"/>
          <w:highlight w:val="none"/>
        </w:rPr>
        <w:br w:type="page" w:clear="all"/>
      </w:r>
      <w:bookmarkStart w:id="205" w:name="_Toc217581222"/>
      <w:r/>
      <w:bookmarkStart w:id="206" w:name="_Toc20129"/>
      <w:r/>
      <w:bookmarkStart w:id="207" w:name="_Toc184916290"/>
      <w:r>
        <w:rPr>
          <w:rFonts w:hint="eastAsia" w:ascii="宋体" w:hAnsi="宋体" w:cs="宋体"/>
          <w:b/>
          <w:bCs/>
          <w:color w:val="000000"/>
          <w:sz w:val="30"/>
          <w:szCs w:val="30"/>
          <w:highlight w:val="none"/>
        </w:rPr>
        <w:t xml:space="preserve">第三部分 专用条款</w:t>
      </w:r>
      <w:bookmarkEnd w:id="205"/>
      <w:r/>
      <w:bookmarkEnd w:id="206"/>
      <w:r/>
      <w:bookmarkEnd w:id="207"/>
      <w:r>
        <w:rPr>
          <w:rFonts w:hint="eastAsia" w:ascii="宋体" w:hAnsi="宋体" w:cs="宋体"/>
          <w:b/>
          <w:bCs/>
          <w:color w:val="000000"/>
          <w:sz w:val="30"/>
          <w:szCs w:val="30"/>
          <w:highlight w:val="none"/>
        </w:rPr>
      </w:r>
      <w:r/>
    </w:p>
    <w:p>
      <w:pPr>
        <w:pStyle w:val="770"/>
        <w:spacing w:line="360" w:lineRule="auto"/>
        <w:rPr>
          <w:rFonts w:hint="eastAsia" w:ascii="宋体" w:hAnsi="宋体" w:cs="宋体"/>
          <w:b/>
          <w:color w:val="000000"/>
          <w:sz w:val="24"/>
          <w:szCs w:val="24"/>
          <w:highlight w:val="none"/>
        </w:rPr>
      </w:pPr>
      <w:r/>
      <w:bookmarkStart w:id="208" w:name="_Toc422322522"/>
      <w:r/>
      <w:bookmarkStart w:id="209" w:name="_Toc66723160"/>
      <w:r/>
      <w:bookmarkStart w:id="210" w:name="_Toc419045099"/>
      <w:r>
        <w:rPr>
          <w:rFonts w:hint="eastAsia" w:ascii="宋体" w:hAnsi="宋体" w:cs="宋体"/>
          <w:b/>
          <w:color w:val="000000"/>
          <w:sz w:val="24"/>
          <w:szCs w:val="24"/>
          <w:highlight w:val="none"/>
        </w:rPr>
        <w:t xml:space="preserve">1.词语定义、语言、解释顺序与适用法律</w:t>
      </w:r>
      <w:bookmarkEnd w:id="208"/>
      <w:r/>
      <w:bookmarkEnd w:id="209"/>
      <w:r/>
      <w:bookmarkEnd w:id="210"/>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11" w:name="_Toc66723161"/>
      <w:r/>
      <w:bookmarkStart w:id="212" w:name="_Toc422322524"/>
      <w:r/>
      <w:bookmarkStart w:id="213" w:name="_Toc419045101"/>
      <w:r>
        <w:rPr>
          <w:rFonts w:hint="eastAsia" w:ascii="宋体" w:hAnsi="宋体" w:cs="宋体"/>
          <w:b/>
          <w:color w:val="000000"/>
          <w:sz w:val="24"/>
          <w:szCs w:val="24"/>
          <w:highlight w:val="none"/>
        </w:rPr>
        <w:t xml:space="preserve">1.1语言</w:t>
      </w:r>
      <w:bookmarkEnd w:id="211"/>
      <w:r/>
      <w:bookmarkEnd w:id="212"/>
      <w:r/>
      <w:bookmarkEnd w:id="213"/>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本合同文件除使用中文外，还可用___</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____。</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bookmarkStart w:id="214" w:name="_Toc422322525"/>
      <w:r/>
      <w:bookmarkStart w:id="215" w:name="_Toc66723162"/>
      <w:r>
        <w:rPr>
          <w:rFonts w:hint="eastAsia" w:ascii="宋体" w:hAnsi="宋体" w:cs="宋体"/>
          <w:color w:val="000000"/>
          <w:sz w:val="24"/>
          <w:szCs w:val="24"/>
          <w:highlight w:val="none"/>
        </w:rPr>
        <w:t xml:space="preserve">1.2合同文件的优先顺序</w:t>
      </w:r>
      <w:bookmarkEnd w:id="214"/>
      <w:r/>
      <w:bookmarkEnd w:id="215"/>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本合同文件的解释顺序为：</w:t>
      </w:r>
      <w:r>
        <w:rPr>
          <w:rFonts w:hint="eastAsia" w:ascii="宋体" w:hAnsi="宋体" w:cs="宋体"/>
          <w:color w:val="000000"/>
          <w:sz w:val="24"/>
          <w:szCs w:val="24"/>
          <w:highlight w:val="none"/>
          <w:u w:val="single"/>
        </w:rPr>
        <w:t xml:space="preserve">1.协议书2.专用条件及附录3.通用条件4.项目招标需求5.其他合同文件。</w:t>
      </w:r>
      <w:r>
        <w:rPr>
          <w:rFonts w:hint="eastAsia" w:ascii="宋体" w:hAnsi="宋体" w:cs="宋体"/>
          <w:color w:val="000000"/>
          <w:sz w:val="24"/>
          <w:szCs w:val="24"/>
          <w:highlight w:val="none"/>
          <w:u w:val="single"/>
        </w:rPr>
      </w:r>
      <w:r/>
    </w:p>
    <w:p>
      <w:pPr>
        <w:pStyle w:val="770"/>
        <w:ind w:firstLine="482"/>
        <w:spacing w:line="360" w:lineRule="auto"/>
        <w:rPr>
          <w:rFonts w:hint="eastAsia" w:ascii="宋体" w:hAnsi="宋体" w:cs="宋体"/>
          <w:b/>
          <w:color w:val="000000"/>
          <w:sz w:val="24"/>
          <w:szCs w:val="24"/>
          <w:highlight w:val="none"/>
        </w:rPr>
      </w:pPr>
      <w:r/>
      <w:bookmarkStart w:id="216" w:name="_Toc66723163"/>
      <w:r/>
      <w:bookmarkStart w:id="217" w:name="_Toc419045102"/>
      <w:r/>
      <w:bookmarkStart w:id="218" w:name="_Toc422322526"/>
      <w:r>
        <w:rPr>
          <w:rFonts w:hint="eastAsia" w:ascii="宋体" w:hAnsi="宋体" w:cs="宋体"/>
          <w:b/>
          <w:color w:val="000000"/>
          <w:sz w:val="24"/>
          <w:szCs w:val="24"/>
          <w:highlight w:val="none"/>
        </w:rPr>
        <w:t xml:space="preserve">1.3适用法律</w:t>
      </w:r>
      <w:bookmarkEnd w:id="216"/>
      <w:r/>
      <w:bookmarkEnd w:id="217"/>
      <w:r/>
      <w:bookmarkEnd w:id="21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本合同适用的其他规范性文件包括：</w:t>
      </w:r>
      <w:r>
        <w:rPr>
          <w:rFonts w:hint="eastAsia" w:ascii="宋体" w:hAnsi="宋体" w:cs="宋体"/>
          <w:color w:val="000000"/>
          <w:sz w:val="24"/>
          <w:szCs w:val="24"/>
          <w:highlight w:val="none"/>
          <w:u w:val="single"/>
        </w:rPr>
        <w:t xml:space="preserve">《中华人民共和国建筑法》《中华人民共和国民法典》《中华人民共和国招投标法》《中华人民共和国政府采购法》《中华人民共和国审计法》《江苏省建设工程造价管理办法》《南京市政府投资建设项目审计监督条例》及国家、省、市建设主管部门发布的有关现行政策性文件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219" w:name="_Toc66723164"/>
      <w:r/>
      <w:bookmarkStart w:id="220" w:name="_Toc422322527"/>
      <w:r/>
      <w:bookmarkStart w:id="221" w:name="_Toc419045103"/>
      <w:r>
        <w:rPr>
          <w:rFonts w:hint="eastAsia" w:ascii="宋体" w:hAnsi="宋体" w:cs="宋体"/>
          <w:b/>
          <w:color w:val="000000"/>
          <w:sz w:val="24"/>
          <w:szCs w:val="24"/>
          <w:highlight w:val="none"/>
        </w:rPr>
        <w:t xml:space="preserve">2.委托人的义务</w:t>
      </w:r>
      <w:bookmarkEnd w:id="219"/>
      <w:r/>
      <w:bookmarkEnd w:id="220"/>
      <w:r/>
      <w:bookmarkEnd w:id="221"/>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22" w:name="_Toc422322528"/>
      <w:r/>
      <w:bookmarkStart w:id="223" w:name="_Toc419045104"/>
      <w:r/>
      <w:bookmarkStart w:id="224" w:name="_Toc66723165"/>
      <w:r>
        <w:rPr>
          <w:rFonts w:hint="eastAsia" w:ascii="宋体" w:hAnsi="宋体" w:cs="宋体"/>
          <w:b/>
          <w:color w:val="000000"/>
          <w:sz w:val="24"/>
          <w:szCs w:val="24"/>
          <w:highlight w:val="none"/>
        </w:rPr>
        <w:t xml:space="preserve">2.1提供资料</w:t>
      </w:r>
      <w:bookmarkEnd w:id="222"/>
      <w:r/>
      <w:bookmarkEnd w:id="223"/>
      <w:r/>
      <w:bookmarkEnd w:id="22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委托人按照附录C约定无偿向咨询人提供与本合同咨询业务有关资料的时间为</w:t>
      </w:r>
      <w:r>
        <w:rPr>
          <w:rFonts w:hint="eastAsia" w:ascii="宋体" w:hAnsi="宋体" w:cs="宋体"/>
          <w:color w:val="000000"/>
          <w:sz w:val="24"/>
          <w:szCs w:val="24"/>
          <w:highlight w:val="none"/>
          <w:u w:val="single"/>
        </w:rPr>
        <w:t xml:space="preserve">：按委托人要求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咨询人应主动收集、整理与项目工作相关的资料，委托人给予相应配合；当部分材料暂不齐全的，应对给出合理化建议，以推进解决项目为目标，不得因此拖延或停滞工作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25" w:name="_Toc422322529"/>
      <w:r/>
      <w:bookmarkStart w:id="226" w:name="_Toc419045105"/>
      <w:r/>
      <w:bookmarkStart w:id="227" w:name="_Toc66723166"/>
      <w:r>
        <w:rPr>
          <w:rFonts w:hint="eastAsia" w:ascii="宋体" w:hAnsi="宋体" w:cs="宋体"/>
          <w:b/>
          <w:color w:val="000000"/>
          <w:sz w:val="24"/>
          <w:szCs w:val="24"/>
          <w:highlight w:val="none"/>
        </w:rPr>
        <w:t xml:space="preserve">2.2提供工作条件</w:t>
      </w:r>
      <w:bookmarkEnd w:id="225"/>
      <w:r/>
      <w:bookmarkEnd w:id="226"/>
      <w:r/>
      <w:bookmarkEnd w:id="227"/>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2.2.1项目咨询人员使用附录D中由委托人提供的房屋及设备，支付使用费的标准为：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增加2.3.1</w:t>
      </w:r>
      <w:r>
        <w:rPr>
          <w:rFonts w:hint="eastAsia" w:ascii="宋体" w:hAnsi="宋体" w:cs="宋体"/>
          <w:color w:val="000000"/>
          <w:sz w:val="24"/>
          <w:szCs w:val="24"/>
          <w:highlight w:val="none"/>
        </w:rPr>
        <w:t xml:space="preserve">：基于现状的工作进度计划，可能会随项目进展，存在提前或延期，委托人可以根据实际情况适当调整，咨询人不得因此要求赔偿，本合同服务应截止到委托事项全部完成。</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28" w:name="_Toc66723167"/>
      <w:r/>
      <w:bookmarkStart w:id="229" w:name="_Toc422322530"/>
      <w:r/>
      <w:bookmarkStart w:id="230" w:name="_Toc419045106"/>
      <w:r>
        <w:rPr>
          <w:rFonts w:hint="eastAsia" w:ascii="宋体" w:hAnsi="宋体" w:cs="宋体"/>
          <w:b/>
          <w:color w:val="000000"/>
          <w:sz w:val="24"/>
          <w:szCs w:val="24"/>
          <w:highlight w:val="none"/>
        </w:rPr>
        <w:t xml:space="preserve">2.4委托人代表</w:t>
      </w:r>
      <w:bookmarkEnd w:id="228"/>
      <w:r/>
      <w:bookmarkEnd w:id="229"/>
      <w:r/>
      <w:bookmarkEnd w:id="230"/>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委托人代表为：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，其权限范围：</w:t>
      </w:r>
      <w:r>
        <w:rPr>
          <w:rFonts w:hint="eastAsia" w:ascii="宋体" w:hAnsi="宋体" w:cs="宋体"/>
          <w:color w:val="000000"/>
          <w:sz w:val="24"/>
          <w:szCs w:val="24"/>
          <w:highlight w:val="none"/>
          <w:u w:val="single"/>
        </w:rPr>
        <w:t xml:space="preserve">监督项目咨询团队遵守政府和行业主管部门有关工程造价咨询的法规、规范、标准和指导规程；对项目咨询团队进行考核；对成果文件进行复核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31" w:name="_Toc422322531"/>
      <w:r/>
      <w:bookmarkStart w:id="232" w:name="_Toc66723168"/>
      <w:r>
        <w:rPr>
          <w:rFonts w:hint="eastAsia" w:ascii="宋体" w:hAnsi="宋体" w:cs="宋体"/>
          <w:b/>
          <w:color w:val="000000"/>
          <w:sz w:val="24"/>
          <w:szCs w:val="24"/>
          <w:highlight w:val="none"/>
        </w:rPr>
        <w:t xml:space="preserve">2.5答复</w:t>
      </w:r>
      <w:bookmarkEnd w:id="231"/>
      <w:r/>
      <w:bookmarkEnd w:id="23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委托人同意在_7__日内，对咨询人书面提交并要求做出决定的事宜给予书面答复。若在合同期限内未回复的，咨询人应再次报告或沟通，以解决问题为原则，不得作为逾期回复视为认可。</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233" w:name="_Toc66723169"/>
      <w:r/>
      <w:bookmarkStart w:id="234" w:name="_Toc419045107"/>
      <w:r/>
      <w:bookmarkStart w:id="235" w:name="_Toc422322532"/>
      <w:r>
        <w:rPr>
          <w:rFonts w:hint="eastAsia" w:ascii="宋体" w:hAnsi="宋体" w:cs="宋体"/>
          <w:b/>
          <w:color w:val="000000"/>
          <w:sz w:val="24"/>
          <w:szCs w:val="24"/>
          <w:highlight w:val="none"/>
        </w:rPr>
        <w:t xml:space="preserve">3.咨询人的义务</w:t>
      </w:r>
      <w:bookmarkEnd w:id="233"/>
      <w:r/>
      <w:bookmarkEnd w:id="234"/>
      <w:r/>
      <w:bookmarkEnd w:id="235"/>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36" w:name="_Toc422322533"/>
      <w:r/>
      <w:bookmarkStart w:id="237" w:name="_Toc66723170"/>
      <w:r/>
      <w:bookmarkStart w:id="238" w:name="_Toc419045109"/>
      <w:r>
        <w:rPr>
          <w:rFonts w:hint="eastAsia" w:ascii="宋体" w:hAnsi="宋体" w:cs="宋体"/>
          <w:b/>
          <w:color w:val="000000"/>
          <w:sz w:val="24"/>
          <w:szCs w:val="24"/>
          <w:highlight w:val="none"/>
        </w:rPr>
        <w:t xml:space="preserve">3.1项目咨询团队及人员</w:t>
      </w:r>
      <w:bookmarkEnd w:id="236"/>
      <w:r/>
      <w:bookmarkEnd w:id="237"/>
      <w:r/>
      <w:bookmarkEnd w:id="23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3.1.1项目咨询团队的主要人员应具有</w:t>
      </w:r>
      <w:r>
        <w:rPr>
          <w:rFonts w:hint="eastAsia" w:ascii="宋体" w:hAnsi="宋体" w:cs="宋体"/>
          <w:color w:val="000000"/>
          <w:sz w:val="24"/>
          <w:szCs w:val="24"/>
          <w:highlight w:val="none"/>
          <w:u w:val="single"/>
        </w:rPr>
        <w:t xml:space="preserve">  注册造价师  </w:t>
      </w:r>
      <w:r>
        <w:rPr>
          <w:rFonts w:hint="eastAsia" w:ascii="宋体" w:hAnsi="宋体" w:cs="宋体"/>
          <w:color w:val="000000"/>
          <w:sz w:val="24"/>
          <w:szCs w:val="24"/>
          <w:highlight w:val="none"/>
        </w:rPr>
        <w:t xml:space="preserve">资格条件，团队人员的数量为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3.1.2项目负责人为：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），项目负责人为履行本合同的权限为：</w:t>
      </w:r>
      <w:r>
        <w:rPr>
          <w:rFonts w:hint="eastAsia" w:ascii="宋体" w:hAnsi="宋体" w:cs="宋体"/>
          <w:color w:val="000000"/>
          <w:sz w:val="24"/>
          <w:szCs w:val="24"/>
          <w:highlight w:val="none"/>
          <w:u w:val="single"/>
        </w:rPr>
        <w:t xml:space="preserve">负责本咨询项目的具体实施及与委托方的联系等事宜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3.1.3咨询人更换项目咨询团队其他咨询人员的约定：</w:t>
      </w:r>
      <w:r>
        <w:rPr>
          <w:rFonts w:hint="eastAsia" w:ascii="宋体" w:hAnsi="宋体" w:cs="宋体"/>
          <w:color w:val="000000"/>
          <w:sz w:val="24"/>
          <w:szCs w:val="24"/>
          <w:highlight w:val="none"/>
          <w:u w:val="single"/>
        </w:rPr>
        <w:t xml:space="preserve">需征询委托人并取得委托人书面同意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3.1.4委托人要求更换咨询人员的情形还包括：</w:t>
      </w:r>
      <w:r>
        <w:rPr>
          <w:rFonts w:hint="eastAsia" w:ascii="宋体" w:hAnsi="宋体" w:cs="宋体"/>
          <w:color w:val="000000"/>
          <w:sz w:val="24"/>
          <w:szCs w:val="24"/>
          <w:highlight w:val="none"/>
          <w:u w:val="single"/>
        </w:rPr>
        <w:t xml:space="preserve">不能胜任咨询工作，不具备审核资格，不服从工作安排，存在违规行为，委托人认为不适宜进行咨询工作的其他情形</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39" w:name="_Toc419045110"/>
      <w:r/>
      <w:bookmarkStart w:id="240" w:name="_Toc66723171"/>
      <w:r/>
      <w:bookmarkStart w:id="241" w:name="_Toc422322534"/>
      <w:r>
        <w:rPr>
          <w:rFonts w:hint="eastAsia" w:ascii="宋体" w:hAnsi="宋体" w:cs="宋体"/>
          <w:b/>
          <w:color w:val="000000"/>
          <w:sz w:val="24"/>
          <w:szCs w:val="24"/>
          <w:highlight w:val="none"/>
        </w:rPr>
        <w:t xml:space="preserve">3.2咨询人的工作要求</w:t>
      </w:r>
      <w:bookmarkEnd w:id="239"/>
      <w:r/>
      <w:bookmarkEnd w:id="240"/>
      <w:r/>
      <w:bookmarkEnd w:id="241"/>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bookmarkStart w:id="242" w:name="_Toc422322537"/>
      <w:r/>
      <w:bookmarkStart w:id="243" w:name="_Toc419045113"/>
      <w:r/>
      <w:bookmarkStart w:id="244" w:name="_Toc66723174"/>
      <w:r>
        <w:rPr>
          <w:rFonts w:hint="eastAsia" w:ascii="宋体" w:hAnsi="宋体" w:cs="宋体"/>
          <w:color w:val="000000"/>
          <w:sz w:val="24"/>
          <w:szCs w:val="24"/>
          <w:highlight w:val="none"/>
        </w:rPr>
        <w:t xml:space="preserve">3.2.1咨询人向委托人提供有关资料的时间：</w:t>
      </w:r>
      <w:r>
        <w:rPr>
          <w:rFonts w:hint="eastAsia" w:ascii="宋体" w:hAnsi="宋体" w:cs="宋体"/>
          <w:color w:val="000000"/>
          <w:sz w:val="24"/>
          <w:szCs w:val="24"/>
          <w:highlight w:val="none"/>
          <w:u w:val="single"/>
        </w:rPr>
        <w:t xml:space="preserve"> 按委托人要求</w:t>
      </w:r>
      <w:r>
        <w:rPr>
          <w:rFonts w:hint="eastAsia" w:ascii="宋体" w:hAnsi="宋体" w:cs="宋体"/>
          <w:color w:val="000000"/>
          <w:sz w:val="24"/>
          <w:szCs w:val="24"/>
          <w:highlight w:val="none"/>
        </w:rPr>
        <w:t xml:space="preserve">。咨询人向委托人提供的资料还包括：</w:t>
      </w:r>
      <w:r>
        <w:rPr>
          <w:rFonts w:hint="eastAsia" w:ascii="宋体" w:hAnsi="宋体" w:cs="宋体"/>
          <w:color w:val="000000"/>
          <w:sz w:val="24"/>
          <w:szCs w:val="24"/>
          <w:highlight w:val="none"/>
          <w:u w:val="single"/>
        </w:rPr>
        <w:t xml:space="preserve"> 按委托人要求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3.2.2咨询人向委托人提供咨询成果文件的名称、组成、时间、份数及质量标准：</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按委托人要求，完成重大事项报告、阶段性结算审计报告和全过程结算审计总报告等，完成江北新区建设工程审计系统和重大项目审计系统信息维护和备案，做好审计档案整理和移交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审计报告应提交委托书面报告8份及相应电子版1份 ，质量符合行业规范，时间满足委托人要求。</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审计成果（包括过程审核成果及最终成果）质量要求应符合《建设工程造价咨询成果文件质量标准》CECA/GC72012Q要求，准确率控制在±2%以内。</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审计档案应提交纸质档案2份及电子档案1份，审计档案质量应符合《南京市工程造价咨询业务档案管理手册》（2014）。</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江北新区建设工程审计系统和重大项目审计系统信息维护和备案内容和质量应符合委托人要求。</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详见附录B。</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3.2.4咨询人应在收到委托人以书面形式提出的建议或者异议3日内给予书面答复。</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color w:val="000000"/>
          <w:sz w:val="24"/>
          <w:szCs w:val="24"/>
          <w:highlight w:val="none"/>
          <w:u w:val="single"/>
        </w:rPr>
      </w:pPr>
      <w:r>
        <w:rPr>
          <w:rFonts w:hint="eastAsia" w:ascii="宋体" w:hAnsi="宋体" w:cs="宋体"/>
          <w:b/>
          <w:color w:val="000000"/>
          <w:sz w:val="24"/>
          <w:szCs w:val="24"/>
          <w:highlight w:val="none"/>
        </w:rPr>
        <w:t xml:space="preserve">增加3.2.7</w:t>
      </w:r>
      <w:r>
        <w:rPr>
          <w:rFonts w:hint="eastAsia" w:ascii="宋体" w:hAnsi="宋体" w:cs="宋体"/>
          <w:color w:val="000000"/>
          <w:sz w:val="24"/>
          <w:szCs w:val="24"/>
          <w:highlight w:val="none"/>
          <w:u w:val="single"/>
        </w:rPr>
        <w:t xml:space="preserve">关于项目检查、政府监督、询价、项目争议协商等配合事项，酬金不另计取，咨询人须及时响应委托人要求。</w:t>
      </w:r>
      <w:r>
        <w:rPr>
          <w:rFonts w:hint="eastAsia" w:ascii="宋体" w:hAnsi="宋体" w:cs="宋体"/>
          <w:color w:val="000000"/>
          <w:sz w:val="24"/>
          <w:szCs w:val="24"/>
          <w:highlight w:val="none"/>
          <w:u w:val="single"/>
        </w:rPr>
      </w:r>
      <w:r/>
    </w:p>
    <w:p>
      <w:pPr>
        <w:pStyle w:val="770"/>
        <w:ind w:firstLine="482"/>
        <w:spacing w:line="360" w:lineRule="auto"/>
        <w:rPr>
          <w:rFonts w:hint="eastAsia" w:ascii="宋体" w:hAnsi="宋体" w:cs="宋体"/>
          <w:color w:val="000000"/>
          <w:sz w:val="24"/>
          <w:szCs w:val="24"/>
          <w:highlight w:val="none"/>
          <w:u w:val="single"/>
        </w:rPr>
      </w:pPr>
      <w:r>
        <w:rPr>
          <w:rFonts w:hint="eastAsia" w:ascii="宋体" w:hAnsi="宋体" w:cs="宋体"/>
          <w:b/>
          <w:color w:val="000000"/>
          <w:sz w:val="24"/>
          <w:szCs w:val="24"/>
          <w:highlight w:val="none"/>
        </w:rPr>
        <w:t xml:space="preserve">增加3.2.8</w:t>
      </w:r>
      <w:r>
        <w:rPr>
          <w:rFonts w:hint="eastAsia" w:ascii="宋体" w:hAnsi="宋体" w:cs="宋体"/>
          <w:color w:val="000000"/>
          <w:sz w:val="24"/>
          <w:szCs w:val="24"/>
          <w:highlight w:val="none"/>
          <w:u w:val="single"/>
        </w:rPr>
        <w:t xml:space="preserve">因工程项目需要、政策变动、职能调整等因素，需要调整合同主体的，咨询人须配合完成签订补充协议、资料移交等工作。</w:t>
      </w:r>
      <w:r>
        <w:rPr>
          <w:rFonts w:hint="eastAsia" w:ascii="宋体" w:hAnsi="宋体" w:cs="宋体"/>
          <w:color w:val="000000"/>
          <w:sz w:val="24"/>
          <w:szCs w:val="24"/>
          <w:highlight w:val="none"/>
          <w:u w:val="single"/>
        </w:rPr>
      </w:r>
      <w:r/>
    </w:p>
    <w:p>
      <w:pPr>
        <w:pStyle w:val="770"/>
        <w:ind w:firstLine="482"/>
        <w:spacing w:line="360" w:lineRule="auto"/>
        <w:rPr>
          <w:rFonts w:hint="eastAsia" w:ascii="宋体" w:hAnsi="宋体" w:cs="宋体"/>
          <w:b/>
          <w:color w:val="000000"/>
          <w:sz w:val="24"/>
          <w:szCs w:val="24"/>
          <w:highlight w:val="none"/>
        </w:rPr>
      </w:pPr>
      <w:r/>
      <w:bookmarkStart w:id="245" w:name="_Toc419045111"/>
      <w:r/>
      <w:bookmarkStart w:id="246" w:name="_Toc422322535"/>
      <w:r/>
      <w:bookmarkStart w:id="247" w:name="_Toc66723172"/>
      <w:r>
        <w:rPr>
          <w:rFonts w:hint="eastAsia" w:ascii="宋体" w:hAnsi="宋体" w:cs="宋体"/>
          <w:b/>
          <w:color w:val="000000"/>
          <w:sz w:val="24"/>
          <w:szCs w:val="24"/>
          <w:highlight w:val="none"/>
        </w:rPr>
        <w:t xml:space="preserve">3.3咨询人的工作依据</w:t>
      </w:r>
      <w:bookmarkEnd w:id="245"/>
      <w:r/>
      <w:bookmarkEnd w:id="246"/>
      <w:r/>
      <w:bookmarkEnd w:id="247"/>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经双方协商，本合同约定的造价咨询服务适用的技术标准、规范、定额等工作依据为：《建设工程工程量清单计价规范》、江苏省相关工程计价表及国家、省、市、江北新区现行规范及规定等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bookmarkStart w:id="248" w:name="_Toc66723173"/>
      <w:r/>
      <w:bookmarkStart w:id="249" w:name="_Toc419045112"/>
      <w:r/>
      <w:bookmarkStart w:id="250" w:name="_Toc422322536"/>
      <w:r>
        <w:rPr>
          <w:rFonts w:hint="eastAsia" w:ascii="宋体" w:hAnsi="宋体" w:cs="宋体"/>
          <w:color w:val="000000"/>
          <w:sz w:val="24"/>
          <w:szCs w:val="24"/>
          <w:highlight w:val="none"/>
        </w:rPr>
        <w:t xml:space="preserve">3.4使用委托人房屋及设备的返还</w:t>
      </w:r>
      <w:bookmarkEnd w:id="248"/>
      <w:r/>
      <w:bookmarkEnd w:id="249"/>
      <w:r/>
      <w:bookmarkEnd w:id="250"/>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咨询人应在本合同终止后</w:t>
      </w:r>
      <w:r>
        <w:rPr>
          <w:rFonts w:hint="eastAsia" w:ascii="宋体" w:hAnsi="宋体" w:cs="宋体"/>
          <w:color w:val="000000"/>
          <w:sz w:val="24"/>
          <w:szCs w:val="24"/>
          <w:highlight w:val="none"/>
          <w:u w:val="single"/>
        </w:rPr>
        <w:t xml:space="preserve"> 7 </w:t>
      </w:r>
      <w:r>
        <w:rPr>
          <w:rFonts w:hint="eastAsia" w:ascii="宋体" w:hAnsi="宋体" w:cs="宋体"/>
          <w:color w:val="000000"/>
          <w:sz w:val="24"/>
          <w:szCs w:val="24"/>
          <w:highlight w:val="none"/>
        </w:rPr>
        <w:t xml:space="preserve">日内移交委托人提供的房屋及设备，移交的方式为：</w:t>
      </w:r>
      <w:r>
        <w:rPr>
          <w:rFonts w:hint="eastAsia" w:ascii="宋体" w:hAnsi="宋体" w:cs="宋体"/>
          <w:color w:val="000000"/>
          <w:sz w:val="24"/>
          <w:szCs w:val="24"/>
          <w:highlight w:val="none"/>
          <w:u w:val="single"/>
        </w:rPr>
        <w:t xml:space="preserve">恢复原貌，交还钥匙</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4.违约责任</w:t>
      </w:r>
      <w:bookmarkEnd w:id="242"/>
      <w:r/>
      <w:bookmarkEnd w:id="243"/>
      <w:r/>
      <w:bookmarkEnd w:id="244"/>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51" w:name="_Toc66723175"/>
      <w:r/>
      <w:bookmarkStart w:id="252" w:name="_Toc422322538"/>
      <w:r>
        <w:rPr>
          <w:rFonts w:hint="eastAsia" w:ascii="宋体" w:hAnsi="宋体" w:cs="宋体"/>
          <w:b/>
          <w:color w:val="000000"/>
          <w:sz w:val="24"/>
          <w:szCs w:val="24"/>
          <w:highlight w:val="none"/>
        </w:rPr>
        <w:t xml:space="preserve">4.1委托人的违约责任</w:t>
      </w:r>
      <w:bookmarkEnd w:id="251"/>
      <w:r/>
      <w:bookmarkEnd w:id="25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4.1.1委托人违约金的计算及支付方法：/。</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4.1.2委托人赔偿金额按下列方法确定并支付：</w:t>
      </w:r>
      <w:r>
        <w:rPr>
          <w:rFonts w:hint="eastAsia" w:ascii="宋体" w:hAnsi="宋体" w:cs="宋体"/>
          <w:color w:val="000000"/>
          <w:sz w:val="24"/>
          <w:szCs w:val="24"/>
          <w:highlight w:val="none"/>
          <w:u w:val="single"/>
        </w:rPr>
        <w:t xml:space="preserve">按实际损失计算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4.1.3 委托人逾期付款利息按下列方法计算并支付：</w:t>
      </w:r>
      <w:r>
        <w:rPr>
          <w:rFonts w:hint="eastAsia" w:ascii="宋体" w:hAnsi="宋体" w:cs="宋体"/>
          <w:color w:val="000000"/>
          <w:sz w:val="24"/>
          <w:szCs w:val="24"/>
          <w:highlight w:val="none"/>
          <w:u w:val="single"/>
        </w:rPr>
        <w:t xml:space="preserve">不支付</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53" w:name="_Toc422322539"/>
      <w:r/>
      <w:bookmarkStart w:id="254" w:name="_Toc419045114"/>
      <w:r/>
      <w:bookmarkStart w:id="255" w:name="_Toc66723176"/>
      <w:r>
        <w:rPr>
          <w:rFonts w:hint="eastAsia" w:ascii="宋体" w:hAnsi="宋体" w:cs="宋体"/>
          <w:b/>
          <w:color w:val="000000"/>
          <w:sz w:val="24"/>
          <w:szCs w:val="24"/>
          <w:highlight w:val="none"/>
        </w:rPr>
        <w:t xml:space="preserve">4.2咨询人的违约责任</w:t>
      </w:r>
      <w:bookmarkEnd w:id="253"/>
      <w:r/>
      <w:bookmarkEnd w:id="25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bookmarkEnd w:id="254"/>
      <w:r>
        <w:rPr>
          <w:rFonts w:hint="eastAsia" w:ascii="宋体" w:hAnsi="宋体" w:cs="宋体"/>
          <w:color w:val="000000"/>
          <w:sz w:val="24"/>
          <w:szCs w:val="24"/>
          <w:highlight w:val="none"/>
        </w:rPr>
        <w:t xml:space="preserve">4.2.1咨询人违约金的计算及支付方法：</w:t>
      </w:r>
      <w:r>
        <w:rPr>
          <w:rFonts w:hint="eastAsia" w:ascii="宋体" w:hAnsi="宋体" w:cs="宋体"/>
          <w:color w:val="000000"/>
          <w:sz w:val="24"/>
          <w:szCs w:val="24"/>
          <w:highlight w:val="none"/>
          <w:u w:val="single"/>
        </w:rPr>
        <w:t xml:space="preserve">咨询人应服从委托人对咨询业务质量的指导、监督和管理，委托人将在审核工作中期和结束时对咨询人进行考核，考核结果与酬金挂钩，咨询人投入人员</w:t>
      </w:r>
      <w:r>
        <w:rPr>
          <w:rFonts w:hint="eastAsia" w:ascii="宋体" w:hAnsi="宋体" w:cs="宋体"/>
          <w:color w:val="000000"/>
          <w:sz w:val="24"/>
          <w:szCs w:val="24"/>
          <w:highlight w:val="none"/>
          <w:u w:val="single"/>
        </w:rPr>
        <w:t xml:space="preserve">数量和资质不匹配招标需求和合同约定，或者咨询人提交审核报告质量未满足委托人要求，或者咨询人不服从委托人工作安排，或者不遵守工作纪律、人员出勤率低于90%，委托人有权按情节严重程度要求咨询人按最终酬金的5%-20%向委托人支付违约金。咨询人完成每个项目的竣工结算审核工作后，决算审计、政府审计部门、法院或其他主管单位对审核结果进行复审，要求每项审核后的计价成果的复审核减率小于2%（含2%），若复审核减率大于2%，咨询人按该项审核酬金的10%向委托人支付违约金；若复审核减率大于5%，委托人不支付咨询人该项审核酬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4.2.2 咨询人赔偿金额按下列方法确定并支付：</w:t>
      </w:r>
      <w:r>
        <w:rPr>
          <w:rFonts w:hint="eastAsia" w:ascii="宋体" w:hAnsi="宋体" w:cs="宋体"/>
          <w:color w:val="000000"/>
          <w:sz w:val="24"/>
          <w:szCs w:val="24"/>
          <w:highlight w:val="none"/>
          <w:u w:val="single"/>
        </w:rPr>
        <w:t xml:space="preserve">按委托人实际损失计算并支付，赔偿金额最高不超过合同价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256" w:name="_Toc66723177"/>
      <w:r/>
      <w:bookmarkStart w:id="257" w:name="_Toc422322540"/>
      <w:r/>
      <w:bookmarkStart w:id="258" w:name="_Toc419045115"/>
      <w:r>
        <w:rPr>
          <w:rFonts w:hint="eastAsia" w:ascii="宋体" w:hAnsi="宋体" w:cs="宋体"/>
          <w:b/>
          <w:color w:val="000000"/>
          <w:sz w:val="24"/>
          <w:szCs w:val="24"/>
          <w:highlight w:val="none"/>
        </w:rPr>
        <w:t xml:space="preserve">5.支付</w:t>
      </w:r>
      <w:bookmarkEnd w:id="256"/>
      <w:r/>
      <w:bookmarkEnd w:id="257"/>
      <w:r/>
      <w:bookmarkEnd w:id="258"/>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59" w:name="_Toc422322541"/>
      <w:r/>
      <w:bookmarkStart w:id="260" w:name="_Toc419045116"/>
      <w:r/>
      <w:bookmarkStart w:id="261" w:name="_Toc66723178"/>
      <w:r>
        <w:rPr>
          <w:rFonts w:hint="eastAsia" w:ascii="宋体" w:hAnsi="宋体" w:cs="宋体"/>
          <w:b/>
          <w:color w:val="000000"/>
          <w:sz w:val="24"/>
          <w:szCs w:val="24"/>
          <w:highlight w:val="none"/>
        </w:rPr>
        <w:t xml:space="preserve">5.1支付货币</w:t>
      </w:r>
      <w:bookmarkEnd w:id="259"/>
      <w:r/>
      <w:bookmarkEnd w:id="260"/>
      <w:r/>
      <w:bookmarkEnd w:id="261"/>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币种为：人民币，汇率为：/，其他约定：/。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62" w:name="_Toc419045117"/>
      <w:r/>
      <w:bookmarkStart w:id="263" w:name="_Toc66723179"/>
      <w:r/>
      <w:bookmarkStart w:id="264" w:name="_Toc422322542"/>
      <w:r>
        <w:rPr>
          <w:rFonts w:hint="eastAsia" w:ascii="宋体" w:hAnsi="宋体" w:cs="宋体"/>
          <w:b/>
          <w:color w:val="000000"/>
          <w:sz w:val="24"/>
          <w:szCs w:val="24"/>
          <w:highlight w:val="none"/>
        </w:rPr>
        <w:t xml:space="preserve">5.2支付申请</w:t>
      </w:r>
      <w:bookmarkEnd w:id="262"/>
      <w:r/>
      <w:bookmarkEnd w:id="263"/>
      <w:r/>
      <w:bookmarkEnd w:id="26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咨询人应在本合同约定的每次应付款日期7日前，向委托人提交支付申请书。</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65" w:name="_Toc422322543"/>
      <w:r/>
      <w:bookmarkStart w:id="266" w:name="_Toc66723180"/>
      <w:r/>
      <w:bookmarkStart w:id="267" w:name="_Toc419045118"/>
      <w:r>
        <w:rPr>
          <w:rFonts w:hint="eastAsia" w:ascii="宋体" w:hAnsi="宋体" w:cs="宋体"/>
          <w:b/>
          <w:color w:val="000000"/>
          <w:sz w:val="24"/>
          <w:szCs w:val="24"/>
          <w:highlight w:val="none"/>
        </w:rPr>
        <w:t xml:space="preserve">5.3支付酬金</w:t>
      </w:r>
      <w:bookmarkEnd w:id="265"/>
      <w:r/>
      <w:bookmarkEnd w:id="266"/>
      <w:r/>
      <w:bookmarkEnd w:id="267"/>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正常工作酬金的支付：</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首付款：/ </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u w:val="single"/>
        </w:rPr>
      </w:pPr>
      <w:r/>
      <w:bookmarkStart w:id="268" w:name="_Toc419045119"/>
      <w:r/>
      <w:bookmarkStart w:id="269" w:name="_Toc422322544"/>
      <w:r/>
      <w:bookmarkStart w:id="270" w:name="_Toc66723181"/>
      <w:r>
        <w:rPr>
          <w:rFonts w:hint="eastAsia" w:ascii="宋体" w:hAnsi="宋体" w:cs="宋体"/>
          <w:color w:val="000000"/>
          <w:sz w:val="24"/>
          <w:szCs w:val="24"/>
          <w:highlight w:val="none"/>
          <w:u w:val="single"/>
        </w:rPr>
        <w:t xml:space="preserve">（1）按年度支付，支付至已完结算审计项目对应审计酬金的70%；</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（2）竣工结算审核完成，出具正式审核报告经委托人审核通过，并完成审计系统和重大项目管理系统备案、审计档案整理交付及配合完成竣工决算审计后，付清余款。</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备注：每次付款申请时咨询人均须按委托人要求提供等额增值税发票，咨询人须向委托人支付的违约金由委托人在当期进度付款时予以扣除。</w:t>
      </w:r>
      <w:r>
        <w:rPr>
          <w:rFonts w:hint="eastAsia" w:ascii="宋体" w:hAnsi="宋体" w:cs="宋体"/>
          <w:color w:val="000000"/>
          <w:sz w:val="24"/>
          <w:szCs w:val="24"/>
          <w:highlight w:val="none"/>
          <w:u w:val="single"/>
        </w:rPr>
      </w:r>
      <w:r/>
    </w:p>
    <w:p>
      <w:pPr>
        <w:pStyle w:val="770"/>
        <w:ind w:firstLine="48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咨询费由发包人(建设单位)直接支付到咨询人账户，付款前咨询人需提供付款资料上报至发包人(受托代建单位)审核，审核通过后由发包人(受托代建单位)提交给发包人(建设单位)付款，并提供等额的增值税发票(发票抬头：南京江北新区管委会教育局)，否则发包人(建设单位)有权绝付款并不承担违约责任。无论发生何种情况，发包人（受托代建单位）无支付或垫付咨询费义务。</w:t>
      </w:r>
      <w:r>
        <w:rPr>
          <w:rFonts w:hint="eastAsia" w:ascii="宋体" w:hAnsi="宋体" w:cs="宋体"/>
          <w:color w:val="000000"/>
          <w:sz w:val="24"/>
          <w:szCs w:val="24"/>
          <w:highlight w:val="none"/>
          <w:u w:val="singl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6.合同变更、解除与终止</w:t>
      </w:r>
      <w:bookmarkEnd w:id="268"/>
      <w:r/>
      <w:bookmarkEnd w:id="269"/>
      <w:r/>
      <w:bookmarkEnd w:id="270"/>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71" w:name="_Toc422322545"/>
      <w:r/>
      <w:bookmarkStart w:id="272" w:name="_Toc419045120"/>
      <w:r/>
      <w:bookmarkStart w:id="273" w:name="_Toc66723182"/>
      <w:r>
        <w:rPr>
          <w:rFonts w:hint="eastAsia" w:ascii="宋体" w:hAnsi="宋体" w:cs="宋体"/>
          <w:b/>
          <w:color w:val="000000"/>
          <w:sz w:val="24"/>
          <w:szCs w:val="24"/>
          <w:highlight w:val="none"/>
        </w:rPr>
        <w:t xml:space="preserve">6.1合同变更</w:t>
      </w:r>
      <w:bookmarkEnd w:id="271"/>
      <w:r/>
      <w:bookmarkEnd w:id="272"/>
      <w:r/>
      <w:bookmarkEnd w:id="273"/>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6.1.2 除不可抗力外，因非咨询人原因导致本合同履行期限延长、内容增加时，附加工作酬金按下列方法确定：</w:t>
      </w:r>
      <w:r>
        <w:rPr>
          <w:rFonts w:hint="eastAsia" w:ascii="宋体" w:hAnsi="宋体" w:cs="宋体"/>
          <w:color w:val="000000"/>
          <w:sz w:val="24"/>
          <w:szCs w:val="24"/>
          <w:highlight w:val="none"/>
          <w:u w:val="single"/>
        </w:rPr>
        <w:t xml:space="preserve">另行协商签署书面补充协议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6.1.4因工程规模、服务范围及内容的变化等导致咨询人的工作量增减时，服务酬金的调整方法：</w:t>
      </w:r>
      <w:r>
        <w:rPr>
          <w:rFonts w:hint="eastAsia" w:ascii="宋体" w:hAnsi="宋体" w:cs="宋体"/>
          <w:color w:val="000000"/>
          <w:sz w:val="24"/>
          <w:szCs w:val="24"/>
          <w:highlight w:val="none"/>
          <w:u w:val="single"/>
        </w:rPr>
        <w:t xml:space="preserve">若有发生，按结算审定建安工程造价扣除设备费用的金额及本合同约定的费率执行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74" w:name="_Toc422322546"/>
      <w:r/>
      <w:bookmarkStart w:id="275" w:name="_Toc66723183"/>
      <w:r>
        <w:rPr>
          <w:rFonts w:hint="eastAsia" w:ascii="宋体" w:hAnsi="宋体" w:cs="宋体"/>
          <w:b/>
          <w:color w:val="000000"/>
          <w:sz w:val="24"/>
          <w:szCs w:val="24"/>
          <w:highlight w:val="none"/>
        </w:rPr>
        <w:t xml:space="preserve">6.2合同解除</w:t>
      </w:r>
      <w:bookmarkEnd w:id="274"/>
      <w:r/>
      <w:bookmarkEnd w:id="27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6.2.2双方约定解除合同的条件还包括：</w:t>
      </w:r>
      <w:r>
        <w:rPr>
          <w:rFonts w:hint="eastAsia" w:ascii="宋体" w:hAnsi="宋体" w:cs="宋体"/>
          <w:color w:val="000000"/>
          <w:sz w:val="24"/>
          <w:szCs w:val="24"/>
          <w:highlight w:val="none"/>
          <w:u w:val="single"/>
        </w:rPr>
        <w:t xml:space="preserve">（1）咨询人承诺拟派造价咨询项目负责人和其他造价咨询项目组成员人员按投标文件内容不得擅自更改，开工始或施工过程中，如有更改，须书面提出申请，经委托方认可的具备资格的人员方可替换，如咨询人擅自变更项目负责人和项目组成员，委托方有权解除合同，并追究有次带来的委托人的一切损失；（2）咨询人工作如出现严重失误或服务明显达不到委托人要求（含因非委托人原因，逾期提交工作成果10日以上），委托人有权解除合同，咨询人应按约定总费用的10%支付违约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6.2.4因不可抗力导致的合同解除，双方约定损失的分担如下：</w:t>
      </w:r>
      <w:r>
        <w:rPr>
          <w:rFonts w:hint="eastAsia" w:ascii="宋体" w:hAnsi="宋体" w:cs="宋体"/>
          <w:color w:val="000000"/>
          <w:sz w:val="24"/>
          <w:szCs w:val="24"/>
          <w:highlight w:val="none"/>
          <w:u w:val="single"/>
        </w:rPr>
        <w:t xml:space="preserve">另行协商签署补充协议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276" w:name="_Toc422322547"/>
      <w:r/>
      <w:bookmarkStart w:id="277" w:name="_Toc419045121"/>
      <w:r/>
      <w:bookmarkStart w:id="278" w:name="_Toc66723184"/>
      <w:r>
        <w:rPr>
          <w:rFonts w:hint="eastAsia" w:ascii="宋体" w:hAnsi="宋体" w:cs="宋体"/>
          <w:b/>
          <w:color w:val="000000"/>
          <w:sz w:val="24"/>
          <w:szCs w:val="24"/>
          <w:highlight w:val="none"/>
        </w:rPr>
        <w:t xml:space="preserve">7.争议解决</w:t>
      </w:r>
      <w:bookmarkEnd w:id="276"/>
      <w:r/>
      <w:bookmarkEnd w:id="277"/>
      <w:r/>
      <w:bookmarkEnd w:id="278"/>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color w:val="000000"/>
          <w:sz w:val="24"/>
          <w:szCs w:val="24"/>
          <w:highlight w:val="none"/>
        </w:rPr>
      </w:pPr>
      <w:r/>
      <w:bookmarkStart w:id="279" w:name="_Toc66723185"/>
      <w:r>
        <w:rPr>
          <w:rFonts w:hint="eastAsia" w:ascii="宋体" w:hAnsi="宋体" w:cs="宋体"/>
          <w:b/>
          <w:color w:val="000000"/>
          <w:sz w:val="24"/>
          <w:szCs w:val="24"/>
          <w:highlight w:val="none"/>
        </w:rPr>
        <w:t xml:space="preserve">增加</w:t>
      </w:r>
      <w:r>
        <w:rPr>
          <w:rFonts w:hint="eastAsia" w:ascii="宋体" w:hAnsi="宋体" w:cs="宋体"/>
          <w:color w:val="000000"/>
          <w:sz w:val="24"/>
          <w:szCs w:val="24"/>
          <w:highlight w:val="none"/>
        </w:rPr>
        <w:t xml:space="preserve">7.1.1争议不影响合同履约</w:t>
      </w:r>
      <w:bookmarkEnd w:id="279"/>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在项目履约过程中，若发生合同履约争议，咨询人仍应按照国家、行业、项目采购目的等标准履行合同义务，不得以此推迟、暂停、中止合同履约，需要以项目推进为基本原则。</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80" w:name="_Toc422322548"/>
      <w:r/>
      <w:bookmarkStart w:id="281" w:name="_Toc419045122"/>
      <w:r/>
      <w:bookmarkStart w:id="282" w:name="_Toc66723186"/>
      <w:r>
        <w:rPr>
          <w:rFonts w:hint="eastAsia" w:ascii="宋体" w:hAnsi="宋体" w:cs="宋体"/>
          <w:b/>
          <w:color w:val="000000"/>
          <w:sz w:val="24"/>
          <w:szCs w:val="24"/>
          <w:highlight w:val="none"/>
        </w:rPr>
        <w:t xml:space="preserve">7.2调解</w:t>
      </w:r>
      <w:bookmarkEnd w:id="280"/>
      <w:r/>
      <w:bookmarkEnd w:id="281"/>
      <w:r/>
      <w:bookmarkEnd w:id="282"/>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如果双方不能在</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日内解决本合同争议，可以将其提交</w:t>
      </w:r>
      <w:r>
        <w:rPr>
          <w:rFonts w:hint="eastAsia" w:ascii="宋体" w:hAnsi="宋体" w:cs="宋体"/>
          <w:color w:val="000000"/>
          <w:sz w:val="24"/>
          <w:szCs w:val="24"/>
          <w:highlight w:val="none"/>
          <w:u w:val="single"/>
        </w:rPr>
        <w:t xml:space="preserve">有关主管部门</w:t>
      </w:r>
      <w:r>
        <w:rPr>
          <w:rFonts w:hint="eastAsia" w:ascii="宋体" w:hAnsi="宋体" w:cs="宋体"/>
          <w:color w:val="000000"/>
          <w:sz w:val="24"/>
          <w:szCs w:val="24"/>
          <w:highlight w:val="none"/>
        </w:rPr>
        <w:t xml:space="preserve">进行调解。</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83" w:name="_Toc66723187"/>
      <w:r/>
      <w:bookmarkStart w:id="284" w:name="_Toc422322549"/>
      <w:r>
        <w:rPr>
          <w:rFonts w:hint="eastAsia" w:ascii="宋体" w:hAnsi="宋体" w:cs="宋体"/>
          <w:b/>
          <w:color w:val="000000"/>
          <w:sz w:val="24"/>
          <w:szCs w:val="24"/>
          <w:highlight w:val="none"/>
        </w:rPr>
        <w:t xml:space="preserve">7.3仲裁或诉讼</w:t>
      </w:r>
      <w:bookmarkEnd w:id="283"/>
      <w:r/>
      <w:bookmarkEnd w:id="284"/>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合同争议的最终解决方式为下列第2种方式：</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（1）提请</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仲裁委员会进行仲裁。</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（2）向</w:t>
      </w:r>
      <w:r>
        <w:rPr>
          <w:rFonts w:hint="eastAsia" w:ascii="宋体" w:hAnsi="宋体" w:cs="宋体"/>
          <w:color w:val="000000"/>
          <w:sz w:val="24"/>
          <w:szCs w:val="24"/>
          <w:highlight w:val="none"/>
          <w:u w:val="single"/>
        </w:rPr>
        <w:t xml:space="preserve">委托人所在地</w:t>
      </w:r>
      <w:r>
        <w:rPr>
          <w:rFonts w:hint="eastAsia" w:ascii="宋体" w:hAnsi="宋体" w:cs="宋体"/>
          <w:color w:val="000000"/>
          <w:sz w:val="24"/>
          <w:szCs w:val="24"/>
          <w:highlight w:val="none"/>
        </w:rPr>
        <w:t xml:space="preserve">人民法院提起诉讼。</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285" w:name="_Toc66723188"/>
      <w:r/>
      <w:bookmarkStart w:id="286" w:name="_Toc422322550"/>
      <w:r/>
      <w:bookmarkStart w:id="287" w:name="_Toc419045123"/>
      <w:r>
        <w:rPr>
          <w:rFonts w:hint="eastAsia" w:ascii="宋体" w:hAnsi="宋体" w:cs="宋体"/>
          <w:b/>
          <w:color w:val="000000"/>
          <w:sz w:val="24"/>
          <w:szCs w:val="24"/>
          <w:highlight w:val="none"/>
        </w:rPr>
        <w:t xml:space="preserve">8.其他</w:t>
      </w:r>
      <w:bookmarkEnd w:id="285"/>
      <w:r/>
      <w:bookmarkEnd w:id="286"/>
      <w:r/>
      <w:bookmarkEnd w:id="287"/>
      <w:r>
        <w:rPr>
          <w:rFonts w:hint="eastAsia" w:ascii="宋体" w:hAnsi="宋体" w:cs="宋体"/>
          <w:b/>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88" w:name="_Toc66723189"/>
      <w:r/>
      <w:bookmarkStart w:id="289" w:name="_Toc422322551"/>
      <w:r>
        <w:rPr>
          <w:rFonts w:hint="eastAsia" w:ascii="宋体" w:hAnsi="宋体" w:cs="宋体"/>
          <w:b/>
          <w:color w:val="000000"/>
          <w:sz w:val="24"/>
          <w:szCs w:val="24"/>
          <w:highlight w:val="none"/>
        </w:rPr>
        <w:t xml:space="preserve">8.1考察及相关费用</w:t>
      </w:r>
      <w:bookmarkEnd w:id="288"/>
      <w:r/>
      <w:bookmarkEnd w:id="289"/>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咨询人经委托人同意进行考察发生的费用由</w:t>
      </w:r>
      <w:r>
        <w:rPr>
          <w:rFonts w:hint="eastAsia" w:ascii="宋体" w:hAnsi="宋体" w:cs="宋体"/>
          <w:color w:val="000000"/>
          <w:sz w:val="24"/>
          <w:szCs w:val="24"/>
          <w:highlight w:val="none"/>
          <w:u w:val="single"/>
        </w:rPr>
        <w:t xml:space="preserve">咨询人</w:t>
      </w:r>
      <w:r>
        <w:rPr>
          <w:rFonts w:hint="eastAsia" w:ascii="宋体" w:hAnsi="宋体" w:cs="宋体"/>
          <w:color w:val="000000"/>
          <w:sz w:val="24"/>
          <w:szCs w:val="24"/>
          <w:highlight w:val="none"/>
        </w:rPr>
        <w:t xml:space="preserve">支付。</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差旅费及相关费用的支付：</w:t>
      </w:r>
      <w:r>
        <w:rPr>
          <w:rFonts w:hint="eastAsia" w:ascii="宋体" w:hAnsi="宋体" w:cs="宋体"/>
          <w:color w:val="000000"/>
          <w:sz w:val="24"/>
          <w:szCs w:val="24"/>
          <w:highlight w:val="none"/>
          <w:u w:val="single"/>
        </w:rPr>
        <w:t xml:space="preserve">按实际发生额由咨询人支付</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90" w:name="_Toc422322552"/>
      <w:r/>
      <w:bookmarkStart w:id="291" w:name="_Toc66723190"/>
      <w:r>
        <w:rPr>
          <w:rFonts w:hint="eastAsia" w:ascii="宋体" w:hAnsi="宋体" w:cs="宋体"/>
          <w:b/>
          <w:color w:val="000000"/>
          <w:sz w:val="24"/>
          <w:szCs w:val="24"/>
          <w:highlight w:val="none"/>
        </w:rPr>
        <w:t xml:space="preserve">8.2奖励</w:t>
      </w:r>
      <w:bookmarkEnd w:id="290"/>
      <w:r/>
      <w:bookmarkEnd w:id="291"/>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合理化建议的奖励金额按下列方法确定：/。</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92" w:name="_Toc66723191"/>
      <w:r/>
      <w:bookmarkStart w:id="293" w:name="_Toc422322553"/>
      <w:r>
        <w:rPr>
          <w:rFonts w:hint="eastAsia" w:ascii="宋体" w:hAnsi="宋体" w:cs="宋体"/>
          <w:b/>
          <w:color w:val="000000"/>
          <w:sz w:val="24"/>
          <w:szCs w:val="24"/>
          <w:highlight w:val="none"/>
        </w:rPr>
        <w:t xml:space="preserve">8.3保密</w:t>
      </w:r>
      <w:bookmarkEnd w:id="292"/>
      <w:r/>
      <w:bookmarkEnd w:id="293"/>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委托人申明的保密事项和期限：</w:t>
      </w:r>
      <w:r>
        <w:rPr>
          <w:rFonts w:hint="eastAsia" w:ascii="宋体" w:hAnsi="宋体" w:cs="宋体"/>
          <w:color w:val="000000"/>
          <w:sz w:val="24"/>
          <w:szCs w:val="24"/>
          <w:highlight w:val="none"/>
          <w:u w:val="single"/>
        </w:rPr>
        <w:t xml:space="preserve">委托人交给咨询人的所有文件资料，以及咨询人在开展本咨询项目过程中接触到的与委托人或者其他相关单位的文件资料及其他信息，保密期限长期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咨询人申明的保密事项和期限：</w:t>
      </w:r>
      <w:r>
        <w:rPr>
          <w:rFonts w:hint="eastAsia" w:ascii="宋体" w:hAnsi="宋体" w:cs="宋体"/>
          <w:color w:val="000000"/>
          <w:sz w:val="24"/>
          <w:szCs w:val="24"/>
          <w:highlight w:val="none"/>
          <w:u w:val="single"/>
        </w:rPr>
        <w:t xml:space="preserve">长期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第三人申明的保密事项和期限：</w:t>
      </w:r>
      <w:r>
        <w:rPr>
          <w:rFonts w:hint="eastAsia" w:ascii="宋体" w:hAnsi="宋体" w:cs="宋体"/>
          <w:color w:val="000000"/>
          <w:sz w:val="24"/>
          <w:szCs w:val="24"/>
          <w:highlight w:val="none"/>
          <w:u w:val="single"/>
        </w:rPr>
        <w:t xml:space="preserve">长期</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94" w:name="_Toc422322554"/>
      <w:r/>
      <w:bookmarkStart w:id="295" w:name="_Toc66723192"/>
      <w:r>
        <w:rPr>
          <w:rFonts w:hint="eastAsia" w:ascii="宋体" w:hAnsi="宋体" w:cs="宋体"/>
          <w:b/>
          <w:color w:val="000000"/>
          <w:sz w:val="24"/>
          <w:szCs w:val="24"/>
          <w:highlight w:val="none"/>
        </w:rPr>
        <w:t xml:space="preserve">8.4联络</w:t>
      </w:r>
      <w:bookmarkEnd w:id="294"/>
      <w:r/>
      <w:bookmarkEnd w:id="295"/>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8.4.1任何一方与合同有关的通知、指示、要求、决定等，均应在/日内送达对方指定的接收人和送达地点。</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8.4.2委托人指定的送达接收人：/，送达地点：/，电子邮箱：/。</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咨询人指定的送达接收人：/，送达地点：/，电子邮箱：/。</w:t>
      </w:r>
      <w:r>
        <w:rPr>
          <w:rFonts w:hint="eastAsia" w:ascii="宋体" w:hAnsi="宋体" w:cs="宋体"/>
          <w:color w:val="000000"/>
          <w:sz w:val="24"/>
          <w:szCs w:val="24"/>
          <w:highlight w:val="none"/>
        </w:rPr>
      </w:r>
      <w:r/>
    </w:p>
    <w:p>
      <w:pPr>
        <w:pStyle w:val="770"/>
        <w:ind w:firstLine="482"/>
        <w:spacing w:line="360" w:lineRule="auto"/>
        <w:rPr>
          <w:rFonts w:hint="eastAsia" w:ascii="宋体" w:hAnsi="宋体" w:cs="宋体"/>
          <w:b/>
          <w:color w:val="000000"/>
          <w:sz w:val="24"/>
          <w:szCs w:val="24"/>
          <w:highlight w:val="none"/>
        </w:rPr>
      </w:pPr>
      <w:r/>
      <w:bookmarkStart w:id="296" w:name="_Toc66723193"/>
      <w:r/>
      <w:bookmarkStart w:id="297" w:name="_Toc422322555"/>
      <w:r/>
      <w:bookmarkStart w:id="298" w:name="_Toc419045124"/>
      <w:r>
        <w:rPr>
          <w:rFonts w:hint="eastAsia" w:ascii="宋体" w:hAnsi="宋体" w:cs="宋体"/>
          <w:b/>
          <w:color w:val="000000"/>
          <w:sz w:val="24"/>
          <w:szCs w:val="24"/>
          <w:highlight w:val="none"/>
        </w:rPr>
        <w:t xml:space="preserve">8.5知识产权</w:t>
      </w:r>
      <w:bookmarkEnd w:id="296"/>
      <w:r/>
      <w:bookmarkEnd w:id="297"/>
      <w:r/>
      <w:bookmarkEnd w:id="298"/>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委托人提供给咨询人的图纸、委托人为实施工程自行编制或委托编制的技术规范以及反映委托人要求的或其他类似性质文件的著作权属于</w:t>
      </w:r>
      <w:r>
        <w:rPr>
          <w:rFonts w:hint="eastAsia" w:ascii="宋体" w:hAnsi="宋体" w:cs="宋体"/>
          <w:color w:val="000000"/>
          <w:sz w:val="24"/>
          <w:szCs w:val="24"/>
          <w:highlight w:val="none"/>
          <w:u w:val="single"/>
        </w:rPr>
        <w:t xml:space="preserve">委托人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咨询人为履行本合同约定而编制的成果文件，其著作权属于</w:t>
      </w:r>
      <w:r>
        <w:rPr>
          <w:rFonts w:hint="eastAsia" w:ascii="宋体" w:hAnsi="宋体" w:cs="宋体"/>
          <w:color w:val="000000"/>
          <w:sz w:val="24"/>
          <w:szCs w:val="24"/>
          <w:highlight w:val="none"/>
          <w:u w:val="single"/>
        </w:rPr>
        <w:t xml:space="preserve">委托人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双方将履行本合同形成的有关成果文件用于企业宣传、申报奖项以及接受上级主管部门的检查须遵守以下约定：</w:t>
      </w:r>
      <w:r>
        <w:rPr>
          <w:rFonts w:hint="eastAsia" w:ascii="宋体" w:hAnsi="宋体" w:cs="宋体"/>
          <w:color w:val="000000"/>
          <w:sz w:val="24"/>
          <w:szCs w:val="24"/>
          <w:highlight w:val="none"/>
          <w:u w:val="single"/>
        </w:rPr>
        <w:t xml:space="preserve">不得损害合同其他当事人的利益</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299" w:name="_Toc422322556"/>
      <w:r/>
      <w:bookmarkStart w:id="300" w:name="_Toc419045125"/>
      <w:r/>
      <w:bookmarkStart w:id="301" w:name="_Toc66723194"/>
      <w:r>
        <w:rPr>
          <w:rFonts w:hint="eastAsia" w:ascii="宋体" w:hAnsi="宋体" w:cs="宋体"/>
          <w:b/>
          <w:color w:val="000000"/>
          <w:sz w:val="24"/>
          <w:szCs w:val="24"/>
          <w:highlight w:val="none"/>
        </w:rPr>
        <w:t xml:space="preserve">9.补充条款</w:t>
      </w:r>
      <w:bookmarkEnd w:id="299"/>
      <w:r/>
      <w:bookmarkEnd w:id="300"/>
      <w:r/>
      <w:bookmarkEnd w:id="301"/>
      <w:r>
        <w:rPr>
          <w:rFonts w:hint="eastAsia" w:ascii="宋体" w:hAnsi="宋体" w:cs="宋体"/>
          <w:b/>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9.1工作中，咨询人应严格遵守工作纪律、廉政工作要求严禁舞弊、徇私等违法违规违纪行为。</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9.2咨询人须执行江北新区公建中心工程项目结算审计管理办法。（结审）</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lang w:val="zh-CN"/>
        </w:rPr>
        <w:outlineLvl w:val="1"/>
      </w:pPr>
      <w:r/>
      <w:bookmarkStart w:id="302" w:name="_Toc14687"/>
      <w:r/>
      <w:bookmarkStart w:id="303" w:name="_Toc351203652"/>
      <w:r>
        <w:rPr>
          <w:rFonts w:hint="eastAsia" w:ascii="宋体" w:hAnsi="宋体" w:cs="宋体"/>
          <w:b/>
          <w:color w:val="000000"/>
          <w:sz w:val="24"/>
          <w:szCs w:val="24"/>
          <w:highlight w:val="none"/>
          <w:lang w:val="zh-CN"/>
        </w:rPr>
        <w:t xml:space="preserve">附件</w:t>
      </w:r>
      <w:bookmarkEnd w:id="302"/>
      <w:r/>
      <w:bookmarkEnd w:id="303"/>
      <w:r>
        <w:rPr>
          <w:rFonts w:hint="eastAsia" w:ascii="宋体" w:hAnsi="宋体" w:cs="宋体"/>
          <w:b/>
          <w:color w:val="000000"/>
          <w:sz w:val="24"/>
          <w:szCs w:val="24"/>
          <w:highlight w:val="none"/>
          <w:lang w:val="zh-CN"/>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附录A 服务范围及工作内容、酬金一览表（结审）</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附录B 咨询人提交成果文件一览表（结审）</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附录C 委托人提供资料一览表</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附录D 委托人提供房屋及设备一览表</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附件1：廉政协议</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附件2：南京市江北新区公共工程建设中心结算审计管理办法（试行）</w:t>
      </w:r>
      <w:r>
        <w:rPr>
          <w:rFonts w:hint="eastAsia" w:ascii="宋体" w:hAnsi="宋体" w:cs="宋体"/>
          <w:color w:val="000000"/>
          <w:sz w:val="24"/>
          <w:szCs w:val="24"/>
          <w:highlight w:val="none"/>
        </w:rPr>
      </w:r>
      <w:r/>
    </w:p>
    <w:p>
      <w:pPr>
        <w:pStyle w:val="770"/>
        <w:spacing w:line="360" w:lineRule="auto"/>
        <w:widowControl/>
        <w:rPr>
          <w:rFonts w:hint="eastAsia" w:ascii="宋体" w:hAnsi="宋体" w:cs="宋体"/>
          <w:color w:val="000000"/>
          <w:sz w:val="22"/>
          <w:highlight w:val="none"/>
          <w:lang w:val="zh-CN" w:bidi="zh-CN"/>
        </w:rPr>
        <w:sectPr>
          <w:footerReference w:type="default" r:id="rId9"/>
          <w:footnotePr/>
          <w:endnotePr/>
          <w:type w:val="nextPage"/>
          <w:pgSz w:w="11906" w:h="16838" w:orient="portrait"/>
          <w:pgMar w:top="1588" w:right="1418" w:bottom="1701" w:left="1418" w:header="851" w:footer="851" w:gutter="0"/>
          <w:cols w:num="1" w:sep="0" w:space="1701" w:equalWidth="1"/>
          <w:docGrid w:linePitch="360"/>
        </w:sectPr>
      </w:pPr>
      <w:r>
        <w:rPr>
          <w:rFonts w:hint="eastAsia" w:ascii="宋体" w:hAnsi="宋体" w:cs="宋体"/>
          <w:color w:val="000000"/>
          <w:sz w:val="22"/>
          <w:highlight w:val="none"/>
          <w:lang w:val="zh-CN" w:bidi="zh-CN"/>
        </w:rPr>
      </w:r>
      <w:r/>
    </w:p>
    <w:p>
      <w:pPr>
        <w:pStyle w:val="770"/>
        <w:jc w:val="left"/>
        <w:spacing w:line="360" w:lineRule="auto"/>
        <w:rPr>
          <w:rFonts w:hint="eastAsia" w:ascii="宋体" w:hAnsi="宋体" w:cs="宋体"/>
          <w:b/>
          <w:color w:val="000000"/>
          <w:sz w:val="24"/>
          <w:szCs w:val="24"/>
          <w:highlight w:val="none"/>
        </w:rPr>
      </w:pPr>
      <w:r>
        <w:rPr>
          <w:rFonts w:hint="eastAsia" w:ascii="宋体" w:hAnsi="宋体" w:cs="宋体"/>
          <w:b/>
          <w:bCs/>
          <w:color w:val="000000"/>
          <w:sz w:val="28"/>
          <w:szCs w:val="28"/>
          <w:highlight w:val="none"/>
        </w:rPr>
        <w:t xml:space="preserve">附录A 服务范围及工作内容、酬金一览表（结审）</w:t>
      </w:r>
      <w:r>
        <w:rPr>
          <w:rFonts w:hint="eastAsia" w:ascii="宋体" w:hAnsi="宋体" w:cs="宋体"/>
          <w:b/>
          <w:color w:val="000000"/>
          <w:sz w:val="24"/>
          <w:szCs w:val="24"/>
          <w:highlight w:val="none"/>
        </w:rPr>
      </w:r>
      <w:r/>
    </w:p>
    <w:tbl>
      <w:tblPr>
        <w:tblW w:w="136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1986"/>
        <w:gridCol w:w="3337"/>
        <w:gridCol w:w="1473"/>
        <w:gridCol w:w="2418"/>
        <w:gridCol w:w="1573"/>
        <w:gridCol w:w="1336"/>
      </w:tblGrid>
      <w:tr>
        <w:trPr>
          <w:trHeight w:val="481"/>
        </w:trPr>
        <w:tc>
          <w:tcPr>
            <w:tcW w:w="1500" w:type="dxa"/>
            <w:vAlign w:val="center"/>
            <w:vMerge w:val="restart"/>
            <w:textDirection w:val="lrTb"/>
            <w:noWrap w:val="false"/>
          </w:tcPr>
          <w:p>
            <w:pPr>
              <w:pStyle w:val="770"/>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服务阶段</w:t>
            </w:r>
            <w:r>
              <w:rPr>
                <w:rFonts w:hint="eastAsia" w:ascii="宋体" w:hAnsi="宋体" w:cs="宋体"/>
                <w:b/>
                <w:color w:val="000000"/>
                <w:sz w:val="24"/>
                <w:szCs w:val="24"/>
                <w:highlight w:val="none"/>
                <w:lang w:val="zh-CN" w:bidi="zh-CN"/>
              </w:rPr>
            </w:r>
            <w:r/>
          </w:p>
        </w:tc>
        <w:tc>
          <w:tcPr>
            <w:gridSpan w:val="2"/>
            <w:tcW w:w="5323" w:type="dxa"/>
            <w:vAlign w:val="center"/>
            <w:textDirection w:val="lrTb"/>
            <w:noWrap w:val="false"/>
          </w:tcPr>
          <w:p>
            <w:pPr>
              <w:pStyle w:val="770"/>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服务范围及工作内容</w:t>
            </w:r>
            <w:r>
              <w:rPr>
                <w:rFonts w:hint="eastAsia" w:ascii="宋体" w:hAnsi="宋体" w:cs="宋体"/>
                <w:b/>
                <w:color w:val="000000"/>
                <w:sz w:val="24"/>
                <w:szCs w:val="24"/>
                <w:highlight w:val="none"/>
                <w:lang w:val="zh-CN" w:bidi="zh-CN"/>
              </w:rPr>
            </w:r>
            <w:r/>
          </w:p>
        </w:tc>
        <w:tc>
          <w:tcPr>
            <w:gridSpan w:val="3"/>
            <w:tcW w:w="5464" w:type="dxa"/>
            <w:vAlign w:val="center"/>
            <w:textDirection w:val="lrTb"/>
            <w:noWrap w:val="false"/>
          </w:tcPr>
          <w:p>
            <w:pPr>
              <w:pStyle w:val="770"/>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酬金</w:t>
            </w:r>
            <w:r>
              <w:rPr>
                <w:rFonts w:hint="eastAsia" w:ascii="宋体" w:hAnsi="宋体" w:cs="宋体"/>
                <w:b/>
                <w:color w:val="000000"/>
                <w:sz w:val="24"/>
                <w:szCs w:val="24"/>
                <w:highlight w:val="none"/>
                <w:lang w:val="zh-CN" w:bidi="zh-CN"/>
              </w:rPr>
            </w:r>
            <w:r/>
          </w:p>
        </w:tc>
        <w:tc>
          <w:tcPr>
            <w:tcW w:w="1336" w:type="dxa"/>
            <w:vAlign w:val="center"/>
            <w:vMerge w:val="restart"/>
            <w:textDirection w:val="lrTb"/>
            <w:noWrap w:val="false"/>
          </w:tcPr>
          <w:p>
            <w:pPr>
              <w:pStyle w:val="770"/>
              <w:jc w:val="center"/>
              <w:spacing w:line="276" w:lineRule="auto"/>
              <w:widowControl/>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备注</w:t>
            </w:r>
            <w:r>
              <w:rPr>
                <w:rFonts w:hint="eastAsia" w:ascii="宋体" w:hAnsi="宋体" w:cs="宋体"/>
                <w:b/>
                <w:color w:val="000000"/>
                <w:sz w:val="24"/>
                <w:szCs w:val="24"/>
                <w:highlight w:val="none"/>
                <w:lang w:val="zh-CN" w:bidi="zh-CN"/>
              </w:rPr>
            </w:r>
            <w:r/>
          </w:p>
        </w:tc>
      </w:tr>
      <w:tr>
        <w:trPr>
          <w:trHeight w:val="310"/>
        </w:trPr>
        <w:tc>
          <w:tcPr>
            <w:tcW w:w="1500" w:type="dxa"/>
            <w:vAlign w:val="center"/>
            <w:vMerge w:val="continue"/>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服务范围</w:t>
            </w:r>
            <w:r>
              <w:rPr>
                <w:rFonts w:hint="eastAsia" w:ascii="宋体" w:hAnsi="宋体" w:cs="宋体"/>
                <w:b/>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工作内容</w:t>
            </w:r>
            <w:r>
              <w:rPr>
                <w:rFonts w:hint="eastAsia" w:ascii="宋体" w:hAnsi="宋体" w:cs="宋体"/>
                <w:b/>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收费基数</w:t>
            </w:r>
            <w:r>
              <w:rPr>
                <w:rFonts w:hint="eastAsia" w:ascii="宋体" w:hAnsi="宋体" w:cs="宋体"/>
                <w:b/>
                <w:color w:val="000000"/>
                <w:sz w:val="24"/>
                <w:szCs w:val="24"/>
                <w:highlight w:val="none"/>
              </w:rPr>
            </w:r>
            <w:r/>
          </w:p>
        </w:tc>
        <w:tc>
          <w:tcPr>
            <w:tcW w:w="2418"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收费标准（比例）</w:t>
            </w:r>
            <w:r>
              <w:rPr>
                <w:rFonts w:hint="eastAsia" w:ascii="宋体" w:hAnsi="宋体" w:cs="宋体"/>
                <w:b/>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酬金数额（单位:万元）</w:t>
            </w:r>
            <w:r>
              <w:rPr>
                <w:rFonts w:hint="eastAsia" w:ascii="宋体" w:hAnsi="宋体" w:cs="宋体"/>
                <w:b/>
                <w:color w:val="000000"/>
                <w:sz w:val="24"/>
                <w:szCs w:val="24"/>
                <w:highlight w:val="none"/>
              </w:rPr>
            </w:r>
            <w:r/>
          </w:p>
        </w:tc>
        <w:tc>
          <w:tcPr>
            <w:tcW w:w="1336" w:type="dxa"/>
            <w:vAlign w:val="center"/>
            <w:vMerge w:val="continue"/>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r>
      <w:tr>
        <w:trPr>
          <w:trHeight w:val="443"/>
        </w:trPr>
        <w:tc>
          <w:tcPr>
            <w:tcW w:w="1500" w:type="dxa"/>
            <w:vAlign w:val="center"/>
            <w:vMerge w:val="restart"/>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决策阶段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投资估算</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4"/>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经济评价</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32"/>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77"/>
        </w:trPr>
        <w:tc>
          <w:tcPr>
            <w:tcW w:w="1500" w:type="dxa"/>
            <w:vAlign w:val="center"/>
            <w:vMerge w:val="restart"/>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设计阶段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设计概算</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14"/>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施工图预算</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restart"/>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418" w:type="dxa"/>
            <w:vAlign w:val="center"/>
            <w:vMerge w:val="restart"/>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577"/>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□EPC深化设计后造价（含工程量清单）审核</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98"/>
        </w:trPr>
        <w:tc>
          <w:tcPr>
            <w:tcW w:w="1500" w:type="dxa"/>
            <w:vAlign w:val="center"/>
            <w:vMerge w:val="restart"/>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发承包阶段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工程量清单</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96"/>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最高投标限价</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96"/>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投标报价分析</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388"/>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清标报告</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90"/>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□招标文件审核</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90"/>
        </w:trPr>
        <w:tc>
          <w:tcPr>
            <w:tcW w:w="1500" w:type="dxa"/>
            <w:vAlign w:val="center"/>
            <w:vMerge w:val="restart"/>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实施阶段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资金使用计划</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restart"/>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336" w:type="dxa"/>
            <w:vAlign w:val="center"/>
            <w:vMerge w:val="restart"/>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592"/>
        </w:trPr>
        <w:tc>
          <w:tcPr>
            <w:tcW w:w="1500"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工程计量与工程款审核</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w:t>
            </w: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0"/>
        </w:trPr>
        <w:tc>
          <w:tcPr>
            <w:tcW w:w="1500"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合同价款调整</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w:t>
            </w:r>
            <w:r>
              <w:rPr>
                <w:rFonts w:ascii="Wingdings 2" w:hAnsi="Wingdings 2" w:eastAsia="Wingdings 2" w:cs="Wingdings 2"/>
                <w:color w:val="000000"/>
                <w:sz w:val="24"/>
                <w:szCs w:val="24"/>
                <w:highlight w:val="none"/>
              </w:rPr>
              <w:t xml:space="preserve">£</w:t>
            </w:r>
            <w:r>
              <w:rPr>
                <w:rFonts w:hint="eastAsia" w:ascii="宋体" w:hAnsi="宋体" w:cs="宋体"/>
                <w:color w:val="000000"/>
                <w:sz w:val="24"/>
                <w:szCs w:val="24"/>
                <w:highlight w:val="none"/>
              </w:rPr>
              <w:t xml:space="preserve">调整</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29"/>
        </w:trPr>
        <w:tc>
          <w:tcPr>
            <w:tcW w:w="1500"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工程变更、索赔、签证</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□审核</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39"/>
        </w:trPr>
        <w:tc>
          <w:tcPr>
            <w:tcW w:w="1500"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工程实施阶段造价控制</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81"/>
        </w:trPr>
        <w:tc>
          <w:tcPr>
            <w:tcW w:w="1500"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c>
          <w:tcPr>
            <w:tcW w:w="14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vMerge w:val="continue"/>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392"/>
        </w:trPr>
        <w:tc>
          <w:tcPr>
            <w:tcW w:w="1500" w:type="dxa"/>
            <w:vAlign w:val="center"/>
            <w:vMerge w:val="restart"/>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竣工阶段</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竣工结算</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w:t>
            </w:r>
            <w:r>
              <w:rPr>
                <w:rFonts w:ascii="Wingdings 2" w:hAnsi="Wingdings 2" w:eastAsia="Wingdings 2" w:cs="Wingdings 2"/>
                <w:color w:val="000000"/>
                <w:sz w:val="24"/>
                <w:szCs w:val="24"/>
                <w:highlight w:val="none"/>
              </w:rPr>
              <w:t xml:space="preserve">R</w:t>
            </w:r>
            <w:r>
              <w:rPr>
                <w:rFonts w:hint="eastAsia" w:ascii="宋体" w:hAnsi="宋体" w:cs="宋体"/>
                <w:color w:val="000000"/>
                <w:sz w:val="24"/>
                <w:szCs w:val="24"/>
                <w:highlight w:val="none"/>
              </w:rPr>
              <w:t xml:space="preserve">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结算审计服务费参照“苏价服[2014]383号文件”的收费标准。</w:t>
            </w:r>
            <w:r>
              <w:rPr>
                <w:rFonts w:hint="eastAsia" w:ascii="宋体" w:hAnsi="宋体" w:cs="宋体"/>
                <w:color w:val="000000"/>
                <w:sz w:val="24"/>
                <w:szCs w:val="24"/>
                <w:highlight w:val="none"/>
              </w:rPr>
            </w:r>
            <w:r/>
          </w:p>
          <w:p>
            <w:pPr>
              <w:pStyle w:val="770"/>
              <w:spacing w:line="276" w:lineRule="auto"/>
              <w:rPr>
                <w:rFonts w:hint="eastAsia" w:ascii="宋体" w:hAnsi="宋体" w:cs="宋体"/>
                <w:color w:val="000000"/>
                <w:sz w:val="24"/>
                <w:szCs w:val="24"/>
                <w:highlight w:val="none"/>
              </w:rPr>
            </w:pPr>
            <w:r/>
            <w:bookmarkStart w:id="304" w:name="_Hlk103266272"/>
            <w:r>
              <w:rPr>
                <w:rFonts w:hint="eastAsia" w:ascii="宋体" w:hAnsi="宋体" w:cs="宋体"/>
                <w:color w:val="000000"/>
                <w:sz w:val="24"/>
                <w:szCs w:val="24"/>
                <w:highlight w:val="none"/>
              </w:rPr>
              <w:t xml:space="preserve">①基本收费：所有送审合同结算审核的基本收费×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②效益收费：按标准计算的效益收费（核增额不计）×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304"/>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服务内容详见合同条款</w:t>
            </w:r>
            <w:r>
              <w:rPr>
                <w:rFonts w:hint="eastAsia" w:ascii="宋体" w:hAnsi="宋体" w:cs="宋体"/>
                <w:color w:val="000000"/>
                <w:sz w:val="24"/>
                <w:szCs w:val="24"/>
                <w:highlight w:val="none"/>
              </w:rPr>
            </w:r>
            <w:r/>
          </w:p>
        </w:tc>
      </w:tr>
      <w:tr>
        <w:trPr>
          <w:trHeight w:val="481"/>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竣工决算</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□编制□审核□调整</w:t>
            </w:r>
            <w:r>
              <w:rPr>
                <w:rFonts w:hint="eastAsia" w:ascii="宋体" w:hAnsi="宋体" w:cs="宋体"/>
                <w:color w:val="000000"/>
                <w:sz w:val="24"/>
                <w:szCs w:val="24"/>
                <w:highlight w:val="none"/>
              </w:rPr>
            </w:r>
            <w:r/>
          </w:p>
        </w:tc>
        <w:tc>
          <w:tcPr>
            <w:tcW w:w="1473"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3"/>
        </w:trPr>
        <w:tc>
          <w:tcPr>
            <w:tcW w:w="1500"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ascii="Wingdings 2" w:hAnsi="Wingdings 2" w:eastAsia="Wingdings 2" w:cs="Wingdings 2"/>
                <w:color w:val="000000"/>
                <w:sz w:val="24"/>
                <w:szCs w:val="24"/>
                <w:highlight w:val="none"/>
              </w:rPr>
              <w:t xml:space="preserve">R</w:t>
            </w:r>
            <w:r>
              <w:rPr>
                <w:rFonts w:hint="eastAsia" w:ascii="宋体" w:hAnsi="宋体" w:cs="宋体"/>
                <w:color w:val="000000"/>
                <w:sz w:val="24"/>
                <w:szCs w:val="24"/>
                <w:highlight w:val="none"/>
              </w:rPr>
              <w:t xml:space="preserve">配合竣工决算工作</w:t>
            </w:r>
            <w:r>
              <w:rPr>
                <w:rFonts w:hint="eastAsia" w:ascii="宋体" w:hAnsi="宋体" w:cs="宋体"/>
                <w:color w:val="000000"/>
                <w:sz w:val="24"/>
                <w:szCs w:val="24"/>
                <w:highlight w:val="none"/>
              </w:rPr>
            </w:r>
            <w:r/>
          </w:p>
        </w:tc>
        <w:tc>
          <w:tcPr>
            <w:tcW w:w="1473"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1500" w:type="dxa"/>
            <w:vAlign w:val="center"/>
            <w:textDirection w:val="lrTb"/>
            <w:noWrap w:val="false"/>
          </w:tcPr>
          <w:p>
            <w:pPr>
              <w:pStyle w:val="770"/>
              <w:jc w:val="center"/>
              <w:spacing w:line="276" w:lineRule="auto"/>
              <w:widowControl/>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其他服务</w:t>
            </w:r>
            <w:r>
              <w:rPr>
                <w:rFonts w:hint="eastAsia" w:ascii="宋体" w:hAnsi="宋体" w:cs="宋体"/>
                <w:color w:val="000000"/>
                <w:sz w:val="24"/>
                <w:szCs w:val="24"/>
                <w:highlight w:val="none"/>
                <w:lang w:val="zh-CN" w:bidi="zh-CN"/>
              </w:rPr>
            </w:r>
            <w:r/>
          </w:p>
        </w:tc>
        <w:tc>
          <w:tcPr>
            <w:tcW w:w="198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工程造价鉴定</w:t>
            </w:r>
            <w:r>
              <w:rPr>
                <w:rFonts w:hint="eastAsia" w:ascii="宋体" w:hAnsi="宋体" w:cs="宋体"/>
                <w:color w:val="000000"/>
                <w:sz w:val="24"/>
                <w:szCs w:val="24"/>
                <w:highlight w:val="none"/>
              </w:rPr>
            </w:r>
            <w:r/>
          </w:p>
        </w:tc>
        <w:tc>
          <w:tcPr>
            <w:tcW w:w="3337"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7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3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7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color w:val="000000"/>
          <w:sz w:val="24"/>
          <w:szCs w:val="24"/>
          <w:highlight w:val="none"/>
        </w:rPr>
        <w:t xml:space="preserve">1.附录A中服务范围及工作内容未涉及的可在“其他”项中列明。</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附录B 咨询人提交成果文件一览表（结审）</w:t>
      </w:r>
      <w:r>
        <w:rPr>
          <w:rFonts w:hint="eastAsia"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5"/>
        <w:gridCol w:w="1985"/>
        <w:gridCol w:w="2551"/>
        <w:gridCol w:w="1774"/>
        <w:gridCol w:w="2050"/>
        <w:gridCol w:w="3641"/>
      </w:tblGrid>
      <w:tr>
        <w:trPr>
          <w:trHeight w:val="471"/>
        </w:trPr>
        <w:tc>
          <w:tcPr>
            <w:tcW w:w="1495"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服务阶段</w:t>
            </w:r>
            <w:r>
              <w:rPr>
                <w:rFonts w:hint="eastAsia" w:ascii="宋体" w:hAnsi="宋体" w:cs="宋体"/>
                <w:b/>
                <w:color w:val="000000"/>
                <w:sz w:val="24"/>
                <w:szCs w:val="24"/>
                <w:highlight w:val="none"/>
              </w:rPr>
            </w:r>
            <w:r/>
          </w:p>
        </w:tc>
        <w:tc>
          <w:tcPr>
            <w:tcW w:w="1985"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成果文件名称</w:t>
            </w:r>
            <w:r>
              <w:rPr>
                <w:rFonts w:hint="eastAsia" w:ascii="宋体" w:hAnsi="宋体" w:cs="宋体"/>
                <w:b/>
                <w:color w:val="000000"/>
                <w:sz w:val="24"/>
                <w:szCs w:val="24"/>
                <w:highlight w:val="none"/>
              </w:rPr>
            </w:r>
            <w:r/>
          </w:p>
        </w:tc>
        <w:tc>
          <w:tcPr>
            <w:tcW w:w="2551"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成果文件组成</w:t>
            </w:r>
            <w:r>
              <w:rPr>
                <w:rFonts w:hint="eastAsia" w:ascii="宋体" w:hAnsi="宋体" w:cs="宋体"/>
                <w:b/>
                <w:color w:val="000000"/>
                <w:sz w:val="24"/>
                <w:szCs w:val="24"/>
                <w:highlight w:val="none"/>
              </w:rPr>
            </w:r>
            <w:r/>
          </w:p>
        </w:tc>
        <w:tc>
          <w:tcPr>
            <w:tcW w:w="1774"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提交时间</w:t>
            </w:r>
            <w:r>
              <w:rPr>
                <w:rFonts w:hint="eastAsia" w:ascii="宋体" w:hAnsi="宋体" w:cs="宋体"/>
                <w:b/>
                <w:color w:val="000000"/>
                <w:sz w:val="24"/>
                <w:szCs w:val="24"/>
                <w:highlight w:val="none"/>
              </w:rPr>
            </w:r>
            <w:r/>
          </w:p>
        </w:tc>
        <w:tc>
          <w:tcPr>
            <w:tcW w:w="2050"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份数</w:t>
            </w:r>
            <w:r>
              <w:rPr>
                <w:rFonts w:hint="eastAsia" w:ascii="宋体" w:hAnsi="宋体" w:cs="宋体"/>
                <w:b/>
                <w:color w:val="000000"/>
                <w:sz w:val="24"/>
                <w:szCs w:val="24"/>
                <w:highlight w:val="none"/>
              </w:rPr>
            </w:r>
            <w:r/>
          </w:p>
        </w:tc>
        <w:tc>
          <w:tcPr>
            <w:tcW w:w="3641"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质量标准</w:t>
            </w:r>
            <w:r>
              <w:rPr>
                <w:rFonts w:hint="eastAsia" w:ascii="宋体" w:hAnsi="宋体" w:cs="宋体"/>
                <w:b/>
                <w:color w:val="000000"/>
                <w:sz w:val="24"/>
                <w:szCs w:val="24"/>
                <w:highlight w:val="none"/>
              </w:rPr>
            </w:r>
            <w:r/>
          </w:p>
        </w:tc>
      </w:tr>
      <w:tr>
        <w:trPr>
          <w:trHeight w:val="471"/>
        </w:trPr>
        <w:tc>
          <w:tcPr>
            <w:tcW w:w="1495" w:type="dxa"/>
            <w:vAlign w:val="center"/>
            <w:vMerge w:val="restart"/>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决策阶段</w:t>
            </w: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restart"/>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设计阶段</w:t>
            </w: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restart"/>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发承包阶段</w:t>
            </w: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跟踪审计意见单</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restart"/>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实施阶段</w:t>
            </w: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471"/>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792" w:hRule="exact"/>
        </w:trPr>
        <w:tc>
          <w:tcPr>
            <w:tcW w:w="149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竣工阶段</w:t>
            </w: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结算审计报告</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报告书、咨询成果附件</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8份纸质、1份电子</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《建设工程造价咨询成果文件资料标准》（CECA/GC7-2012）</w:t>
            </w:r>
            <w:r>
              <w:rPr>
                <w:rFonts w:hint="eastAsia" w:ascii="宋体" w:hAnsi="宋体" w:cs="宋体"/>
                <w:color w:val="000000"/>
                <w:sz w:val="24"/>
                <w:szCs w:val="24"/>
                <w:highlight w:val="none"/>
              </w:rPr>
            </w:r>
            <w:r/>
          </w:p>
        </w:tc>
      </w:tr>
      <w:tr>
        <w:trPr>
          <w:trHeight w:val="700" w:hRule="exact"/>
        </w:trPr>
        <w:tc>
          <w:tcPr>
            <w:tcW w:w="1495" w:type="dxa"/>
            <w:vAlign w:val="center"/>
            <w:vMerge w:val="restart"/>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其他服务</w:t>
            </w: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700" w:hRule="exact"/>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r>
      <w:tr>
        <w:trPr>
          <w:trHeight w:val="762" w:hRule="exact"/>
        </w:trPr>
        <w:tc>
          <w:tcPr>
            <w:tcW w:w="1495" w:type="dxa"/>
            <w:vAlign w:val="center"/>
            <w:vMerge w:val="continue"/>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档案资料</w:t>
            </w:r>
            <w:r>
              <w:rPr>
                <w:rFonts w:hint="eastAsia" w:ascii="宋体" w:hAnsi="宋体" w:cs="宋体"/>
                <w:color w:val="000000"/>
                <w:sz w:val="24"/>
                <w:szCs w:val="24"/>
                <w:highlight w:val="none"/>
              </w:rPr>
            </w:r>
            <w:r/>
          </w:p>
        </w:tc>
        <w:tc>
          <w:tcPr>
            <w:tcW w:w="255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结算审计档案资料</w:t>
            </w:r>
            <w:r>
              <w:rPr>
                <w:rFonts w:hint="eastAsia" w:ascii="宋体" w:hAnsi="宋体" w:cs="宋体"/>
                <w:color w:val="000000"/>
                <w:sz w:val="24"/>
                <w:szCs w:val="24"/>
                <w:highlight w:val="none"/>
              </w:rPr>
            </w:r>
            <w:r/>
          </w:p>
        </w:tc>
        <w:tc>
          <w:tcPr>
            <w:tcW w:w="1774"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按委托人要求</w:t>
            </w:r>
            <w:r>
              <w:rPr>
                <w:rFonts w:hint="eastAsia" w:ascii="宋体" w:hAnsi="宋体" w:cs="宋体"/>
                <w:color w:val="000000"/>
                <w:sz w:val="24"/>
                <w:szCs w:val="24"/>
                <w:highlight w:val="none"/>
              </w:rPr>
            </w:r>
            <w:r/>
          </w:p>
        </w:tc>
        <w:tc>
          <w:tcPr>
            <w:tcW w:w="2050"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各2套纸质档案、1份电子档案</w:t>
            </w:r>
            <w:r>
              <w:rPr>
                <w:rFonts w:hint="eastAsia" w:ascii="宋体" w:hAnsi="宋体" w:cs="宋体"/>
                <w:color w:val="000000"/>
                <w:sz w:val="24"/>
                <w:szCs w:val="24"/>
                <w:highlight w:val="none"/>
              </w:rPr>
            </w:r>
            <w:r/>
          </w:p>
        </w:tc>
        <w:tc>
          <w:tcPr>
            <w:tcW w:w="3641" w:type="dxa"/>
            <w:vAlign w:val="center"/>
            <w:textDirection w:val="lrTb"/>
            <w:noWrap w:val="false"/>
          </w:tcPr>
          <w:p>
            <w:pPr>
              <w:pStyle w:val="77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《南京市工程造价咨询业务档案管理手册》</w:t>
            </w:r>
            <w:r>
              <w:rPr>
                <w:rFonts w:hint="eastAsia" w:ascii="宋体" w:hAnsi="宋体" w:cs="宋体"/>
                <w:color w:val="000000"/>
                <w:sz w:val="24"/>
                <w:szCs w:val="24"/>
                <w:highlight w:val="none"/>
              </w:rPr>
            </w:r>
            <w:r/>
          </w:p>
        </w:tc>
      </w:tr>
    </w:tbl>
    <w:p>
      <w:pPr>
        <w:pStyle w:val="770"/>
        <w:spacing w:after="240"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b/>
          <w:color w:val="000000"/>
          <w:szCs w:val="21"/>
          <w:highlight w:val="none"/>
        </w:rPr>
      </w:r>
      <w:r/>
    </w:p>
    <w:p>
      <w:pPr>
        <w:pStyle w:val="770"/>
        <w:spacing w:after="240" w:line="360" w:lineRule="auto"/>
        <w:rPr>
          <w:rFonts w:hint="eastAsia" w:ascii="宋体" w:hAnsi="宋体" w:cs="宋体"/>
          <w:b/>
          <w:color w:val="000000"/>
          <w:szCs w:val="21"/>
          <w:highlight w:val="none"/>
        </w:rPr>
        <w:sectPr>
          <w:footnotePr/>
          <w:endnotePr/>
          <w:type w:val="nextPage"/>
          <w:pgSz w:w="16838" w:h="11906" w:orient="landscape"/>
          <w:pgMar w:top="1418" w:right="1588" w:bottom="1418" w:left="1701" w:header="851" w:footer="680" w:gutter="0"/>
          <w:cols w:num="1" w:sep="0" w:space="1701" w:equalWidth="1"/>
          <w:docGrid w:linePitch="360"/>
        </w:sectPr>
      </w:pPr>
      <w:r>
        <w:rPr>
          <w:rFonts w:hint="eastAsia" w:ascii="宋体" w:hAnsi="宋体" w:cs="宋体"/>
          <w:b/>
          <w:color w:val="000000"/>
          <w:szCs w:val="21"/>
          <w:highlight w:val="none"/>
        </w:rPr>
      </w:r>
      <w:r/>
    </w:p>
    <w:p>
      <w:pPr>
        <w:pStyle w:val="770"/>
        <w:jc w:val="left"/>
        <w:spacing w:line="360" w:lineRule="auto"/>
        <w:rPr>
          <w:rFonts w:hint="eastAsia" w:ascii="宋体" w:hAnsi="宋体" w:cs="宋体"/>
          <w:b/>
          <w:bCs/>
          <w:color w:val="000000"/>
          <w:sz w:val="28"/>
          <w:szCs w:val="28"/>
          <w:highlight w:val="none"/>
        </w:rPr>
      </w:pPr>
      <w:r/>
      <w:bookmarkStart w:id="305" w:name="_Toc422322559"/>
      <w:r/>
      <w:bookmarkStart w:id="306" w:name="_Toc66723198"/>
      <w:r/>
      <w:bookmarkStart w:id="307" w:name="_Toc419045128"/>
      <w:r>
        <w:rPr>
          <w:rFonts w:hint="eastAsia" w:ascii="宋体" w:hAnsi="宋体" w:cs="宋体"/>
          <w:b/>
          <w:bCs/>
          <w:color w:val="000000"/>
          <w:sz w:val="28"/>
          <w:szCs w:val="28"/>
          <w:highlight w:val="none"/>
        </w:rPr>
        <w:t xml:space="preserve">附录C 委托人提供资料一览表</w:t>
      </w:r>
      <w:bookmarkEnd w:id="305"/>
      <w:r/>
      <w:bookmarkEnd w:id="306"/>
      <w:r/>
      <w:bookmarkEnd w:id="307"/>
      <w:r>
        <w:rPr>
          <w:rFonts w:hint="eastAsia" w:ascii="宋体" w:hAnsi="宋体" w:cs="宋体"/>
          <w:b/>
          <w:bCs/>
          <w:color w:val="000000"/>
          <w:sz w:val="28"/>
          <w:szCs w:val="28"/>
          <w:highlight w:val="none"/>
        </w:rPr>
      </w:r>
      <w:r/>
    </w:p>
    <w:tbl>
      <w:tblPr>
        <w:tblW w:w="84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1"/>
        <w:gridCol w:w="1276"/>
        <w:gridCol w:w="2024"/>
        <w:gridCol w:w="953"/>
      </w:tblGrid>
      <w:tr>
        <w:trPr>
          <w:trHeight w:val="485"/>
        </w:trPr>
        <w:tc>
          <w:tcPr>
            <w:tcW w:w="4171" w:type="dxa"/>
            <w:vAlign w:val="center"/>
            <w:textDirection w:val="lrTb"/>
            <w:noWrap w:val="false"/>
          </w:tcPr>
          <w:p>
            <w:pPr>
              <w:pStyle w:val="770"/>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名称</w:t>
            </w:r>
            <w:r>
              <w:rPr>
                <w:rFonts w:hint="eastAsia" w:ascii="宋体" w:hAnsi="宋体" w:cs="宋体"/>
                <w:b/>
                <w:color w:val="000000"/>
                <w:sz w:val="24"/>
                <w:szCs w:val="24"/>
                <w:highlight w:val="none"/>
                <w:lang w:val="zh-CN" w:bidi="zh-CN"/>
              </w:rPr>
            </w:r>
            <w:r/>
          </w:p>
        </w:tc>
        <w:tc>
          <w:tcPr>
            <w:tcW w:w="1276" w:type="dxa"/>
            <w:vAlign w:val="center"/>
            <w:textDirection w:val="lrTb"/>
            <w:noWrap w:val="false"/>
          </w:tcPr>
          <w:p>
            <w:pPr>
              <w:pStyle w:val="770"/>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份数</w:t>
            </w:r>
            <w:r>
              <w:rPr>
                <w:rFonts w:hint="eastAsia" w:ascii="宋体" w:hAnsi="宋体" w:cs="宋体"/>
                <w:b/>
                <w:color w:val="000000"/>
                <w:sz w:val="24"/>
                <w:szCs w:val="24"/>
                <w:highlight w:val="none"/>
                <w:lang w:val="zh-CN" w:bidi="zh-CN"/>
              </w:rPr>
            </w:r>
            <w:r/>
          </w:p>
        </w:tc>
        <w:tc>
          <w:tcPr>
            <w:tcW w:w="2024" w:type="dxa"/>
            <w:vAlign w:val="center"/>
            <w:textDirection w:val="lrTb"/>
            <w:noWrap w:val="false"/>
          </w:tcPr>
          <w:p>
            <w:pPr>
              <w:pStyle w:val="770"/>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提供时间</w:t>
            </w:r>
            <w:r>
              <w:rPr>
                <w:rFonts w:hint="eastAsia" w:ascii="宋体" w:hAnsi="宋体" w:cs="宋体"/>
                <w:b/>
                <w:color w:val="000000"/>
                <w:sz w:val="24"/>
                <w:szCs w:val="24"/>
                <w:highlight w:val="none"/>
                <w:lang w:val="zh-CN" w:bidi="zh-CN"/>
              </w:rPr>
            </w:r>
            <w:r/>
          </w:p>
        </w:tc>
        <w:tc>
          <w:tcPr>
            <w:tcW w:w="953" w:type="dxa"/>
            <w:vAlign w:val="center"/>
            <w:textDirection w:val="lrTb"/>
            <w:noWrap w:val="false"/>
          </w:tcPr>
          <w:p>
            <w:pPr>
              <w:pStyle w:val="770"/>
              <w:jc w:val="center"/>
              <w:spacing w:before="100" w:beforeAutospacing="1" w:after="100" w:afterAutospacing="1" w:line="276" w:lineRule="auto"/>
              <w:rPr>
                <w:rFonts w:hint="eastAsia" w:ascii="宋体" w:hAnsi="宋体" w:cs="宋体"/>
                <w:b/>
                <w:color w:val="000000"/>
                <w:sz w:val="24"/>
                <w:szCs w:val="24"/>
                <w:highlight w:val="none"/>
                <w:lang w:val="zh-CN" w:bidi="zh-CN"/>
              </w:rPr>
            </w:pPr>
            <w:r>
              <w:rPr>
                <w:rFonts w:hint="eastAsia" w:ascii="宋体" w:hAnsi="宋体" w:cs="宋体"/>
                <w:b/>
                <w:color w:val="000000"/>
                <w:sz w:val="24"/>
                <w:szCs w:val="24"/>
                <w:highlight w:val="none"/>
                <w:lang w:val="zh-CN" w:bidi="zh-CN"/>
              </w:rPr>
              <w:t xml:space="preserve">备注</w:t>
            </w:r>
            <w:r>
              <w:rPr>
                <w:rFonts w:hint="eastAsia" w:ascii="宋体" w:hAnsi="宋体" w:cs="宋体"/>
                <w:b/>
                <w:color w:val="000000"/>
                <w:sz w:val="24"/>
                <w:szCs w:val="24"/>
                <w:highlight w:val="none"/>
                <w:lang w:val="zh-CN" w:bidi="zh-CN"/>
              </w:rPr>
            </w:r>
            <w:r/>
          </w:p>
        </w:tc>
      </w:tr>
      <w:tr>
        <w:trPr>
          <w:trHeight w:val="485"/>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项目立项批文</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r>
      <w:tr>
        <w:trPr>
          <w:trHeight w:val="397"/>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项目规划、用地、环保、图审、施工许可等各类审批文件</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tc>
      </w:tr>
      <w:tr>
        <w:trPr>
          <w:trHeight w:val="452"/>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施工合同、协议书</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招标文件</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投标文件</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中标通知书</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施工图纸</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before="100" w:beforeAutospacing="1" w:after="100" w:afterAutospacing="1" w:line="276" w:lineRule="auto"/>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工程签证</w:t>
            </w:r>
            <w:r>
              <w:rPr>
                <w:rFonts w:hint="eastAsia" w:ascii="宋体" w:hAnsi="宋体" w:cs="宋体"/>
                <w:color w:val="000000"/>
                <w:sz w:val="24"/>
                <w:szCs w:val="24"/>
                <w:highlight w:val="none"/>
                <w:lang w:val="zh-CN" w:bidi="zh-CN"/>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图纸会审</w:t>
            </w:r>
            <w:r>
              <w:rPr>
                <w:rFonts w:hint="eastAsia" w:ascii="宋体" w:hAnsi="宋体" w:cs="宋体"/>
                <w:color w:val="000000"/>
                <w:sz w:val="24"/>
                <w:szCs w:val="24"/>
                <w:highlight w:val="none"/>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设计变更</w:t>
            </w:r>
            <w:r>
              <w:rPr>
                <w:rFonts w:hint="eastAsia" w:ascii="宋体" w:hAnsi="宋体" w:cs="宋体"/>
                <w:color w:val="000000"/>
                <w:sz w:val="24"/>
                <w:szCs w:val="24"/>
                <w:highlight w:val="none"/>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技术核定单</w:t>
            </w:r>
            <w:r>
              <w:rPr>
                <w:rFonts w:hint="eastAsia" w:ascii="宋体" w:hAnsi="宋体" w:cs="宋体"/>
                <w:color w:val="000000"/>
                <w:sz w:val="24"/>
                <w:szCs w:val="24"/>
                <w:highlight w:val="none"/>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其他洽商文件</w:t>
            </w:r>
            <w:r>
              <w:rPr>
                <w:rFonts w:hint="eastAsia" w:ascii="宋体" w:hAnsi="宋体" w:cs="宋体"/>
                <w:color w:val="000000"/>
                <w:sz w:val="24"/>
                <w:szCs w:val="24"/>
                <w:highlight w:val="none"/>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工程量计算书</w:t>
            </w:r>
            <w:r>
              <w:rPr>
                <w:rFonts w:hint="eastAsia" w:ascii="宋体" w:hAnsi="宋体" w:cs="宋体"/>
                <w:color w:val="000000"/>
                <w:sz w:val="24"/>
                <w:szCs w:val="24"/>
                <w:highlight w:val="none"/>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2"/>
        </w:trPr>
        <w:tc>
          <w:tcPr>
            <w:tcW w:w="4171" w:type="dxa"/>
            <w:vAlign w:val="center"/>
            <w:textDirection w:val="lrTb"/>
            <w:noWrap w:val="false"/>
          </w:tcPr>
          <w:p>
            <w:pPr>
              <w:pStyle w:val="77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其他与跟踪审计、相关的资料</w:t>
            </w:r>
            <w:r>
              <w:rPr>
                <w:rFonts w:hint="eastAsia" w:ascii="宋体" w:hAnsi="宋体" w:cs="宋体"/>
                <w:color w:val="000000"/>
                <w:sz w:val="24"/>
                <w:szCs w:val="24"/>
                <w:highlight w:val="none"/>
              </w:rPr>
            </w:r>
            <w:r/>
          </w:p>
        </w:tc>
        <w:tc>
          <w:tcPr>
            <w:tcW w:w="1276"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02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c>
          <w:tcPr>
            <w:tcW w:w="953"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70"/>
        <w:jc w:val="left"/>
        <w:spacing w:line="360" w:lineRule="auto"/>
        <w:rPr>
          <w:rFonts w:hint="eastAsia" w:ascii="宋体" w:hAnsi="宋体" w:cs="宋体"/>
          <w:b/>
          <w:bCs/>
          <w:color w:val="000000"/>
          <w:sz w:val="24"/>
          <w:szCs w:val="24"/>
          <w:highlight w:val="none"/>
          <w:lang w:val="zh-CN"/>
        </w:rPr>
      </w:pPr>
      <w:r/>
      <w:bookmarkStart w:id="308" w:name="_Toc66723199"/>
      <w:r/>
      <w:bookmarkStart w:id="309" w:name="_Toc419045129"/>
      <w:r>
        <w:rPr>
          <w:rFonts w:hint="eastAsia" w:ascii="宋体" w:hAnsi="宋体" w:cs="宋体"/>
          <w:b/>
          <w:bCs/>
          <w:color w:val="000000"/>
          <w:sz w:val="24"/>
          <w:szCs w:val="24"/>
          <w:highlight w:val="none"/>
          <w:lang w:val="zh-CN"/>
        </w:rPr>
      </w:r>
      <w:r/>
    </w:p>
    <w:p>
      <w:pPr>
        <w:pStyle w:val="770"/>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p>
    <w:p>
      <w:pPr>
        <w:pStyle w:val="770"/>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r>
      <w:r/>
    </w:p>
    <w:p>
      <w:pPr>
        <w:pStyle w:val="770"/>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附录D 委托人提供房屋及设备一览表</w:t>
      </w:r>
      <w:bookmarkEnd w:id="308"/>
      <w:r>
        <w:rPr>
          <w:rFonts w:hint="eastAsia" w:ascii="宋体" w:hAnsi="宋体" w:cs="宋体"/>
          <w:b/>
          <w:bCs/>
          <w:color w:val="000000"/>
          <w:sz w:val="28"/>
          <w:szCs w:val="28"/>
          <w:highlight w:val="none"/>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2"/>
        <w:gridCol w:w="1418"/>
        <w:gridCol w:w="2584"/>
        <w:gridCol w:w="2405"/>
      </w:tblGrid>
      <w:tr>
        <w:trPr>
          <w:trHeight w:val="549"/>
        </w:trPr>
        <w:tc>
          <w:tcPr>
            <w:tcW w:w="2072"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名称</w:t>
            </w:r>
            <w:r>
              <w:rPr>
                <w:rFonts w:hint="eastAsia" w:ascii="宋体" w:hAnsi="宋体" w:cs="宋体"/>
                <w:b/>
                <w:color w:val="000000"/>
                <w:sz w:val="24"/>
                <w:szCs w:val="24"/>
                <w:highlight w:val="none"/>
              </w:rPr>
            </w:r>
            <w:r/>
          </w:p>
        </w:tc>
        <w:tc>
          <w:tcPr>
            <w:tcW w:w="1418"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数量</w:t>
            </w:r>
            <w:r>
              <w:rPr>
                <w:rFonts w:hint="eastAsia" w:ascii="宋体" w:hAnsi="宋体" w:cs="宋体"/>
                <w:b/>
                <w:color w:val="000000"/>
                <w:sz w:val="24"/>
                <w:szCs w:val="24"/>
                <w:highlight w:val="none"/>
              </w:rPr>
            </w:r>
            <w:r/>
          </w:p>
        </w:tc>
        <w:tc>
          <w:tcPr>
            <w:tcW w:w="2584"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面积、型号及规格</w:t>
            </w:r>
            <w:r>
              <w:rPr>
                <w:rFonts w:hint="eastAsia" w:ascii="宋体" w:hAnsi="宋体" w:cs="宋体"/>
                <w:b/>
                <w:color w:val="000000"/>
                <w:sz w:val="24"/>
                <w:szCs w:val="24"/>
                <w:highlight w:val="none"/>
              </w:rPr>
            </w:r>
            <w:r/>
          </w:p>
        </w:tc>
        <w:tc>
          <w:tcPr>
            <w:tcW w:w="2405"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提供时间</w:t>
            </w:r>
            <w:r>
              <w:rPr>
                <w:rFonts w:hint="eastAsia" w:ascii="宋体" w:hAnsi="宋体" w:cs="宋体"/>
                <w:b/>
                <w:color w:val="000000"/>
                <w:sz w:val="24"/>
                <w:szCs w:val="24"/>
                <w:highlight w:val="none"/>
              </w:rPr>
            </w:r>
            <w:r/>
          </w:p>
        </w:tc>
      </w:tr>
      <w:tr>
        <w:trPr>
          <w:trHeight w:val="549"/>
        </w:trPr>
        <w:tc>
          <w:tcPr>
            <w:tcW w:w="2072"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办公室</w:t>
            </w:r>
            <w:r>
              <w:rPr>
                <w:rFonts w:hint="eastAsia" w:ascii="宋体" w:hAnsi="宋体" w:cs="宋体"/>
                <w:color w:val="000000"/>
                <w:sz w:val="24"/>
                <w:szCs w:val="24"/>
                <w:highlight w:val="none"/>
              </w:rPr>
            </w:r>
            <w:r/>
          </w:p>
        </w:tc>
        <w:tc>
          <w:tcPr>
            <w:tcW w:w="1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58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r>
        <w:trPr>
          <w:trHeight w:val="549"/>
        </w:trPr>
        <w:tc>
          <w:tcPr>
            <w:tcW w:w="2072"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桌椅</w:t>
            </w:r>
            <w:r>
              <w:rPr>
                <w:rFonts w:hint="eastAsia" w:ascii="宋体" w:hAnsi="宋体" w:cs="宋体"/>
                <w:color w:val="000000"/>
                <w:sz w:val="24"/>
                <w:szCs w:val="24"/>
                <w:highlight w:val="none"/>
              </w:rPr>
            </w:r>
            <w:r/>
          </w:p>
        </w:tc>
        <w:tc>
          <w:tcPr>
            <w:tcW w:w="1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若干</w:t>
            </w:r>
            <w:r>
              <w:rPr>
                <w:rFonts w:hint="eastAsia" w:ascii="宋体" w:hAnsi="宋体" w:cs="宋体"/>
                <w:color w:val="000000"/>
                <w:sz w:val="24"/>
                <w:szCs w:val="24"/>
                <w:highlight w:val="none"/>
              </w:rPr>
            </w:r>
            <w:r/>
          </w:p>
        </w:tc>
        <w:tc>
          <w:tcPr>
            <w:tcW w:w="258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r>
        <w:trPr>
          <w:trHeight w:val="549"/>
        </w:trPr>
        <w:tc>
          <w:tcPr>
            <w:tcW w:w="2072"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文件柜</w:t>
            </w:r>
            <w:r>
              <w:rPr>
                <w:rFonts w:hint="eastAsia" w:ascii="宋体" w:hAnsi="宋体" w:cs="宋体"/>
                <w:color w:val="000000"/>
                <w:sz w:val="24"/>
                <w:szCs w:val="24"/>
                <w:highlight w:val="none"/>
              </w:rPr>
            </w:r>
            <w:r/>
          </w:p>
        </w:tc>
        <w:tc>
          <w:tcPr>
            <w:tcW w:w="1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58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r>
        <w:trPr>
          <w:trHeight w:val="549"/>
        </w:trPr>
        <w:tc>
          <w:tcPr>
            <w:tcW w:w="2072"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网络</w:t>
            </w:r>
            <w:r>
              <w:rPr>
                <w:rFonts w:hint="eastAsia" w:ascii="宋体" w:hAnsi="宋体" w:cs="宋体"/>
                <w:color w:val="000000"/>
                <w:sz w:val="24"/>
                <w:szCs w:val="24"/>
                <w:highlight w:val="none"/>
              </w:rPr>
            </w:r>
            <w:r/>
          </w:p>
        </w:tc>
        <w:tc>
          <w:tcPr>
            <w:tcW w:w="1418"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584"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5" w:type="dxa"/>
            <w:vAlign w:val="center"/>
            <w:textDirection w:val="lrTb"/>
            <w:noWrap w:val="false"/>
          </w:tcPr>
          <w:p>
            <w:pPr>
              <w:pStyle w:val="770"/>
              <w:jc w:val="center"/>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项目进点后</w:t>
            </w:r>
            <w:r>
              <w:rPr>
                <w:rFonts w:hint="eastAsia" w:ascii="宋体" w:hAnsi="宋体" w:cs="宋体"/>
                <w:color w:val="000000"/>
                <w:sz w:val="24"/>
                <w:szCs w:val="24"/>
                <w:highlight w:val="none"/>
              </w:rPr>
            </w:r>
            <w:r/>
          </w:p>
        </w:tc>
      </w:tr>
    </w:tbl>
    <w:p>
      <w:pPr>
        <w:pStyle w:val="770"/>
        <w:jc w:val="left"/>
        <w:spacing w:line="360" w:lineRule="auto"/>
        <w:rPr>
          <w:rFonts w:hint="eastAsia" w:ascii="宋体" w:hAnsi="宋体" w:cs="宋体"/>
          <w:b/>
          <w:bCs/>
          <w:color w:val="000000"/>
          <w:sz w:val="24"/>
          <w:szCs w:val="24"/>
          <w:highlight w:val="none"/>
          <w:lang w:val="zh-CN"/>
        </w:rPr>
      </w:pPr>
      <w:r/>
      <w:bookmarkEnd w:id="309"/>
      <w:r>
        <w:rPr>
          <w:rFonts w:hint="eastAsia" w:ascii="宋体" w:hAnsi="宋体" w:cs="宋体"/>
          <w:b/>
          <w:bCs/>
          <w:color w:val="000000"/>
          <w:sz w:val="24"/>
          <w:szCs w:val="24"/>
          <w:highlight w:val="none"/>
          <w:lang w:val="zh-CN"/>
        </w:rPr>
      </w:r>
      <w:r/>
    </w:p>
    <w:p>
      <w:pPr>
        <w:pStyle w:val="770"/>
        <w:spacing w:line="360" w:lineRule="auto"/>
        <w:rPr>
          <w:rFonts w:hint="eastAsia" w:ascii="宋体" w:hAnsi="宋体" w:cs="宋体"/>
          <w:b/>
          <w:color w:val="000000"/>
          <w:sz w:val="24"/>
          <w:szCs w:val="24"/>
          <w:highlight w:val="none"/>
        </w:rPr>
      </w:pPr>
      <w:r>
        <w:rPr>
          <w:rFonts w:hint="eastAsia" w:ascii="宋体" w:hAnsi="宋体" w:cs="宋体"/>
          <w:b/>
          <w:bCs/>
          <w:color w:val="000000"/>
          <w:sz w:val="30"/>
          <w:szCs w:val="30"/>
          <w:highlight w:val="none"/>
        </w:rPr>
        <w:br w:type="page" w:clear="all"/>
      </w:r>
      <w:r>
        <w:rPr>
          <w:rFonts w:hint="eastAsia" w:ascii="宋体" w:hAnsi="宋体" w:cs="宋体"/>
          <w:b/>
          <w:color w:val="000000"/>
          <w:sz w:val="24"/>
          <w:szCs w:val="24"/>
          <w:highlight w:val="none"/>
        </w:rPr>
        <w:t xml:space="preserve">附件1 </w:t>
      </w: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建设工程廉政责任书</w:t>
      </w:r>
      <w:r>
        <w:rPr>
          <w:rFonts w:hint="eastAsia" w:ascii="宋体" w:hAnsi="宋体" w:cs="宋体"/>
          <w:b/>
          <w:bCs/>
          <w:color w:val="000000"/>
          <w:sz w:val="28"/>
          <w:szCs w:val="28"/>
          <w:highlight w:val="none"/>
        </w:rPr>
      </w:r>
      <w:r/>
    </w:p>
    <w:p>
      <w:pPr>
        <w:pStyle w:val="770"/>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委托人：</w:t>
      </w:r>
      <w:r>
        <w:rPr>
          <w:rFonts w:hint="eastAsia" w:ascii="宋体" w:hAnsi="宋体" w:cs="宋体"/>
          <w:color w:val="000000"/>
          <w:sz w:val="24"/>
          <w:szCs w:val="24"/>
          <w:highlight w:val="none"/>
          <w:u w:val="single"/>
          <w:lang w:bidi="zh-CN"/>
        </w:rPr>
        <w:t xml:space="preserve">南京市江北新区公共工程建设中心</w:t>
      </w:r>
      <w:r>
        <w:rPr>
          <w:rFonts w:hint="eastAsia" w:ascii="宋体" w:hAnsi="宋体" w:cs="宋体"/>
          <w:color w:val="000000"/>
          <w:sz w:val="24"/>
          <w:szCs w:val="24"/>
          <w:highlight w:val="none"/>
          <w:u w:val="single"/>
          <w:lang w:bidi="zh-CN"/>
        </w:rPr>
      </w:r>
      <w:r/>
    </w:p>
    <w:p>
      <w:pPr>
        <w:pStyle w:val="770"/>
        <w:spacing w:line="360" w:lineRule="auto"/>
        <w:rPr>
          <w:rFonts w:hint="eastAsia" w:ascii="宋体" w:hAnsi="宋体" w:cs="宋体"/>
          <w:color w:val="000000"/>
          <w:sz w:val="24"/>
          <w:szCs w:val="24"/>
          <w:highlight w:val="none"/>
          <w:u w:val="single"/>
          <w:lang w:bidi="zh-CN"/>
        </w:rPr>
      </w:pPr>
      <w:r>
        <w:rPr>
          <w:rFonts w:hint="eastAsia" w:ascii="宋体" w:hAnsi="宋体" w:cs="宋体"/>
          <w:color w:val="000000"/>
          <w:sz w:val="24"/>
          <w:szCs w:val="24"/>
          <w:highlight w:val="none"/>
          <w:lang w:bidi="zh-CN"/>
        </w:rPr>
        <w:t xml:space="preserve">受托人： </w:t>
      </w:r>
      <w:r>
        <w:rPr>
          <w:rFonts w:hint="eastAsia" w:ascii="宋体" w:hAnsi="宋体" w:cs="宋体"/>
          <w:color w:val="000000"/>
          <w:sz w:val="24"/>
          <w:szCs w:val="24"/>
          <w:highlight w:val="none"/>
          <w:u w:val="singl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为了在审核工作中保持廉洁自律的工作作风，防止各种不正当行为的发生，根据廉政建设的各项规定，结合项目的特点，特定立本合同如下：</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一、双方应当自觉遵守国家和所在地区关于审核工作规则和廉政建设的各项规定。</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二、委托方及其工作人员不得以任何形式向受托方索要和收受回扣等好处费。</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三、委托方工作人员应当保持与受托方的正常业务交往，不得接受受托方的礼金、有价证券和贵重物品，不得在受托方报销任何应由个人支付的费用。</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四、委托方工作人员不得参加可能对公正执行公务有影响的宴请和娱乐活动。</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五、委托方工作人员不得要求或者接受受托方为其住房装修、婚丧嫁娶、家属和子女的工作安排以及出国提供方便。</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六、委托方工作人员不得向受托方介绍家属或者亲友从事与委托方工程有关的材料设备供应、工程分包等经济活动。</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七、受托方应当通过正常途径开展相对业务工作，不得为获取某些不正当利益而向委托方工作人员赠送礼金、有价证券和贵重物品等。</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八、受托方不得为谋取私利擅自与委托方工作人员就工程承包、工程费用、材料设备供应、工程量变动、工程验收、工程质量问题等进行私下商谈或者达成默契。</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九、受托方不得以洽谈业务、签订经济合同为借口，邀请委托方工作人员外出旅游和进入营业性高档娱乐场所。</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十、受托方不得为委托方单位和个人购置或者提供通讯工具、交通工具、家电、高档办公用品等物品。</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一、受托方如发现委托方工作人员有违反上述协议者，应向委托方领导或者委托方上级单位举报。委托方不得找任何借口对受托方进行报复。委托方对举报属实和严格遵守廉洁协议的一方，在同等条件下给与承接后续工程的优先邀请投标权。</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二、委托方发现受托方有违反本协议或者采取不正当的手段行贿委托方工作人员，委托方根据具体情节和造成的后果追究受托方工程合同造价1－5％的违约金。由此给委托方单位造成的损失均有受托方承担，受托方用不正当手段获取的非法所得由委托方单位予以追缴。</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十三、本廉洁合同作为本造价咨询合同的附件，与造价咨询合同具有同等法律效力。经协议各方签署后立即生效。</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十四、本合同一式玖份，正本叁份，副本叁份，委托人受托人各执正本壹份，副本壹份。</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十五、合同订立</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合同订立时间：  年   月   日</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合同订立地点：</w:t>
      </w:r>
      <w:r>
        <w:rPr>
          <w:rFonts w:hint="eastAsia" w:ascii="宋体" w:hAnsi="宋体" w:cs="宋体"/>
          <w:color w:val="000000"/>
          <w:sz w:val="24"/>
          <w:szCs w:val="24"/>
          <w:highlight w:val="none"/>
          <w:u w:val="single"/>
          <w:lang w:bidi="zh-CN"/>
        </w:rPr>
        <w:t xml:space="preserve">南京市江北新区</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十六、合同生效</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t xml:space="preserve">本合同各方约定</w:t>
      </w:r>
      <w:r>
        <w:rPr>
          <w:rFonts w:hint="eastAsia" w:ascii="宋体" w:hAnsi="宋体" w:cs="宋体"/>
          <w:color w:val="000000"/>
          <w:sz w:val="24"/>
          <w:szCs w:val="24"/>
          <w:highlight w:val="none"/>
          <w:u w:val="single"/>
          <w:lang w:bidi="zh-CN"/>
        </w:rPr>
        <w:t xml:space="preserve">签字盖章之日</w:t>
      </w:r>
      <w:r>
        <w:rPr>
          <w:rFonts w:hint="eastAsia" w:ascii="宋体" w:hAnsi="宋体" w:cs="宋体"/>
          <w:color w:val="000000"/>
          <w:sz w:val="24"/>
          <w:szCs w:val="24"/>
          <w:highlight w:val="none"/>
          <w:lang w:bidi="zh-CN"/>
        </w:rPr>
        <w:t xml:space="preserve">后生效。</w:t>
      </w:r>
      <w:r>
        <w:rPr>
          <w:rFonts w:hint="eastAsia" w:ascii="宋体" w:hAnsi="宋体" w:cs="宋体"/>
          <w:color w:val="000000"/>
          <w:sz w:val="24"/>
          <w:szCs w:val="24"/>
          <w:highlight w:val="none"/>
          <w:lang w:bidi="zh-CN"/>
        </w:rPr>
      </w:r>
      <w:r/>
    </w:p>
    <w:p>
      <w:pPr>
        <w:pStyle w:val="770"/>
        <w:ind w:firstLine="480"/>
        <w:spacing w:line="360" w:lineRule="auto"/>
        <w:rPr>
          <w:rFonts w:hint="eastAsia" w:ascii="宋体" w:hAnsi="宋体" w:cs="宋体"/>
          <w:color w:val="000000"/>
          <w:sz w:val="24"/>
          <w:szCs w:val="24"/>
          <w:highlight w:val="none"/>
          <w:lang w:bidi="zh-CN"/>
        </w:rPr>
      </w:pPr>
      <w:r>
        <w:rPr>
          <w:rFonts w:hint="eastAsia" w:ascii="宋体" w:hAnsi="宋体" w:cs="宋体"/>
          <w:color w:val="000000"/>
          <w:sz w:val="24"/>
          <w:szCs w:val="24"/>
          <w:highlight w:val="none"/>
          <w:lang w:bidi="zh-CN"/>
        </w:rPr>
      </w:r>
      <w:r/>
    </w:p>
    <w:p>
      <w:pPr>
        <w:pStyle w:val="770"/>
        <w:ind w:firstLine="480"/>
        <w:spacing w:line="360" w:lineRule="auto"/>
        <w:tabs>
          <w:tab w:val="left" w:pos="0" w:leader="none"/>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W w:w="4774" w:type="pct"/>
        <w:tblInd w:w="-108" w:type="dxa"/>
        <w:tblLayout w:type="autofit"/>
        <w:tblCellMar>
          <w:left w:w="108" w:type="dxa"/>
          <w:top w:w="0" w:type="dxa"/>
          <w:right w:w="108" w:type="dxa"/>
          <w:bottom w:w="0" w:type="dxa"/>
        </w:tblCellMar>
        <w:tblLook w:val="04A0" w:firstRow="1" w:lastRow="0" w:firstColumn="1" w:lastColumn="0" w:noHBand="0" w:noVBand="1"/>
      </w:tblPr>
      <w:tblGrid>
        <w:gridCol w:w="5121"/>
        <w:gridCol w:w="4179"/>
      </w:tblGrid>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委托人：（盖章）</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咨询人：（盖章）</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AUTOTEXT  input2 \* MERGEFORMAT </w:instrTex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法定代表人或授权委托人：</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法定代表人或授权委托人：</w:t>
            </w: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 </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3789" w:type="dxa"/>
            <w:vAlign w:val="top"/>
            <w:textDirection w:val="lrTb"/>
            <w:noWrap/>
          </w:tcPr>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r>
    </w:tbl>
    <w:p>
      <w:pPr>
        <w:pStyle w:val="770"/>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0"/>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br w:type="page" w:clear="all"/>
      </w:r>
      <w:r>
        <w:rPr>
          <w:rFonts w:hint="eastAsia" w:ascii="宋体" w:hAnsi="宋体" w:cs="宋体"/>
          <w:color w:val="000000"/>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附件2</w:t>
      </w: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南京市江北新区公共工程建设中心结算审计管理办法（试行）</w:t>
      </w:r>
      <w:r>
        <w:rPr>
          <w:rFonts w:hint="eastAsia" w:ascii="宋体" w:hAnsi="宋体" w:cs="宋体"/>
          <w:b/>
          <w:bCs/>
          <w:color w:val="000000"/>
          <w:sz w:val="28"/>
          <w:szCs w:val="28"/>
          <w:highlight w:val="none"/>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第一章  总则</w:t>
      </w:r>
      <w:r>
        <w:rPr>
          <w:rFonts w:hint="eastAsia" w:ascii="宋体" w:hAnsi="宋体" w:cs="宋体"/>
          <w:b/>
          <w:color w:val="000000"/>
          <w:sz w:val="24"/>
          <w:szCs w:val="24"/>
          <w:highlight w:val="none"/>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为加强南京市江北新区公共工程建设中心（以下简称公建中心）建设项目的结算审计监督，规范结算审计行为，提高投资效益，根据《中华人民共和国审计法》、《中华人民共和国审计法实施条例》、《江苏省审计实施条例》、《江苏省国家建设项目审计监督办法》、《南京市政府投资建设项目审计监督条例》、《南京市政府关于政府投资建设项目审计监督全覆盖的实施意见》等有关规定，结合公建中心实际情况，制定本办法；</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本办法所称结算审计单位包括新区财政局、新区建交局及公建中心委托的结算审计单位。</w:t>
      </w:r>
      <w:r>
        <w:rPr>
          <w:rFonts w:hint="eastAsia" w:ascii="宋体" w:hAnsi="宋体" w:cs="宋体"/>
          <w:color w:val="000000"/>
          <w:sz w:val="24"/>
          <w:szCs w:val="24"/>
          <w:highlight w:val="none"/>
          <w:lang w:val="zh-CN"/>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第二章  审计重点</w:t>
      </w:r>
      <w:r>
        <w:rPr>
          <w:rFonts w:hint="eastAsia" w:ascii="宋体" w:hAnsi="宋体" w:cs="宋体"/>
          <w:b/>
          <w:color w:val="000000"/>
          <w:sz w:val="24"/>
          <w:szCs w:val="24"/>
          <w:highlight w:val="none"/>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审核工程价款结算方式是否符合国家有关规定和合同约定，结算手续是否完善，有无高估冒算、虚报冒领工程款，有无超付工程款等问题；</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审核报审工程量是否为已完成的合格工程量，是否与现场实际完成的工程量一致；</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审核报审综合单价是否按照合同约定结算原则进行组价，套取定额是否符合相关文件的规定；</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设计变更、施工现场签证和补充协议的结算方式是否合规、正确和完整；</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管理费、利润、措施费、其他项目费、规费、税金的取费标准是否按照相关取费文件执行；</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核价材料价格是否合理，核价程序是否规范；</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甲供材料和设备等物资是否存在超欠供现象，超欠供的甲供材料和设备等物资清算处理的方法和手续是否合规、价款是否正确；</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相关税费是否按规定计提，是否及时、准确交纳，减、免、缓缴的手续是否完善，是否符合有关规定等。</w:t>
      </w:r>
      <w:r>
        <w:rPr>
          <w:rFonts w:hint="eastAsia" w:ascii="宋体" w:hAnsi="宋体" w:cs="宋体"/>
          <w:color w:val="000000"/>
          <w:sz w:val="24"/>
          <w:szCs w:val="24"/>
          <w:highlight w:val="none"/>
          <w:lang w:val="zh-CN"/>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第三章  审计程序和管理</w:t>
      </w:r>
      <w:r>
        <w:rPr>
          <w:rFonts w:hint="eastAsia" w:ascii="宋体" w:hAnsi="宋体" w:cs="宋体"/>
          <w:b/>
          <w:color w:val="000000"/>
          <w:sz w:val="24"/>
          <w:szCs w:val="24"/>
          <w:highlight w:val="none"/>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综合计划处为公建中心结算审计管理职能处室，结算审计单位应从综合计划处接收结算审计资料；</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结算审计接收结算资料的送审金额为工程处室送审的结算送审金额，并非施工单位的结算送审金额；</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结算审计单位委派的项目负责人职业资格必须为一级造价工程师；</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结算审计单位自接收结算审计资料之日开始即要报送周报、月报至综合计划处，每周周五报送周报，每月25日报送月报，周报、月报按照统一模板整理，统一模板在公建中心结算审计群公告百度云链接地址下载；</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结算审计送审资料要求详见附件1，结算审计单位可根据项目情况补充其他需送审资料；</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结算审计单位接收结算审计资料后，应在三个日历天内将缺项资料清单（附件2）及结算审计工作计划及人员配置表（附件3）盖章报送至综合计划处；</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送审额1亿元及以下项目，审计单位自接收结算资料15个日历天内出具结算审核初稿；结算送审额1亿元至5亿元项目，自接收结算资料20个日历天内出具结算审核初稿；结算送审额5亿元及以上项目，自接收结算资料25个日历天内出具结算审核初稿；</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结算审计单位不得以施工单位提供资料不全为由延长结算初稿审核时限，施工单位未能及时提供支撑性资料分项，应暂按全部扣除处理；</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结算审核人员需将结算审核初稿在规定时限内发送至综合计划处备案，经综合计划处人员初步复核确认后，方可发送至施工单位。禁止结算审核人员与施工单位相关人员私下接触；</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结算审核人员发送至综合计划处的结算初稿电子版资料按照统一模板整理，统一模板在公建中心结算审计群公告百度云链接地址下载；</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综合计划处根据项目情况确定是否需要集中结算审核人员与施工单位人员核对结算。</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送审额1亿元及以下项目，施工单位自接收结算审核初稿20个日历天内完成核对；结算送审额1亿元至5亿元项目，自接收结算审核初稿25个日历天内完成核对；结算送审额5亿元及以上项目，自接收结算资料30个日历天内完成核对；</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若施工单位人员配备不力，资料迟迟不能提供等因素影响结算核对进展，结算审计单位应及时出具盖章联系单（附件4）发送至施工单位；</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将核对完成的审核稿发送综合计划处，若有未解决的问题，结算审计单位会施工单位列出争议问题清单（附件5），综合计划处人员组织召开结算会审会，参会人员对审核稿进行复核并对争议问题进行研究处理，会审达不成一致的意见的争议问题可按照造价主管部门流程申请调解；</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会审完成后，结算审计单位按照公司流程进行三级复核并将复核完成的审定稿发送至综合计划处复核，审定稿资料统一按照公建中心结算资料模板整理，统一模板在公建中心结算审计群公告百度云链接地址下载。新区建交局与公建中心共同委托的项目，审定稿同时发送至新区建交局审计办复核；</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新区建交局与公建中心完成复核后，通知结算审计单位按照流程出具结算审计报告。</w:t>
      </w:r>
      <w:r>
        <w:rPr>
          <w:rFonts w:hint="eastAsia" w:ascii="宋体" w:hAnsi="宋体" w:cs="宋体"/>
          <w:color w:val="000000"/>
          <w:sz w:val="24"/>
          <w:szCs w:val="24"/>
          <w:highlight w:val="none"/>
          <w:lang w:val="zh-CN"/>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第四章  结算审计资料档案管理</w:t>
      </w:r>
      <w:r>
        <w:rPr>
          <w:rFonts w:hint="eastAsia" w:ascii="宋体" w:hAnsi="宋体" w:cs="宋体"/>
          <w:b/>
          <w:color w:val="000000"/>
          <w:sz w:val="24"/>
          <w:szCs w:val="24"/>
          <w:highlight w:val="none"/>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结算审计单位从综合计划处接收结算审计资料时办理交接手续，结算审计完成，将接收的所有结算审计资料退还综合计划处。</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结算审计单位出具结算审计报告后，将书面报告送至综合计划处，同时结算审核人员将结算报告及审定单原件扫描件发送综合计划处。</w:t>
      </w:r>
      <w:r>
        <w:rPr>
          <w:rFonts w:hint="eastAsia" w:ascii="宋体" w:hAnsi="宋体" w:cs="宋体"/>
          <w:color w:val="000000"/>
          <w:sz w:val="24"/>
          <w:szCs w:val="24"/>
          <w:highlight w:val="none"/>
          <w:lang w:val="zh-CN"/>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第五章  责任与追究</w:t>
      </w:r>
      <w:r>
        <w:rPr>
          <w:rFonts w:hint="eastAsia" w:ascii="宋体" w:hAnsi="宋体" w:cs="宋体"/>
          <w:b/>
          <w:color w:val="000000"/>
          <w:sz w:val="24"/>
          <w:szCs w:val="24"/>
          <w:highlight w:val="none"/>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综合计划处负责对结算审计单位成员实行审计质量考核制和廉政责任考评制。对审计质量、工作效率、纪律执行和审计服务等方面进行检查考核；</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审计人员必须依法审计，做到客观公正、实事求是，遵守有关廉政纪律的规定，保守其在执行业务中知悉的国家秘密和商业秘密。</w:t>
      </w:r>
      <w:r>
        <w:rPr>
          <w:rFonts w:hint="eastAsia" w:ascii="宋体" w:hAnsi="宋体" w:cs="宋体"/>
          <w:color w:val="000000"/>
          <w:sz w:val="24"/>
          <w:szCs w:val="24"/>
          <w:highlight w:val="none"/>
          <w:lang w:val="zh-CN"/>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第六章  附则</w:t>
      </w:r>
      <w:r>
        <w:rPr>
          <w:rFonts w:hint="eastAsia" w:ascii="宋体" w:hAnsi="宋体" w:cs="宋体"/>
          <w:b/>
          <w:color w:val="000000"/>
          <w:sz w:val="24"/>
          <w:szCs w:val="24"/>
          <w:highlight w:val="none"/>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本办法所列附件必须作为原始资料归入审计档案；</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本办法自2021年5月31日起施行；</w:t>
      </w:r>
      <w:r>
        <w:rPr>
          <w:rFonts w:hint="eastAsia" w:ascii="宋体" w:hAnsi="宋体" w:cs="宋体"/>
          <w:color w:val="000000"/>
          <w:sz w:val="24"/>
          <w:szCs w:val="24"/>
          <w:highlight w:val="none"/>
          <w:lang w:val="zh-CN"/>
        </w:rPr>
      </w:r>
      <w:r/>
    </w:p>
    <w:p>
      <w:pPr>
        <w:pStyle w:val="770"/>
        <w:numPr>
          <w:ilvl w:val="0"/>
          <w:numId w:val="10"/>
        </w:numPr>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由江北新区公建中心综合计划处负责解释。</w:t>
      </w:r>
      <w:r>
        <w:rPr>
          <w:rFonts w:hint="eastAsia" w:ascii="宋体" w:hAnsi="宋体" w:cs="宋体"/>
          <w:color w:val="000000"/>
          <w:sz w:val="24"/>
          <w:szCs w:val="24"/>
          <w:highlight w:val="none"/>
          <w:lang w:val="zh-CN"/>
        </w:rPr>
      </w:r>
      <w:r/>
    </w:p>
    <w:p>
      <w:pPr>
        <w:pStyle w:val="770"/>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ind w:firstLine="480"/>
        <w:spacing w:line="360" w:lineRule="auto"/>
        <w:rPr>
          <w:rFonts w:hint="eastAsia" w:ascii="宋体" w:hAnsi="宋体" w:cs="宋体"/>
          <w:color w:val="000000"/>
          <w:sz w:val="24"/>
          <w:szCs w:val="24"/>
          <w:highlight w:val="none"/>
          <w:lang w:val="zh-CN"/>
        </w:rPr>
      </w:pPr>
      <w:r/>
      <w:bookmarkStart w:id="310" w:name="_Toc163380930"/>
      <w:r/>
      <w:bookmarkStart w:id="311" w:name="_Toc18867"/>
      <w:r>
        <w:rPr>
          <w:rFonts w:hint="eastAsia" w:ascii="宋体" w:hAnsi="宋体" w:cs="宋体"/>
          <w:color w:val="000000"/>
          <w:sz w:val="24"/>
          <w:szCs w:val="24"/>
          <w:highlight w:val="none"/>
          <w:lang w:val="zh-CN"/>
        </w:rPr>
        <w:t xml:space="preserve">附件：1、工程竣工结算送审资料要求</w:t>
      </w:r>
      <w:bookmarkEnd w:id="310"/>
      <w:r/>
      <w:bookmarkEnd w:id="311"/>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2、结算缺项资料清单</w:t>
      </w:r>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3、结算审计工作计划及人员配置表</w:t>
      </w:r>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4、工作联系单</w:t>
      </w:r>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5、结算审核争议清单</w:t>
      </w:r>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ind w:firstLine="120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附件1 </w:t>
      </w:r>
      <w:r>
        <w:rPr>
          <w:rFonts w:hint="eastAsia" w:ascii="宋体" w:hAnsi="宋体" w:cs="宋体"/>
          <w:b/>
          <w:color w:val="000000"/>
          <w:sz w:val="24"/>
          <w:szCs w:val="24"/>
          <w:highlight w:val="none"/>
        </w:rPr>
      </w:r>
      <w:r/>
    </w:p>
    <w:p>
      <w:pPr>
        <w:pStyle w:val="770"/>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工程竣工结算送审资料要求</w:t>
      </w:r>
      <w:r>
        <w:rPr>
          <w:rFonts w:hint="eastAsia" w:ascii="宋体" w:hAnsi="宋体" w:cs="宋体"/>
          <w:b/>
          <w:bCs/>
          <w:color w:val="000000"/>
          <w:sz w:val="28"/>
          <w:szCs w:val="28"/>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南京市江北新区公共工程建设中心工程建设项目竣工结算审计送审表、承诺书及送审资料目录；</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招标文件（含招标工程量清单、招标答疑纪要、招标补充等）及PDF电子版；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投标文件（投标报价书盖章书面版）及未来软件电子版；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中标通知书（盖章书面版）及原件扫描电子版；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施工合同及补充协议（签字盖章书面版）及原件扫描件电子版；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开工报告，竣工报告、竣工验收记录（参建单位签字盖章书面版）及原件扫描件电子版；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基础工程需提供地勘报告原件扫描件电子版；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工程结算书（签字盖章书面版）及软件电子版；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工程量计算书（签字盖章书面版）及电子版；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工程变更单、工程签证单、核价单、技术核定单、工程联系单、工程洽商记录、图纸会审记录（参见单位签字盖章，手续齐备）；</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工程招标图、施工图、竣工图（盖章书面版）及CAD电子版；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涉及到按实计量的、隐蔽工程等的原始测量记录（附过程影像资料）、原地面测量及竣工后测量原始记录；</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bookmarkStart w:id="312" w:name="_Toc3844"/>
      <w:r>
        <w:rPr>
          <w:rFonts w:hint="eastAsia" w:ascii="宋体" w:hAnsi="宋体" w:cs="宋体"/>
          <w:color w:val="000000"/>
          <w:sz w:val="24"/>
          <w:szCs w:val="24"/>
          <w:highlight w:val="none"/>
        </w:rPr>
        <w:t xml:space="preserve">工期延期申请及批复的手续（如延期）；</w:t>
      </w:r>
      <w:bookmarkEnd w:id="312"/>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安全文明考核证明资料、获奖证书、环境保护税发票（如有）；</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经过监理单位审批的施工组织设计、专项施工方案（盖章书面版、结算后同时返还）；</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工程结算监理单位审核意见、代建单位审核意见（签字盖章书面版）；</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承包人认为需要补充的其他材料；</w:t>
      </w:r>
      <w:r>
        <w:rPr>
          <w:rFonts w:hint="eastAsia" w:ascii="宋体" w:hAnsi="宋体" w:cs="宋体"/>
          <w:color w:val="000000"/>
          <w:sz w:val="24"/>
          <w:szCs w:val="24"/>
          <w:highlight w:val="none"/>
        </w:rPr>
      </w:r>
      <w:r/>
    </w:p>
    <w:p>
      <w:pPr>
        <w:pStyle w:val="770"/>
        <w:numPr>
          <w:ilvl w:val="0"/>
          <w:numId w:val="11"/>
        </w:numPr>
        <w:ind w:left="0" w:firstLine="480"/>
        <w:spacing w:line="360" w:lineRule="auto"/>
        <w:tabs>
          <w:tab w:val="left" w:pos="993" w:leader="none"/>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所报资料按序排放、指定目录，结算书内容编排应有序可查。</w:t>
      </w:r>
      <w:r>
        <w:rPr>
          <w:rFonts w:hint="eastAsia" w:ascii="宋体" w:hAnsi="宋体" w:cs="宋体"/>
          <w:color w:val="000000"/>
          <w:sz w:val="24"/>
          <w:szCs w:val="24"/>
          <w:highlight w:val="none"/>
        </w:rPr>
      </w:r>
      <w:r/>
    </w:p>
    <w:p>
      <w:pPr>
        <w:pStyle w:val="770"/>
        <w:ind w:firstLine="2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其它要求：</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1、结算资料分土建和安装专业，主体工程需分别整理装订，其他工程可合并装订。</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竣工图必须有施工单位竣工图专用章及监理单位相关人员签字，经委托人、设计、监理等单位确认的图纸会审记录、设计变更、技术核定单、工程洽商记录、监理工程师通知或委托人施工指令等内容均应反映在相应的竣工图上。对未在竣工图上反映的图纸会审记录、设计变更和工程洽商记录等，其费用在结算时委托人有权不予考虑。</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3、电子U盘中结算书应有未来软件格式和Excel格式、图纸为CAD2004格式。</w:t>
      </w:r>
      <w:r>
        <w:rPr>
          <w:rFonts w:hint="eastAsia" w:ascii="宋体" w:hAnsi="宋体" w:cs="宋体"/>
          <w:color w:val="000000"/>
          <w:sz w:val="24"/>
          <w:szCs w:val="24"/>
          <w:highlight w:val="none"/>
        </w:rPr>
      </w:r>
      <w:r/>
    </w:p>
    <w:p>
      <w:pPr>
        <w:pStyle w:val="770"/>
        <w:ind w:left="204" w:hanging="2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left="204" w:hanging="2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left="204" w:hanging="20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附件2</w:t>
      </w: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某某工程结算缺项资料清单（模板）</w:t>
      </w:r>
      <w:r>
        <w:rPr>
          <w:rFonts w:hint="eastAsia" w:ascii="宋体" w:hAnsi="宋体" w:cs="宋体"/>
          <w:b/>
          <w:bCs/>
          <w:color w:val="000000"/>
          <w:sz w:val="28"/>
          <w:szCs w:val="28"/>
          <w:highlight w:val="none"/>
        </w:rPr>
      </w:r>
      <w:r/>
    </w:p>
    <w:p>
      <w:pPr>
        <w:pStyle w:val="770"/>
        <w:numPr>
          <w:ilvl w:val="0"/>
          <w:numId w:val="12"/>
        </w:num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*年*月*日收到施工单位（***********责任有限公司）资料：</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文件2、投标文件3、建设施工合同4、中标通知书5、结算书（未盖章）6、竣工图若干（缺少部分竣工图）7、变更单、签证单、核价资料若干（是否齐全审核过程中查证）8、工程量计算式9、合同电子版10、中标通知书。</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二、目前仍缺少以下资料，请尽快提供：</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bookmarkStart w:id="313" w:name="_Toc24901"/>
      <w:r/>
      <w:bookmarkStart w:id="314" w:name="_Toc163380931"/>
      <w:r>
        <w:rPr>
          <w:rFonts w:hint="eastAsia" w:ascii="宋体" w:hAnsi="宋体" w:cs="宋体"/>
          <w:color w:val="000000"/>
          <w:sz w:val="24"/>
          <w:szCs w:val="24"/>
          <w:highlight w:val="none"/>
        </w:rPr>
        <w:t xml:space="preserve">2.；</w:t>
      </w:r>
      <w:bookmarkEnd w:id="313"/>
      <w:r/>
      <w:bookmarkEnd w:id="314"/>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******有限公司</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（签章）</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bookmarkStart w:id="315" w:name="_Toc8088"/>
      <w:r>
        <w:rPr>
          <w:rFonts w:hint="eastAsia" w:ascii="宋体" w:hAnsi="宋体" w:cs="宋体"/>
          <w:color w:val="000000"/>
          <w:sz w:val="24"/>
          <w:szCs w:val="24"/>
          <w:highlight w:val="none"/>
        </w:rPr>
        <w:br w:type="page" w:clear="all"/>
      </w:r>
      <w:bookmarkStart w:id="316" w:name="_Toc163380932"/>
      <w:r>
        <w:rPr>
          <w:rFonts w:hint="eastAsia" w:ascii="宋体" w:hAnsi="宋体" w:cs="宋体"/>
          <w:b/>
          <w:color w:val="000000"/>
          <w:sz w:val="24"/>
          <w:szCs w:val="24"/>
          <w:highlight w:val="none"/>
        </w:rPr>
        <w:t xml:space="preserve">附件3</w:t>
      </w:r>
      <w:bookmarkEnd w:id="315"/>
      <w:r/>
      <w:bookmarkEnd w:id="316"/>
      <w:r>
        <w:rPr>
          <w:rFonts w:hint="eastAsia" w:ascii="宋体" w:hAnsi="宋体" w:cs="宋体"/>
          <w:b/>
          <w:color w:val="000000"/>
          <w:sz w:val="24"/>
          <w:szCs w:val="24"/>
          <w:highlight w:val="none"/>
        </w:rPr>
      </w:r>
      <w:r/>
    </w:p>
    <w:tbl>
      <w:tblPr>
        <w:tblW w:w="86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40"/>
        <w:gridCol w:w="795"/>
        <w:gridCol w:w="1070"/>
        <w:gridCol w:w="1372"/>
        <w:gridCol w:w="1265"/>
        <w:gridCol w:w="2616"/>
      </w:tblGrid>
      <w:tr>
        <w:trPr>
          <w:trHeight w:val="585"/>
        </w:trPr>
        <w:tc>
          <w:tcPr>
            <w:gridSpan w:val="7"/>
            <w:tcW w:w="8693" w:type="dxa"/>
            <w:vAlign w:val="center"/>
            <w:textDirection w:val="lrTb"/>
            <w:noWrap w:val="false"/>
          </w:tcPr>
          <w:p>
            <w:pPr>
              <w:pStyle w:val="77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某某工程结算审计工作计划及人员配置表（模板）</w:t>
            </w:r>
            <w:r>
              <w:rPr>
                <w:rFonts w:hint="eastAsia" w:ascii="宋体" w:hAnsi="宋体" w:cs="宋体"/>
                <w:b/>
                <w:bCs/>
                <w:color w:val="000000"/>
                <w:sz w:val="24"/>
                <w:szCs w:val="24"/>
                <w:highlight w:val="none"/>
              </w:rPr>
            </w:r>
            <w:r/>
          </w:p>
        </w:tc>
      </w:tr>
      <w:tr>
        <w:trPr>
          <w:trHeight w:val="600"/>
        </w:trPr>
        <w:tc>
          <w:tcPr>
            <w:gridSpan w:val="2"/>
            <w:tcW w:w="157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gridSpan w:val="4"/>
            <w:tcW w:w="4502"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某某工程</w:t>
            </w:r>
            <w:r>
              <w:rPr>
                <w:rFonts w:hint="eastAsia" w:ascii="宋体" w:hAnsi="宋体" w:cs="宋体"/>
                <w:color w:val="000000"/>
                <w:sz w:val="24"/>
                <w:szCs w:val="24"/>
                <w:highlight w:val="none"/>
              </w:rPr>
            </w:r>
            <w:r/>
          </w:p>
        </w:tc>
        <w:tc>
          <w:tcPr>
            <w:tcW w:w="2616"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某某咨询单位（盖章）</w:t>
            </w:r>
            <w:r>
              <w:rPr>
                <w:rFonts w:hint="eastAsia" w:ascii="宋体" w:hAnsi="宋体" w:cs="宋体"/>
                <w:color w:val="000000"/>
                <w:sz w:val="24"/>
                <w:szCs w:val="24"/>
                <w:highlight w:val="none"/>
              </w:rPr>
            </w:r>
            <w:r/>
          </w:p>
        </w:tc>
      </w:tr>
      <w:tr>
        <w:trPr>
          <w:trHeight w:val="600"/>
        </w:trPr>
        <w:tc>
          <w:tcPr>
            <w:gridSpan w:val="3"/>
            <w:tcW w:w="2370"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执 业 资 格</w:t>
            </w:r>
            <w:r>
              <w:rPr>
                <w:rFonts w:hint="eastAsia" w:ascii="宋体" w:hAnsi="宋体" w:cs="宋体"/>
                <w:color w:val="000000"/>
                <w:sz w:val="24"/>
                <w:szCs w:val="24"/>
                <w:highlight w:val="none"/>
              </w:rPr>
            </w:r>
            <w:r/>
          </w:p>
        </w:tc>
        <w:tc>
          <w:tcPr>
            <w:tcW w:w="2616"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工作计划</w:t>
            </w:r>
            <w:r>
              <w:rPr>
                <w:rFonts w:hint="eastAsia" w:ascii="宋体" w:hAnsi="宋体" w:cs="宋体"/>
                <w:color w:val="000000"/>
                <w:sz w:val="24"/>
                <w:szCs w:val="24"/>
                <w:highlight w:val="none"/>
              </w:rPr>
            </w:r>
            <w:r/>
          </w:p>
        </w:tc>
      </w:tr>
      <w:tr>
        <w:trPr>
          <w:trHeight w:val="600"/>
        </w:trPr>
        <w:tc>
          <w:tcPr>
            <w:tcW w:w="735" w:type="dxa"/>
            <w:vAlign w:val="center"/>
            <w:vMerge w:val="restart"/>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作业人员</w:t>
            </w:r>
            <w:r>
              <w:rPr>
                <w:rFonts w:hint="eastAsia" w:ascii="宋体" w:hAnsi="宋体" w:cs="宋体"/>
                <w:color w:val="000000"/>
                <w:sz w:val="24"/>
                <w:szCs w:val="24"/>
                <w:highlight w:val="none"/>
              </w:rPr>
            </w:r>
            <w:r/>
          </w:p>
        </w:tc>
        <w:tc>
          <w:tcPr>
            <w:tcW w:w="840" w:type="dxa"/>
            <w:vAlign w:val="center"/>
            <w:vMerge w:val="restart"/>
            <w:textDirection w:val="tbRlV"/>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专业工程师</w:t>
            </w: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restart"/>
            <w:textDirection w:val="lrTb"/>
            <w:noWrap w:val="false"/>
          </w:tcPr>
          <w:p>
            <w:pPr>
              <w:pStyle w:val="77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70" w:type="dxa"/>
            <w:vAlign w:val="center"/>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restart"/>
            <w:textDirection w:val="tbRlV"/>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助理人员</w:t>
            </w: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00"/>
        </w:trPr>
        <w:tc>
          <w:tcPr>
            <w:tcW w:w="735" w:type="dxa"/>
            <w:vAlign w:val="center"/>
            <w:vMerge w:val="continue"/>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40" w:type="dxa"/>
            <w:vAlign w:val="center"/>
            <w:vMerge w:val="continue"/>
            <w:textDirection w:val="tbRlV"/>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9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900"/>
        </w:trPr>
        <w:tc>
          <w:tcPr>
            <w:tcW w:w="73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二级复核</w:t>
            </w:r>
            <w:r>
              <w:rPr>
                <w:rFonts w:hint="eastAsia" w:ascii="宋体" w:hAnsi="宋体" w:cs="宋体"/>
                <w:color w:val="000000"/>
                <w:sz w:val="24"/>
                <w:szCs w:val="24"/>
                <w:highlight w:val="none"/>
              </w:rPr>
            </w:r>
            <w:r/>
          </w:p>
        </w:tc>
        <w:tc>
          <w:tcPr>
            <w:gridSpan w:val="2"/>
            <w:tcW w:w="163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rFonts w:hint="eastAsia" w:ascii="宋体" w:hAnsi="宋体" w:cs="宋体"/>
                <w:color w:val="000000"/>
                <w:sz w:val="24"/>
                <w:szCs w:val="24"/>
                <w:highlight w:val="none"/>
              </w:rPr>
            </w:r>
            <w:r/>
          </w:p>
        </w:tc>
        <w:tc>
          <w:tcPr>
            <w:tcW w:w="1070"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631"/>
        </w:trPr>
        <w:tc>
          <w:tcPr>
            <w:tcW w:w="735" w:type="dxa"/>
            <w:vAlign w:val="center"/>
            <w:textDirection w:val="lrTb"/>
            <w:noWrap w:val="false"/>
          </w:tcPr>
          <w:p>
            <w:pPr>
              <w:pStyle w:val="77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三级终审                                                                        </w:t>
            </w:r>
            <w:r>
              <w:rPr>
                <w:rFonts w:hint="eastAsia" w:ascii="宋体" w:hAnsi="宋体" w:cs="宋体"/>
                <w:color w:val="000000"/>
                <w:sz w:val="24"/>
                <w:szCs w:val="24"/>
                <w:highlight w:val="none"/>
              </w:rPr>
            </w:r>
            <w:r/>
          </w:p>
        </w:tc>
        <w:tc>
          <w:tcPr>
            <w:gridSpan w:val="2"/>
            <w:tcW w:w="1635" w:type="dxa"/>
            <w:vAlign w:val="center"/>
            <w:textDirection w:val="lrTb"/>
            <w:noWrap w:val="false"/>
          </w:tcPr>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技术负责人</w:t>
            </w:r>
            <w:r>
              <w:rPr>
                <w:rFonts w:hint="eastAsia" w:ascii="宋体" w:hAnsi="宋体" w:cs="宋体"/>
                <w:color w:val="000000"/>
                <w:sz w:val="24"/>
                <w:szCs w:val="24"/>
                <w:highlight w:val="none"/>
              </w:rPr>
            </w:r>
            <w:r/>
          </w:p>
        </w:tc>
        <w:tc>
          <w:tcPr>
            <w:gridSpan w:val="3"/>
            <w:tcW w:w="3707" w:type="dxa"/>
            <w:vAlign w:val="center"/>
            <w:textDirection w:val="lrTb"/>
            <w:noWrap w:val="false"/>
          </w:tcPr>
          <w:p>
            <w:pPr>
              <w:pStyle w:val="770"/>
              <w:ind w:firstLine="16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16" w:type="dxa"/>
            <w:vAlign w:val="center"/>
            <w:vMerge w:val="continue"/>
            <w:textDirection w:val="lrTb"/>
            <w:noWrap w:val="false"/>
          </w:tcPr>
          <w:p>
            <w:pPr>
              <w:pStyle w:val="77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70"/>
        <w:rPr>
          <w:rFonts w:hint="eastAsia" w:ascii="宋体" w:hAnsi="宋体" w:cs="宋体"/>
          <w:color w:val="000000"/>
          <w:szCs w:val="24"/>
          <w:highlight w:val="none"/>
        </w:rPr>
      </w:pPr>
      <w:r>
        <w:rPr>
          <w:rFonts w:hint="eastAsia" w:ascii="宋体" w:hAnsi="宋体" w:cs="宋体"/>
          <w:color w:val="000000"/>
          <w:szCs w:val="24"/>
          <w:highlight w:val="none"/>
        </w:rPr>
        <w:br w:type="page" w:clear="all"/>
      </w:r>
      <w:r>
        <w:rPr>
          <w:rFonts w:hint="eastAsia" w:ascii="宋体" w:hAnsi="宋体" w:cs="宋体"/>
          <w:color w:val="000000"/>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附件4</w:t>
      </w:r>
      <w:r>
        <w:rPr>
          <w:rFonts w:hint="eastAsia" w:ascii="宋体" w:hAnsi="宋体" w:cs="宋体"/>
          <w:b/>
          <w:color w:val="000000"/>
          <w:sz w:val="24"/>
          <w:szCs w:val="24"/>
          <w:highlight w:val="none"/>
        </w:rPr>
      </w:r>
      <w:r/>
    </w:p>
    <w:tbl>
      <w:tblPr>
        <w:tblW w:w="86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05"/>
        <w:gridCol w:w="2175"/>
        <w:gridCol w:w="932"/>
        <w:gridCol w:w="1590"/>
        <w:gridCol w:w="1410"/>
        <w:gridCol w:w="1252"/>
      </w:tblGrid>
      <w:tr>
        <w:trPr>
          <w:trHeight w:val="615"/>
        </w:trPr>
        <w:tc>
          <w:tcPr>
            <w:gridSpan w:val="6"/>
            <w:tcBorders>
              <w:top w:val="none" w:color="000000" w:sz="4" w:space="0"/>
              <w:left w:val="none" w:color="000000" w:sz="4" w:space="0"/>
              <w:bottom w:val="none" w:color="000000" w:sz="4" w:space="0"/>
              <w:right w:val="none" w:color="000000" w:sz="4" w:space="0"/>
            </w:tcBorders>
            <w:tcW w:w="8664" w:type="dxa"/>
            <w:vAlign w:val="center"/>
            <w:textDirection w:val="lrTb"/>
            <w:noWrap w:val="false"/>
          </w:tcPr>
          <w:p>
            <w:pPr>
              <w:pStyle w:val="770"/>
              <w:jc w:val="center"/>
              <w:spacing w:line="276"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bCs/>
                <w:color w:val="000000"/>
                <w:sz w:val="24"/>
                <w:szCs w:val="24"/>
                <w:highlight w:val="none"/>
              </w:rPr>
              <w:t xml:space="preserve">工  作  联  系  单</w:t>
            </w:r>
            <w:r>
              <w:rPr>
                <w:rFonts w:hint="eastAsia" w:ascii="宋体" w:hAnsi="宋体" w:cs="宋体"/>
                <w:b/>
                <w:color w:val="000000"/>
                <w:sz w:val="24"/>
                <w:szCs w:val="24"/>
                <w:highlight w:val="none"/>
              </w:rPr>
            </w:r>
            <w:r/>
          </w:p>
        </w:tc>
      </w:tr>
      <w:tr>
        <w:trPr>
          <w:trHeight w:val="555"/>
        </w:trPr>
        <w:tc>
          <w:tcPr>
            <w:gridSpan w:val="6"/>
            <w:tcBorders>
              <w:top w:val="none" w:color="000000" w:sz="4" w:space="0"/>
              <w:left w:val="none" w:color="000000" w:sz="4" w:space="0"/>
              <w:bottom w:val="single" w:color="000000" w:sz="4" w:space="0"/>
              <w:right w:val="none" w:color="000000" w:sz="4" w:space="0"/>
            </w:tcBorders>
            <w:tcW w:w="8664" w:type="dxa"/>
            <w:vAlign w:val="center"/>
            <w:textDirection w:val="lrTb"/>
            <w:noWrap w:val="false"/>
          </w:tcPr>
          <w:p>
            <w:pPr>
              <w:pStyle w:val="770"/>
              <w:jc w:val="righ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NO：价【】第XX-MM号</w:t>
            </w:r>
            <w:r>
              <w:rPr>
                <w:rFonts w:hint="eastAsia" w:ascii="宋体" w:hAnsi="宋体" w:cs="宋体"/>
                <w:color w:val="000000"/>
                <w:sz w:val="24"/>
                <w:szCs w:val="24"/>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事由</w:t>
            </w:r>
            <w:r>
              <w:rPr>
                <w:rFonts w:hint="eastAsia" w:ascii="宋体" w:hAnsi="宋体" w:cs="宋体"/>
                <w:color w:val="000000"/>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7359" w:type="dxa"/>
            <w:vAlign w:val="center"/>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主送单位</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pStyle w:val="770"/>
              <w:jc w:val="center"/>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签收人签名及时间</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819"/>
        </w:trPr>
        <w:tc>
          <w:tcPr>
            <w:gridSpan w:val="6"/>
            <w:tcBorders>
              <w:top w:val="none" w:color="000000" w:sz="4" w:space="0"/>
              <w:left w:val="single" w:color="000000" w:sz="4" w:space="0"/>
              <w:bottom w:val="none" w:color="000000" w:sz="4" w:space="0"/>
              <w:right w:val="single" w:color="000000" w:sz="4" w:space="0"/>
            </w:tcBorders>
            <w:tcW w:w="8664" w:type="dxa"/>
            <w:vAlign w:val="top"/>
            <w:vMerge w:val="restart"/>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rPr>
            </w:r>
            <w:r/>
          </w:p>
        </w:tc>
      </w:tr>
      <w:tr>
        <w:trPr>
          <w:trHeight w:val="1819"/>
        </w:trPr>
        <w:tc>
          <w:tcPr>
            <w:tcBorders>
              <w:top w:val="none" w:color="000000" w:sz="4" w:space="0"/>
              <w:left w:val="single" w:color="000000" w:sz="4" w:space="0"/>
              <w:bottom w:val="none" w:color="000000" w:sz="4" w:space="0"/>
              <w:right w:val="none" w:color="000000" w:sz="4" w:space="0"/>
            </w:tcBorders>
            <w:tcW w:w="1305"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75"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932"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90"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410"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52"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819"/>
        </w:trPr>
        <w:tc>
          <w:tcPr>
            <w:tcBorders>
              <w:top w:val="none" w:color="000000" w:sz="4" w:space="0"/>
              <w:left w:val="single" w:color="000000" w:sz="4" w:space="0"/>
              <w:bottom w:val="none" w:color="000000" w:sz="4" w:space="0"/>
              <w:right w:val="none" w:color="000000" w:sz="4" w:space="0"/>
            </w:tcBorders>
            <w:tcW w:w="1305"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75"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932"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90"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410"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52"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819"/>
        </w:trPr>
        <w:tc>
          <w:tcPr>
            <w:tcBorders>
              <w:top w:val="none" w:color="000000" w:sz="4" w:space="0"/>
              <w:left w:val="single" w:color="000000" w:sz="4" w:space="0"/>
              <w:bottom w:val="none" w:color="000000" w:sz="4" w:space="0"/>
              <w:right w:val="none" w:color="000000" w:sz="4" w:space="0"/>
            </w:tcBorders>
            <w:tcW w:w="1305"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75"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932"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590"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410"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4" w:space="0"/>
            </w:tcBorders>
            <w:tcW w:w="1252" w:type="dxa"/>
            <w:vAlign w:val="top"/>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960"/>
        </w:trPr>
        <w:tc>
          <w:tcPr>
            <w:gridSpan w:val="6"/>
            <w:tcBorders>
              <w:top w:val="none" w:color="000000" w:sz="4" w:space="0"/>
              <w:left w:val="single" w:color="000000" w:sz="4" w:space="0"/>
              <w:bottom w:val="none" w:color="000000" w:sz="4" w:space="0"/>
              <w:right w:val="single" w:color="000000" w:sz="4" w:space="0"/>
            </w:tcBorders>
            <w:tcW w:w="8664" w:type="dxa"/>
            <w:vAlign w:val="center"/>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联系单发出人（签章）：</w:t>
            </w:r>
            <w:r>
              <w:rPr>
                <w:rFonts w:hint="eastAsia" w:ascii="宋体" w:hAnsi="宋体" w:cs="宋体"/>
                <w:color w:val="000000"/>
                <w:sz w:val="24"/>
                <w:szCs w:val="24"/>
                <w:highlight w:val="none"/>
              </w:rPr>
            </w:r>
            <w:r/>
          </w:p>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*****************有限公司</w:t>
            </w:r>
            <w:r>
              <w:rPr>
                <w:rFonts w:hint="eastAsia" w:ascii="宋体" w:hAnsi="宋体" w:cs="宋体"/>
                <w:color w:val="000000"/>
                <w:sz w:val="24"/>
                <w:szCs w:val="24"/>
                <w:highlight w:val="none"/>
              </w:rPr>
            </w:r>
            <w:r/>
          </w:p>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108"/>
        </w:trPr>
        <w:tc>
          <w:tcPr>
            <w:gridSpan w:val="6"/>
            <w:tcBorders>
              <w:top w:val="none" w:color="000000" w:sz="4" w:space="0"/>
              <w:left w:val="single" w:color="000000" w:sz="4" w:space="0"/>
              <w:bottom w:val="single" w:color="000000" w:sz="4" w:space="0"/>
              <w:right w:val="single" w:color="000000" w:sz="4" w:space="0"/>
            </w:tcBorders>
            <w:tcW w:w="8664" w:type="dxa"/>
            <w:vAlign w:val="center"/>
            <w:textDirection w:val="lrTb"/>
            <w:noWrap w:val="false"/>
          </w:tcPr>
          <w:p>
            <w:pPr>
              <w:pStyle w:val="770"/>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联系单发出时间： 年   月   日</w:t>
            </w:r>
            <w:r>
              <w:rPr>
                <w:rFonts w:hint="eastAsia" w:ascii="宋体" w:hAnsi="宋体" w:cs="宋体"/>
                <w:color w:val="000000"/>
                <w:sz w:val="24"/>
                <w:szCs w:val="24"/>
                <w:highlight w:val="none"/>
              </w:rPr>
            </w:r>
            <w:r/>
          </w:p>
        </w:tc>
      </w:tr>
    </w:tbl>
    <w:p>
      <w:pPr>
        <w:pStyle w:val="770"/>
        <w:spacing w:line="240" w:lineRule="atLeas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240" w:lineRule="atLeas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rPr>
          <w:rFonts w:hint="eastAsia" w:ascii="宋体" w:hAnsi="宋体" w:cs="宋体"/>
          <w:b/>
          <w:color w:val="000000"/>
          <w:sz w:val="24"/>
          <w:szCs w:val="24"/>
          <w:highlight w:val="none"/>
        </w:rPr>
      </w:pPr>
      <w:r/>
      <w:bookmarkStart w:id="317" w:name="_Toc12874"/>
      <w:r>
        <w:rPr>
          <w:rFonts w:hint="eastAsia" w:ascii="宋体" w:hAnsi="宋体" w:cs="宋体"/>
          <w:color w:val="000000"/>
          <w:sz w:val="28"/>
          <w:szCs w:val="28"/>
          <w:highlight w:val="none"/>
        </w:rPr>
        <w:br w:type="page" w:clear="all"/>
      </w:r>
      <w:bookmarkStart w:id="318" w:name="_Toc163380933"/>
      <w:r>
        <w:rPr>
          <w:rFonts w:hint="eastAsia" w:ascii="宋体" w:hAnsi="宋体" w:cs="宋体"/>
          <w:b/>
          <w:color w:val="000000"/>
          <w:sz w:val="24"/>
          <w:szCs w:val="24"/>
          <w:highlight w:val="none"/>
        </w:rPr>
        <w:t xml:space="preserve">附件5</w:t>
      </w:r>
      <w:bookmarkEnd w:id="317"/>
      <w:r/>
      <w:bookmarkEnd w:id="318"/>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bCs/>
          <w:color w:val="000000"/>
          <w:sz w:val="28"/>
          <w:szCs w:val="28"/>
          <w:highlight w:val="none"/>
        </w:rPr>
      </w:pPr>
      <w:r/>
      <w:bookmarkStart w:id="319" w:name="_Toc163380934"/>
      <w:r/>
      <w:bookmarkStart w:id="320" w:name="_Toc2655"/>
      <w:r>
        <w:rPr>
          <w:rFonts w:hint="eastAsia" w:ascii="宋体" w:hAnsi="宋体" w:cs="宋体"/>
          <w:b/>
          <w:bCs/>
          <w:color w:val="000000"/>
          <w:sz w:val="28"/>
          <w:szCs w:val="28"/>
          <w:highlight w:val="none"/>
        </w:rPr>
        <w:t xml:space="preserve">某某工程结算审核争议清单</w:t>
      </w:r>
      <w:bookmarkEnd w:id="319"/>
      <w:r/>
      <w:bookmarkEnd w:id="320"/>
      <w:r>
        <w:rPr>
          <w:rFonts w:hint="eastAsia" w:ascii="宋体" w:hAnsi="宋体" w:cs="宋体"/>
          <w:b/>
          <w:bCs/>
          <w:color w:val="000000"/>
          <w:sz w:val="28"/>
          <w:szCs w:val="28"/>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结算审计单位：</w:t>
      </w:r>
      <w:r>
        <w:rPr>
          <w:rFonts w:hint="eastAsia" w:ascii="宋体" w:hAnsi="宋体" w:cs="宋体"/>
          <w:color w:val="000000"/>
          <w:sz w:val="24"/>
          <w:szCs w:val="24"/>
          <w:highlight w:val="none"/>
        </w:rPr>
      </w:r>
      <w:r/>
    </w:p>
    <w:p>
      <w:pPr>
        <w:pStyle w:val="77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施工单位：</w:t>
      </w:r>
      <w:r>
        <w:rPr>
          <w:rFonts w:hint="eastAsia" w:ascii="宋体" w:hAnsi="宋体" w:cs="宋体"/>
          <w:color w:val="000000"/>
          <w:sz w:val="24"/>
          <w:szCs w:val="24"/>
          <w:highlight w:val="none"/>
        </w:rPr>
      </w:r>
      <w:r/>
    </w:p>
    <w:tbl>
      <w:tblPr>
        <w:tblW w:w="85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225"/>
        <w:gridCol w:w="2046"/>
        <w:gridCol w:w="2047"/>
        <w:gridCol w:w="1500"/>
      </w:tblGrid>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争议问题</w:t>
            </w: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施工单位意见</w:t>
            </w: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审计单位意见</w:t>
            </w: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争议差额（万元）</w:t>
            </w: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735"/>
        </w:trPr>
        <w:tc>
          <w:tcPr>
            <w:tcW w:w="76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2225"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rPr>
                <w:rFonts w:hint="eastAsia" w:ascii="宋体" w:hAnsi="宋体" w:cs="宋体"/>
                <w:color w:val="000000"/>
                <w:sz w:val="24"/>
                <w:szCs w:val="24"/>
                <w:highlight w:val="none"/>
              </w:rPr>
            </w:r>
            <w:r/>
          </w:p>
        </w:tc>
        <w:tc>
          <w:tcPr>
            <w:tcW w:w="2046"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47"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00" w:type="dxa"/>
            <w:vAlign w:val="center"/>
            <w:textDirection w:val="lrTb"/>
            <w:noWrap w:val="false"/>
          </w:tcPr>
          <w:p>
            <w:pPr>
              <w:pStyle w:val="77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0"/>
        <w:ind w:left="560"/>
        <w:jc w:val="center"/>
        <w:spacing w:line="360" w:lineRule="auto"/>
        <w:rPr>
          <w:rFonts w:hint="eastAsia" w:ascii="宋体" w:hAnsi="宋体" w:cs="宋体"/>
          <w:b/>
          <w:bCs/>
          <w:color w:val="000000"/>
          <w:sz w:val="44"/>
          <w:szCs w:val="44"/>
          <w:highlight w:val="none"/>
          <w:lang w:val="zh-CN"/>
        </w:rPr>
        <w:outlineLvl w:val="0"/>
      </w:pPr>
      <w:r/>
      <w:bookmarkStart w:id="321" w:name="_Toc10117"/>
      <w:r/>
      <w:bookmarkStart w:id="322" w:name="_Toc29650"/>
      <w:r>
        <w:rPr>
          <w:rFonts w:hint="eastAsia" w:ascii="宋体" w:hAnsi="宋体" w:cs="宋体"/>
          <w:b/>
          <w:bCs/>
          <w:color w:val="000000"/>
          <w:sz w:val="44"/>
          <w:szCs w:val="44"/>
          <w:highlight w:val="none"/>
          <w:lang w:val="zh-CN"/>
        </w:rPr>
        <w:t xml:space="preserve">第六章 </w:t>
      </w:r>
      <w:r>
        <w:rPr>
          <w:rFonts w:hint="eastAsia" w:ascii="宋体" w:hAnsi="宋体" w:cs="宋体"/>
          <w:b/>
          <w:bCs/>
          <w:color w:val="000000"/>
          <w:sz w:val="44"/>
          <w:szCs w:val="44"/>
          <w:highlight w:val="none"/>
        </w:rPr>
        <w:t xml:space="preserve">投标文件</w:t>
      </w:r>
      <w:r>
        <w:rPr>
          <w:rFonts w:hint="eastAsia" w:ascii="宋体" w:hAnsi="宋体" w:cs="宋体"/>
          <w:b/>
          <w:bCs/>
          <w:color w:val="000000"/>
          <w:sz w:val="44"/>
          <w:szCs w:val="44"/>
          <w:highlight w:val="none"/>
          <w:lang w:val="zh-CN"/>
        </w:rPr>
        <w:t xml:space="preserve">格式及附件</w:t>
      </w:r>
      <w:bookmarkEnd w:id="58"/>
      <w:r/>
      <w:bookmarkEnd w:id="321"/>
      <w:r/>
      <w:bookmarkEnd w:id="322"/>
      <w:r>
        <w:rPr>
          <w:rFonts w:hint="eastAsia" w:ascii="宋体" w:hAnsi="宋体" w:cs="宋体"/>
          <w:b/>
          <w:bCs/>
          <w:color w:val="000000"/>
          <w:sz w:val="44"/>
          <w:szCs w:val="44"/>
          <w:highlight w:val="none"/>
          <w:lang w:val="zh-CN"/>
        </w:rPr>
      </w:r>
      <w:r/>
    </w:p>
    <w:p>
      <w:pPr>
        <w:pStyle w:val="770"/>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770"/>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770"/>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770"/>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70"/>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70"/>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770"/>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770"/>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770"/>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0"/>
        <w:spacing w:line="360" w:lineRule="auto"/>
        <w:rPr>
          <w:rFonts w:hint="eastAsia" w:ascii="宋体" w:hAnsi="宋体" w:cs="宋体"/>
          <w:b/>
          <w:color w:val="000000"/>
          <w:sz w:val="24"/>
          <w:szCs w:val="24"/>
          <w:highlight w:val="none"/>
          <w:lang w:val="zh-CN"/>
        </w:rPr>
        <w:outlineLvl w:val="1"/>
      </w:pPr>
      <w:r/>
      <w:bookmarkStart w:id="323" w:name="_Toc28254"/>
      <w:r>
        <w:rPr>
          <w:rFonts w:hint="eastAsia" w:ascii="宋体" w:hAnsi="宋体" w:cs="宋体"/>
          <w:b/>
          <w:color w:val="000000"/>
          <w:sz w:val="24"/>
          <w:szCs w:val="24"/>
          <w:highlight w:val="none"/>
          <w:lang w:val="zh-CN"/>
        </w:rPr>
      </w:r>
      <w:r/>
    </w:p>
    <w:p>
      <w:pPr>
        <w:pStyle w:val="770"/>
        <w:spacing w:line="360" w:lineRule="auto"/>
        <w:rPr>
          <w:rFonts w:hint="eastAsia" w:ascii="宋体" w:hAnsi="宋体" w:cs="宋体"/>
          <w:b/>
          <w:color w:val="000000"/>
          <w:sz w:val="24"/>
          <w:szCs w:val="24"/>
          <w:highlight w:val="none"/>
        </w:rPr>
        <w:outlineLvl w:val="1"/>
      </w:pPr>
      <w:r/>
      <w:bookmarkStart w:id="324" w:name="_Toc10918"/>
      <w:r>
        <w:rPr>
          <w:rFonts w:hint="eastAsia" w:ascii="宋体" w:hAnsi="宋体" w:cs="宋体"/>
          <w:b/>
          <w:color w:val="000000"/>
          <w:sz w:val="24"/>
          <w:szCs w:val="24"/>
          <w:highlight w:val="none"/>
          <w:lang w:val="zh-CN"/>
        </w:rPr>
        <w:t xml:space="preserve">附件一、投标申请及声明格式</w:t>
      </w:r>
      <w:bookmarkEnd w:id="323"/>
      <w:r/>
      <w:bookmarkEnd w:id="324"/>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bCs/>
          <w:color w:val="000000"/>
          <w:sz w:val="24"/>
          <w:szCs w:val="24"/>
          <w:highlight w:val="none"/>
        </w:rPr>
      </w:pPr>
      <w:r/>
      <w:bookmarkStart w:id="325" w:name="_Toc30921"/>
      <w:r/>
      <w:bookmarkStart w:id="326" w:name="_Toc32604"/>
      <w:r/>
      <w:bookmarkStart w:id="327" w:name="_Toc4379"/>
      <w:r>
        <w:rPr>
          <w:rFonts w:hint="eastAsia" w:ascii="宋体" w:hAnsi="宋体" w:cs="宋体"/>
          <w:b/>
          <w:bCs/>
          <w:color w:val="000000"/>
          <w:sz w:val="24"/>
          <w:szCs w:val="24"/>
          <w:highlight w:val="none"/>
          <w:lang w:val="zh-CN"/>
        </w:rPr>
        <w:t xml:space="preserve">投标申请及声明</w:t>
      </w:r>
      <w:bookmarkEnd w:id="325"/>
      <w:r/>
      <w:bookmarkEnd w:id="326"/>
      <w:r/>
      <w:bookmarkEnd w:id="327"/>
      <w:r>
        <w:rPr>
          <w:rFonts w:hint="eastAsia" w:ascii="宋体" w:hAnsi="宋体" w:cs="宋体"/>
          <w:b/>
          <w:bCs/>
          <w:color w:val="000000"/>
          <w:sz w:val="24"/>
          <w:szCs w:val="24"/>
          <w:highlight w:val="none"/>
        </w:rPr>
      </w:r>
      <w:r/>
    </w:p>
    <w:p>
      <w:pPr>
        <w:pStyle w:val="1345"/>
        <w:spacing w:line="360" w:lineRule="auto"/>
        <w:rPr>
          <w:rFonts w:hint="eastAsia" w:hAnsi="宋体" w:cs="宋体"/>
          <w:color w:val="000000"/>
          <w:sz w:val="24"/>
          <w:szCs w:val="24"/>
          <w:highlight w:val="none"/>
        </w:rPr>
      </w:pPr>
      <w:r/>
      <w:bookmarkStart w:id="328" w:name="_Toc27899"/>
      <w:r/>
      <w:bookmarkStart w:id="329" w:name="_Toc18647"/>
      <w:r>
        <w:rPr>
          <w:rFonts w:hint="eastAsia" w:hAnsi="宋体" w:cs="宋体"/>
          <w:color w:val="000000"/>
          <w:sz w:val="24"/>
          <w:szCs w:val="24"/>
          <w:highlight w:val="none"/>
          <w:lang w:val="zh-CN"/>
        </w:rPr>
        <w:t xml:space="preserve">致：招标人：</w:t>
      </w:r>
      <w:bookmarkEnd w:id="328"/>
      <w:r/>
      <w:bookmarkEnd w:id="329"/>
      <w:r>
        <w:rPr>
          <w:rFonts w:hint="eastAsia" w:hAnsi="宋体" w:cs="宋体"/>
          <w:color w:val="000000"/>
          <w:sz w:val="24"/>
          <w:szCs w:val="24"/>
          <w:highlight w:val="none"/>
          <w:u w:val="single"/>
          <w:lang w:val="zh-CN"/>
        </w:rPr>
        <w:t xml:space="preserve"> 南京市江北新区公共工程建设中心</w:t>
      </w:r>
      <w:r>
        <w:rPr>
          <w:rFonts w:hint="eastAsia" w:hAnsi="宋体" w:cs="宋体"/>
          <w:color w:val="000000"/>
          <w:sz w:val="24"/>
          <w:szCs w:val="24"/>
          <w:highlight w:val="none"/>
        </w:rPr>
      </w:r>
      <w:r/>
    </w:p>
    <w:p>
      <w:pPr>
        <w:pStyle w:val="1345"/>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   </w:t>
      </w:r>
      <w:bookmarkStart w:id="330" w:name="_Toc9373"/>
      <w:r/>
      <w:bookmarkStart w:id="331"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330"/>
      <w:r/>
      <w:bookmarkEnd w:id="331"/>
      <w:r>
        <w:rPr>
          <w:rFonts w:hint="eastAsia"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我们的结算审计服务费参照苏价服[2014]383号文件”编号12栏收费标准：①基本收费：所有送审合同结算审核的基本收费×投标所报折扣率；②效益收费：核减额的6％的效益收费×投标所报折扣率，</w:t>
      </w:r>
      <w:r>
        <w:rPr>
          <w:rFonts w:hint="eastAsia" w:ascii="宋体" w:hAnsi="宋体" w:cs="宋体"/>
          <w:b/>
          <w:bCs/>
          <w:color w:val="000000"/>
          <w:sz w:val="24"/>
          <w:szCs w:val="24"/>
          <w:highlight w:val="none"/>
          <w:lang w:val="zh-CN"/>
        </w:rPr>
        <w:t xml:space="preserve">我单位报价折扣率为</w:t>
      </w:r>
      <w:r>
        <w:rPr>
          <w:rFonts w:hint="eastAsia" w:ascii="宋体" w:hAnsi="宋体" w:cs="宋体"/>
          <w:b/>
          <w:bCs/>
          <w:color w:val="000000"/>
          <w:sz w:val="24"/>
          <w:szCs w:val="24"/>
          <w:highlight w:val="none"/>
          <w:u w:val="single"/>
          <w:lang w:val="zh-CN"/>
        </w:rPr>
        <w:t xml:space="preserve">    </w:t>
      </w:r>
      <w:r>
        <w:rPr>
          <w:rFonts w:hint="eastAsia" w:ascii="宋体" w:hAnsi="宋体" w:cs="宋体"/>
          <w:b/>
          <w:bCs/>
          <w:color w:val="000000"/>
          <w:sz w:val="24"/>
          <w:szCs w:val="24"/>
          <w:highlight w:val="none"/>
          <w:lang w:val="zh-CN"/>
        </w:rPr>
        <w:t xml:space="preserve">％。</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8、与本投标有关的正式联系方式为：</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770"/>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770"/>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77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770"/>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770"/>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spacing w:line="360" w:lineRule="auto"/>
        <w:rPr>
          <w:rFonts w:hint="eastAsia" w:ascii="宋体" w:hAnsi="宋体" w:cs="宋体"/>
          <w:color w:val="000000"/>
          <w:sz w:val="24"/>
          <w:szCs w:val="24"/>
          <w:highlight w:val="none"/>
        </w:rPr>
        <w:outlineLvl w:val="1"/>
      </w:pPr>
      <w:r/>
      <w:bookmarkStart w:id="332" w:name="_Toc27970"/>
      <w:r/>
      <w:bookmarkStart w:id="333" w:name="_Toc28277"/>
      <w:r>
        <w:rPr>
          <w:rFonts w:hint="eastAsia" w:ascii="宋体" w:hAnsi="宋体" w:cs="宋体"/>
          <w:b/>
          <w:color w:val="000000"/>
          <w:sz w:val="24"/>
          <w:szCs w:val="24"/>
          <w:highlight w:val="none"/>
          <w:lang w:val="zh-CN"/>
        </w:rPr>
        <w:t xml:space="preserve">附件二、法定代表人授权书格式</w:t>
      </w:r>
      <w:bookmarkEnd w:id="332"/>
      <w:r/>
      <w:bookmarkEnd w:id="333"/>
      <w:r>
        <w:rPr>
          <w:rFonts w:hint="eastAsia" w:ascii="宋体" w:hAnsi="宋体" w:cs="宋体"/>
          <w:color w:val="000000"/>
          <w:sz w:val="24"/>
          <w:szCs w:val="24"/>
          <w:highlight w:val="none"/>
        </w:rPr>
      </w:r>
      <w:r/>
    </w:p>
    <w:p>
      <w:pPr>
        <w:pStyle w:val="770"/>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法定代表人授权委托书</w:t>
      </w:r>
      <w:r>
        <w:rPr>
          <w:rFonts w:hint="eastAsia" w:ascii="宋体" w:hAnsi="宋体" w:cs="宋体"/>
          <w:color w:val="000000"/>
          <w:sz w:val="24"/>
          <w:szCs w:val="24"/>
          <w:highlight w:val="none"/>
        </w:rPr>
      </w:r>
      <w:r/>
    </w:p>
    <w:p>
      <w:pPr>
        <w:pStyle w:val="770"/>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 南京市江北新区公共工程建设中心、益嘉新建设咨询（南京）有限公司 ：</w:t>
      </w:r>
      <w:r>
        <w:rPr>
          <w:rFonts w:hint="eastAsia" w:ascii="宋体" w:hAnsi="宋体" w:cs="宋体"/>
          <w:color w:val="000000"/>
          <w:sz w:val="24"/>
          <w:szCs w:val="24"/>
          <w:highlight w:val="none"/>
        </w:rPr>
      </w:r>
      <w:r/>
    </w:p>
    <w:p>
      <w:pPr>
        <w:pStyle w:val="770"/>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104"/>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77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rPr>
        <w:outlineLvl w:val="1"/>
      </w:pPr>
      <w:r/>
      <w:bookmarkStart w:id="334" w:name="_Toc29681"/>
      <w:r/>
      <w:bookmarkStart w:id="335" w:name="_Toc22948"/>
      <w:r>
        <w:rPr>
          <w:rFonts w:hint="eastAsia" w:ascii="宋体" w:hAnsi="宋体" w:cs="宋体"/>
          <w:b/>
          <w:color w:val="000000"/>
          <w:sz w:val="24"/>
          <w:szCs w:val="24"/>
          <w:highlight w:val="none"/>
          <w:lang w:val="zh-CN"/>
        </w:rPr>
        <w:t xml:space="preserve">附件三、开标一览表格式</w:t>
      </w:r>
      <w:bookmarkEnd w:id="334"/>
      <w:r/>
      <w:bookmarkEnd w:id="335"/>
      <w:r>
        <w:rPr>
          <w:rFonts w:hint="eastAsia" w:ascii="宋体" w:hAnsi="宋体" w:cs="宋体"/>
          <w:b/>
          <w:color w:val="000000"/>
          <w:sz w:val="24"/>
          <w:szCs w:val="24"/>
          <w:highlight w:val="none"/>
        </w:rPr>
      </w:r>
      <w:r/>
    </w:p>
    <w:p>
      <w:pPr>
        <w:pStyle w:val="770"/>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开标一览表</w:t>
      </w:r>
      <w:r>
        <w:rPr>
          <w:rFonts w:hint="eastAsia" w:ascii="宋体" w:hAnsi="宋体" w:cs="宋体"/>
          <w:b/>
          <w:bCs/>
          <w:color w:val="000000"/>
          <w:sz w:val="24"/>
          <w:szCs w:val="24"/>
          <w:highlight w:val="none"/>
        </w:rPr>
      </w:r>
      <w:r/>
    </w:p>
    <w:p>
      <w:pPr>
        <w:pStyle w:val="770"/>
        <w:jc w:val="left"/>
        <w:spacing w:line="276"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770"/>
        <w:jc w:val="left"/>
        <w:spacing w:line="276"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9261"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5"/>
        <w:gridCol w:w="2168"/>
        <w:gridCol w:w="1672"/>
        <w:gridCol w:w="995"/>
        <w:gridCol w:w="1612"/>
        <w:gridCol w:w="1139"/>
      </w:tblGrid>
      <w:tr>
        <w:trPr>
          <w:trHeight w:val="576"/>
        </w:trPr>
        <w:tc>
          <w:tcPr>
            <w:tcW w:w="1675" w:type="dxa"/>
            <w:vAlign w:val="center"/>
            <w:textDirection w:val="lrTb"/>
            <w:noWrap w:val="false"/>
          </w:tcPr>
          <w:p>
            <w:pPr>
              <w:pStyle w:val="805"/>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项目名称</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Cs/>
                <w:color w:val="000000"/>
                <w:highlight w:val="none"/>
              </w:rPr>
            </w:r>
            <w:r/>
          </w:p>
        </w:tc>
      </w:tr>
      <w:tr>
        <w:trPr>
          <w:trHeight w:val="531"/>
        </w:trPr>
        <w:tc>
          <w:tcPr>
            <w:tcW w:w="1675" w:type="dxa"/>
            <w:vAlign w:val="center"/>
            <w:textDirection w:val="lrTb"/>
            <w:noWrap w:val="false"/>
          </w:tcPr>
          <w:p>
            <w:pPr>
              <w:pStyle w:val="805"/>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项目编号</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80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39" w:type="dxa"/>
            <w:vAlign w:val="center"/>
            <w:textDirection w:val="lrTb"/>
            <w:noWrap w:val="false"/>
          </w:tcPr>
          <w:p>
            <w:pPr>
              <w:pStyle w:val="80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6"/>
        </w:trPr>
        <w:tc>
          <w:tcPr>
            <w:tcW w:w="1675" w:type="dxa"/>
            <w:vAlign w:val="center"/>
            <w:textDirection w:val="lrTb"/>
            <w:noWrap w:val="false"/>
          </w:tcPr>
          <w:p>
            <w:pPr>
              <w:pStyle w:val="805"/>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投标报价</w:t>
            </w:r>
            <w:r>
              <w:rPr>
                <w:rFonts w:hint="eastAsia" w:ascii="宋体" w:hAnsi="宋体" w:eastAsia="宋体" w:cs="宋体"/>
                <w:bCs/>
                <w:color w:val="000000"/>
                <w:highlight w:val="none"/>
              </w:rPr>
            </w:r>
            <w:r/>
          </w:p>
        </w:tc>
        <w:tc>
          <w:tcPr>
            <w:gridSpan w:val="4"/>
            <w:tcW w:w="6447" w:type="dxa"/>
            <w:vAlign w:val="center"/>
            <w:textDirection w:val="lrTb"/>
            <w:noWrap w:val="false"/>
          </w:tcPr>
          <w:p>
            <w:pPr>
              <w:pStyle w:val="805"/>
              <w:ind w:left="-76"/>
              <w:jc w:val="center"/>
              <w:rPr>
                <w:rFonts w:ascii="宋体" w:hAnsi="宋体" w:eastAsia="宋体" w:cs="宋体"/>
                <w:color w:val="000000"/>
                <w:szCs w:val="21"/>
                <w:highlight w:val="none"/>
                <w:lang w:val="en-US" w:eastAsia="zh-CN"/>
              </w:rPr>
            </w:pPr>
            <w:r>
              <w:rPr>
                <w:rFonts w:hint="eastAsia" w:ascii="宋体" w:hAnsi="宋体" w:eastAsia="宋体" w:cs="宋体"/>
                <w:b/>
                <w:bCs w:val="0"/>
                <w:color w:val="0000ff"/>
                <w:highlight w:val="none"/>
                <w:lang w:val="en-US" w:eastAsia="zh-CN"/>
              </w:rPr>
              <w:t xml:space="preserve">优惠率</w:t>
            </w:r>
            <w:r>
              <w:rPr>
                <w:rFonts w:hint="eastAsia" w:ascii="宋体" w:hAnsi="宋体" w:eastAsia="宋体" w:cs="宋体"/>
                <w:b/>
                <w:bCs w:val="0"/>
                <w:color w:val="0000ff"/>
                <w:highlight w:val="none"/>
                <w:u w:val="single"/>
                <w:lang w:val="zh-CN"/>
              </w:rPr>
              <w:t xml:space="preserve">    </w:t>
            </w:r>
            <w:r>
              <w:rPr>
                <w:rFonts w:hint="eastAsia" w:ascii="宋体" w:hAnsi="宋体" w:eastAsia="宋体" w:cs="宋体"/>
                <w:b/>
                <w:bCs w:val="0"/>
                <w:color w:val="0000ff"/>
                <w:highlight w:val="none"/>
                <w:lang w:val="zh-CN"/>
              </w:rPr>
              <w:t xml:space="preserve">％</w:t>
            </w:r>
            <w:r>
              <w:rPr>
                <w:rFonts w:ascii="宋体" w:hAnsi="宋体" w:eastAsia="宋体" w:cs="宋体"/>
                <w:color w:val="000000"/>
                <w:szCs w:val="21"/>
                <w:highlight w:val="none"/>
                <w:lang w:val="en-US" w:eastAsia="zh-CN"/>
              </w:rPr>
            </w:r>
            <w:r/>
          </w:p>
        </w:tc>
        <w:tc>
          <w:tcPr>
            <w:tcW w:w="1139" w:type="dxa"/>
            <w:vAlign w:val="center"/>
            <w:textDirection w:val="lrTb"/>
            <w:noWrap w:val="false"/>
          </w:tcPr>
          <w:p>
            <w:pPr>
              <w:pStyle w:val="80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4"/>
        </w:trPr>
        <w:tc>
          <w:tcPr>
            <w:tcW w:w="1675" w:type="dxa"/>
            <w:vAlign w:val="center"/>
            <w:vMerge w:val="restart"/>
            <w:textDirection w:val="lrTb"/>
            <w:noWrap w:val="false"/>
          </w:tcPr>
          <w:p>
            <w:pPr>
              <w:pStyle w:val="805"/>
              <w:ind w:left="1" w:hanging="1"/>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项目负责人</w:t>
            </w:r>
            <w:r>
              <w:rPr>
                <w:rFonts w:hint="eastAsia" w:ascii="宋体" w:hAnsi="宋体" w:eastAsia="宋体" w:cs="宋体"/>
                <w:bCs/>
                <w:color w:val="000000"/>
                <w:highlight w:val="none"/>
              </w:rPr>
            </w:r>
            <w:r/>
          </w:p>
        </w:tc>
        <w:tc>
          <w:tcPr>
            <w:tcW w:w="2168"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姓名</w:t>
            </w:r>
            <w:r>
              <w:rPr>
                <w:rFonts w:hint="eastAsia" w:ascii="宋体" w:hAnsi="宋体" w:eastAsia="宋体" w:cs="宋体"/>
                <w:bCs/>
                <w:color w:val="000000"/>
                <w:highlight w:val="none"/>
              </w:rPr>
            </w:r>
            <w:r/>
          </w:p>
        </w:tc>
        <w:tc>
          <w:tcPr>
            <w:tcW w:w="1672"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995" w:type="dxa"/>
            <w:vAlign w:val="center"/>
            <w:textDirection w:val="lrTb"/>
            <w:noWrap w:val="false"/>
          </w:tcPr>
          <w:p>
            <w:pPr>
              <w:pStyle w:val="805"/>
              <w:ind w:left="-58"/>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职称</w:t>
            </w:r>
            <w:r>
              <w:rPr>
                <w:rFonts w:hint="eastAsia" w:ascii="宋体" w:hAnsi="宋体" w:eastAsia="宋体" w:cs="宋体"/>
                <w:bCs/>
                <w:color w:val="000000"/>
                <w:highlight w:val="none"/>
              </w:rPr>
            </w:r>
            <w:r/>
          </w:p>
        </w:tc>
        <w:tc>
          <w:tcPr>
            <w:tcW w:w="1612"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restart"/>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W w:w="1675"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168"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执业资格</w:t>
            </w:r>
            <w:r>
              <w:rPr>
                <w:rFonts w:hint="eastAsia" w:ascii="宋体" w:hAnsi="宋体" w:eastAsia="宋体" w:cs="宋体"/>
                <w:bCs/>
                <w:color w:val="000000"/>
                <w:highlight w:val="none"/>
              </w:rPr>
            </w:r>
            <w:r/>
          </w:p>
        </w:tc>
        <w:tc>
          <w:tcPr>
            <w:gridSpan w:val="3"/>
            <w:tcW w:w="4279"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W w:w="1675"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168"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执业资格证书编号</w:t>
            </w:r>
            <w:r>
              <w:rPr>
                <w:rFonts w:hint="eastAsia" w:ascii="宋体" w:hAnsi="宋体" w:eastAsia="宋体" w:cs="宋体"/>
                <w:bCs/>
                <w:color w:val="000000"/>
                <w:highlight w:val="none"/>
              </w:rPr>
            </w:r>
            <w:r/>
          </w:p>
        </w:tc>
        <w:tc>
          <w:tcPr>
            <w:gridSpan w:val="3"/>
            <w:tcW w:w="4279"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W w:w="1675"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168"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其他工程类注册资格证书</w:t>
            </w:r>
            <w:r>
              <w:rPr>
                <w:rFonts w:hint="eastAsia" w:ascii="宋体" w:hAnsi="宋体" w:eastAsia="宋体" w:cs="宋体"/>
                <w:bCs/>
                <w:color w:val="000000"/>
                <w:highlight w:val="none"/>
              </w:rPr>
            </w:r>
            <w:r/>
          </w:p>
        </w:tc>
        <w:tc>
          <w:tcPr>
            <w:gridSpan w:val="3"/>
            <w:tcW w:w="4279"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W w:w="1675"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168"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gridSpan w:val="3"/>
            <w:tcW w:w="4279"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tcW w:w="1675"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168"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证书编号</w:t>
            </w:r>
            <w:r>
              <w:rPr>
                <w:rFonts w:hint="eastAsia" w:ascii="宋体" w:hAnsi="宋体" w:eastAsia="宋体" w:cs="宋体"/>
                <w:bCs/>
                <w:color w:val="000000"/>
                <w:highlight w:val="none"/>
              </w:rPr>
            </w:r>
            <w:r/>
          </w:p>
        </w:tc>
        <w:tc>
          <w:tcPr>
            <w:gridSpan w:val="3"/>
            <w:tcW w:w="4279"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139"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3843" w:type="dxa"/>
            <w:vAlign w:val="center"/>
            <w:textDirection w:val="lrTb"/>
            <w:noWrap w:val="false"/>
          </w:tcPr>
          <w:p>
            <w:pPr>
              <w:pStyle w:val="770"/>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是否全部属于小微型企业服务</w:t>
            </w:r>
            <w:r>
              <w:rPr>
                <w:rFonts w:hint="eastAsia" w:ascii="宋体" w:hAnsi="宋体" w:cs="宋体"/>
                <w:color w:val="000000"/>
                <w:sz w:val="21"/>
                <w:szCs w:val="21"/>
                <w:highlight w:val="none"/>
                <w:lang w:val="en-US" w:eastAsia="zh-CN" w:bidi="ar-SA"/>
              </w:rPr>
            </w:r>
            <w:r/>
          </w:p>
        </w:tc>
        <w:tc>
          <w:tcPr>
            <w:gridSpan w:val="4"/>
            <w:tcW w:w="5418" w:type="dxa"/>
            <w:vAlign w:val="center"/>
            <w:textDirection w:val="lrTb"/>
            <w:noWrap w:val="false"/>
          </w:tcPr>
          <w:p>
            <w:pPr>
              <w:pStyle w:val="770"/>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 w:val="21"/>
                <w:szCs w:val="21"/>
                <w:highlight w:val="none"/>
                <w:lang w:val="en-US" w:eastAsia="zh-CN" w:bidi="ar-SA"/>
              </w:rPr>
            </w:r>
            <w:r/>
          </w:p>
        </w:tc>
      </w:tr>
      <w:tr>
        <w:trPr>
          <w:trHeight w:val="454"/>
        </w:trPr>
        <w:tc>
          <w:tcPr>
            <w:gridSpan w:val="2"/>
            <w:tcW w:w="3843" w:type="dxa"/>
            <w:vAlign w:val="center"/>
            <w:textDirection w:val="lrTb"/>
            <w:noWrap w:val="false"/>
          </w:tcPr>
          <w:p>
            <w:pPr>
              <w:pStyle w:val="770"/>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是否全部属于残疾人福利性单位服务</w:t>
            </w:r>
            <w:r>
              <w:rPr>
                <w:rFonts w:hint="eastAsia" w:ascii="宋体" w:hAnsi="宋体" w:cs="宋体"/>
                <w:color w:val="000000"/>
                <w:sz w:val="21"/>
                <w:szCs w:val="21"/>
                <w:highlight w:val="none"/>
                <w:lang w:val="en-US" w:eastAsia="zh-CN" w:bidi="ar-SA"/>
              </w:rPr>
            </w:r>
            <w:r/>
          </w:p>
        </w:tc>
        <w:tc>
          <w:tcPr>
            <w:gridSpan w:val="4"/>
            <w:tcW w:w="5418" w:type="dxa"/>
            <w:vAlign w:val="center"/>
            <w:textDirection w:val="lrTb"/>
            <w:noWrap w:val="false"/>
          </w:tcPr>
          <w:p>
            <w:pPr>
              <w:pStyle w:val="770"/>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 w:val="21"/>
                <w:szCs w:val="21"/>
                <w:highlight w:val="none"/>
                <w:lang w:val="en-US" w:eastAsia="zh-CN" w:bidi="ar-SA"/>
              </w:rPr>
            </w:r>
            <w:r/>
          </w:p>
        </w:tc>
      </w:tr>
      <w:tr>
        <w:trPr>
          <w:trHeight w:val="454"/>
        </w:trPr>
        <w:tc>
          <w:tcPr>
            <w:gridSpan w:val="2"/>
            <w:tcW w:w="3843" w:type="dxa"/>
            <w:vAlign w:val="center"/>
            <w:textDirection w:val="lrTb"/>
            <w:noWrap w:val="false"/>
          </w:tcPr>
          <w:p>
            <w:pPr>
              <w:pStyle w:val="770"/>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是否全部属于监狱企业服务</w:t>
            </w:r>
            <w:r>
              <w:rPr>
                <w:rFonts w:hint="eastAsia" w:ascii="宋体" w:hAnsi="宋体" w:cs="宋体"/>
                <w:color w:val="000000"/>
                <w:sz w:val="21"/>
                <w:szCs w:val="21"/>
                <w:highlight w:val="none"/>
                <w:lang w:val="en-US" w:eastAsia="zh-CN" w:bidi="ar-SA"/>
              </w:rPr>
            </w:r>
            <w:r/>
          </w:p>
        </w:tc>
        <w:tc>
          <w:tcPr>
            <w:gridSpan w:val="4"/>
            <w:tcW w:w="5418" w:type="dxa"/>
            <w:vAlign w:val="center"/>
            <w:textDirection w:val="lrTb"/>
            <w:noWrap w:val="false"/>
          </w:tcPr>
          <w:p>
            <w:pPr>
              <w:pStyle w:val="770"/>
              <w:jc w:val="center"/>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 w:val="21"/>
                <w:szCs w:val="21"/>
                <w:highlight w:val="none"/>
                <w:lang w:val="en-US" w:eastAsia="zh-CN" w:bidi="ar-SA"/>
              </w:rPr>
            </w:r>
            <w:r/>
          </w:p>
        </w:tc>
      </w:tr>
    </w:tbl>
    <w:p>
      <w:pPr>
        <w:pStyle w:val="77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770"/>
        <w:ind w:firstLine="420"/>
        <w:jc w:val="left"/>
        <w:spacing w:line="276"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rPr>
        <w:t xml:space="preserve">、在“投标货物中有无进口产品”栏后“有”或“无”上打“√”。</w:t>
      </w:r>
      <w:r>
        <w:rPr>
          <w:rFonts w:hint="eastAsia" w:ascii="宋体" w:hAnsi="宋体" w:eastAsia="宋体" w:cs="宋体"/>
          <w:color w:val="000000"/>
          <w:szCs w:val="21"/>
          <w:highlight w:val="none"/>
          <w:lang w:val="zh-CN"/>
        </w:rPr>
      </w:r>
      <w:r/>
    </w:p>
    <w:p>
      <w:pPr>
        <w:pStyle w:val="770"/>
        <w:ind w:firstLine="420"/>
        <w:jc w:val="left"/>
        <w:spacing w:line="276"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、在“供应商是否属于小和微型企业”栏后“是”或“否”上打“√”。</w:t>
      </w:r>
      <w:r>
        <w:rPr>
          <w:rFonts w:hint="eastAsia" w:ascii="宋体" w:hAnsi="宋体" w:eastAsia="宋体" w:cs="宋体"/>
          <w:color w:val="000000"/>
          <w:szCs w:val="21"/>
          <w:highlight w:val="none"/>
          <w:lang w:val="zh-CN"/>
        </w:rPr>
      </w:r>
      <w:r/>
    </w:p>
    <w:p>
      <w:pPr>
        <w:pStyle w:val="770"/>
        <w:ind w:firstLine="420"/>
        <w:jc w:val="left"/>
        <w:spacing w:line="276"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、在“供应商是否属于残疾人福利性单位”栏后“是”或“否”上打“√”。</w:t>
      </w:r>
      <w:r>
        <w:rPr>
          <w:rFonts w:hint="eastAsia" w:ascii="宋体" w:hAnsi="宋体" w:eastAsia="宋体" w:cs="宋体"/>
          <w:color w:val="000000"/>
          <w:szCs w:val="21"/>
          <w:highlight w:val="none"/>
          <w:lang w:val="zh-CN"/>
        </w:rPr>
      </w:r>
      <w:r/>
    </w:p>
    <w:p>
      <w:pPr>
        <w:pStyle w:val="770"/>
        <w:ind w:firstLine="420"/>
        <w:jc w:val="left"/>
        <w:spacing w:line="276"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、在“供应商是否属于监狱企业”栏后“是”或“否”上打“√”。</w:t>
      </w:r>
      <w:r>
        <w:rPr>
          <w:rFonts w:hint="eastAsia" w:ascii="宋体" w:hAnsi="宋体" w:eastAsia="宋体" w:cs="宋体"/>
          <w:color w:val="000000"/>
          <w:szCs w:val="21"/>
          <w:highlight w:val="none"/>
          <w:lang w:val="zh-CN"/>
        </w:rPr>
      </w:r>
      <w:r/>
    </w:p>
    <w:p>
      <w:pPr>
        <w:pStyle w:val="770"/>
        <w:ind w:firstLine="420"/>
        <w:jc w:val="left"/>
        <w:spacing w:line="276"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、以上报价均参照《省物价局省住房和城乡建设厅关于规范工程造价咨询服务收费标准及有关事项的通知》（苏价服【2014】383号）收费标准。</w:t>
      </w:r>
      <w:r>
        <w:rPr>
          <w:rFonts w:hint="eastAsia" w:ascii="宋体" w:hAnsi="宋体" w:eastAsia="宋体" w:cs="宋体"/>
          <w:color w:val="000000"/>
          <w:szCs w:val="21"/>
          <w:highlight w:val="none"/>
          <w:lang w:val="zh-CN"/>
        </w:rPr>
      </w:r>
      <w:r/>
    </w:p>
    <w:p>
      <w:pPr>
        <w:pStyle w:val="770"/>
        <w:ind w:firstLine="420"/>
        <w:jc w:val="left"/>
        <w:spacing w:line="276" w:lineRule="auto"/>
        <w:widowControl/>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6、投标人应充分考虑项目需求，进行折扣率报价。由于苏采云系统的报价为固定格式，本项目采用苏采云系统中“优惠率”进行报价，优惠率=100%-折扣率。</w:t>
      </w:r>
      <w:r>
        <w:rPr>
          <w:rFonts w:hint="eastAsia" w:ascii="宋体" w:hAnsi="宋体" w:eastAsia="宋体" w:cs="宋体"/>
          <w:b/>
          <w:bCs/>
          <w:color w:val="0000ff"/>
          <w:szCs w:val="21"/>
          <w:highlight w:val="none"/>
          <w:lang w:val="en-US" w:eastAsia="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highlight w:val="none"/>
        </w:rPr>
        <w:outlineLvl w:val="1"/>
      </w:pPr>
      <w:r/>
      <w:bookmarkStart w:id="336" w:name="_Toc10499"/>
      <w:r/>
      <w:bookmarkStart w:id="337" w:name="_Toc22965"/>
      <w:r>
        <w:rPr>
          <w:rFonts w:hint="eastAsia" w:ascii="宋体" w:hAnsi="宋体" w:cs="宋体"/>
          <w:b/>
          <w:color w:val="000000"/>
          <w:sz w:val="24"/>
          <w:szCs w:val="24"/>
          <w:highlight w:val="none"/>
          <w:lang w:val="zh-CN"/>
        </w:rPr>
        <w:t xml:space="preserve">附件四、</w:t>
      </w:r>
      <w:bookmarkEnd w:id="336"/>
      <w:r>
        <w:rPr>
          <w:rFonts w:hint="eastAsia" w:ascii="宋体" w:hAnsi="宋体" w:cs="宋体"/>
          <w:b/>
          <w:color w:val="000000"/>
          <w:sz w:val="24"/>
          <w:highlight w:val="none"/>
        </w:rPr>
        <w:t xml:space="preserve">分项报价表格式</w:t>
      </w:r>
      <w:bookmarkEnd w:id="337"/>
      <w:r>
        <w:rPr>
          <w:rFonts w:hint="eastAsia" w:ascii="宋体" w:hAnsi="宋体" w:cs="宋体"/>
          <w:b/>
          <w:color w:val="000000"/>
          <w:sz w:val="24"/>
          <w:highlight w:val="none"/>
        </w:rPr>
      </w:r>
      <w:r/>
    </w:p>
    <w:p>
      <w:pPr>
        <w:pStyle w:val="770"/>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32"/>
          <w:szCs w:val="32"/>
          <w:highlight w:val="none"/>
        </w:rPr>
        <w:t xml:space="preserve">分项报价表</w:t>
      </w:r>
      <w:r>
        <w:rPr>
          <w:rFonts w:hint="eastAsia" w:ascii="宋体" w:hAnsi="宋体" w:cs="宋体"/>
          <w:b/>
          <w:color w:val="000000"/>
          <w:sz w:val="24"/>
          <w:highlight w:val="none"/>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9393"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
        <w:gridCol w:w="1540"/>
        <w:gridCol w:w="2370"/>
        <w:gridCol w:w="1605"/>
        <w:gridCol w:w="995"/>
        <w:gridCol w:w="1612"/>
        <w:gridCol w:w="1262"/>
      </w:tblGrid>
      <w:tr>
        <w:trPr>
          <w:trHeight w:val="796"/>
        </w:trPr>
        <w:tc>
          <w:tcPr>
            <w:gridSpan w:val="2"/>
            <w:tcW w:w="1540" w:type="dxa"/>
            <w:vAlign w:val="center"/>
            <w:textDirection w:val="lrTb"/>
            <w:noWrap w:val="false"/>
          </w:tcPr>
          <w:p>
            <w:pPr>
              <w:pStyle w:val="805"/>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项目名称</w:t>
            </w:r>
            <w:r>
              <w:rPr>
                <w:rFonts w:hint="eastAsia" w:ascii="宋体" w:hAnsi="宋体" w:eastAsia="宋体" w:cs="宋体"/>
                <w:bCs/>
                <w:color w:val="000000"/>
                <w:highlight w:val="none"/>
              </w:rPr>
            </w:r>
            <w:r/>
          </w:p>
        </w:tc>
        <w:tc>
          <w:tcPr>
            <w:gridSpan w:val="4"/>
            <w:tcW w:w="6582"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262"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Cs/>
                <w:color w:val="000000"/>
                <w:highlight w:val="none"/>
              </w:rPr>
            </w:r>
            <w:r/>
          </w:p>
        </w:tc>
      </w:tr>
      <w:tr>
        <w:trPr>
          <w:trHeight w:val="796"/>
        </w:trPr>
        <w:tc>
          <w:tcPr>
            <w:gridSpan w:val="2"/>
            <w:tcW w:w="1540" w:type="dxa"/>
            <w:vAlign w:val="center"/>
            <w:textDirection w:val="lrTb"/>
            <w:noWrap w:val="false"/>
          </w:tcPr>
          <w:p>
            <w:pPr>
              <w:pStyle w:val="805"/>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项目编号</w:t>
            </w:r>
            <w:r>
              <w:rPr>
                <w:rFonts w:hint="eastAsia" w:ascii="宋体" w:hAnsi="宋体" w:eastAsia="宋体" w:cs="宋体"/>
                <w:bCs/>
                <w:color w:val="000000"/>
                <w:highlight w:val="none"/>
              </w:rPr>
            </w:r>
            <w:r/>
          </w:p>
        </w:tc>
        <w:tc>
          <w:tcPr>
            <w:gridSpan w:val="4"/>
            <w:tcW w:w="6582" w:type="dxa"/>
            <w:vAlign w:val="center"/>
            <w:textDirection w:val="lrTb"/>
            <w:noWrap w:val="false"/>
          </w:tcPr>
          <w:p>
            <w:pPr>
              <w:pStyle w:val="80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2" w:type="dxa"/>
            <w:vAlign w:val="center"/>
            <w:textDirection w:val="lrTb"/>
            <w:noWrap w:val="false"/>
          </w:tcPr>
          <w:p>
            <w:pPr>
              <w:pStyle w:val="80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479"/>
        </w:trPr>
        <w:tc>
          <w:tcPr>
            <w:gridSpan w:val="2"/>
            <w:tcW w:w="1540" w:type="dxa"/>
            <w:vAlign w:val="center"/>
            <w:textDirection w:val="lrTb"/>
            <w:noWrap w:val="false"/>
          </w:tcPr>
          <w:p>
            <w:pPr>
              <w:pStyle w:val="805"/>
              <w:ind w:left="-76"/>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投标报价</w:t>
            </w:r>
            <w:r>
              <w:rPr>
                <w:rFonts w:hint="eastAsia" w:ascii="宋体" w:hAnsi="宋体" w:eastAsia="宋体" w:cs="宋体"/>
                <w:bCs/>
                <w:color w:val="000000"/>
                <w:highlight w:val="none"/>
              </w:rPr>
            </w:r>
            <w:r/>
          </w:p>
        </w:tc>
        <w:tc>
          <w:tcPr>
            <w:gridSpan w:val="4"/>
            <w:tcW w:w="6582" w:type="dxa"/>
            <w:vAlign w:val="center"/>
            <w:textDirection w:val="lrTb"/>
            <w:noWrap w:val="false"/>
          </w:tcPr>
          <w:p>
            <w:pPr>
              <w:pStyle w:val="770"/>
              <w:keepLines w:val="0"/>
              <w:keepNext w:val="0"/>
              <w:pageBreakBefore w:val="0"/>
              <w:spacing w:line="360" w:lineRule="auto"/>
              <w:widowControl w:val="off"/>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结算审计服务费参照苏价服[2014]383号文件”收费标准：</w:t>
            </w:r>
            <w:r>
              <w:rPr>
                <w:rFonts w:hint="eastAsia" w:ascii="宋体" w:hAnsi="宋体" w:cs="宋体"/>
                <w:b w:val="0"/>
                <w:bCs w:val="0"/>
                <w:color w:val="000000"/>
                <w:szCs w:val="21"/>
                <w:highlight w:val="none"/>
                <w:lang w:val="zh-CN"/>
              </w:rPr>
            </w:r>
            <w:r/>
          </w:p>
          <w:p>
            <w:pPr>
              <w:pStyle w:val="770"/>
              <w:keepLines w:val="0"/>
              <w:keepNext w:val="0"/>
              <w:pageBreakBefore w:val="0"/>
              <w:spacing w:line="360" w:lineRule="auto"/>
              <w:widowControl w:val="off"/>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①基本收费：所有送审合同结算审核的基本收费×投标所报折扣率；</w:t>
            </w:r>
            <w:r>
              <w:rPr>
                <w:rFonts w:hint="eastAsia" w:ascii="宋体" w:hAnsi="宋体" w:cs="宋体"/>
                <w:b w:val="0"/>
                <w:bCs w:val="0"/>
                <w:color w:val="000000"/>
                <w:szCs w:val="21"/>
                <w:highlight w:val="none"/>
                <w:lang w:val="zh-CN"/>
              </w:rPr>
            </w:r>
            <w:r/>
          </w:p>
          <w:p>
            <w:pPr>
              <w:pStyle w:val="770"/>
              <w:keepLines w:val="0"/>
              <w:keepNext w:val="0"/>
              <w:pageBreakBefore w:val="0"/>
              <w:spacing w:line="360" w:lineRule="auto"/>
              <w:widowControl w:val="off"/>
              <w:rPr>
                <w:rFonts w:hint="eastAsia" w:ascii="宋体" w:hAnsi="宋体" w:cs="宋体"/>
                <w:b w:val="0"/>
                <w:bCs w:val="0"/>
                <w:color w:val="000000"/>
                <w:szCs w:val="21"/>
                <w:highlight w:val="none"/>
                <w:lang w:val="zh-CN"/>
              </w:rPr>
            </w:pPr>
            <w:r>
              <w:rPr>
                <w:rFonts w:hint="eastAsia" w:ascii="宋体" w:hAnsi="宋体" w:cs="宋体"/>
                <w:b w:val="0"/>
                <w:bCs w:val="0"/>
                <w:color w:val="000000"/>
                <w:szCs w:val="21"/>
                <w:highlight w:val="none"/>
                <w:lang w:val="zh-CN"/>
              </w:rPr>
              <w:t xml:space="preserve">②效益收费：核减额的6％的效益收费×投标所报折扣率；</w:t>
            </w:r>
            <w:r>
              <w:rPr>
                <w:rFonts w:hint="eastAsia" w:ascii="宋体" w:hAnsi="宋体" w:cs="宋体"/>
                <w:b w:val="0"/>
                <w:bCs w:val="0"/>
                <w:color w:val="000000"/>
                <w:szCs w:val="21"/>
                <w:highlight w:val="none"/>
                <w:lang w:val="zh-CN"/>
              </w:rPr>
            </w:r>
            <w:r/>
          </w:p>
          <w:p>
            <w:pPr>
              <w:pStyle w:val="77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val="0"/>
                <w:bCs w:val="0"/>
                <w:color w:val="000000"/>
                <w:szCs w:val="21"/>
                <w:highlight w:val="none"/>
                <w:lang w:val="zh-CN"/>
              </w:rPr>
              <w:t xml:space="preserve">我单位报价</w:t>
            </w:r>
            <w:r>
              <w:rPr>
                <w:rFonts w:hint="eastAsia" w:ascii="宋体" w:hAnsi="宋体" w:cs="宋体"/>
                <w:b w:val="0"/>
                <w:bCs w:val="0"/>
                <w:color w:val="000000"/>
                <w:szCs w:val="21"/>
                <w:highlight w:val="none"/>
                <w:lang w:val="en-US" w:eastAsia="zh-CN"/>
              </w:rPr>
              <w:t xml:space="preserve">折扣率</w:t>
            </w:r>
            <w:r>
              <w:rPr>
                <w:rFonts w:hint="eastAsia" w:ascii="宋体" w:hAnsi="宋体" w:cs="宋体"/>
                <w:b w:val="0"/>
                <w:bCs w:val="0"/>
                <w:color w:val="000000"/>
                <w:szCs w:val="21"/>
                <w:highlight w:val="none"/>
                <w:lang w:val="zh-CN"/>
              </w:rPr>
              <w:t xml:space="preserve">为</w:t>
            </w:r>
            <w:r>
              <w:rPr>
                <w:rFonts w:hint="eastAsia" w:ascii="宋体" w:hAnsi="宋体" w:cs="宋体"/>
                <w:b w:val="0"/>
                <w:bCs w:val="0"/>
                <w:color w:val="000000"/>
                <w:szCs w:val="21"/>
                <w:highlight w:val="none"/>
                <w:u w:val="single"/>
                <w:lang w:val="zh-CN"/>
              </w:rPr>
              <w:t xml:space="preserve">    </w:t>
            </w:r>
            <w:r>
              <w:rPr>
                <w:rFonts w:hint="eastAsia" w:ascii="宋体" w:hAnsi="宋体" w:cs="宋体"/>
                <w:b w:val="0"/>
                <w:bCs w:val="0"/>
                <w:color w:val="000000"/>
                <w:szCs w:val="21"/>
                <w:highlight w:val="none"/>
                <w:u w:val="none"/>
                <w:lang w:val="zh-CN"/>
              </w:rPr>
              <w:t xml:space="preserve">％</w:t>
            </w:r>
            <w:r>
              <w:rPr>
                <w:rFonts w:hint="eastAsia" w:ascii="宋体" w:hAnsi="宋体" w:cs="宋体"/>
                <w:b w:val="0"/>
                <w:bCs w:val="0"/>
                <w:color w:val="000000"/>
                <w:szCs w:val="21"/>
                <w:highlight w:val="none"/>
                <w:lang w:val="zh-CN"/>
              </w:rPr>
              <w:t xml:space="preserve">。</w:t>
            </w:r>
            <w:r>
              <w:rPr>
                <w:rFonts w:hint="eastAsia" w:ascii="宋体" w:hAnsi="宋体" w:cs="宋体"/>
                <w:color w:val="000000"/>
                <w:szCs w:val="21"/>
                <w:highlight w:val="none"/>
              </w:rPr>
            </w:r>
            <w:r/>
          </w:p>
        </w:tc>
        <w:tc>
          <w:tcPr>
            <w:tcW w:w="1262" w:type="dxa"/>
            <w:vAlign w:val="center"/>
            <w:textDirection w:val="lrTb"/>
            <w:noWrap w:val="false"/>
          </w:tcPr>
          <w:p>
            <w:pPr>
              <w:pStyle w:val="805"/>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4"/>
        </w:trPr>
        <w:tc>
          <w:tcPr>
            <w:gridSpan w:val="2"/>
            <w:tcW w:w="1540" w:type="dxa"/>
            <w:vAlign w:val="center"/>
            <w:vMerge w:val="restart"/>
            <w:textDirection w:val="lrTb"/>
            <w:noWrap w:val="false"/>
          </w:tcPr>
          <w:p>
            <w:pPr>
              <w:pStyle w:val="805"/>
              <w:ind w:left="1" w:hanging="1"/>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项目负责人</w:t>
            </w:r>
            <w:r>
              <w:rPr>
                <w:rFonts w:hint="eastAsia" w:ascii="宋体" w:hAnsi="宋体" w:eastAsia="宋体" w:cs="宋体"/>
                <w:bCs/>
                <w:color w:val="000000"/>
                <w:highlight w:val="none"/>
              </w:rPr>
            </w:r>
            <w:r/>
          </w:p>
        </w:tc>
        <w:tc>
          <w:tcPr>
            <w:tcW w:w="2370"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姓名</w:t>
            </w:r>
            <w:r>
              <w:rPr>
                <w:rFonts w:hint="eastAsia" w:ascii="宋体" w:hAnsi="宋体" w:eastAsia="宋体" w:cs="宋体"/>
                <w:bCs/>
                <w:color w:val="000000"/>
                <w:highlight w:val="none"/>
              </w:rPr>
            </w:r>
            <w:r/>
          </w:p>
        </w:tc>
        <w:tc>
          <w:tcPr>
            <w:tcW w:w="1605"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995" w:type="dxa"/>
            <w:vAlign w:val="center"/>
            <w:textDirection w:val="lrTb"/>
            <w:noWrap w:val="false"/>
          </w:tcPr>
          <w:p>
            <w:pPr>
              <w:pStyle w:val="805"/>
              <w:ind w:left="-58"/>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职称</w:t>
            </w:r>
            <w:r>
              <w:rPr>
                <w:rFonts w:hint="eastAsia" w:ascii="宋体" w:hAnsi="宋体" w:eastAsia="宋体" w:cs="宋体"/>
                <w:bCs/>
                <w:color w:val="000000"/>
                <w:highlight w:val="none"/>
              </w:rPr>
            </w:r>
            <w:r/>
          </w:p>
        </w:tc>
        <w:tc>
          <w:tcPr>
            <w:tcW w:w="1612" w:type="dxa"/>
            <w:vAlign w:val="center"/>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262" w:type="dxa"/>
            <w:vAlign w:val="center"/>
            <w:vMerge w:val="restart"/>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540"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370"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执业资格</w:t>
            </w:r>
            <w:r>
              <w:rPr>
                <w:rFonts w:hint="eastAsia" w:ascii="宋体" w:hAnsi="宋体" w:eastAsia="宋体" w:cs="宋体"/>
                <w:bCs/>
                <w:color w:val="000000"/>
                <w:highlight w:val="none"/>
              </w:rPr>
            </w:r>
            <w:r/>
          </w:p>
        </w:tc>
        <w:tc>
          <w:tcPr>
            <w:gridSpan w:val="3"/>
            <w:tcW w:w="4212"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262"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540"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370"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执业资格证书编号</w:t>
            </w:r>
            <w:r>
              <w:rPr>
                <w:rFonts w:hint="eastAsia" w:ascii="宋体" w:hAnsi="宋体" w:eastAsia="宋体" w:cs="宋体"/>
                <w:bCs/>
                <w:color w:val="000000"/>
                <w:highlight w:val="none"/>
              </w:rPr>
            </w:r>
            <w:r/>
          </w:p>
        </w:tc>
        <w:tc>
          <w:tcPr>
            <w:gridSpan w:val="3"/>
            <w:tcW w:w="4212"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262"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540"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370"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其他工程类注册资格证书</w:t>
            </w:r>
            <w:r>
              <w:rPr>
                <w:rFonts w:hint="eastAsia" w:ascii="宋体" w:hAnsi="宋体" w:eastAsia="宋体" w:cs="宋体"/>
                <w:bCs/>
                <w:color w:val="000000"/>
                <w:highlight w:val="none"/>
              </w:rPr>
            </w:r>
            <w:r/>
          </w:p>
        </w:tc>
        <w:tc>
          <w:tcPr>
            <w:gridSpan w:val="3"/>
            <w:tcW w:w="4212"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262"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trPr>
        <w:tc>
          <w:tcPr>
            <w:gridSpan w:val="2"/>
            <w:tcW w:w="1540" w:type="dxa"/>
            <w:vAlign w:val="center"/>
            <w:vMerge w:val="continue"/>
            <w:textDirection w:val="lrTb"/>
            <w:noWrap w:val="false"/>
          </w:tcPr>
          <w:p>
            <w:pPr>
              <w:pStyle w:val="805"/>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2370" w:type="dxa"/>
            <w:vAlign w:val="center"/>
            <w:textDirection w:val="lrTb"/>
            <w:noWrap w:val="false"/>
          </w:tcPr>
          <w:p>
            <w:pPr>
              <w:pStyle w:val="805"/>
              <w:ind w:left="-9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证书编号</w:t>
            </w:r>
            <w:r>
              <w:rPr>
                <w:rFonts w:hint="eastAsia" w:ascii="宋体" w:hAnsi="宋体" w:eastAsia="宋体" w:cs="宋体"/>
                <w:bCs/>
                <w:color w:val="000000"/>
                <w:highlight w:val="none"/>
              </w:rPr>
            </w:r>
            <w:r/>
          </w:p>
        </w:tc>
        <w:tc>
          <w:tcPr>
            <w:gridSpan w:val="3"/>
            <w:tcW w:w="4212" w:type="dxa"/>
            <w:vAlign w:val="center"/>
            <w:textDirection w:val="lrTb"/>
            <w:noWrap w:val="false"/>
          </w:tcPr>
          <w:p>
            <w:pPr>
              <w:pStyle w:val="805"/>
              <w:ind w:left="-149"/>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W w:w="1262" w:type="dxa"/>
            <w:vAlign w:val="center"/>
            <w:vMerge w:val="continue"/>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714"/>
        </w:trPr>
        <w:tc>
          <w:tcPr>
            <w:gridSpan w:val="3"/>
            <w:tcW w:w="3919" w:type="dxa"/>
            <w:vAlign w:val="center"/>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是否全部属于小微型企业服务</w:t>
            </w:r>
            <w:r>
              <w:rPr>
                <w:rFonts w:hint="eastAsia" w:ascii="宋体" w:hAnsi="宋体" w:cs="宋体"/>
                <w:color w:val="000000"/>
                <w:szCs w:val="21"/>
                <w:highlight w:val="none"/>
              </w:rPr>
            </w:r>
            <w:r/>
          </w:p>
        </w:tc>
        <w:tc>
          <w:tcPr>
            <w:gridSpan w:val="4"/>
            <w:tcW w:w="5474" w:type="dxa"/>
            <w:vAlign w:val="center"/>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r>
        <w:trPr>
          <w:trHeight w:val="687"/>
        </w:trPr>
        <w:tc>
          <w:tcPr>
            <w:gridSpan w:val="3"/>
            <w:tcW w:w="3919" w:type="dxa"/>
            <w:vAlign w:val="center"/>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是否全部属于残疾人福利性单位服务</w:t>
            </w:r>
            <w:r>
              <w:rPr>
                <w:rFonts w:hint="eastAsia" w:ascii="宋体" w:hAnsi="宋体" w:cs="宋体"/>
                <w:color w:val="000000"/>
                <w:szCs w:val="21"/>
                <w:highlight w:val="none"/>
              </w:rPr>
            </w:r>
            <w:r/>
          </w:p>
        </w:tc>
        <w:tc>
          <w:tcPr>
            <w:gridSpan w:val="4"/>
            <w:tcW w:w="5474" w:type="dxa"/>
            <w:vAlign w:val="center"/>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r>
        <w:trPr>
          <w:trHeight w:val="633"/>
        </w:trPr>
        <w:tc>
          <w:tcPr>
            <w:gridSpan w:val="3"/>
            <w:tcW w:w="3919" w:type="dxa"/>
            <w:vAlign w:val="center"/>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是否全部属于监狱企业服务</w:t>
            </w:r>
            <w:r>
              <w:rPr>
                <w:rFonts w:hint="eastAsia" w:ascii="宋体" w:hAnsi="宋体" w:cs="宋体"/>
                <w:color w:val="000000"/>
                <w:szCs w:val="21"/>
                <w:highlight w:val="none"/>
              </w:rPr>
            </w:r>
            <w:r/>
          </w:p>
        </w:tc>
        <w:tc>
          <w:tcPr>
            <w:gridSpan w:val="4"/>
            <w:tcW w:w="5474" w:type="dxa"/>
            <w:vAlign w:val="center"/>
            <w:textDirection w:val="lrTb"/>
            <w:noWrap w:val="false"/>
          </w:tcPr>
          <w:p>
            <w:pPr>
              <w:pStyle w:val="770"/>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是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             否 </w:t>
            </w: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r>
            <w:r/>
          </w:p>
        </w:tc>
      </w:tr>
    </w:tbl>
    <w:p>
      <w:pPr>
        <w:pStyle w:val="77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7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加盖电子公章</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77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日期：年  月 日</w:t>
      </w:r>
      <w:r>
        <w:rPr>
          <w:rFonts w:hint="eastAsia" w:ascii="宋体" w:hAnsi="宋体" w:cs="宋体"/>
          <w:color w:val="000000"/>
          <w:sz w:val="24"/>
          <w:highlight w:val="none"/>
        </w:rPr>
      </w:r>
      <w:r/>
    </w:p>
    <w:p>
      <w:pPr>
        <w:pStyle w:val="77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70"/>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color w:val="000000"/>
          <w:sz w:val="24"/>
          <w:highlight w:val="none"/>
        </w:rPr>
        <w:outlineLvl w:val="1"/>
      </w:pPr>
      <w:r/>
      <w:bookmarkStart w:id="338" w:name="_Toc29918"/>
      <w:r/>
      <w:bookmarkStart w:id="339" w:name="_Toc9298"/>
      <w:r>
        <w:rPr>
          <w:rFonts w:hint="eastAsia" w:ascii="宋体" w:hAnsi="宋体" w:cs="宋体"/>
          <w:b/>
          <w:color w:val="000000"/>
          <w:sz w:val="24"/>
          <w:szCs w:val="24"/>
          <w:highlight w:val="none"/>
          <w:lang w:val="zh-CN"/>
        </w:rPr>
        <w:t xml:space="preserve">附件五、</w:t>
      </w:r>
      <w:bookmarkEnd w:id="338"/>
      <w:r>
        <w:rPr>
          <w:rFonts w:hint="eastAsia" w:ascii="宋体" w:hAnsi="宋体" w:cs="宋体"/>
          <w:b/>
          <w:color w:val="000000"/>
          <w:sz w:val="24"/>
          <w:highlight w:val="none"/>
        </w:rPr>
        <w:t xml:space="preserve">商务条款偏离表格式</w:t>
      </w:r>
      <w:bookmarkEnd w:id="339"/>
      <w:r>
        <w:rPr>
          <w:rFonts w:hint="eastAsia" w:ascii="宋体" w:hAnsi="宋体" w:cs="宋体"/>
          <w:color w:val="000000"/>
          <w:sz w:val="24"/>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商务条款偏离表</w:t>
      </w:r>
      <w:r>
        <w:rPr>
          <w:rFonts w:hint="eastAsia" w:ascii="宋体" w:hAnsi="宋体" w:cs="宋体"/>
          <w:b/>
          <w:color w:val="000000"/>
          <w:sz w:val="32"/>
          <w:szCs w:val="32"/>
          <w:highlight w:val="none"/>
        </w:rPr>
      </w:r>
      <w:r/>
    </w:p>
    <w:tbl>
      <w:tblPr>
        <w:tblW w:w="9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0"/>
        <w:gridCol w:w="2700"/>
        <w:gridCol w:w="1415"/>
        <w:gridCol w:w="1337"/>
        <w:gridCol w:w="1372"/>
      </w:tblGrid>
      <w:tr>
        <w:trPr>
          <w:trHeight w:val="284"/>
          <w:tblHeader/>
        </w:trPr>
        <w:tc>
          <w:tcPr>
            <w:gridSpan w:val="4"/>
            <w:tcW w:w="6516" w:type="dxa"/>
            <w:vAlign w:val="center"/>
            <w:textDirection w:val="lrTb"/>
            <w:noWrap w:val="false"/>
          </w:tcPr>
          <w:p>
            <w:pPr>
              <w:pStyle w:val="770"/>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gridSpan w:val="2"/>
            <w:tcW w:w="2709" w:type="dxa"/>
            <w:vAlign w:val="center"/>
            <w:textDirection w:val="lrTb"/>
            <w:noWrap w:val="false"/>
          </w:tcPr>
          <w:p>
            <w:pPr>
              <w:pStyle w:val="770"/>
              <w:spacing w:line="4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项目编号：</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lang w:val="en-US" w:eastAsia="zh-CN"/>
              </w:rPr>
              <w:t xml:space="preserve">      </w:t>
            </w:r>
            <w:r>
              <w:rPr>
                <w:rFonts w:ascii="宋体" w:hAnsi="宋体" w:eastAsia="宋体" w:cs="宋体"/>
                <w:color w:val="000000"/>
                <w:sz w:val="24"/>
                <w:highlight w:val="none"/>
                <w:lang w:val="en-US" w:eastAsia="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序号</w:t>
            </w:r>
            <w:r>
              <w:rPr>
                <w:rFonts w:hint="eastAsia" w:ascii="宋体" w:hAnsi="宋体" w:cs="宋体"/>
                <w:b/>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招标文件条目号</w:t>
            </w:r>
            <w:r>
              <w:rPr>
                <w:rFonts w:hint="eastAsia" w:ascii="宋体" w:hAnsi="宋体" w:cs="宋体"/>
                <w:b/>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招标文件要求的商务条款</w:t>
            </w:r>
            <w:r>
              <w:rPr>
                <w:rFonts w:hint="eastAsia" w:ascii="宋体" w:hAnsi="宋体" w:cs="宋体"/>
                <w:b/>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w:t>
            </w:r>
            <w:r>
              <w:rPr>
                <w:rFonts w:hint="eastAsia" w:ascii="宋体" w:hAnsi="宋体" w:cs="宋体"/>
                <w:b/>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偏离</w:t>
            </w:r>
            <w:r>
              <w:rPr>
                <w:rFonts w:hint="eastAsia" w:ascii="宋体" w:hAnsi="宋体" w:cs="宋体"/>
                <w:b/>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说明：如果行数不够，请自行增加。</w:t>
      </w: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70"/>
        <w:spacing w:line="360" w:lineRule="auto"/>
        <w:widowControl/>
        <w:rPr>
          <w:rFonts w:hint="eastAsia" w:ascii="宋体" w:hAnsi="宋体" w:cs="宋体"/>
          <w:b/>
          <w:color w:val="000000"/>
          <w:sz w:val="24"/>
          <w:highlight w:val="none"/>
        </w:rPr>
        <w:outlineLvl w:val="1"/>
      </w:pPr>
      <w:r/>
      <w:bookmarkStart w:id="340" w:name="_Toc15556"/>
      <w:r/>
      <w:bookmarkStart w:id="341" w:name="_Toc29950"/>
      <w:r>
        <w:rPr>
          <w:rFonts w:hint="eastAsia" w:ascii="宋体" w:hAnsi="宋体" w:cs="宋体"/>
          <w:b/>
          <w:color w:val="000000"/>
          <w:sz w:val="24"/>
          <w:szCs w:val="24"/>
          <w:highlight w:val="none"/>
          <w:lang w:val="zh-CN"/>
        </w:rPr>
        <w:t xml:space="preserve">附件六、</w:t>
      </w:r>
      <w:bookmarkEnd w:id="340"/>
      <w:r>
        <w:rPr>
          <w:rFonts w:hint="eastAsia" w:ascii="宋体" w:hAnsi="宋体" w:cs="宋体"/>
          <w:b/>
          <w:color w:val="000000"/>
          <w:sz w:val="24"/>
          <w:highlight w:val="none"/>
        </w:rPr>
        <w:t xml:space="preserve">技术条款偏离表格式</w:t>
      </w:r>
      <w:bookmarkEnd w:id="341"/>
      <w:r>
        <w:rPr>
          <w:rFonts w:hint="eastAsia" w:ascii="宋体" w:hAnsi="宋体" w:cs="宋体"/>
          <w:b/>
          <w:color w:val="000000"/>
          <w:sz w:val="24"/>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技术条款偏离表</w:t>
      </w:r>
      <w:r>
        <w:rPr>
          <w:rFonts w:hint="eastAsia" w:ascii="宋体" w:hAnsi="宋体" w:cs="宋体"/>
          <w:b/>
          <w:color w:val="000000"/>
          <w:sz w:val="32"/>
          <w:szCs w:val="32"/>
          <w:highlight w:val="none"/>
        </w:rPr>
      </w:r>
      <w:r/>
    </w:p>
    <w:tbl>
      <w:tblPr>
        <w:tblW w:w="9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0"/>
        <w:gridCol w:w="2700"/>
        <w:gridCol w:w="1415"/>
        <w:gridCol w:w="1337"/>
        <w:gridCol w:w="1372"/>
      </w:tblGrid>
      <w:tr>
        <w:trPr>
          <w:trHeight w:val="284"/>
          <w:tblHeader/>
        </w:trPr>
        <w:tc>
          <w:tcPr>
            <w:gridSpan w:val="4"/>
            <w:tcW w:w="6516" w:type="dxa"/>
            <w:vAlign w:val="center"/>
            <w:textDirection w:val="lrTb"/>
            <w:noWrap w:val="false"/>
          </w:tcPr>
          <w:p>
            <w:pPr>
              <w:pStyle w:val="770"/>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gridSpan w:val="2"/>
            <w:tcW w:w="2709" w:type="dxa"/>
            <w:vAlign w:val="center"/>
            <w:textDirection w:val="lrTb"/>
            <w:noWrap w:val="false"/>
          </w:tcPr>
          <w:p>
            <w:pPr>
              <w:pStyle w:val="770"/>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b/>
                <w:color w:val="000000"/>
                <w:sz w:val="24"/>
                <w:highlight w:val="none"/>
                <w:u w:val="single"/>
                <w:lang w:val="zh-CN"/>
              </w:rPr>
              <w:t xml:space="preserve">          </w:t>
            </w: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序号</w:t>
            </w:r>
            <w:r>
              <w:rPr>
                <w:rFonts w:hint="eastAsia" w:ascii="宋体" w:hAnsi="宋体" w:cs="宋体"/>
                <w:b/>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招标文件条目号</w:t>
            </w:r>
            <w:r>
              <w:rPr>
                <w:rFonts w:hint="eastAsia" w:ascii="宋体" w:hAnsi="宋体" w:cs="宋体"/>
                <w:b/>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招标文件要求的商务条款</w:t>
            </w:r>
            <w:r>
              <w:rPr>
                <w:rFonts w:hint="eastAsia" w:ascii="宋体" w:hAnsi="宋体" w:cs="宋体"/>
                <w:b/>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投标响应</w:t>
            </w:r>
            <w:r>
              <w:rPr>
                <w:rFonts w:hint="eastAsia" w:ascii="宋体" w:hAnsi="宋体" w:cs="宋体"/>
                <w:b/>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偏离</w:t>
            </w:r>
            <w:r>
              <w:rPr>
                <w:rFonts w:hint="eastAsia" w:ascii="宋体" w:hAnsi="宋体" w:cs="宋体"/>
                <w:b/>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767"/>
        </w:trPr>
        <w:tc>
          <w:tcPr>
            <w:tcW w:w="651"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750"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2700"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2752"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72" w:type="dxa"/>
            <w:vAlign w:val="center"/>
            <w:textDirection w:val="lrTb"/>
            <w:noWrap w:val="false"/>
          </w:tcPr>
          <w:p>
            <w:pPr>
              <w:pStyle w:val="77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说明：如果行数不够，请自行增加。</w:t>
      </w: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highlight w:val="none"/>
        </w:rPr>
        <w:outlineLvl w:val="1"/>
      </w:pPr>
      <w:r/>
      <w:bookmarkStart w:id="342" w:name="_Toc23713"/>
      <w:r/>
      <w:bookmarkStart w:id="343" w:name="_Toc32419"/>
      <w:r>
        <w:rPr>
          <w:rFonts w:hint="eastAsia" w:ascii="宋体" w:hAnsi="宋体" w:cs="宋体"/>
          <w:b/>
          <w:color w:val="000000"/>
          <w:sz w:val="24"/>
          <w:szCs w:val="24"/>
          <w:highlight w:val="none"/>
        </w:rPr>
        <w:t xml:space="preserve">附件七、</w:t>
      </w:r>
      <w:bookmarkEnd w:id="342"/>
      <w:r>
        <w:rPr>
          <w:rFonts w:hint="eastAsia" w:ascii="宋体" w:hAnsi="宋体" w:cs="宋体"/>
          <w:b/>
          <w:color w:val="000000"/>
          <w:sz w:val="24"/>
          <w:highlight w:val="none"/>
        </w:rPr>
        <w:t xml:space="preserve">项目组人员一览表</w:t>
      </w:r>
      <w:bookmarkEnd w:id="343"/>
      <w:r>
        <w:rPr>
          <w:rFonts w:hint="eastAsia" w:ascii="宋体" w:hAnsi="宋体" w:cs="宋体"/>
          <w:b/>
          <w:color w:val="000000"/>
          <w:sz w:val="24"/>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项目组人员一览表</w:t>
      </w:r>
      <w:r>
        <w:rPr>
          <w:rFonts w:hint="eastAsia" w:ascii="宋体" w:hAnsi="宋体" w:cs="宋体"/>
          <w:b/>
          <w:color w:val="000000"/>
          <w:sz w:val="32"/>
          <w:szCs w:val="32"/>
          <w:highlight w:val="none"/>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9138"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1152"/>
        <w:gridCol w:w="1688"/>
        <w:gridCol w:w="1207"/>
        <w:gridCol w:w="2212"/>
        <w:gridCol w:w="2351"/>
      </w:tblGrid>
      <w:tr>
        <w:trPr/>
        <w:tc>
          <w:tcPr>
            <w:tcW w:w="528" w:type="dxa"/>
            <w:vAlign w:val="center"/>
            <w:textDirection w:val="lrTb"/>
            <w:noWrap w:val="false"/>
          </w:tcPr>
          <w:p>
            <w:pPr>
              <w:pStyle w:val="770"/>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序号</w:t>
            </w:r>
            <w:r>
              <w:rPr>
                <w:rFonts w:hint="eastAsia" w:ascii="宋体" w:hAnsi="宋体" w:cs="宋体"/>
                <w:b/>
                <w:color w:val="000000"/>
                <w:sz w:val="24"/>
                <w:highlight w:val="none"/>
                <w:lang w:val="zh-CN"/>
              </w:rPr>
            </w:r>
            <w:r/>
          </w:p>
        </w:tc>
        <w:tc>
          <w:tcPr>
            <w:tcW w:w="1152" w:type="dxa"/>
            <w:vAlign w:val="center"/>
            <w:textDirection w:val="lrTb"/>
            <w:noWrap w:val="false"/>
          </w:tcPr>
          <w:p>
            <w:pPr>
              <w:pStyle w:val="770"/>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姓名</w:t>
            </w:r>
            <w:r>
              <w:rPr>
                <w:rFonts w:hint="eastAsia" w:ascii="宋体" w:hAnsi="宋体" w:cs="宋体"/>
                <w:b/>
                <w:color w:val="000000"/>
                <w:sz w:val="24"/>
                <w:highlight w:val="none"/>
                <w:lang w:val="zh-CN"/>
              </w:rPr>
            </w:r>
            <w:r/>
          </w:p>
        </w:tc>
        <w:tc>
          <w:tcPr>
            <w:tcW w:w="1688" w:type="dxa"/>
            <w:vAlign w:val="center"/>
            <w:textDirection w:val="lrTb"/>
            <w:noWrap w:val="false"/>
          </w:tcPr>
          <w:p>
            <w:pPr>
              <w:pStyle w:val="770"/>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在本项目中担任的职务</w:t>
            </w:r>
            <w:r>
              <w:rPr>
                <w:rFonts w:hint="eastAsia" w:ascii="宋体" w:hAnsi="宋体" w:cs="宋体"/>
                <w:b/>
                <w:color w:val="000000"/>
                <w:sz w:val="24"/>
                <w:highlight w:val="none"/>
                <w:lang w:val="zh-CN"/>
              </w:rPr>
            </w:r>
            <w:r/>
          </w:p>
        </w:tc>
        <w:tc>
          <w:tcPr>
            <w:tcW w:w="1207" w:type="dxa"/>
            <w:vAlign w:val="center"/>
            <w:textDirection w:val="lrTb"/>
            <w:noWrap w:val="false"/>
          </w:tcPr>
          <w:p>
            <w:pPr>
              <w:pStyle w:val="770"/>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资格证书/职称</w:t>
            </w:r>
            <w:r>
              <w:rPr>
                <w:rFonts w:hint="eastAsia" w:ascii="宋体" w:hAnsi="宋体" w:cs="宋体"/>
                <w:b/>
                <w:color w:val="000000"/>
                <w:sz w:val="24"/>
                <w:highlight w:val="none"/>
                <w:lang w:val="zh-CN"/>
              </w:rPr>
            </w:r>
            <w:r/>
          </w:p>
        </w:tc>
        <w:tc>
          <w:tcPr>
            <w:tcW w:w="2212" w:type="dxa"/>
            <w:vAlign w:val="center"/>
            <w:textDirection w:val="lrTb"/>
            <w:noWrap w:val="false"/>
          </w:tcPr>
          <w:p>
            <w:pPr>
              <w:pStyle w:val="770"/>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身份证号码</w:t>
            </w:r>
            <w:r>
              <w:rPr>
                <w:rFonts w:hint="eastAsia" w:ascii="宋体" w:hAnsi="宋体" w:cs="宋体"/>
                <w:b/>
                <w:color w:val="000000"/>
                <w:sz w:val="24"/>
                <w:highlight w:val="none"/>
                <w:lang w:val="zh-CN"/>
              </w:rPr>
            </w:r>
            <w:r/>
          </w:p>
        </w:tc>
        <w:tc>
          <w:tcPr>
            <w:tcW w:w="2351" w:type="dxa"/>
            <w:vAlign w:val="center"/>
            <w:textDirection w:val="lrTb"/>
            <w:noWrap w:val="false"/>
          </w:tcPr>
          <w:p>
            <w:pPr>
              <w:pStyle w:val="770"/>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主要资历、经验及承担过的项目</w:t>
            </w:r>
            <w:r>
              <w:rPr>
                <w:rFonts w:hint="eastAsia" w:ascii="宋体" w:hAnsi="宋体" w:cs="宋体"/>
                <w:b/>
                <w:color w:val="000000"/>
                <w:sz w:val="24"/>
                <w:highlight w:val="none"/>
                <w:lang w:val="zh-CN"/>
              </w:rPr>
            </w:r>
            <w:r/>
          </w:p>
        </w:tc>
      </w:tr>
      <w:tr>
        <w:trPr>
          <w:trHeight w:val="588"/>
        </w:trPr>
        <w:tc>
          <w:tcPr>
            <w:tcW w:w="52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lang w:val="zh-CN"/>
              </w:rPr>
            </w:r>
            <w:r/>
          </w:p>
        </w:tc>
        <w:tc>
          <w:tcPr>
            <w:tcW w:w="115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项目负责人</w:t>
            </w:r>
            <w:r>
              <w:rPr>
                <w:rFonts w:hint="eastAsia" w:ascii="宋体" w:hAnsi="宋体" w:cs="宋体"/>
                <w:color w:val="000000"/>
                <w:sz w:val="24"/>
                <w:highlight w:val="none"/>
                <w:lang w:val="zh-CN"/>
              </w:rPr>
            </w:r>
            <w:r/>
          </w:p>
        </w:tc>
        <w:tc>
          <w:tcPr>
            <w:tcW w:w="12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lang w:val="zh-CN"/>
              </w:rPr>
            </w:r>
            <w:r/>
          </w:p>
        </w:tc>
        <w:tc>
          <w:tcPr>
            <w:tcW w:w="115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cs="宋体"/>
                <w:color w:val="000000"/>
                <w:sz w:val="24"/>
                <w:highlight w:val="none"/>
                <w:lang w:val="zh-CN"/>
              </w:rPr>
            </w:r>
            <w:r/>
          </w:p>
        </w:tc>
        <w:tc>
          <w:tcPr>
            <w:tcW w:w="115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lang w:val="zh-CN"/>
              </w:rPr>
            </w:r>
            <w:r/>
          </w:p>
        </w:tc>
        <w:tc>
          <w:tcPr>
            <w:tcW w:w="115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588"/>
        </w:trPr>
        <w:tc>
          <w:tcPr>
            <w:tcW w:w="52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w:t>
            </w:r>
            <w:r>
              <w:rPr>
                <w:rFonts w:hint="eastAsia" w:ascii="宋体" w:hAnsi="宋体" w:cs="宋体"/>
                <w:color w:val="000000"/>
                <w:sz w:val="24"/>
                <w:highlight w:val="none"/>
                <w:lang w:val="zh-CN"/>
              </w:rPr>
            </w:r>
            <w:r/>
          </w:p>
        </w:tc>
        <w:tc>
          <w:tcPr>
            <w:tcW w:w="115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88"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c>
        <w:tc>
          <w:tcPr>
            <w:tcW w:w="12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21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35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bl>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说明：如果行数不够，请自行增加。</w:t>
      </w:r>
      <w:r>
        <w:rPr>
          <w:rFonts w:hint="eastAsia" w:ascii="宋体" w:hAnsi="宋体" w:cs="宋体"/>
          <w:color w:val="000000"/>
          <w:sz w:val="24"/>
          <w:highlight w:val="none"/>
          <w:lang w:val="zh-CN"/>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770"/>
        <w:spacing w:line="360" w:lineRule="auto"/>
        <w:widowControl/>
        <w:rPr>
          <w:rFonts w:hint="eastAsia" w:ascii="宋体" w:hAnsi="宋体" w:cs="宋体"/>
          <w:b/>
          <w:color w:val="000000"/>
          <w:sz w:val="24"/>
          <w:highlight w:val="none"/>
        </w:rPr>
        <w:outlineLvl w:val="1"/>
      </w:pPr>
      <w:r/>
      <w:bookmarkStart w:id="344" w:name="_Toc1827"/>
      <w:r/>
      <w:bookmarkStart w:id="345" w:name="_Toc26767"/>
      <w:r>
        <w:rPr>
          <w:rFonts w:hint="eastAsia" w:ascii="宋体" w:hAnsi="宋体" w:cs="宋体"/>
          <w:b/>
          <w:color w:val="000000"/>
          <w:sz w:val="24"/>
          <w:szCs w:val="24"/>
          <w:highlight w:val="none"/>
        </w:rPr>
        <w:t xml:space="preserve">附件八、</w:t>
      </w:r>
      <w:r>
        <w:rPr>
          <w:rFonts w:hint="eastAsia" w:ascii="宋体" w:hAnsi="宋体" w:cs="宋体"/>
          <w:b/>
          <w:color w:val="000000"/>
          <w:sz w:val="24"/>
          <w:highlight w:val="none"/>
        </w:rPr>
        <w:t xml:space="preserve">参加本项目实施的主要组成人员资历表</w:t>
      </w:r>
      <w:bookmarkEnd w:id="344"/>
      <w:r>
        <w:rPr>
          <w:rFonts w:hint="eastAsia" w:ascii="宋体" w:hAnsi="宋体" w:cs="宋体"/>
          <w:b/>
          <w:color w:val="000000"/>
          <w:sz w:val="24"/>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参加本项目实施的主要组成人员资历表（一人一表）</w:t>
      </w:r>
      <w:r>
        <w:rPr>
          <w:rFonts w:hint="eastAsia" w:ascii="宋体" w:hAnsi="宋体" w:cs="宋体"/>
          <w:b/>
          <w:color w:val="000000"/>
          <w:sz w:val="32"/>
          <w:szCs w:val="32"/>
          <w:highlight w:val="none"/>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p>
      <w:pPr>
        <w:pStyle w:val="77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r>
      <w:r/>
    </w:p>
    <w:tbl>
      <w:tblPr>
        <w:tblW w:w="8643"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392"/>
        <w:gridCol w:w="1542"/>
        <w:gridCol w:w="1447"/>
        <w:gridCol w:w="1165"/>
        <w:gridCol w:w="806"/>
        <w:gridCol w:w="1007"/>
      </w:tblGrid>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姓 名</w:t>
            </w:r>
            <w:r>
              <w:rPr>
                <w:rFonts w:hint="eastAsia" w:ascii="宋体" w:hAnsi="宋体" w:cs="宋体"/>
                <w:color w:val="000000"/>
                <w:sz w:val="24"/>
                <w:highlight w:val="none"/>
                <w:lang w:val="zh-CN"/>
              </w:rPr>
            </w:r>
            <w:r/>
          </w:p>
        </w:tc>
        <w:tc>
          <w:tcPr>
            <w:tcW w:w="139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54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龄</w:t>
            </w:r>
            <w:r>
              <w:rPr>
                <w:rFonts w:hint="eastAsia" w:ascii="宋体" w:hAnsi="宋体" w:cs="宋体"/>
                <w:color w:val="000000"/>
                <w:sz w:val="24"/>
                <w:highlight w:val="none"/>
                <w:lang w:val="zh-CN"/>
              </w:rPr>
            </w:r>
            <w:r/>
          </w:p>
        </w:tc>
        <w:tc>
          <w:tcPr>
            <w:tcW w:w="144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165"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电 话</w:t>
            </w:r>
            <w:r>
              <w:rPr>
                <w:rFonts w:hint="eastAsia" w:ascii="宋体" w:hAnsi="宋体" w:cs="宋体"/>
                <w:color w:val="000000"/>
                <w:sz w:val="24"/>
                <w:highlight w:val="none"/>
                <w:lang w:val="zh-CN"/>
              </w:rPr>
            </w:r>
            <w:r/>
          </w:p>
        </w:tc>
        <w:tc>
          <w:tcPr>
            <w:gridSpan w:val="2"/>
            <w:tcW w:w="1813"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职 称</w:t>
            </w:r>
            <w:r>
              <w:rPr>
                <w:rFonts w:hint="eastAsia" w:ascii="宋体" w:hAnsi="宋体" w:cs="宋体"/>
                <w:color w:val="000000"/>
                <w:sz w:val="24"/>
                <w:highlight w:val="none"/>
                <w:lang w:val="zh-CN"/>
              </w:rPr>
            </w:r>
            <w:r/>
          </w:p>
        </w:tc>
        <w:tc>
          <w:tcPr>
            <w:tcW w:w="139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542"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职 务</w:t>
            </w:r>
            <w:r>
              <w:rPr>
                <w:rFonts w:hint="eastAsia" w:ascii="宋体" w:hAnsi="宋体" w:cs="宋体"/>
                <w:color w:val="000000"/>
                <w:sz w:val="24"/>
                <w:highlight w:val="none"/>
                <w:lang w:val="zh-CN"/>
              </w:rPr>
            </w:r>
            <w:r/>
          </w:p>
        </w:tc>
        <w:tc>
          <w:tcPr>
            <w:tcW w:w="144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165"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本项目中任职</w:t>
            </w:r>
            <w:r>
              <w:rPr>
                <w:rFonts w:hint="eastAsia" w:ascii="宋体" w:hAnsi="宋体" w:cs="宋体"/>
                <w:color w:val="000000"/>
                <w:sz w:val="24"/>
                <w:highlight w:val="none"/>
                <w:lang w:val="zh-CN"/>
              </w:rPr>
            </w:r>
            <w:r/>
          </w:p>
        </w:tc>
        <w:tc>
          <w:tcPr>
            <w:gridSpan w:val="2"/>
            <w:tcW w:w="1813"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学习经历</w:t>
            </w:r>
            <w:r>
              <w:rPr>
                <w:rFonts w:hint="eastAsia" w:ascii="宋体" w:hAnsi="宋体" w:cs="宋体"/>
                <w:color w:val="000000"/>
                <w:sz w:val="24"/>
                <w:highlight w:val="none"/>
                <w:lang w:val="zh-CN"/>
              </w:rPr>
            </w:r>
            <w:r/>
          </w:p>
        </w:tc>
        <w:tc>
          <w:tcPr>
            <w:gridSpan w:val="6"/>
            <w:tcW w:w="7359"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技术认证</w:t>
            </w:r>
            <w:r>
              <w:rPr>
                <w:rFonts w:hint="eastAsia" w:ascii="宋体" w:hAnsi="宋体" w:cs="宋体"/>
                <w:color w:val="000000"/>
                <w:sz w:val="24"/>
                <w:highlight w:val="none"/>
                <w:lang w:val="zh-CN"/>
              </w:rPr>
            </w:r>
            <w:r/>
          </w:p>
        </w:tc>
        <w:tc>
          <w:tcPr>
            <w:gridSpan w:val="6"/>
            <w:tcW w:w="7359"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gridSpan w:val="7"/>
            <w:tcW w:w="8643"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工作经历</w:t>
            </w: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时 间</w:t>
            </w: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参加过类似项目</w:t>
            </w: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项目中分工</w:t>
            </w: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r>
        <w:trPr>
          <w:trHeight w:val="623"/>
        </w:trPr>
        <w:tc>
          <w:tcPr>
            <w:tcW w:w="1284"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3"/>
            <w:tcW w:w="438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gridSpan w:val="2"/>
            <w:tcW w:w="1971"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007" w:type="dxa"/>
            <w:vAlign w:val="center"/>
            <w:textDirection w:val="lrTb"/>
            <w:noWrap w:val="false"/>
          </w:tcPr>
          <w:p>
            <w:pPr>
              <w:pStyle w:val="770"/>
              <w:jc w:val="cente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r>
    </w:tbl>
    <w:p>
      <w:pPr>
        <w:pStyle w:val="770"/>
        <w:spacing w:line="360" w:lineRule="auto"/>
        <w:rPr>
          <w:rFonts w:hint="eastAsia" w:ascii="宋体" w:hAnsi="宋体" w:cs="宋体"/>
          <w:b/>
          <w:color w:val="000000"/>
          <w:sz w:val="24"/>
          <w:szCs w:val="24"/>
          <w:highlight w:val="none"/>
        </w:rPr>
      </w:pPr>
      <w:r>
        <w:rPr>
          <w:rFonts w:hint="eastAsia" w:ascii="宋体" w:hAnsi="宋体" w:cs="宋体"/>
          <w:color w:val="000000"/>
          <w:sz w:val="24"/>
          <w:highlight w:val="none"/>
        </w:rPr>
        <w:t xml:space="preserve">说明：本表后附人员职称证书、注册证书及社保缴纳证明等招标文件要求的相关证明材料。</w:t>
      </w: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highlight w:val="none"/>
        </w:rPr>
        <w:outlineLvl w:val="1"/>
      </w:pPr>
      <w:r/>
      <w:bookmarkStart w:id="346" w:name="_Toc29706"/>
      <w:r>
        <w:rPr>
          <w:rFonts w:hint="eastAsia" w:ascii="宋体" w:hAnsi="宋体" w:cs="宋体"/>
          <w:b/>
          <w:color w:val="000000"/>
          <w:sz w:val="24"/>
          <w:szCs w:val="24"/>
          <w:highlight w:val="none"/>
        </w:rPr>
        <w:t xml:space="preserve">附件九、</w:t>
      </w:r>
      <w:r>
        <w:rPr>
          <w:rFonts w:hint="eastAsia" w:ascii="宋体" w:hAnsi="宋体" w:cs="宋体"/>
          <w:b/>
          <w:color w:val="000000"/>
          <w:sz w:val="24"/>
          <w:highlight w:val="none"/>
        </w:rPr>
        <w:t xml:space="preserve">项目实施方案</w:t>
      </w:r>
      <w:bookmarkEnd w:id="346"/>
      <w:r>
        <w:rPr>
          <w:rFonts w:hint="eastAsia" w:ascii="宋体" w:hAnsi="宋体" w:cs="宋体"/>
          <w:b/>
          <w:color w:val="000000"/>
          <w:sz w:val="24"/>
          <w:highlight w:val="none"/>
        </w:rPr>
      </w:r>
      <w:r/>
    </w:p>
    <w:p>
      <w:pPr>
        <w:pStyle w:val="77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项目实施方案</w:t>
      </w:r>
      <w:r>
        <w:rPr>
          <w:rFonts w:hint="eastAsia" w:ascii="宋体" w:hAnsi="宋体" w:cs="宋体"/>
          <w:b/>
          <w:color w:val="000000"/>
          <w:sz w:val="32"/>
          <w:szCs w:val="32"/>
          <w:highlight w:val="none"/>
        </w:rPr>
      </w:r>
      <w:r/>
    </w:p>
    <w:p>
      <w:pPr>
        <w:pStyle w:val="77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（格式自拟）</w:t>
      </w:r>
      <w:r>
        <w:rPr>
          <w:rFonts w:hint="eastAsia" w:ascii="宋体" w:hAnsi="宋体" w:cs="宋体"/>
          <w:color w:val="000000"/>
          <w:sz w:val="28"/>
          <w:szCs w:val="28"/>
          <w:highlight w:val="none"/>
        </w:rPr>
      </w:r>
      <w:r/>
    </w:p>
    <w:p>
      <w:pPr>
        <w:pStyle w:val="77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70"/>
        <w:spacing w:line="360" w:lineRule="auto"/>
        <w:widowControl/>
        <w:rPr>
          <w:rFonts w:hint="eastAsia" w:ascii="宋体" w:hAnsi="宋体" w:cs="宋体"/>
          <w:b/>
          <w:color w:val="000000"/>
          <w:sz w:val="24"/>
          <w:highlight w:val="none"/>
        </w:rPr>
        <w:outlineLvl w:val="1"/>
      </w:pPr>
      <w:r/>
      <w:bookmarkStart w:id="347" w:name="_Toc30225"/>
      <w:r>
        <w:rPr>
          <w:rFonts w:hint="eastAsia" w:ascii="宋体" w:hAnsi="宋体" w:cs="宋体"/>
          <w:b/>
          <w:color w:val="000000"/>
          <w:sz w:val="24"/>
          <w:highlight w:val="none"/>
        </w:rPr>
        <w:t xml:space="preserve">附件十、服务与承诺</w:t>
      </w:r>
      <w:bookmarkEnd w:id="347"/>
      <w:r>
        <w:rPr>
          <w:rFonts w:hint="eastAsia" w:ascii="宋体" w:hAnsi="宋体" w:cs="宋体"/>
          <w:b/>
          <w:color w:val="000000"/>
          <w:sz w:val="24"/>
          <w:highlight w:val="none"/>
        </w:rPr>
      </w:r>
      <w:r/>
    </w:p>
    <w:p>
      <w:pPr>
        <w:pStyle w:val="77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 服务与承诺</w:t>
      </w:r>
      <w:r>
        <w:rPr>
          <w:rFonts w:hint="eastAsia" w:ascii="宋体" w:hAnsi="宋体" w:cs="宋体"/>
          <w:b/>
          <w:color w:val="000000"/>
          <w:sz w:val="32"/>
          <w:szCs w:val="32"/>
          <w:highlight w:val="none"/>
        </w:rPr>
      </w:r>
      <w:r/>
    </w:p>
    <w:p>
      <w:pPr>
        <w:pStyle w:val="77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（格式自拟）</w:t>
      </w:r>
      <w:r>
        <w:rPr>
          <w:rFonts w:hint="eastAsia" w:ascii="宋体" w:hAnsi="宋体" w:cs="宋体"/>
          <w:color w:val="000000"/>
          <w:sz w:val="28"/>
          <w:szCs w:val="28"/>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bookmarkStart w:id="348" w:name="_Toc16885"/>
      <w:r>
        <w:rPr>
          <w:rFonts w:hint="eastAsia" w:ascii="宋体" w:hAnsi="宋体" w:cs="宋体"/>
          <w:b/>
          <w:color w:val="000000"/>
          <w:sz w:val="24"/>
          <w:szCs w:val="24"/>
          <w:highlight w:val="none"/>
        </w:rPr>
        <w:t xml:space="preserve">附件十一、</w:t>
      </w:r>
      <w:r>
        <w:rPr>
          <w:rFonts w:hint="eastAsia" w:ascii="宋体" w:hAnsi="宋体" w:cs="宋体"/>
          <w:b/>
          <w:color w:val="000000"/>
          <w:sz w:val="24"/>
          <w:highlight w:val="none"/>
        </w:rPr>
        <w:t xml:space="preserve">投标需要的其他证明文件及材料</w:t>
      </w:r>
      <w:bookmarkEnd w:id="348"/>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jc w:val="center"/>
        <w:spacing w:before="120" w:after="48"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投标需要的其他证明文件及材料（若有）</w:t>
      </w:r>
      <w:r>
        <w:rPr>
          <w:rFonts w:hint="eastAsia" w:ascii="宋体" w:hAnsi="宋体" w:cs="宋体"/>
          <w:b/>
          <w:color w:val="000000"/>
          <w:sz w:val="32"/>
          <w:szCs w:val="32"/>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bookmarkStart w:id="349" w:name="_Toc9167"/>
      <w:r>
        <w:rPr>
          <w:rFonts w:hint="eastAsia" w:ascii="宋体" w:hAnsi="宋体" w:cs="宋体"/>
          <w:b/>
          <w:color w:val="000000"/>
          <w:sz w:val="24"/>
          <w:szCs w:val="24"/>
          <w:highlight w:val="none"/>
        </w:rPr>
        <w:t xml:space="preserve">附件十二、中小企业声明函格式</w:t>
      </w:r>
      <w:bookmarkEnd w:id="345"/>
      <w:r/>
      <w:bookmarkEnd w:id="349"/>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rPr>
      </w:r>
      <w:r/>
    </w:p>
    <w:p>
      <w:pPr>
        <w:pStyle w:val="770"/>
        <w:jc w:val="center"/>
        <w:spacing w:line="440" w:lineRule="exact"/>
        <w:shd w:val="clear" w:color="auto" w:fill="ffffff"/>
        <w:widowControl/>
        <w:rPr>
          <w:rFonts w:hint="eastAsia" w:ascii="宋体" w:hAnsi="宋体"/>
          <w:color w:val="000000"/>
          <w:sz w:val="36"/>
          <w:szCs w:val="36"/>
        </w:rPr>
      </w:pPr>
      <w:r>
        <w:rPr>
          <w:rFonts w:hint="eastAsia" w:ascii="宋体" w:hAnsi="宋体"/>
          <w:color w:val="000000"/>
          <w:sz w:val="36"/>
          <w:szCs w:val="36"/>
        </w:rPr>
        <w:t xml:space="preserve">中小企业声明函</w:t>
      </w:r>
      <w:r>
        <w:rPr>
          <w:rFonts w:hint="eastAsia" w:ascii="宋体" w:hAnsi="宋体"/>
          <w:color w:val="000000"/>
          <w:sz w:val="36"/>
          <w:szCs w:val="36"/>
        </w:rPr>
      </w:r>
      <w:r/>
    </w:p>
    <w:p>
      <w:pPr>
        <w:pStyle w:val="845"/>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4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4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4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84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5"/>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5"/>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845"/>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4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84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0"/>
        <w:ind w:firstLine="5280"/>
        <w:spacing w:line="360" w:lineRule="auto"/>
        <w:rPr>
          <w:rFonts w:ascii="宋体" w:hAnsi="宋体"/>
          <w:color w:val="000000"/>
          <w:sz w:val="24"/>
          <w:szCs w:val="32"/>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hAnsi="宋体"/>
          <w:color w:val="000000"/>
          <w:sz w:val="24"/>
          <w:szCs w:val="32"/>
        </w:rPr>
      </w:r>
      <w:r/>
    </w:p>
    <w:p>
      <w:pPr>
        <w:pStyle w:val="770"/>
        <w:ind w:firstLine="5280"/>
        <w:spacing w:line="360" w:lineRule="auto"/>
        <w:rPr>
          <w:rFonts w:ascii="宋体" w:hAnsi="宋体"/>
          <w:color w:val="000000"/>
          <w:sz w:val="24"/>
          <w:szCs w:val="32"/>
        </w:rPr>
      </w:pPr>
      <w:r>
        <w:rPr>
          <w:rFonts w:hint="eastAsia" w:ascii="宋体" w:hAnsi="宋体"/>
          <w:color w:val="000000"/>
          <w:sz w:val="24"/>
          <w:szCs w:val="32"/>
        </w:rPr>
        <w:t xml:space="preserve">企业名称（</w:t>
      </w:r>
      <w:r>
        <w:rPr>
          <w:rFonts w:hint="eastAsia" w:ascii="宋体" w:hAnsi="宋体"/>
          <w:color w:val="000000"/>
          <w:sz w:val="24"/>
        </w:rPr>
        <w:t xml:space="preserve">公章</w:t>
      </w:r>
      <w:r>
        <w:rPr>
          <w:rFonts w:hint="eastAsia" w:ascii="宋体" w:hAnsi="宋体"/>
          <w:color w:val="000000"/>
          <w:sz w:val="24"/>
          <w:szCs w:val="32"/>
        </w:rPr>
        <w:t xml:space="preserve">）：</w:t>
      </w:r>
      <w:r>
        <w:rPr>
          <w:rFonts w:ascii="宋体" w:hAnsi="宋体"/>
          <w:color w:val="000000"/>
          <w:sz w:val="24"/>
          <w:szCs w:val="32"/>
        </w:rPr>
      </w:r>
      <w:r/>
    </w:p>
    <w:p>
      <w:pPr>
        <w:pStyle w:val="770"/>
        <w:ind w:firstLine="5280"/>
        <w:spacing w:line="360" w:lineRule="auto"/>
        <w:rPr>
          <w:rFonts w:hint="eastAsia" w:ascii="宋体" w:hAnsi="宋体"/>
          <w:color w:val="000000"/>
          <w:sz w:val="24"/>
          <w:szCs w:val="32"/>
        </w:rPr>
      </w:pPr>
      <w:r>
        <w:rPr>
          <w:rFonts w:hint="eastAsia" w:ascii="宋体" w:hAnsi="宋体"/>
          <w:color w:val="000000"/>
          <w:sz w:val="24"/>
          <w:szCs w:val="32"/>
        </w:rPr>
        <w:t xml:space="preserve">日　　　　　期：  年  月  日</w:t>
      </w:r>
      <w:r>
        <w:rPr>
          <w:rFonts w:hint="eastAsia" w:ascii="宋体" w:hAnsi="宋体"/>
          <w:color w:val="000000"/>
          <w:sz w:val="24"/>
          <w:szCs w:val="32"/>
        </w:rPr>
      </w:r>
      <w:r/>
    </w:p>
    <w:p>
      <w:pPr>
        <w:pStyle w:val="770"/>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770"/>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770"/>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770"/>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770"/>
        <w:ind w:firstLine="5280"/>
        <w:spacing w:line="360" w:lineRule="auto"/>
        <w:rPr>
          <w:rFonts w:hint="eastAsia" w:ascii="宋体" w:hAnsi="宋体"/>
          <w:color w:val="000000"/>
          <w:sz w:val="24"/>
          <w:szCs w:val="32"/>
        </w:rPr>
      </w:pPr>
      <w:r>
        <w:rPr>
          <w:rFonts w:hint="eastAsia" w:ascii="宋体" w:hAnsi="宋体"/>
          <w:color w:val="000000"/>
          <w:sz w:val="24"/>
          <w:szCs w:val="32"/>
        </w:rPr>
      </w:r>
      <w:r/>
    </w:p>
    <w:p>
      <w:pPr>
        <w:pStyle w:val="770"/>
        <w:spacing w:line="360" w:lineRule="auto"/>
        <w:rPr>
          <w:rFonts w:hint="eastAsia" w:ascii="宋体" w:hAnsi="宋体" w:cs="宋体"/>
          <w:b/>
          <w:bCs/>
          <w:color w:val="000000"/>
          <w:highlight w:val="none"/>
        </w:rPr>
      </w:pPr>
      <w:r>
        <w:rPr>
          <w:rFonts w:hint="eastAsia" w:ascii="宋体" w:hAnsi="宋体"/>
          <w:color w:val="000000"/>
          <w:sz w:val="24"/>
          <w:szCs w:val="32"/>
        </w:rPr>
        <w:t xml:space="preserve">注：1、从业人员、营业收入、资产总额填报上一年度数据，无上一年度数据的新成立企业可不填报。2、采购标的对应的中</w:t>
      </w:r>
      <w:r>
        <w:rPr>
          <w:rFonts w:hint="eastAsia" w:ascii="宋体" w:hAnsi="宋体"/>
          <w:color w:val="000000"/>
          <w:sz w:val="24"/>
          <w:szCs w:val="32"/>
          <w:highlight w:val="none"/>
        </w:rPr>
        <w:t xml:space="preserve">小企业划分标准所属行业：其他</w:t>
      </w:r>
      <w:r>
        <w:rPr>
          <w:rFonts w:hint="eastAsia" w:ascii="宋体" w:hAnsi="宋体"/>
          <w:color w:val="000000"/>
          <w:sz w:val="24"/>
          <w:szCs w:val="32"/>
          <w:highlight w:val="none"/>
          <w:lang w:val="en-US" w:eastAsia="zh-CN"/>
        </w:rPr>
        <w:t xml:space="preserve">未</w:t>
      </w:r>
      <w:r>
        <w:rPr>
          <w:rFonts w:hint="eastAsia" w:ascii="宋体" w:hAnsi="宋体"/>
          <w:color w:val="000000"/>
          <w:sz w:val="24"/>
          <w:szCs w:val="32"/>
          <w:highlight w:val="none"/>
        </w:rPr>
        <w:t xml:space="preserve">列明行业。</w:t>
      </w:r>
      <w:r>
        <w:rPr>
          <w:rFonts w:hint="eastAsia" w:ascii="宋体" w:hAnsi="宋体" w:cs="宋体"/>
          <w:b/>
          <w:bCs/>
          <w:color w:val="000000"/>
          <w:highlight w:val="none"/>
        </w:rPr>
      </w:r>
      <w:r/>
    </w:p>
    <w:p>
      <w:pPr>
        <w:pStyle w:val="770"/>
        <w:ind w:firstLine="4560"/>
        <w:jc w:val="righ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770"/>
        <w:ind w:firstLine="42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widowControl/>
        <w:rPr>
          <w:rFonts w:hint="eastAsia" w:ascii="宋体" w:hAnsi="宋体" w:cs="宋体"/>
          <w:b/>
          <w:color w:val="000000"/>
          <w:sz w:val="24"/>
          <w:szCs w:val="24"/>
          <w:highlight w:val="none"/>
        </w:rPr>
        <w:outlineLvl w:val="1"/>
      </w:pPr>
      <w:r/>
      <w:bookmarkStart w:id="350" w:name="_Toc19369"/>
      <w:r/>
      <w:bookmarkStart w:id="351" w:name="_Toc15194"/>
      <w:r>
        <w:rPr>
          <w:rFonts w:hint="eastAsia" w:ascii="宋体" w:hAnsi="宋体" w:cs="宋体"/>
          <w:b/>
          <w:color w:val="000000"/>
          <w:sz w:val="24"/>
          <w:szCs w:val="24"/>
          <w:highlight w:val="none"/>
        </w:rPr>
        <w:t xml:space="preserve">附件十三、无重大违法记录声明格式</w:t>
      </w:r>
      <w:bookmarkEnd w:id="350"/>
      <w:r/>
      <w:bookmarkEnd w:id="351"/>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无重大违法记录声明</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val="zh-CN"/>
        </w:rPr>
        <w:t xml:space="preserve">南京市江北新区公共工程建设中心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我单位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（供应商名称）郑重声明：</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参加政府采购活动前3年内在经营活动中</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（在下划线上如实填写：有或没有）重大违法记录。</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righ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声明人：</w:t>
      </w:r>
      <w:r>
        <w:rPr>
          <w:rFonts w:hint="eastAsia" w:ascii="宋体" w:hAnsi="宋体" w:cs="宋体"/>
          <w:color w:val="000000"/>
          <w:sz w:val="24"/>
          <w:szCs w:val="24"/>
          <w:highlight w:val="none"/>
          <w:lang w:val="zh-CN"/>
        </w:rPr>
        <w:t xml:space="preserve">（加盖电子公章）</w:t>
      </w:r>
      <w:r>
        <w:rPr>
          <w:rFonts w:hint="eastAsia" w:ascii="宋体" w:hAnsi="宋体" w:cs="宋体"/>
          <w:color w:val="000000"/>
          <w:sz w:val="24"/>
          <w:szCs w:val="24"/>
          <w:highlight w:val="none"/>
        </w:rPr>
      </w:r>
      <w:r/>
    </w:p>
    <w:p>
      <w:pPr>
        <w:pStyle w:val="770"/>
        <w:ind w:firstLine="4515"/>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     月    日</w:t>
      </w: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bookmarkStart w:id="352" w:name="_Toc21599"/>
      <w:r/>
      <w:bookmarkStart w:id="353" w:name="_Toc29018"/>
      <w:r>
        <w:rPr>
          <w:rFonts w:hint="eastAsia" w:ascii="宋体" w:hAnsi="宋体" w:cs="宋体"/>
          <w:b/>
          <w:color w:val="000000"/>
          <w:sz w:val="24"/>
          <w:szCs w:val="24"/>
          <w:highlight w:val="none"/>
        </w:rPr>
        <w:t xml:space="preserve">附件十四、具备履行合同所必需的设备和专业技术能力的声明格式及证明材料</w:t>
      </w:r>
      <w:bookmarkEnd w:id="352"/>
      <w:r/>
      <w:bookmarkEnd w:id="353"/>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具备履行合同所必需的设备和专业技术能力的声明格式</w:t>
      </w: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val="zh-CN"/>
        </w:rPr>
        <w:t xml:space="preserve">南京市江北新区公共工程建设中心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0"/>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ascii="宋体" w:hAnsi="宋体" w:cs="宋体"/>
          <w:color w:val="000000"/>
          <w:sz w:val="24"/>
          <w:szCs w:val="24"/>
          <w:highlight w:val="none"/>
        </w:rPr>
      </w:r>
      <w:r/>
    </w:p>
    <w:p>
      <w:pPr>
        <w:pStyle w:val="770"/>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主要设备有：                          。( 若有 )</w:t>
      </w:r>
      <w:r>
        <w:rPr>
          <w:rFonts w:hint="eastAsia" w:ascii="宋体" w:hAnsi="宋体" w:cs="宋体"/>
          <w:color w:val="000000"/>
          <w:sz w:val="24"/>
          <w:szCs w:val="24"/>
          <w:highlight w:val="none"/>
        </w:rPr>
      </w:r>
      <w:r/>
    </w:p>
    <w:p>
      <w:pPr>
        <w:pStyle w:val="770"/>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                  。( 若有 )</w:t>
      </w:r>
      <w:r>
        <w:rPr>
          <w:rFonts w:hint="eastAsia" w:ascii="宋体" w:hAnsi="宋体" w:cs="宋体"/>
          <w:color w:val="000000"/>
          <w:sz w:val="24"/>
          <w:szCs w:val="24"/>
          <w:highlight w:val="none"/>
        </w:rPr>
      </w:r>
      <w:r/>
    </w:p>
    <w:p>
      <w:pPr>
        <w:pStyle w:val="770"/>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ind w:firstLine="4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声明人：</w:t>
      </w:r>
      <w:r>
        <w:rPr>
          <w:rFonts w:hint="eastAsia" w:ascii="宋体" w:hAnsi="宋体" w:cs="宋体"/>
          <w:color w:val="000000"/>
          <w:sz w:val="24"/>
          <w:szCs w:val="24"/>
          <w:highlight w:val="none"/>
          <w:lang w:val="zh-CN"/>
        </w:rPr>
        <w:t xml:space="preserve">（加盖电子公章）</w:t>
      </w:r>
      <w:r>
        <w:rPr>
          <w:rFonts w:hint="eastAsia" w:ascii="宋体" w:hAnsi="宋体" w:cs="宋体"/>
          <w:color w:val="000000"/>
          <w:sz w:val="24"/>
          <w:szCs w:val="24"/>
          <w:highlight w:val="none"/>
        </w:rPr>
      </w:r>
      <w:r/>
    </w:p>
    <w:p>
      <w:pPr>
        <w:pStyle w:val="77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77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outlineLvl w:val="1"/>
      </w:pPr>
      <w:r/>
      <w:bookmarkStart w:id="354" w:name="_Toc10293"/>
      <w:r/>
      <w:bookmarkStart w:id="355" w:name="_Toc26001"/>
      <w:r/>
      <w:bookmarkStart w:id="356" w:name="_Hlk40203486"/>
      <w:r>
        <w:rPr>
          <w:rFonts w:hint="eastAsia" w:ascii="宋体" w:hAnsi="宋体" w:cs="宋体"/>
          <w:b/>
          <w:color w:val="000000"/>
          <w:sz w:val="24"/>
          <w:szCs w:val="24"/>
          <w:highlight w:val="none"/>
        </w:rPr>
        <w:t xml:space="preserve">附件十五、南京市政府采购供应商信用记录表暨信用承诺书</w:t>
      </w:r>
      <w:bookmarkEnd w:id="354"/>
      <w:r/>
      <w:bookmarkEnd w:id="355"/>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提供“信用南京”在线打印的《南京市政府采购供应商信用记录表暨信用承诺书》</w:t>
      </w: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770"/>
        <w:ind w:right="48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zh-CN"/>
        </w:rPr>
        <w:t xml:space="preserve">             供应商（盖章）</w:t>
      </w:r>
      <w:r>
        <w:rPr>
          <w:rFonts w:hint="eastAsia" w:ascii="宋体" w:hAnsi="宋体" w:cs="宋体"/>
          <w:b/>
          <w:color w:val="000000"/>
          <w:sz w:val="24"/>
          <w:szCs w:val="24"/>
          <w:highlight w:val="none"/>
        </w:rPr>
      </w:r>
      <w:r/>
    </w:p>
    <w:p>
      <w:pPr>
        <w:pStyle w:val="770"/>
        <w:ind w:right="480" w:firstLine="4457"/>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法定代表人签名：</w:t>
      </w:r>
      <w:r>
        <w:rPr>
          <w:rFonts w:hint="eastAsia" w:ascii="宋体" w:hAnsi="宋体" w:cs="宋体"/>
          <w:b/>
          <w:color w:val="000000"/>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left"/>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bookmarkEnd w:id="356"/>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outlineLvl w:val="1"/>
      </w:pPr>
      <w:r/>
      <w:bookmarkStart w:id="357" w:name="_Toc27561"/>
      <w:r>
        <w:rPr>
          <w:rFonts w:hint="eastAsia" w:ascii="宋体" w:hAnsi="宋体" w:cs="宋体"/>
          <w:b/>
          <w:color w:val="000000"/>
          <w:spacing w:val="15"/>
          <w:sz w:val="24"/>
          <w:szCs w:val="24"/>
          <w:highlight w:val="none"/>
        </w:rPr>
        <w:t xml:space="preserve">附件十六：</w:t>
      </w:r>
      <w:bookmarkEnd w:id="357"/>
      <w:r>
        <w:rPr>
          <w:rFonts w:hint="eastAsia" w:ascii="宋体" w:hAnsi="宋体" w:cs="宋体"/>
          <w:b/>
          <w:color w:val="000000"/>
          <w:spacing w:val="15"/>
          <w:sz w:val="24"/>
          <w:szCs w:val="24"/>
          <w:highlight w:val="none"/>
        </w:rPr>
      </w:r>
      <w:r/>
    </w:p>
    <w:p>
      <w:pPr>
        <w:pStyle w:val="812"/>
        <w:jc w:val="center"/>
        <w:rPr>
          <w:rFonts w:hint="eastAsia" w:hAnsi="宋体" w:cs="宋体"/>
          <w:b/>
          <w:bCs/>
          <w:color w:val="000000"/>
          <w:sz w:val="32"/>
          <w:szCs w:val="32"/>
          <w:highlight w:val="none"/>
        </w:rPr>
      </w:pPr>
      <w:r>
        <w:rPr>
          <w:rFonts w:hint="eastAsia" w:hAnsi="宋体" w:cs="宋体"/>
          <w:b/>
          <w:bCs/>
          <w:color w:val="000000"/>
          <w:sz w:val="32"/>
          <w:szCs w:val="32"/>
          <w:highlight w:val="none"/>
        </w:rPr>
        <w:t xml:space="preserve">承诺函</w:t>
      </w:r>
      <w:r>
        <w:rPr>
          <w:rFonts w:hint="eastAsia" w:hAnsi="宋体" w:cs="宋体"/>
          <w:b/>
          <w:bCs/>
          <w:color w:val="000000"/>
          <w:sz w:val="32"/>
          <w:szCs w:val="32"/>
          <w:highlight w:val="none"/>
        </w:rPr>
      </w:r>
      <w:r/>
    </w:p>
    <w:p>
      <w:pPr>
        <w:pStyle w:val="770"/>
        <w:spacing w:before="120" w:after="120" w:line="31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szCs w:val="24"/>
          <w:highlight w:val="none"/>
          <w:u w:val="single"/>
          <w:lang w:val="zh-CN"/>
        </w:rPr>
        <w:t xml:space="preserve">南京市江北新区公共工程建设中心</w:t>
      </w:r>
      <w:r>
        <w:rPr>
          <w:rFonts w:hint="eastAsia" w:ascii="宋体" w:hAnsi="宋体" w:cs="宋体"/>
          <w:color w:val="000000"/>
          <w:highlight w:val="none"/>
        </w:rPr>
      </w:r>
      <w:r/>
    </w:p>
    <w:p>
      <w:pPr>
        <w:pStyle w:val="770"/>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我公司郑重承诺，我司参加贵方</w:t>
      </w:r>
      <w:r>
        <w:rPr>
          <w:rFonts w:hint="eastAsia" w:ascii="宋体" w:hAnsi="宋体" w:cs="宋体"/>
          <w:color w:val="000000"/>
          <w:sz w:val="24"/>
          <w:highlight w:val="none"/>
          <w:u w:val="single"/>
        </w:rPr>
        <w:t xml:space="preserve">（项目名称）（项目编号）</w:t>
      </w:r>
      <w:r>
        <w:rPr>
          <w:rFonts w:hint="eastAsia" w:ascii="宋体" w:hAnsi="宋体" w:cs="宋体"/>
          <w:color w:val="000000"/>
          <w:sz w:val="24"/>
          <w:highlight w:val="none"/>
        </w:rPr>
        <w:t xml:space="preserve">采购：</w:t>
      </w:r>
      <w:r>
        <w:rPr>
          <w:rFonts w:hint="eastAsia" w:ascii="宋体" w:hAnsi="宋体" w:cs="宋体"/>
          <w:color w:val="000000"/>
          <w:sz w:val="24"/>
          <w:highlight w:val="none"/>
        </w:rPr>
      </w:r>
      <w:r/>
    </w:p>
    <w:p>
      <w:pPr>
        <w:pStyle w:val="770"/>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1.单位负责人为同一人或者存在直接控股、管理关系的不同供应商，未参加同一合同项下的采购活动。</w:t>
      </w:r>
      <w:r>
        <w:rPr>
          <w:rFonts w:hint="eastAsia" w:ascii="宋体" w:hAnsi="宋体" w:cs="宋体"/>
          <w:color w:val="000000"/>
          <w:sz w:val="24"/>
          <w:highlight w:val="none"/>
        </w:rPr>
      </w:r>
      <w:r/>
    </w:p>
    <w:p>
      <w:pPr>
        <w:pStyle w:val="770"/>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2.为采购项目提供整体设计、规范编制或者项目管理、监理、检测等服务的供应商，未参加该采购项目的其他采购活动。</w:t>
      </w:r>
      <w:r>
        <w:rPr>
          <w:rFonts w:hint="eastAsia" w:ascii="宋体" w:hAnsi="宋体" w:cs="宋体"/>
          <w:color w:val="000000"/>
          <w:sz w:val="24"/>
          <w:highlight w:val="none"/>
        </w:rPr>
      </w:r>
      <w:r/>
    </w:p>
    <w:p>
      <w:pPr>
        <w:pStyle w:val="770"/>
        <w:ind w:firstLine="480"/>
        <w:spacing w:line="113"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770"/>
        <w:spacing w:before="120" w:after="120" w:line="31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特此承诺！</w:t>
      </w:r>
      <w:r>
        <w:rPr>
          <w:rFonts w:hint="eastAsia" w:ascii="宋体" w:hAnsi="宋体" w:cs="宋体"/>
          <w:color w:val="000000"/>
          <w:highlight w:val="none"/>
        </w:rPr>
      </w:r>
      <w:r/>
    </w:p>
    <w:p>
      <w:pPr>
        <w:pStyle w:val="805"/>
        <w:ind w:firstLine="4200"/>
        <w:spacing w:after="120" w:line="360" w:lineRule="auto"/>
        <w:tabs>
          <w:tab w:val="left" w:pos="709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供应商名称：（公章）</w:t>
      </w:r>
      <w:r>
        <w:rPr>
          <w:rFonts w:hint="eastAsia" w:ascii="宋体" w:hAnsi="宋体" w:eastAsia="宋体" w:cs="宋体"/>
          <w:color w:val="000000"/>
          <w:sz w:val="24"/>
          <w:highlight w:val="none"/>
        </w:rPr>
      </w:r>
      <w:r/>
    </w:p>
    <w:p>
      <w:pPr>
        <w:pStyle w:val="805"/>
        <w:ind w:firstLine="4200"/>
        <w:spacing w:after="120" w:line="360" w:lineRule="auto"/>
        <w:tabs>
          <w:tab w:val="left" w:pos="709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77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pStyle w:val="770"/>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2"/>
          <w:highlight w:val="none"/>
          <w:lang w:bidi="zh-CN"/>
        </w:rPr>
        <w:t xml:space="preserve">注：</w:t>
      </w:r>
      <w:r>
        <w:rPr>
          <w:rFonts w:hint="eastAsia" w:ascii="宋体" w:hAnsi="宋体" w:cs="宋体"/>
          <w:color w:val="000000"/>
          <w:sz w:val="24"/>
          <w:szCs w:val="22"/>
          <w:highlight w:val="none"/>
          <w:lang w:val="zh-CN" w:bidi="zh-CN"/>
        </w:rPr>
        <w:t xml:space="preserve">单位负责人、公司控股关系及公司管理关系释义：</w:t>
      </w:r>
      <w:r>
        <w:rPr>
          <w:rFonts w:hint="eastAsia" w:ascii="宋体" w:hAnsi="宋体" w:cs="宋体"/>
          <w:color w:val="000000"/>
          <w:sz w:val="24"/>
          <w:szCs w:val="22"/>
          <w:highlight w:val="none"/>
          <w:lang w:val="zh-CN" w:bidi="zh-CN"/>
        </w:rPr>
      </w:r>
      <w:r/>
    </w:p>
    <w:p>
      <w:pPr>
        <w:pStyle w:val="770"/>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①单位负责人：是指 A单位法定代表人或者 B法律、行政法规规定代表单位行使职权的主要负责人。</w:t>
      </w:r>
      <w:r>
        <w:rPr>
          <w:rFonts w:hint="eastAsia" w:ascii="宋体" w:hAnsi="宋体" w:cs="宋体"/>
          <w:color w:val="000000"/>
          <w:sz w:val="24"/>
          <w:szCs w:val="22"/>
          <w:highlight w:val="none"/>
          <w:lang w:val="zh-CN" w:bidi="zh-CN"/>
        </w:rPr>
      </w:r>
      <w:r/>
    </w:p>
    <w:p>
      <w:pPr>
        <w:pStyle w:val="770"/>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A：所谓法定代表人：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cs="宋体"/>
          <w:color w:val="000000"/>
          <w:sz w:val="24"/>
          <w:szCs w:val="22"/>
          <w:highlight w:val="none"/>
          <w:lang w:val="zh-CN" w:bidi="zh-CN"/>
        </w:rPr>
      </w:r>
      <w:r/>
    </w:p>
    <w:p>
      <w:pPr>
        <w:pStyle w:val="770"/>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B：所谓法律、行政法规规定代表单位行使职权的主要负责人：是指除法定代表人以外，法律、行政法规规定的代表单位行使职权的主要负责人。如个人独资企业的投资人，代表合伙企业执行合伙企业事务的合伙人等。</w:t>
      </w:r>
      <w:r>
        <w:rPr>
          <w:rFonts w:hint="eastAsia" w:ascii="宋体" w:hAnsi="宋体" w:cs="宋体"/>
          <w:color w:val="000000"/>
          <w:sz w:val="24"/>
          <w:szCs w:val="22"/>
          <w:highlight w:val="none"/>
          <w:lang w:val="zh-CN" w:bidi="zh-CN"/>
        </w:rPr>
      </w:r>
      <w:r/>
    </w:p>
    <w:p>
      <w:pPr>
        <w:pStyle w:val="770"/>
        <w:spacing w:before="120" w:after="120" w:line="315" w:lineRule="atLeast"/>
        <w:rPr>
          <w:rFonts w:hint="eastAsia" w:ascii="宋体" w:hAnsi="宋体" w:cs="宋体"/>
          <w:color w:val="000000"/>
          <w:sz w:val="24"/>
          <w:szCs w:val="22"/>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②控股关系：政府采购法实</w:t>
      </w:r>
      <w:r>
        <w:rPr>
          <w:rFonts w:hint="eastAsia" w:ascii="宋体" w:hAnsi="宋体" w:cs="宋体"/>
          <w:color w:val="000000"/>
          <w:sz w:val="24"/>
          <w:szCs w:val="22"/>
          <w:highlight w:val="none"/>
          <w:lang w:val="zh-CN" w:bidi="zh-CN"/>
        </w:rPr>
        <w:t xml:space="preserve">施条例所谓控股关系是指单位或个人股东的控股关系。控股的含义：根据《中华人民共和国公司法》第二百一十六条规定：“本法相关用语的含义：（二）控股股东，是指 A其出资额占有限责任公司资本总额百分之五十以上或者其持有的股份占股份有限公司股本总额百分之五十以上的股东；B出资额或者持有股份的比例虽然不足百分之五十，但依其出资额或者持有的股份所享有的表决权已足以对股东会、股东大会的决议产生重大影响的股东”。实践中，一般对A所述情形称为绝对控股，B所述情形称为相对控股，政府采购法实施条例所称“控股”包括绝对控股和相对控股。</w:t>
      </w:r>
      <w:r>
        <w:rPr>
          <w:rFonts w:hint="eastAsia" w:ascii="宋体" w:hAnsi="宋体" w:cs="宋体"/>
          <w:color w:val="000000"/>
          <w:sz w:val="24"/>
          <w:szCs w:val="22"/>
          <w:highlight w:val="none"/>
          <w:lang w:val="zh-CN" w:bidi="zh-CN"/>
        </w:rPr>
      </w:r>
      <w:r/>
    </w:p>
    <w:p>
      <w:pPr>
        <w:pStyle w:val="770"/>
        <w:spacing w:before="120" w:after="120" w:line="315" w:lineRule="atLeast"/>
        <w:rPr>
          <w:rFonts w:hint="eastAsia" w:ascii="宋体" w:hAnsi="宋体" w:cs="宋体"/>
          <w:b/>
          <w:color w:val="000000"/>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lang w:val="zh-CN" w:bidi="zh-CN"/>
        </w:rPr>
        <w:t xml:space="preserve">③管理关系：政府采购法实施条例所谓管理关系是指不具有出资持股关系的其他单位之间存在的管理与被管理关系，如一些上下级关系的事业单位和团体组织。</w:t>
      </w:r>
      <w:r>
        <w:rPr>
          <w:rFonts w:hint="eastAsia" w:ascii="宋体" w:hAnsi="宋体" w:cs="宋体"/>
          <w:b/>
          <w:color w:val="000000"/>
          <w:sz w:val="24"/>
          <w:highlight w:val="none"/>
          <w:lang w:val="zh-CN"/>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outlineLvl w:val="1"/>
      </w:pPr>
      <w:r/>
      <w:bookmarkStart w:id="358" w:name="_Toc265"/>
      <w:r/>
      <w:bookmarkStart w:id="359" w:name="_Toc32465"/>
      <w:r>
        <w:rPr>
          <w:rFonts w:hint="eastAsia" w:ascii="宋体" w:hAnsi="宋体" w:cs="宋体"/>
          <w:b/>
          <w:color w:val="000000"/>
          <w:spacing w:val="15"/>
          <w:sz w:val="24"/>
          <w:szCs w:val="24"/>
          <w:highlight w:val="none"/>
        </w:rPr>
        <w:t xml:space="preserve">附件十七、残疾人福利性单位声明函</w:t>
      </w:r>
      <w:bookmarkEnd w:id="358"/>
      <w:r/>
      <w:bookmarkEnd w:id="359"/>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center"/>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t xml:space="preserve">残疾人福利性单位声明函</w:t>
      </w: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845"/>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84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4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4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84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4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70"/>
        <w:ind w:firstLine="480"/>
        <w:spacing w:line="360" w:lineRule="auto"/>
        <w:rPr>
          <w:rFonts w:hint="eastAsia" w:ascii="宋体" w:hAnsi="宋体" w:cs="宋体"/>
          <w:color w:val="000000"/>
          <w:spacing w:val="15"/>
          <w:sz w:val="24"/>
          <w:szCs w:val="24"/>
          <w:highlight w:val="none"/>
        </w:rPr>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ascii="宋体" w:hAnsi="宋体" w:eastAsia="宋体" w:cs="宋体"/>
          <w:color w:val="000000"/>
          <w:sz w:val="24"/>
          <w:szCs w:val="24"/>
          <w:lang w:eastAsia="zh-CN"/>
        </w:rPr>
        <w:t xml:space="preserve">。</w:t>
      </w: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770"/>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ind w:firstLine="482"/>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ind w:firstLine="324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单位名称（盖章）： </w:t>
      </w:r>
      <w:r>
        <w:rPr>
          <w:rFonts w:hint="eastAsia" w:ascii="宋体" w:hAnsi="宋体" w:cs="宋体"/>
          <w:color w:val="000000"/>
          <w:spacing w:val="15"/>
          <w:sz w:val="24"/>
          <w:szCs w:val="24"/>
          <w:highlight w:val="none"/>
        </w:rPr>
      </w:r>
      <w:r/>
    </w:p>
    <w:p>
      <w:pPr>
        <w:pStyle w:val="770"/>
        <w:ind w:firstLine="324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日 期：</w:t>
      </w:r>
      <w:r>
        <w:rPr>
          <w:rFonts w:hint="eastAsia" w:ascii="宋体" w:hAnsi="宋体" w:cs="宋体"/>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770"/>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outlineLvl w:val="1"/>
      </w:pPr>
      <w:r/>
      <w:bookmarkStart w:id="360" w:name="_Toc21343"/>
      <w:r/>
      <w:bookmarkStart w:id="361" w:name="_Toc3042"/>
      <w:r/>
      <w:bookmarkStart w:id="362" w:name="_Hlk40203523"/>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b/>
          <w:color w:val="000000"/>
          <w:spacing w:val="15"/>
          <w:sz w:val="24"/>
          <w:szCs w:val="24"/>
          <w:highlight w:val="none"/>
        </w:rPr>
        <w:outlineLvl w:val="1"/>
      </w:pPr>
      <w:r>
        <w:rPr>
          <w:rFonts w:hint="eastAsia" w:ascii="宋体" w:hAnsi="宋体" w:cs="宋体"/>
          <w:b/>
          <w:color w:val="000000"/>
          <w:spacing w:val="15"/>
          <w:sz w:val="24"/>
          <w:szCs w:val="24"/>
          <w:highlight w:val="none"/>
        </w:rPr>
        <w:t xml:space="preserve">附件十八、属于监狱企业的证明文件</w:t>
      </w:r>
      <w:bookmarkEnd w:id="360"/>
      <w:r/>
      <w:bookmarkEnd w:id="361"/>
      <w:r>
        <w:rPr>
          <w:rFonts w:hint="eastAsia" w:ascii="宋体" w:hAnsi="宋体" w:cs="宋体"/>
          <w:b/>
          <w:color w:val="000000"/>
          <w:spacing w:val="15"/>
          <w:sz w:val="24"/>
          <w:szCs w:val="24"/>
          <w:highlight w:val="none"/>
        </w:rPr>
      </w:r>
      <w:r/>
    </w:p>
    <w:p>
      <w:pPr>
        <w:pStyle w:val="770"/>
        <w:jc w:val="center"/>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r>
      <w:r/>
    </w:p>
    <w:p>
      <w:pPr>
        <w:pStyle w:val="770"/>
        <w:jc w:val="center"/>
        <w:spacing w:line="360" w:lineRule="auto"/>
        <w:rPr>
          <w:rFonts w:hint="eastAsia" w:ascii="宋体" w:hAnsi="宋体" w:cs="宋体"/>
          <w:b/>
          <w:color w:val="000000"/>
          <w:spacing w:val="15"/>
          <w:sz w:val="24"/>
          <w:szCs w:val="24"/>
          <w:highlight w:val="none"/>
        </w:rPr>
      </w:pPr>
      <w:r>
        <w:rPr>
          <w:rFonts w:hint="eastAsia" w:ascii="宋体" w:hAnsi="宋体" w:cs="宋体"/>
          <w:b/>
          <w:color w:val="000000"/>
          <w:spacing w:val="15"/>
          <w:sz w:val="24"/>
          <w:szCs w:val="24"/>
          <w:highlight w:val="none"/>
        </w:rPr>
        <w:t xml:space="preserve">属于监狱企业的证明文件</w:t>
      </w:r>
      <w:r>
        <w:rPr>
          <w:rFonts w:hint="eastAsia" w:ascii="宋体" w:hAnsi="宋体" w:cs="宋体"/>
          <w:b/>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（提供由省级以上监狱管理局、戒毒管理局(含新疆生产建设兵团)出具的属于监狱企业的证 明文件）</w:t>
      </w:r>
      <w:bookmarkEnd w:id="362"/>
      <w:r>
        <w:rPr>
          <w:rFonts w:hint="eastAsia" w:ascii="宋体" w:hAnsi="宋体" w:cs="宋体"/>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770"/>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80</w:t>
    </w:r>
    <w:r>
      <w:rPr>
        <w:b/>
        <w:bCs/>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right" w:pos="8306" w:leader="none"/>
      </w:tabs>
      <w:rPr>
        <w:rStyle w:val="856"/>
      </w:rPr>
      <w:framePr w:wrap="around" w:vAnchor="text" w:hAnchor="margin" w:xAlign="center" w:y="1"/>
    </w:pPr>
    <w:r>
      <w:fldChar w:fldCharType="begin"/>
    </w:r>
    <w:r>
      <w:rPr>
        <w:rStyle w:val="856"/>
      </w:rPr>
      <w:instrText xml:space="preserve">PAGE  </w:instrText>
    </w:r>
    <w:r>
      <w:fldChar w:fldCharType="separate"/>
    </w:r>
    <w:r>
      <w:rPr>
        <w:rStyle w:val="856"/>
      </w:rPr>
      <w:t xml:space="preserve">1</w:t>
    </w:r>
    <w:r>
      <w:fldChar w:fldCharType="end"/>
    </w:r>
    <w:r>
      <w:rPr>
        <w:rStyle w:val="856"/>
      </w:rPr>
    </w:r>
    <w:r/>
  </w:p>
  <w:p>
    <w:pPr>
      <w:pStyle w:val="8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70"/>
        <w:ind w:left="0" w:firstLine="0"/>
      </w:pPr>
      <w:rPr>
        <w:rFonts w:hint="eastAsia"/>
      </w:rPr>
    </w:lvl>
    <w:lvl w:ilvl="1">
      <w:start w:val="1"/>
      <w:numFmt w:val="decimal"/>
      <w:pStyle w:val="1326"/>
      <w:isLgl w:val="false"/>
      <w:suff w:val="space"/>
      <w:lvlText w:val="%1.%2"/>
      <w:lvlJc w:val="left"/>
      <w:pPr>
        <w:pStyle w:val="770"/>
        <w:ind w:left="0" w:firstLine="0"/>
      </w:pPr>
      <w:rPr>
        <w:rFonts w:hint="eastAsia"/>
      </w:rPr>
    </w:lvl>
    <w:lvl w:ilvl="2">
      <w:start w:val="1"/>
      <w:numFmt w:val="decimal"/>
      <w:pStyle w:val="1327"/>
      <w:isLgl w:val="false"/>
      <w:suff w:val="space"/>
      <w:lvlText w:val="%1.%2.%3"/>
      <w:lvlJc w:val="left"/>
      <w:pPr>
        <w:pStyle w:val="770"/>
        <w:ind w:left="0" w:firstLine="0"/>
      </w:pPr>
      <w:rPr>
        <w:color w:val="000000"/>
        <w:sz w:val="21"/>
        <w:szCs w:val="21"/>
      </w:rPr>
    </w:lvl>
    <w:lvl w:ilvl="3">
      <w:start w:val="1"/>
      <w:numFmt w:val="decimal"/>
      <w:pStyle w:val="1328"/>
      <w:isLgl w:val="false"/>
      <w:suff w:val="space"/>
      <w:lvlText w:val="%1.%2.%3.%4"/>
      <w:lvlJc w:val="left"/>
      <w:pPr>
        <w:pStyle w:val="770"/>
        <w:ind w:left="142" w:firstLine="0"/>
      </w:pPr>
      <w:rPr>
        <w:rFonts w:hint="eastAsia"/>
        <w:color w:val="000000"/>
        <w:sz w:val="21"/>
        <w:szCs w:val="21"/>
      </w:rPr>
    </w:lvl>
    <w:lvl w:ilvl="4">
      <w:start w:val="1"/>
      <w:numFmt w:val="decimal"/>
      <w:isLgl w:val="false"/>
      <w:suff w:val="space"/>
      <w:lvlText w:val="%1.%2.%3.%4.%5"/>
      <w:lvlJc w:val="left"/>
      <w:pPr>
        <w:pStyle w:val="770"/>
        <w:ind w:left="0" w:firstLine="0"/>
      </w:pPr>
      <w:rPr>
        <w:rFonts w:hint="eastAsia"/>
        <w:color w:val="000000"/>
        <w:sz w:val="24"/>
        <w:szCs w:val="24"/>
      </w:rPr>
    </w:lvl>
    <w:lvl w:ilvl="5">
      <w:start w:val="1"/>
      <w:numFmt w:val="decimal"/>
      <w:isLgl w:val="false"/>
      <w:suff w:val="tab"/>
      <w:lvlText w:val="%1.%2.%3.%4.%5.%6"/>
      <w:lvlJc w:val="left"/>
      <w:pPr>
        <w:pStyle w:val="770"/>
        <w:ind w:left="3260" w:hanging="1134"/>
      </w:pPr>
      <w:rPr>
        <w:rFonts w:hint="eastAsia"/>
      </w:rPr>
    </w:lvl>
    <w:lvl w:ilvl="6">
      <w:start w:val="1"/>
      <w:numFmt w:val="decimal"/>
      <w:isLgl w:val="false"/>
      <w:suff w:val="tab"/>
      <w:lvlText w:val="%1.%2.%3.%4.%5.%6.%7"/>
      <w:lvlJc w:val="left"/>
      <w:pPr>
        <w:pStyle w:val="770"/>
        <w:ind w:left="3827" w:hanging="1276"/>
      </w:pPr>
      <w:rPr>
        <w:rFonts w:hint="eastAsia"/>
      </w:rPr>
    </w:lvl>
    <w:lvl w:ilvl="7">
      <w:start w:val="1"/>
      <w:numFmt w:val="decimal"/>
      <w:isLgl w:val="false"/>
      <w:suff w:val="tab"/>
      <w:lvlText w:val="%1.%2.%3.%4.%5.%6.%7.%8"/>
      <w:lvlJc w:val="left"/>
      <w:pPr>
        <w:pStyle w:val="770"/>
        <w:ind w:left="4394" w:hanging="1418"/>
      </w:pPr>
      <w:rPr>
        <w:rFonts w:hint="eastAsia"/>
      </w:rPr>
    </w:lvl>
    <w:lvl w:ilvl="8">
      <w:start w:val="1"/>
      <w:numFmt w:val="decimal"/>
      <w:isLgl w:val="false"/>
      <w:suff w:val="tab"/>
      <w:lvlText w:val="%1.%2.%3.%4.%5.%6.%7.%8.%9"/>
      <w:lvlJc w:val="left"/>
      <w:pPr>
        <w:pStyle w:val="770"/>
        <w:ind w:left="5102" w:hanging="1700"/>
      </w:pPr>
      <w:rPr>
        <w:rFonts w:hint="eastAsia"/>
      </w:rPr>
    </w:lvl>
  </w:abstractNum>
  <w:abstractNum w:abstractNumId="1">
    <w:multiLevelType w:val="hybridMultilevel"/>
    <w:lvl w:ilvl="0">
      <w:start w:val="1"/>
      <w:numFmt w:val="bullet"/>
      <w:pStyle w:val="1225"/>
      <w:isLgl w:val="false"/>
      <w:suff w:val="tab"/>
      <w:lvlText w:val=""/>
      <w:lvlJc w:val="left"/>
      <w:pPr>
        <w:pStyle w:val="770"/>
        <w:ind w:left="420" w:hanging="420"/>
        <w:tabs>
          <w:tab w:val="num" w:pos="420" w:leader="none"/>
        </w:tabs>
      </w:pPr>
      <w:rPr>
        <w:rFonts w:ascii="Wingdings" w:hAnsi="Wingdings"/>
      </w:rPr>
    </w:lvl>
    <w:lvl w:ilvl="1">
      <w:start w:val="1"/>
      <w:numFmt w:val="decimal"/>
      <w:isLgl w:val="false"/>
      <w:suff w:val="tab"/>
      <w:lvlText w:val="（%2）"/>
      <w:lvlJc w:val="left"/>
      <w:pPr>
        <w:pStyle w:val="770"/>
        <w:ind w:left="1500" w:hanging="1080"/>
        <w:tabs>
          <w:tab w:val="num" w:pos="1500" w:leader="none"/>
        </w:tabs>
      </w:pPr>
      <w:rPr>
        <w:rFonts w:hint="eastAsia"/>
      </w:rPr>
    </w:lvl>
    <w:lvl w:ilvl="2">
      <w:start w:val="1"/>
      <w:numFmt w:val="decimal"/>
      <w:isLgl w:val="false"/>
      <w:suff w:val="tab"/>
      <w:lvlText w:val="（%3）"/>
      <w:lvlJc w:val="left"/>
      <w:pPr>
        <w:pStyle w:val="770"/>
        <w:ind w:left="1560" w:hanging="720"/>
        <w:tabs>
          <w:tab w:val="num" w:pos="1560" w:leader="none"/>
        </w:tabs>
      </w:pPr>
      <w:rPr>
        <w:rFonts w:hint="eastAsia"/>
      </w:rPr>
    </w:lvl>
    <w:lvl w:ilvl="3">
      <w:start w:val="1"/>
      <w:numFmt w:val="decimal"/>
      <w:isLgl w:val="false"/>
      <w:suff w:val="tab"/>
      <w:lvlText w:val="%4."/>
      <w:lvlJc w:val="left"/>
      <w:pPr>
        <w:pStyle w:val="770"/>
        <w:ind w:left="1680" w:hanging="420"/>
        <w:tabs>
          <w:tab w:val="num" w:pos="1680" w:leader="none"/>
        </w:tabs>
      </w:pPr>
    </w:lvl>
    <w:lvl w:ilvl="4">
      <w:start w:val="1"/>
      <w:numFmt w:val="lowerLetter"/>
      <w:isLgl w:val="false"/>
      <w:suff w:val="tab"/>
      <w:lvlText w:val="%5)"/>
      <w:lvlJc w:val="left"/>
      <w:pPr>
        <w:pStyle w:val="770"/>
        <w:ind w:left="2100" w:hanging="420"/>
        <w:tabs>
          <w:tab w:val="num" w:pos="2100" w:leader="none"/>
        </w:tabs>
      </w:pPr>
    </w:lvl>
    <w:lvl w:ilvl="5">
      <w:start w:val="1"/>
      <w:numFmt w:val="lowerRoman"/>
      <w:isLgl w:val="false"/>
      <w:suff w:val="tab"/>
      <w:lvlText w:val="%6."/>
      <w:lvlJc w:val="right"/>
      <w:pPr>
        <w:pStyle w:val="770"/>
        <w:ind w:left="2520" w:hanging="420"/>
        <w:tabs>
          <w:tab w:val="num" w:pos="2520" w:leader="none"/>
        </w:tabs>
      </w:pPr>
    </w:lvl>
    <w:lvl w:ilvl="6">
      <w:start w:val="1"/>
      <w:numFmt w:val="decimal"/>
      <w:isLgl w:val="false"/>
      <w:suff w:val="tab"/>
      <w:lvlText w:val="%7."/>
      <w:lvlJc w:val="left"/>
      <w:pPr>
        <w:pStyle w:val="770"/>
        <w:ind w:left="2940" w:hanging="420"/>
        <w:tabs>
          <w:tab w:val="num" w:pos="2940" w:leader="none"/>
        </w:tabs>
      </w:pPr>
    </w:lvl>
    <w:lvl w:ilvl="7">
      <w:start w:val="1"/>
      <w:numFmt w:val="lowerLetter"/>
      <w:isLgl w:val="false"/>
      <w:suff w:val="tab"/>
      <w:lvlText w:val="%8)"/>
      <w:lvlJc w:val="left"/>
      <w:pPr>
        <w:pStyle w:val="770"/>
        <w:ind w:left="3360" w:hanging="420"/>
        <w:tabs>
          <w:tab w:val="num" w:pos="3360" w:leader="none"/>
        </w:tabs>
      </w:pPr>
    </w:lvl>
    <w:lvl w:ilvl="8">
      <w:start w:val="1"/>
      <w:numFmt w:val="lowerRoman"/>
      <w:isLgl w:val="false"/>
      <w:suff w:val="tab"/>
      <w:lvlText w:val="%9."/>
      <w:lvlJc w:val="right"/>
      <w:pPr>
        <w:pStyle w:val="770"/>
        <w:ind w:left="3780" w:hanging="420"/>
        <w:tabs>
          <w:tab w:val="num" w:pos="3780" w:leader="none"/>
        </w:tabs>
      </w:pPr>
    </w:lvl>
  </w:abstractNum>
  <w:abstractNum w:abstractNumId="2">
    <w:multiLevelType w:val="hybridMultilevel"/>
    <w:lvl w:ilvl="0">
      <w:start w:val="1"/>
      <w:numFmt w:val="bullet"/>
      <w:pStyle w:val="1191"/>
      <w:isLgl w:val="false"/>
      <w:suff w:val="tab"/>
      <w:lvlText w:val=""/>
      <w:lvlJc w:val="left"/>
      <w:pPr>
        <w:pStyle w:val="770"/>
        <w:ind w:left="360" w:hanging="360"/>
        <w:tabs>
          <w:tab w:val="num" w:pos="360" w:leader="none"/>
        </w:tabs>
      </w:pPr>
      <w:rPr>
        <w:rFonts w:ascii="Symbol" w:hAnsi="Symbol"/>
      </w:r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条"/>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70"/>
        <w:ind w:left="480" w:hanging="480"/>
      </w:pPr>
    </w:lvl>
    <w:lvl w:ilvl="1">
      <w:start w:val="1"/>
      <w:numFmt w:val="lowerLetter"/>
      <w:isLgl w:val="false"/>
      <w:suff w:val="tab"/>
      <w:lvlText w:val="%2)"/>
      <w:lvlJc w:val="left"/>
      <w:pPr>
        <w:pStyle w:val="770"/>
        <w:ind w:left="840" w:hanging="420"/>
      </w:pPr>
    </w:lvl>
    <w:lvl w:ilvl="2">
      <w:start w:val="1"/>
      <w:numFmt w:val="lowerRoman"/>
      <w:isLgl w:val="false"/>
      <w:suff w:val="tab"/>
      <w:lvlText w:val="%3."/>
      <w:lvlJc w:val="right"/>
      <w:pPr>
        <w:pStyle w:val="770"/>
        <w:ind w:left="1260" w:hanging="420"/>
      </w:pPr>
    </w:lvl>
    <w:lvl w:ilvl="3">
      <w:start w:val="1"/>
      <w:numFmt w:val="decimal"/>
      <w:isLgl w:val="false"/>
      <w:suff w:val="tab"/>
      <w:lvlText w:val="%4."/>
      <w:lvlJc w:val="left"/>
      <w:pPr>
        <w:pStyle w:val="770"/>
        <w:ind w:left="1680" w:hanging="420"/>
      </w:pPr>
    </w:lvl>
    <w:lvl w:ilvl="4">
      <w:start w:val="1"/>
      <w:numFmt w:val="lowerLetter"/>
      <w:isLgl w:val="false"/>
      <w:suff w:val="tab"/>
      <w:lvlText w:val="%5)"/>
      <w:lvlJc w:val="left"/>
      <w:pPr>
        <w:pStyle w:val="770"/>
        <w:ind w:left="2100" w:hanging="420"/>
      </w:pPr>
    </w:lvl>
    <w:lvl w:ilvl="5">
      <w:start w:val="1"/>
      <w:numFmt w:val="lowerRoman"/>
      <w:isLgl w:val="false"/>
      <w:suff w:val="tab"/>
      <w:lvlText w:val="%6."/>
      <w:lvlJc w:val="right"/>
      <w:pPr>
        <w:pStyle w:val="770"/>
        <w:ind w:left="2520" w:hanging="420"/>
      </w:pPr>
    </w:lvl>
    <w:lvl w:ilvl="6">
      <w:start w:val="1"/>
      <w:numFmt w:val="decimal"/>
      <w:isLgl w:val="false"/>
      <w:suff w:val="tab"/>
      <w:lvlText w:val="%7."/>
      <w:lvlJc w:val="left"/>
      <w:pPr>
        <w:pStyle w:val="770"/>
        <w:ind w:left="2940" w:hanging="420"/>
      </w:pPr>
    </w:lvl>
    <w:lvl w:ilvl="7">
      <w:start w:val="1"/>
      <w:numFmt w:val="lowerLetter"/>
      <w:isLgl w:val="false"/>
      <w:suff w:val="tab"/>
      <w:lvlText w:val="%8)"/>
      <w:lvlJc w:val="left"/>
      <w:pPr>
        <w:pStyle w:val="770"/>
        <w:ind w:left="3360" w:hanging="420"/>
      </w:pPr>
    </w:lvl>
    <w:lvl w:ilvl="8">
      <w:start w:val="1"/>
      <w:numFmt w:val="lowerRoman"/>
      <w:isLgl w:val="false"/>
      <w:suff w:val="tab"/>
      <w:lvlText w:val="%9."/>
      <w:lvlJc w:val="right"/>
      <w:pPr>
        <w:pStyle w:val="770"/>
        <w:ind w:left="3780" w:hanging="420"/>
      </w:pPr>
    </w:lvl>
  </w:abstractNum>
  <w:abstractNum w:abstractNumId="5">
    <w:multiLevelType w:val="hybridMultilevel"/>
    <w:lvl w:ilvl="0">
      <w:start w:val="1"/>
      <w:numFmt w:val="decimal"/>
      <w:pStyle w:val="1149"/>
      <w:isLgl w:val="false"/>
      <w:suff w:val="tab"/>
      <w:lvlText w:val="%1"/>
      <w:lvlJc w:val="left"/>
      <w:pPr>
        <w:pStyle w:val="770"/>
        <w:ind w:left="567" w:hanging="567"/>
        <w:tabs>
          <w:tab w:val="num" w:pos="567" w:leader="none"/>
        </w:tabs>
      </w:pPr>
      <w:rPr>
        <w:rFonts w:hint="eastAsia"/>
      </w:rPr>
    </w:lvl>
    <w:lvl w:ilvl="1">
      <w:start w:val="1"/>
      <w:numFmt w:val="decimal"/>
      <w:pStyle w:val="1211"/>
      <w:isLgl w:val="false"/>
      <w:suff w:val="tab"/>
      <w:lvlText w:val="%1.%2"/>
      <w:lvlJc w:val="left"/>
      <w:pPr>
        <w:pStyle w:val="770"/>
        <w:ind w:left="567" w:hanging="283"/>
        <w:tabs>
          <w:tab w:val="num" w:pos="1004" w:leader="none"/>
        </w:tabs>
      </w:pPr>
      <w:rPr>
        <w:rFonts w:hint="eastAsia"/>
      </w:rPr>
    </w:lvl>
    <w:lvl w:ilvl="2">
      <w:start w:val="1"/>
      <w:numFmt w:val="decimal"/>
      <w:isLgl w:val="false"/>
      <w:suff w:val="tab"/>
      <w:lvlText w:val="%1.%2.%3"/>
      <w:lvlJc w:val="left"/>
      <w:pPr>
        <w:pStyle w:val="770"/>
        <w:ind w:left="1134" w:hanging="567"/>
        <w:tabs>
          <w:tab w:val="num" w:pos="1647" w:leader="none"/>
        </w:tabs>
      </w:pPr>
      <w:rPr>
        <w:rFonts w:hint="eastAsia"/>
      </w:rPr>
    </w:lvl>
    <w:lvl w:ilvl="3">
      <w:start w:val="1"/>
      <w:numFmt w:val="decimal"/>
      <w:isLgl w:val="false"/>
      <w:suff w:val="tab"/>
      <w:lvlText w:val="%1.%2.%3.%4"/>
      <w:lvlJc w:val="left"/>
      <w:pPr>
        <w:pStyle w:val="770"/>
        <w:ind w:left="2851" w:hanging="708"/>
        <w:tabs>
          <w:tab w:val="num" w:pos="3223" w:leader="none"/>
        </w:tabs>
      </w:pPr>
      <w:rPr>
        <w:rFonts w:hint="eastAsia"/>
      </w:rPr>
    </w:lvl>
    <w:lvl w:ilvl="4">
      <w:start w:val="1"/>
      <w:numFmt w:val="decimal"/>
      <w:isLgl w:val="false"/>
      <w:suff w:val="tab"/>
      <w:lvlText w:val="%1.%2.%3.%4.%5"/>
      <w:lvlJc w:val="left"/>
      <w:pPr>
        <w:pStyle w:val="770"/>
        <w:ind w:left="3418" w:hanging="850"/>
        <w:tabs>
          <w:tab w:val="num" w:pos="3648" w:leader="none"/>
        </w:tabs>
      </w:pPr>
      <w:rPr>
        <w:rFonts w:hint="eastAsia"/>
      </w:rPr>
    </w:lvl>
    <w:lvl w:ilvl="5">
      <w:start w:val="1"/>
      <w:numFmt w:val="decimal"/>
      <w:isLgl w:val="false"/>
      <w:suff w:val="tab"/>
      <w:lvlText w:val="%1.%2.%3.%4.%5.%6"/>
      <w:lvlJc w:val="left"/>
      <w:pPr>
        <w:pStyle w:val="770"/>
        <w:ind w:left="4127" w:hanging="1134"/>
        <w:tabs>
          <w:tab w:val="num" w:pos="4433" w:leader="none"/>
        </w:tabs>
      </w:pPr>
      <w:rPr>
        <w:rFonts w:hint="eastAsia"/>
      </w:rPr>
    </w:lvl>
    <w:lvl w:ilvl="6">
      <w:start w:val="1"/>
      <w:numFmt w:val="decimal"/>
      <w:isLgl w:val="false"/>
      <w:suff w:val="tab"/>
      <w:lvlText w:val="%1.%2.%3.%4.%5.%6.%7"/>
      <w:lvlJc w:val="left"/>
      <w:pPr>
        <w:pStyle w:val="770"/>
        <w:ind w:left="4694" w:hanging="1276"/>
        <w:tabs>
          <w:tab w:val="num" w:pos="4858" w:leader="none"/>
        </w:tabs>
      </w:pPr>
      <w:rPr>
        <w:rFonts w:hint="eastAsia"/>
      </w:rPr>
    </w:lvl>
    <w:lvl w:ilvl="7">
      <w:start w:val="1"/>
      <w:numFmt w:val="decimal"/>
      <w:isLgl w:val="false"/>
      <w:suff w:val="tab"/>
      <w:lvlText w:val="%1.%2.%3.%4.%5.%6.%7.%8"/>
      <w:lvlJc w:val="left"/>
      <w:pPr>
        <w:pStyle w:val="770"/>
        <w:ind w:left="5261" w:hanging="1418"/>
        <w:tabs>
          <w:tab w:val="num" w:pos="5643" w:leader="none"/>
        </w:tabs>
      </w:pPr>
      <w:rPr>
        <w:rFonts w:hint="eastAsia"/>
      </w:rPr>
    </w:lvl>
    <w:lvl w:ilvl="8">
      <w:start w:val="1"/>
      <w:numFmt w:val="decimal"/>
      <w:isLgl w:val="false"/>
      <w:suff w:val="tab"/>
      <w:lvlText w:val="%1.%2.%3.%4.%5.%6.%7.%8.%9"/>
      <w:lvlJc w:val="left"/>
      <w:pPr>
        <w:pStyle w:val="770"/>
        <w:ind w:left="5969" w:hanging="1700"/>
        <w:tabs>
          <w:tab w:val="num" w:pos="6429" w:leader="none"/>
        </w:tabs>
      </w:pPr>
      <w:rPr>
        <w:rFonts w:hint="eastAsia"/>
      </w:rPr>
    </w:lvl>
  </w:abstractNum>
  <w:abstractNum w:abstractNumId="6">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70"/>
        <w:ind w:left="720" w:hanging="720"/>
      </w:pPr>
    </w:lvl>
    <w:lvl w:ilvl="1">
      <w:start w:val="1"/>
      <w:numFmt w:val="lowerLetter"/>
      <w:isLgl w:val="false"/>
      <w:suff w:val="tab"/>
      <w:lvlText w:val="%2)"/>
      <w:lvlJc w:val="left"/>
      <w:pPr>
        <w:pStyle w:val="770"/>
        <w:ind w:left="840" w:hanging="420"/>
      </w:pPr>
    </w:lvl>
    <w:lvl w:ilvl="2">
      <w:start w:val="1"/>
      <w:numFmt w:val="lowerRoman"/>
      <w:isLgl w:val="false"/>
      <w:suff w:val="tab"/>
      <w:lvlText w:val="%3."/>
      <w:lvlJc w:val="right"/>
      <w:pPr>
        <w:pStyle w:val="770"/>
        <w:ind w:left="1260" w:hanging="420"/>
      </w:pPr>
    </w:lvl>
    <w:lvl w:ilvl="3">
      <w:start w:val="1"/>
      <w:numFmt w:val="decimal"/>
      <w:isLgl w:val="false"/>
      <w:suff w:val="tab"/>
      <w:lvlText w:val="%4."/>
      <w:lvlJc w:val="left"/>
      <w:pPr>
        <w:pStyle w:val="770"/>
        <w:ind w:left="1680" w:hanging="420"/>
      </w:pPr>
    </w:lvl>
    <w:lvl w:ilvl="4">
      <w:start w:val="1"/>
      <w:numFmt w:val="lowerLetter"/>
      <w:isLgl w:val="false"/>
      <w:suff w:val="tab"/>
      <w:lvlText w:val="%5)"/>
      <w:lvlJc w:val="left"/>
      <w:pPr>
        <w:pStyle w:val="770"/>
        <w:ind w:left="2100" w:hanging="420"/>
      </w:pPr>
    </w:lvl>
    <w:lvl w:ilvl="5">
      <w:start w:val="1"/>
      <w:numFmt w:val="lowerRoman"/>
      <w:isLgl w:val="false"/>
      <w:suff w:val="tab"/>
      <w:lvlText w:val="%6."/>
      <w:lvlJc w:val="right"/>
      <w:pPr>
        <w:pStyle w:val="770"/>
        <w:ind w:left="2520" w:hanging="420"/>
      </w:pPr>
    </w:lvl>
    <w:lvl w:ilvl="6">
      <w:start w:val="1"/>
      <w:numFmt w:val="decimal"/>
      <w:isLgl w:val="false"/>
      <w:suff w:val="tab"/>
      <w:lvlText w:val="%7."/>
      <w:lvlJc w:val="left"/>
      <w:pPr>
        <w:pStyle w:val="770"/>
        <w:ind w:left="2940" w:hanging="420"/>
      </w:pPr>
    </w:lvl>
    <w:lvl w:ilvl="7">
      <w:start w:val="1"/>
      <w:numFmt w:val="lowerLetter"/>
      <w:isLgl w:val="false"/>
      <w:suff w:val="tab"/>
      <w:lvlText w:val="%8)"/>
      <w:lvlJc w:val="left"/>
      <w:pPr>
        <w:pStyle w:val="770"/>
        <w:ind w:left="3360" w:hanging="420"/>
      </w:pPr>
    </w:lvl>
    <w:lvl w:ilvl="8">
      <w:start w:val="1"/>
      <w:numFmt w:val="lowerRoman"/>
      <w:isLgl w:val="false"/>
      <w:suff w:val="tab"/>
      <w:lvlText w:val="%9."/>
      <w:lvlJc w:val="right"/>
      <w:pPr>
        <w:pStyle w:val="770"/>
        <w:ind w:left="3780" w:hanging="420"/>
      </w:pPr>
    </w:lvl>
  </w:abstractNum>
  <w:abstractNum w:abstractNumId="9">
    <w:multiLevelType w:val="hybridMultilevel"/>
    <w:lvl w:ilvl="0">
      <w:start w:val="1"/>
      <w:numFmt w:val="decimal"/>
      <w:pStyle w:val="1200"/>
      <w:isLgl w:val="false"/>
      <w:suff w:val="tab"/>
      <w:lvlText w:val="(%1)"/>
      <w:lvlJc w:val="left"/>
      <w:pPr>
        <w:pStyle w:val="77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70"/>
        <w:ind w:left="840" w:hanging="420"/>
        <w:tabs>
          <w:tab w:val="num" w:pos="840" w:leader="none"/>
        </w:tabs>
      </w:pPr>
    </w:lvl>
    <w:lvl w:ilvl="2">
      <w:start w:val="1"/>
      <w:numFmt w:val="lowerRoman"/>
      <w:isLgl w:val="false"/>
      <w:suff w:val="tab"/>
      <w:lvlText w:val="%3."/>
      <w:lvlJc w:val="right"/>
      <w:pPr>
        <w:pStyle w:val="770"/>
        <w:ind w:left="1260" w:hanging="420"/>
        <w:tabs>
          <w:tab w:val="num" w:pos="1260" w:leader="none"/>
        </w:tabs>
      </w:pPr>
    </w:lvl>
    <w:lvl w:ilvl="3">
      <w:start w:val="1"/>
      <w:numFmt w:val="decimal"/>
      <w:isLgl w:val="false"/>
      <w:suff w:val="tab"/>
      <w:lvlText w:val="%4."/>
      <w:lvlJc w:val="left"/>
      <w:pPr>
        <w:pStyle w:val="770"/>
        <w:ind w:left="1680" w:hanging="420"/>
        <w:tabs>
          <w:tab w:val="num" w:pos="1680" w:leader="none"/>
        </w:tabs>
      </w:pPr>
    </w:lvl>
    <w:lvl w:ilvl="4">
      <w:start w:val="1"/>
      <w:numFmt w:val="lowerLetter"/>
      <w:pStyle w:val="1222"/>
      <w:isLgl w:val="false"/>
      <w:suff w:val="tab"/>
      <w:lvlText w:val="%5)"/>
      <w:lvlJc w:val="left"/>
      <w:pPr>
        <w:pStyle w:val="770"/>
        <w:ind w:left="2100" w:hanging="420"/>
        <w:tabs>
          <w:tab w:val="num" w:pos="2100" w:leader="none"/>
        </w:tabs>
      </w:pPr>
    </w:lvl>
    <w:lvl w:ilvl="5">
      <w:start w:val="1"/>
      <w:numFmt w:val="lowerRoman"/>
      <w:isLgl w:val="false"/>
      <w:suff w:val="tab"/>
      <w:lvlText w:val="%6."/>
      <w:lvlJc w:val="right"/>
      <w:pPr>
        <w:pStyle w:val="770"/>
        <w:ind w:left="2520" w:hanging="420"/>
        <w:tabs>
          <w:tab w:val="num" w:pos="2520" w:leader="none"/>
        </w:tabs>
      </w:pPr>
    </w:lvl>
    <w:lvl w:ilvl="6">
      <w:start w:val="1"/>
      <w:numFmt w:val="decimal"/>
      <w:isLgl w:val="false"/>
      <w:suff w:val="tab"/>
      <w:lvlText w:val="%7."/>
      <w:lvlJc w:val="left"/>
      <w:pPr>
        <w:pStyle w:val="770"/>
        <w:ind w:left="2940" w:hanging="420"/>
        <w:tabs>
          <w:tab w:val="num" w:pos="2940" w:leader="none"/>
        </w:tabs>
      </w:pPr>
    </w:lvl>
    <w:lvl w:ilvl="7">
      <w:start w:val="1"/>
      <w:numFmt w:val="lowerLetter"/>
      <w:isLgl w:val="false"/>
      <w:suff w:val="tab"/>
      <w:lvlText w:val="%8)"/>
      <w:lvlJc w:val="left"/>
      <w:pPr>
        <w:pStyle w:val="770"/>
        <w:ind w:left="3360" w:hanging="420"/>
        <w:tabs>
          <w:tab w:val="num" w:pos="3360" w:leader="none"/>
        </w:tabs>
      </w:pPr>
    </w:lvl>
    <w:lvl w:ilvl="8">
      <w:start w:val="1"/>
      <w:numFmt w:val="lowerRoman"/>
      <w:isLgl w:val="false"/>
      <w:suff w:val="tab"/>
      <w:lvlText w:val="%9."/>
      <w:lvlJc w:val="right"/>
      <w:pPr>
        <w:pStyle w:val="770"/>
        <w:ind w:left="3780" w:hanging="420"/>
        <w:tabs>
          <w:tab w:val="num" w:pos="3780" w:leader="none"/>
        </w:tabs>
      </w:pPr>
    </w:lvl>
  </w:abstractNum>
  <w:abstractNum w:abstractNumId="10">
    <w:multiLevelType w:val="hybridMultilevel"/>
    <w:lvl w:ilvl="0">
      <w:start w:val="4"/>
      <w:numFmt w:val="decimal"/>
      <w:isLgl w:val="false"/>
      <w:suff w:val="tab"/>
      <w:lvlText w:val="%1."/>
      <w:lvlJc w:val="left"/>
      <w:pPr>
        <w:pStyle w:val="770"/>
        <w:tabs>
          <w:tab w:val="num" w:pos="312" w:leader="none"/>
        </w:tabs>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9"/>
  </w:num>
  <w:num w:numId="4">
    <w:abstractNumId w:val="1"/>
  </w:num>
  <w:num w:numId="5">
    <w:abstractNumId w:val="0"/>
  </w:num>
  <w:num w:numId="6">
    <w:abstractNumId w:val="6"/>
  </w:num>
  <w:num w:numId="7">
    <w:abstractNumId w:val="11"/>
  </w:num>
  <w:num w:numId="8">
    <w:abstractNumId w:val="10"/>
  </w:num>
  <w:num w:numId="9">
    <w:abstractNumId w:val="7"/>
  </w:num>
  <w:num w:numId="10">
    <w:abstractNumId w:val="3"/>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770"/>
    <w:next w:val="770"/>
    <w:link w:val="874"/>
    <w:uiPriority w:val="9"/>
    <w:qFormat/>
    <w:pPr>
      <w:keepLines/>
      <w:keepNext/>
      <w:spacing w:before="480" w:after="200"/>
      <w:outlineLvl w:val="0"/>
    </w:pPr>
    <w:rPr>
      <w:rFonts w:ascii="Arial" w:hAnsi="Arial" w:eastAsia="Arial" w:cs="Arial"/>
      <w:sz w:val="40"/>
      <w:szCs w:val="40"/>
    </w:rPr>
  </w:style>
  <w:style w:type="paragraph" w:styleId="737">
    <w:name w:val="Heading 2"/>
    <w:basedOn w:val="770"/>
    <w:next w:val="770"/>
    <w:link w:val="875"/>
    <w:uiPriority w:val="9"/>
    <w:unhideWhenUsed/>
    <w:qFormat/>
    <w:pPr>
      <w:keepLines/>
      <w:keepNext/>
      <w:spacing w:before="360" w:after="200"/>
      <w:outlineLvl w:val="1"/>
    </w:pPr>
    <w:rPr>
      <w:rFonts w:ascii="Arial" w:hAnsi="Arial" w:eastAsia="Arial" w:cs="Arial"/>
      <w:sz w:val="34"/>
    </w:rPr>
  </w:style>
  <w:style w:type="paragraph" w:styleId="738">
    <w:name w:val="Heading 3"/>
    <w:basedOn w:val="770"/>
    <w:next w:val="770"/>
    <w:link w:val="876"/>
    <w:uiPriority w:val="9"/>
    <w:unhideWhenUsed/>
    <w:qFormat/>
    <w:pPr>
      <w:keepLines/>
      <w:keepNext/>
      <w:spacing w:before="320" w:after="200"/>
      <w:outlineLvl w:val="2"/>
    </w:pPr>
    <w:rPr>
      <w:rFonts w:ascii="Arial" w:hAnsi="Arial" w:eastAsia="Arial" w:cs="Arial"/>
      <w:sz w:val="30"/>
      <w:szCs w:val="30"/>
    </w:rPr>
  </w:style>
  <w:style w:type="paragraph" w:styleId="739">
    <w:name w:val="Heading 4"/>
    <w:basedOn w:val="770"/>
    <w:next w:val="770"/>
    <w:link w:val="877"/>
    <w:uiPriority w:val="9"/>
    <w:unhideWhenUsed/>
    <w:qFormat/>
    <w:pPr>
      <w:keepLines/>
      <w:keepNext/>
      <w:spacing w:before="320" w:after="200"/>
      <w:outlineLvl w:val="3"/>
    </w:pPr>
    <w:rPr>
      <w:rFonts w:ascii="Arial" w:hAnsi="Arial" w:eastAsia="Arial" w:cs="Arial"/>
      <w:b/>
      <w:bCs/>
      <w:sz w:val="26"/>
      <w:szCs w:val="26"/>
    </w:rPr>
  </w:style>
  <w:style w:type="paragraph" w:styleId="740">
    <w:name w:val="Heading 5"/>
    <w:basedOn w:val="770"/>
    <w:next w:val="770"/>
    <w:link w:val="878"/>
    <w:uiPriority w:val="9"/>
    <w:unhideWhenUsed/>
    <w:qFormat/>
    <w:pPr>
      <w:keepLines/>
      <w:keepNext/>
      <w:spacing w:before="320" w:after="200"/>
      <w:outlineLvl w:val="4"/>
    </w:pPr>
    <w:rPr>
      <w:rFonts w:ascii="Arial" w:hAnsi="Arial" w:eastAsia="Arial" w:cs="Arial"/>
      <w:b/>
      <w:bCs/>
      <w:sz w:val="24"/>
      <w:szCs w:val="24"/>
    </w:rPr>
  </w:style>
  <w:style w:type="paragraph" w:styleId="741">
    <w:name w:val="Heading 6"/>
    <w:basedOn w:val="770"/>
    <w:next w:val="770"/>
    <w:link w:val="879"/>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70"/>
    <w:next w:val="770"/>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70"/>
    <w:next w:val="770"/>
    <w:link w:val="881"/>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70"/>
    <w:next w:val="770"/>
    <w:link w:val="882"/>
    <w:uiPriority w:val="9"/>
    <w:unhideWhenUsed/>
    <w:qFormat/>
    <w:pPr>
      <w:keepLines/>
      <w:keepNext/>
      <w:spacing w:before="320" w:after="200"/>
      <w:outlineLvl w:val="8"/>
    </w:pPr>
    <w:rPr>
      <w:rFonts w:ascii="Arial" w:hAnsi="Arial" w:eastAsia="Arial" w:cs="Arial"/>
      <w:i/>
      <w:iCs/>
      <w:sz w:val="21"/>
      <w:szCs w:val="21"/>
    </w:rPr>
  </w:style>
  <w:style w:type="paragraph" w:styleId="745">
    <w:name w:val="List Paragraph"/>
    <w:basedOn w:val="770"/>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770"/>
    <w:next w:val="770"/>
    <w:link w:val="883"/>
    <w:uiPriority w:val="10"/>
    <w:qFormat/>
    <w:pPr>
      <w:contextualSpacing/>
      <w:spacing w:before="300" w:after="200"/>
    </w:pPr>
    <w:rPr>
      <w:sz w:val="48"/>
      <w:szCs w:val="48"/>
    </w:rPr>
  </w:style>
  <w:style w:type="paragraph" w:styleId="748">
    <w:name w:val="Subtitle"/>
    <w:basedOn w:val="770"/>
    <w:next w:val="770"/>
    <w:link w:val="884"/>
    <w:uiPriority w:val="11"/>
    <w:qFormat/>
    <w:pPr>
      <w:spacing w:before="200" w:after="200"/>
    </w:pPr>
    <w:rPr>
      <w:sz w:val="24"/>
      <w:szCs w:val="24"/>
    </w:rPr>
  </w:style>
  <w:style w:type="paragraph" w:styleId="749">
    <w:name w:val="Quote"/>
    <w:basedOn w:val="770"/>
    <w:next w:val="770"/>
    <w:link w:val="885"/>
    <w:uiPriority w:val="29"/>
    <w:qFormat/>
    <w:pPr>
      <w:ind w:left="720" w:right="720"/>
    </w:pPr>
    <w:rPr>
      <w:i/>
    </w:rPr>
  </w:style>
  <w:style w:type="paragraph" w:styleId="750">
    <w:name w:val="Intense Quote"/>
    <w:basedOn w:val="770"/>
    <w:next w:val="770"/>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name w:val="Header"/>
    <w:basedOn w:val="770"/>
    <w:link w:val="887"/>
    <w:uiPriority w:val="99"/>
    <w:unhideWhenUsed/>
    <w:pPr>
      <w:spacing w:after="0" w:line="240" w:lineRule="auto"/>
      <w:tabs>
        <w:tab w:val="center" w:pos="7143" w:leader="none"/>
        <w:tab w:val="right" w:pos="14287" w:leader="none"/>
      </w:tabs>
    </w:pPr>
  </w:style>
  <w:style w:type="paragraph" w:styleId="752">
    <w:name w:val="Footer"/>
    <w:basedOn w:val="770"/>
    <w:link w:val="889"/>
    <w:uiPriority w:val="99"/>
    <w:unhideWhenUsed/>
    <w:pPr>
      <w:spacing w:after="0" w:line="240" w:lineRule="auto"/>
      <w:tabs>
        <w:tab w:val="center" w:pos="7143" w:leader="none"/>
        <w:tab w:val="right" w:pos="14287" w:leader="none"/>
      </w:tabs>
    </w:pPr>
  </w:style>
  <w:style w:type="paragraph" w:styleId="753">
    <w:name w:val="Caption"/>
    <w:basedOn w:val="770"/>
    <w:next w:val="770"/>
    <w:uiPriority w:val="35"/>
    <w:semiHidden/>
    <w:unhideWhenUsed/>
    <w:qFormat/>
    <w:pPr>
      <w:spacing w:line="276" w:lineRule="auto"/>
    </w:pPr>
    <w:rPr>
      <w:b/>
      <w:bCs/>
      <w:color w:val="4f81bd" w:themeColor="accent1"/>
      <w:sz w:val="18"/>
      <w:szCs w:val="18"/>
    </w:rPr>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Hyperlink"/>
    <w:uiPriority w:val="99"/>
    <w:unhideWhenUsed/>
    <w:rPr>
      <w:color w:val="0000ff" w:themeColor="hyperlink"/>
      <w:u w:val="single"/>
    </w:rPr>
  </w:style>
  <w:style w:type="paragraph" w:styleId="756">
    <w:name w:val="footnote text"/>
    <w:basedOn w:val="770"/>
    <w:link w:val="1015"/>
    <w:uiPriority w:val="99"/>
    <w:semiHidden/>
    <w:unhideWhenUsed/>
    <w:pPr>
      <w:spacing w:after="40" w:line="240" w:lineRule="auto"/>
    </w:pPr>
    <w:rPr>
      <w:sz w:val="18"/>
    </w:rPr>
  </w:style>
  <w:style w:type="character" w:styleId="757">
    <w:name w:val="footnote reference"/>
    <w:uiPriority w:val="99"/>
    <w:unhideWhenUsed/>
    <w:rPr>
      <w:vertAlign w:val="superscript"/>
    </w:rPr>
  </w:style>
  <w:style w:type="paragraph" w:styleId="758">
    <w:name w:val="endnote text"/>
    <w:basedOn w:val="770"/>
    <w:link w:val="1016"/>
    <w:uiPriority w:val="99"/>
    <w:semiHidden/>
    <w:unhideWhenUsed/>
    <w:pPr>
      <w:spacing w:after="0" w:line="240" w:lineRule="auto"/>
    </w:pPr>
    <w:rPr>
      <w:sz w:val="20"/>
    </w:rPr>
  </w:style>
  <w:style w:type="character" w:styleId="759">
    <w:name w:val="endnote reference"/>
    <w:uiPriority w:val="99"/>
    <w:semiHidden/>
    <w:unhideWhenUsed/>
    <w:rPr>
      <w:vertAlign w:val="superscript"/>
    </w:rPr>
  </w:style>
  <w:style w:type="paragraph" w:styleId="760">
    <w:name w:val="toc 1"/>
    <w:basedOn w:val="770"/>
    <w:next w:val="770"/>
    <w:uiPriority w:val="39"/>
    <w:unhideWhenUsed/>
    <w:pPr>
      <w:ind w:left="0" w:right="0" w:firstLine="0"/>
      <w:spacing w:after="57"/>
    </w:pPr>
  </w:style>
  <w:style w:type="paragraph" w:styleId="761">
    <w:name w:val="toc 2"/>
    <w:basedOn w:val="770"/>
    <w:next w:val="770"/>
    <w:uiPriority w:val="39"/>
    <w:unhideWhenUsed/>
    <w:pPr>
      <w:ind w:left="283" w:right="0" w:firstLine="0"/>
      <w:spacing w:after="57"/>
    </w:pPr>
  </w:style>
  <w:style w:type="paragraph" w:styleId="762">
    <w:name w:val="toc 3"/>
    <w:basedOn w:val="770"/>
    <w:next w:val="770"/>
    <w:uiPriority w:val="39"/>
    <w:unhideWhenUsed/>
    <w:pPr>
      <w:ind w:left="567" w:right="0" w:firstLine="0"/>
      <w:spacing w:after="57"/>
    </w:pPr>
  </w:style>
  <w:style w:type="paragraph" w:styleId="763">
    <w:name w:val="toc 4"/>
    <w:basedOn w:val="770"/>
    <w:next w:val="770"/>
    <w:uiPriority w:val="39"/>
    <w:unhideWhenUsed/>
    <w:pPr>
      <w:ind w:left="850" w:right="0" w:firstLine="0"/>
      <w:spacing w:after="57"/>
    </w:pPr>
  </w:style>
  <w:style w:type="paragraph" w:styleId="764">
    <w:name w:val="toc 5"/>
    <w:basedOn w:val="770"/>
    <w:next w:val="770"/>
    <w:uiPriority w:val="39"/>
    <w:unhideWhenUsed/>
    <w:pPr>
      <w:ind w:left="1134" w:right="0" w:firstLine="0"/>
      <w:spacing w:after="57"/>
    </w:pPr>
  </w:style>
  <w:style w:type="paragraph" w:styleId="765">
    <w:name w:val="toc 6"/>
    <w:basedOn w:val="770"/>
    <w:next w:val="770"/>
    <w:uiPriority w:val="39"/>
    <w:unhideWhenUsed/>
    <w:pPr>
      <w:ind w:left="1417" w:right="0" w:firstLine="0"/>
      <w:spacing w:after="57"/>
    </w:pPr>
  </w:style>
  <w:style w:type="paragraph" w:styleId="766">
    <w:name w:val="toc 7"/>
    <w:basedOn w:val="770"/>
    <w:next w:val="770"/>
    <w:uiPriority w:val="39"/>
    <w:unhideWhenUsed/>
    <w:pPr>
      <w:ind w:left="1701" w:right="0" w:firstLine="0"/>
      <w:spacing w:after="57"/>
    </w:pPr>
  </w:style>
  <w:style w:type="paragraph" w:styleId="767">
    <w:name w:val="toc 8"/>
    <w:basedOn w:val="770"/>
    <w:next w:val="770"/>
    <w:uiPriority w:val="39"/>
    <w:unhideWhenUsed/>
    <w:pPr>
      <w:ind w:left="1984" w:right="0" w:firstLine="0"/>
      <w:spacing w:after="57"/>
    </w:pPr>
  </w:style>
  <w:style w:type="paragraph" w:styleId="768">
    <w:name w:val="toc 9"/>
    <w:basedOn w:val="770"/>
    <w:next w:val="770"/>
    <w:uiPriority w:val="39"/>
    <w:unhideWhenUsed/>
    <w:pPr>
      <w:ind w:left="2268" w:right="0" w:firstLine="0"/>
      <w:spacing w:after="57"/>
    </w:pPr>
  </w:style>
  <w:style w:type="paragraph" w:styleId="769">
    <w:name w:val="table of figures"/>
    <w:basedOn w:val="770"/>
    <w:next w:val="770"/>
    <w:uiPriority w:val="99"/>
    <w:unhideWhenUsed/>
    <w:pPr>
      <w:spacing w:after="0" w:afterAutospacing="0"/>
    </w:pPr>
  </w:style>
  <w:style w:type="paragraph" w:styleId="770" w:default="1">
    <w:name w:val="Normal"/>
    <w:next w:val="770"/>
    <w:link w:val="770"/>
    <w:qFormat/>
    <w:pPr>
      <w:jc w:val="both"/>
      <w:widowControl w:val="off"/>
    </w:pPr>
    <w:rPr>
      <w:sz w:val="21"/>
      <w:lang w:val="en-US" w:eastAsia="zh-CN" w:bidi="ar-SA"/>
    </w:rPr>
  </w:style>
  <w:style w:type="paragraph" w:styleId="771">
    <w:name w:val="标题 1"/>
    <w:basedOn w:val="770"/>
    <w:next w:val="770"/>
    <w:link w:val="77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72">
    <w:name w:val="标题 2"/>
    <w:basedOn w:val="770"/>
    <w:next w:val="770"/>
    <w:link w:val="782"/>
    <w:qFormat/>
    <w:pPr>
      <w:jc w:val="left"/>
      <w:keepLines/>
      <w:keepNext/>
      <w:spacing w:before="120" w:after="120"/>
      <w:outlineLvl w:val="1"/>
    </w:pPr>
    <w:rPr>
      <w:rFonts w:ascii="宋体" w:hAnsi="宋体"/>
      <w:b/>
      <w:szCs w:val="24"/>
    </w:rPr>
  </w:style>
  <w:style w:type="paragraph" w:styleId="773">
    <w:name w:val="标题 3"/>
    <w:basedOn w:val="770"/>
    <w:next w:val="784"/>
    <w:link w:val="783"/>
    <w:qFormat/>
    <w:pPr>
      <w:keepLines/>
      <w:keepNext/>
      <w:spacing w:line="390" w:lineRule="atLeast"/>
      <w:shd w:val="clear" w:color="auto" w:fill="ffffff"/>
      <w:outlineLvl w:val="2"/>
    </w:pPr>
    <w:rPr>
      <w:rFonts w:ascii="宋体" w:hAnsi="宋体"/>
      <w:b/>
      <w:szCs w:val="21"/>
    </w:rPr>
  </w:style>
  <w:style w:type="paragraph" w:styleId="774">
    <w:name w:val="标题 4"/>
    <w:basedOn w:val="770"/>
    <w:next w:val="770"/>
    <w:link w:val="785"/>
    <w:qFormat/>
    <w:pPr>
      <w:keepLines/>
      <w:keepNext/>
      <w:spacing w:before="120" w:after="120"/>
      <w:outlineLvl w:val="3"/>
    </w:pPr>
    <w:rPr>
      <w:rFonts w:ascii="Arial" w:hAnsi="Arial" w:eastAsia="黑体"/>
      <w:b/>
      <w:sz w:val="28"/>
    </w:rPr>
  </w:style>
  <w:style w:type="paragraph" w:styleId="775">
    <w:name w:val="标题 5"/>
    <w:basedOn w:val="770"/>
    <w:next w:val="784"/>
    <w:link w:val="786"/>
    <w:qFormat/>
    <w:pPr>
      <w:keepNext/>
      <w:spacing w:before="145" w:after="145"/>
      <w:outlineLvl w:val="4"/>
    </w:pPr>
    <w:rPr>
      <w:rFonts w:ascii="黑体" w:eastAsia="黑体"/>
      <w:b/>
      <w:color w:val="000000"/>
      <w:sz w:val="28"/>
    </w:rPr>
  </w:style>
  <w:style w:type="paragraph" w:styleId="776">
    <w:name w:val="标题 6"/>
    <w:basedOn w:val="770"/>
    <w:next w:val="770"/>
    <w:link w:val="787"/>
    <w:qFormat/>
    <w:pPr>
      <w:keepLines/>
      <w:keepNext/>
      <w:spacing w:before="240" w:after="64" w:line="320" w:lineRule="auto"/>
      <w:outlineLvl w:val="5"/>
    </w:pPr>
    <w:rPr>
      <w:rFonts w:ascii="Arial" w:hAnsi="Arial" w:eastAsia="黑体"/>
      <w:b/>
      <w:bCs/>
      <w:sz w:val="24"/>
      <w:szCs w:val="24"/>
    </w:rPr>
  </w:style>
  <w:style w:type="paragraph" w:styleId="777">
    <w:name w:val="标题 7"/>
    <w:basedOn w:val="770"/>
    <w:next w:val="770"/>
    <w:link w:val="788"/>
    <w:qFormat/>
    <w:pPr>
      <w:keepLines/>
      <w:keepNext/>
      <w:spacing w:before="240" w:after="64" w:line="320" w:lineRule="auto"/>
      <w:outlineLvl w:val="6"/>
    </w:pPr>
    <w:rPr>
      <w:b/>
      <w:bCs/>
      <w:sz w:val="24"/>
      <w:szCs w:val="24"/>
    </w:rPr>
  </w:style>
  <w:style w:type="paragraph" w:styleId="778">
    <w:name w:val="标题 8"/>
    <w:basedOn w:val="770"/>
    <w:next w:val="770"/>
    <w:link w:val="789"/>
    <w:qFormat/>
    <w:pPr>
      <w:keepLines/>
      <w:keepNext/>
      <w:spacing w:before="240" w:after="64" w:line="320" w:lineRule="auto"/>
      <w:outlineLvl w:val="7"/>
    </w:pPr>
    <w:rPr>
      <w:rFonts w:ascii="Arial" w:hAnsi="Arial" w:eastAsia="黑体"/>
      <w:sz w:val="24"/>
      <w:szCs w:val="24"/>
    </w:rPr>
  </w:style>
  <w:style w:type="paragraph" w:styleId="779">
    <w:name w:val="标题 9"/>
    <w:basedOn w:val="770"/>
    <w:next w:val="770"/>
    <w:link w:val="790"/>
    <w:qFormat/>
    <w:pPr>
      <w:keepLines/>
      <w:keepNext/>
      <w:spacing w:before="240" w:after="64" w:line="320" w:lineRule="auto"/>
      <w:outlineLvl w:val="8"/>
    </w:pPr>
    <w:rPr>
      <w:rFonts w:ascii="Arial" w:hAnsi="Arial" w:eastAsia="黑体"/>
      <w:szCs w:val="21"/>
    </w:rPr>
  </w:style>
  <w:style w:type="character" w:styleId="780">
    <w:name w:val="默认段落字体"/>
    <w:next w:val="780"/>
    <w:link w:val="770"/>
    <w:uiPriority w:val="1"/>
    <w:unhideWhenUsed/>
    <w:qFormat/>
  </w:style>
  <w:style w:type="table" w:styleId="781">
    <w:name w:val="普通表格"/>
    <w:next w:val="781"/>
    <w:link w:val="770"/>
    <w:uiPriority w:val="99"/>
    <w:unhideWhenUsed/>
    <w:qFormat/>
    <w:tblPr/>
  </w:style>
  <w:style w:type="character" w:styleId="782">
    <w:name w:val="标题 2 字符"/>
    <w:next w:val="782"/>
    <w:link w:val="772"/>
    <w:qFormat/>
    <w:rPr>
      <w:rFonts w:ascii="宋体" w:hAnsi="宋体" w:eastAsia="宋体"/>
      <w:b/>
      <w:sz w:val="21"/>
      <w:szCs w:val="24"/>
      <w:lang w:val="en-US" w:eastAsia="zh-CN" w:bidi="ar-SA"/>
    </w:rPr>
  </w:style>
  <w:style w:type="character" w:styleId="783">
    <w:name w:val="标题 3 字符"/>
    <w:next w:val="783"/>
    <w:link w:val="773"/>
    <w:qFormat/>
    <w:rPr>
      <w:rFonts w:ascii="宋体" w:hAnsi="宋体" w:eastAsia="宋体"/>
      <w:b/>
      <w:sz w:val="21"/>
      <w:szCs w:val="21"/>
      <w:shd w:val="clear" w:color="auto" w:fill="ffffff"/>
    </w:rPr>
  </w:style>
  <w:style w:type="paragraph" w:styleId="784">
    <w:name w:val="正文缩进"/>
    <w:basedOn w:val="770"/>
    <w:next w:val="784"/>
    <w:link w:val="770"/>
    <w:qFormat/>
    <w:pPr>
      <w:ind w:firstLine="420"/>
    </w:pPr>
  </w:style>
  <w:style w:type="character" w:styleId="785">
    <w:name w:val="标题 4 字符"/>
    <w:next w:val="785"/>
    <w:link w:val="774"/>
    <w:qFormat/>
    <w:rPr>
      <w:rFonts w:ascii="Arial" w:hAnsi="Arial" w:eastAsia="黑体"/>
      <w:b/>
      <w:sz w:val="28"/>
      <w:lang w:val="en-US" w:eastAsia="zh-CN" w:bidi="ar-SA"/>
    </w:rPr>
  </w:style>
  <w:style w:type="character" w:styleId="786">
    <w:name w:val="标题 5 字符"/>
    <w:next w:val="786"/>
    <w:link w:val="775"/>
    <w:qFormat/>
    <w:rPr>
      <w:rFonts w:ascii="黑体" w:eastAsia="黑体"/>
      <w:b/>
      <w:color w:val="000000"/>
      <w:sz w:val="28"/>
      <w:lang w:val="en-US" w:eastAsia="zh-CN" w:bidi="ar-SA"/>
    </w:rPr>
  </w:style>
  <w:style w:type="character" w:styleId="787">
    <w:name w:val="标题 6 字符"/>
    <w:next w:val="787"/>
    <w:link w:val="776"/>
    <w:qFormat/>
    <w:rPr>
      <w:rFonts w:ascii="Arial" w:hAnsi="Arial" w:eastAsia="黑体"/>
      <w:b/>
      <w:bCs/>
      <w:sz w:val="24"/>
      <w:szCs w:val="24"/>
      <w:lang w:val="en-US" w:eastAsia="zh-CN" w:bidi="ar-SA"/>
    </w:rPr>
  </w:style>
  <w:style w:type="character" w:styleId="788">
    <w:name w:val="标题 7 字符"/>
    <w:next w:val="788"/>
    <w:link w:val="777"/>
    <w:qFormat/>
    <w:rPr>
      <w:rFonts w:eastAsia="宋体"/>
      <w:b/>
      <w:bCs/>
      <w:sz w:val="24"/>
      <w:szCs w:val="24"/>
      <w:lang w:val="en-US" w:eastAsia="zh-CN" w:bidi="ar-SA"/>
    </w:rPr>
  </w:style>
  <w:style w:type="character" w:styleId="789">
    <w:name w:val="标题 8 字符"/>
    <w:next w:val="789"/>
    <w:link w:val="778"/>
    <w:qFormat/>
    <w:rPr>
      <w:rFonts w:ascii="Arial" w:hAnsi="Arial" w:eastAsia="黑体"/>
      <w:sz w:val="24"/>
      <w:szCs w:val="24"/>
      <w:lang w:val="en-US" w:eastAsia="zh-CN" w:bidi="ar-SA"/>
    </w:rPr>
  </w:style>
  <w:style w:type="character" w:styleId="790">
    <w:name w:val="标题 9 字符"/>
    <w:next w:val="790"/>
    <w:link w:val="779"/>
    <w:qFormat/>
    <w:rPr>
      <w:rFonts w:ascii="Arial" w:hAnsi="Arial" w:eastAsia="黑体"/>
      <w:sz w:val="21"/>
      <w:szCs w:val="21"/>
      <w:lang w:val="en-US" w:eastAsia="zh-CN" w:bidi="ar-SA"/>
    </w:rPr>
  </w:style>
  <w:style w:type="paragraph" w:styleId="791">
    <w:name w:val="列表 3"/>
    <w:basedOn w:val="770"/>
    <w:next w:val="791"/>
    <w:link w:val="770"/>
    <w:qFormat/>
    <w:pPr>
      <w:ind w:left="1260" w:hanging="420"/>
    </w:pPr>
  </w:style>
  <w:style w:type="paragraph" w:styleId="792">
    <w:name w:val="目录 7"/>
    <w:basedOn w:val="770"/>
    <w:next w:val="770"/>
    <w:link w:val="770"/>
    <w:semiHidden/>
    <w:qFormat/>
    <w:pPr>
      <w:ind w:left="1260"/>
      <w:jc w:val="left"/>
    </w:pPr>
    <w:rPr>
      <w:sz w:val="18"/>
    </w:rPr>
  </w:style>
  <w:style w:type="paragraph" w:styleId="793">
    <w:name w:val="列表编号 2"/>
    <w:basedOn w:val="770"/>
    <w:next w:val="793"/>
    <w:link w:val="770"/>
    <w:qFormat/>
    <w:pPr>
      <w:ind w:left="1440" w:hanging="1440"/>
      <w:spacing w:line="360" w:lineRule="auto"/>
      <w:tabs>
        <w:tab w:val="left" w:pos="1440" w:leader="none"/>
      </w:tabs>
    </w:pPr>
    <w:rPr>
      <w:sz w:val="24"/>
      <w:szCs w:val="24"/>
    </w:rPr>
  </w:style>
  <w:style w:type="paragraph" w:styleId="794">
    <w:name w:val="索引 8"/>
    <w:basedOn w:val="770"/>
    <w:next w:val="770"/>
    <w:link w:val="770"/>
    <w:semiHidden/>
    <w:qFormat/>
    <w:pPr>
      <w:ind w:left="2940"/>
    </w:pPr>
  </w:style>
  <w:style w:type="paragraph" w:styleId="795">
    <w:name w:val="列表编号"/>
    <w:basedOn w:val="770"/>
    <w:next w:val="795"/>
    <w:link w:val="770"/>
    <w:qFormat/>
    <w:pPr>
      <w:ind w:left="2952" w:hanging="432"/>
      <w:tabs>
        <w:tab w:val="left" w:pos="2952" w:leader="none"/>
      </w:tabs>
    </w:pPr>
    <w:rPr>
      <w:szCs w:val="24"/>
    </w:rPr>
  </w:style>
  <w:style w:type="paragraph" w:styleId="796">
    <w:name w:val="题注"/>
    <w:basedOn w:val="770"/>
    <w:next w:val="770"/>
    <w:link w:val="770"/>
    <w:uiPriority w:val="35"/>
    <w:qFormat/>
    <w:pPr>
      <w:spacing w:line="276" w:lineRule="auto"/>
    </w:pPr>
    <w:rPr>
      <w:b/>
      <w:bCs/>
      <w:color w:val="4472c4"/>
      <w:sz w:val="18"/>
      <w:szCs w:val="18"/>
    </w:rPr>
  </w:style>
  <w:style w:type="paragraph" w:styleId="797">
    <w:name w:val="索引 5"/>
    <w:basedOn w:val="770"/>
    <w:next w:val="770"/>
    <w:link w:val="770"/>
    <w:semiHidden/>
    <w:qFormat/>
    <w:pPr>
      <w:ind w:left="1680"/>
    </w:pPr>
  </w:style>
  <w:style w:type="paragraph" w:styleId="798">
    <w:name w:val="文档结构图"/>
    <w:basedOn w:val="770"/>
    <w:next w:val="798"/>
    <w:link w:val="799"/>
    <w:semiHidden/>
    <w:qFormat/>
    <w:pPr>
      <w:shd w:val="clear" w:color="auto" w:fill="000080"/>
    </w:pPr>
  </w:style>
  <w:style w:type="character" w:styleId="799">
    <w:name w:val="文档结构图 字符"/>
    <w:next w:val="799"/>
    <w:link w:val="798"/>
    <w:qFormat/>
    <w:rPr>
      <w:rFonts w:eastAsia="宋体"/>
      <w:sz w:val="21"/>
      <w:lang w:val="en-US" w:eastAsia="zh-CN" w:bidi="ar-SA"/>
    </w:rPr>
  </w:style>
  <w:style w:type="paragraph" w:styleId="800">
    <w:name w:val="批注文字"/>
    <w:basedOn w:val="770"/>
    <w:next w:val="800"/>
    <w:link w:val="801"/>
    <w:qFormat/>
    <w:pPr>
      <w:jc w:val="left"/>
    </w:pPr>
  </w:style>
  <w:style w:type="character" w:styleId="801">
    <w:name w:val="批注文字 字符"/>
    <w:next w:val="801"/>
    <w:link w:val="800"/>
    <w:qFormat/>
    <w:rPr>
      <w:rFonts w:eastAsia="宋体"/>
      <w:sz w:val="21"/>
      <w:lang w:val="en-US" w:eastAsia="zh-CN" w:bidi="ar-SA"/>
    </w:rPr>
  </w:style>
  <w:style w:type="paragraph" w:styleId="802">
    <w:name w:val="索引 6"/>
    <w:basedOn w:val="770"/>
    <w:next w:val="770"/>
    <w:link w:val="770"/>
    <w:semiHidden/>
    <w:qFormat/>
    <w:pPr>
      <w:ind w:left="2100"/>
    </w:pPr>
  </w:style>
  <w:style w:type="paragraph" w:styleId="803">
    <w:name w:val="称呼"/>
    <w:basedOn w:val="770"/>
    <w:next w:val="770"/>
    <w:link w:val="770"/>
    <w:qFormat/>
    <w:rPr>
      <w:rFonts w:ascii="方正仿宋_GB2312" w:eastAsia="方正仿宋_GB2312"/>
      <w:sz w:val="28"/>
    </w:rPr>
  </w:style>
  <w:style w:type="paragraph" w:styleId="804">
    <w:name w:val="正文文本 3"/>
    <w:basedOn w:val="770"/>
    <w:next w:val="804"/>
    <w:link w:val="770"/>
    <w:qFormat/>
    <w:rPr>
      <w:rFonts w:ascii="方正仿宋_GB2312" w:hAnsi="Arial" w:eastAsia="方正仿宋_GB2312"/>
      <w:sz w:val="32"/>
    </w:rPr>
  </w:style>
  <w:style w:type="paragraph" w:styleId="805">
    <w:name w:val="正文文本"/>
    <w:basedOn w:val="770"/>
    <w:next w:val="805"/>
    <w:link w:val="770"/>
    <w:qFormat/>
    <w:rPr>
      <w:rFonts w:ascii="方正楷体_GB2312" w:hAnsi="Arial" w:eastAsia="方正楷体_GB2312"/>
      <w:sz w:val="28"/>
    </w:rPr>
  </w:style>
  <w:style w:type="paragraph" w:styleId="806">
    <w:name w:val="正文文本缩进"/>
    <w:basedOn w:val="770"/>
    <w:next w:val="770"/>
    <w:link w:val="807"/>
    <w:qFormat/>
    <w:pPr>
      <w:ind w:firstLine="645"/>
    </w:pPr>
    <w:rPr>
      <w:rFonts w:ascii="方正楷体_GB2312" w:eastAsia="方正楷体_GB2312"/>
      <w:sz w:val="32"/>
    </w:rPr>
  </w:style>
  <w:style w:type="character" w:styleId="807">
    <w:name w:val="正文文本缩进 字符"/>
    <w:next w:val="807"/>
    <w:link w:val="806"/>
    <w:qFormat/>
    <w:rPr>
      <w:rFonts w:ascii="方正楷体_GB2312" w:eastAsia="方正楷体_GB2312"/>
      <w:sz w:val="32"/>
      <w:lang w:val="en-US" w:eastAsia="zh-CN" w:bidi="ar-SA"/>
    </w:rPr>
  </w:style>
  <w:style w:type="paragraph" w:styleId="808">
    <w:name w:val="文本块"/>
    <w:basedOn w:val="770"/>
    <w:next w:val="808"/>
    <w:link w:val="770"/>
    <w:uiPriority w:val="99"/>
    <w:unhideWhenUsed/>
    <w:qFormat/>
    <w:pPr>
      <w:ind w:left="1440" w:right="1440"/>
      <w:spacing w:after="120"/>
    </w:pPr>
  </w:style>
  <w:style w:type="paragraph" w:styleId="809">
    <w:name w:val="索引 4"/>
    <w:basedOn w:val="770"/>
    <w:next w:val="770"/>
    <w:link w:val="770"/>
    <w:semiHidden/>
    <w:qFormat/>
    <w:pPr>
      <w:ind w:left="1260"/>
    </w:pPr>
  </w:style>
  <w:style w:type="paragraph" w:styleId="810">
    <w:name w:val="目录 5"/>
    <w:basedOn w:val="770"/>
    <w:next w:val="770"/>
    <w:link w:val="770"/>
    <w:semiHidden/>
    <w:qFormat/>
    <w:pPr>
      <w:ind w:left="840"/>
      <w:jc w:val="left"/>
    </w:pPr>
    <w:rPr>
      <w:sz w:val="18"/>
    </w:rPr>
  </w:style>
  <w:style w:type="paragraph" w:styleId="811">
    <w:name w:val="目录 3"/>
    <w:basedOn w:val="770"/>
    <w:next w:val="770"/>
    <w:link w:val="770"/>
    <w:semiHidden/>
    <w:qFormat/>
    <w:pPr>
      <w:ind w:left="420"/>
      <w:jc w:val="left"/>
    </w:pPr>
    <w:rPr>
      <w:i/>
      <w:sz w:val="20"/>
    </w:rPr>
  </w:style>
  <w:style w:type="paragraph" w:styleId="812">
    <w:name w:val="纯文本"/>
    <w:basedOn w:val="770"/>
    <w:next w:val="812"/>
    <w:link w:val="813"/>
    <w:qFormat/>
    <w:rPr>
      <w:rFonts w:ascii="宋体" w:hAnsi="Courier New"/>
    </w:rPr>
  </w:style>
  <w:style w:type="character" w:styleId="813">
    <w:name w:val="纯文本 字符"/>
    <w:next w:val="813"/>
    <w:link w:val="812"/>
    <w:qFormat/>
    <w:rPr>
      <w:rFonts w:ascii="宋体" w:hAnsi="Courier New" w:eastAsia="宋体"/>
      <w:sz w:val="21"/>
      <w:lang w:val="en-US" w:eastAsia="zh-CN" w:bidi="ar-SA"/>
    </w:rPr>
  </w:style>
  <w:style w:type="paragraph" w:styleId="814">
    <w:name w:val="目录 8"/>
    <w:basedOn w:val="770"/>
    <w:next w:val="770"/>
    <w:link w:val="770"/>
    <w:semiHidden/>
    <w:qFormat/>
    <w:pPr>
      <w:ind w:left="1470"/>
      <w:jc w:val="left"/>
    </w:pPr>
    <w:rPr>
      <w:sz w:val="18"/>
    </w:rPr>
  </w:style>
  <w:style w:type="paragraph" w:styleId="815">
    <w:name w:val="索引 3"/>
    <w:basedOn w:val="770"/>
    <w:next w:val="770"/>
    <w:link w:val="770"/>
    <w:semiHidden/>
    <w:qFormat/>
    <w:pPr>
      <w:ind w:left="840"/>
    </w:pPr>
  </w:style>
  <w:style w:type="paragraph" w:styleId="816">
    <w:name w:val="日期"/>
    <w:basedOn w:val="770"/>
    <w:next w:val="770"/>
    <w:link w:val="770"/>
    <w:qFormat/>
    <w:pPr>
      <w:ind w:left="100"/>
    </w:pPr>
    <w:rPr>
      <w:sz w:val="28"/>
    </w:rPr>
  </w:style>
  <w:style w:type="paragraph" w:styleId="817">
    <w:name w:val="正文文本缩进 2"/>
    <w:basedOn w:val="770"/>
    <w:next w:val="770"/>
    <w:link w:val="818"/>
    <w:qFormat/>
    <w:pPr>
      <w:ind w:left="630" w:firstLine="645"/>
    </w:pPr>
    <w:rPr>
      <w:rFonts w:ascii="Arial" w:hAnsi="Arial" w:eastAsia="方正仿宋_GB2312"/>
      <w:sz w:val="32"/>
    </w:rPr>
  </w:style>
  <w:style w:type="character" w:styleId="818">
    <w:name w:val="正文文本缩进 2 字符"/>
    <w:next w:val="818"/>
    <w:link w:val="817"/>
    <w:qFormat/>
    <w:rPr>
      <w:rFonts w:ascii="Arial" w:hAnsi="Arial" w:eastAsia="方正仿宋_GB2312"/>
      <w:sz w:val="32"/>
      <w:lang w:val="en-US" w:eastAsia="zh-CN" w:bidi="ar-SA"/>
    </w:rPr>
  </w:style>
  <w:style w:type="paragraph" w:styleId="819">
    <w:name w:val="尾注文本"/>
    <w:basedOn w:val="770"/>
    <w:next w:val="819"/>
    <w:link w:val="770"/>
    <w:qFormat/>
    <w:pPr>
      <w:jc w:val="left"/>
    </w:pPr>
    <w:rPr>
      <w:sz w:val="20"/>
      <w:szCs w:val="24"/>
    </w:rPr>
  </w:style>
  <w:style w:type="paragraph" w:styleId="820">
    <w:name w:val="批注框文本"/>
    <w:basedOn w:val="770"/>
    <w:next w:val="820"/>
    <w:link w:val="770"/>
    <w:semiHidden/>
    <w:qFormat/>
    <w:rPr>
      <w:sz w:val="18"/>
      <w:szCs w:val="18"/>
    </w:rPr>
  </w:style>
  <w:style w:type="paragraph" w:styleId="821">
    <w:name w:val="页脚"/>
    <w:basedOn w:val="770"/>
    <w:next w:val="821"/>
    <w:link w:val="822"/>
    <w:qFormat/>
    <w:pPr>
      <w:jc w:val="left"/>
      <w:tabs>
        <w:tab w:val="center" w:pos="4153" w:leader="none"/>
        <w:tab w:val="right" w:pos="8306" w:leader="none"/>
      </w:tabs>
    </w:pPr>
    <w:rPr>
      <w:sz w:val="18"/>
    </w:rPr>
  </w:style>
  <w:style w:type="character" w:styleId="822">
    <w:name w:val="页脚 字符"/>
    <w:next w:val="822"/>
    <w:link w:val="821"/>
    <w:qFormat/>
    <w:rPr>
      <w:sz w:val="18"/>
    </w:rPr>
  </w:style>
  <w:style w:type="paragraph" w:styleId="823">
    <w:name w:val="寄信人地址"/>
    <w:basedOn w:val="770"/>
    <w:next w:val="823"/>
    <w:link w:val="770"/>
    <w:qFormat/>
    <w:rPr>
      <w:rFonts w:ascii="Arial" w:hAnsi="Arial"/>
    </w:rPr>
  </w:style>
  <w:style w:type="paragraph" w:styleId="824">
    <w:name w:val="页眉"/>
    <w:basedOn w:val="770"/>
    <w:next w:val="824"/>
    <w:link w:val="770"/>
    <w:qFormat/>
    <w:pPr>
      <w:jc w:val="center"/>
      <w:tabs>
        <w:tab w:val="center" w:pos="4153" w:leader="none"/>
        <w:tab w:val="right" w:pos="8306" w:leader="none"/>
      </w:tabs>
      <w:pBdr>
        <w:bottom w:val="single" w:color="000000" w:sz="6" w:space="1"/>
      </w:pBdr>
    </w:pPr>
    <w:rPr>
      <w:sz w:val="18"/>
    </w:rPr>
  </w:style>
  <w:style w:type="paragraph" w:styleId="825">
    <w:name w:val="签名"/>
    <w:basedOn w:val="770"/>
    <w:next w:val="825"/>
    <w:link w:val="770"/>
    <w:qFormat/>
    <w:pPr>
      <w:jc w:val="center"/>
      <w:spacing w:after="600" w:line="312" w:lineRule="atLeast"/>
    </w:pPr>
    <w:rPr>
      <w:rFonts w:eastAsia="方正仿宋_GB2312"/>
      <w:sz w:val="24"/>
    </w:rPr>
  </w:style>
  <w:style w:type="paragraph" w:styleId="826">
    <w:name w:val="目录 1"/>
    <w:basedOn w:val="770"/>
    <w:next w:val="770"/>
    <w:link w:val="770"/>
    <w:semiHidden/>
    <w:qFormat/>
    <w:pPr>
      <w:jc w:val="left"/>
      <w:spacing w:before="120" w:after="120"/>
    </w:pPr>
    <w:rPr>
      <w:b/>
      <w:caps/>
      <w:sz w:val="20"/>
    </w:rPr>
  </w:style>
  <w:style w:type="paragraph" w:styleId="827">
    <w:name w:val="目录 4"/>
    <w:basedOn w:val="770"/>
    <w:next w:val="770"/>
    <w:link w:val="770"/>
    <w:semiHidden/>
    <w:qFormat/>
    <w:pPr>
      <w:ind w:left="630"/>
      <w:jc w:val="left"/>
    </w:pPr>
    <w:rPr>
      <w:sz w:val="18"/>
    </w:rPr>
  </w:style>
  <w:style w:type="paragraph" w:styleId="828">
    <w:name w:val="索引标题"/>
    <w:basedOn w:val="770"/>
    <w:next w:val="829"/>
    <w:link w:val="770"/>
    <w:semiHidden/>
    <w:qFormat/>
  </w:style>
  <w:style w:type="paragraph" w:styleId="829">
    <w:name w:val="索引 1"/>
    <w:basedOn w:val="770"/>
    <w:next w:val="770"/>
    <w:link w:val="770"/>
    <w:semiHidden/>
    <w:qFormat/>
    <w:rPr>
      <w:rFonts w:ascii="方正仿宋_GB2312" w:hAnsi="宋体" w:eastAsia="方正仿宋_GB2312"/>
      <w:sz w:val="30"/>
      <w:szCs w:val="24"/>
    </w:rPr>
  </w:style>
  <w:style w:type="paragraph" w:styleId="830">
    <w:name w:val="副标题"/>
    <w:basedOn w:val="770"/>
    <w:next w:val="770"/>
    <w:link w:val="770"/>
    <w:qFormat/>
    <w:pPr>
      <w:jc w:val="left"/>
      <w:spacing w:after="600" w:line="276" w:lineRule="auto"/>
      <w:widowControl/>
    </w:pPr>
    <w:rPr>
      <w:rFonts w:ascii="Cambria" w:hAnsi="Cambria"/>
      <w:i/>
      <w:iCs/>
      <w:spacing w:val="13"/>
      <w:sz w:val="24"/>
      <w:szCs w:val="24"/>
      <w:lang w:eastAsia="en-US" w:bidi="en-US"/>
    </w:rPr>
  </w:style>
  <w:style w:type="paragraph" w:styleId="831">
    <w:name w:val="列表"/>
    <w:basedOn w:val="770"/>
    <w:next w:val="831"/>
    <w:link w:val="770"/>
    <w:qFormat/>
    <w:pPr>
      <w:contextualSpacing/>
      <w:ind w:left="200" w:hanging="200"/>
    </w:pPr>
  </w:style>
  <w:style w:type="paragraph" w:styleId="832">
    <w:name w:val="脚注文本"/>
    <w:basedOn w:val="770"/>
    <w:next w:val="832"/>
    <w:link w:val="770"/>
    <w:qFormat/>
    <w:pPr>
      <w:jc w:val="left"/>
    </w:pPr>
    <w:rPr>
      <w:sz w:val="18"/>
      <w:szCs w:val="18"/>
    </w:rPr>
  </w:style>
  <w:style w:type="paragraph" w:styleId="833">
    <w:name w:val="目录 6"/>
    <w:basedOn w:val="770"/>
    <w:next w:val="770"/>
    <w:link w:val="770"/>
    <w:semiHidden/>
    <w:qFormat/>
    <w:pPr>
      <w:ind w:left="1050"/>
      <w:jc w:val="left"/>
    </w:pPr>
    <w:rPr>
      <w:sz w:val="18"/>
    </w:rPr>
  </w:style>
  <w:style w:type="paragraph" w:styleId="834">
    <w:name w:val="正文文本缩进 3"/>
    <w:basedOn w:val="770"/>
    <w:next w:val="834"/>
    <w:link w:val="835"/>
    <w:qFormat/>
    <w:pPr>
      <w:ind w:left="645" w:firstLine="645"/>
    </w:pPr>
    <w:rPr>
      <w:rFonts w:ascii="Arial" w:hAnsi="Arial" w:eastAsia="方正仿宋_GB2312"/>
      <w:color w:val="ffff00"/>
      <w:sz w:val="32"/>
    </w:rPr>
  </w:style>
  <w:style w:type="character" w:styleId="835">
    <w:name w:val="正文文本缩进 3 字符"/>
    <w:next w:val="835"/>
    <w:link w:val="834"/>
    <w:qFormat/>
    <w:rPr>
      <w:rFonts w:ascii="Arial" w:hAnsi="Arial" w:eastAsia="方正仿宋_GB2312"/>
      <w:color w:val="ffff00"/>
      <w:sz w:val="32"/>
      <w:lang w:val="en-US" w:eastAsia="zh-CN" w:bidi="ar-SA"/>
    </w:rPr>
  </w:style>
  <w:style w:type="paragraph" w:styleId="836">
    <w:name w:val="索引 7"/>
    <w:basedOn w:val="770"/>
    <w:next w:val="770"/>
    <w:link w:val="770"/>
    <w:semiHidden/>
    <w:qFormat/>
    <w:pPr>
      <w:ind w:left="2520"/>
    </w:pPr>
  </w:style>
  <w:style w:type="paragraph" w:styleId="837">
    <w:name w:val="索引 9"/>
    <w:basedOn w:val="770"/>
    <w:next w:val="770"/>
    <w:link w:val="770"/>
    <w:semiHidden/>
    <w:qFormat/>
    <w:pPr>
      <w:ind w:left="3360"/>
    </w:pPr>
  </w:style>
  <w:style w:type="paragraph" w:styleId="838">
    <w:name w:val="图表目录"/>
    <w:basedOn w:val="770"/>
    <w:next w:val="770"/>
    <w:link w:val="770"/>
    <w:semiHidden/>
    <w:qFormat/>
    <w:pPr>
      <w:ind w:left="840" w:hanging="420"/>
    </w:pPr>
  </w:style>
  <w:style w:type="paragraph" w:styleId="839">
    <w:name w:val="目录 2"/>
    <w:basedOn w:val="770"/>
    <w:next w:val="770"/>
    <w:link w:val="770"/>
    <w:semiHidden/>
    <w:qFormat/>
    <w:pPr>
      <w:ind w:left="210"/>
      <w:jc w:val="left"/>
    </w:pPr>
    <w:rPr>
      <w:smallCaps/>
      <w:sz w:val="20"/>
    </w:rPr>
  </w:style>
  <w:style w:type="paragraph" w:styleId="840">
    <w:name w:val="目录 9"/>
    <w:basedOn w:val="770"/>
    <w:next w:val="770"/>
    <w:link w:val="770"/>
    <w:semiHidden/>
    <w:qFormat/>
    <w:pPr>
      <w:ind w:left="1680"/>
      <w:jc w:val="left"/>
    </w:pPr>
    <w:rPr>
      <w:sz w:val="18"/>
    </w:rPr>
  </w:style>
  <w:style w:type="paragraph" w:styleId="841">
    <w:name w:val="正文文本 2"/>
    <w:basedOn w:val="770"/>
    <w:next w:val="841"/>
    <w:link w:val="770"/>
    <w:qFormat/>
    <w:pPr>
      <w:jc w:val="center"/>
      <w:widowControl/>
    </w:pPr>
    <w:rPr>
      <w:rFonts w:ascii="方正楷体_GB2312" w:eastAsia="方正楷体_GB2312"/>
      <w:sz w:val="28"/>
    </w:rPr>
  </w:style>
  <w:style w:type="paragraph" w:styleId="842">
    <w:name w:val="信息标题"/>
    <w:basedOn w:val="770"/>
    <w:next w:val="842"/>
    <w:link w:val="77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43">
    <w:name w:val="HTML 预设格式"/>
    <w:basedOn w:val="770"/>
    <w:next w:val="843"/>
    <w:link w:val="84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44">
    <w:name w:val="HTML 预设格式 字符"/>
    <w:next w:val="844"/>
    <w:link w:val="843"/>
    <w:uiPriority w:val="99"/>
    <w:qFormat/>
    <w:rPr>
      <w:rFonts w:ascii="黑体" w:hAnsi="Courier New" w:eastAsia="黑体" w:cs="Courier New"/>
      <w:lang w:val="en-US" w:eastAsia="zh-CN" w:bidi="ar-SA"/>
    </w:rPr>
  </w:style>
  <w:style w:type="paragraph" w:styleId="845">
    <w:name w:val="普通(网站)"/>
    <w:basedOn w:val="770"/>
    <w:next w:val="845"/>
    <w:link w:val="770"/>
    <w:qFormat/>
    <w:pPr>
      <w:jc w:val="left"/>
      <w:spacing w:before="100" w:beforeAutospacing="1" w:after="100" w:afterAutospacing="1"/>
      <w:widowControl/>
    </w:pPr>
    <w:rPr>
      <w:rFonts w:ascii="Arial" w:hAnsi="Arial" w:eastAsia="Arial Unicode MS" w:cs="Arial"/>
      <w:sz w:val="24"/>
      <w:szCs w:val="24"/>
    </w:rPr>
  </w:style>
  <w:style w:type="paragraph" w:styleId="846">
    <w:name w:val="索引 2"/>
    <w:basedOn w:val="770"/>
    <w:next w:val="770"/>
    <w:link w:val="770"/>
    <w:semiHidden/>
    <w:qFormat/>
    <w:pPr>
      <w:ind w:left="420"/>
    </w:pPr>
  </w:style>
  <w:style w:type="paragraph" w:styleId="847">
    <w:name w:val="标题"/>
    <w:basedOn w:val="770"/>
    <w:next w:val="847"/>
    <w:link w:val="848"/>
    <w:qFormat/>
    <w:pPr>
      <w:jc w:val="center"/>
      <w:spacing w:line="420" w:lineRule="exact"/>
      <w:widowControl/>
    </w:pPr>
    <w:rPr>
      <w:rFonts w:eastAsia="黑体"/>
      <w:b/>
      <w:sz w:val="28"/>
      <w:lang w:val="en-GB"/>
    </w:rPr>
  </w:style>
  <w:style w:type="character" w:styleId="848">
    <w:name w:val="标题 字符"/>
    <w:next w:val="848"/>
    <w:link w:val="847"/>
    <w:qFormat/>
    <w:rPr>
      <w:rFonts w:eastAsia="黑体"/>
      <w:b/>
      <w:sz w:val="28"/>
      <w:lang w:val="en-GB" w:eastAsia="zh-CN" w:bidi="ar-SA"/>
    </w:rPr>
  </w:style>
  <w:style w:type="paragraph" w:styleId="849">
    <w:name w:val="批注主题"/>
    <w:basedOn w:val="800"/>
    <w:next w:val="800"/>
    <w:link w:val="850"/>
    <w:semiHidden/>
    <w:qFormat/>
    <w:rPr>
      <w:b/>
      <w:bCs/>
    </w:rPr>
  </w:style>
  <w:style w:type="character" w:styleId="850">
    <w:name w:val="批注主题 字符"/>
    <w:next w:val="850"/>
    <w:link w:val="849"/>
    <w:qFormat/>
    <w:rPr>
      <w:rFonts w:eastAsia="宋体"/>
      <w:b/>
      <w:bCs/>
      <w:sz w:val="21"/>
      <w:lang w:val="en-US" w:eastAsia="zh-CN" w:bidi="ar-SA"/>
    </w:rPr>
  </w:style>
  <w:style w:type="paragraph" w:styleId="851">
    <w:name w:val="正文首行缩进"/>
    <w:basedOn w:val="805"/>
    <w:next w:val="831"/>
    <w:link w:val="770"/>
    <w:qFormat/>
    <w:pPr>
      <w:ind w:firstLine="420"/>
      <w:spacing w:after="120"/>
    </w:pPr>
    <w:rPr>
      <w:rFonts w:ascii="Times New Roman" w:hAnsi="Times New Roman" w:eastAsia="宋体"/>
      <w:sz w:val="21"/>
      <w:szCs w:val="24"/>
    </w:rPr>
  </w:style>
  <w:style w:type="paragraph" w:styleId="852">
    <w:name w:val="正文首行缩进 2"/>
    <w:basedOn w:val="806"/>
    <w:next w:val="770"/>
    <w:link w:val="770"/>
    <w:qFormat/>
    <w:pPr>
      <w:ind w:firstLine="420"/>
    </w:pPr>
    <w:rPr>
      <w:rFonts w:ascii="Calibri" w:hAnsi="Calibri" w:cs="Calibri"/>
      <w:szCs w:val="24"/>
    </w:rPr>
  </w:style>
  <w:style w:type="table" w:styleId="853">
    <w:name w:val="网格型"/>
    <w:basedOn w:val="781"/>
    <w:next w:val="853"/>
    <w:link w:val="770"/>
    <w:qFormat/>
    <w:pPr>
      <w:jc w:val="both"/>
      <w:widowControl w:val="off"/>
    </w:pPr>
    <w:tblPr/>
  </w:style>
  <w:style w:type="character" w:styleId="854">
    <w:name w:val="要点"/>
    <w:next w:val="854"/>
    <w:link w:val="770"/>
    <w:qFormat/>
    <w:rPr>
      <w:b/>
      <w:bCs/>
    </w:rPr>
  </w:style>
  <w:style w:type="character" w:styleId="855">
    <w:name w:val="尾注引用"/>
    <w:next w:val="855"/>
    <w:link w:val="770"/>
    <w:qFormat/>
    <w:rPr>
      <w:vertAlign w:val="superscript"/>
    </w:rPr>
  </w:style>
  <w:style w:type="character" w:styleId="856">
    <w:name w:val="页码"/>
    <w:next w:val="856"/>
    <w:link w:val="770"/>
    <w:qFormat/>
  </w:style>
  <w:style w:type="character" w:styleId="857">
    <w:name w:val="已访问的超链接"/>
    <w:next w:val="857"/>
    <w:link w:val="770"/>
    <w:uiPriority w:val="99"/>
    <w:qFormat/>
    <w:rPr>
      <w:color w:val="000000"/>
      <w:u w:val="none"/>
    </w:rPr>
  </w:style>
  <w:style w:type="character" w:styleId="858">
    <w:name w:val="强调"/>
    <w:next w:val="858"/>
    <w:link w:val="770"/>
    <w:qFormat/>
    <w:rPr>
      <w:b/>
      <w:bCs/>
      <w:i/>
      <w:iCs/>
      <w:spacing w:val="10"/>
      <w:shd w:val="clear" w:color="auto" w:fill="auto"/>
    </w:rPr>
  </w:style>
  <w:style w:type="character" w:styleId="859">
    <w:name w:val="行号"/>
    <w:next w:val="859"/>
    <w:link w:val="770"/>
    <w:qFormat/>
  </w:style>
  <w:style w:type="character" w:styleId="860">
    <w:name w:val="HTML 打字机"/>
    <w:next w:val="860"/>
    <w:link w:val="770"/>
    <w:qFormat/>
    <w:rPr>
      <w:rFonts w:ascii="宋体" w:hAnsi="宋体" w:eastAsia="宋体" w:cs="宋体"/>
      <w:sz w:val="24"/>
      <w:szCs w:val="24"/>
    </w:rPr>
  </w:style>
  <w:style w:type="character" w:styleId="861">
    <w:name w:val="HTML 缩写"/>
    <w:next w:val="861"/>
    <w:link w:val="770"/>
    <w:qFormat/>
  </w:style>
  <w:style w:type="character" w:styleId="862">
    <w:name w:val="超链接"/>
    <w:next w:val="862"/>
    <w:link w:val="770"/>
    <w:uiPriority w:val="99"/>
    <w:qFormat/>
    <w:rPr>
      <w:color w:val="000000"/>
      <w:u w:val="none"/>
    </w:rPr>
  </w:style>
  <w:style w:type="character" w:styleId="863">
    <w:name w:val="HTML 代码"/>
    <w:next w:val="863"/>
    <w:link w:val="770"/>
    <w:qFormat/>
    <w:rPr>
      <w:rFonts w:ascii="Courier New" w:hAnsi="Courier New"/>
      <w:sz w:val="20"/>
    </w:rPr>
  </w:style>
  <w:style w:type="character" w:styleId="864">
    <w:name w:val="批注引用"/>
    <w:next w:val="864"/>
    <w:link w:val="770"/>
    <w:qFormat/>
    <w:rPr>
      <w:sz w:val="21"/>
    </w:rPr>
  </w:style>
  <w:style w:type="character" w:styleId="865">
    <w:name w:val="脚注引用"/>
    <w:next w:val="865"/>
    <w:link w:val="770"/>
    <w:qFormat/>
    <w:rPr>
      <w:vertAlign w:val="superscript"/>
    </w:rPr>
  </w:style>
  <w:style w:type="character" w:styleId="866">
    <w:name w:val="HTML 键盘"/>
    <w:next w:val="866"/>
    <w:link w:val="770"/>
    <w:qFormat/>
    <w:rPr>
      <w:rFonts w:ascii="DejaVu Math TeX Gyre" w:hAnsi="DejaVu Math TeX Gyre" w:eastAsia="DejaVu Math TeX Gyre" w:cs="DejaVu Math TeX Gyre"/>
      <w:sz w:val="20"/>
    </w:rPr>
  </w:style>
  <w:style w:type="character" w:styleId="867">
    <w:name w:val="HTML 样本"/>
    <w:next w:val="867"/>
    <w:link w:val="770"/>
    <w:qFormat/>
    <w:rPr>
      <w:rFonts w:ascii="Courier New" w:hAnsi="宋体" w:eastAsia="宋体" w:cs="Courier New"/>
    </w:rPr>
  </w:style>
  <w:style w:type="paragraph" w:styleId="868">
    <w:name w:val="正文文本缩进11"/>
    <w:basedOn w:val="869"/>
    <w:next w:val="873"/>
    <w:link w:val="770"/>
    <w:qFormat/>
    <w:pPr>
      <w:ind w:firstLine="301"/>
      <w:spacing w:line="200" w:lineRule="exact"/>
    </w:pPr>
    <w:rPr>
      <w:rFonts w:ascii="宋体" w:hAnsi="宋体"/>
      <w:spacing w:val="-4"/>
      <w:sz w:val="18"/>
      <w:szCs w:val="20"/>
    </w:rPr>
  </w:style>
  <w:style w:type="paragraph" w:styleId="869">
    <w:name w:val="正文112"/>
    <w:next w:val="870"/>
    <w:link w:val="770"/>
    <w:qFormat/>
    <w:pPr>
      <w:jc w:val="both"/>
      <w:widowControl w:val="off"/>
    </w:pPr>
    <w:rPr>
      <w:sz w:val="21"/>
      <w:szCs w:val="24"/>
      <w:lang w:val="en-US" w:eastAsia="zh-CN" w:bidi="ar-SA"/>
    </w:rPr>
  </w:style>
  <w:style w:type="paragraph" w:styleId="870">
    <w:name w:val="正文首行缩进1"/>
    <w:basedOn w:val="871"/>
    <w:next w:val="870"/>
    <w:link w:val="770"/>
    <w:semiHidden/>
    <w:qFormat/>
    <w:pPr>
      <w:ind w:firstLine="420"/>
    </w:pPr>
    <w:rPr>
      <w:rFonts w:cs="宋体"/>
      <w:szCs w:val="28"/>
    </w:rPr>
  </w:style>
  <w:style w:type="paragraph" w:styleId="871">
    <w:name w:val="正文文本1"/>
    <w:basedOn w:val="872"/>
    <w:next w:val="770"/>
    <w:link w:val="770"/>
    <w:qFormat/>
    <w:pPr>
      <w:spacing w:after="120"/>
    </w:pPr>
  </w:style>
  <w:style w:type="paragraph" w:styleId="872">
    <w:name w:val="正文1"/>
    <w:basedOn w:val="770"/>
    <w:next w:val="871"/>
    <w:link w:val="770"/>
    <w:qFormat/>
    <w:pPr>
      <w:ind w:firstLine="510"/>
      <w:spacing w:before="156" w:line="360" w:lineRule="auto"/>
    </w:pPr>
    <w:rPr>
      <w:sz w:val="24"/>
    </w:rPr>
  </w:style>
  <w:style w:type="paragraph" w:styleId="873">
    <w:name w:val="寄信人地址1"/>
    <w:basedOn w:val="770"/>
    <w:next w:val="873"/>
    <w:link w:val="770"/>
    <w:qFormat/>
    <w:rPr>
      <w:rFonts w:ascii="Arial" w:hAnsi="Arial" w:cs="宋体"/>
      <w:szCs w:val="24"/>
    </w:rPr>
  </w:style>
  <w:style w:type="character" w:styleId="874">
    <w:name w:val="Heading 1 Char"/>
    <w:next w:val="874"/>
    <w:link w:val="770"/>
    <w:uiPriority w:val="9"/>
    <w:qFormat/>
    <w:rPr>
      <w:rFonts w:ascii="Arial" w:hAnsi="Arial" w:eastAsia="Arial" w:cs="Arial"/>
      <w:sz w:val="40"/>
      <w:szCs w:val="40"/>
    </w:rPr>
  </w:style>
  <w:style w:type="character" w:styleId="875">
    <w:name w:val="Heading 2 Char"/>
    <w:next w:val="875"/>
    <w:link w:val="770"/>
    <w:uiPriority w:val="9"/>
    <w:qFormat/>
    <w:rPr>
      <w:rFonts w:ascii="Arial" w:hAnsi="Arial" w:eastAsia="Arial" w:cs="Arial"/>
      <w:sz w:val="34"/>
    </w:rPr>
  </w:style>
  <w:style w:type="character" w:styleId="876">
    <w:name w:val="Heading 3 Char"/>
    <w:next w:val="876"/>
    <w:link w:val="770"/>
    <w:uiPriority w:val="9"/>
    <w:qFormat/>
    <w:rPr>
      <w:rFonts w:ascii="Arial" w:hAnsi="Arial" w:eastAsia="Arial" w:cs="Arial"/>
      <w:sz w:val="30"/>
      <w:szCs w:val="30"/>
    </w:rPr>
  </w:style>
  <w:style w:type="character" w:styleId="877">
    <w:name w:val="Heading 4 Char"/>
    <w:next w:val="877"/>
    <w:link w:val="770"/>
    <w:uiPriority w:val="9"/>
    <w:qFormat/>
    <w:rPr>
      <w:rFonts w:ascii="Arial" w:hAnsi="Arial" w:eastAsia="Arial" w:cs="Arial"/>
      <w:b/>
      <w:bCs/>
      <w:sz w:val="26"/>
      <w:szCs w:val="26"/>
    </w:rPr>
  </w:style>
  <w:style w:type="character" w:styleId="878">
    <w:name w:val="Heading 5 Char"/>
    <w:next w:val="878"/>
    <w:link w:val="770"/>
    <w:uiPriority w:val="9"/>
    <w:qFormat/>
    <w:rPr>
      <w:rFonts w:ascii="Arial" w:hAnsi="Arial" w:eastAsia="Arial" w:cs="Arial"/>
      <w:b/>
      <w:bCs/>
      <w:sz w:val="24"/>
      <w:szCs w:val="24"/>
    </w:rPr>
  </w:style>
  <w:style w:type="character" w:styleId="879">
    <w:name w:val="Heading 6 Char"/>
    <w:next w:val="879"/>
    <w:link w:val="770"/>
    <w:uiPriority w:val="9"/>
    <w:qFormat/>
    <w:rPr>
      <w:rFonts w:ascii="Arial" w:hAnsi="Arial" w:eastAsia="Arial" w:cs="Arial"/>
      <w:b/>
      <w:bCs/>
      <w:sz w:val="22"/>
      <w:szCs w:val="22"/>
    </w:rPr>
  </w:style>
  <w:style w:type="character" w:styleId="880">
    <w:name w:val="Heading 7 Char"/>
    <w:next w:val="880"/>
    <w:link w:val="770"/>
    <w:uiPriority w:val="9"/>
    <w:qFormat/>
    <w:rPr>
      <w:rFonts w:ascii="Arial" w:hAnsi="Arial" w:eastAsia="Arial" w:cs="Arial"/>
      <w:b/>
      <w:bCs/>
      <w:i/>
      <w:iCs/>
      <w:sz w:val="22"/>
      <w:szCs w:val="22"/>
    </w:rPr>
  </w:style>
  <w:style w:type="character" w:styleId="881">
    <w:name w:val="Heading 8 Char"/>
    <w:next w:val="881"/>
    <w:link w:val="770"/>
    <w:uiPriority w:val="9"/>
    <w:qFormat/>
    <w:rPr>
      <w:rFonts w:ascii="Arial" w:hAnsi="Arial" w:eastAsia="Arial" w:cs="Arial"/>
      <w:i/>
      <w:iCs/>
      <w:sz w:val="22"/>
      <w:szCs w:val="22"/>
    </w:rPr>
  </w:style>
  <w:style w:type="character" w:styleId="882">
    <w:name w:val="Heading 9 Char"/>
    <w:next w:val="882"/>
    <w:link w:val="770"/>
    <w:uiPriority w:val="9"/>
    <w:qFormat/>
    <w:rPr>
      <w:rFonts w:ascii="Arial" w:hAnsi="Arial" w:eastAsia="Arial" w:cs="Arial"/>
      <w:i/>
      <w:iCs/>
      <w:sz w:val="21"/>
      <w:szCs w:val="21"/>
    </w:rPr>
  </w:style>
  <w:style w:type="character" w:styleId="883">
    <w:name w:val="Title Char"/>
    <w:next w:val="883"/>
    <w:link w:val="770"/>
    <w:uiPriority w:val="10"/>
    <w:qFormat/>
    <w:rPr>
      <w:sz w:val="48"/>
      <w:szCs w:val="48"/>
    </w:rPr>
  </w:style>
  <w:style w:type="character" w:styleId="884">
    <w:name w:val="Subtitle Char"/>
    <w:next w:val="884"/>
    <w:link w:val="770"/>
    <w:uiPriority w:val="11"/>
    <w:qFormat/>
    <w:rPr>
      <w:sz w:val="24"/>
      <w:szCs w:val="24"/>
    </w:rPr>
  </w:style>
  <w:style w:type="character" w:styleId="885">
    <w:name w:val="Quote Char"/>
    <w:next w:val="885"/>
    <w:link w:val="770"/>
    <w:uiPriority w:val="29"/>
    <w:qFormat/>
    <w:rPr>
      <w:i/>
    </w:rPr>
  </w:style>
  <w:style w:type="character" w:styleId="886">
    <w:name w:val="Intense Quote Char"/>
    <w:next w:val="886"/>
    <w:link w:val="770"/>
    <w:uiPriority w:val="30"/>
    <w:qFormat/>
    <w:rPr>
      <w:i/>
    </w:rPr>
  </w:style>
  <w:style w:type="character" w:styleId="887">
    <w:name w:val="Header Char"/>
    <w:next w:val="887"/>
    <w:link w:val="770"/>
    <w:uiPriority w:val="99"/>
  </w:style>
  <w:style w:type="character" w:styleId="888">
    <w:name w:val="Footer Char"/>
    <w:next w:val="888"/>
    <w:link w:val="770"/>
    <w:uiPriority w:val="99"/>
    <w:qFormat/>
  </w:style>
  <w:style w:type="character" w:styleId="889">
    <w:name w:val="Caption Char"/>
    <w:next w:val="889"/>
    <w:link w:val="770"/>
    <w:uiPriority w:val="99"/>
  </w:style>
  <w:style w:type="table" w:styleId="890">
    <w:name w:val="Table Grid Light"/>
    <w:basedOn w:val="781"/>
    <w:next w:val="890"/>
    <w:link w:val="770"/>
    <w:uiPriority w:val="59"/>
    <w:pPr>
      <w:spacing w:after="0" w:line="240" w:lineRule="auto"/>
    </w:pPr>
    <w:tblPr/>
  </w:style>
  <w:style w:type="table" w:styleId="891">
    <w:name w:val="Plain Table 1"/>
    <w:basedOn w:val="781"/>
    <w:next w:val="891"/>
    <w:link w:val="770"/>
    <w:uiPriority w:val="59"/>
    <w:pPr>
      <w:spacing w:after="0" w:line="240" w:lineRule="auto"/>
    </w:pPr>
    <w:tblPr/>
  </w:style>
  <w:style w:type="table" w:styleId="892">
    <w:name w:val="Plain Table 2"/>
    <w:basedOn w:val="781"/>
    <w:next w:val="892"/>
    <w:link w:val="770"/>
    <w:uiPriority w:val="59"/>
    <w:pPr>
      <w:spacing w:after="0" w:line="240" w:lineRule="auto"/>
    </w:pPr>
    <w:tblPr/>
  </w:style>
  <w:style w:type="table" w:styleId="893">
    <w:name w:val="Plain Table 3"/>
    <w:basedOn w:val="781"/>
    <w:next w:val="893"/>
    <w:link w:val="770"/>
    <w:uiPriority w:val="99"/>
    <w:qFormat/>
    <w:pPr>
      <w:spacing w:after="0" w:line="240" w:lineRule="auto"/>
    </w:pPr>
    <w:tblPr/>
  </w:style>
  <w:style w:type="table" w:styleId="894">
    <w:name w:val="Plain Table 4"/>
    <w:basedOn w:val="781"/>
    <w:next w:val="894"/>
    <w:link w:val="770"/>
    <w:uiPriority w:val="99"/>
    <w:qFormat/>
    <w:pPr>
      <w:spacing w:after="0" w:line="240" w:lineRule="auto"/>
    </w:pPr>
    <w:tblPr/>
  </w:style>
  <w:style w:type="table" w:styleId="895">
    <w:name w:val="Plain Table 5"/>
    <w:basedOn w:val="781"/>
    <w:next w:val="895"/>
    <w:link w:val="770"/>
    <w:uiPriority w:val="99"/>
    <w:qFormat/>
    <w:pPr>
      <w:spacing w:after="0" w:line="240" w:lineRule="auto"/>
    </w:pPr>
    <w:tblPr/>
  </w:style>
  <w:style w:type="table" w:styleId="896">
    <w:name w:val="Grid Table 1 Light"/>
    <w:basedOn w:val="781"/>
    <w:next w:val="896"/>
    <w:link w:val="770"/>
    <w:uiPriority w:val="99"/>
    <w:qFormat/>
    <w:pPr>
      <w:spacing w:after="0" w:line="240" w:lineRule="auto"/>
    </w:pPr>
    <w:tblPr/>
  </w:style>
  <w:style w:type="table" w:styleId="897">
    <w:name w:val="Grid Table 1 Light - Accent 1"/>
    <w:basedOn w:val="781"/>
    <w:next w:val="897"/>
    <w:link w:val="770"/>
    <w:uiPriority w:val="99"/>
    <w:qFormat/>
    <w:pPr>
      <w:spacing w:after="0" w:line="240" w:lineRule="auto"/>
    </w:pPr>
    <w:tblPr/>
  </w:style>
  <w:style w:type="table" w:styleId="898">
    <w:name w:val="Grid Table 1 Light - Accent 2"/>
    <w:basedOn w:val="781"/>
    <w:next w:val="898"/>
    <w:link w:val="770"/>
    <w:uiPriority w:val="99"/>
    <w:qFormat/>
    <w:pPr>
      <w:spacing w:after="0" w:line="240" w:lineRule="auto"/>
    </w:pPr>
    <w:tblPr/>
  </w:style>
  <w:style w:type="table" w:styleId="899">
    <w:name w:val="Grid Table 1 Light - Accent 3"/>
    <w:basedOn w:val="781"/>
    <w:next w:val="899"/>
    <w:link w:val="770"/>
    <w:uiPriority w:val="99"/>
    <w:qFormat/>
    <w:pPr>
      <w:spacing w:after="0" w:line="240" w:lineRule="auto"/>
    </w:pPr>
    <w:tblPr/>
  </w:style>
  <w:style w:type="table" w:styleId="900">
    <w:name w:val="Grid Table 1 Light - Accent 4"/>
    <w:basedOn w:val="781"/>
    <w:next w:val="900"/>
    <w:link w:val="770"/>
    <w:uiPriority w:val="99"/>
    <w:qFormat/>
    <w:pPr>
      <w:spacing w:after="0" w:line="240" w:lineRule="auto"/>
    </w:pPr>
    <w:tblPr/>
  </w:style>
  <w:style w:type="table" w:styleId="901">
    <w:name w:val="Grid Table 1 Light - Accent 5"/>
    <w:basedOn w:val="781"/>
    <w:next w:val="901"/>
    <w:link w:val="770"/>
    <w:uiPriority w:val="99"/>
    <w:qFormat/>
    <w:pPr>
      <w:spacing w:after="0" w:line="240" w:lineRule="auto"/>
    </w:pPr>
    <w:tblPr/>
  </w:style>
  <w:style w:type="table" w:styleId="902">
    <w:name w:val="Grid Table 1 Light - Accent 6"/>
    <w:basedOn w:val="781"/>
    <w:next w:val="902"/>
    <w:link w:val="770"/>
    <w:uiPriority w:val="99"/>
    <w:qFormat/>
    <w:pPr>
      <w:spacing w:after="0" w:line="240" w:lineRule="auto"/>
    </w:pPr>
    <w:tblPr/>
  </w:style>
  <w:style w:type="table" w:styleId="903">
    <w:name w:val="Grid Table 2"/>
    <w:basedOn w:val="781"/>
    <w:next w:val="903"/>
    <w:link w:val="770"/>
    <w:uiPriority w:val="99"/>
    <w:qFormat/>
    <w:pPr>
      <w:spacing w:after="0" w:line="240" w:lineRule="auto"/>
    </w:pPr>
    <w:tblPr/>
  </w:style>
  <w:style w:type="table" w:styleId="904">
    <w:name w:val="Grid Table 2 - Accent 1"/>
    <w:basedOn w:val="781"/>
    <w:next w:val="904"/>
    <w:link w:val="770"/>
    <w:uiPriority w:val="99"/>
    <w:qFormat/>
    <w:pPr>
      <w:spacing w:after="0" w:line="240" w:lineRule="auto"/>
    </w:pPr>
    <w:tblPr/>
  </w:style>
  <w:style w:type="table" w:styleId="905">
    <w:name w:val="Grid Table 2 - Accent 2"/>
    <w:basedOn w:val="781"/>
    <w:next w:val="905"/>
    <w:link w:val="770"/>
    <w:uiPriority w:val="99"/>
    <w:qFormat/>
    <w:pPr>
      <w:spacing w:after="0" w:line="240" w:lineRule="auto"/>
    </w:pPr>
    <w:tblPr/>
  </w:style>
  <w:style w:type="table" w:styleId="906">
    <w:name w:val="Grid Table 2 - Accent 3"/>
    <w:basedOn w:val="781"/>
    <w:next w:val="906"/>
    <w:link w:val="770"/>
    <w:uiPriority w:val="99"/>
    <w:qFormat/>
    <w:pPr>
      <w:spacing w:after="0" w:line="240" w:lineRule="auto"/>
    </w:pPr>
    <w:tblPr/>
  </w:style>
  <w:style w:type="table" w:styleId="907">
    <w:name w:val="Grid Table 2 - Accent 4"/>
    <w:basedOn w:val="781"/>
    <w:next w:val="907"/>
    <w:link w:val="770"/>
    <w:uiPriority w:val="99"/>
    <w:qFormat/>
    <w:pPr>
      <w:spacing w:after="0" w:line="240" w:lineRule="auto"/>
    </w:pPr>
    <w:tblPr/>
  </w:style>
  <w:style w:type="table" w:styleId="908">
    <w:name w:val="Grid Table 2 - Accent 5"/>
    <w:basedOn w:val="781"/>
    <w:next w:val="908"/>
    <w:link w:val="770"/>
    <w:uiPriority w:val="99"/>
    <w:qFormat/>
    <w:pPr>
      <w:spacing w:after="0" w:line="240" w:lineRule="auto"/>
    </w:pPr>
    <w:tblPr/>
  </w:style>
  <w:style w:type="table" w:styleId="909">
    <w:name w:val="Grid Table 2 - Accent 6"/>
    <w:basedOn w:val="781"/>
    <w:next w:val="909"/>
    <w:link w:val="770"/>
    <w:uiPriority w:val="99"/>
    <w:qFormat/>
    <w:pPr>
      <w:spacing w:after="0" w:line="240" w:lineRule="auto"/>
    </w:pPr>
    <w:tblPr/>
  </w:style>
  <w:style w:type="table" w:styleId="910">
    <w:name w:val="Grid Table 3"/>
    <w:basedOn w:val="781"/>
    <w:next w:val="910"/>
    <w:link w:val="770"/>
    <w:uiPriority w:val="99"/>
    <w:qFormat/>
    <w:pPr>
      <w:spacing w:after="0" w:line="240" w:lineRule="auto"/>
    </w:pPr>
    <w:tblPr/>
  </w:style>
  <w:style w:type="table" w:styleId="911">
    <w:name w:val="Grid Table 3 - Accent 1"/>
    <w:basedOn w:val="781"/>
    <w:next w:val="911"/>
    <w:link w:val="770"/>
    <w:uiPriority w:val="99"/>
    <w:qFormat/>
    <w:pPr>
      <w:spacing w:after="0" w:line="240" w:lineRule="auto"/>
    </w:pPr>
    <w:tblPr/>
  </w:style>
  <w:style w:type="table" w:styleId="912">
    <w:name w:val="Grid Table 3 - Accent 2"/>
    <w:basedOn w:val="781"/>
    <w:next w:val="912"/>
    <w:link w:val="770"/>
    <w:uiPriority w:val="99"/>
    <w:qFormat/>
    <w:pPr>
      <w:spacing w:after="0" w:line="240" w:lineRule="auto"/>
    </w:pPr>
    <w:tblPr/>
  </w:style>
  <w:style w:type="table" w:styleId="913">
    <w:name w:val="Grid Table 3 - Accent 3"/>
    <w:basedOn w:val="781"/>
    <w:next w:val="913"/>
    <w:link w:val="770"/>
    <w:uiPriority w:val="99"/>
    <w:qFormat/>
    <w:pPr>
      <w:spacing w:after="0" w:line="240" w:lineRule="auto"/>
    </w:pPr>
    <w:tblPr/>
  </w:style>
  <w:style w:type="table" w:styleId="914">
    <w:name w:val="Grid Table 3 - Accent 4"/>
    <w:basedOn w:val="781"/>
    <w:next w:val="914"/>
    <w:link w:val="770"/>
    <w:uiPriority w:val="99"/>
    <w:qFormat/>
    <w:pPr>
      <w:spacing w:after="0" w:line="240" w:lineRule="auto"/>
    </w:pPr>
    <w:tblPr/>
  </w:style>
  <w:style w:type="table" w:styleId="915">
    <w:name w:val="Grid Table 3 - Accent 5"/>
    <w:basedOn w:val="781"/>
    <w:next w:val="915"/>
    <w:link w:val="770"/>
    <w:uiPriority w:val="99"/>
    <w:qFormat/>
    <w:pPr>
      <w:spacing w:after="0" w:line="240" w:lineRule="auto"/>
    </w:pPr>
    <w:tblPr/>
  </w:style>
  <w:style w:type="table" w:styleId="916">
    <w:name w:val="Grid Table 3 - Accent 6"/>
    <w:basedOn w:val="781"/>
    <w:next w:val="916"/>
    <w:link w:val="770"/>
    <w:uiPriority w:val="99"/>
    <w:qFormat/>
    <w:pPr>
      <w:spacing w:after="0" w:line="240" w:lineRule="auto"/>
    </w:pPr>
    <w:tblPr/>
  </w:style>
  <w:style w:type="table" w:styleId="917">
    <w:name w:val="Grid Table 4"/>
    <w:basedOn w:val="781"/>
    <w:next w:val="917"/>
    <w:link w:val="770"/>
    <w:uiPriority w:val="59"/>
    <w:qFormat/>
    <w:pPr>
      <w:spacing w:after="0" w:line="240" w:lineRule="auto"/>
    </w:pPr>
    <w:tblPr/>
  </w:style>
  <w:style w:type="table" w:styleId="918">
    <w:name w:val="Grid Table 4 - Accent 1"/>
    <w:basedOn w:val="781"/>
    <w:next w:val="918"/>
    <w:link w:val="770"/>
    <w:uiPriority w:val="59"/>
    <w:qFormat/>
    <w:pPr>
      <w:spacing w:after="0" w:line="240" w:lineRule="auto"/>
    </w:pPr>
    <w:tblPr/>
  </w:style>
  <w:style w:type="table" w:styleId="919">
    <w:name w:val="Grid Table 4 - Accent 2"/>
    <w:basedOn w:val="781"/>
    <w:next w:val="919"/>
    <w:link w:val="770"/>
    <w:uiPriority w:val="59"/>
    <w:qFormat/>
    <w:pPr>
      <w:spacing w:after="0" w:line="240" w:lineRule="auto"/>
    </w:pPr>
    <w:tblPr/>
  </w:style>
  <w:style w:type="table" w:styleId="920">
    <w:name w:val="Grid Table 4 - Accent 3"/>
    <w:basedOn w:val="781"/>
    <w:next w:val="920"/>
    <w:link w:val="770"/>
    <w:uiPriority w:val="59"/>
    <w:qFormat/>
    <w:pPr>
      <w:spacing w:after="0" w:line="240" w:lineRule="auto"/>
    </w:pPr>
    <w:tblPr/>
  </w:style>
  <w:style w:type="table" w:styleId="921">
    <w:name w:val="Grid Table 4 - Accent 4"/>
    <w:basedOn w:val="781"/>
    <w:next w:val="921"/>
    <w:link w:val="770"/>
    <w:uiPriority w:val="59"/>
    <w:qFormat/>
    <w:pPr>
      <w:spacing w:after="0" w:line="240" w:lineRule="auto"/>
    </w:pPr>
    <w:tblPr/>
  </w:style>
  <w:style w:type="table" w:styleId="922">
    <w:name w:val="Grid Table 4 - Accent 5"/>
    <w:basedOn w:val="781"/>
    <w:next w:val="922"/>
    <w:link w:val="770"/>
    <w:uiPriority w:val="59"/>
    <w:qFormat/>
    <w:pPr>
      <w:spacing w:after="0" w:line="240" w:lineRule="auto"/>
    </w:pPr>
    <w:tblPr/>
  </w:style>
  <w:style w:type="table" w:styleId="923">
    <w:name w:val="Grid Table 4 - Accent 6"/>
    <w:basedOn w:val="781"/>
    <w:next w:val="923"/>
    <w:link w:val="770"/>
    <w:uiPriority w:val="59"/>
    <w:qFormat/>
    <w:pPr>
      <w:spacing w:after="0" w:line="240" w:lineRule="auto"/>
    </w:pPr>
    <w:tblPr/>
  </w:style>
  <w:style w:type="table" w:styleId="924">
    <w:name w:val="Grid Table 5 Dark"/>
    <w:basedOn w:val="781"/>
    <w:next w:val="924"/>
    <w:link w:val="770"/>
    <w:uiPriority w:val="99"/>
    <w:qFormat/>
    <w:pPr>
      <w:spacing w:after="0" w:line="240" w:lineRule="auto"/>
    </w:pPr>
    <w:tblPr/>
  </w:style>
  <w:style w:type="table" w:styleId="925">
    <w:name w:val="Grid Table 5 Dark- Accent 1"/>
    <w:basedOn w:val="781"/>
    <w:next w:val="925"/>
    <w:link w:val="770"/>
    <w:uiPriority w:val="99"/>
    <w:qFormat/>
    <w:pPr>
      <w:spacing w:after="0" w:line="240" w:lineRule="auto"/>
    </w:pPr>
    <w:tblPr/>
  </w:style>
  <w:style w:type="table" w:styleId="926">
    <w:name w:val="Grid Table 5 Dark - Accent 2"/>
    <w:basedOn w:val="781"/>
    <w:next w:val="926"/>
    <w:link w:val="770"/>
    <w:uiPriority w:val="99"/>
    <w:qFormat/>
    <w:pPr>
      <w:spacing w:after="0" w:line="240" w:lineRule="auto"/>
    </w:pPr>
    <w:tblPr/>
  </w:style>
  <w:style w:type="table" w:styleId="927">
    <w:name w:val="Grid Table 5 Dark - Accent 3"/>
    <w:basedOn w:val="781"/>
    <w:next w:val="927"/>
    <w:link w:val="770"/>
    <w:uiPriority w:val="99"/>
    <w:qFormat/>
    <w:pPr>
      <w:spacing w:after="0" w:line="240" w:lineRule="auto"/>
    </w:pPr>
    <w:tblPr/>
  </w:style>
  <w:style w:type="table" w:styleId="928">
    <w:name w:val="Grid Table 5 Dark- Accent 4"/>
    <w:basedOn w:val="781"/>
    <w:next w:val="928"/>
    <w:link w:val="770"/>
    <w:uiPriority w:val="99"/>
    <w:qFormat/>
    <w:pPr>
      <w:spacing w:after="0" w:line="240" w:lineRule="auto"/>
    </w:pPr>
    <w:tblPr/>
  </w:style>
  <w:style w:type="table" w:styleId="929">
    <w:name w:val="Grid Table 5 Dark - Accent 5"/>
    <w:basedOn w:val="781"/>
    <w:next w:val="929"/>
    <w:link w:val="770"/>
    <w:uiPriority w:val="99"/>
    <w:qFormat/>
    <w:pPr>
      <w:spacing w:after="0" w:line="240" w:lineRule="auto"/>
    </w:pPr>
    <w:tblPr/>
  </w:style>
  <w:style w:type="table" w:styleId="930">
    <w:name w:val="Grid Table 5 Dark - Accent 6"/>
    <w:basedOn w:val="781"/>
    <w:next w:val="930"/>
    <w:link w:val="770"/>
    <w:uiPriority w:val="99"/>
    <w:qFormat/>
    <w:pPr>
      <w:spacing w:after="0" w:line="240" w:lineRule="auto"/>
    </w:pPr>
    <w:tblPr/>
  </w:style>
  <w:style w:type="table" w:styleId="931">
    <w:name w:val="Grid Table 6 Colorful"/>
    <w:basedOn w:val="781"/>
    <w:next w:val="931"/>
    <w:link w:val="770"/>
    <w:uiPriority w:val="99"/>
    <w:qFormat/>
    <w:pPr>
      <w:spacing w:after="0" w:line="240" w:lineRule="auto"/>
    </w:pPr>
    <w:tblPr/>
  </w:style>
  <w:style w:type="table" w:styleId="932">
    <w:name w:val="Grid Table 6 Colorful - Accent 1"/>
    <w:basedOn w:val="781"/>
    <w:next w:val="932"/>
    <w:link w:val="770"/>
    <w:uiPriority w:val="99"/>
    <w:qFormat/>
    <w:pPr>
      <w:spacing w:after="0" w:line="240" w:lineRule="auto"/>
    </w:pPr>
    <w:tblPr/>
  </w:style>
  <w:style w:type="table" w:styleId="933">
    <w:name w:val="Grid Table 6 Colorful - Accent 2"/>
    <w:basedOn w:val="781"/>
    <w:next w:val="933"/>
    <w:link w:val="770"/>
    <w:uiPriority w:val="99"/>
    <w:qFormat/>
    <w:pPr>
      <w:spacing w:after="0" w:line="240" w:lineRule="auto"/>
    </w:pPr>
    <w:tblPr/>
  </w:style>
  <w:style w:type="table" w:styleId="934">
    <w:name w:val="Grid Table 6 Colorful - Accent 3"/>
    <w:basedOn w:val="781"/>
    <w:next w:val="934"/>
    <w:link w:val="770"/>
    <w:uiPriority w:val="99"/>
    <w:qFormat/>
    <w:pPr>
      <w:spacing w:after="0" w:line="240" w:lineRule="auto"/>
    </w:pPr>
    <w:tblPr/>
  </w:style>
  <w:style w:type="table" w:styleId="935">
    <w:name w:val="Grid Table 6 Colorful - Accent 4"/>
    <w:basedOn w:val="781"/>
    <w:next w:val="935"/>
    <w:link w:val="770"/>
    <w:uiPriority w:val="99"/>
    <w:qFormat/>
    <w:pPr>
      <w:spacing w:after="0" w:line="240" w:lineRule="auto"/>
    </w:pPr>
    <w:tblPr/>
  </w:style>
  <w:style w:type="table" w:styleId="936">
    <w:name w:val="Grid Table 6 Colorful - Accent 5"/>
    <w:basedOn w:val="781"/>
    <w:next w:val="936"/>
    <w:link w:val="770"/>
    <w:uiPriority w:val="99"/>
    <w:qFormat/>
    <w:pPr>
      <w:spacing w:after="0" w:line="240" w:lineRule="auto"/>
    </w:pPr>
    <w:tblPr/>
  </w:style>
  <w:style w:type="table" w:styleId="937">
    <w:name w:val="Grid Table 6 Colorful - Accent 6"/>
    <w:basedOn w:val="781"/>
    <w:next w:val="937"/>
    <w:link w:val="770"/>
    <w:uiPriority w:val="99"/>
    <w:qFormat/>
    <w:pPr>
      <w:spacing w:after="0" w:line="240" w:lineRule="auto"/>
    </w:pPr>
    <w:tblPr/>
  </w:style>
  <w:style w:type="table" w:styleId="938">
    <w:name w:val="Grid Table 7 Colorful"/>
    <w:basedOn w:val="781"/>
    <w:next w:val="938"/>
    <w:link w:val="770"/>
    <w:uiPriority w:val="99"/>
    <w:qFormat/>
    <w:pPr>
      <w:spacing w:after="0" w:line="240" w:lineRule="auto"/>
    </w:pPr>
    <w:tblPr/>
  </w:style>
  <w:style w:type="table" w:styleId="939">
    <w:name w:val="Grid Table 7 Colorful - Accent 1"/>
    <w:basedOn w:val="781"/>
    <w:next w:val="939"/>
    <w:link w:val="770"/>
    <w:uiPriority w:val="99"/>
    <w:qFormat/>
    <w:pPr>
      <w:spacing w:after="0" w:line="240" w:lineRule="auto"/>
    </w:pPr>
    <w:tblPr/>
  </w:style>
  <w:style w:type="table" w:styleId="940">
    <w:name w:val="Grid Table 7 Colorful - Accent 2"/>
    <w:basedOn w:val="781"/>
    <w:next w:val="940"/>
    <w:link w:val="770"/>
    <w:uiPriority w:val="99"/>
    <w:qFormat/>
    <w:pPr>
      <w:spacing w:after="0" w:line="240" w:lineRule="auto"/>
    </w:pPr>
    <w:tblPr/>
  </w:style>
  <w:style w:type="table" w:styleId="941">
    <w:name w:val="Grid Table 7 Colorful - Accent 3"/>
    <w:basedOn w:val="781"/>
    <w:next w:val="941"/>
    <w:link w:val="770"/>
    <w:uiPriority w:val="99"/>
    <w:qFormat/>
    <w:pPr>
      <w:spacing w:after="0" w:line="240" w:lineRule="auto"/>
    </w:pPr>
    <w:tblPr/>
  </w:style>
  <w:style w:type="table" w:styleId="942">
    <w:name w:val="Grid Table 7 Colorful - Accent 4"/>
    <w:basedOn w:val="781"/>
    <w:next w:val="942"/>
    <w:link w:val="770"/>
    <w:uiPriority w:val="99"/>
    <w:qFormat/>
    <w:pPr>
      <w:spacing w:after="0" w:line="240" w:lineRule="auto"/>
    </w:pPr>
    <w:tblPr/>
  </w:style>
  <w:style w:type="table" w:styleId="943">
    <w:name w:val="Grid Table 7 Colorful - Accent 5"/>
    <w:basedOn w:val="781"/>
    <w:next w:val="943"/>
    <w:link w:val="770"/>
    <w:uiPriority w:val="99"/>
    <w:qFormat/>
    <w:pPr>
      <w:spacing w:after="0" w:line="240" w:lineRule="auto"/>
    </w:pPr>
    <w:tblPr/>
  </w:style>
  <w:style w:type="table" w:styleId="944">
    <w:name w:val="Grid Table 7 Colorful - Accent 6"/>
    <w:basedOn w:val="781"/>
    <w:next w:val="944"/>
    <w:link w:val="770"/>
    <w:uiPriority w:val="99"/>
    <w:qFormat/>
    <w:pPr>
      <w:spacing w:after="0" w:line="240" w:lineRule="auto"/>
    </w:pPr>
    <w:tblPr/>
  </w:style>
  <w:style w:type="table" w:styleId="945">
    <w:name w:val="List Table 1 Light"/>
    <w:basedOn w:val="781"/>
    <w:next w:val="945"/>
    <w:link w:val="770"/>
    <w:uiPriority w:val="99"/>
    <w:qFormat/>
    <w:pPr>
      <w:spacing w:after="0" w:line="240" w:lineRule="auto"/>
    </w:pPr>
    <w:tblPr/>
  </w:style>
  <w:style w:type="table" w:styleId="946">
    <w:name w:val="List Table 1 Light - Accent 1"/>
    <w:basedOn w:val="781"/>
    <w:next w:val="946"/>
    <w:link w:val="770"/>
    <w:uiPriority w:val="99"/>
    <w:qFormat/>
    <w:pPr>
      <w:spacing w:after="0" w:line="240" w:lineRule="auto"/>
    </w:pPr>
    <w:tblPr/>
  </w:style>
  <w:style w:type="table" w:styleId="947">
    <w:name w:val="List Table 1 Light - Accent 2"/>
    <w:basedOn w:val="781"/>
    <w:next w:val="947"/>
    <w:link w:val="770"/>
    <w:uiPriority w:val="99"/>
    <w:qFormat/>
    <w:pPr>
      <w:spacing w:after="0" w:line="240" w:lineRule="auto"/>
    </w:pPr>
    <w:tblPr/>
  </w:style>
  <w:style w:type="table" w:styleId="948">
    <w:name w:val="List Table 1 Light - Accent 3"/>
    <w:basedOn w:val="781"/>
    <w:next w:val="948"/>
    <w:link w:val="770"/>
    <w:uiPriority w:val="99"/>
    <w:qFormat/>
    <w:pPr>
      <w:spacing w:after="0" w:line="240" w:lineRule="auto"/>
    </w:pPr>
    <w:tblPr/>
  </w:style>
  <w:style w:type="table" w:styleId="949">
    <w:name w:val="List Table 1 Light - Accent 4"/>
    <w:basedOn w:val="781"/>
    <w:next w:val="949"/>
    <w:link w:val="770"/>
    <w:uiPriority w:val="99"/>
    <w:qFormat/>
    <w:pPr>
      <w:spacing w:after="0" w:line="240" w:lineRule="auto"/>
    </w:pPr>
    <w:tblPr/>
  </w:style>
  <w:style w:type="table" w:styleId="950">
    <w:name w:val="List Table 1 Light - Accent 5"/>
    <w:basedOn w:val="781"/>
    <w:next w:val="950"/>
    <w:link w:val="770"/>
    <w:uiPriority w:val="99"/>
    <w:qFormat/>
    <w:pPr>
      <w:spacing w:after="0" w:line="240" w:lineRule="auto"/>
    </w:pPr>
    <w:tblPr/>
  </w:style>
  <w:style w:type="table" w:styleId="951">
    <w:name w:val="List Table 1 Light - Accent 6"/>
    <w:basedOn w:val="781"/>
    <w:next w:val="951"/>
    <w:link w:val="770"/>
    <w:uiPriority w:val="99"/>
    <w:qFormat/>
    <w:pPr>
      <w:spacing w:after="0" w:line="240" w:lineRule="auto"/>
    </w:pPr>
    <w:tblPr/>
  </w:style>
  <w:style w:type="table" w:styleId="952">
    <w:name w:val="List Table 2"/>
    <w:basedOn w:val="781"/>
    <w:next w:val="952"/>
    <w:link w:val="770"/>
    <w:uiPriority w:val="99"/>
    <w:qFormat/>
    <w:pPr>
      <w:spacing w:after="0" w:line="240" w:lineRule="auto"/>
    </w:pPr>
    <w:tblPr/>
  </w:style>
  <w:style w:type="table" w:styleId="953">
    <w:name w:val="List Table 2 - Accent 1"/>
    <w:basedOn w:val="781"/>
    <w:next w:val="953"/>
    <w:link w:val="770"/>
    <w:uiPriority w:val="99"/>
    <w:qFormat/>
    <w:pPr>
      <w:spacing w:after="0" w:line="240" w:lineRule="auto"/>
    </w:pPr>
    <w:tblPr/>
  </w:style>
  <w:style w:type="table" w:styleId="954">
    <w:name w:val="List Table 2 - Accent 2"/>
    <w:basedOn w:val="781"/>
    <w:next w:val="954"/>
    <w:link w:val="770"/>
    <w:uiPriority w:val="99"/>
    <w:qFormat/>
    <w:pPr>
      <w:spacing w:after="0" w:line="240" w:lineRule="auto"/>
    </w:pPr>
    <w:tblPr/>
  </w:style>
  <w:style w:type="table" w:styleId="955">
    <w:name w:val="List Table 2 - Accent 3"/>
    <w:basedOn w:val="781"/>
    <w:next w:val="955"/>
    <w:link w:val="770"/>
    <w:uiPriority w:val="99"/>
    <w:qFormat/>
    <w:pPr>
      <w:spacing w:after="0" w:line="240" w:lineRule="auto"/>
    </w:pPr>
    <w:tblPr/>
  </w:style>
  <w:style w:type="table" w:styleId="956">
    <w:name w:val="List Table 2 - Accent 4"/>
    <w:basedOn w:val="781"/>
    <w:next w:val="956"/>
    <w:link w:val="770"/>
    <w:uiPriority w:val="99"/>
    <w:qFormat/>
    <w:pPr>
      <w:spacing w:after="0" w:line="240" w:lineRule="auto"/>
    </w:pPr>
    <w:tblPr/>
  </w:style>
  <w:style w:type="table" w:styleId="957">
    <w:name w:val="List Table 2 - Accent 5"/>
    <w:basedOn w:val="781"/>
    <w:next w:val="957"/>
    <w:link w:val="770"/>
    <w:uiPriority w:val="99"/>
    <w:qFormat/>
    <w:pPr>
      <w:spacing w:after="0" w:line="240" w:lineRule="auto"/>
    </w:pPr>
    <w:tblPr/>
  </w:style>
  <w:style w:type="table" w:styleId="958">
    <w:name w:val="List Table 2 - Accent 6"/>
    <w:basedOn w:val="781"/>
    <w:next w:val="958"/>
    <w:link w:val="770"/>
    <w:uiPriority w:val="99"/>
    <w:qFormat/>
    <w:pPr>
      <w:spacing w:after="0" w:line="240" w:lineRule="auto"/>
    </w:pPr>
    <w:tblPr/>
  </w:style>
  <w:style w:type="table" w:styleId="959">
    <w:name w:val="List Table 3"/>
    <w:basedOn w:val="781"/>
    <w:next w:val="959"/>
    <w:link w:val="770"/>
    <w:uiPriority w:val="99"/>
    <w:qFormat/>
    <w:pPr>
      <w:spacing w:after="0" w:line="240" w:lineRule="auto"/>
    </w:pPr>
    <w:tblPr/>
  </w:style>
  <w:style w:type="table" w:styleId="960">
    <w:name w:val="List Table 3 - Accent 1"/>
    <w:basedOn w:val="781"/>
    <w:next w:val="960"/>
    <w:link w:val="770"/>
    <w:uiPriority w:val="99"/>
    <w:qFormat/>
    <w:pPr>
      <w:spacing w:after="0" w:line="240" w:lineRule="auto"/>
    </w:pPr>
    <w:tblPr/>
  </w:style>
  <w:style w:type="table" w:styleId="961">
    <w:name w:val="List Table 3 - Accent 2"/>
    <w:basedOn w:val="781"/>
    <w:next w:val="961"/>
    <w:link w:val="770"/>
    <w:uiPriority w:val="99"/>
    <w:qFormat/>
    <w:pPr>
      <w:spacing w:after="0" w:line="240" w:lineRule="auto"/>
    </w:pPr>
    <w:tblPr/>
  </w:style>
  <w:style w:type="table" w:styleId="962">
    <w:name w:val="List Table 3 - Accent 3"/>
    <w:basedOn w:val="781"/>
    <w:next w:val="962"/>
    <w:link w:val="770"/>
    <w:uiPriority w:val="99"/>
    <w:qFormat/>
    <w:pPr>
      <w:spacing w:after="0" w:line="240" w:lineRule="auto"/>
    </w:pPr>
    <w:tblPr/>
  </w:style>
  <w:style w:type="table" w:styleId="963">
    <w:name w:val="List Table 3 - Accent 4"/>
    <w:basedOn w:val="781"/>
    <w:next w:val="963"/>
    <w:link w:val="770"/>
    <w:uiPriority w:val="99"/>
    <w:qFormat/>
    <w:pPr>
      <w:spacing w:after="0" w:line="240" w:lineRule="auto"/>
    </w:pPr>
    <w:tblPr/>
  </w:style>
  <w:style w:type="table" w:styleId="964">
    <w:name w:val="List Table 3 - Accent 5"/>
    <w:basedOn w:val="781"/>
    <w:next w:val="964"/>
    <w:link w:val="770"/>
    <w:uiPriority w:val="99"/>
    <w:qFormat/>
    <w:pPr>
      <w:spacing w:after="0" w:line="240" w:lineRule="auto"/>
    </w:pPr>
    <w:tblPr/>
  </w:style>
  <w:style w:type="table" w:styleId="965">
    <w:name w:val="List Table 3 - Accent 6"/>
    <w:basedOn w:val="781"/>
    <w:next w:val="965"/>
    <w:link w:val="770"/>
    <w:uiPriority w:val="99"/>
    <w:qFormat/>
    <w:pPr>
      <w:spacing w:after="0" w:line="240" w:lineRule="auto"/>
    </w:pPr>
    <w:tblPr/>
  </w:style>
  <w:style w:type="table" w:styleId="966">
    <w:name w:val="List Table 4"/>
    <w:basedOn w:val="781"/>
    <w:next w:val="966"/>
    <w:link w:val="770"/>
    <w:uiPriority w:val="99"/>
    <w:qFormat/>
    <w:pPr>
      <w:spacing w:after="0" w:line="240" w:lineRule="auto"/>
    </w:pPr>
    <w:tblPr/>
  </w:style>
  <w:style w:type="table" w:styleId="967">
    <w:name w:val="List Table 4 - Accent 1"/>
    <w:basedOn w:val="781"/>
    <w:next w:val="967"/>
    <w:link w:val="770"/>
    <w:uiPriority w:val="99"/>
    <w:qFormat/>
    <w:pPr>
      <w:spacing w:after="0" w:line="240" w:lineRule="auto"/>
    </w:pPr>
    <w:tblPr/>
  </w:style>
  <w:style w:type="table" w:styleId="968">
    <w:name w:val="List Table 4 - Accent 2"/>
    <w:basedOn w:val="781"/>
    <w:next w:val="968"/>
    <w:link w:val="770"/>
    <w:uiPriority w:val="99"/>
    <w:qFormat/>
    <w:pPr>
      <w:spacing w:after="0" w:line="240" w:lineRule="auto"/>
    </w:pPr>
    <w:tblPr/>
  </w:style>
  <w:style w:type="table" w:styleId="969">
    <w:name w:val="List Table 4 - Accent 3"/>
    <w:basedOn w:val="781"/>
    <w:next w:val="969"/>
    <w:link w:val="770"/>
    <w:uiPriority w:val="99"/>
    <w:qFormat/>
    <w:pPr>
      <w:spacing w:after="0" w:line="240" w:lineRule="auto"/>
    </w:pPr>
    <w:tblPr/>
  </w:style>
  <w:style w:type="table" w:styleId="970">
    <w:name w:val="List Table 4 - Accent 4"/>
    <w:basedOn w:val="781"/>
    <w:next w:val="970"/>
    <w:link w:val="770"/>
    <w:uiPriority w:val="99"/>
    <w:qFormat/>
    <w:pPr>
      <w:spacing w:after="0" w:line="240" w:lineRule="auto"/>
    </w:pPr>
    <w:tblPr/>
  </w:style>
  <w:style w:type="table" w:styleId="971">
    <w:name w:val="List Table 4 - Accent 5"/>
    <w:basedOn w:val="781"/>
    <w:next w:val="971"/>
    <w:link w:val="770"/>
    <w:uiPriority w:val="99"/>
    <w:qFormat/>
    <w:pPr>
      <w:spacing w:after="0" w:line="240" w:lineRule="auto"/>
    </w:pPr>
    <w:tblPr/>
  </w:style>
  <w:style w:type="table" w:styleId="972">
    <w:name w:val="List Table 4 - Accent 6"/>
    <w:basedOn w:val="781"/>
    <w:next w:val="972"/>
    <w:link w:val="770"/>
    <w:uiPriority w:val="99"/>
    <w:qFormat/>
    <w:pPr>
      <w:spacing w:after="0" w:line="240" w:lineRule="auto"/>
    </w:pPr>
    <w:tblPr/>
  </w:style>
  <w:style w:type="table" w:styleId="973">
    <w:name w:val="List Table 5 Dark"/>
    <w:basedOn w:val="781"/>
    <w:next w:val="973"/>
    <w:link w:val="770"/>
    <w:uiPriority w:val="99"/>
    <w:qFormat/>
    <w:pPr>
      <w:spacing w:after="0" w:line="240" w:lineRule="auto"/>
    </w:pPr>
    <w:tblPr/>
  </w:style>
  <w:style w:type="table" w:styleId="974">
    <w:name w:val="List Table 5 Dark - Accent 1"/>
    <w:basedOn w:val="781"/>
    <w:next w:val="974"/>
    <w:link w:val="770"/>
    <w:uiPriority w:val="99"/>
    <w:qFormat/>
    <w:pPr>
      <w:spacing w:after="0" w:line="240" w:lineRule="auto"/>
    </w:pPr>
    <w:tblPr/>
  </w:style>
  <w:style w:type="table" w:styleId="975">
    <w:name w:val="List Table 5 Dark - Accent 2"/>
    <w:basedOn w:val="781"/>
    <w:next w:val="975"/>
    <w:link w:val="770"/>
    <w:uiPriority w:val="99"/>
    <w:qFormat/>
    <w:pPr>
      <w:spacing w:after="0" w:line="240" w:lineRule="auto"/>
    </w:pPr>
    <w:tblPr/>
  </w:style>
  <w:style w:type="table" w:styleId="976">
    <w:name w:val="List Table 5 Dark - Accent 3"/>
    <w:basedOn w:val="781"/>
    <w:next w:val="976"/>
    <w:link w:val="770"/>
    <w:uiPriority w:val="99"/>
    <w:qFormat/>
    <w:pPr>
      <w:spacing w:after="0" w:line="240" w:lineRule="auto"/>
    </w:pPr>
    <w:tblPr/>
  </w:style>
  <w:style w:type="table" w:styleId="977">
    <w:name w:val="List Table 5 Dark - Accent 4"/>
    <w:basedOn w:val="781"/>
    <w:next w:val="977"/>
    <w:link w:val="770"/>
    <w:uiPriority w:val="99"/>
    <w:qFormat/>
    <w:pPr>
      <w:spacing w:after="0" w:line="240" w:lineRule="auto"/>
    </w:pPr>
    <w:tblPr/>
  </w:style>
  <w:style w:type="table" w:styleId="978">
    <w:name w:val="List Table 5 Dark - Accent 5"/>
    <w:basedOn w:val="781"/>
    <w:next w:val="978"/>
    <w:link w:val="770"/>
    <w:uiPriority w:val="99"/>
    <w:qFormat/>
    <w:pPr>
      <w:spacing w:after="0" w:line="240" w:lineRule="auto"/>
    </w:pPr>
    <w:tblPr/>
  </w:style>
  <w:style w:type="table" w:styleId="979">
    <w:name w:val="List Table 5 Dark - Accent 6"/>
    <w:basedOn w:val="781"/>
    <w:next w:val="979"/>
    <w:link w:val="770"/>
    <w:uiPriority w:val="99"/>
    <w:qFormat/>
    <w:pPr>
      <w:spacing w:after="0" w:line="240" w:lineRule="auto"/>
    </w:pPr>
    <w:tblPr/>
  </w:style>
  <w:style w:type="table" w:styleId="980">
    <w:name w:val="List Table 6 Colorful"/>
    <w:basedOn w:val="781"/>
    <w:next w:val="980"/>
    <w:link w:val="770"/>
    <w:uiPriority w:val="99"/>
    <w:qFormat/>
    <w:pPr>
      <w:spacing w:after="0" w:line="240" w:lineRule="auto"/>
    </w:pPr>
    <w:tblPr/>
  </w:style>
  <w:style w:type="table" w:styleId="981">
    <w:name w:val="List Table 6 Colorful - Accent 1"/>
    <w:basedOn w:val="781"/>
    <w:next w:val="981"/>
    <w:link w:val="770"/>
    <w:uiPriority w:val="99"/>
    <w:qFormat/>
    <w:pPr>
      <w:spacing w:after="0" w:line="240" w:lineRule="auto"/>
    </w:pPr>
    <w:tblPr/>
  </w:style>
  <w:style w:type="table" w:styleId="982">
    <w:name w:val="List Table 6 Colorful - Accent 2"/>
    <w:basedOn w:val="781"/>
    <w:next w:val="982"/>
    <w:link w:val="770"/>
    <w:uiPriority w:val="99"/>
    <w:qFormat/>
    <w:pPr>
      <w:spacing w:after="0" w:line="240" w:lineRule="auto"/>
    </w:pPr>
    <w:tblPr/>
  </w:style>
  <w:style w:type="table" w:styleId="983">
    <w:name w:val="List Table 6 Colorful - Accent 3"/>
    <w:basedOn w:val="781"/>
    <w:next w:val="983"/>
    <w:link w:val="770"/>
    <w:uiPriority w:val="99"/>
    <w:qFormat/>
    <w:pPr>
      <w:spacing w:after="0" w:line="240" w:lineRule="auto"/>
    </w:pPr>
    <w:tblPr/>
  </w:style>
  <w:style w:type="table" w:styleId="984">
    <w:name w:val="List Table 6 Colorful - Accent 4"/>
    <w:basedOn w:val="781"/>
    <w:next w:val="984"/>
    <w:link w:val="770"/>
    <w:uiPriority w:val="99"/>
    <w:qFormat/>
    <w:pPr>
      <w:spacing w:after="0" w:line="240" w:lineRule="auto"/>
    </w:pPr>
    <w:tblPr/>
  </w:style>
  <w:style w:type="table" w:styleId="985">
    <w:name w:val="List Table 6 Colorful - Accent 5"/>
    <w:basedOn w:val="781"/>
    <w:next w:val="985"/>
    <w:link w:val="770"/>
    <w:uiPriority w:val="99"/>
    <w:qFormat/>
    <w:pPr>
      <w:spacing w:after="0" w:line="240" w:lineRule="auto"/>
    </w:pPr>
    <w:tblPr/>
  </w:style>
  <w:style w:type="table" w:styleId="986">
    <w:name w:val="List Table 6 Colorful - Accent 6"/>
    <w:basedOn w:val="781"/>
    <w:next w:val="986"/>
    <w:link w:val="770"/>
    <w:uiPriority w:val="99"/>
    <w:qFormat/>
    <w:pPr>
      <w:spacing w:after="0" w:line="240" w:lineRule="auto"/>
    </w:pPr>
    <w:tblPr/>
  </w:style>
  <w:style w:type="table" w:styleId="987">
    <w:name w:val="List Table 7 Colorful"/>
    <w:basedOn w:val="781"/>
    <w:next w:val="987"/>
    <w:link w:val="770"/>
    <w:uiPriority w:val="99"/>
    <w:qFormat/>
    <w:pPr>
      <w:spacing w:after="0" w:line="240" w:lineRule="auto"/>
    </w:pPr>
    <w:tblPr/>
  </w:style>
  <w:style w:type="table" w:styleId="988">
    <w:name w:val="List Table 7 Colorful - Accent 1"/>
    <w:basedOn w:val="781"/>
    <w:next w:val="988"/>
    <w:link w:val="770"/>
    <w:uiPriority w:val="99"/>
    <w:qFormat/>
    <w:pPr>
      <w:spacing w:after="0" w:line="240" w:lineRule="auto"/>
    </w:pPr>
    <w:tblPr/>
  </w:style>
  <w:style w:type="table" w:styleId="989">
    <w:name w:val="List Table 7 Colorful - Accent 2"/>
    <w:basedOn w:val="781"/>
    <w:next w:val="989"/>
    <w:link w:val="770"/>
    <w:uiPriority w:val="99"/>
    <w:qFormat/>
    <w:pPr>
      <w:spacing w:after="0" w:line="240" w:lineRule="auto"/>
    </w:pPr>
    <w:tblPr/>
  </w:style>
  <w:style w:type="table" w:styleId="990">
    <w:name w:val="List Table 7 Colorful - Accent 3"/>
    <w:basedOn w:val="781"/>
    <w:next w:val="990"/>
    <w:link w:val="770"/>
    <w:uiPriority w:val="99"/>
    <w:qFormat/>
    <w:pPr>
      <w:spacing w:after="0" w:line="240" w:lineRule="auto"/>
    </w:pPr>
    <w:tblPr/>
  </w:style>
  <w:style w:type="table" w:styleId="991">
    <w:name w:val="List Table 7 Colorful - Accent 4"/>
    <w:basedOn w:val="781"/>
    <w:next w:val="991"/>
    <w:link w:val="770"/>
    <w:uiPriority w:val="99"/>
    <w:qFormat/>
    <w:pPr>
      <w:spacing w:after="0" w:line="240" w:lineRule="auto"/>
    </w:pPr>
    <w:tblPr/>
  </w:style>
  <w:style w:type="table" w:styleId="992">
    <w:name w:val="List Table 7 Colorful - Accent 5"/>
    <w:basedOn w:val="781"/>
    <w:next w:val="992"/>
    <w:link w:val="770"/>
    <w:uiPriority w:val="99"/>
    <w:qFormat/>
    <w:pPr>
      <w:spacing w:after="0" w:line="240" w:lineRule="auto"/>
    </w:pPr>
    <w:tblPr/>
  </w:style>
  <w:style w:type="table" w:styleId="993">
    <w:name w:val="List Table 7 Colorful - Accent 6"/>
    <w:basedOn w:val="781"/>
    <w:next w:val="993"/>
    <w:link w:val="770"/>
    <w:uiPriority w:val="99"/>
    <w:qFormat/>
    <w:pPr>
      <w:spacing w:after="0" w:line="240" w:lineRule="auto"/>
    </w:pPr>
    <w:tblPr/>
  </w:style>
  <w:style w:type="table" w:styleId="994">
    <w:name w:val="Lined - Accent"/>
    <w:basedOn w:val="781"/>
    <w:next w:val="994"/>
    <w:link w:val="770"/>
    <w:uiPriority w:val="99"/>
    <w:qFormat/>
    <w:pPr>
      <w:spacing w:after="0" w:line="240" w:lineRule="auto"/>
    </w:pPr>
    <w:rPr>
      <w:color w:val="404040"/>
    </w:rPr>
    <w:tblPr/>
  </w:style>
  <w:style w:type="table" w:styleId="995">
    <w:name w:val="Lined - Accent 1"/>
    <w:basedOn w:val="781"/>
    <w:next w:val="995"/>
    <w:link w:val="770"/>
    <w:uiPriority w:val="99"/>
    <w:qFormat/>
    <w:pPr>
      <w:spacing w:after="0" w:line="240" w:lineRule="auto"/>
    </w:pPr>
    <w:rPr>
      <w:color w:val="404040"/>
    </w:rPr>
    <w:tblPr/>
  </w:style>
  <w:style w:type="table" w:styleId="996">
    <w:name w:val="Lined - Accent 2"/>
    <w:basedOn w:val="781"/>
    <w:next w:val="996"/>
    <w:link w:val="770"/>
    <w:uiPriority w:val="99"/>
    <w:qFormat/>
    <w:pPr>
      <w:spacing w:after="0" w:line="240" w:lineRule="auto"/>
    </w:pPr>
    <w:rPr>
      <w:color w:val="404040"/>
    </w:rPr>
    <w:tblPr/>
  </w:style>
  <w:style w:type="table" w:styleId="997">
    <w:name w:val="Lined - Accent 3"/>
    <w:basedOn w:val="781"/>
    <w:next w:val="997"/>
    <w:link w:val="770"/>
    <w:uiPriority w:val="99"/>
    <w:qFormat/>
    <w:pPr>
      <w:spacing w:after="0" w:line="240" w:lineRule="auto"/>
    </w:pPr>
    <w:rPr>
      <w:color w:val="404040"/>
    </w:rPr>
    <w:tblPr/>
  </w:style>
  <w:style w:type="table" w:styleId="998">
    <w:name w:val="Lined - Accent 4"/>
    <w:basedOn w:val="781"/>
    <w:next w:val="998"/>
    <w:link w:val="770"/>
    <w:uiPriority w:val="99"/>
    <w:qFormat/>
    <w:pPr>
      <w:spacing w:after="0" w:line="240" w:lineRule="auto"/>
    </w:pPr>
    <w:rPr>
      <w:color w:val="404040"/>
    </w:rPr>
    <w:tblPr/>
  </w:style>
  <w:style w:type="table" w:styleId="999">
    <w:name w:val="Lined - Accent 5"/>
    <w:basedOn w:val="781"/>
    <w:next w:val="999"/>
    <w:link w:val="770"/>
    <w:uiPriority w:val="99"/>
    <w:qFormat/>
    <w:pPr>
      <w:spacing w:after="0" w:line="240" w:lineRule="auto"/>
    </w:pPr>
    <w:rPr>
      <w:color w:val="404040"/>
    </w:rPr>
    <w:tblPr/>
  </w:style>
  <w:style w:type="table" w:styleId="1000">
    <w:name w:val="Lined - Accent 6"/>
    <w:basedOn w:val="781"/>
    <w:next w:val="1000"/>
    <w:link w:val="770"/>
    <w:uiPriority w:val="99"/>
    <w:qFormat/>
    <w:pPr>
      <w:spacing w:after="0" w:line="240" w:lineRule="auto"/>
    </w:pPr>
    <w:rPr>
      <w:color w:val="404040"/>
    </w:rPr>
    <w:tblPr/>
  </w:style>
  <w:style w:type="table" w:styleId="1001">
    <w:name w:val="Bordered &amp; Lined - Accent"/>
    <w:basedOn w:val="781"/>
    <w:next w:val="1001"/>
    <w:link w:val="770"/>
    <w:uiPriority w:val="99"/>
    <w:qFormat/>
    <w:pPr>
      <w:spacing w:after="0" w:line="240" w:lineRule="auto"/>
    </w:pPr>
    <w:rPr>
      <w:color w:val="404040"/>
    </w:rPr>
    <w:tblPr/>
  </w:style>
  <w:style w:type="table" w:styleId="1002">
    <w:name w:val="Bordered &amp; Lined - Accent 1"/>
    <w:basedOn w:val="781"/>
    <w:next w:val="1002"/>
    <w:link w:val="770"/>
    <w:uiPriority w:val="99"/>
    <w:qFormat/>
    <w:pPr>
      <w:spacing w:after="0" w:line="240" w:lineRule="auto"/>
    </w:pPr>
    <w:rPr>
      <w:color w:val="404040"/>
    </w:rPr>
    <w:tblPr/>
  </w:style>
  <w:style w:type="table" w:styleId="1003">
    <w:name w:val="Bordered &amp; Lined - Accent 2"/>
    <w:basedOn w:val="781"/>
    <w:next w:val="1003"/>
    <w:link w:val="770"/>
    <w:uiPriority w:val="99"/>
    <w:qFormat/>
    <w:pPr>
      <w:spacing w:after="0" w:line="240" w:lineRule="auto"/>
    </w:pPr>
    <w:rPr>
      <w:color w:val="404040"/>
    </w:rPr>
    <w:tblPr/>
  </w:style>
  <w:style w:type="table" w:styleId="1004">
    <w:name w:val="Bordered &amp; Lined - Accent 3"/>
    <w:basedOn w:val="781"/>
    <w:next w:val="1004"/>
    <w:link w:val="770"/>
    <w:uiPriority w:val="99"/>
    <w:qFormat/>
    <w:pPr>
      <w:spacing w:after="0" w:line="240" w:lineRule="auto"/>
    </w:pPr>
    <w:rPr>
      <w:color w:val="404040"/>
    </w:rPr>
    <w:tblPr/>
  </w:style>
  <w:style w:type="table" w:styleId="1005">
    <w:name w:val="Bordered &amp; Lined - Accent 4"/>
    <w:basedOn w:val="781"/>
    <w:next w:val="1005"/>
    <w:link w:val="770"/>
    <w:uiPriority w:val="99"/>
    <w:qFormat/>
    <w:pPr>
      <w:spacing w:after="0" w:line="240" w:lineRule="auto"/>
    </w:pPr>
    <w:rPr>
      <w:color w:val="404040"/>
    </w:rPr>
    <w:tblPr/>
  </w:style>
  <w:style w:type="table" w:styleId="1006">
    <w:name w:val="Bordered &amp; Lined - Accent 5"/>
    <w:basedOn w:val="781"/>
    <w:next w:val="1006"/>
    <w:link w:val="770"/>
    <w:uiPriority w:val="99"/>
    <w:qFormat/>
    <w:pPr>
      <w:spacing w:after="0" w:line="240" w:lineRule="auto"/>
    </w:pPr>
    <w:rPr>
      <w:color w:val="404040"/>
    </w:rPr>
    <w:tblPr/>
  </w:style>
  <w:style w:type="table" w:styleId="1007">
    <w:name w:val="Bordered &amp; Lined - Accent 6"/>
    <w:basedOn w:val="781"/>
    <w:next w:val="1007"/>
    <w:link w:val="770"/>
    <w:uiPriority w:val="99"/>
    <w:qFormat/>
    <w:pPr>
      <w:spacing w:after="0" w:line="240" w:lineRule="auto"/>
    </w:pPr>
    <w:rPr>
      <w:color w:val="404040"/>
    </w:rPr>
    <w:tblPr/>
  </w:style>
  <w:style w:type="table" w:styleId="1008">
    <w:name w:val="Bordered"/>
    <w:basedOn w:val="781"/>
    <w:next w:val="1008"/>
    <w:link w:val="770"/>
    <w:uiPriority w:val="99"/>
    <w:qFormat/>
    <w:pPr>
      <w:spacing w:after="0" w:line="240" w:lineRule="auto"/>
    </w:pPr>
    <w:tblPr/>
  </w:style>
  <w:style w:type="table" w:styleId="1009">
    <w:name w:val="Bordered - Accent 1"/>
    <w:basedOn w:val="781"/>
    <w:next w:val="1009"/>
    <w:link w:val="770"/>
    <w:uiPriority w:val="99"/>
    <w:qFormat/>
    <w:pPr>
      <w:spacing w:after="0" w:line="240" w:lineRule="auto"/>
    </w:pPr>
    <w:tblPr/>
  </w:style>
  <w:style w:type="table" w:styleId="1010">
    <w:name w:val="Bordered - Accent 2"/>
    <w:basedOn w:val="781"/>
    <w:next w:val="1010"/>
    <w:link w:val="770"/>
    <w:uiPriority w:val="99"/>
    <w:qFormat/>
    <w:pPr>
      <w:spacing w:after="0" w:line="240" w:lineRule="auto"/>
    </w:pPr>
    <w:tblPr/>
  </w:style>
  <w:style w:type="table" w:styleId="1011">
    <w:name w:val="Bordered - Accent 3"/>
    <w:basedOn w:val="781"/>
    <w:next w:val="1011"/>
    <w:link w:val="770"/>
    <w:uiPriority w:val="99"/>
    <w:qFormat/>
    <w:pPr>
      <w:spacing w:after="0" w:line="240" w:lineRule="auto"/>
    </w:pPr>
    <w:tblPr/>
  </w:style>
  <w:style w:type="table" w:styleId="1012">
    <w:name w:val="Bordered - Accent 4"/>
    <w:basedOn w:val="781"/>
    <w:next w:val="1012"/>
    <w:link w:val="770"/>
    <w:uiPriority w:val="99"/>
    <w:qFormat/>
    <w:pPr>
      <w:spacing w:after="0" w:line="240" w:lineRule="auto"/>
    </w:pPr>
    <w:tblPr/>
  </w:style>
  <w:style w:type="table" w:styleId="1013">
    <w:name w:val="Bordered - Accent 5"/>
    <w:basedOn w:val="781"/>
    <w:next w:val="1013"/>
    <w:link w:val="770"/>
    <w:uiPriority w:val="99"/>
    <w:qFormat/>
    <w:pPr>
      <w:spacing w:after="0" w:line="240" w:lineRule="auto"/>
    </w:pPr>
    <w:tblPr/>
  </w:style>
  <w:style w:type="table" w:styleId="1014">
    <w:name w:val="Bordered - Accent 6"/>
    <w:basedOn w:val="781"/>
    <w:next w:val="1014"/>
    <w:link w:val="770"/>
    <w:uiPriority w:val="99"/>
    <w:qFormat/>
    <w:pPr>
      <w:spacing w:after="0" w:line="240" w:lineRule="auto"/>
    </w:pPr>
    <w:tblPr/>
  </w:style>
  <w:style w:type="character" w:styleId="1015">
    <w:name w:val="Footnote Text Char"/>
    <w:next w:val="1015"/>
    <w:link w:val="770"/>
    <w:uiPriority w:val="99"/>
    <w:qFormat/>
    <w:rPr>
      <w:sz w:val="18"/>
    </w:rPr>
  </w:style>
  <w:style w:type="character" w:styleId="1016">
    <w:name w:val="Endnote Text Char"/>
    <w:next w:val="1016"/>
    <w:link w:val="770"/>
    <w:uiPriority w:val="99"/>
    <w:qFormat/>
    <w:rPr>
      <w:sz w:val="20"/>
    </w:rPr>
  </w:style>
  <w:style w:type="paragraph" w:styleId="1017">
    <w:name w:val="TOC Heading"/>
    <w:next w:val="1017"/>
    <w:link w:val="770"/>
    <w:uiPriority w:val="39"/>
    <w:unhideWhenUsed/>
    <w:qFormat/>
    <w:rPr>
      <w:lang w:val="en-US" w:eastAsia="zh-CN" w:bidi="ar-SA"/>
    </w:rPr>
  </w:style>
  <w:style w:type="character" w:styleId="1018">
    <w:name w:val="标题 1 字符"/>
    <w:next w:val="1018"/>
    <w:link w:val="1019"/>
    <w:qFormat/>
    <w:rPr>
      <w:b/>
      <w:bCs/>
      <w:sz w:val="32"/>
      <w:szCs w:val="44"/>
    </w:rPr>
  </w:style>
  <w:style w:type="paragraph" w:styleId="1019">
    <w:name w:val="标题 11"/>
    <w:basedOn w:val="770"/>
    <w:next w:val="770"/>
    <w:link w:val="1018"/>
    <w:qFormat/>
    <w:pPr>
      <w:keepLines/>
      <w:keepNext/>
      <w:spacing w:before="340" w:after="330" w:line="578" w:lineRule="auto"/>
      <w:outlineLvl w:val="0"/>
    </w:pPr>
    <w:rPr>
      <w:b/>
      <w:bCs/>
      <w:sz w:val="32"/>
      <w:szCs w:val="44"/>
    </w:rPr>
  </w:style>
  <w:style w:type="character" w:styleId="1020">
    <w:name w:val="111111 Char"/>
    <w:next w:val="1020"/>
    <w:link w:val="1021"/>
    <w:qFormat/>
    <w:rPr>
      <w:rFonts w:ascii="宋体" w:hAnsi="宋体" w:eastAsia="黑体" w:cs="宋体"/>
      <w:b/>
      <w:bCs/>
      <w:sz w:val="21"/>
      <w:szCs w:val="21"/>
      <w:lang w:val="en-US" w:eastAsia="zh-CN" w:bidi="ar-SA"/>
    </w:rPr>
  </w:style>
  <w:style w:type="paragraph" w:styleId="1021">
    <w:name w:val="111111"/>
    <w:basedOn w:val="770"/>
    <w:next w:val="1021"/>
    <w:link w:val="1020"/>
    <w:qFormat/>
    <w:pPr>
      <w:jc w:val="center"/>
      <w:spacing w:before="120" w:after="120"/>
    </w:pPr>
    <w:rPr>
      <w:rFonts w:ascii="宋体" w:hAnsi="宋体" w:eastAsia="黑体" w:cs="宋体"/>
      <w:b/>
      <w:bCs/>
      <w:szCs w:val="21"/>
    </w:rPr>
  </w:style>
  <w:style w:type="character" w:styleId="1022">
    <w:name w:val="样式 非加粗"/>
    <w:next w:val="1022"/>
    <w:link w:val="770"/>
    <w:qFormat/>
    <w:rPr>
      <w:rFonts w:eastAsia="宋体"/>
      <w:sz w:val="28"/>
    </w:rPr>
  </w:style>
  <w:style w:type="character" w:styleId="1023">
    <w:name w:val="引用 字符"/>
    <w:next w:val="1023"/>
    <w:link w:val="1024"/>
    <w:qFormat/>
    <w:rPr>
      <w:rFonts w:ascii="Calibri" w:hAnsi="Calibri" w:eastAsia="宋体"/>
      <w:i/>
      <w:iCs/>
      <w:sz w:val="22"/>
      <w:szCs w:val="22"/>
      <w:lang w:val="en-US" w:eastAsia="en-US" w:bidi="en-US"/>
    </w:rPr>
  </w:style>
  <w:style w:type="paragraph" w:styleId="1024">
    <w:name w:val="引用"/>
    <w:basedOn w:val="770"/>
    <w:next w:val="770"/>
    <w:link w:val="1023"/>
    <w:qFormat/>
    <w:pPr>
      <w:ind w:left="360" w:right="360"/>
      <w:jc w:val="left"/>
      <w:spacing w:before="200" w:line="276" w:lineRule="auto"/>
      <w:widowControl/>
    </w:pPr>
    <w:rPr>
      <w:rFonts w:ascii="Calibri" w:hAnsi="Calibri"/>
      <w:i/>
      <w:iCs/>
      <w:sz w:val="22"/>
      <w:szCs w:val="22"/>
      <w:lang w:eastAsia="en-US" w:bidi="en-US"/>
    </w:rPr>
  </w:style>
  <w:style w:type="character" w:styleId="1025">
    <w:name w:val="case31"/>
    <w:next w:val="1025"/>
    <w:link w:val="770"/>
    <w:qFormat/>
    <w:rPr>
      <w:sz w:val="21"/>
      <w:szCs w:val="21"/>
    </w:rPr>
  </w:style>
  <w:style w:type="character" w:styleId="1026">
    <w:name w:val="小四 段落 宋体 Char Char Char Char Char Char"/>
    <w:next w:val="1026"/>
    <w:link w:val="770"/>
    <w:qFormat/>
    <w:rPr>
      <w:rFonts w:eastAsia="宋体"/>
      <w:sz w:val="24"/>
      <w:szCs w:val="24"/>
      <w:lang w:val="en-US" w:eastAsia="zh-CN" w:bidi="ar-SA"/>
    </w:rPr>
  </w:style>
  <w:style w:type="character" w:styleId="1027">
    <w:name w:val="华宇段落1 Char Char"/>
    <w:next w:val="1027"/>
    <w:link w:val="770"/>
    <w:qFormat/>
    <w:rPr>
      <w:rFonts w:eastAsia="宋体"/>
      <w:bCs/>
      <w:sz w:val="24"/>
      <w:szCs w:val="24"/>
      <w:lang w:val="en-US" w:eastAsia="zh-CN" w:bidi="ar-SA"/>
    </w:rPr>
  </w:style>
  <w:style w:type="character" w:styleId="1028">
    <w:name w:val="Char Char24"/>
    <w:next w:val="1028"/>
    <w:link w:val="770"/>
    <w:qFormat/>
    <w:rPr>
      <w:b/>
      <w:bCs/>
      <w:sz w:val="28"/>
      <w:szCs w:val="28"/>
    </w:rPr>
  </w:style>
  <w:style w:type="character" w:styleId="1029">
    <w:name w:val="para_small"/>
    <w:next w:val="1029"/>
    <w:link w:val="770"/>
    <w:qFormat/>
  </w:style>
  <w:style w:type="character" w:styleId="1030">
    <w:name w:val="listbenefit"/>
    <w:next w:val="1030"/>
    <w:link w:val="770"/>
    <w:qFormat/>
  </w:style>
  <w:style w:type="character" w:styleId="1031">
    <w:name w:val="小四 段落 宋体 Char Char Char Char1"/>
    <w:next w:val="1031"/>
    <w:link w:val="770"/>
    <w:qFormat/>
    <w:rPr>
      <w:rFonts w:eastAsia="宋体"/>
      <w:sz w:val="24"/>
      <w:szCs w:val="24"/>
      <w:lang w:val="en-US" w:eastAsia="zh-CN" w:bidi="ar-SA"/>
    </w:rPr>
  </w:style>
  <w:style w:type="character" w:styleId="1032">
    <w:name w:val="textcontents"/>
    <w:next w:val="1032"/>
    <w:link w:val="770"/>
    <w:qFormat/>
  </w:style>
  <w:style w:type="character" w:styleId="1033">
    <w:name w:val="Char Char25"/>
    <w:next w:val="1033"/>
    <w:link w:val="770"/>
    <w:qFormat/>
    <w:rPr>
      <w:rFonts w:ascii="Arial" w:hAnsi="Arial" w:eastAsia="黑体"/>
      <w:b/>
      <w:sz w:val="28"/>
    </w:rPr>
  </w:style>
  <w:style w:type="character" w:styleId="1034">
    <w:name w:val="param-value"/>
    <w:next w:val="1034"/>
    <w:link w:val="770"/>
    <w:qFormat/>
  </w:style>
  <w:style w:type="character" w:styleId="1035">
    <w:name w:val="Book Title"/>
    <w:next w:val="1035"/>
    <w:link w:val="770"/>
    <w:qFormat/>
    <w:rPr>
      <w:i/>
      <w:iCs/>
      <w:smallCaps/>
      <w:spacing w:val="5"/>
    </w:rPr>
  </w:style>
  <w:style w:type="character" w:styleId="1036">
    <w:name w:val="已访问的超链接1"/>
    <w:next w:val="1036"/>
    <w:link w:val="770"/>
    <w:qFormat/>
    <w:rPr>
      <w:color w:val="000000"/>
      <w:u w:val="none"/>
    </w:rPr>
  </w:style>
  <w:style w:type="character" w:styleId="1037">
    <w:name w:val="Subtle Reference"/>
    <w:next w:val="1037"/>
    <w:link w:val="770"/>
    <w:qFormat/>
    <w:rPr>
      <w:smallCaps/>
    </w:rPr>
  </w:style>
  <w:style w:type="character" w:styleId="1038">
    <w:name w:val="华宇段落1 Char Char Char"/>
    <w:next w:val="1038"/>
    <w:link w:val="770"/>
    <w:qFormat/>
    <w:rPr>
      <w:rFonts w:eastAsia="宋体"/>
      <w:bCs/>
      <w:sz w:val="24"/>
      <w:szCs w:val="24"/>
      <w:lang w:val="en-US" w:eastAsia="zh-CN" w:bidi="ar-SA"/>
    </w:rPr>
  </w:style>
  <w:style w:type="character" w:styleId="1039">
    <w:name w:val="标题 3 Char"/>
    <w:next w:val="1039"/>
    <w:link w:val="770"/>
    <w:qFormat/>
    <w:rPr>
      <w:rFonts w:ascii="宋体" w:hAnsi="宋体" w:eastAsia="宋体"/>
      <w:b/>
      <w:bCs/>
      <w:sz w:val="24"/>
      <w:szCs w:val="32"/>
      <w:lang w:val="en-US" w:eastAsia="zh-CN" w:bidi="ar-SA"/>
    </w:rPr>
  </w:style>
  <w:style w:type="character" w:styleId="1040">
    <w:name w:val="style13"/>
    <w:next w:val="1040"/>
    <w:link w:val="770"/>
    <w:qFormat/>
    <w:rPr>
      <w:sz w:val="18"/>
      <w:szCs w:val="18"/>
    </w:rPr>
  </w:style>
  <w:style w:type="character" w:styleId="1041">
    <w:name w:val="Char Char27"/>
    <w:next w:val="1041"/>
    <w:link w:val="770"/>
    <w:qFormat/>
    <w:rPr>
      <w:b/>
      <w:bCs/>
      <w:sz w:val="44"/>
      <w:szCs w:val="44"/>
    </w:rPr>
  </w:style>
  <w:style w:type="character" w:styleId="1042">
    <w:name w:val="Char Char28"/>
    <w:next w:val="1042"/>
    <w:link w:val="770"/>
    <w:qFormat/>
    <w:rPr>
      <w:rFonts w:ascii="Arial" w:hAnsi="Arial" w:eastAsia="黑体" w:cs="Arial"/>
      <w:b/>
      <w:bCs/>
      <w:sz w:val="32"/>
      <w:szCs w:val="32"/>
    </w:rPr>
  </w:style>
  <w:style w:type="character" w:styleId="1043">
    <w:name w:val="style131"/>
    <w:next w:val="1043"/>
    <w:link w:val="770"/>
    <w:qFormat/>
    <w:rPr>
      <w:rFonts w:cs="Times New Roman"/>
      <w:sz w:val="18"/>
      <w:szCs w:val="18"/>
    </w:rPr>
  </w:style>
  <w:style w:type="character" w:styleId="1044">
    <w:name w:val="concon"/>
    <w:next w:val="1044"/>
    <w:link w:val="770"/>
    <w:qFormat/>
  </w:style>
  <w:style w:type="character" w:styleId="1045">
    <w:name w:val="subtitle1"/>
    <w:next w:val="1045"/>
    <w:link w:val="770"/>
    <w:qFormat/>
    <w:rPr>
      <w:rFonts w:ascii="Georgia" w:hAnsi="Georgia"/>
      <w:b/>
      <w:bCs/>
      <w:color w:val="666666"/>
      <w:sz w:val="18"/>
      <w:szCs w:val="18"/>
    </w:rPr>
  </w:style>
  <w:style w:type="character" w:styleId="10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46"/>
    <w:link w:val="770"/>
    <w:qFormat/>
    <w:rPr>
      <w:rFonts w:eastAsia="宋体"/>
      <w:b/>
      <w:bCs/>
      <w:sz w:val="32"/>
      <w:szCs w:val="32"/>
      <w:lang w:val="en-US" w:eastAsia="zh-CN" w:bidi="ar-SA"/>
    </w:rPr>
  </w:style>
  <w:style w:type="character" w:styleId="1047">
    <w:name w:val="纯文本 Char1"/>
    <w:next w:val="1047"/>
    <w:link w:val="770"/>
    <w:qFormat/>
    <w:rPr>
      <w:rFonts w:ascii="宋体" w:hAnsi="Courier New" w:cs="Courier New"/>
      <w:sz w:val="21"/>
      <w:szCs w:val="21"/>
    </w:rPr>
  </w:style>
  <w:style w:type="character" w:styleId="1048">
    <w:name w:val="小四 段落 宋体 Char Char Char Char Char"/>
    <w:next w:val="1048"/>
    <w:link w:val="770"/>
    <w:qFormat/>
    <w:rPr>
      <w:rFonts w:eastAsia="宋体"/>
      <w:sz w:val="24"/>
      <w:szCs w:val="24"/>
      <w:lang w:val="en-US" w:eastAsia="zh-CN" w:bidi="ar-SA"/>
    </w:rPr>
  </w:style>
  <w:style w:type="character" w:styleId="1049">
    <w:name w:val="明显引用 字符"/>
    <w:next w:val="1049"/>
    <w:link w:val="1050"/>
    <w:qFormat/>
    <w:rPr>
      <w:rFonts w:ascii="Calibri" w:hAnsi="Calibri" w:eastAsia="宋体"/>
      <w:b/>
      <w:bCs/>
      <w:i/>
      <w:iCs/>
      <w:sz w:val="22"/>
      <w:szCs w:val="22"/>
      <w:lang w:val="en-US" w:eastAsia="en-US" w:bidi="en-US"/>
    </w:rPr>
  </w:style>
  <w:style w:type="paragraph" w:styleId="1050">
    <w:name w:val="明显引用"/>
    <w:basedOn w:val="770"/>
    <w:next w:val="770"/>
    <w:link w:val="104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51">
    <w:name w:val="t1"/>
    <w:next w:val="1051"/>
    <w:link w:val="770"/>
    <w:qFormat/>
  </w:style>
  <w:style w:type="character" w:styleId="1052">
    <w:name w:val="Title1 Char"/>
    <w:next w:val="1052"/>
    <w:link w:val="770"/>
    <w:qFormat/>
    <w:rPr>
      <w:rFonts w:eastAsia="宋体"/>
      <w:b/>
      <w:bCs/>
      <w:sz w:val="44"/>
      <w:szCs w:val="44"/>
      <w:lang w:val="en-US" w:eastAsia="zh-CN" w:bidi="ar-SA"/>
    </w:rPr>
  </w:style>
  <w:style w:type="character" w:styleId="1053">
    <w:name w:val="2nd level Char"/>
    <w:next w:val="1053"/>
    <w:link w:val="770"/>
    <w:qFormat/>
    <w:rPr>
      <w:rFonts w:ascii="Arial" w:hAnsi="Arial" w:eastAsia="黑体"/>
      <w:b/>
      <w:bCs/>
      <w:sz w:val="32"/>
      <w:szCs w:val="32"/>
      <w:lang w:val="en-US" w:eastAsia="zh-CN" w:bidi="ar-SA"/>
    </w:rPr>
  </w:style>
  <w:style w:type="character" w:styleId="1054">
    <w:name w:val="彩色列表 - 强调文字颜色 1 Char"/>
    <w:next w:val="1054"/>
    <w:link w:val="1055"/>
    <w:qFormat/>
    <w:rPr>
      <w:rFonts w:ascii="Calibri" w:hAnsi="Calibri"/>
      <w:sz w:val="21"/>
      <w:szCs w:val="22"/>
    </w:rPr>
  </w:style>
  <w:style w:type="paragraph" w:styleId="1055">
    <w:name w:val="彩色列表 - 强调文字颜色 11"/>
    <w:basedOn w:val="770"/>
    <w:next w:val="1055"/>
    <w:link w:val="1054"/>
    <w:qFormat/>
    <w:pPr>
      <w:ind w:firstLine="420"/>
    </w:pPr>
    <w:rPr>
      <w:rFonts w:ascii="Calibri" w:hAnsi="Calibri"/>
      <w:szCs w:val="22"/>
    </w:rPr>
  </w:style>
  <w:style w:type="character" w:styleId="1056">
    <w:name w:val="ih151"/>
    <w:next w:val="1056"/>
    <w:link w:val="770"/>
    <w:qFormat/>
    <w:rPr>
      <w:color w:val="666666"/>
      <w:sz w:val="18"/>
      <w:szCs w:val="18"/>
      <w:u w:val="none"/>
    </w:rPr>
  </w:style>
  <w:style w:type="character" w:styleId="1057">
    <w:name w:val="Char Char26"/>
    <w:next w:val="1057"/>
    <w:link w:val="770"/>
    <w:qFormat/>
    <w:rPr>
      <w:b/>
      <w:bCs/>
      <w:sz w:val="32"/>
      <w:szCs w:val="32"/>
    </w:rPr>
  </w:style>
  <w:style w:type="character" w:styleId="1058">
    <w:name w:val="标题 Char1"/>
    <w:next w:val="1058"/>
    <w:link w:val="770"/>
    <w:qFormat/>
    <w:rPr>
      <w:rFonts w:ascii="Cambria" w:eastAsia="宋体" w:cs="Times New Roman"/>
      <w:b/>
      <w:bCs/>
      <w:sz w:val="32"/>
      <w:szCs w:val="32"/>
    </w:rPr>
  </w:style>
  <w:style w:type="character" w:styleId="1059">
    <w:name w:val="纯文本 Char Char"/>
    <w:next w:val="1059"/>
    <w:link w:val="770"/>
    <w:qFormat/>
    <w:rPr>
      <w:rFonts w:ascii="宋体" w:hAnsi="Courier New" w:eastAsia="宋体"/>
      <w:sz w:val="21"/>
      <w:szCs w:val="21"/>
      <w:lang w:val="en-US" w:eastAsia="zh-CN" w:bidi="ar-SA"/>
    </w:rPr>
  </w:style>
  <w:style w:type="character" w:styleId="1060">
    <w:name w:val="Char Char2"/>
    <w:next w:val="1060"/>
    <w:link w:val="770"/>
    <w:qFormat/>
    <w:rPr>
      <w:rFonts w:ascii="宋体" w:hAnsi="Courier New" w:eastAsia="宋体"/>
      <w:sz w:val="21"/>
      <w:szCs w:val="21"/>
      <w:lang w:val="en-US" w:eastAsia="zh-CN" w:bidi="ar-SA"/>
    </w:rPr>
  </w:style>
  <w:style w:type="character" w:styleId="1061">
    <w:name w:val="Char Char23"/>
    <w:next w:val="1061"/>
    <w:link w:val="770"/>
    <w:qFormat/>
    <w:rPr>
      <w:rFonts w:ascii="Arial" w:hAnsi="Arial" w:eastAsia="黑体"/>
      <w:b/>
      <w:bCs/>
      <w:sz w:val="24"/>
      <w:szCs w:val="24"/>
    </w:rPr>
  </w:style>
  <w:style w:type="character" w:styleId="1062">
    <w:name w:val="表格抬头 Char"/>
    <w:next w:val="1062"/>
    <w:link w:val="1063"/>
    <w:qFormat/>
    <w:rPr>
      <w:rFonts w:ascii="黑体" w:eastAsia="黑体"/>
      <w:b/>
      <w:sz w:val="21"/>
      <w:lang w:bidi="ar-SA"/>
    </w:rPr>
  </w:style>
  <w:style w:type="paragraph" w:styleId="1063">
    <w:name w:val="表格抬头"/>
    <w:basedOn w:val="770"/>
    <w:next w:val="1063"/>
    <w:link w:val="1062"/>
    <w:qFormat/>
    <w:pPr>
      <w:jc w:val="center"/>
    </w:pPr>
    <w:rPr>
      <w:rFonts w:ascii="黑体" w:eastAsia="黑体"/>
      <w:b/>
    </w:rPr>
  </w:style>
  <w:style w:type="character" w:styleId="1064">
    <w:name w:val="样式 首行缩进:  2 字符 Char Char"/>
    <w:next w:val="1064"/>
    <w:link w:val="1065"/>
    <w:qFormat/>
    <w:rPr>
      <w:rFonts w:eastAsia="宋体" w:cs="宋体"/>
      <w:sz w:val="24"/>
      <w:lang w:val="en-US" w:eastAsia="zh-CN" w:bidi="ar-SA"/>
    </w:rPr>
  </w:style>
  <w:style w:type="paragraph" w:styleId="1065">
    <w:name w:val="样式 首行缩进:  2 字符"/>
    <w:basedOn w:val="770"/>
    <w:next w:val="1065"/>
    <w:link w:val="1064"/>
    <w:qFormat/>
    <w:pPr>
      <w:ind w:firstLine="480"/>
      <w:spacing w:line="360" w:lineRule="auto"/>
    </w:pPr>
    <w:rPr>
      <w:rFonts w:cs="宋体"/>
      <w:sz w:val="24"/>
    </w:rPr>
  </w:style>
  <w:style w:type="character" w:styleId="1066">
    <w:name w:val="apple-converted-space"/>
    <w:next w:val="1066"/>
    <w:link w:val="770"/>
    <w:qFormat/>
  </w:style>
  <w:style w:type="character" w:styleId="1067">
    <w:name w:val="A2"/>
    <w:next w:val="1067"/>
    <w:link w:val="770"/>
    <w:qFormat/>
    <w:rPr>
      <w:rFonts w:cs="Helvetica LT Pro"/>
      <w:color w:val="000000"/>
      <w:sz w:val="18"/>
      <w:szCs w:val="18"/>
    </w:rPr>
  </w:style>
  <w:style w:type="character" w:styleId="1068">
    <w:name w:val="h Char Char"/>
    <w:next w:val="1068"/>
    <w:link w:val="770"/>
    <w:qFormat/>
    <w:rPr>
      <w:rFonts w:eastAsia="宋体"/>
      <w:sz w:val="18"/>
      <w:szCs w:val="18"/>
      <w:lang w:val="en-US" w:eastAsia="zh-CN" w:bidi="ar-SA"/>
    </w:rPr>
  </w:style>
  <w:style w:type="character" w:styleId="1069">
    <w:name w:val="小四 段落 宋体 Char Char Char1"/>
    <w:next w:val="1069"/>
    <w:link w:val="770"/>
    <w:qFormat/>
    <w:rPr>
      <w:rFonts w:ascii="宋体" w:hAnsi="宋体" w:eastAsia="宋体"/>
      <w:sz w:val="24"/>
      <w:szCs w:val="24"/>
      <w:lang w:val="en-US" w:eastAsia="zh-CN" w:bidi="ar-SA"/>
    </w:rPr>
  </w:style>
  <w:style w:type="character" w:styleId="1070">
    <w:name w:val="标准小四 Char Char"/>
    <w:next w:val="1070"/>
    <w:link w:val="770"/>
    <w:qFormat/>
    <w:rPr>
      <w:rFonts w:ascii="Arial" w:hAnsi="Arial" w:eastAsia="宋体"/>
      <w:sz w:val="24"/>
      <w:szCs w:val="21"/>
      <w:lang w:val="en-US" w:eastAsia="zh-CN" w:bidi="ar-SA"/>
    </w:rPr>
  </w:style>
  <w:style w:type="character" w:styleId="1071">
    <w:name w:val="标准小四 Char"/>
    <w:next w:val="1071"/>
    <w:link w:val="770"/>
    <w:qFormat/>
    <w:rPr>
      <w:rFonts w:ascii="Arial" w:hAnsi="Arial" w:eastAsia="宋体"/>
      <w:sz w:val="24"/>
      <w:szCs w:val="21"/>
      <w:lang w:val="en-US" w:eastAsia="zh-CN" w:bidi="ar-SA"/>
    </w:rPr>
  </w:style>
  <w:style w:type="character" w:styleId="1072">
    <w:name w:val="point_normal1"/>
    <w:next w:val="1072"/>
    <w:link w:val="770"/>
    <w:qFormat/>
    <w:rPr>
      <w:rFonts w:ascii="Arial" w:hAnsi="Arial" w:cs="Arial"/>
      <w:sz w:val="18"/>
      <w:szCs w:val="18"/>
    </w:rPr>
  </w:style>
  <w:style w:type="character" w:styleId="1073">
    <w:name w:val="Char Char21"/>
    <w:next w:val="1073"/>
    <w:link w:val="770"/>
    <w:qFormat/>
    <w:rPr>
      <w:rFonts w:ascii="Arial" w:hAnsi="Arial" w:eastAsia="黑体"/>
      <w:sz w:val="24"/>
      <w:szCs w:val="24"/>
    </w:rPr>
  </w:style>
  <w:style w:type="character" w:styleId="1074">
    <w:name w:val="content_lineheight1"/>
    <w:next w:val="1074"/>
    <w:link w:val="770"/>
    <w:qFormat/>
  </w:style>
  <w:style w:type="character" w:styleId="1075">
    <w:name w:val="content"/>
    <w:next w:val="1075"/>
    <w:link w:val="770"/>
    <w:qFormat/>
  </w:style>
  <w:style w:type="character" w:styleId="1076">
    <w:name w:val="小四 段落 宋体 Char1"/>
    <w:next w:val="1076"/>
    <w:link w:val="770"/>
    <w:qFormat/>
    <w:rPr>
      <w:rFonts w:eastAsia="宋体"/>
      <w:sz w:val="24"/>
      <w:szCs w:val="24"/>
      <w:lang w:val="en-US" w:eastAsia="zh-CN" w:bidi="ar-SA"/>
    </w:rPr>
  </w:style>
  <w:style w:type="character" w:styleId="1077">
    <w:name w:val="标准文本 Char Char"/>
    <w:next w:val="1077"/>
    <w:link w:val="770"/>
    <w:qFormat/>
    <w:rPr>
      <w:rFonts w:eastAsia="宋体" w:cs="宋体"/>
      <w:sz w:val="24"/>
      <w:szCs w:val="24"/>
      <w:lang w:val="en-US" w:eastAsia="zh-CN" w:bidi="ar-SA"/>
    </w:rPr>
  </w:style>
  <w:style w:type="character" w:styleId="1078">
    <w:name w:val="3zw"/>
    <w:next w:val="1078"/>
    <w:link w:val="770"/>
    <w:qFormat/>
  </w:style>
  <w:style w:type="character" w:styleId="1079">
    <w:name w:val="正文缩进 Char1"/>
    <w:next w:val="1079"/>
    <w:link w:val="1080"/>
    <w:qFormat/>
    <w:rPr>
      <w:rFonts w:eastAsia="宋体"/>
      <w:lang w:bidi="ar-SA"/>
    </w:rPr>
  </w:style>
  <w:style w:type="paragraph" w:styleId="1080">
    <w:name w:val="Normal Indent0"/>
    <w:basedOn w:val="770"/>
    <w:next w:val="1080"/>
    <w:link w:val="1079"/>
    <w:qFormat/>
    <w:pPr>
      <w:ind w:firstLine="420"/>
    </w:pPr>
    <w:rPr>
      <w:sz w:val="20"/>
    </w:rPr>
  </w:style>
  <w:style w:type="character" w:styleId="1081">
    <w:name w:val="纯文本 Char Char Char1"/>
    <w:next w:val="1081"/>
    <w:link w:val="770"/>
    <w:qFormat/>
    <w:rPr>
      <w:rFonts w:ascii="宋体" w:hAnsi="Courier New" w:eastAsia="宋体"/>
      <w:sz w:val="21"/>
      <w:szCs w:val="21"/>
      <w:lang w:val="en-US" w:eastAsia="zh-CN" w:bidi="ar-SA"/>
    </w:rPr>
  </w:style>
  <w:style w:type="character" w:styleId="1082">
    <w:name w:val="Char Char20"/>
    <w:next w:val="1082"/>
    <w:link w:val="770"/>
    <w:qFormat/>
    <w:rPr>
      <w:rFonts w:ascii="Arial" w:hAnsi="Arial" w:eastAsia="黑体"/>
      <w:sz w:val="21"/>
      <w:szCs w:val="21"/>
    </w:rPr>
  </w:style>
  <w:style w:type="character" w:styleId="1083">
    <w:name w:val="Subtle Emphasis"/>
    <w:next w:val="1083"/>
    <w:link w:val="770"/>
    <w:qFormat/>
    <w:rPr>
      <w:i/>
      <w:iCs/>
    </w:rPr>
  </w:style>
  <w:style w:type="character" w:styleId="1084">
    <w:name w:val="小四 段落 宋体 Char Char Char Char Char Char Char Char"/>
    <w:next w:val="1084"/>
    <w:link w:val="770"/>
    <w:qFormat/>
    <w:rPr>
      <w:rFonts w:eastAsia="宋体"/>
      <w:sz w:val="24"/>
      <w:szCs w:val="24"/>
      <w:lang w:val="en-US" w:eastAsia="zh-CN" w:bidi="ar-SA"/>
    </w:rPr>
  </w:style>
  <w:style w:type="character" w:styleId="1085">
    <w:name w:val="Intense Emphasis"/>
    <w:next w:val="1085"/>
    <w:link w:val="770"/>
    <w:qFormat/>
    <w:rPr>
      <w:b/>
      <w:bCs/>
    </w:rPr>
  </w:style>
  <w:style w:type="character" w:styleId="1086">
    <w:name w:val="Intense Reference"/>
    <w:next w:val="1086"/>
    <w:link w:val="770"/>
    <w:qFormat/>
    <w:rPr>
      <w:smallCaps/>
      <w:spacing w:val="5"/>
      <w:u w:val="single"/>
    </w:rPr>
  </w:style>
  <w:style w:type="character" w:styleId="1087">
    <w:name w:val="标准文本 Char"/>
    <w:next w:val="1087"/>
    <w:link w:val="770"/>
    <w:qFormat/>
    <w:rPr>
      <w:rFonts w:eastAsia="宋体" w:cs="宋体"/>
      <w:sz w:val="24"/>
      <w:szCs w:val="24"/>
      <w:lang w:val="en-US" w:eastAsia="zh-CN" w:bidi="ar-SA"/>
    </w:rPr>
  </w:style>
  <w:style w:type="character" w:styleId="1088">
    <w:name w:val="标题 3 Char Char"/>
    <w:next w:val="1088"/>
    <w:link w:val="770"/>
    <w:qFormat/>
    <w:rPr>
      <w:rFonts w:eastAsia="方正仿宋_GB2312"/>
      <w:b/>
      <w:bCs/>
      <w:sz w:val="28"/>
      <w:szCs w:val="32"/>
      <w:lang w:val="en-US" w:eastAsia="zh-CN" w:bidi="ar-SA"/>
    </w:rPr>
  </w:style>
  <w:style w:type="character" w:styleId="1089">
    <w:name w:val="Char Char22"/>
    <w:next w:val="1089"/>
    <w:link w:val="770"/>
    <w:qFormat/>
    <w:rPr>
      <w:b/>
      <w:bCs/>
      <w:sz w:val="24"/>
      <w:szCs w:val="24"/>
    </w:rPr>
  </w:style>
  <w:style w:type="character" w:styleId="1090">
    <w:name w:val="Char Char17"/>
    <w:next w:val="1090"/>
    <w:link w:val="770"/>
    <w:qFormat/>
    <w:rPr>
      <w:rFonts w:ascii="宋体" w:hAnsi="Courier New"/>
      <w:sz w:val="21"/>
      <w:szCs w:val="21"/>
    </w:rPr>
  </w:style>
  <w:style w:type="character" w:styleId="1091">
    <w:name w:val="样式 宋体 小四"/>
    <w:next w:val="1091"/>
    <w:link w:val="770"/>
    <w:qFormat/>
    <w:rPr>
      <w:rFonts w:ascii="宋体" w:hAnsi="宋体"/>
      <w:sz w:val="24"/>
    </w:rPr>
  </w:style>
  <w:style w:type="character" w:styleId="1092">
    <w:name w:val="Char Char29"/>
    <w:next w:val="1092"/>
    <w:link w:val="770"/>
    <w:qFormat/>
    <w:rPr>
      <w:rFonts w:ascii="Times New Roman" w:hAnsi="Times New Roman" w:eastAsia="宋体" w:cs="Times New Roman"/>
      <w:b/>
      <w:bCs/>
      <w:sz w:val="44"/>
      <w:szCs w:val="44"/>
    </w:rPr>
  </w:style>
  <w:style w:type="character" w:styleId="1093">
    <w:name w:val="normalfont1"/>
    <w:next w:val="1093"/>
    <w:link w:val="770"/>
    <w:qFormat/>
    <w:rPr>
      <w:rFonts w:ascii="DejaVu Math TeX Gyre" w:hAnsi="DejaVu Math TeX Gyre"/>
      <w:sz w:val="18"/>
      <w:szCs w:val="18"/>
      <w:u w:val="none"/>
    </w:rPr>
  </w:style>
  <w:style w:type="character" w:styleId="1094">
    <w:name w:val="title_emph1"/>
    <w:next w:val="1094"/>
    <w:link w:val="770"/>
    <w:qFormat/>
    <w:rPr>
      <w:rFonts w:ascii="Arial" w:cs="Arial"/>
      <w:b/>
      <w:bCs/>
      <w:sz w:val="18"/>
      <w:szCs w:val="18"/>
    </w:rPr>
  </w:style>
  <w:style w:type="character" w:styleId="1095">
    <w:name w:val="正文 + 宋体 Char"/>
    <w:next w:val="1095"/>
    <w:link w:val="770"/>
    <w:qFormat/>
    <w:rPr>
      <w:rFonts w:eastAsia="宋体"/>
      <w:sz w:val="21"/>
      <w:szCs w:val="24"/>
      <w:lang w:val="en-US" w:eastAsia="zh-CN" w:bidi="ar-SA"/>
    </w:rPr>
  </w:style>
  <w:style w:type="character" w:styleId="1096">
    <w:name w:val="普通文字1 Char"/>
    <w:next w:val="1096"/>
    <w:link w:val="770"/>
    <w:qFormat/>
    <w:rPr>
      <w:rFonts w:ascii="宋体" w:eastAsia="宋体"/>
      <w:sz w:val="21"/>
      <w:szCs w:val="21"/>
      <w:lang w:val="en-US" w:eastAsia="zh-CN" w:bidi="ar-SA"/>
    </w:rPr>
  </w:style>
  <w:style w:type="character" w:styleId="1097">
    <w:name w:val="无间隔 字符"/>
    <w:next w:val="1097"/>
    <w:link w:val="1098"/>
    <w:qFormat/>
    <w:rPr>
      <w:rFonts w:eastAsia="微软雅黑"/>
      <w:sz w:val="24"/>
      <w:szCs w:val="22"/>
      <w:lang w:val="en-US" w:eastAsia="zh-CN" w:bidi="ar-SA"/>
    </w:rPr>
  </w:style>
  <w:style w:type="paragraph" w:styleId="1098">
    <w:name w:val="无间隔"/>
    <w:next w:val="1098"/>
    <w:link w:val="1097"/>
    <w:qFormat/>
    <w:pPr>
      <w:jc w:val="both"/>
      <w:widowControl w:val="off"/>
    </w:pPr>
    <w:rPr>
      <w:rFonts w:eastAsia="微软雅黑"/>
      <w:sz w:val="24"/>
      <w:szCs w:val="22"/>
      <w:lang w:val="en-US" w:eastAsia="zh-CN" w:bidi="ar-SA"/>
    </w:rPr>
  </w:style>
  <w:style w:type="character" w:styleId="1099">
    <w:name w:val="新图表正文 Char Char"/>
    <w:next w:val="1099"/>
    <w:link w:val="1100"/>
    <w:qFormat/>
    <w:rPr>
      <w:rFonts w:ascii="宋体" w:hAnsi="宋体"/>
      <w:sz w:val="18"/>
      <w:szCs w:val="21"/>
      <w:lang w:val="en-US" w:eastAsia="zh-CN" w:bidi="ar-SA"/>
    </w:rPr>
  </w:style>
  <w:style w:type="paragraph" w:styleId="1100">
    <w:name w:val="新图表正文"/>
    <w:next w:val="1100"/>
    <w:link w:val="1099"/>
    <w:qFormat/>
    <w:pPr>
      <w:jc w:val="both"/>
    </w:pPr>
    <w:rPr>
      <w:rFonts w:ascii="宋体" w:hAnsi="宋体"/>
      <w:sz w:val="18"/>
      <w:szCs w:val="21"/>
      <w:lang w:val="en-US" w:eastAsia="zh-CN" w:bidi="ar-SA"/>
    </w:rPr>
  </w:style>
  <w:style w:type="character" w:styleId="1101">
    <w:name w:val="样式 首行缩进:  2 字符 Char"/>
    <w:next w:val="1101"/>
    <w:link w:val="770"/>
    <w:qFormat/>
    <w:rPr>
      <w:rFonts w:eastAsia="宋体" w:cs="宋体"/>
      <w:sz w:val="24"/>
      <w:lang w:val="en-US" w:eastAsia="zh-CN" w:bidi="ar-SA"/>
    </w:rPr>
  </w:style>
  <w:style w:type="character" w:styleId="1102">
    <w:name w:val="纯文本 Char Char Char"/>
    <w:next w:val="1102"/>
    <w:link w:val="770"/>
    <w:qFormat/>
    <w:rPr>
      <w:rFonts w:ascii="宋体" w:hAnsi="Courier New" w:eastAsia="宋体"/>
      <w:sz w:val="21"/>
      <w:szCs w:val="21"/>
      <w:lang w:val="en-US" w:eastAsia="zh-CN" w:bidi="ar-SA"/>
    </w:rPr>
  </w:style>
  <w:style w:type="character" w:styleId="1103">
    <w:name w:val="特点 Char1"/>
    <w:next w:val="1103"/>
    <w:link w:val="770"/>
    <w:qFormat/>
    <w:rPr>
      <w:rFonts w:eastAsia="宋体"/>
      <w:sz w:val="21"/>
      <w:lang w:val="en-US" w:eastAsia="zh-CN" w:bidi="ar-SA"/>
    </w:rPr>
  </w:style>
  <w:style w:type="paragraph" w:styleId="1104">
    <w:name w:val="Char"/>
    <w:basedOn w:val="770"/>
    <w:next w:val="1104"/>
    <w:link w:val="770"/>
    <w:qFormat/>
    <w:pPr>
      <w:spacing w:after="156" w:line="360" w:lineRule="auto"/>
    </w:pPr>
    <w:rPr>
      <w:rFonts w:ascii="Tahoma" w:hAnsi="Tahoma"/>
      <w:sz w:val="24"/>
    </w:rPr>
  </w:style>
  <w:style w:type="paragraph" w:styleId="1105">
    <w:name w:val="Item List Char Char"/>
    <w:next w:val="1105"/>
    <w:link w:val="770"/>
    <w:qFormat/>
    <w:pPr>
      <w:jc w:val="both"/>
      <w:spacing w:line="288" w:lineRule="auto"/>
    </w:pPr>
    <w:rPr>
      <w:rFonts w:ascii="Arial" w:hAnsi="Arial" w:cs="Arial"/>
      <w:b/>
      <w:bCs/>
      <w:sz w:val="21"/>
      <w:szCs w:val="28"/>
      <w:lang w:val="en-US" w:eastAsia="zh-CN" w:bidi="ar-SA"/>
    </w:rPr>
  </w:style>
  <w:style w:type="paragraph" w:styleId="1106">
    <w:name w:val="样式 样式 标题 3H3sect1.2.3BOD 0Heading 3 - oldh3l3CTLevel 3 Head... +..."/>
    <w:basedOn w:val="770"/>
    <w:next w:val="1106"/>
    <w:link w:val="770"/>
    <w:qFormat/>
    <w:pPr>
      <w:jc w:val="left"/>
      <w:keepLines/>
      <w:keepNext/>
      <w:spacing w:before="156" w:after="156"/>
      <w:outlineLvl w:val="2"/>
    </w:pPr>
    <w:rPr>
      <w:rFonts w:cs="宋体"/>
      <w:b/>
      <w:bCs/>
      <w:sz w:val="24"/>
    </w:rPr>
  </w:style>
  <w:style w:type="paragraph" w:styleId="1107">
    <w:name w:val="Body Text 20"/>
    <w:basedOn w:val="770"/>
    <w:next w:val="1107"/>
    <w:link w:val="770"/>
    <w:qFormat/>
    <w:pPr>
      <w:ind w:left="720" w:hanging="720"/>
      <w:widowControl/>
    </w:pPr>
    <w:rPr>
      <w:sz w:val="24"/>
      <w:lang w:val="en-GB"/>
    </w:rPr>
  </w:style>
  <w:style w:type="paragraph" w:styleId="1108">
    <w:name w:val="默认段落字体 Para Char Char Char Char Char Char Char Char Char1 Char Char Char Char Char Char Char"/>
    <w:basedOn w:val="798"/>
    <w:next w:val="1108"/>
    <w:link w:val="770"/>
    <w:qFormat/>
  </w:style>
  <w:style w:type="paragraph" w:styleId="1109">
    <w:name w:val="Normal1"/>
    <w:basedOn w:val="770"/>
    <w:next w:val="1109"/>
    <w:link w:val="770"/>
    <w:qFormat/>
    <w:rPr>
      <w:rFonts w:ascii="Calibri" w:hAnsi="Calibri" w:eastAsia="Calibri" w:cs="宋体"/>
      <w:lang w:val="zh-CN"/>
    </w:rPr>
  </w:style>
  <w:style w:type="paragraph" w:styleId="1110">
    <w:name w:val="xl46"/>
    <w:basedOn w:val="770"/>
    <w:next w:val="1110"/>
    <w:link w:val="77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1">
    <w:name w:val="Char Char Char Char Char Char Char Char Char Char Char Char Char Char Char Char Char Char Char Char Char Char Char"/>
    <w:basedOn w:val="770"/>
    <w:next w:val="1111"/>
    <w:link w:val="770"/>
    <w:qFormat/>
    <w:rPr>
      <w:rFonts w:ascii="Tahoma" w:hAnsi="Tahoma"/>
      <w:sz w:val="24"/>
    </w:rPr>
  </w:style>
  <w:style w:type="paragraph" w:styleId="1112">
    <w:name w:val="马刚标题1"/>
    <w:basedOn w:val="771"/>
    <w:next w:val="770"/>
    <w:link w:val="77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13">
    <w:name w:val="7"/>
    <w:basedOn w:val="770"/>
    <w:next w:val="845"/>
    <w:link w:val="770"/>
    <w:qFormat/>
    <w:pPr>
      <w:jc w:val="left"/>
      <w:spacing w:before="100" w:beforeAutospacing="1" w:after="100" w:afterAutospacing="1"/>
      <w:widowControl/>
    </w:pPr>
    <w:rPr>
      <w:rFonts w:ascii="宋体" w:hAnsi="宋体"/>
      <w:sz w:val="24"/>
    </w:rPr>
  </w:style>
  <w:style w:type="paragraph" w:styleId="1114">
    <w:name w:val="样式 样式 首行缩进:  2 字符 + 行距: 1.5 倍行距"/>
    <w:basedOn w:val="770"/>
    <w:next w:val="1114"/>
    <w:link w:val="770"/>
    <w:qFormat/>
    <w:pPr>
      <w:ind w:firstLine="470"/>
      <w:spacing w:line="360" w:lineRule="auto"/>
    </w:pPr>
    <w:rPr>
      <w:sz w:val="24"/>
    </w:rPr>
  </w:style>
  <w:style w:type="paragraph" w:styleId="1115">
    <w:name w:val="xl44"/>
    <w:basedOn w:val="770"/>
    <w:next w:val="1115"/>
    <w:link w:val="77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16">
    <w:name w:val="中等深浅网格 1 - 强调文字颜色 21"/>
    <w:basedOn w:val="770"/>
    <w:next w:val="1116"/>
    <w:link w:val="770"/>
    <w:qFormat/>
    <w:pPr>
      <w:ind w:firstLine="420"/>
    </w:pPr>
    <w:rPr>
      <w:rFonts w:ascii="Calibri" w:hAnsi="Calibri"/>
      <w:szCs w:val="22"/>
    </w:rPr>
  </w:style>
  <w:style w:type="paragraph" w:styleId="1117">
    <w:name w:val="greytypebeni"/>
    <w:basedOn w:val="770"/>
    <w:next w:val="1117"/>
    <w:link w:val="770"/>
    <w:qFormat/>
    <w:pPr>
      <w:jc w:val="left"/>
      <w:widowControl/>
    </w:pPr>
    <w:rPr>
      <w:rFonts w:ascii="宋体" w:hAnsi="宋体" w:cs="宋体"/>
      <w:sz w:val="24"/>
      <w:szCs w:val="24"/>
    </w:rPr>
  </w:style>
  <w:style w:type="paragraph" w:styleId="1118">
    <w:name w:val="font14"/>
    <w:basedOn w:val="770"/>
    <w:next w:val="1118"/>
    <w:link w:val="770"/>
    <w:qFormat/>
    <w:pPr>
      <w:jc w:val="left"/>
      <w:spacing w:before="100" w:beforeAutospacing="1" w:after="100" w:afterAutospacing="1"/>
      <w:widowControl/>
    </w:pPr>
    <w:rPr>
      <w:sz w:val="36"/>
      <w:szCs w:val="36"/>
    </w:rPr>
  </w:style>
  <w:style w:type="paragraph" w:styleId="1119">
    <w:name w:val="xl36"/>
    <w:basedOn w:val="770"/>
    <w:next w:val="1119"/>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0">
    <w:name w:val="Char Char Char Char Char Char Char Char Char Char Char Char Char Char"/>
    <w:basedOn w:val="770"/>
    <w:next w:val="1120"/>
    <w:link w:val="770"/>
    <w:qFormat/>
    <w:rPr>
      <w:rFonts w:ascii="Tahoma" w:hAnsi="Tahoma"/>
      <w:sz w:val="24"/>
    </w:rPr>
  </w:style>
  <w:style w:type="paragraph" w:styleId="1121">
    <w:name w:val="标准小四"/>
    <w:basedOn w:val="770"/>
    <w:next w:val="1121"/>
    <w:link w:val="770"/>
    <w:qFormat/>
    <w:pPr>
      <w:ind w:firstLine="480"/>
      <w:spacing w:line="360" w:lineRule="auto"/>
    </w:pPr>
    <w:rPr>
      <w:rFonts w:ascii="Arial" w:hAnsi="Arial"/>
      <w:sz w:val="24"/>
      <w:szCs w:val="21"/>
    </w:rPr>
  </w:style>
  <w:style w:type="paragraph" w:styleId="1122">
    <w:name w:val="样式 段后: 0.25 行"/>
    <w:basedOn w:val="770"/>
    <w:next w:val="1122"/>
    <w:link w:val="770"/>
    <w:qFormat/>
    <w:pPr>
      <w:ind w:firstLine="420"/>
      <w:jc w:val="left"/>
      <w:spacing w:after="78" w:line="300" w:lineRule="auto"/>
      <w:widowControl/>
    </w:pPr>
    <w:rPr>
      <w:rFonts w:ascii="Arial" w:hAnsi="Arial" w:cs="宋体"/>
      <w:sz w:val="22"/>
      <w:lang w:eastAsia="en-US" w:bidi="en-US"/>
    </w:rPr>
  </w:style>
  <w:style w:type="paragraph" w:styleId="1123">
    <w:name w:val="Char Char1"/>
    <w:basedOn w:val="770"/>
    <w:next w:val="1123"/>
    <w:link w:val="770"/>
    <w:qFormat/>
    <w:rPr>
      <w:rFonts w:ascii="Tahoma" w:hAnsi="Tahoma"/>
      <w:sz w:val="24"/>
    </w:rPr>
  </w:style>
  <w:style w:type="paragraph" w:styleId="1124">
    <w:name w:val="样式3"/>
    <w:basedOn w:val="770"/>
    <w:next w:val="770"/>
    <w:link w:val="770"/>
    <w:qFormat/>
    <w:pPr>
      <w:spacing w:line="360" w:lineRule="auto"/>
    </w:pPr>
  </w:style>
  <w:style w:type="paragraph" w:styleId="1125">
    <w:name w:val="_Style 42"/>
    <w:basedOn w:val="770"/>
    <w:next w:val="805"/>
    <w:link w:val="770"/>
    <w:qFormat/>
    <w:rPr>
      <w:rFonts w:ascii="方正楷体_GB2312" w:hAnsi="Arial" w:eastAsia="方正楷体_GB2312"/>
      <w:sz w:val="28"/>
    </w:rPr>
  </w:style>
  <w:style w:type="paragraph" w:styleId="1126">
    <w:name w:val="Char1 Char Char Char"/>
    <w:basedOn w:val="770"/>
    <w:next w:val="1126"/>
    <w:link w:val="770"/>
    <w:qFormat/>
    <w:rPr>
      <w:rFonts w:ascii="Tahoma" w:hAnsi="Tahoma" w:cs="Tahoma"/>
      <w:sz w:val="24"/>
    </w:rPr>
  </w:style>
  <w:style w:type="paragraph" w:styleId="1127">
    <w:name w:val="正文 A"/>
    <w:next w:val="1127"/>
    <w:link w:val="770"/>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128">
    <w:name w:val="Char Char1 Char Char Char Char"/>
    <w:basedOn w:val="798"/>
    <w:next w:val="1128"/>
    <w:link w:val="770"/>
    <w:qFormat/>
    <w:pPr>
      <w:ind w:left="357"/>
      <w:jc w:val="left"/>
      <w:spacing w:line="436" w:lineRule="exact"/>
      <w:outlineLvl w:val="3"/>
    </w:pPr>
    <w:rPr>
      <w:rFonts w:ascii="Tahoma" w:hAnsi="Tahoma" w:cs="Tahoma"/>
      <w:b/>
      <w:sz w:val="24"/>
      <w:szCs w:val="24"/>
    </w:rPr>
  </w:style>
  <w:style w:type="paragraph" w:styleId="1129">
    <w:name w:val="标题 4宋体"/>
    <w:basedOn w:val="774"/>
    <w:next w:val="1129"/>
    <w:link w:val="770"/>
    <w:qFormat/>
    <w:pPr>
      <w:jc w:val="left"/>
      <w:keepLines w:val="0"/>
      <w:spacing w:before="0" w:after="0" w:line="360" w:lineRule="auto"/>
    </w:pPr>
    <w:rPr>
      <w:rFonts w:ascii="宋体" w:hAnsi="宋体" w:eastAsia="宋体"/>
      <w:bCs/>
      <w:color w:val="000000"/>
      <w:sz w:val="24"/>
    </w:rPr>
  </w:style>
  <w:style w:type="paragraph" w:styleId="1130">
    <w:name w:val="xl57"/>
    <w:basedOn w:val="770"/>
    <w:next w:val="1130"/>
    <w:link w:val="77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1">
    <w:name w:val="Char Char Char Char Char Char Char Char Char Char Char Char Char Char Char Char Char Char Char Char Char"/>
    <w:basedOn w:val="770"/>
    <w:next w:val="1131"/>
    <w:link w:val="770"/>
    <w:qFormat/>
    <w:rPr>
      <w:rFonts w:ascii="Tahoma" w:hAnsi="Tahoma" w:cs="Tahoma"/>
      <w:sz w:val="24"/>
    </w:rPr>
  </w:style>
  <w:style w:type="paragraph" w:styleId="1132">
    <w:name w:val="xl45"/>
    <w:basedOn w:val="770"/>
    <w:next w:val="1132"/>
    <w:link w:val="77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33">
    <w:name w:val="xl25"/>
    <w:basedOn w:val="770"/>
    <w:next w:val="1133"/>
    <w:link w:val="770"/>
    <w:qFormat/>
    <w:pPr>
      <w:jc w:val="center"/>
      <w:spacing w:before="100" w:beforeAutospacing="1" w:after="100" w:afterAutospacing="1"/>
      <w:widowControl/>
      <w:pBdr>
        <w:right w:val="single" w:color="000000" w:sz="4" w:space="0"/>
      </w:pBdr>
    </w:pPr>
    <w:rPr>
      <w:szCs w:val="21"/>
    </w:rPr>
  </w:style>
  <w:style w:type="paragraph" w:styleId="1134">
    <w:name w:val="丁华正文"/>
    <w:basedOn w:val="834"/>
    <w:next w:val="1134"/>
    <w:link w:val="770"/>
    <w:qFormat/>
    <w:pPr>
      <w:ind w:left="0" w:firstLine="510"/>
      <w:spacing w:line="360" w:lineRule="auto"/>
    </w:pPr>
    <w:rPr>
      <w:rFonts w:ascii="Times New Roman" w:hAnsi="Times New Roman" w:eastAsia="宋体"/>
      <w:color w:val="000000"/>
      <w:sz w:val="24"/>
      <w:szCs w:val="16"/>
    </w:rPr>
  </w:style>
  <w:style w:type="paragraph" w:styleId="1135">
    <w:name w:val="小四 段落 宋体 Char Char"/>
    <w:basedOn w:val="770"/>
    <w:next w:val="1135"/>
    <w:link w:val="770"/>
    <w:qFormat/>
    <w:pPr>
      <w:ind w:firstLine="480"/>
      <w:spacing w:line="360" w:lineRule="auto"/>
    </w:pPr>
    <w:rPr>
      <w:rFonts w:ascii="宋体" w:hAnsi="宋体"/>
      <w:sz w:val="24"/>
      <w:szCs w:val="24"/>
    </w:rPr>
  </w:style>
  <w:style w:type="paragraph" w:styleId="1136">
    <w:name w:val="样式 标题 2第一章 标题 2Heading 2 HiddenHeading 2 CCBSheading 2H2h2..."/>
    <w:basedOn w:val="772"/>
    <w:next w:val="1136"/>
    <w:link w:val="77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37">
    <w:name w:val="段落"/>
    <w:basedOn w:val="770"/>
    <w:next w:val="1137"/>
    <w:link w:val="770"/>
    <w:qFormat/>
    <w:pPr>
      <w:ind w:firstLine="480"/>
      <w:spacing w:line="460" w:lineRule="exact"/>
    </w:pPr>
    <w:rPr>
      <w:sz w:val="24"/>
    </w:rPr>
  </w:style>
  <w:style w:type="paragraph" w:styleId="1138">
    <w:name w:val="Char Char Char Char Char Char Char Char Char Char Char Char Char Char1"/>
    <w:basedOn w:val="770"/>
    <w:next w:val="1138"/>
    <w:link w:val="770"/>
    <w:qFormat/>
    <w:rPr>
      <w:rFonts w:ascii="Tahoma" w:hAnsi="Tahoma" w:cs="Tahoma"/>
      <w:sz w:val="24"/>
    </w:rPr>
  </w:style>
  <w:style w:type="paragraph" w:styleId="1139">
    <w:name w:val="默认段落字体 Para Char Char Char Char Char Char Char"/>
    <w:basedOn w:val="770"/>
    <w:next w:val="1139"/>
    <w:link w:val="770"/>
    <w:qFormat/>
  </w:style>
  <w:style w:type="paragraph" w:styleId="1140">
    <w:name w:val="af17cgridlangnp1033langf"/>
    <w:next w:val="1140"/>
    <w:link w:val="770"/>
    <w:qFormat/>
    <w:pPr>
      <w:ind w:left="567" w:firstLine="510"/>
      <w:jc w:val="both"/>
      <w:spacing w:before="156" w:line="360" w:lineRule="atLeast"/>
      <w:widowControl w:val="off"/>
    </w:pPr>
    <w:rPr>
      <w:lang w:val="en-US" w:eastAsia="zh-CN" w:bidi="ar-SA"/>
    </w:rPr>
  </w:style>
  <w:style w:type="paragraph" w:styleId="1141">
    <w:name w:val="正文 + Arial Char"/>
    <w:basedOn w:val="770"/>
    <w:next w:val="1141"/>
    <w:link w:val="770"/>
    <w:qFormat/>
    <w:pPr>
      <w:ind w:left="315" w:hanging="315"/>
      <w:spacing w:line="300" w:lineRule="auto"/>
      <w:widowControl/>
      <w:tabs>
        <w:tab w:val="left" w:pos="315" w:leader="none"/>
      </w:tabs>
    </w:pPr>
    <w:rPr>
      <w:rFonts w:ascii="Arial" w:hAnsi="Arial" w:cs="Arial"/>
      <w:b/>
      <w:color w:val="000000"/>
    </w:rPr>
  </w:style>
  <w:style w:type="paragraph" w:styleId="1142">
    <w:name w:val="Char1"/>
    <w:basedOn w:val="770"/>
    <w:next w:val="1142"/>
    <w:link w:val="770"/>
    <w:qFormat/>
    <w:pPr>
      <w:jc w:val="left"/>
      <w:spacing w:after="160" w:line="240" w:lineRule="exact"/>
      <w:widowControl/>
    </w:pPr>
    <w:rPr>
      <w:rFonts w:ascii="Verdana" w:hAnsi="Verdana" w:eastAsia="方正仿宋_GB2312"/>
      <w:sz w:val="24"/>
      <w:lang w:eastAsia="en-US"/>
    </w:rPr>
  </w:style>
  <w:style w:type="paragraph" w:styleId="1143">
    <w:name w:val="Pa6"/>
    <w:basedOn w:val="770"/>
    <w:next w:val="770"/>
    <w:link w:val="770"/>
    <w:qFormat/>
    <w:pPr>
      <w:jc w:val="left"/>
      <w:spacing w:line="241" w:lineRule="atLeast"/>
    </w:pPr>
    <w:rPr>
      <w:rFonts w:ascii="DejaVu Math TeX Gyre" w:eastAsia="DejaVu Math TeX Gyre"/>
      <w:sz w:val="24"/>
      <w:szCs w:val="24"/>
    </w:rPr>
  </w:style>
  <w:style w:type="paragraph" w:styleId="1144">
    <w:name w:val="马刚标题3"/>
    <w:basedOn w:val="770"/>
    <w:next w:val="770"/>
    <w:link w:val="77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45">
    <w:name w:val="content_lineheight"/>
    <w:basedOn w:val="770"/>
    <w:next w:val="1145"/>
    <w:link w:val="770"/>
    <w:qFormat/>
    <w:pPr>
      <w:jc w:val="left"/>
      <w:spacing w:before="100" w:beforeAutospacing="1" w:after="100" w:afterAutospacing="1"/>
      <w:widowControl/>
    </w:pPr>
    <w:rPr>
      <w:rFonts w:ascii="宋体" w:hAnsi="宋体"/>
      <w:sz w:val="24"/>
      <w:szCs w:val="24"/>
    </w:rPr>
  </w:style>
  <w:style w:type="paragraph" w:styleId="1146">
    <w:name w:val="默认段落字体 Para Char"/>
    <w:basedOn w:val="770"/>
    <w:next w:val="1146"/>
    <w:link w:val="770"/>
    <w:qFormat/>
    <w:rPr>
      <w:sz w:val="24"/>
      <w:szCs w:val="24"/>
    </w:rPr>
  </w:style>
  <w:style w:type="paragraph" w:styleId="1147">
    <w:name w:val="表格"/>
    <w:basedOn w:val="770"/>
    <w:next w:val="1147"/>
    <w:link w:val="770"/>
    <w:qFormat/>
    <w:pPr>
      <w:ind w:firstLine="21"/>
    </w:pPr>
    <w:rPr>
      <w:rFonts w:ascii="宋体" w:hAnsi="宋体" w:cs="宋体"/>
      <w:sz w:val="20"/>
    </w:rPr>
  </w:style>
  <w:style w:type="paragraph" w:styleId="1148">
    <w:name w:val="Char Char Char Char Char Char Char Char Char Char Char"/>
    <w:basedOn w:val="770"/>
    <w:next w:val="1148"/>
    <w:link w:val="770"/>
    <w:qFormat/>
    <w:rPr>
      <w:rFonts w:ascii="Tahoma" w:hAnsi="Tahoma" w:cs="Tahoma"/>
      <w:sz w:val="24"/>
    </w:rPr>
  </w:style>
  <w:style w:type="paragraph" w:styleId="1149">
    <w:name w:val="丁华标题1"/>
    <w:basedOn w:val="771"/>
    <w:next w:val="1134"/>
    <w:link w:val="770"/>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50">
    <w:name w:val="列表段落"/>
    <w:basedOn w:val="770"/>
    <w:next w:val="1150"/>
    <w:link w:val="770"/>
    <w:uiPriority w:val="34"/>
    <w:qFormat/>
    <w:pPr>
      <w:ind w:firstLine="420"/>
    </w:pPr>
    <w:rPr>
      <w:szCs w:val="24"/>
    </w:rPr>
  </w:style>
  <w:style w:type="paragraph" w:styleId="1151">
    <w:name w:val="正文表标题"/>
    <w:next w:val="1152"/>
    <w:link w:val="770"/>
    <w:qFormat/>
    <w:pPr>
      <w:ind w:left="900" w:hanging="420"/>
      <w:jc w:val="center"/>
      <w:tabs>
        <w:tab w:val="left" w:pos="900" w:leader="none"/>
      </w:tabs>
    </w:pPr>
    <w:rPr>
      <w:rFonts w:ascii="黑体" w:eastAsia="黑体"/>
      <w:sz w:val="21"/>
      <w:lang w:val="en-US" w:eastAsia="zh-CN" w:bidi="ar-SA"/>
    </w:rPr>
  </w:style>
  <w:style w:type="paragraph" w:styleId="1152">
    <w:name w:val="段"/>
    <w:next w:val="770"/>
    <w:link w:val="770"/>
    <w:qFormat/>
    <w:pPr>
      <w:ind w:firstLine="200"/>
      <w:jc w:val="both"/>
    </w:pPr>
    <w:rPr>
      <w:rFonts w:ascii="宋体"/>
      <w:sz w:val="21"/>
      <w:lang w:val="en-US" w:eastAsia="zh-CN" w:bidi="ar-SA"/>
    </w:rPr>
  </w:style>
  <w:style w:type="paragraph" w:styleId="1153">
    <w:name w:val="样式"/>
    <w:basedOn w:val="770"/>
    <w:next w:val="1153"/>
    <w:link w:val="770"/>
    <w:qFormat/>
    <w:pPr>
      <w:spacing w:before="120" w:after="120" w:line="360" w:lineRule="auto"/>
    </w:pPr>
    <w:rPr>
      <w:rFonts w:ascii="宋体"/>
      <w:sz w:val="24"/>
    </w:rPr>
  </w:style>
  <w:style w:type="paragraph" w:styleId="1154">
    <w:name w:val="Char2"/>
    <w:basedOn w:val="770"/>
    <w:next w:val="1154"/>
    <w:link w:val="770"/>
    <w:semiHidden/>
    <w:qFormat/>
    <w:rPr>
      <w:rFonts w:ascii="Tahoma" w:hAnsi="Tahoma" w:cs="方正仿宋_GB2312"/>
      <w:sz w:val="24"/>
      <w:szCs w:val="28"/>
    </w:rPr>
  </w:style>
  <w:style w:type="paragraph" w:styleId="1155">
    <w:name w:val="xl43"/>
    <w:basedOn w:val="770"/>
    <w:next w:val="1155"/>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56">
    <w:name w:val="font13"/>
    <w:basedOn w:val="770"/>
    <w:next w:val="1156"/>
    <w:link w:val="770"/>
    <w:qFormat/>
    <w:pPr>
      <w:jc w:val="left"/>
      <w:spacing w:before="100" w:beforeAutospacing="1" w:after="100" w:afterAutospacing="1"/>
      <w:widowControl/>
    </w:pPr>
    <w:rPr>
      <w:i/>
      <w:iCs/>
      <w:sz w:val="36"/>
      <w:szCs w:val="36"/>
    </w:rPr>
  </w:style>
  <w:style w:type="paragraph" w:styleId="1157">
    <w:name w:val="a0"/>
    <w:basedOn w:val="770"/>
    <w:next w:val="1157"/>
    <w:link w:val="770"/>
    <w:qFormat/>
    <w:pPr>
      <w:spacing w:before="100" w:beforeAutospacing="1" w:after="100" w:afterAutospacing="1"/>
      <w:widowControl/>
    </w:pPr>
    <w:rPr>
      <w:rFonts w:ascii="宋体" w:hAnsi="宋体" w:cs="宋体"/>
      <w:sz w:val="24"/>
      <w:szCs w:val="24"/>
    </w:rPr>
  </w:style>
  <w:style w:type="paragraph" w:styleId="1158">
    <w:name w:val="项目符号，一级"/>
    <w:basedOn w:val="1159"/>
    <w:next w:val="1159"/>
    <w:link w:val="770"/>
    <w:qFormat/>
    <w:pPr>
      <w:ind w:left="376" w:firstLine="0"/>
      <w:spacing w:line="240" w:lineRule="atLeast"/>
      <w:tabs>
        <w:tab w:val="left" w:pos="1320" w:leader="none"/>
      </w:tabs>
    </w:pPr>
    <w:rPr>
      <w:bCs w:val="0"/>
      <w:color w:val="000000"/>
      <w:szCs w:val="24"/>
    </w:rPr>
  </w:style>
  <w:style w:type="paragraph" w:styleId="1159">
    <w:name w:val="正文格式"/>
    <w:basedOn w:val="770"/>
    <w:next w:val="1159"/>
    <w:link w:val="770"/>
    <w:qFormat/>
    <w:pPr>
      <w:ind w:left="178" w:right="44" w:hanging="178"/>
      <w:jc w:val="left"/>
      <w:spacing w:before="78" w:line="360" w:lineRule="auto"/>
      <w:widowControl/>
    </w:pPr>
    <w:rPr>
      <w:rFonts w:ascii="宋体" w:hAnsi="宋体"/>
      <w:bCs/>
      <w:szCs w:val="21"/>
    </w:rPr>
  </w:style>
  <w:style w:type="paragraph" w:styleId="1160">
    <w:name w:val="Char Char Char Char Char Char Char"/>
    <w:basedOn w:val="770"/>
    <w:next w:val="1160"/>
    <w:link w:val="770"/>
    <w:qFormat/>
    <w:rPr>
      <w:rFonts w:ascii="Tahoma" w:hAnsi="Tahoma"/>
      <w:sz w:val="24"/>
    </w:rPr>
  </w:style>
  <w:style w:type="paragraph" w:styleId="1161">
    <w:name w:val="xl63"/>
    <w:basedOn w:val="770"/>
    <w:next w:val="1161"/>
    <w:link w:val="77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62">
    <w:name w:val="Char Char11"/>
    <w:basedOn w:val="770"/>
    <w:next w:val="1162"/>
    <w:link w:val="770"/>
    <w:qFormat/>
    <w:rPr>
      <w:rFonts w:ascii="Tahoma" w:hAnsi="Tahoma" w:cs="Tahoma"/>
      <w:sz w:val="24"/>
    </w:rPr>
  </w:style>
  <w:style w:type="paragraph" w:styleId="1163">
    <w:name w:val="Char Char Char Char Char"/>
    <w:basedOn w:val="770"/>
    <w:next w:val="1163"/>
    <w:link w:val="770"/>
    <w:qFormat/>
    <w:rPr>
      <w:rFonts w:ascii="Tahoma" w:hAnsi="Tahoma"/>
      <w:sz w:val="24"/>
    </w:rPr>
  </w:style>
  <w:style w:type="paragraph" w:styleId="1164">
    <w:name w:val="正文lzq"/>
    <w:basedOn w:val="770"/>
    <w:next w:val="1164"/>
    <w:link w:val="770"/>
    <w:qFormat/>
    <w:pPr>
      <w:ind w:firstLine="480"/>
      <w:spacing w:line="360" w:lineRule="auto"/>
    </w:pPr>
    <w:rPr>
      <w:sz w:val="24"/>
    </w:rPr>
  </w:style>
  <w:style w:type="paragraph" w:styleId="1165">
    <w:name w:val="xl52"/>
    <w:basedOn w:val="770"/>
    <w:next w:val="1165"/>
    <w:link w:val="7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66">
    <w:name w:val="xl56"/>
    <w:basedOn w:val="770"/>
    <w:next w:val="1166"/>
    <w:link w:val="7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67">
    <w:name w:val="xl62"/>
    <w:basedOn w:val="770"/>
    <w:next w:val="1167"/>
    <w:link w:val="7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68">
    <w:name w:val="列表内容"/>
    <w:basedOn w:val="770"/>
    <w:next w:val="770"/>
    <w:link w:val="770"/>
    <w:qFormat/>
    <w:pPr>
      <w:ind w:left="840" w:hanging="420"/>
      <w:jc w:val="left"/>
      <w:widowControl/>
      <w:tabs>
        <w:tab w:val="left" w:pos="840" w:leader="none"/>
      </w:tabs>
    </w:pPr>
    <w:rPr>
      <w:sz w:val="18"/>
      <w:szCs w:val="24"/>
    </w:rPr>
  </w:style>
  <w:style w:type="paragraph" w:styleId="1169">
    <w:name w:val="xl47"/>
    <w:basedOn w:val="770"/>
    <w:next w:val="1169"/>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0">
    <w:name w:val="xl42"/>
    <w:basedOn w:val="770"/>
    <w:next w:val="1170"/>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1">
    <w:name w:val="xl53"/>
    <w:basedOn w:val="770"/>
    <w:next w:val="1171"/>
    <w:link w:val="77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2">
    <w:name w:val="Default"/>
    <w:next w:val="770"/>
    <w:link w:val="770"/>
    <w:qFormat/>
    <w:pPr>
      <w:widowControl w:val="off"/>
    </w:pPr>
    <w:rPr>
      <w:rFonts w:ascii="宋体" w:cs="宋体"/>
      <w:color w:val="000000"/>
      <w:sz w:val="24"/>
      <w:szCs w:val="24"/>
      <w:lang w:val="en-US" w:eastAsia="zh-CN" w:bidi="ar-SA"/>
    </w:rPr>
  </w:style>
  <w:style w:type="paragraph" w:styleId="1173">
    <w:name w:val="Char Char Char Char Char Char Char Char Char"/>
    <w:basedOn w:val="770"/>
    <w:next w:val="1173"/>
    <w:link w:val="770"/>
    <w:qFormat/>
    <w:pPr>
      <w:ind w:left="200" w:hanging="200"/>
      <w:tabs>
        <w:tab w:val="left" w:pos="360" w:leader="none"/>
      </w:tabs>
    </w:pPr>
    <w:rPr>
      <w:sz w:val="24"/>
      <w:szCs w:val="24"/>
    </w:rPr>
  </w:style>
  <w:style w:type="paragraph" w:styleId="1174">
    <w:name w:val="font9"/>
    <w:basedOn w:val="770"/>
    <w:next w:val="1174"/>
    <w:link w:val="770"/>
    <w:qFormat/>
    <w:pPr>
      <w:jc w:val="left"/>
      <w:spacing w:before="100" w:beforeAutospacing="1" w:after="100" w:afterAutospacing="1"/>
      <w:widowControl/>
    </w:pPr>
    <w:rPr>
      <w:b/>
      <w:bCs/>
      <w:sz w:val="20"/>
    </w:rPr>
  </w:style>
  <w:style w:type="paragraph" w:styleId="1175">
    <w:name w:val="华宇段落1 Char"/>
    <w:basedOn w:val="770"/>
    <w:next w:val="1175"/>
    <w:link w:val="770"/>
    <w:qFormat/>
    <w:pPr>
      <w:ind w:firstLine="200"/>
      <w:spacing w:line="360" w:lineRule="auto"/>
    </w:pPr>
    <w:rPr>
      <w:bCs/>
      <w:sz w:val="24"/>
      <w:szCs w:val="24"/>
    </w:rPr>
  </w:style>
  <w:style w:type="paragraph" w:styleId="1176">
    <w:name w:val="段 Char"/>
    <w:next w:val="1176"/>
    <w:link w:val="770"/>
    <w:qFormat/>
    <w:pPr>
      <w:ind w:firstLine="200"/>
      <w:jc w:val="both"/>
    </w:pPr>
    <w:rPr>
      <w:rFonts w:ascii="宋体"/>
      <w:sz w:val="21"/>
      <w:lang w:val="en-US" w:eastAsia="zh-CN" w:bidi="ar-SA"/>
    </w:rPr>
  </w:style>
  <w:style w:type="paragraph" w:styleId="1177">
    <w:name w:val="xl35"/>
    <w:basedOn w:val="770"/>
    <w:next w:val="1177"/>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78">
    <w:name w:val="表头_5"/>
    <w:basedOn w:val="770"/>
    <w:next w:val="1178"/>
    <w:link w:val="770"/>
    <w:qFormat/>
    <w:pPr>
      <w:spacing w:line="360" w:lineRule="auto"/>
    </w:pPr>
    <w:rPr>
      <w:b/>
      <w:bCs/>
      <w:sz w:val="28"/>
      <w:szCs w:val="21"/>
    </w:rPr>
  </w:style>
  <w:style w:type="paragraph" w:styleId="1179">
    <w:name w:val="xl39"/>
    <w:basedOn w:val="770"/>
    <w:next w:val="1179"/>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0">
    <w:name w:val="样式 样式 首行缩进:  0.74 厘米 行距: 1.5 倍行距 + 段后: 0.5 行"/>
    <w:basedOn w:val="770"/>
    <w:next w:val="1180"/>
    <w:link w:val="770"/>
    <w:qFormat/>
    <w:pPr>
      <w:ind w:firstLine="420"/>
      <w:spacing w:line="360" w:lineRule="auto"/>
    </w:pPr>
    <w:rPr>
      <w:rFonts w:ascii="方正楷体_GB2312" w:eastAsia="方正楷体_GB2312"/>
      <w:bCs/>
      <w:sz w:val="24"/>
    </w:rPr>
  </w:style>
  <w:style w:type="paragraph" w:styleId="1181">
    <w:name w:val="小四 段落 宋体 Char"/>
    <w:basedOn w:val="795"/>
    <w:next w:val="1181"/>
    <w:link w:val="770"/>
    <w:qFormat/>
    <w:pPr>
      <w:ind w:left="0" w:right="-33" w:firstLine="600"/>
      <w:jc w:val="left"/>
      <w:tabs>
        <w:tab w:val="clear" w:pos="2952" w:leader="none"/>
      </w:tabs>
    </w:pPr>
    <w:rPr>
      <w:rFonts w:ascii="方正仿宋_GB2312" w:eastAsia="方正仿宋_GB2312"/>
      <w:sz w:val="30"/>
      <w:szCs w:val="30"/>
    </w:rPr>
  </w:style>
  <w:style w:type="paragraph" w:styleId="1182">
    <w:name w:val="Char Char Char"/>
    <w:basedOn w:val="770"/>
    <w:next w:val="1182"/>
    <w:link w:val="770"/>
    <w:qFormat/>
    <w:rPr>
      <w:rFonts w:ascii="Tahoma" w:hAnsi="Tahoma"/>
      <w:sz w:val="24"/>
    </w:rPr>
  </w:style>
  <w:style w:type="paragraph" w:styleId="1183">
    <w:name w:val="No Spacing0"/>
    <w:next w:val="1183"/>
    <w:link w:val="770"/>
    <w:qFormat/>
    <w:pPr>
      <w:jc w:val="both"/>
      <w:widowControl w:val="off"/>
    </w:pPr>
    <w:rPr>
      <w:rFonts w:eastAsia="微软雅黑"/>
      <w:sz w:val="24"/>
      <w:szCs w:val="22"/>
      <w:lang w:val="en-US" w:eastAsia="zh-CN" w:bidi="ar-SA"/>
    </w:rPr>
  </w:style>
  <w:style w:type="paragraph" w:styleId="1184">
    <w:name w:val="纯文本1"/>
    <w:basedOn w:val="770"/>
    <w:next w:val="1184"/>
    <w:link w:val="770"/>
    <w:qFormat/>
    <w:rPr>
      <w:rFonts w:ascii="宋体" w:hAnsi="宋体" w:eastAsia="方正楷体_GB2312" w:cs="宋体"/>
      <w:sz w:val="28"/>
    </w:rPr>
  </w:style>
  <w:style w:type="paragraph" w:styleId="1185">
    <w:name w:val="Char Char Char Char"/>
    <w:basedOn w:val="798"/>
    <w:next w:val="1185"/>
    <w:link w:val="770"/>
    <w:qFormat/>
    <w:pPr>
      <w:spacing w:line="360" w:lineRule="auto"/>
    </w:pPr>
    <w:rPr>
      <w:rFonts w:ascii="Tahoma" w:hAnsi="Tahoma"/>
      <w:sz w:val="24"/>
      <w:szCs w:val="24"/>
    </w:rPr>
  </w:style>
  <w:style w:type="paragraph" w:styleId="1186">
    <w:name w:val="符号与编号 Char Char"/>
    <w:basedOn w:val="770"/>
    <w:next w:val="1186"/>
    <w:link w:val="770"/>
    <w:qFormat/>
    <w:pPr>
      <w:ind w:left="839" w:hanging="419"/>
      <w:spacing w:after="156" w:line="400" w:lineRule="atLeast"/>
      <w:tabs>
        <w:tab w:val="left" w:pos="840" w:leader="none"/>
      </w:tabs>
    </w:pPr>
    <w:rPr>
      <w:sz w:val="24"/>
      <w:szCs w:val="24"/>
    </w:rPr>
  </w:style>
  <w:style w:type="paragraph" w:styleId="1187">
    <w:name w:val="Pa5"/>
    <w:basedOn w:val="770"/>
    <w:next w:val="770"/>
    <w:link w:val="770"/>
    <w:qFormat/>
    <w:pPr>
      <w:jc w:val="left"/>
      <w:spacing w:line="241" w:lineRule="atLeast"/>
    </w:pPr>
    <w:rPr>
      <w:rFonts w:ascii="DejaVu Math TeX Gyre" w:eastAsia="DejaVu Math TeX Gyre"/>
      <w:sz w:val="24"/>
      <w:szCs w:val="24"/>
    </w:rPr>
  </w:style>
  <w:style w:type="paragraph" w:styleId="1188">
    <w:name w:val="Table Paragraph"/>
    <w:basedOn w:val="770"/>
    <w:next w:val="1188"/>
    <w:link w:val="770"/>
    <w:uiPriority w:val="1"/>
    <w:qFormat/>
    <w:rPr>
      <w:rFonts w:ascii="宋体" w:hAnsi="宋体" w:cs="宋体"/>
      <w:lang w:val="zh-CN" w:bidi="zh-CN"/>
    </w:rPr>
  </w:style>
  <w:style w:type="paragraph" w:styleId="1189">
    <w:name w:val="列出段落1"/>
    <w:basedOn w:val="770"/>
    <w:next w:val="1189"/>
    <w:link w:val="770"/>
    <w:qFormat/>
    <w:pPr>
      <w:contextualSpacing/>
      <w:ind w:left="720"/>
      <w:jc w:val="left"/>
      <w:widowControl/>
    </w:pPr>
    <w:rPr>
      <w:rFonts w:ascii="Arial" w:hAnsi="Arial" w:eastAsia="黑体"/>
      <w:sz w:val="24"/>
      <w:szCs w:val="24"/>
      <w:lang w:eastAsia="en-US"/>
    </w:rPr>
  </w:style>
  <w:style w:type="paragraph" w:styleId="1190">
    <w:name w:val="xl37"/>
    <w:basedOn w:val="770"/>
    <w:next w:val="1190"/>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1">
    <w:name w:val="Bullets L1"/>
    <w:basedOn w:val="770"/>
    <w:next w:val="1191"/>
    <w:link w:val="770"/>
    <w:qFormat/>
    <w:pPr>
      <w:numPr>
        <w:ilvl w:val="0"/>
        <w:numId w:val="2"/>
      </w:numPr>
      <w:jc w:val="left"/>
      <w:spacing w:before="60" w:after="60"/>
      <w:widowControl/>
      <w:tabs>
        <w:tab w:val="left" w:pos="360" w:leader="none"/>
      </w:tabs>
    </w:pPr>
    <w:rPr>
      <w:rFonts w:ascii="Arial" w:hAnsi="Arial"/>
      <w:sz w:val="20"/>
    </w:rPr>
  </w:style>
  <w:style w:type="paragraph" w:styleId="1192">
    <w:name w:val="xl38"/>
    <w:basedOn w:val="770"/>
    <w:next w:val="1192"/>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3">
    <w:name w:val="表格1"/>
    <w:basedOn w:val="770"/>
    <w:next w:val="1193"/>
    <w:link w:val="770"/>
    <w:qFormat/>
    <w:rPr>
      <w:rFonts w:ascii="宋体"/>
      <w:szCs w:val="21"/>
    </w:rPr>
  </w:style>
  <w:style w:type="paragraph" w:styleId="1194">
    <w:name w:val="标题3"/>
    <w:basedOn w:val="773"/>
    <w:next w:val="1194"/>
    <w:link w:val="770"/>
    <w:qFormat/>
    <w:pPr>
      <w:keepLines w:val="0"/>
      <w:keepNext w:val="0"/>
      <w:spacing w:line="360" w:lineRule="auto"/>
    </w:pPr>
    <w:rPr>
      <w:rFonts w:eastAsia="方正仿宋_GB2312"/>
      <w:b w:val="0"/>
      <w:bCs/>
      <w:sz w:val="30"/>
      <w:szCs w:val="32"/>
    </w:rPr>
  </w:style>
  <w:style w:type="paragraph" w:styleId="1195">
    <w:name w:val="xl49"/>
    <w:basedOn w:val="770"/>
    <w:next w:val="1195"/>
    <w:link w:val="77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96">
    <w:name w:val="正文 首行缩进:  2 字符 Char"/>
    <w:basedOn w:val="770"/>
    <w:next w:val="1196"/>
    <w:link w:val="770"/>
    <w:qFormat/>
    <w:pPr>
      <w:ind w:firstLine="480"/>
      <w:spacing w:line="360" w:lineRule="auto"/>
    </w:pPr>
    <w:rPr>
      <w:rFonts w:cs="宋体"/>
      <w:sz w:val="24"/>
    </w:rPr>
  </w:style>
  <w:style w:type="paragraph" w:styleId="1197">
    <w:name w:val="Char Char Char Char Char Char Char1 Char"/>
    <w:basedOn w:val="770"/>
    <w:next w:val="1197"/>
    <w:link w:val="770"/>
    <w:qFormat/>
    <w:rPr>
      <w:rFonts w:ascii="Tahoma" w:hAnsi="Tahoma" w:cs="Tahoma"/>
      <w:sz w:val="24"/>
    </w:rPr>
  </w:style>
  <w:style w:type="paragraph" w:styleId="1198">
    <w:name w:val="标题3，章节第三层"/>
    <w:basedOn w:val="770"/>
    <w:next w:val="1159"/>
    <w:link w:val="770"/>
    <w:qFormat/>
    <w:pPr>
      <w:spacing w:before="78" w:line="300" w:lineRule="auto"/>
      <w:outlineLvl w:val="2"/>
    </w:pPr>
    <w:rPr>
      <w:rFonts w:ascii="Arial" w:hAnsi="Arial" w:eastAsia="华文细黑"/>
      <w:sz w:val="30"/>
      <w:szCs w:val="24"/>
    </w:rPr>
  </w:style>
  <w:style w:type="paragraph" w:styleId="1199">
    <w:name w:val="font6"/>
    <w:basedOn w:val="770"/>
    <w:next w:val="1199"/>
    <w:link w:val="770"/>
    <w:qFormat/>
    <w:pPr>
      <w:jc w:val="left"/>
      <w:spacing w:before="100" w:beforeAutospacing="1" w:after="100" w:afterAutospacing="1"/>
      <w:widowControl/>
    </w:pPr>
    <w:rPr>
      <w:rFonts w:ascii="宋体" w:hAnsi="宋体" w:cs="宋体"/>
      <w:b/>
      <w:bCs/>
      <w:sz w:val="20"/>
    </w:rPr>
  </w:style>
  <w:style w:type="paragraph" w:styleId="1200">
    <w:name w:val="Item Step in Table"/>
    <w:next w:val="1200"/>
    <w:link w:val="770"/>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201">
    <w:name w:val="Char Char Char Char Char Char Char Char Char Char Char Char Char"/>
    <w:basedOn w:val="770"/>
    <w:next w:val="1201"/>
    <w:link w:val="770"/>
    <w:qFormat/>
    <w:pPr>
      <w:jc w:val="left"/>
      <w:spacing w:after="160" w:line="240" w:lineRule="exact"/>
      <w:widowControl/>
    </w:pPr>
    <w:rPr>
      <w:szCs w:val="24"/>
    </w:rPr>
  </w:style>
  <w:style w:type="paragraph" w:styleId="1202">
    <w:name w:val="Char Char Char Char Char Char Char Char Char1"/>
    <w:basedOn w:val="770"/>
    <w:next w:val="1202"/>
    <w:link w:val="770"/>
    <w:qFormat/>
    <w:pPr>
      <w:ind w:left="360" w:hanging="360"/>
      <w:tabs>
        <w:tab w:val="left" w:pos="360" w:leader="none"/>
      </w:tabs>
    </w:pPr>
    <w:rPr>
      <w:sz w:val="24"/>
      <w:szCs w:val="24"/>
    </w:rPr>
  </w:style>
  <w:style w:type="paragraph" w:styleId="1203">
    <w:name w:val="列出段落2"/>
    <w:basedOn w:val="770"/>
    <w:next w:val="1203"/>
    <w:link w:val="770"/>
    <w:qFormat/>
    <w:pPr>
      <w:ind w:left="720"/>
      <w:jc w:val="left"/>
      <w:widowControl/>
    </w:pPr>
    <w:rPr>
      <w:rFonts w:ascii="Arial" w:hAnsi="Arial" w:eastAsia="黑体" w:cs="Arial"/>
      <w:sz w:val="24"/>
      <w:szCs w:val="24"/>
      <w:lang w:eastAsia="en-US"/>
    </w:rPr>
  </w:style>
  <w:style w:type="paragraph" w:styleId="1204">
    <w:name w:val="font5"/>
    <w:basedOn w:val="770"/>
    <w:next w:val="1204"/>
    <w:link w:val="770"/>
    <w:qFormat/>
    <w:pPr>
      <w:jc w:val="left"/>
      <w:spacing w:before="100" w:beforeAutospacing="1" w:after="100" w:afterAutospacing="1"/>
      <w:widowControl/>
    </w:pPr>
    <w:rPr>
      <w:rFonts w:ascii="宋体" w:hAnsi="宋体" w:cs="宋体"/>
      <w:sz w:val="18"/>
      <w:szCs w:val="18"/>
    </w:rPr>
  </w:style>
  <w:style w:type="paragraph" w:styleId="1205">
    <w:name w:val="xl59"/>
    <w:basedOn w:val="770"/>
    <w:next w:val="1205"/>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06">
    <w:name w:val="Char Char"/>
    <w:basedOn w:val="770"/>
    <w:next w:val="1206"/>
    <w:link w:val="770"/>
    <w:qFormat/>
    <w:rPr>
      <w:rFonts w:ascii="Tahoma" w:hAnsi="Tahoma" w:cs="Tahoma"/>
      <w:sz w:val="24"/>
    </w:rPr>
  </w:style>
  <w:style w:type="paragraph" w:styleId="1207">
    <w:name w:val="样式2"/>
    <w:basedOn w:val="770"/>
    <w:next w:val="1207"/>
    <w:link w:val="770"/>
    <w:qFormat/>
    <w:pPr>
      <w:ind w:left="200"/>
      <w:spacing w:line="360" w:lineRule="auto"/>
    </w:pPr>
    <w:rPr>
      <w:rFonts w:ascii="宋体" w:hAnsi="宋体"/>
      <w:b/>
      <w:sz w:val="24"/>
      <w:szCs w:val="24"/>
    </w:rPr>
  </w:style>
  <w:style w:type="paragraph" w:styleId="1208">
    <w:name w:val="正文 居中"/>
    <w:basedOn w:val="770"/>
    <w:next w:val="1208"/>
    <w:link w:val="770"/>
    <w:qFormat/>
    <w:pPr>
      <w:jc w:val="center"/>
      <w:spacing w:line="360" w:lineRule="auto"/>
    </w:pPr>
    <w:rPr>
      <w:sz w:val="24"/>
    </w:rPr>
  </w:style>
  <w:style w:type="paragraph" w:styleId="1209">
    <w:name w:val="xl33"/>
    <w:basedOn w:val="770"/>
    <w:next w:val="1209"/>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0">
    <w:name w:val="Char Char Char Char Char Char Char Char"/>
    <w:basedOn w:val="770"/>
    <w:next w:val="1210"/>
    <w:link w:val="770"/>
    <w:qFormat/>
    <w:rPr>
      <w:rFonts w:ascii="Tahoma" w:hAnsi="Tahoma" w:cs="Tahoma"/>
      <w:sz w:val="24"/>
    </w:rPr>
  </w:style>
  <w:style w:type="paragraph" w:styleId="1211">
    <w:name w:val="丁华标题2"/>
    <w:basedOn w:val="772"/>
    <w:next w:val="1134"/>
    <w:link w:val="770"/>
    <w:qFormat/>
    <w:pPr>
      <w:numPr>
        <w:ilvl w:val="1"/>
        <w:numId w:val="1"/>
      </w:numPr>
      <w:spacing w:line="415" w:lineRule="auto"/>
      <w:tabs>
        <w:tab w:val="left" w:pos="1004" w:leader="none"/>
      </w:tabs>
    </w:pPr>
    <w:rPr>
      <w:rFonts w:ascii="Arial" w:hAnsi="Arial" w:eastAsia="黑体"/>
      <w:b w:val="0"/>
      <w:sz w:val="28"/>
      <w:szCs w:val="20"/>
    </w:rPr>
  </w:style>
  <w:style w:type="paragraph" w:styleId="1212">
    <w:name w:val="flName"/>
    <w:basedOn w:val="1213"/>
    <w:next w:val="1212"/>
    <w:link w:val="770"/>
    <w:qFormat/>
    <w:pPr>
      <w:spacing w:before="0" w:line="113" w:lineRule="atLeast"/>
    </w:pPr>
  </w:style>
  <w:style w:type="paragraph" w:styleId="1213">
    <w:name w:val="flNote"/>
    <w:basedOn w:val="770"/>
    <w:next w:val="1213"/>
    <w:link w:val="770"/>
    <w:qFormat/>
    <w:pPr>
      <w:jc w:val="center"/>
      <w:spacing w:before="567" w:line="360" w:lineRule="atLeast"/>
    </w:pPr>
    <w:rPr>
      <w:rFonts w:eastAsia="黑体"/>
      <w:b/>
      <w:sz w:val="24"/>
    </w:rPr>
  </w:style>
  <w:style w:type="paragraph" w:styleId="1214">
    <w:name w:val="font7"/>
    <w:basedOn w:val="770"/>
    <w:next w:val="1214"/>
    <w:link w:val="770"/>
    <w:qFormat/>
    <w:pPr>
      <w:jc w:val="left"/>
      <w:spacing w:before="100" w:beforeAutospacing="1" w:after="100" w:afterAutospacing="1"/>
      <w:widowControl/>
    </w:pPr>
    <w:rPr>
      <w:rFonts w:hint="eastAsia" w:ascii="宋体" w:hAnsi="宋体"/>
      <w:b/>
      <w:bCs/>
      <w:sz w:val="24"/>
      <w:szCs w:val="24"/>
    </w:rPr>
  </w:style>
  <w:style w:type="paragraph" w:styleId="1215">
    <w:name w:val="xl48"/>
    <w:basedOn w:val="770"/>
    <w:next w:val="1215"/>
    <w:link w:val="77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16">
    <w:name w:val="Char Char Char Char Char Char Char Char Char Char Char1"/>
    <w:basedOn w:val="770"/>
    <w:next w:val="1216"/>
    <w:link w:val="770"/>
    <w:qFormat/>
    <w:rPr>
      <w:rFonts w:ascii="Tahoma" w:hAnsi="Tahoma"/>
      <w:sz w:val="24"/>
    </w:rPr>
  </w:style>
  <w:style w:type="paragraph" w:styleId="1217">
    <w:name w:val="xl61"/>
    <w:basedOn w:val="770"/>
    <w:next w:val="1217"/>
    <w:link w:val="77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18">
    <w:name w:val="Test2"/>
    <w:basedOn w:val="772"/>
    <w:next w:val="1218"/>
    <w:link w:val="770"/>
    <w:qFormat/>
    <w:pPr>
      <w:jc w:val="center"/>
      <w:spacing w:before="156" w:after="156" w:line="480" w:lineRule="exact"/>
      <w:widowControl/>
    </w:pPr>
    <w:rPr>
      <w:rFonts w:ascii="黑体" w:hAnsi="Arial" w:eastAsia="黑体"/>
      <w:bCs/>
      <w:sz w:val="24"/>
    </w:rPr>
  </w:style>
  <w:style w:type="paragraph" w:styleId="1219">
    <w:name w:val="插图"/>
    <w:basedOn w:val="770"/>
    <w:next w:val="1219"/>
    <w:link w:val="770"/>
    <w:qFormat/>
    <w:pPr>
      <w:jc w:val="center"/>
      <w:tabs>
        <w:tab w:val="left" w:pos="1620" w:leader="none"/>
      </w:tabs>
    </w:pPr>
    <w:rPr>
      <w:bCs/>
      <w:color w:val="000000"/>
      <w:szCs w:val="22"/>
    </w:rPr>
  </w:style>
  <w:style w:type="paragraph" w:styleId="1220">
    <w:name w:val="tableau"/>
    <w:basedOn w:val="770"/>
    <w:next w:val="1220"/>
    <w:link w:val="770"/>
    <w:qFormat/>
    <w:pPr>
      <w:jc w:val="center"/>
      <w:spacing w:before="20" w:after="20"/>
      <w:widowControl/>
    </w:pPr>
    <w:rPr>
      <w:rFonts w:ascii="Arial" w:hAnsi="Arial"/>
      <w:sz w:val="16"/>
      <w:lang w:val="en-GB" w:eastAsia="en-US"/>
    </w:rPr>
  </w:style>
  <w:style w:type="paragraph" w:styleId="1221">
    <w:name w:val="正文 首行缩进:  2 字符 Char Char"/>
    <w:basedOn w:val="770"/>
    <w:next w:val="1221"/>
    <w:link w:val="770"/>
    <w:qFormat/>
    <w:pPr>
      <w:ind w:firstLine="480"/>
      <w:spacing w:line="360" w:lineRule="auto"/>
    </w:pPr>
    <w:rPr>
      <w:rFonts w:ascii="方正楷体_GB2312" w:eastAsia="方正楷体_GB2312"/>
      <w:bCs/>
      <w:sz w:val="24"/>
      <w:szCs w:val="24"/>
    </w:rPr>
  </w:style>
  <w:style w:type="paragraph" w:styleId="1222">
    <w:name w:val="标题2，章节第二层"/>
    <w:basedOn w:val="770"/>
    <w:next w:val="1159"/>
    <w:link w:val="770"/>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3">
    <w:name w:val="Char Char Char Char Char Char Char Char Char Char Char Char Char1"/>
    <w:basedOn w:val="798"/>
    <w:next w:val="1223"/>
    <w:link w:val="770"/>
    <w:qFormat/>
    <w:rPr>
      <w:rFonts w:ascii="Tahoma" w:hAnsi="Tahoma"/>
      <w:sz w:val="24"/>
      <w:szCs w:val="24"/>
    </w:rPr>
  </w:style>
  <w:style w:type="paragraph" w:styleId="1224">
    <w:name w:val="二级条标题"/>
    <w:basedOn w:val="770"/>
    <w:next w:val="1152"/>
    <w:link w:val="770"/>
    <w:qFormat/>
    <w:pPr>
      <w:ind w:hanging="420"/>
      <w:widowControl/>
      <w:tabs>
        <w:tab w:val="left" w:pos="2240" w:leader="none"/>
      </w:tabs>
      <w:outlineLvl w:val="3"/>
    </w:pPr>
    <w:rPr>
      <w:rFonts w:eastAsia="黑体"/>
    </w:rPr>
  </w:style>
  <w:style w:type="paragraph" w:styleId="1225">
    <w:name w:val="样式 加点正文 + 段前: 0.5 行 段后: 0.5 行1"/>
    <w:basedOn w:val="770"/>
    <w:next w:val="1225"/>
    <w:link w:val="770"/>
    <w:qFormat/>
    <w:pPr>
      <w:numPr>
        <w:ilvl w:val="0"/>
        <w:numId w:val="4"/>
      </w:numPr>
      <w:ind w:left="1268"/>
      <w:spacing w:before="156" w:after="156" w:line="300" w:lineRule="auto"/>
      <w:tabs>
        <w:tab w:val="left" w:pos="420" w:leader="none"/>
        <w:tab w:val="left" w:pos="1268" w:leader="none"/>
      </w:tabs>
    </w:pPr>
    <w:rPr>
      <w:sz w:val="24"/>
    </w:rPr>
  </w:style>
  <w:style w:type="paragraph" w:styleId="1226">
    <w:name w:val="Char Char Char Char Char Char"/>
    <w:basedOn w:val="770"/>
    <w:next w:val="1226"/>
    <w:link w:val="770"/>
    <w:qFormat/>
    <w:rPr>
      <w:rFonts w:ascii="Tahoma" w:hAnsi="Tahoma" w:cs="Tahoma"/>
      <w:sz w:val="24"/>
    </w:rPr>
  </w:style>
  <w:style w:type="paragraph" w:styleId="1227">
    <w:name w:val="Char Char1 Char Char Char Char Char Char Char"/>
    <w:basedOn w:val="770"/>
    <w:next w:val="1227"/>
    <w:link w:val="770"/>
    <w:qFormat/>
    <w:rPr>
      <w:rFonts w:ascii="Tahoma" w:hAnsi="Tahoma" w:cs="Tahoma"/>
      <w:sz w:val="24"/>
    </w:rPr>
  </w:style>
  <w:style w:type="paragraph" w:styleId="1228">
    <w:name w:val="xl30"/>
    <w:basedOn w:val="770"/>
    <w:next w:val="1228"/>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9">
    <w:name w:val="部分1"/>
    <w:basedOn w:val="770"/>
    <w:next w:val="1229"/>
    <w:link w:val="770"/>
    <w:qFormat/>
    <w:pPr>
      <w:jc w:val="center"/>
      <w:keepNext/>
      <w:pageBreakBefore/>
      <w:spacing w:line="360" w:lineRule="auto"/>
      <w:tabs>
        <w:tab w:val="left" w:pos="360" w:leader="none"/>
      </w:tabs>
      <w:outlineLvl w:val="0"/>
    </w:pPr>
    <w:rPr>
      <w:rFonts w:eastAsia="黑体"/>
      <w:b/>
      <w:sz w:val="36"/>
    </w:rPr>
  </w:style>
  <w:style w:type="paragraph" w:styleId="1230">
    <w:name w:val="font12"/>
    <w:basedOn w:val="770"/>
    <w:next w:val="1230"/>
    <w:link w:val="770"/>
    <w:qFormat/>
    <w:pPr>
      <w:jc w:val="left"/>
      <w:spacing w:before="100" w:beforeAutospacing="1" w:after="100" w:afterAutospacing="1"/>
      <w:widowControl/>
    </w:pPr>
    <w:rPr>
      <w:rFonts w:ascii="宋体" w:hAnsi="宋体" w:cs="宋体"/>
      <w:sz w:val="36"/>
      <w:szCs w:val="36"/>
    </w:rPr>
  </w:style>
  <w:style w:type="paragraph" w:styleId="1231">
    <w:name w:val="List Paragraph0"/>
    <w:basedOn w:val="770"/>
    <w:next w:val="1231"/>
    <w:link w:val="770"/>
    <w:qFormat/>
    <w:pPr>
      <w:contextualSpacing/>
      <w:ind w:left="720"/>
      <w:jc w:val="left"/>
      <w:widowControl/>
    </w:pPr>
    <w:rPr>
      <w:rFonts w:ascii="Arial" w:hAnsi="Arial" w:eastAsia="黑体"/>
      <w:sz w:val="24"/>
      <w:szCs w:val="24"/>
      <w:lang w:eastAsia="en-US"/>
    </w:rPr>
  </w:style>
  <w:style w:type="paragraph" w:styleId="1232">
    <w:name w:val="xl40"/>
    <w:basedOn w:val="770"/>
    <w:next w:val="1232"/>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3">
    <w:name w:val="Default Text"/>
    <w:basedOn w:val="770"/>
    <w:next w:val="1233"/>
    <w:link w:val="770"/>
    <w:qFormat/>
    <w:pPr>
      <w:jc w:val="left"/>
      <w:widowControl/>
    </w:pPr>
    <w:rPr>
      <w:sz w:val="24"/>
      <w:lang w:eastAsia="en-US"/>
    </w:rPr>
  </w:style>
  <w:style w:type="paragraph" w:styleId="1234">
    <w:name w:val="Char1 Char Char Char1"/>
    <w:basedOn w:val="770"/>
    <w:next w:val="1234"/>
    <w:link w:val="770"/>
    <w:qFormat/>
    <w:rPr>
      <w:rFonts w:ascii="Tahoma" w:hAnsi="Tahoma"/>
      <w:sz w:val="24"/>
    </w:rPr>
  </w:style>
  <w:style w:type="paragraph" w:styleId="1235">
    <w:name w:val="retrait3"/>
    <w:basedOn w:val="770"/>
    <w:next w:val="1235"/>
    <w:link w:val="770"/>
    <w:qFormat/>
    <w:pPr>
      <w:ind w:left="851"/>
      <w:jc w:val="left"/>
      <w:spacing w:before="20" w:after="20"/>
      <w:widowControl/>
    </w:pPr>
    <w:rPr>
      <w:rFonts w:ascii="Arial" w:hAnsi="Arial"/>
      <w:sz w:val="24"/>
      <w:lang w:val="en-GB"/>
    </w:rPr>
  </w:style>
  <w:style w:type="paragraph" w:styleId="1236">
    <w:name w:val="一级标题"/>
    <w:basedOn w:val="770"/>
    <w:next w:val="1236"/>
    <w:link w:val="770"/>
    <w:qFormat/>
    <w:pPr>
      <w:ind w:left="900" w:hanging="420"/>
      <w:spacing w:line="360" w:lineRule="auto"/>
      <w:tabs>
        <w:tab w:val="left" w:pos="903" w:leader="none"/>
      </w:tabs>
    </w:pPr>
    <w:rPr>
      <w:rFonts w:ascii="Arial" w:hAnsi="Arial" w:cs="Arial"/>
      <w:sz w:val="24"/>
    </w:rPr>
  </w:style>
  <w:style w:type="paragraph" w:styleId="1237">
    <w:name w:val="正文缩进2字符"/>
    <w:basedOn w:val="770"/>
    <w:next w:val="1237"/>
    <w:link w:val="770"/>
    <w:qFormat/>
    <w:pPr>
      <w:ind w:firstLine="200"/>
      <w:spacing w:line="300" w:lineRule="auto"/>
    </w:pPr>
    <w:rPr>
      <w:rFonts w:ascii="方正仿宋_GB2312" w:eastAsia="方正仿宋_GB2312"/>
      <w:sz w:val="32"/>
      <w:szCs w:val="32"/>
    </w:rPr>
  </w:style>
  <w:style w:type="paragraph" w:styleId="1238">
    <w:name w:val="xl60"/>
    <w:basedOn w:val="770"/>
    <w:next w:val="1238"/>
    <w:link w:val="7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39">
    <w:name w:val="xl27"/>
    <w:basedOn w:val="770"/>
    <w:next w:val="1239"/>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0">
    <w:name w:val="表蕊"/>
    <w:basedOn w:val="770"/>
    <w:next w:val="1240"/>
    <w:link w:val="770"/>
    <w:qFormat/>
    <w:pPr>
      <w:jc w:val="left"/>
      <w:spacing w:line="320" w:lineRule="atLeast"/>
    </w:pPr>
    <w:rPr>
      <w:rFonts w:eastAsia="方正楷体_GB2312"/>
      <w:spacing w:val="-10"/>
    </w:rPr>
  </w:style>
  <w:style w:type="paragraph" w:styleId="1241">
    <w:name w:val="样式 段后: 0.5 行 左  0.75 字符"/>
    <w:basedOn w:val="770"/>
    <w:next w:val="1241"/>
    <w:link w:val="770"/>
    <w:qFormat/>
    <w:pPr>
      <w:ind w:firstLine="420"/>
      <w:spacing w:line="360" w:lineRule="auto"/>
      <w:widowControl/>
    </w:pPr>
    <w:rPr>
      <w:rFonts w:hAnsi="Arial" w:cs="Arial"/>
      <w:szCs w:val="21"/>
    </w:rPr>
  </w:style>
  <w:style w:type="paragraph" w:styleId="1242">
    <w:name w:val="符号与编号 Char"/>
    <w:basedOn w:val="770"/>
    <w:next w:val="1242"/>
    <w:link w:val="770"/>
    <w:qFormat/>
    <w:pPr>
      <w:ind w:left="720"/>
      <w:spacing w:after="156" w:line="400" w:lineRule="atLeast"/>
      <w:tabs>
        <w:tab w:val="left" w:pos="720" w:leader="none"/>
      </w:tabs>
    </w:pPr>
    <w:rPr>
      <w:sz w:val="24"/>
      <w:szCs w:val="24"/>
    </w:rPr>
  </w:style>
  <w:style w:type="paragraph" w:styleId="1243">
    <w:name w:val="xl34"/>
    <w:basedOn w:val="770"/>
    <w:next w:val="1243"/>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4">
    <w:name w:val="文档正文"/>
    <w:basedOn w:val="770"/>
    <w:next w:val="1244"/>
    <w:link w:val="770"/>
    <w:qFormat/>
    <w:pPr>
      <w:spacing w:line="360" w:lineRule="auto"/>
    </w:pPr>
    <w:rPr>
      <w:rFonts w:ascii="宋体" w:hAnsi="宋体"/>
      <w:b/>
      <w:bCs/>
      <w:szCs w:val="24"/>
    </w:rPr>
  </w:style>
  <w:style w:type="paragraph" w:styleId="1245">
    <w:name w:val="丁华标题3"/>
    <w:basedOn w:val="1211"/>
    <w:next w:val="1134"/>
    <w:link w:val="77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46">
    <w:name w:val="我的正文"/>
    <w:basedOn w:val="770"/>
    <w:next w:val="1246"/>
    <w:link w:val="770"/>
    <w:qFormat/>
    <w:pPr>
      <w:ind w:firstLine="420"/>
      <w:jc w:val="left"/>
      <w:spacing w:line="360" w:lineRule="auto"/>
      <w:widowControl/>
    </w:pPr>
    <w:rPr>
      <w:rFonts w:ascii="宋体" w:hAnsi="宋体" w:cs="宋体"/>
      <w:szCs w:val="21"/>
    </w:rPr>
  </w:style>
  <w:style w:type="paragraph" w:styleId="1247">
    <w:name w:val="公文标题 2"/>
    <w:basedOn w:val="770"/>
    <w:next w:val="1248"/>
    <w:link w:val="770"/>
    <w:qFormat/>
    <w:pPr>
      <w:outlineLvl w:val="1"/>
    </w:pPr>
    <w:rPr>
      <w:rFonts w:ascii="方正仿宋_GB2312" w:hAnsi="宋体" w:eastAsia="方正仿宋_GB2312"/>
      <w:sz w:val="28"/>
      <w:szCs w:val="24"/>
    </w:rPr>
  </w:style>
  <w:style w:type="paragraph" w:styleId="1248">
    <w:name w:val="公文正文"/>
    <w:basedOn w:val="806"/>
    <w:next w:val="1248"/>
    <w:link w:val="770"/>
    <w:qFormat/>
    <w:pPr>
      <w:ind w:firstLine="200"/>
    </w:pPr>
    <w:rPr>
      <w:rFonts w:ascii="方正仿宋_GB2312" w:hAnsi="宋体" w:eastAsia="方正仿宋_GB2312"/>
      <w:sz w:val="28"/>
      <w:szCs w:val="24"/>
    </w:rPr>
  </w:style>
  <w:style w:type="paragraph" w:styleId="1249">
    <w:name w:val="Char Char1 Char"/>
    <w:basedOn w:val="770"/>
    <w:next w:val="1249"/>
    <w:link w:val="770"/>
    <w:qFormat/>
    <w:pPr>
      <w:jc w:val="left"/>
      <w:spacing w:after="160" w:line="240" w:lineRule="exact"/>
      <w:widowControl/>
    </w:pPr>
    <w:rPr>
      <w:rFonts w:ascii="Verdana" w:hAnsi="Verdana"/>
      <w:sz w:val="20"/>
      <w:lang w:eastAsia="en-US"/>
    </w:rPr>
  </w:style>
  <w:style w:type="paragraph" w:styleId="1250">
    <w:name w:val="xl50"/>
    <w:basedOn w:val="770"/>
    <w:next w:val="1250"/>
    <w:link w:val="77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1">
    <w:name w:val="zw"/>
    <w:basedOn w:val="770"/>
    <w:next w:val="1251"/>
    <w:link w:val="770"/>
    <w:qFormat/>
    <w:pPr>
      <w:ind w:firstLine="480"/>
      <w:jc w:val="left"/>
      <w:spacing w:line="360" w:lineRule="auto"/>
      <w:widowControl/>
    </w:pPr>
    <w:rPr>
      <w:rFonts w:ascii="宋体" w:hAnsi="宋体"/>
      <w:bCs/>
      <w:sz w:val="24"/>
    </w:rPr>
  </w:style>
  <w:style w:type="paragraph" w:styleId="1252">
    <w:name w:val="xl29"/>
    <w:basedOn w:val="770"/>
    <w:next w:val="1252"/>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3">
    <w:name w:val="马刚标题4"/>
    <w:basedOn w:val="1144"/>
    <w:next w:val="770"/>
    <w:link w:val="770"/>
    <w:qFormat/>
    <w:pPr>
      <w:spacing w:before="100" w:after="40"/>
      <w:tabs>
        <w:tab w:val="left" w:pos="1050" w:leader="none"/>
      </w:tabs>
      <w:outlineLvl w:val="3"/>
    </w:pPr>
    <w:rPr>
      <w:b w:val="0"/>
    </w:rPr>
  </w:style>
  <w:style w:type="paragraph" w:styleId="1254">
    <w:name w:val="标准文本"/>
    <w:basedOn w:val="770"/>
    <w:next w:val="1254"/>
    <w:link w:val="770"/>
    <w:qFormat/>
    <w:pPr>
      <w:ind w:firstLine="480"/>
      <w:spacing w:line="360" w:lineRule="auto"/>
    </w:pPr>
    <w:rPr>
      <w:rFonts w:cs="宋体"/>
      <w:sz w:val="24"/>
      <w:szCs w:val="24"/>
    </w:rPr>
  </w:style>
  <w:style w:type="paragraph" w:styleId="1255">
    <w:name w:val="正文2"/>
    <w:basedOn w:val="770"/>
    <w:next w:val="1255"/>
    <w:link w:val="770"/>
    <w:qFormat/>
    <w:pPr>
      <w:ind w:firstLine="510"/>
      <w:spacing w:before="156" w:line="360" w:lineRule="auto"/>
    </w:pPr>
    <w:rPr>
      <w:sz w:val="24"/>
    </w:rPr>
  </w:style>
  <w:style w:type="paragraph" w:styleId="1256">
    <w:name w:val="样式1"/>
    <w:basedOn w:val="770"/>
    <w:next w:val="1256"/>
    <w:link w:val="770"/>
    <w:qFormat/>
    <w:pPr>
      <w:ind w:firstLine="480"/>
      <w:spacing w:line="300" w:lineRule="auto"/>
    </w:pPr>
    <w:rPr>
      <w:sz w:val="24"/>
      <w:szCs w:val="24"/>
    </w:rPr>
  </w:style>
  <w:style w:type="paragraph" w:styleId="1257">
    <w:name w:val="大标题"/>
    <w:basedOn w:val="770"/>
    <w:next w:val="770"/>
    <w:link w:val="770"/>
    <w:qFormat/>
    <w:pPr>
      <w:ind w:hanging="420"/>
      <w:pageBreakBefore/>
      <w:spacing w:line="360" w:lineRule="auto"/>
      <w:tabs>
        <w:tab w:val="left" w:pos="420" w:leader="none"/>
      </w:tabs>
      <w:outlineLvl w:val="0"/>
    </w:pPr>
    <w:rPr>
      <w:b/>
      <w:iCs/>
      <w:sz w:val="44"/>
      <w:szCs w:val="24"/>
    </w:rPr>
  </w:style>
  <w:style w:type="paragraph" w:styleId="1258">
    <w:name w:val="Char Char Char Char Char Char Char Char1"/>
    <w:basedOn w:val="770"/>
    <w:next w:val="1258"/>
    <w:link w:val="770"/>
    <w:qFormat/>
    <w:rPr>
      <w:rFonts w:ascii="Tahoma" w:hAnsi="Tahoma"/>
      <w:sz w:val="24"/>
    </w:rPr>
  </w:style>
  <w:style w:type="paragraph" w:styleId="1259">
    <w:name w:val="1"/>
    <w:basedOn w:val="770"/>
    <w:next w:val="841"/>
    <w:link w:val="770"/>
    <w:qFormat/>
    <w:pPr>
      <w:spacing w:line="360" w:lineRule="auto"/>
    </w:pPr>
    <w:rPr>
      <w:rFonts w:eastAsia="方正仿宋_GB2312"/>
      <w:sz w:val="24"/>
      <w:szCs w:val="24"/>
    </w:rPr>
  </w:style>
  <w:style w:type="paragraph" w:styleId="1260">
    <w:name w:val="标题6"/>
    <w:basedOn w:val="775"/>
    <w:next w:val="1260"/>
    <w:link w:val="770"/>
    <w:qFormat/>
    <w:pPr>
      <w:ind w:left="420" w:hanging="420"/>
      <w:keepLines/>
      <w:tabs>
        <w:tab w:val="left" w:pos="420" w:leader="none"/>
      </w:tabs>
    </w:pPr>
    <w:rPr>
      <w:rFonts w:ascii="Times New Roman"/>
      <w:b w:val="0"/>
      <w:bCs/>
      <w:color w:val="000000"/>
      <w:sz w:val="24"/>
      <w:szCs w:val="28"/>
    </w:rPr>
  </w:style>
  <w:style w:type="paragraph" w:styleId="1261">
    <w:name w:val="Char Char Char Char1"/>
    <w:basedOn w:val="770"/>
    <w:next w:val="1261"/>
    <w:link w:val="770"/>
    <w:qFormat/>
    <w:pPr>
      <w:jc w:val="center"/>
      <w:spacing w:after="160" w:line="240" w:lineRule="exact"/>
      <w:widowControl/>
    </w:pPr>
    <w:rPr>
      <w:rFonts w:ascii="黑体" w:hAnsi="Verdana" w:eastAsia="黑体"/>
      <w:sz w:val="32"/>
      <w:szCs w:val="32"/>
      <w:lang w:eastAsia="en-US"/>
    </w:rPr>
  </w:style>
  <w:style w:type="paragraph" w:styleId="1262">
    <w:name w:val="qw"/>
    <w:next w:val="1262"/>
    <w:link w:val="770"/>
    <w:qFormat/>
    <w:pPr>
      <w:jc w:val="both"/>
      <w:spacing w:line="312" w:lineRule="atLeast"/>
      <w:widowControl w:val="off"/>
    </w:pPr>
    <w:rPr>
      <w:rFonts w:ascii="宋体"/>
      <w:sz w:val="24"/>
      <w:lang w:val="en-US" w:eastAsia="zh-CN" w:bidi="ar-SA"/>
    </w:rPr>
  </w:style>
  <w:style w:type="paragraph" w:styleId="1263">
    <w:name w:val="正文文本 21"/>
    <w:basedOn w:val="770"/>
    <w:next w:val="1263"/>
    <w:link w:val="770"/>
    <w:qFormat/>
    <w:pPr>
      <w:ind w:left="720" w:hanging="720"/>
      <w:widowControl/>
    </w:pPr>
    <w:rPr>
      <w:sz w:val="24"/>
      <w:lang w:val="en-GB"/>
    </w:rPr>
  </w:style>
  <w:style w:type="paragraph" w:styleId="1264">
    <w:name w:val="xl41"/>
    <w:basedOn w:val="770"/>
    <w:next w:val="1264"/>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5">
    <w:name w:val="标题1，章节第一层"/>
    <w:basedOn w:val="1159"/>
    <w:next w:val="1159"/>
    <w:link w:val="770"/>
    <w:qFormat/>
    <w:pPr>
      <w:ind w:left="482"/>
      <w:spacing w:before="0"/>
      <w:tabs>
        <w:tab w:val="left" w:pos="693" w:leader="none"/>
      </w:tabs>
      <w:outlineLvl w:val="0"/>
    </w:pPr>
    <w:rPr>
      <w:color w:val="000000"/>
      <w:sz w:val="24"/>
      <w:szCs w:val="24"/>
    </w:rPr>
  </w:style>
  <w:style w:type="paragraph" w:styleId="1266">
    <w:name w:val="小四 段落 宋体 Char Char Char Char"/>
    <w:basedOn w:val="770"/>
    <w:next w:val="1266"/>
    <w:link w:val="770"/>
    <w:qFormat/>
    <w:pPr>
      <w:ind w:right="-33" w:firstLine="480"/>
      <w:jc w:val="left"/>
      <w:spacing w:line="360" w:lineRule="auto"/>
    </w:pPr>
    <w:rPr>
      <w:sz w:val="24"/>
      <w:szCs w:val="24"/>
    </w:rPr>
  </w:style>
  <w:style w:type="paragraph" w:styleId="1267">
    <w:name w:val="Char2 Char Char Char Char Char Char1"/>
    <w:basedOn w:val="770"/>
    <w:next w:val="1267"/>
    <w:link w:val="770"/>
    <w:qFormat/>
    <w:pPr>
      <w:ind w:hanging="425"/>
      <w:keepNext/>
      <w:spacing w:before="80" w:after="80"/>
      <w:widowControl/>
      <w:tabs>
        <w:tab w:val="left" w:pos="425" w:leader="none"/>
      </w:tabs>
    </w:pPr>
    <w:rPr>
      <w:rFonts w:ascii="Arial" w:hAnsi="Arial" w:cs="Arial"/>
      <w:sz w:val="20"/>
    </w:rPr>
  </w:style>
  <w:style w:type="paragraph" w:styleId="1268">
    <w:name w:val="小四 段落 宋体"/>
    <w:basedOn w:val="795"/>
    <w:next w:val="1268"/>
    <w:link w:val="770"/>
    <w:qFormat/>
    <w:pPr>
      <w:ind w:left="113" w:right="113" w:firstLine="425"/>
      <w:jc w:val="left"/>
      <w:spacing w:line="360" w:lineRule="auto"/>
      <w:tabs>
        <w:tab w:val="clear" w:pos="2952" w:leader="none"/>
      </w:tabs>
    </w:pPr>
    <w:rPr>
      <w:sz w:val="24"/>
    </w:rPr>
  </w:style>
  <w:style w:type="paragraph" w:styleId="1269">
    <w:name w:val="Char Char1 Char Char Char Char1 Char Char Char Char Char Char"/>
    <w:basedOn w:val="770"/>
    <w:next w:val="1269"/>
    <w:link w:val="770"/>
    <w:qFormat/>
    <w:rPr>
      <w:rFonts w:ascii="Tahoma" w:hAnsi="Tahoma"/>
      <w:sz w:val="24"/>
    </w:rPr>
  </w:style>
  <w:style w:type="paragraph" w:styleId="1270">
    <w:name w:val="font8"/>
    <w:basedOn w:val="770"/>
    <w:next w:val="1270"/>
    <w:link w:val="770"/>
    <w:qFormat/>
    <w:pPr>
      <w:jc w:val="left"/>
      <w:spacing w:before="100" w:beforeAutospacing="1" w:after="100" w:afterAutospacing="1"/>
      <w:widowControl/>
    </w:pPr>
    <w:rPr>
      <w:rFonts w:ascii="宋体" w:hAnsi="宋体" w:cs="宋体"/>
      <w:b/>
      <w:bCs/>
      <w:i/>
      <w:iCs/>
      <w:sz w:val="20"/>
    </w:rPr>
  </w:style>
  <w:style w:type="paragraph" w:styleId="1271">
    <w:name w:val="表格内文字"/>
    <w:basedOn w:val="770"/>
    <w:next w:val="1271"/>
    <w:link w:val="770"/>
    <w:qFormat/>
    <w:pPr>
      <w:spacing w:line="300" w:lineRule="atLeast"/>
    </w:pPr>
    <w:rPr>
      <w:sz w:val="18"/>
      <w:szCs w:val="24"/>
    </w:rPr>
  </w:style>
  <w:style w:type="paragraph" w:styleId="1272">
    <w:name w:val="_Style 1"/>
    <w:basedOn w:val="806"/>
    <w:next w:val="852"/>
    <w:link w:val="770"/>
    <w:qFormat/>
    <w:pPr>
      <w:ind w:firstLine="420"/>
      <w:spacing w:line="360" w:lineRule="auto"/>
    </w:pPr>
    <w:rPr>
      <w:rFonts w:ascii="Calibri" w:hAnsi="Calibri" w:eastAsia="宋体"/>
      <w:sz w:val="24"/>
    </w:rPr>
  </w:style>
  <w:style w:type="paragraph" w:styleId="1273">
    <w:name w:val="xl31"/>
    <w:basedOn w:val="770"/>
    <w:next w:val="1273"/>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74">
    <w:name w:val="标题4，章节第四层"/>
    <w:basedOn w:val="770"/>
    <w:next w:val="770"/>
    <w:link w:val="770"/>
    <w:qFormat/>
    <w:pPr>
      <w:spacing w:line="360" w:lineRule="auto"/>
      <w:tabs>
        <w:tab w:val="left" w:pos="0" w:leader="none"/>
      </w:tabs>
      <w:outlineLvl w:val="3"/>
    </w:pPr>
    <w:rPr>
      <w:rFonts w:ascii="宋体" w:hAnsi="宋体"/>
      <w:b/>
      <w:sz w:val="24"/>
      <w:szCs w:val="24"/>
    </w:rPr>
  </w:style>
  <w:style w:type="paragraph" w:styleId="1275">
    <w:name w:val="xl54"/>
    <w:basedOn w:val="770"/>
    <w:next w:val="1275"/>
    <w:link w:val="7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76">
    <w:name w:val="正文 + 宋体"/>
    <w:basedOn w:val="770"/>
    <w:next w:val="1276"/>
    <w:link w:val="770"/>
    <w:qFormat/>
    <w:pPr>
      <w:ind w:firstLine="420"/>
      <w:spacing w:line="360" w:lineRule="auto"/>
    </w:pPr>
    <w:rPr>
      <w:szCs w:val="24"/>
    </w:rPr>
  </w:style>
  <w:style w:type="paragraph" w:styleId="1277">
    <w:name w:val="Char Char Char Char Char Char Char Char Char Char Char1 Char Char Char1"/>
    <w:basedOn w:val="770"/>
    <w:next w:val="1277"/>
    <w:link w:val="770"/>
    <w:semiHidden/>
    <w:qFormat/>
    <w:pPr>
      <w:ind w:firstLine="200"/>
      <w:jc w:val="left"/>
    </w:pPr>
    <w:rPr>
      <w:rFonts w:ascii="Tahoma" w:hAnsi="Tahoma"/>
      <w:sz w:val="24"/>
      <w:szCs w:val="24"/>
    </w:rPr>
  </w:style>
  <w:style w:type="paragraph" w:styleId="1278">
    <w:name w:val="flType"/>
    <w:basedOn w:val="1212"/>
    <w:next w:val="1278"/>
    <w:link w:val="770"/>
    <w:qFormat/>
    <w:pPr>
      <w:spacing w:after="284"/>
    </w:pPr>
    <w:rPr>
      <w:rFonts w:eastAsia="宋体"/>
      <w:b w:val="0"/>
    </w:rPr>
  </w:style>
  <w:style w:type="paragraph" w:styleId="1279">
    <w:name w:val="正文--表格内正文"/>
    <w:basedOn w:val="770"/>
    <w:next w:val="1279"/>
    <w:link w:val="770"/>
    <w:qFormat/>
    <w:pPr>
      <w:jc w:val="center"/>
      <w:spacing w:before="156" w:line="0" w:lineRule="atLeast"/>
    </w:pPr>
    <w:rPr>
      <w:rFonts w:ascii="宋体" w:hAnsi="宋体"/>
      <w:color w:val="000000"/>
      <w:sz w:val="24"/>
      <w:szCs w:val="24"/>
    </w:rPr>
  </w:style>
  <w:style w:type="paragraph" w:styleId="1280">
    <w:name w:val="小四 段落 宋体 Char Char Char"/>
    <w:basedOn w:val="795"/>
    <w:next w:val="1280"/>
    <w:link w:val="770"/>
    <w:qFormat/>
    <w:pPr>
      <w:ind w:left="0" w:right="-33" w:firstLine="545"/>
      <w:jc w:val="left"/>
      <w:spacing w:line="360" w:lineRule="auto"/>
      <w:tabs>
        <w:tab w:val="clear" w:pos="2952" w:leader="none"/>
      </w:tabs>
    </w:pPr>
    <w:rPr>
      <w:sz w:val="24"/>
    </w:rPr>
  </w:style>
  <w:style w:type="paragraph" w:styleId="1281">
    <w:name w:val="a"/>
    <w:basedOn w:val="770"/>
    <w:next w:val="1281"/>
    <w:link w:val="770"/>
    <w:qFormat/>
    <w:pPr>
      <w:spacing w:before="100" w:beforeAutospacing="1" w:after="100" w:afterAutospacing="1"/>
      <w:widowControl/>
    </w:pPr>
    <w:rPr>
      <w:rFonts w:ascii="宋体" w:hAnsi="宋体" w:cs="宋体"/>
      <w:sz w:val="24"/>
      <w:szCs w:val="24"/>
    </w:rPr>
  </w:style>
  <w:style w:type="paragraph" w:styleId="1282">
    <w:name w:val="font10"/>
    <w:basedOn w:val="770"/>
    <w:next w:val="1282"/>
    <w:link w:val="77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83">
    <w:name w:val="Char Char Char Char Char Char Char Char Char Char Char Char Char Char Char Char Char Char Char Char Char Char Char1"/>
    <w:basedOn w:val="770"/>
    <w:next w:val="1283"/>
    <w:link w:val="770"/>
    <w:qFormat/>
    <w:rPr>
      <w:rFonts w:ascii="Tahoma" w:hAnsi="Tahoma" w:cs="Tahoma"/>
      <w:sz w:val="24"/>
    </w:rPr>
  </w:style>
  <w:style w:type="paragraph" w:styleId="1284">
    <w:name w:val="样式 标题 3H3sect1.2.3BOD 0Heading 3 - oldh3l3CTLevel 3 Head..."/>
    <w:basedOn w:val="773"/>
    <w:next w:val="1284"/>
    <w:link w:val="770"/>
    <w:qFormat/>
    <w:pPr>
      <w:jc w:val="left"/>
      <w:spacing w:before="156" w:after="156"/>
    </w:pPr>
    <w:rPr>
      <w:rFonts w:cs="宋体"/>
      <w:bCs/>
      <w:sz w:val="30"/>
    </w:rPr>
  </w:style>
  <w:style w:type="paragraph" w:styleId="1285">
    <w:name w:val="正文文本 New New"/>
    <w:basedOn w:val="770"/>
    <w:next w:val="1285"/>
    <w:link w:val="770"/>
    <w:qFormat/>
    <w:pPr>
      <w:ind w:firstLine="200"/>
      <w:spacing w:before="60" w:after="60" w:line="360" w:lineRule="auto"/>
      <w:widowControl/>
    </w:pPr>
    <w:rPr>
      <w:rFonts w:eastAsia="华文楷体"/>
      <w:sz w:val="24"/>
      <w:szCs w:val="24"/>
    </w:rPr>
  </w:style>
  <w:style w:type="paragraph" w:styleId="1286">
    <w:name w:val="xl51"/>
    <w:basedOn w:val="770"/>
    <w:next w:val="1286"/>
    <w:link w:val="77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87">
    <w:name w:val="p0"/>
    <w:basedOn w:val="770"/>
    <w:next w:val="1287"/>
    <w:link w:val="770"/>
    <w:qFormat/>
    <w:pPr>
      <w:jc w:val="left"/>
      <w:spacing w:before="100" w:beforeAutospacing="1" w:after="100" w:afterAutospacing="1"/>
      <w:widowControl/>
    </w:pPr>
    <w:rPr>
      <w:rFonts w:ascii="宋体" w:hAnsi="宋体" w:cs="宋体"/>
      <w:sz w:val="24"/>
      <w:szCs w:val="24"/>
    </w:rPr>
  </w:style>
  <w:style w:type="paragraph" w:styleId="1288">
    <w:name w:val="正文文本缩进1"/>
    <w:basedOn w:val="770"/>
    <w:next w:val="1288"/>
    <w:link w:val="770"/>
    <w:qFormat/>
    <w:pPr>
      <w:ind w:left="420"/>
      <w:spacing w:after="120"/>
    </w:pPr>
    <w:rPr>
      <w:szCs w:val="24"/>
    </w:rPr>
  </w:style>
  <w:style w:type="paragraph" w:styleId="1289">
    <w:name w:val="标题5，章节第五层"/>
    <w:basedOn w:val="770"/>
    <w:next w:val="770"/>
    <w:link w:val="77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0">
    <w:name w:val="表格文字"/>
    <w:basedOn w:val="770"/>
    <w:next w:val="1290"/>
    <w:link w:val="770"/>
    <w:qFormat/>
    <w:pPr>
      <w:ind w:firstLine="200"/>
      <w:jc w:val="left"/>
      <w:spacing w:line="360" w:lineRule="auto"/>
    </w:pPr>
    <w:rPr>
      <w:rFonts w:ascii="Arial" w:hAnsi="Arial"/>
      <w:sz w:val="24"/>
    </w:rPr>
  </w:style>
  <w:style w:type="paragraph" w:styleId="1291">
    <w:name w:val="项目符号：一级"/>
    <w:basedOn w:val="1159"/>
    <w:next w:val="1159"/>
    <w:link w:val="770"/>
    <w:qFormat/>
    <w:pPr>
      <w:ind w:right="-134"/>
    </w:pPr>
    <w:rPr>
      <w:bCs w:val="0"/>
    </w:rPr>
  </w:style>
  <w:style w:type="paragraph" w:styleId="1292">
    <w:name w:val="Char Char Char Char Char1"/>
    <w:basedOn w:val="770"/>
    <w:next w:val="1292"/>
    <w:link w:val="770"/>
    <w:qFormat/>
    <w:rPr>
      <w:rFonts w:ascii="Tahoma" w:hAnsi="Tahoma" w:cs="Tahoma"/>
      <w:sz w:val="24"/>
    </w:rPr>
  </w:style>
  <w:style w:type="paragraph" w:styleId="1293">
    <w:name w:val="符号与编号"/>
    <w:basedOn w:val="770"/>
    <w:next w:val="1293"/>
    <w:link w:val="770"/>
    <w:qFormat/>
    <w:pPr>
      <w:ind w:left="900" w:hanging="420"/>
      <w:spacing w:after="156" w:line="400" w:lineRule="atLeast"/>
      <w:tabs>
        <w:tab w:val="left" w:pos="900" w:leader="none"/>
      </w:tabs>
    </w:pPr>
    <w:rPr>
      <w:sz w:val="24"/>
      <w:szCs w:val="24"/>
    </w:rPr>
  </w:style>
  <w:style w:type="paragraph" w:styleId="1294">
    <w:name w:val="font11"/>
    <w:basedOn w:val="770"/>
    <w:next w:val="1294"/>
    <w:link w:val="770"/>
    <w:qFormat/>
    <w:pPr>
      <w:jc w:val="left"/>
      <w:spacing w:before="100" w:beforeAutospacing="1" w:after="100" w:afterAutospacing="1"/>
      <w:widowControl/>
    </w:pPr>
    <w:rPr>
      <w:b/>
      <w:bCs/>
      <w:sz w:val="18"/>
      <w:szCs w:val="18"/>
    </w:rPr>
  </w:style>
  <w:style w:type="paragraph" w:styleId="1295">
    <w:name w:val="普通文字"/>
    <w:basedOn w:val="770"/>
    <w:next w:val="770"/>
    <w:link w:val="770"/>
    <w:qFormat/>
    <w:rPr>
      <w:rFonts w:ascii="宋体" w:hAnsi="宋体" w:cs="宋体"/>
      <w:sz w:val="24"/>
    </w:rPr>
  </w:style>
  <w:style w:type="paragraph" w:styleId="1296">
    <w:name w:val="论文正文"/>
    <w:basedOn w:val="817"/>
    <w:next w:val="1296"/>
    <w:link w:val="770"/>
    <w:qFormat/>
    <w:pPr>
      <w:ind w:left="0" w:firstLine="200"/>
      <w:jc w:val="left"/>
      <w:spacing w:line="360" w:lineRule="auto"/>
    </w:pPr>
    <w:rPr>
      <w:rFonts w:ascii="Times New Roman" w:hAnsi="Times New Roman"/>
      <w:sz w:val="28"/>
      <w:szCs w:val="24"/>
    </w:rPr>
  </w:style>
  <w:style w:type="paragraph" w:styleId="1297">
    <w:name w:val="Revision"/>
    <w:next w:val="1297"/>
    <w:link w:val="770"/>
    <w:semiHidden/>
    <w:qFormat/>
    <w:rPr>
      <w:sz w:val="21"/>
      <w:szCs w:val="24"/>
      <w:lang w:val="en-US" w:eastAsia="zh-CN" w:bidi="ar-SA"/>
    </w:rPr>
  </w:style>
  <w:style w:type="paragraph" w:styleId="1298">
    <w:name w:val="Char Char Char Char Char Char Char Char Char Char Char Char Char Char Char Char Char Char Char Char Char1"/>
    <w:basedOn w:val="770"/>
    <w:next w:val="1298"/>
    <w:link w:val="770"/>
    <w:qFormat/>
    <w:rPr>
      <w:rFonts w:ascii="Tahoma" w:hAnsi="Tahoma"/>
      <w:sz w:val="24"/>
    </w:rPr>
  </w:style>
  <w:style w:type="paragraph" w:styleId="1299">
    <w:name w:val="Table Text Char"/>
    <w:next w:val="1299"/>
    <w:link w:val="770"/>
    <w:qFormat/>
    <w:pPr>
      <w:spacing w:before="80" w:after="80"/>
    </w:pPr>
    <w:rPr>
      <w:rFonts w:ascii="Arial" w:hAnsi="Arial" w:cs="Arial"/>
      <w:sz w:val="18"/>
      <w:szCs w:val="28"/>
      <w:lang w:val="en-US" w:eastAsia="zh-CN" w:bidi="ar-SA"/>
    </w:rPr>
  </w:style>
  <w:style w:type="paragraph" w:styleId="1300">
    <w:name w:val="Char Char1 Char1"/>
    <w:basedOn w:val="770"/>
    <w:next w:val="1300"/>
    <w:link w:val="770"/>
    <w:qFormat/>
    <w:pPr>
      <w:jc w:val="left"/>
      <w:spacing w:after="160" w:line="240" w:lineRule="exact"/>
      <w:widowControl/>
    </w:pPr>
    <w:rPr>
      <w:rFonts w:ascii="Verdana" w:hAnsi="Verdana"/>
      <w:sz w:val="20"/>
      <w:lang w:eastAsia="en-US"/>
    </w:rPr>
  </w:style>
  <w:style w:type="paragraph" w:styleId="1301">
    <w:name w:val="条1"/>
    <w:basedOn w:val="770"/>
    <w:next w:val="1301"/>
    <w:link w:val="770"/>
    <w:qFormat/>
    <w:pPr>
      <w:ind w:left="780" w:hanging="360"/>
      <w:spacing w:before="156" w:line="360" w:lineRule="auto"/>
      <w:tabs>
        <w:tab w:val="left" w:pos="780" w:leader="none"/>
      </w:tabs>
    </w:pPr>
    <w:rPr>
      <w:rFonts w:eastAsia="黑体"/>
      <w:sz w:val="24"/>
    </w:rPr>
  </w:style>
  <w:style w:type="paragraph" w:styleId="1302">
    <w:name w:val="Char Char Char Char Char Char Char1"/>
    <w:basedOn w:val="770"/>
    <w:next w:val="1302"/>
    <w:link w:val="770"/>
    <w:qFormat/>
    <w:pPr>
      <w:jc w:val="left"/>
    </w:pPr>
    <w:rPr>
      <w:rFonts w:ascii="Tahoma" w:hAnsi="Tahoma"/>
      <w:sz w:val="24"/>
    </w:rPr>
  </w:style>
  <w:style w:type="paragraph" w:styleId="1303">
    <w:name w:val="正文 New New New New New New New New New New New New New New"/>
    <w:next w:val="1303"/>
    <w:link w:val="770"/>
    <w:qFormat/>
    <w:pPr>
      <w:jc w:val="both"/>
      <w:widowControl w:val="off"/>
    </w:pPr>
    <w:rPr>
      <w:rFonts w:hint="eastAsia"/>
      <w:sz w:val="21"/>
      <w:lang w:val="en-US" w:eastAsia="zh-CN" w:bidi="ar-SA"/>
    </w:rPr>
  </w:style>
  <w:style w:type="paragraph" w:styleId="1304">
    <w:name w:val="方案正文"/>
    <w:basedOn w:val="770"/>
    <w:next w:val="1304"/>
    <w:link w:val="770"/>
    <w:qFormat/>
    <w:pPr>
      <w:ind w:firstLine="359"/>
      <w:jc w:val="left"/>
      <w:spacing w:before="156" w:line="360" w:lineRule="auto"/>
    </w:pPr>
    <w:rPr>
      <w:rFonts w:ascii="Arial" w:hAnsi="Arial" w:cs="宋体"/>
      <w:sz w:val="24"/>
      <w:szCs w:val="21"/>
    </w:rPr>
  </w:style>
  <w:style w:type="paragraph" w:styleId="1305">
    <w:name w:val="章标题"/>
    <w:next w:val="1152"/>
    <w:link w:val="770"/>
    <w:qFormat/>
    <w:pPr>
      <w:jc w:val="both"/>
      <w:spacing w:before="156" w:after="156"/>
      <w:outlineLvl w:val="1"/>
    </w:pPr>
    <w:rPr>
      <w:rFonts w:eastAsia="黑体"/>
      <w:sz w:val="21"/>
      <w:lang w:val="en-US" w:eastAsia="zh-CN" w:bidi="ar-SA"/>
    </w:rPr>
  </w:style>
  <w:style w:type="paragraph" w:styleId="1306">
    <w:name w:val="xl32"/>
    <w:basedOn w:val="770"/>
    <w:next w:val="1306"/>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7">
    <w:name w:val="项目符号，二级"/>
    <w:basedOn w:val="1159"/>
    <w:next w:val="1159"/>
    <w:link w:val="770"/>
    <w:qFormat/>
    <w:pPr>
      <w:ind w:left="1337" w:right="-27" w:firstLine="480"/>
      <w:tabs>
        <w:tab w:val="left" w:pos="567" w:leader="none"/>
        <w:tab w:val="left" w:pos="1211" w:leader="none"/>
        <w:tab w:val="left" w:pos="1337" w:leader="none"/>
      </w:tabs>
    </w:pPr>
    <w:rPr>
      <w:bCs w:val="0"/>
      <w:color w:val="000000"/>
      <w:sz w:val="24"/>
      <w:szCs w:val="24"/>
    </w:rPr>
  </w:style>
  <w:style w:type="paragraph" w:styleId="1308">
    <w:name w:val="xl55"/>
    <w:basedOn w:val="770"/>
    <w:next w:val="1308"/>
    <w:link w:val="77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09">
    <w:name w:val="Normal0"/>
    <w:basedOn w:val="770"/>
    <w:next w:val="1309"/>
    <w:link w:val="770"/>
    <w:qFormat/>
    <w:rPr>
      <w:rFonts w:ascii="Calibri" w:hAnsi="Calibri" w:eastAsia="Calibri" w:cs="宋体"/>
      <w:lang w:val="zh-CN"/>
    </w:rPr>
  </w:style>
  <w:style w:type="paragraph" w:styleId="1310">
    <w:name w:val="正文（文本）"/>
    <w:next w:val="1310"/>
    <w:link w:val="770"/>
    <w:qFormat/>
    <w:pPr>
      <w:jc w:val="center"/>
      <w:spacing w:line="360" w:lineRule="auto"/>
      <w:widowControl w:val="off"/>
    </w:pPr>
    <w:rPr>
      <w:rFonts w:hAnsi="宋体"/>
      <w:sz w:val="28"/>
      <w:szCs w:val="28"/>
      <w:lang w:val="en-US" w:eastAsia="zh-CN" w:bidi="ar-SA"/>
    </w:rPr>
  </w:style>
  <w:style w:type="paragraph" w:styleId="1311">
    <w:name w:val="xl28"/>
    <w:basedOn w:val="770"/>
    <w:next w:val="1311"/>
    <w:link w:val="7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2">
    <w:name w:val="样式4 Char"/>
    <w:basedOn w:val="770"/>
    <w:next w:val="1312"/>
    <w:link w:val="770"/>
    <w:qFormat/>
    <w:pPr>
      <w:ind w:firstLine="480"/>
      <w:jc w:val="left"/>
      <w:spacing w:line="360" w:lineRule="auto"/>
      <w:widowControl/>
    </w:pPr>
    <w:rPr>
      <w:rFonts w:cs="宋体"/>
      <w:color w:val="000000"/>
      <w:sz w:val="24"/>
      <w:szCs w:val="24"/>
    </w:rPr>
  </w:style>
  <w:style w:type="paragraph" w:styleId="1313">
    <w:name w:val="Char11"/>
    <w:basedOn w:val="770"/>
    <w:next w:val="1313"/>
    <w:link w:val="770"/>
    <w:qFormat/>
    <w:rPr>
      <w:rFonts w:ascii="方正仿宋_GB2312" w:hAnsi="宋体" w:eastAsia="方正仿宋_GB2312" w:cs="宋体"/>
      <w:b/>
      <w:sz w:val="32"/>
      <w:szCs w:val="32"/>
    </w:rPr>
  </w:style>
  <w:style w:type="paragraph" w:styleId="1314">
    <w:name w:val="表格内容"/>
    <w:basedOn w:val="770"/>
    <w:next w:val="1314"/>
    <w:link w:val="770"/>
    <w:qFormat/>
    <w:pPr>
      <w:jc w:val="center"/>
      <w:spacing w:before="60" w:line="300" w:lineRule="auto"/>
      <w:widowControl/>
    </w:pPr>
  </w:style>
  <w:style w:type="paragraph" w:styleId="1315">
    <w:name w:val="xl26"/>
    <w:basedOn w:val="770"/>
    <w:next w:val="1315"/>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16">
    <w:name w:val="Char Char Char1"/>
    <w:basedOn w:val="798"/>
    <w:next w:val="1316"/>
    <w:link w:val="770"/>
    <w:qFormat/>
    <w:pPr>
      <w:spacing w:line="436" w:lineRule="exact"/>
    </w:pPr>
    <w:rPr>
      <w:szCs w:val="24"/>
    </w:rPr>
  </w:style>
  <w:style w:type="paragraph" w:styleId="1317">
    <w:name w:val="xl58"/>
    <w:basedOn w:val="770"/>
    <w:next w:val="1317"/>
    <w:link w:val="77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18">
    <w:name w:val="Body Text 21"/>
    <w:basedOn w:val="770"/>
    <w:next w:val="1318"/>
    <w:link w:val="770"/>
    <w:qFormat/>
    <w:pPr>
      <w:ind w:left="720" w:hanging="720"/>
      <w:widowControl/>
    </w:pPr>
    <w:rPr>
      <w:sz w:val="24"/>
      <w:lang w:val="en-GB"/>
    </w:rPr>
  </w:style>
  <w:style w:type="paragraph" w:styleId="1319">
    <w:name w:val="Char Char3"/>
    <w:basedOn w:val="770"/>
    <w:next w:val="1319"/>
    <w:link w:val="770"/>
    <w:qFormat/>
    <w:rPr>
      <w:rFonts w:ascii="Tahoma" w:hAnsi="Tahoma"/>
      <w:sz w:val="24"/>
    </w:rPr>
  </w:style>
  <w:style w:type="paragraph" w:styleId="1320">
    <w:name w:val="reader-word-layer"/>
    <w:basedOn w:val="770"/>
    <w:next w:val="1320"/>
    <w:link w:val="770"/>
    <w:uiPriority w:val="99"/>
    <w:qFormat/>
    <w:pPr>
      <w:jc w:val="left"/>
      <w:spacing w:before="100" w:beforeAutospacing="1" w:after="100" w:afterAutospacing="1"/>
      <w:widowControl/>
    </w:pPr>
    <w:rPr>
      <w:rFonts w:ascii="宋体" w:hAnsi="宋体" w:cs="宋体"/>
      <w:sz w:val="24"/>
      <w:szCs w:val="24"/>
    </w:rPr>
  </w:style>
  <w:style w:type="paragraph" w:styleId="1321">
    <w:name w:val="xl24"/>
    <w:basedOn w:val="770"/>
    <w:next w:val="1321"/>
    <w:link w:val="7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22">
    <w:name w:val="font31"/>
    <w:next w:val="1322"/>
    <w:link w:val="770"/>
    <w:qFormat/>
    <w:rPr>
      <w:rFonts w:ascii="等线" w:hAnsi="等线" w:eastAsia="等线" w:cs="等线"/>
      <w:color w:val="000000"/>
      <w:sz w:val="21"/>
      <w:szCs w:val="21"/>
      <w:u w:val="none"/>
    </w:rPr>
  </w:style>
  <w:style w:type="character" w:styleId="1323">
    <w:name w:val="NormalCharacter1"/>
    <w:next w:val="1323"/>
    <w:link w:val="770"/>
    <w:semiHidden/>
    <w:qFormat/>
  </w:style>
  <w:style w:type="character" w:styleId="1324">
    <w:name w:val="font51"/>
    <w:next w:val="1324"/>
    <w:link w:val="770"/>
    <w:qFormat/>
    <w:rPr>
      <w:rFonts w:hint="eastAsia" w:ascii="宋体" w:hAnsi="宋体" w:eastAsia="宋体" w:cs="宋体"/>
      <w:color w:val="ff0000"/>
      <w:sz w:val="22"/>
      <w:szCs w:val="22"/>
      <w:u w:val="none"/>
    </w:rPr>
  </w:style>
  <w:style w:type="table" w:styleId="1325">
    <w:name w:val="Normal Table0"/>
    <w:next w:val="1325"/>
    <w:link w:val="770"/>
    <w:uiPriority w:val="2"/>
    <w:unhideWhenUsed/>
    <w:qFormat/>
    <w:pPr>
      <w:widowControl w:val="off"/>
    </w:pPr>
    <w:rPr>
      <w:sz w:val="22"/>
      <w:szCs w:val="22"/>
      <w:lang w:val="en-US" w:eastAsia="en-US" w:bidi="ar-SA"/>
    </w:rPr>
    <w:tblPr/>
  </w:style>
  <w:style w:type="paragraph" w:styleId="1326">
    <w:name w:val="二级标题"/>
    <w:next w:val="770"/>
    <w:link w:val="770"/>
    <w:qFormat/>
    <w:pPr>
      <w:numPr>
        <w:ilvl w:val="1"/>
        <w:numId w:val="5"/>
      </w:numPr>
      <w:spacing w:line="360" w:lineRule="auto"/>
      <w:outlineLvl w:val="1"/>
    </w:pPr>
    <w:rPr>
      <w:rFonts w:ascii="宋体" w:hAnsi="宋体" w:cs="宋体"/>
      <w:b/>
      <w:bCs/>
      <w:sz w:val="28"/>
      <w:szCs w:val="30"/>
      <w:lang w:val="en-US" w:eastAsia="zh-CN" w:bidi="ar-SA"/>
    </w:rPr>
  </w:style>
  <w:style w:type="paragraph" w:styleId="1327">
    <w:name w:val="三级标题"/>
    <w:next w:val="770"/>
    <w:link w:val="770"/>
    <w:qFormat/>
    <w:pPr>
      <w:numPr>
        <w:ilvl w:val="2"/>
        <w:numId w:val="5"/>
      </w:numPr>
      <w:spacing w:line="360" w:lineRule="auto"/>
      <w:outlineLvl w:val="2"/>
    </w:pPr>
    <w:rPr>
      <w:rFonts w:ascii="宋体" w:hAnsi="宋体" w:cs="宋体"/>
      <w:bCs/>
      <w:sz w:val="21"/>
      <w:szCs w:val="30"/>
      <w:lang w:val="en-US" w:eastAsia="zh-CN" w:bidi="ar-SA"/>
    </w:rPr>
  </w:style>
  <w:style w:type="paragraph" w:styleId="1328">
    <w:name w:val="四级标题"/>
    <w:next w:val="770"/>
    <w:link w:val="770"/>
    <w:qFormat/>
    <w:pPr>
      <w:numPr>
        <w:ilvl w:val="3"/>
        <w:numId w:val="5"/>
      </w:numPr>
      <w:spacing w:line="360" w:lineRule="auto"/>
      <w:outlineLvl w:val="3"/>
    </w:pPr>
    <w:rPr>
      <w:rFonts w:ascii="宋体" w:hAnsi="宋体" w:cs="宋体"/>
      <w:bCs/>
      <w:sz w:val="21"/>
      <w:szCs w:val="30"/>
      <w:lang w:val="en-US" w:eastAsia="zh-CN" w:bidi="ar-SA"/>
    </w:rPr>
  </w:style>
  <w:style w:type="paragraph" w:styleId="1329">
    <w:name w:val="msonormal"/>
    <w:basedOn w:val="770"/>
    <w:next w:val="1329"/>
    <w:link w:val="770"/>
    <w:qFormat/>
    <w:pPr>
      <w:jc w:val="left"/>
      <w:spacing w:before="100" w:beforeAutospacing="1" w:after="100" w:afterAutospacing="1"/>
      <w:widowControl/>
    </w:pPr>
    <w:rPr>
      <w:rFonts w:ascii="宋体" w:hAnsi="宋体" w:cs="宋体"/>
      <w:sz w:val="24"/>
      <w:szCs w:val="24"/>
    </w:rPr>
  </w:style>
  <w:style w:type="paragraph" w:styleId="1330">
    <w:name w:val="xl71"/>
    <w:basedOn w:val="770"/>
    <w:next w:val="1330"/>
    <w:link w:val="770"/>
    <w:qFormat/>
    <w:pPr>
      <w:jc w:val="left"/>
      <w:spacing w:before="100" w:beforeAutospacing="1" w:after="100" w:afterAutospacing="1"/>
      <w:widowControl/>
    </w:pPr>
    <w:rPr>
      <w:rFonts w:ascii="宋体" w:hAnsi="宋体" w:cs="宋体"/>
      <w:sz w:val="24"/>
      <w:szCs w:val="24"/>
    </w:rPr>
  </w:style>
  <w:style w:type="paragraph" w:styleId="1331">
    <w:name w:val="xl72"/>
    <w:basedOn w:val="770"/>
    <w:next w:val="1331"/>
    <w:link w:val="770"/>
    <w:qFormat/>
    <w:pPr>
      <w:jc w:val="center"/>
      <w:spacing w:before="100" w:beforeAutospacing="1" w:after="100" w:afterAutospacing="1"/>
      <w:widowControl/>
    </w:pPr>
    <w:rPr>
      <w:rFonts w:ascii="宋体" w:hAnsi="宋体" w:cs="宋体"/>
      <w:sz w:val="24"/>
      <w:szCs w:val="24"/>
    </w:rPr>
  </w:style>
  <w:style w:type="paragraph" w:styleId="1332">
    <w:name w:val="xl73"/>
    <w:basedOn w:val="770"/>
    <w:next w:val="1332"/>
    <w:link w:val="770"/>
    <w:qFormat/>
    <w:pPr>
      <w:jc w:val="center"/>
      <w:spacing w:before="100" w:beforeAutospacing="1" w:after="100" w:afterAutospacing="1"/>
      <w:widowControl/>
    </w:pPr>
    <w:rPr>
      <w:rFonts w:ascii="宋体" w:hAnsi="宋体" w:cs="宋体"/>
      <w:sz w:val="24"/>
      <w:szCs w:val="24"/>
    </w:rPr>
  </w:style>
  <w:style w:type="paragraph" w:styleId="1333">
    <w:name w:val="xl74"/>
    <w:basedOn w:val="770"/>
    <w:next w:val="1333"/>
    <w:link w:val="770"/>
    <w:qFormat/>
    <w:pPr>
      <w:jc w:val="center"/>
      <w:spacing w:before="100" w:beforeAutospacing="1" w:after="100" w:afterAutospacing="1"/>
      <w:widowControl/>
    </w:pPr>
    <w:rPr>
      <w:rFonts w:ascii="宋体" w:hAnsi="宋体" w:cs="宋体"/>
      <w:sz w:val="20"/>
    </w:rPr>
  </w:style>
  <w:style w:type="paragraph" w:styleId="1334">
    <w:name w:val="xl75"/>
    <w:basedOn w:val="770"/>
    <w:next w:val="1334"/>
    <w:link w:val="7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5">
    <w:name w:val="xl76"/>
    <w:basedOn w:val="770"/>
    <w:next w:val="1335"/>
    <w:link w:val="7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6">
    <w:name w:val="xl77"/>
    <w:basedOn w:val="770"/>
    <w:next w:val="1336"/>
    <w:link w:val="7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7">
    <w:name w:val="xl78"/>
    <w:basedOn w:val="770"/>
    <w:next w:val="1337"/>
    <w:link w:val="7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8">
    <w:name w:val="xl79"/>
    <w:basedOn w:val="770"/>
    <w:next w:val="1338"/>
    <w:link w:val="770"/>
    <w:qFormat/>
    <w:pPr>
      <w:jc w:val="center"/>
      <w:spacing w:before="100" w:beforeAutospacing="1" w:after="100" w:afterAutospacing="1"/>
      <w:shd w:val="clear" w:color="000000" w:fill="ffffff"/>
      <w:widowControl/>
    </w:pPr>
    <w:rPr>
      <w:rFonts w:ascii="宋体" w:hAnsi="宋体" w:cs="宋体"/>
      <w:sz w:val="20"/>
    </w:rPr>
  </w:style>
  <w:style w:type="paragraph" w:styleId="1339">
    <w:name w:val="xl80"/>
    <w:basedOn w:val="770"/>
    <w:next w:val="1339"/>
    <w:link w:val="7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0">
    <w:name w:val="xl81"/>
    <w:basedOn w:val="770"/>
    <w:next w:val="1340"/>
    <w:link w:val="7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1">
    <w:name w:val="xl82"/>
    <w:basedOn w:val="770"/>
    <w:next w:val="1341"/>
    <w:link w:val="77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2">
    <w:name w:val="xl83"/>
    <w:basedOn w:val="770"/>
    <w:next w:val="1342"/>
    <w:link w:val="7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3">
    <w:name w:val="xl84"/>
    <w:basedOn w:val="770"/>
    <w:next w:val="1343"/>
    <w:link w:val="7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4">
    <w:name w:val="xl85"/>
    <w:basedOn w:val="770"/>
    <w:next w:val="1344"/>
    <w:link w:val="77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5">
    <w:name w:val="纯文本11"/>
    <w:basedOn w:val="770"/>
    <w:next w:val="1345"/>
    <w:link w:val="770"/>
    <w:qFormat/>
    <w:rPr>
      <w:rFonts w:ascii="宋体" w:hAnsi="Courier New"/>
    </w:rPr>
  </w:style>
  <w:style w:type="paragraph" w:styleId="1346">
    <w:name w:val="_Style 78"/>
    <w:basedOn w:val="770"/>
    <w:next w:val="770"/>
    <w:link w:val="770"/>
    <w:uiPriority w:val="39"/>
    <w:qFormat/>
    <w:pPr>
      <w:ind w:left="1470"/>
      <w:jc w:val="left"/>
    </w:pPr>
    <w:rPr>
      <w:szCs w:val="21"/>
    </w:rPr>
  </w:style>
  <w:style w:type="paragraph" w:styleId="1347">
    <w:name w:val="页脚1"/>
    <w:basedOn w:val="770"/>
    <w:next w:val="1347"/>
    <w:link w:val="770"/>
    <w:qFormat/>
    <w:pPr>
      <w:jc w:val="left"/>
      <w:tabs>
        <w:tab w:val="center" w:pos="4153" w:leader="none"/>
        <w:tab w:val="right" w:pos="8306" w:leader="none"/>
      </w:tabs>
    </w:pPr>
    <w:rPr>
      <w:sz w:val="18"/>
      <w:szCs w:val="18"/>
    </w:rPr>
  </w:style>
  <w:style w:type="character" w:styleId="1348">
    <w:name w:val="font61"/>
    <w:next w:val="1348"/>
    <w:link w:val="770"/>
    <w:qFormat/>
    <w:rPr>
      <w:rFonts w:hint="eastAsia" w:ascii="宋体" w:hAnsi="宋体" w:eastAsia="宋体" w:cs="宋体"/>
      <w:color w:val="000000"/>
      <w:sz w:val="20"/>
      <w:szCs w:val="20"/>
      <w:u w:val="none"/>
    </w:rPr>
  </w:style>
  <w:style w:type="character" w:styleId="1349">
    <w:name w:val="font231"/>
    <w:next w:val="1349"/>
    <w:link w:val="770"/>
    <w:qFormat/>
    <w:rPr>
      <w:rFonts w:ascii="Calibri" w:hAnsi="Calibri" w:cs="Calibri"/>
      <w:color w:val="000000"/>
      <w:sz w:val="20"/>
      <w:szCs w:val="20"/>
      <w:u w:val="none"/>
    </w:rPr>
  </w:style>
  <w:style w:type="character" w:styleId="1350">
    <w:name w:val="font241"/>
    <w:next w:val="1350"/>
    <w:link w:val="770"/>
    <w:qFormat/>
    <w:rPr>
      <w:rFonts w:ascii="Calibri" w:hAnsi="Calibri" w:cs="Calibri"/>
      <w:color w:val="000000"/>
      <w:sz w:val="20"/>
      <w:szCs w:val="20"/>
      <w:u w:val="none"/>
    </w:rPr>
  </w:style>
  <w:style w:type="character" w:styleId="1351">
    <w:name w:val="font81"/>
    <w:next w:val="1351"/>
    <w:link w:val="770"/>
    <w:qFormat/>
    <w:rPr>
      <w:rFonts w:ascii="宋体" w:hAnsi="宋体" w:eastAsia="宋体" w:cs="宋体"/>
      <w:color w:val="000000"/>
      <w:sz w:val="20"/>
      <w:szCs w:val="20"/>
      <w:u w:val="none"/>
    </w:rPr>
  </w:style>
  <w:style w:type="character" w:styleId="1352">
    <w:name w:val="font251"/>
    <w:next w:val="1352"/>
    <w:link w:val="770"/>
    <w:qFormat/>
    <w:rPr>
      <w:rFonts w:ascii="宋体" w:hAnsi="宋体" w:eastAsia="宋体" w:cs="宋体"/>
      <w:b/>
      <w:bCs/>
      <w:color w:val="000000"/>
      <w:sz w:val="20"/>
      <w:szCs w:val="20"/>
      <w:u w:val="none"/>
    </w:rPr>
  </w:style>
  <w:style w:type="character" w:styleId="1353">
    <w:name w:val="font112"/>
    <w:next w:val="1353"/>
    <w:link w:val="770"/>
    <w:qFormat/>
    <w:rPr>
      <w:rFonts w:hint="eastAsia" w:ascii="宋体" w:hAnsi="宋体" w:eastAsia="宋体" w:cs="宋体"/>
      <w:b/>
      <w:bCs/>
      <w:color w:val="000000"/>
      <w:sz w:val="20"/>
      <w:szCs w:val="20"/>
      <w:u w:val="none"/>
    </w:rPr>
  </w:style>
  <w:style w:type="character" w:styleId="1354">
    <w:name w:val="font261"/>
    <w:next w:val="1354"/>
    <w:link w:val="770"/>
    <w:qFormat/>
    <w:rPr>
      <w:rFonts w:ascii="微软雅黑" w:hAnsi="微软雅黑" w:eastAsia="微软雅黑" w:cs="微软雅黑"/>
      <w:color w:val="000000"/>
      <w:sz w:val="18"/>
      <w:szCs w:val="18"/>
      <w:u w:val="none"/>
    </w:rPr>
  </w:style>
  <w:style w:type="character" w:styleId="1355">
    <w:name w:val="font271"/>
    <w:next w:val="1355"/>
    <w:link w:val="770"/>
    <w:qFormat/>
    <w:rPr>
      <w:rFonts w:ascii="Arial" w:hAnsi="Arial" w:cs="Arial"/>
      <w:color w:val="000000"/>
      <w:sz w:val="20"/>
      <w:szCs w:val="20"/>
      <w:u w:val="none"/>
    </w:rPr>
  </w:style>
  <w:style w:type="character" w:styleId="1356">
    <w:name w:val="font141"/>
    <w:next w:val="1356"/>
    <w:link w:val="770"/>
    <w:qFormat/>
    <w:rPr>
      <w:rFonts w:ascii="宋体" w:hAnsi="宋体" w:eastAsia="宋体" w:cs="宋体"/>
      <w:color w:val="000000"/>
      <w:sz w:val="20"/>
      <w:szCs w:val="20"/>
      <w:u w:val="none"/>
    </w:rPr>
  </w:style>
  <w:style w:type="character" w:styleId="1357">
    <w:name w:val="font91"/>
    <w:next w:val="1357"/>
    <w:link w:val="770"/>
    <w:qFormat/>
    <w:rPr>
      <w:rFonts w:hint="eastAsia" w:ascii="宋体" w:hAnsi="宋体" w:eastAsia="宋体" w:cs="宋体"/>
      <w:color w:val="000000"/>
      <w:sz w:val="20"/>
      <w:szCs w:val="20"/>
      <w:u w:val="none"/>
    </w:rPr>
  </w:style>
  <w:style w:type="character" w:styleId="1358">
    <w:name w:val="font281"/>
    <w:next w:val="1358"/>
    <w:link w:val="770"/>
    <w:qFormat/>
    <w:rPr>
      <w:rFonts w:ascii="Calibri" w:hAnsi="Calibri" w:cs="Calibri"/>
      <w:color w:val="000000"/>
      <w:sz w:val="20"/>
      <w:szCs w:val="20"/>
      <w:u w:val="none"/>
    </w:rPr>
  </w:style>
  <w:style w:type="paragraph" w:styleId="1359">
    <w:name w:val="正文_13"/>
    <w:basedOn w:val="770"/>
    <w:next w:val="1359"/>
    <w:link w:val="770"/>
    <w:qFormat/>
    <w:rPr>
      <w:szCs w:val="21"/>
    </w:rPr>
  </w:style>
  <w:style w:type="character" w:styleId="1360">
    <w:name w:val="font71"/>
    <w:next w:val="1360"/>
    <w:link w:val="770"/>
    <w:rPr>
      <w:rFonts w:ascii="Arial" w:hAnsi="Arial" w:cs="Arial"/>
      <w:i w:val="0"/>
      <w:iCs w:val="0"/>
      <w:color w:val="000000"/>
      <w:sz w:val="20"/>
      <w:szCs w:val="20"/>
      <w:u w:val="none"/>
    </w:rPr>
  </w:style>
  <w:style w:type="paragraph" w:styleId="1361">
    <w:name w:val="修订"/>
    <w:next w:val="1361"/>
    <w:link w:val="770"/>
    <w:uiPriority w:val="99"/>
    <w:unhideWhenUsed/>
    <w:rPr>
      <w:sz w:val="21"/>
      <w:lang w:val="en-US" w:eastAsia="zh-CN" w:bidi="ar-SA"/>
    </w:rPr>
  </w:style>
  <w:style w:type="character" w:styleId="1362" w:default="1">
    <w:name w:val="Default Paragraph Font"/>
    <w:uiPriority w:val="1"/>
    <w:semiHidden/>
    <w:unhideWhenUsed/>
  </w:style>
  <w:style w:type="numbering" w:styleId="1363" w:default="1">
    <w:name w:val="No List"/>
    <w:uiPriority w:val="99"/>
    <w:semiHidden/>
    <w:unhideWhenUsed/>
  </w:style>
  <w:style w:type="table" w:styleId="13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7</cp:revision>
  <dcterms:created xsi:type="dcterms:W3CDTF">2026-04-09T07:10:00Z</dcterms:created>
  <dcterms:modified xsi:type="dcterms:W3CDTF">2026-05-21T08:25:50Z</dcterms:modified>
</cp:coreProperties>
</file>