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2"/>
        <w:rPr>
          <w:rFonts w:hint="eastAsia"/>
        </w:rPr>
      </w:pPr>
      <w:r>
        <w:rPr>
          <w:rFonts w:hint="eastAsia"/>
        </w:rPr>
      </w:r>
      <w:r/>
    </w:p>
    <w:p>
      <w:pPr>
        <w:pStyle w:val="1003"/>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1506"/>
        <w:rPr>
          <w:rFonts w:eastAsia="宋体" w:cs="Times New Roman"/>
          <w:b/>
          <w:color w:val="000000"/>
          <w:sz w:val="30"/>
          <w:szCs w:val="30"/>
          <w:u w:val="single"/>
          <w:lang w:val="en-US" w:eastAsia="zh-CN"/>
        </w:rPr>
        <w:outlineLvl w:val="0"/>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2026年交管局机关物业 </w:t>
      </w:r>
      <w:r>
        <w:rPr>
          <w:rFonts w:eastAsia="宋体" w:cs="Times New Roman"/>
          <w:b/>
          <w:color w:val="000000"/>
          <w:sz w:val="30"/>
          <w:szCs w:val="30"/>
          <w:u w:val="single"/>
          <w:lang w:val="en-US" w:eastAsia="zh-CN"/>
        </w:rPr>
      </w:r>
      <w:r/>
    </w:p>
    <w:p>
      <w:pPr>
        <w:pStyle w:val="723"/>
        <w:ind w:firstLine="1506"/>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JSZC-320100-JZCG-G2026-0193</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3"/>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3"/>
        <w:ind w:firstLine="0"/>
        <w:jc w:val="center"/>
        <w:rPr>
          <w:rFonts w:hint="eastAsia"/>
          <w:b/>
          <w:bCs/>
          <w:sz w:val="32"/>
          <w:lang w:eastAsia="zh-CN"/>
        </w:rPr>
        <w:outlineLvl w:val="1"/>
      </w:pPr>
      <w:r>
        <w:rPr>
          <w:rFonts w:hint="eastAsia"/>
          <w:b/>
          <w:bCs/>
          <w:sz w:val="32"/>
          <w:lang w:eastAsia="zh-CN"/>
        </w:rPr>
        <w:t xml:space="preserve">南京市公共资源交易中心</w:t>
      </w:r>
      <w:r>
        <w:rPr>
          <w:rFonts w:hint="eastAsia"/>
          <w:b/>
          <w:bCs/>
          <w:sz w:val="32"/>
          <w:lang w:eastAsia="zh-CN"/>
        </w:rPr>
      </w:r>
      <w:r/>
    </w:p>
    <w:p>
      <w:pPr>
        <w:pStyle w:val="723"/>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35"/>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color w:val="000000"/>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宋体" w:hAnsi="宋体"/>
          <w:sz w:val="24"/>
          <w:szCs w:val="24"/>
        </w:rPr>
      </w:r>
      <w:r/>
    </w:p>
    <w:p>
      <w:pPr>
        <w:pStyle w:val="723"/>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南京市公安局交通管理局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2026年交管局机关物业（</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JSZC-320100-JZCG-G2026-0193 </w:t>
      </w:r>
      <w:r>
        <w:rPr>
          <w:rFonts w:ascii="宋体" w:hAnsi="宋体"/>
          <w:color w:val="000000"/>
          <w:sz w:val="24"/>
          <w:szCs w:val="24"/>
        </w:rPr>
      </w:r>
      <w:r/>
    </w:p>
    <w:p>
      <w:pPr>
        <w:pStyle w:val="723"/>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2026年交管局机关物业</w:t>
      </w:r>
      <w:r>
        <w:rPr>
          <w:rFonts w:hint="eastAsia" w:ascii="宋体" w:hAnsi="宋体" w:eastAsia="宋体"/>
          <w:color w:val="000000"/>
          <w:sz w:val="24"/>
          <w:szCs w:val="24"/>
          <w:lang w:eastAsia="zh-CN"/>
        </w:rPr>
      </w:r>
      <w:r/>
    </w:p>
    <w:p>
      <w:pPr>
        <w:pStyle w:val="723"/>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360万元</w:t>
      </w:r>
      <w:r>
        <w:rPr>
          <w:rFonts w:ascii="宋体" w:hAnsi="宋体"/>
          <w:color w:val="000000"/>
          <w:sz w:val="24"/>
          <w:szCs w:val="24"/>
        </w:rPr>
      </w:r>
      <w:r/>
    </w:p>
    <w:p>
      <w:pPr>
        <w:pStyle w:val="723"/>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最高限价：360万元</w:t>
      </w:r>
      <w:r>
        <w:rPr>
          <w:rFonts w:hint="eastAsia" w:ascii="宋体" w:hAnsi="宋体" w:eastAsia="宋体" w:cs="宋体"/>
          <w:color w:val="000000"/>
          <w:sz w:val="24"/>
          <w:szCs w:val="24"/>
          <w:highlight w:val="yellow"/>
        </w:rPr>
      </w:r>
      <w:r/>
    </w:p>
    <w:p>
      <w:pPr>
        <w:pStyle w:val="723"/>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物业服务内容包括但不限于安保、保洁、会务、工程等。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3"/>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bookmarkStart w:id="12" w:name="_Toc28359003"/>
      <w:r/>
      <w:bookmarkStart w:id="13" w:name="_Toc28359080"/>
      <w:r/>
      <w:bookmarkStart w:id="14" w:name="_Toc35393622"/>
      <w:r/>
      <w:bookmarkStart w:id="15" w:name="_Toc38985264"/>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outlineLvl w:val="2"/>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00"/>
          <w:sz w:val="24"/>
          <w:szCs w:val="24"/>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olor w:val="000000"/>
          <w:sz w:val="24"/>
          <w:szCs w:val="24"/>
          <w:lang w:val="zh-CN"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35393625"/>
      <w:r/>
      <w:bookmarkStart w:id="29" w:name="_Toc28359084"/>
      <w:r/>
      <w:bookmarkStart w:id="30" w:name="_Toc38985267"/>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rPr>
        <w:t xml:space="preserve">30日</w:t>
      </w:r>
      <w:r>
        <w:rPr>
          <w:rFonts w:hint="eastAsia" w:ascii="宋体" w:hAnsi="宋体" w:eastAsia="宋体" w:cs="宋体"/>
          <w:sz w:val="24"/>
          <w:szCs w:val="24"/>
          <w:lang w:val="en-US" w:eastAsia="zh-CN"/>
        </w:rPr>
        <w:t xml:space="preserve">14时</w:t>
      </w:r>
      <w:r>
        <w:rPr>
          <w:rFonts w:hint="eastAsia" w:ascii="宋体" w:hAnsi="宋体" w:eastAsia="宋体" w:cs="宋体"/>
          <w:sz w:val="24"/>
          <w:szCs w:val="24"/>
        </w:rPr>
        <w:t xml:space="preserve">00分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3"/>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6"/>
        <w:ind w:firstLine="372"/>
        <w:pageBreakBefore w:val="0"/>
        <w:spacing w:before="120" w:after="120" w:line="252"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采购人《质疑函》收件人：王警官，收件地址：南京市建邺区庐山路58号，联系电话：</w:t>
      </w:r>
      <w:bookmarkStart w:id="40" w:name="OLE_LINK3"/>
      <w:r>
        <w:rPr>
          <w:rFonts w:hint="eastAsia" w:ascii="宋体" w:hAnsi="宋体" w:eastAsia="宋体" w:cs="宋体"/>
          <w:b w:val="0"/>
          <w:bCs w:val="0"/>
          <w:sz w:val="24"/>
          <w:szCs w:val="24"/>
          <w:highlight w:val="none"/>
          <w:lang w:val="en-US" w:eastAsia="zh-CN"/>
        </w:rPr>
        <w:t xml:space="preserve">025-84429714</w:t>
      </w:r>
      <w:bookmarkEnd w:id="40"/>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726"/>
        <w:ind w:firstLine="372"/>
        <w:pageBreakBefore w:val="0"/>
        <w:spacing w:before="120" w:after="120" w:line="252" w:lineRule="auto"/>
        <w:widowControl w:val="off"/>
        <w:rPr>
          <w:rFonts w:hint="eastAsia" w:ascii="宋体" w:hAnsi="宋体" w:eastAsia="宋体" w:cs="宋体"/>
          <w:b w:val="0"/>
          <w:bCs w:val="0"/>
          <w:sz w:val="24"/>
          <w:szCs w:val="24"/>
          <w:highlight w:val="none"/>
          <w:lang w:val="en-US"/>
        </w:rPr>
      </w:pPr>
      <w:r>
        <w:rPr>
          <w:rFonts w:hint="eastAsia" w:ascii="宋体" w:hAnsi="宋体" w:eastAsia="宋体" w:cs="宋体"/>
          <w:b w:val="0"/>
          <w:bCs w:val="0"/>
          <w:sz w:val="24"/>
          <w:szCs w:val="24"/>
          <w:highlight w:val="none"/>
          <w:lang w:val="en-US"/>
        </w:rPr>
        <w:t xml:space="preserve">交易中心《质疑函》收件人：南京市公共资源交易中心政府</w:t>
      </w:r>
      <w:r>
        <w:rPr>
          <w:rFonts w:hint="eastAsia" w:ascii="宋体" w:hAnsi="宋体" w:eastAsia="宋体" w:cs="宋体"/>
          <w:b w:val="0"/>
          <w:bCs w:val="0"/>
          <w:sz w:val="24"/>
          <w:szCs w:val="24"/>
          <w:highlight w:val="none"/>
          <w:lang w:val="en-US" w:eastAsia="zh-CN"/>
        </w:rPr>
        <w:t xml:space="preserve">集中</w:t>
      </w:r>
      <w:r>
        <w:rPr>
          <w:rFonts w:hint="eastAsia" w:ascii="宋体" w:hAnsi="宋体" w:eastAsia="宋体" w:cs="宋体"/>
          <w:b w:val="0"/>
          <w:bCs w:val="0"/>
          <w:sz w:val="24"/>
          <w:szCs w:val="24"/>
          <w:highlight w:val="none"/>
          <w:lang w:val="en-US"/>
        </w:rPr>
        <w:t xml:space="preserve">采购</w:t>
      </w:r>
      <w:r>
        <w:rPr>
          <w:rFonts w:hint="eastAsia" w:ascii="宋体" w:hAnsi="宋体" w:eastAsia="宋体" w:cs="宋体"/>
          <w:b w:val="0"/>
          <w:bCs w:val="0"/>
          <w:sz w:val="24"/>
          <w:szCs w:val="24"/>
          <w:highlight w:val="none"/>
          <w:lang w:val="en-US" w:eastAsia="zh-CN"/>
        </w:rPr>
        <w:t xml:space="preserve">处</w:t>
      </w:r>
      <w:r>
        <w:rPr>
          <w:rFonts w:hint="eastAsia" w:ascii="宋体" w:hAnsi="宋体" w:eastAsia="宋体" w:cs="宋体"/>
          <w:b w:val="0"/>
          <w:bCs w:val="0"/>
          <w:sz w:val="24"/>
          <w:szCs w:val="24"/>
          <w:highlight w:val="none"/>
          <w:lang w:val="en-US"/>
        </w:rPr>
        <w:t xml:space="preserve">，</w:t>
      </w:r>
      <w:r>
        <w:rPr>
          <w:rFonts w:hint="eastAsia" w:ascii="宋体" w:hAnsi="宋体" w:eastAsia="宋体" w:cs="宋体"/>
          <w:b w:val="0"/>
          <w:bCs w:val="0"/>
          <w:sz w:val="24"/>
          <w:szCs w:val="24"/>
          <w:highlight w:val="none"/>
          <w:lang w:val="en-US" w:eastAsia="zh-CN"/>
        </w:rPr>
        <w:t xml:space="preserve">收件</w:t>
      </w:r>
      <w:r>
        <w:rPr>
          <w:rFonts w:hint="eastAsia" w:ascii="宋体" w:hAnsi="宋体" w:eastAsia="宋体" w:cs="宋体"/>
          <w:b w:val="0"/>
          <w:bCs w:val="0"/>
          <w:sz w:val="24"/>
          <w:szCs w:val="24"/>
          <w:highlight w:val="none"/>
          <w:lang w:val="en-US"/>
        </w:rPr>
        <w:t xml:space="preserve">地址：南京市江东中路265号南京市公共资源交易中心北门，联系电话：025-68505926。</w:t>
      </w:r>
      <w:r>
        <w:rPr>
          <w:rFonts w:hint="eastAsia" w:ascii="宋体" w:hAnsi="宋体" w:eastAsia="宋体" w:cs="宋体"/>
          <w:b w:val="0"/>
          <w:bCs w:val="0"/>
          <w:sz w:val="24"/>
          <w:szCs w:val="24"/>
          <w:highlight w:val="none"/>
          <w:lang w:val="en-US"/>
        </w:rPr>
      </w:r>
      <w:r/>
    </w:p>
    <w:p>
      <w:pPr>
        <w:pStyle w:val="735"/>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名  称：南京市公安局交通管理局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地  址：南京市建邺区庐山路58号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联系人：王警官</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联系电话：025-84429714</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bookmarkStart w:id="41" w:name="_Toc28359086"/>
      <w:r/>
      <w:bookmarkStart w:id="42" w:name="_Toc28359009"/>
      <w:r>
        <w:rPr>
          <w:rFonts w:hint="eastAsia" w:ascii="宋体" w:hAnsi="宋体" w:eastAsia="宋体" w:cs="Times New Roman"/>
          <w:sz w:val="24"/>
          <w:szCs w:val="24"/>
          <w:u w:val="none"/>
          <w:lang w:val="en-US" w:eastAsia="zh-CN"/>
        </w:rPr>
        <w:t xml:space="preserve">2.交易中心</w:t>
      </w:r>
      <w:bookmarkEnd w:id="41"/>
      <w:r/>
      <w:bookmarkEnd w:id="42"/>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w:t>
      </w:r>
      <w:r>
        <w:rPr>
          <w:rFonts w:hint="eastAsia" w:ascii="宋体" w:hAnsi="宋体" w:eastAsia="宋体" w:cs="Times New Roman"/>
          <w:color w:val="000000"/>
          <w:sz w:val="24"/>
          <w:szCs w:val="24"/>
          <w:u w:val="none"/>
          <w:lang w:val="en-US" w:eastAsia="zh-CN"/>
        </w:rPr>
        <w:t xml:space="preserve">区江东中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723"/>
        <w:ind w:firstLine="480"/>
        <w:spacing w:line="252" w:lineRule="auto"/>
        <w:rPr>
          <w:rFonts w:hint="eastAsia"/>
          <w:color w:val="000000"/>
        </w:rPr>
      </w:pPr>
      <w:r>
        <w:rPr>
          <w:rFonts w:hint="eastAsia" w:ascii="宋体" w:hAnsi="宋体" w:eastAsia="宋体" w:cs="Times New Roman"/>
          <w:color w:val="000000"/>
          <w:sz w:val="24"/>
          <w:szCs w:val="24"/>
          <w:u w:val="none"/>
          <w:lang w:val="en-US" w:eastAsia="zh-CN"/>
        </w:rPr>
        <w:t xml:space="preserve">联系电话：025-68505993 </w:t>
      </w:r>
      <w:r>
        <w:rPr>
          <w:rFonts w:hint="eastAsia" w:ascii="宋体" w:hAnsi="宋体" w:eastAsia="宋体" w:cs="Times New Roman"/>
          <w:color w:val="000000"/>
          <w:sz w:val="24"/>
          <w:szCs w:val="24"/>
          <w:u w:val="none"/>
          <w:lang w:val="en-US" w:eastAsia="zh-CN"/>
        </w:rPr>
        <w:t xml:space="preserve"> </w:t>
      </w:r>
      <w:r>
        <w:rPr>
          <w:rFonts w:hint="eastAsia"/>
          <w:color w:val="000000"/>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16938518"/>
      <w:r/>
      <w:bookmarkStart w:id="47"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48" w:name="_Toc20823275"/>
      <w:r/>
      <w:bookmarkStart w:id="49" w:name="_Toc120614214"/>
      <w:r/>
      <w:bookmarkStart w:id="50" w:name="_Toc16938519"/>
      <w:r/>
      <w:bookmarkStart w:id="51" w:name="_Toc513029203"/>
      <w:r/>
      <w:bookmarkStart w:id="52" w:name="_Toc513029242"/>
      <w:r/>
      <w:bookmarkStart w:id="53" w:name="_Toc479757207"/>
      <w:r/>
      <w:bookmarkStart w:id="54" w:name="_Toc20823314"/>
      <w:r/>
      <w:bookmarkStart w:id="55" w:name="_Toc16938558"/>
      <w:r/>
      <w:bookmarkStart w:id="56" w:name="_Toc120614221"/>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b/>
          <w:bCs/>
          <w:sz w:val="28"/>
          <w:szCs w:val="28"/>
        </w:rPr>
        <w:t xml:space="preserve">1</w:t>
      </w:r>
      <w:bookmarkEnd w:id="58"/>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9"/>
      <w:r/>
      <w:bookmarkEnd w:id="60"/>
      <w:r/>
      <w:bookmarkEnd w:id="6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513029205"/>
      <w:r/>
      <w:bookmarkStart w:id="63" w:name="_Toc20823277"/>
      <w:r/>
      <w:bookmarkStart w:id="64"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2"/>
      <w:r/>
      <w:bookmarkEnd w:id="63"/>
      <w:r/>
      <w:bookmarkEnd w:id="6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16938522"/>
      <w:r/>
      <w:bookmarkStart w:id="66" w:name="_Toc20823278"/>
      <w:r/>
      <w:bookmarkStart w:id="67"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5"/>
      <w:r/>
      <w:bookmarkEnd w:id="66"/>
      <w:r/>
      <w:bookmarkEnd w:id="6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16938523"/>
      <w:r/>
      <w:bookmarkStart w:id="69" w:name="_Toc20823279"/>
      <w:r/>
      <w:bookmarkStart w:id="70" w:name="_Toc513029207"/>
      <w:r/>
      <w:bookmarkStart w:id="71"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8"/>
      <w:r/>
      <w:bookmarkEnd w:id="69"/>
      <w:r/>
      <w:bookmarkEnd w:id="70"/>
      <w:r/>
      <w:bookmarkEnd w:id="7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72" w:name="_Toc20823281"/>
      <w:r/>
      <w:bookmarkStart w:id="73" w:name="_Toc120614215"/>
      <w:r/>
      <w:bookmarkStart w:id="74" w:name="_Toc16938525"/>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6" w:name="_Toc513029210"/>
      <w:r/>
      <w:bookmarkStart w:id="77" w:name="_Toc16938526"/>
      <w:r/>
      <w:bookmarkStart w:id="78"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6"/>
      <w:r/>
      <w:bookmarkEnd w:id="77"/>
      <w:r/>
      <w:bookmarkEnd w:id="7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513029211"/>
      <w:r/>
      <w:bookmarkStart w:id="80" w:name="_Toc16938527"/>
      <w:r/>
      <w:bookmarkStart w:id="81" w:name="_Toc20823283"/>
      <w:r/>
      <w:bookmarkStart w:id="82"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9"/>
      <w:r/>
      <w:bookmarkEnd w:id="80"/>
      <w:r/>
      <w:bookmarkEnd w:id="81"/>
      <w:r/>
      <w:bookmarkEnd w:id="82"/>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3" w:name="_Toc513029212"/>
      <w:r/>
      <w:bookmarkStart w:id="84" w:name="_Toc20823284"/>
      <w:r/>
      <w:bookmarkStart w:id="85" w:name="_Toc16938528"/>
      <w:r/>
      <w:bookmarkStart w:id="86"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3"/>
      <w:r/>
      <w:bookmarkEnd w:id="84"/>
      <w:r/>
      <w:bookmarkEnd w:id="85"/>
      <w:r/>
      <w:bookmarkEnd w:id="8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462564072"/>
      <w:r/>
      <w:bookmarkStart w:id="88" w:name="_Toc20823285"/>
      <w:r/>
      <w:bookmarkStart w:id="89" w:name="_Toc16938529"/>
      <w:r/>
      <w:bookmarkStart w:id="90" w:name="_Toc513029213"/>
      <w:r/>
      <w:bookmarkStart w:id="91"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513029214"/>
      <w:r/>
      <w:bookmarkStart w:id="93" w:name="_Toc16938530"/>
      <w:r/>
      <w:bookmarkStart w:id="94" w:name="_Toc20823286"/>
      <w:r/>
      <w:bookmarkStart w:id="95"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6" w:name="_Toc20823287"/>
      <w:r/>
      <w:bookmarkStart w:id="97" w:name="_Toc16938531"/>
      <w:r/>
      <w:bookmarkStart w:id="98" w:name="_Toc513029215"/>
      <w:r/>
      <w:bookmarkStart w:id="99"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6"/>
      <w:r/>
      <w:bookmarkEnd w:id="97"/>
      <w:r/>
      <w:bookmarkEnd w:id="98"/>
      <w:r/>
      <w:bookmarkEnd w:id="99"/>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0" w:name="_Hlt26954838"/>
      <w:r/>
      <w:bookmarkEnd w:id="100"/>
      <w:r/>
      <w:bookmarkStart w:id="101" w:name="_Hlt26670360"/>
      <w:r/>
      <w:bookmarkEnd w:id="101"/>
      <w:r/>
      <w:bookmarkStart w:id="102" w:name="_Toc513029219"/>
      <w:r/>
      <w:bookmarkStart w:id="103" w:name="_Toc14577357"/>
      <w:r/>
      <w:bookmarkStart w:id="104" w:name="_Toc14577354"/>
      <w:r/>
      <w:bookmarkStart w:id="105" w:name="_Toc49090507"/>
      <w:r/>
      <w:bookmarkStart w:id="106" w:name="_Toc513029216"/>
      <w:r/>
      <w:bookmarkStart w:id="107" w:name="_Toc49090509"/>
      <w:r/>
      <w:bookmarkStart w:id="108" w:name="_Hlt26668975"/>
      <w:r/>
      <w:bookmarkEnd w:id="108"/>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9"/>
      <w:r/>
      <w:bookmarkEnd w:id="110"/>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Hlt26954731"/>
      <w:r/>
      <w:bookmarkEnd w:id="113"/>
      <w:r/>
      <w:bookmarkStart w:id="114" w:name="_Hlt26668983"/>
      <w:r/>
      <w:bookmarkEnd w:id="114"/>
      <w:r/>
      <w:bookmarkStart w:id="115" w:name="_Hlt26954844"/>
      <w:r/>
      <w:bookmarkEnd w:id="115"/>
      <w:r/>
      <w:bookmarkStart w:id="116" w:name="_Hlt26670403"/>
      <w:r/>
      <w:bookmarkEnd w:id="116"/>
      <w:r/>
      <w:bookmarkStart w:id="117" w:name="_Hlt26954848"/>
      <w:r/>
      <w:bookmarkEnd w:id="117"/>
      <w:r/>
      <w:bookmarkStart w:id="118" w:name="_Hlt26670425"/>
      <w:r/>
      <w:bookmarkEnd w:id="118"/>
      <w:r/>
      <w:bookmarkStart w:id="119" w:name="_Hlt26954846"/>
      <w:r/>
      <w:bookmarkEnd w:id="119"/>
      <w:r/>
      <w:bookmarkStart w:id="120" w:name="_Hlt26954842"/>
      <w:r/>
      <w:bookmarkEnd w:id="120"/>
      <w:r/>
      <w:bookmarkStart w:id="121" w:name="_Hlt26670482"/>
      <w:r/>
      <w:bookmarkEnd w:id="121"/>
      <w:r/>
      <w:bookmarkStart w:id="122" w:name="_Hlt26670486"/>
      <w:r/>
      <w:bookmarkEnd w:id="122"/>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Toc49090510"/>
      <w:r/>
      <w:bookmarkStart w:id="124"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3"/>
      <w:r/>
      <w:bookmarkEnd w:id="124"/>
      <w:r/>
      <w:bookmarkStart w:id="125" w:name="_Toc14577360"/>
      <w:r/>
      <w:bookmarkStart w:id="126" w:name="_Toc49090511"/>
      <w:r/>
      <w:bookmarkStart w:id="127" w:name="_Hlt26954850"/>
      <w:r/>
      <w:bookmarkEnd w:id="127"/>
      <w:r/>
      <w:bookmarkStart w:id="128" w:name="_Hlt26954734"/>
      <w:r/>
      <w:bookmarkEnd w:id="128"/>
      <w:r/>
      <w:bookmarkStart w:id="129" w:name="_Hlt26670489"/>
      <w:r/>
      <w:bookmarkEnd w:id="129"/>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5"/>
      <w:r/>
      <w:bookmarkEnd w:id="12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30" w:name="_Hlt26954852"/>
      <w:r/>
      <w:bookmarkEnd w:id="130"/>
      <w:r/>
      <w:bookmarkStart w:id="131" w:name="_Hlt26954739"/>
      <w:r/>
      <w:bookmarkEnd w:id="131"/>
      <w:r/>
      <w:bookmarkStart w:id="132" w:name="_Toc20823296"/>
      <w:r/>
      <w:bookmarkStart w:id="133" w:name="_Toc16938540"/>
      <w:r/>
      <w:bookmarkStart w:id="134" w:name="_Toc513029224"/>
      <w:r/>
      <w:bookmarkStart w:id="135" w:name="_Toc120614217"/>
      <w:r/>
      <w:bookmarkStart w:id="136" w:name="_Toc20823309"/>
      <w:r/>
      <w:bookmarkStart w:id="137" w:name="_Toc513029237"/>
      <w:r/>
      <w:bookmarkStart w:id="138" w:name="_Toc16938553"/>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9" w:name="_Toc513029225"/>
      <w:r/>
      <w:bookmarkStart w:id="140" w:name="_Toc462564084"/>
      <w:r/>
      <w:bookmarkStart w:id="141" w:name="_Toc16938541"/>
      <w:r/>
      <w:bookmarkStart w:id="142"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16938542"/>
      <w:r/>
      <w:bookmarkStart w:id="144" w:name="_Toc20823298"/>
      <w:r/>
      <w:bookmarkStart w:id="145" w:name="_Toc513029226"/>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3"/>
      <w:r/>
      <w:bookmarkEnd w:id="144"/>
      <w:r/>
      <w:bookmarkEnd w:id="145"/>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20823299"/>
      <w:r/>
      <w:bookmarkStart w:id="148"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20823300"/>
      <w:r/>
      <w:bookmarkStart w:id="150" w:name="_Toc16938544"/>
      <w:r/>
      <w:bookmarkStart w:id="151"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20823301"/>
      <w:r/>
      <w:bookmarkStart w:id="153" w:name="_Toc16938545"/>
      <w:r/>
      <w:bookmarkStart w:id="154" w:name="_Toc120614218"/>
      <w:r/>
      <w:bookmarkStart w:id="155" w:name="_Toc513029229"/>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20823302"/>
      <w:r/>
      <w:bookmarkStart w:id="157" w:name="_Toc16938546"/>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513029231"/>
      <w:r/>
      <w:bookmarkStart w:id="160" w:name="_Toc16938547"/>
      <w:r/>
      <w:bookmarkStart w:id="161"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9"/>
      <w:r/>
      <w:bookmarkEnd w:id="160"/>
      <w:r/>
      <w:bookmarkEnd w:id="16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513029232"/>
      <w:r/>
      <w:bookmarkStart w:id="163" w:name="_Toc20823304"/>
      <w:r/>
      <w:bookmarkStart w:id="164"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513029233"/>
      <w:r/>
      <w:bookmarkStart w:id="166" w:name="_Toc16938549"/>
      <w:r/>
      <w:bookmarkStart w:id="167"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16938550"/>
      <w:r/>
      <w:bookmarkStart w:id="169" w:name="_Toc513029234"/>
      <w:r/>
      <w:bookmarkStart w:id="170"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8"/>
      <w:r/>
      <w:bookmarkEnd w:id="169"/>
      <w:r/>
      <w:bookmarkEnd w:id="170"/>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2" w:name="_Toc513029235"/>
      <w:r/>
      <w:bookmarkStart w:id="173" w:name="_Toc16938551"/>
      <w:r/>
      <w:bookmarkStart w:id="174"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6" w:name="_Toc16938554"/>
      <w:r/>
      <w:bookmarkStart w:id="177" w:name="_Toc513029238"/>
      <w:r/>
      <w:bookmarkStart w:id="178" w:name="_Toc20823310"/>
      <w:r>
        <w:rPr>
          <w:rFonts w:hint="eastAsia" w:ascii="方正楷体_GBK" w:hAnsi="方正楷体_GBK" w:eastAsia="方正楷体_GBK" w:cs="方正楷体_GBK"/>
          <w:b/>
          <w:bCs/>
        </w:rPr>
        <w:t xml:space="preserve">2</w:t>
      </w:r>
      <w:bookmarkEnd w:id="17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8"/>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7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80" w:name="_Toc120614220"/>
      <w:r/>
      <w:bookmarkStart w:id="181" w:name="_Toc513029236"/>
      <w:r/>
      <w:bookmarkStart w:id="182" w:name="_Toc20823308"/>
      <w:r/>
      <w:bookmarkStart w:id="183" w:name="_Toc16938552"/>
      <w:r>
        <w:rPr>
          <w:rFonts w:hint="eastAsia" w:ascii="方正黑体_GBK" w:hAnsi="方正黑体_GBK" w:eastAsia="方正黑体_GBK" w:cs="方正黑体_GBK"/>
          <w:b w:val="0"/>
          <w:bCs w:val="0"/>
          <w:color w:val="000000"/>
          <w:sz w:val="30"/>
          <w:szCs w:val="30"/>
        </w:rPr>
        <w:t xml:space="preserve">七、授予合同</w:t>
      </w:r>
      <w:bookmarkEnd w:id="180"/>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82"/>
        <w:rPr>
          <w:rFonts w:hint="eastAsia"/>
          <w:lang w:val="zh-CN"/>
        </w:rPr>
      </w:pPr>
      <w:r>
        <w:rPr>
          <w:rFonts w:hint="eastAsia"/>
          <w:lang w:val="zh-CN"/>
        </w:rPr>
      </w:r>
      <w:r/>
    </w:p>
    <w:p>
      <w:pPr>
        <w:pStyle w:val="723"/>
        <w:rPr>
          <w:rFonts w:hint="eastAsia"/>
          <w:lang w:val="zh-CN"/>
        </w:rPr>
      </w:pPr>
      <w:r>
        <w:rPr>
          <w:rFonts w:hint="eastAsia"/>
          <w:lang w:val="zh-CN"/>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4" w:name="_Toc513029243"/>
      <w:r/>
      <w:bookmarkStart w:id="185" w:name="_Toc16938559"/>
      <w:r/>
      <w:bookmarkStart w:id="186" w:name="_Toc20823315"/>
      <w:r/>
      <w:bookmarkStart w:id="187" w:name="_Hlt16619350"/>
      <w:r/>
      <w:bookmarkStart w:id="188" w:name="_Toc20823346"/>
      <w:r/>
      <w:bookmarkStart w:id="189" w:name="_Toc120614244"/>
      <w:r/>
      <w:bookmarkStart w:id="190" w:name="_Toc16938590"/>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2"/>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30%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lang w:val="en-US" w:eastAsia="zh-CN"/>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4"/>
      <w:r/>
      <w:bookmarkEnd w:id="185"/>
      <w:r/>
      <w:bookmarkEnd w:id="18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4"/>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8"/>
      <w:r/>
      <w:bookmarkEnd w:id="189"/>
      <w:r/>
      <w:bookmarkEnd w:id="190"/>
      <w:r>
        <w:rPr>
          <w:rFonts w:hint="eastAsia" w:hAnsi="宋体"/>
          <w:color w:val="000000"/>
          <w:sz w:val="24"/>
          <w:szCs w:val="24"/>
        </w:rPr>
      </w:r>
      <w:r/>
    </w:p>
    <w:p>
      <w:pPr>
        <w:pStyle w:val="723"/>
        <w:ind w:firstLine="480"/>
        <w:spacing w:line="240" w:lineRule="auto"/>
        <w:rPr>
          <w:rFonts w:hint="eastAsia" w:ascii="宋体" w:hAnsi="宋体"/>
          <w:color w:val="000000"/>
          <w:sz w:val="24"/>
          <w:szCs w:val="24"/>
        </w:rPr>
        <w:outlineLvl w:val="1"/>
      </w:pPr>
      <w:r/>
      <w:bookmarkStart w:id="193" w:name="_Toc120614281"/>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南京市公安局交通管理局位于南京市建邺区庐山路58号。</w:t>
      </w:r>
      <w:r>
        <w:rPr>
          <w:rFonts w:hint="eastAsia" w:ascii="宋体" w:hAnsi="宋体" w:eastAsia="宋体" w:cs="Times New Roman"/>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占地面积：23000㎡，建筑面积：37000㎡，绿化面积：15000㎡。</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序号</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名称</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数量</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单位</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所属行业类型</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rPr>
            </w:pPr>
            <w:r>
              <w:rPr>
                <w:rStyle w:val="733"/>
                <w:rFonts w:cs="Times New Roman"/>
                <w:color w:val="000000"/>
                <w:sz w:val="24"/>
                <w:szCs w:val="24"/>
              </w:rPr>
              <w:t xml:space="preserve">属性</w:t>
            </w:r>
            <w:r>
              <w:rPr>
                <w:rStyle w:val="733"/>
                <w:rFonts w:ascii="宋体" w:hAnsi="宋体" w:eastAsia="宋体"/>
                <w:sz w:val="24"/>
                <w:szCs w:val="24"/>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备注</w:t>
            </w:r>
            <w:r>
              <w:rPr>
                <w:rStyle w:val="733"/>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lang w:val="en-US" w:eastAsia="zh-CN" w:bidi="ar-SA"/>
              </w:rPr>
            </w:pPr>
            <w:r>
              <w:rPr>
                <w:rStyle w:val="733"/>
                <w:rFonts w:hint="eastAsia" w:ascii="宋体" w:hAnsi="宋体" w:eastAsia="宋体" w:cs="Times New Roman"/>
                <w:bCs/>
                <w:color w:val="000000"/>
                <w:sz w:val="24"/>
                <w:szCs w:val="24"/>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W w:w="99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705"/>
        <w:gridCol w:w="729"/>
        <w:gridCol w:w="7921"/>
      </w:tblGrid>
      <w:tr>
        <w:trPr/>
        <w:tc>
          <w:tcPr>
            <w:tcW w:w="58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管理目标</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（各分项指标）</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1、各项物品、环境以及服务体现绿色环保要求；</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2、工程零修、急修及时率100%；零修工程合格率100%；</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3、各类设施、设备完好、整洁、无污损，完好率、合格率均达到99％以上；垃圾日产日清，清运及时率100％；</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4、有效投诉办结率99%以上；</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5、供水符合卫生标准、无二次污染及隐患；</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6、无乱停乱放各种车辆现象；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7、服务及时、到位，以人为本，凸显人性化服务，服务满意率达99%以上；</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8、管理服务范围内不发生重大安全责任事故、重大火灾责任事故、重大设备管理责任事故。</w:t>
            </w:r>
            <w:r>
              <w:rPr>
                <w:rFonts w:hint="eastAsia" w:eastAsia="宋体" w:cs="Times New Roman"/>
                <w:color w:val="000000"/>
                <w:sz w:val="24"/>
                <w:szCs w:val="24"/>
                <w:lang w:val="en-US" w:eastAsia="zh-CN"/>
              </w:rPr>
            </w:r>
            <w:r/>
          </w:p>
        </w:tc>
      </w:tr>
      <w:tr>
        <w:trPr>
          <w:trHeight w:val="867"/>
        </w:trPr>
        <w:tc>
          <w:tcPr>
            <w:tcW w:w="589"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保洁服务</w:t>
            </w: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常规清洁保洁</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常规保洁项目：负责办公大楼、辅楼、后勤楼及新业务大楼内外、地下室、院落等公共部位及民警办公室、楼层会议室（不含更衣室、机房、储藏室）的所有地面、车库、车棚、附属设施、设备、器具的保洁服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1、所有楼层会议室、办公室、电梯厅、电梯轿厢、卫生间、开水间及其他辅助房等；</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2、所有楼层楼梯、公共过道、安全楼道、扶手、楼顶、窗台、平台、空调风口、其他辅助设施及所有楼层的内外玻璃；</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所有楼层的会议座椅、电器（空调、饮水机、开水炉）、灯具及开关、电源盒、消防器材、公告栏、指示版、房间门牌、烟灰筒、地垫、洗手池、烘手机、纸盒、镜面、台面、水池、尿斗、厕位、垃圾桶（篓）；</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4、提供一次性保洁用品（洗手液、肥皂、卷纸、擦手纸、香薰等）</w:t>
            </w:r>
            <w:r>
              <w:rPr>
                <w:rFonts w:hint="eastAsia" w:cs="Times New Roman"/>
                <w:color w:val="000000"/>
                <w:sz w:val="24"/>
                <w:szCs w:val="24"/>
                <w:lang w:val="en-US" w:eastAsia="zh-CN"/>
              </w:rPr>
              <w:t xml:space="preserve">，</w:t>
            </w:r>
            <w:r>
              <w:rPr>
                <w:rFonts w:hint="eastAsia" w:eastAsia="宋体" w:cs="Times New Roman"/>
                <w:color w:val="000000"/>
                <w:sz w:val="24"/>
                <w:szCs w:val="24"/>
                <w:lang w:val="en-US" w:eastAsia="zh-CN"/>
              </w:rPr>
              <w:t xml:space="preserve">摆放到位，及时更换；</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5、所有设备机房的地面、墙面、顶面；</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6、大院内道路、停车场、沟、渠、池、井；</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7、负责清理院内的树木落叶（绿植维保单位修剪时产生的杂草、枝叶、落叶除外）；</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8、提供1台以上驾驶式洗地车，</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9、按政府有关政策规定执行所有废弃物和垃圾的收集、分类、外运（施工单位产生的建筑施工垃圾除外）；</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10、工作日早8：30前各项全面保洁应完成，而后实施定时保洁项目；全年节假日保洁保障；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11、遇雨雪天气，主要出入门采取放置踏垫等防滑措施，并定期对踏垫拍打或洗涤。雪天必须立即组织对门前三包范围、院内道路、通道进行积雪清扫。</w:t>
            </w:r>
            <w:r>
              <w:rPr>
                <w:rFonts w:hint="eastAsia" w:eastAsia="宋体" w:cs="Times New Roman"/>
                <w:color w:val="000000"/>
                <w:sz w:val="24"/>
                <w:szCs w:val="24"/>
                <w:lang w:val="en-US" w:eastAsia="zh-CN"/>
              </w:rPr>
            </w:r>
            <w:r/>
          </w:p>
        </w:tc>
      </w:tr>
      <w:tr>
        <w:trPr>
          <w:trHeight w:val="90"/>
        </w:trPr>
        <w:tc>
          <w:tcPr>
            <w:tcW w:w="589" w:type="dxa"/>
            <w:vAlign w:val="center"/>
            <w:vMerge w:val="continue"/>
            <w:textDirection w:val="lrTb"/>
            <w:noWrap/>
          </w:tcPr>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定期清洁保洁</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定期保洁项目（作业前须报备，并留存书面台账）：</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1、天花板掸尘除渍半年一次；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2、地毯清洗消毒每月一次（包括报告厅、贵宾厅等）；</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3、消毒灭害：每月采取先进消杀技术，对窨井、明沟、垃圾桶、卫生间喷洒无毒留药水一次，每半年灭鼠一次，夏季每月喷洒无毒留药水两次；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4、隔油池、污水井每半年清淤一次。</w:t>
            </w:r>
            <w:r>
              <w:rPr>
                <w:rFonts w:hint="eastAsia" w:eastAsia="宋体" w:cs="Times New Roman"/>
                <w:color w:val="000000"/>
                <w:sz w:val="24"/>
                <w:szCs w:val="24"/>
                <w:lang w:val="en-US" w:eastAsia="zh-CN"/>
              </w:rPr>
            </w:r>
            <w:r/>
          </w:p>
        </w:tc>
      </w:tr>
      <w:tr>
        <w:trPr>
          <w:trHeight w:val="3002"/>
        </w:trPr>
        <w:tc>
          <w:tcPr>
            <w:tcW w:w="589" w:type="dxa"/>
            <w:vAlign w:val="center"/>
            <w:vMerge w:val="continue"/>
            <w:textDirection w:val="lrTb"/>
            <w:noWrap/>
          </w:tcPr>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洗衣房服务</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TW"/>
              </w:rPr>
              <w:t xml:space="preserve">每周工作日</w:t>
            </w:r>
            <w:r>
              <w:rPr>
                <w:rFonts w:hint="eastAsia" w:eastAsia="宋体" w:cs="Times New Roman"/>
                <w:color w:val="000000"/>
                <w:sz w:val="24"/>
                <w:szCs w:val="24"/>
                <w:lang w:val="en-US" w:eastAsia="zh-CN"/>
              </w:rPr>
              <w:t xml:space="preserve">工作时间</w:t>
            </w:r>
            <w:r>
              <w:rPr>
                <w:rFonts w:hint="eastAsia" w:eastAsia="宋体" w:cs="Times New Roman"/>
                <w:color w:val="000000"/>
                <w:sz w:val="24"/>
                <w:szCs w:val="24"/>
                <w:lang w:val="en-US" w:eastAsia="zh-TW"/>
              </w:rPr>
              <w:t xml:space="preserve">内，负责接收局内工作人员的制服清洗工作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2、收发制服时</w:t>
            </w:r>
            <w:r>
              <w:rPr>
                <w:rFonts w:hint="eastAsia" w:eastAsia="宋体" w:cs="Times New Roman"/>
                <w:color w:val="000000"/>
                <w:sz w:val="24"/>
                <w:szCs w:val="24"/>
                <w:lang w:val="en-US" w:eastAsia="zh-TW"/>
              </w:rPr>
              <w:t xml:space="preserve">，认真检查制服的内外是否有</w:t>
            </w:r>
            <w:r>
              <w:rPr>
                <w:rFonts w:hint="eastAsia" w:eastAsia="宋体" w:cs="Times New Roman"/>
                <w:color w:val="000000"/>
                <w:sz w:val="24"/>
                <w:szCs w:val="24"/>
                <w:lang w:val="en-US" w:eastAsia="zh-CN"/>
              </w:rPr>
              <w:t xml:space="preserve">物品、</w:t>
            </w:r>
            <w:r>
              <w:rPr>
                <w:rFonts w:hint="eastAsia" w:eastAsia="宋体" w:cs="Times New Roman"/>
                <w:color w:val="000000"/>
                <w:sz w:val="24"/>
                <w:szCs w:val="24"/>
                <w:lang w:val="en-US" w:eastAsia="zh-TW"/>
              </w:rPr>
              <w:t xml:space="preserve">破损和异常，并当面指出</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TW"/>
              </w:rPr>
              <w:t xml:space="preserve">做好登记工作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TW"/>
              </w:rPr>
              <w:t xml:space="preserve">负责对洗衣设备的运行进行日常的检查，出现异常及时通知工程维修人员到场维修，排除故障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4、严禁将送洗制服带出洗衣和晾晒场所；</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5、洗后衣物须在指定场所晾晒；</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6、洗后衣物应熨烫平整，折叠整齐摆放，等待领取或送返指定办公室；</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7、提供简单缝补服务；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8、收发衣服做好台账。</w:t>
            </w:r>
            <w:r>
              <w:rPr>
                <w:rFonts w:hint="eastAsia" w:eastAsia="宋体" w:cs="Times New Roman"/>
                <w:color w:val="000000"/>
                <w:sz w:val="24"/>
                <w:szCs w:val="24"/>
                <w:lang w:val="en-US" w:eastAsia="zh-CN"/>
              </w:rPr>
            </w:r>
            <w:r/>
          </w:p>
        </w:tc>
      </w:tr>
      <w:tr>
        <w:trPr>
          <w:trHeight w:val="944"/>
        </w:trPr>
        <w:tc>
          <w:tcPr>
            <w:tcW w:w="589"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安保服务</w:t>
            </w: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安保秩序维护</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1、负责办公大楼、辅楼、后勤楼及新业务大楼及大院内的安全，实施封闭式管理和24小时治安保卫制度，维护良好的工作秩序；</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2、对院落、大楼各楼层、辅楼、新业务大楼、地下车库、关键部位及院落周边定时巡查，并做好巡查记录；</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3、对外来人员、物资出入实施严格的登记验证制度，有完善的交接班制度和交接班记录；</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4、做好维持交通和车辆停放秩序的管理，负责停车场（含地下车库）的管理，引导车辆按标明车位停放；</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5、定期检查消防器材，对需要更新的要及时提交书面报告；</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6、定期检查安全出口、疏散通道的应急照明是否完好，发现问题及时报告；</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7、遇工程维修负责现场秩序维护管理；</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8、对管辖区域内发生的治安警、火警及争吵斗殴、群访闹访等突发事件果断处理，及时报警和报告，并与相关部门配合处理突发事件，必要时与公安部门联系；</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9、八小时工作时间之外和节假日临时性紧急会务秩序维护工作；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10、承担本物业区域内物品搬运任务和其他临时性任务。</w:t>
            </w:r>
            <w:r>
              <w:rPr>
                <w:rFonts w:hint="eastAsia" w:eastAsia="宋体" w:cs="Times New Roman"/>
                <w:color w:val="000000"/>
                <w:sz w:val="24"/>
                <w:szCs w:val="24"/>
                <w:lang w:val="en-US" w:eastAsia="zh-CN"/>
              </w:rPr>
            </w:r>
            <w:r/>
          </w:p>
        </w:tc>
      </w:tr>
      <w:tr>
        <w:trPr>
          <w:trHeight w:val="90"/>
        </w:trPr>
        <w:tc>
          <w:tcPr>
            <w:tcW w:w="589" w:type="dxa"/>
            <w:vAlign w:val="center"/>
            <w:vMerge w:val="continue"/>
            <w:textDirection w:val="lrTb"/>
            <w:noWrap/>
          </w:tcPr>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消防控制室</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TW"/>
              </w:rPr>
              <w:t xml:space="preserve">所有</w:t>
            </w:r>
            <w:r>
              <w:rPr>
                <w:rFonts w:hint="eastAsia" w:eastAsia="宋体" w:cs="Times New Roman"/>
                <w:color w:val="000000"/>
                <w:sz w:val="24"/>
                <w:szCs w:val="24"/>
                <w:lang w:val="en-US" w:eastAsia="zh-CN"/>
              </w:rPr>
              <w:t xml:space="preserve">消防控制室</w:t>
            </w:r>
            <w:r>
              <w:rPr>
                <w:rFonts w:hint="eastAsia" w:eastAsia="宋体" w:cs="Times New Roman"/>
                <w:color w:val="000000"/>
                <w:sz w:val="24"/>
                <w:szCs w:val="24"/>
                <w:lang w:val="en-US" w:eastAsia="zh-TW"/>
              </w:rPr>
              <w:t xml:space="preserve">值班人员必须持</w:t>
            </w:r>
            <w:r>
              <w:rPr>
                <w:rFonts w:hint="eastAsia" w:eastAsia="宋体" w:cs="Times New Roman"/>
                <w:color w:val="000000"/>
                <w:sz w:val="24"/>
                <w:szCs w:val="24"/>
                <w:lang w:val="en-US" w:eastAsia="zh-CN"/>
              </w:rPr>
              <w:t xml:space="preserve">消控证</w:t>
            </w:r>
            <w:r>
              <w:rPr>
                <w:rFonts w:hint="eastAsia" w:eastAsia="宋体" w:cs="Times New Roman"/>
                <w:color w:val="000000"/>
                <w:sz w:val="24"/>
                <w:szCs w:val="24"/>
                <w:lang w:val="en-US" w:eastAsia="zh-TW"/>
              </w:rPr>
              <w:t xml:space="preserve">上岗，</w:t>
            </w:r>
            <w:r>
              <w:rPr>
                <w:rFonts w:hint="eastAsia" w:eastAsia="宋体" w:cs="Times New Roman"/>
                <w:color w:val="000000"/>
                <w:sz w:val="24"/>
                <w:szCs w:val="24"/>
                <w:lang w:val="en-US" w:eastAsia="zh-CN"/>
              </w:rPr>
              <w:t xml:space="preserve">严守工作岗位，不得擅离职守，并认真做好交接班工作；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2、消防监控室24小时双人值班，加强对办公大楼、辅楼、后勤楼及新业务大楼内外环境、人员、设备设施的监控监视；</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3、时刻关注消防监控平台，出现火情报警，立即启动预案，并做好物业服务响应工作；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4、做好消防值班台账。</w:t>
            </w:r>
            <w:r>
              <w:rPr>
                <w:rFonts w:hint="eastAsia" w:eastAsia="宋体" w:cs="Times New Roman"/>
                <w:color w:val="000000"/>
                <w:sz w:val="24"/>
                <w:szCs w:val="24"/>
                <w:lang w:val="en-US" w:eastAsia="zh-CN"/>
              </w:rPr>
            </w:r>
            <w:r/>
          </w:p>
        </w:tc>
      </w:tr>
      <w:tr>
        <w:trPr>
          <w:trHeight w:val="1131"/>
        </w:trPr>
        <w:tc>
          <w:tcPr>
            <w:tcW w:w="589"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05"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健身房服务</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1、健身房工作日开放，每日8小时；</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2、在开放时段要求专人值守登记、物品管理、场地及物品的整理和保洁；</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3、做好设备维护保养。</w:t>
            </w:r>
            <w:r>
              <w:rPr>
                <w:rFonts w:hint="eastAsia" w:eastAsia="宋体" w:cs="Times New Roman"/>
                <w:color w:val="000000"/>
                <w:sz w:val="24"/>
                <w:szCs w:val="24"/>
                <w:lang w:val="en-US" w:eastAsia="zh-CN"/>
              </w:rPr>
            </w:r>
            <w:r/>
          </w:p>
        </w:tc>
      </w:tr>
      <w:tr>
        <w:trPr/>
        <w:tc>
          <w:tcPr>
            <w:tcW w:w="58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会务服务</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负责所有会议的会务保障工作；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1、会务服务要求：根据参会人数和形式，按要求进行会标定制、会场布置、</w:t>
            </w:r>
            <w:r>
              <w:rPr>
                <w:rFonts w:hint="eastAsia" w:eastAsia="宋体" w:cs="Times New Roman"/>
                <w:color w:val="000000"/>
                <w:sz w:val="24"/>
                <w:szCs w:val="24"/>
                <w:lang w:val="en-US" w:eastAsia="zh-CN"/>
              </w:rPr>
              <w:t xml:space="preserve">文件分装；做好茶叶领用；配备好毛巾等相关物品。一般会议召开前半小时，完成会议室场所及会议主席台、发言席、签到席、横幅（会标）、背景音乐、灯、空调、开水、话筒、音响、电子时钟和多媒体设备准备工作。紧急会议提前十分钟完成灯光、空调、开水、话筒、音响和多媒体设备准备工作。会议召开后，必须不少于一名服务人员在会场内，为参会人员提供必要的会议服务，包括音响影像等设备运行保障。遇保密会议，服务人员须在会议室外本楼层待命，随时响应会务服务，至会议结束。会议结束，现场的保洁及相关设备、物品的清点、归还（归位）、存库等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八小时工作时间之外和节假日临时性紧急会务服务；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3、会务服务人员着装统一整洁，佩</w:t>
            </w:r>
            <w:r>
              <w:rPr>
                <w:rFonts w:hint="eastAsia" w:cs="Times New Roman"/>
                <w:color w:val="000000"/>
                <w:sz w:val="24"/>
                <w:szCs w:val="24"/>
                <w:lang w:val="en-US" w:eastAsia="zh-CN"/>
              </w:rPr>
              <w:t xml:space="preserve">戴</w:t>
            </w:r>
            <w:r>
              <w:rPr>
                <w:rFonts w:hint="eastAsia" w:eastAsia="宋体" w:cs="Times New Roman"/>
                <w:color w:val="000000"/>
                <w:sz w:val="24"/>
                <w:szCs w:val="24"/>
                <w:lang w:val="en-US" w:eastAsia="zh-CN"/>
              </w:rPr>
              <w:t xml:space="preserve">服务标志，仪表端庄、举止文明、态度热情、言语礼貌规范；</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4、会务人员要严守保密义务，严禁以任何形式外传会议内容和其他相关信息。会议室服务人员要经过政审合格，人员保持固定，不得随意调换，局领导层会务实行零干扰服务；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5、提供由采购人举行的接见/会谈/签字/授奖/揭牌等礼仪服务、本物业内的参观服务、大堂接待引导服务；</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6、在办公楼大厅设立接待导引服务台，配备接待导引服务人员，负责来客进出询问登记与接待引导。</w:t>
            </w:r>
            <w:r>
              <w:rPr>
                <w:rFonts w:hint="eastAsia" w:eastAsia="宋体" w:cs="Times New Roman"/>
                <w:color w:val="000000"/>
                <w:sz w:val="24"/>
                <w:szCs w:val="24"/>
                <w:lang w:val="en-US" w:eastAsia="zh-CN"/>
              </w:rPr>
            </w:r>
            <w:r/>
          </w:p>
        </w:tc>
      </w:tr>
      <w:tr>
        <w:trPr/>
        <w:tc>
          <w:tcPr>
            <w:tcW w:w="589"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工程服务</w:t>
            </w: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设施设备工程维护维修管理工作</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供应商是保障所有设备、设施运行的第一责任人，确保办公大楼、辅楼、后勤楼及新业务大楼及院内所有设施、设备的正常使用、运行；</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1、各类设施、设备包含但不限于：建筑设施、配电、消防、电梯、锅炉、新风、空调、门禁、监控、UPS机房等；</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负责设施、设备的日常维护保养工作的具体实施，主要分以下两种情况：（1）系统设备清单中（附件2）没有维保合同的设施、设备，由供应商提供专业的维护保养（包括加油、测试、疏通、清洗、更换易耗件等），维保费用应包含在投标报价中；（2）系统设备清单中（附件2）由采购人联系维保单位的设施、设备，由供应商代表采购人对维保单位的维保工作监督检查管理，并承担维保合同之外系统设备安全运行的责任；</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3、负责各类设施、设备的巡查与值守，保证每天对重要设备定时巡查，及时发现和排除安全隐患；设备台</w:t>
            </w:r>
            <w:r>
              <w:rPr>
                <w:rFonts w:hint="eastAsia" w:cs="Times New Roman"/>
                <w:color w:val="000000"/>
                <w:sz w:val="24"/>
                <w:szCs w:val="24"/>
                <w:lang w:val="en-US" w:eastAsia="zh-CN"/>
              </w:rPr>
              <w:t xml:space="preserve">账</w:t>
            </w:r>
            <w:r>
              <w:rPr>
                <w:rFonts w:hint="eastAsia" w:eastAsia="宋体" w:cs="Times New Roman"/>
                <w:color w:val="000000"/>
                <w:sz w:val="24"/>
                <w:szCs w:val="24"/>
                <w:lang w:val="en-US" w:eastAsia="zh-CN"/>
              </w:rPr>
              <w:t xml:space="preserve">、图纸档案、运行记录、检查记录、维修记录、 保养记录完整，保证运行正常；</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设备出现故障时，能够随喊随到，及时报修，对一般性故障在紧急情况下能应急调整、修复；对设备故障及重大事件有完善的应急方案和现场处理措施、处理记录；各设备房及公共场所、场地，有危及人身安全隐患处有明显标志和防范措施；</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5、遇工程维修施工时负责随工监理；</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6、道路通畅，路面平坦，道路、停车场平整通畅，交通标志齐全规范；</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7、协助采购人做好节电节水工作；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8、做好所有设备设施防汛防冻工作；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9、负责所有设备间墙面、地面、顶面清洁工作；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10、油漆瓦工负责墙面粉刷、瓷砖修补更换、墙面地面修补、墙体开裂渗水维修等工作；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11、配合做好净水机维保工作。</w:t>
            </w:r>
            <w:r>
              <w:rPr>
                <w:rFonts w:hint="eastAsia" w:eastAsia="宋体" w:cs="Times New Roman"/>
                <w:color w:val="000000"/>
                <w:sz w:val="24"/>
                <w:szCs w:val="24"/>
                <w:lang w:val="en-US" w:eastAsia="zh-CN"/>
              </w:rPr>
            </w:r>
            <w:r/>
          </w:p>
        </w:tc>
      </w:tr>
      <w:tr>
        <w:trPr/>
        <w:tc>
          <w:tcPr>
            <w:tcW w:w="589" w:type="dxa"/>
            <w:vAlign w:val="center"/>
            <w:vMerge w:val="continue"/>
            <w:textDirection w:val="lrTb"/>
            <w:noWrap/>
          </w:tcPr>
          <w:p>
            <w:pPr>
              <w:pStyle w:val="723"/>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配电房与锅炉房</w:t>
            </w: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负责配电房的日常保障和运行管理，配电房均实行24小时值班；</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1、日常保持正常双路供电，遇单向线路停电或故障，须五分钟内完成电源切换并恢复供电，属于供电管理责任事故，追究责任；</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TW"/>
              </w:rPr>
            </w:pPr>
            <w:r>
              <w:rPr>
                <w:rFonts w:hint="eastAsia" w:eastAsia="宋体" w:cs="Times New Roman"/>
                <w:color w:val="000000"/>
                <w:sz w:val="24"/>
                <w:szCs w:val="24"/>
                <w:lang w:val="en-US" w:eastAsia="zh-TW"/>
              </w:rPr>
              <w:t xml:space="preserve">2、负责配电房的运行记录以及资料、图纸的整理、归档、保存工作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TW"/>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TW"/>
              </w:rPr>
              <w:t xml:space="preserve">所有配电房值班人员必须持证上岗，建立健全管理制度，严格操作规程</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负责锅炉房的日常保障和运行管理，锅炉房均实行24小时值班；</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1、锅炉人员</w:t>
            </w:r>
            <w:r>
              <w:rPr>
                <w:rFonts w:hint="eastAsia" w:cs="Times New Roman"/>
                <w:color w:val="000000"/>
                <w:sz w:val="24"/>
                <w:szCs w:val="24"/>
                <w:lang w:val="en-US" w:eastAsia="zh-CN"/>
              </w:rPr>
              <w:t xml:space="preserve">须</w:t>
            </w:r>
            <w:r>
              <w:rPr>
                <w:rFonts w:hint="eastAsia" w:eastAsia="宋体" w:cs="Times New Roman"/>
                <w:color w:val="000000"/>
                <w:sz w:val="24"/>
                <w:szCs w:val="24"/>
                <w:lang w:val="en-US" w:eastAsia="zh-CN"/>
              </w:rPr>
              <w:t xml:space="preserve">持锅炉操作证上岗，严守工作岗位，不得擅离职守，并认真做好交接班工作；</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2、做好平日的锅炉房清洁卫生及设备检查和维护工作，以保证各项设备的正常运行；</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3、建立设备运行情况记录台账。</w:t>
            </w:r>
            <w:r>
              <w:rPr>
                <w:rFonts w:hint="eastAsia" w:eastAsia="宋体" w:cs="Times New Roman"/>
                <w:color w:val="000000"/>
                <w:sz w:val="24"/>
                <w:szCs w:val="24"/>
                <w:lang w:val="en-US" w:eastAsia="zh-CN"/>
              </w:rPr>
            </w:r>
            <w:r/>
          </w:p>
        </w:tc>
      </w:tr>
      <w:tr>
        <w:trPr/>
        <w:tc>
          <w:tcPr>
            <w:tcW w:w="589"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其他</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921" w:type="dxa"/>
            <w:vAlign w:val="top"/>
            <w:textDirection w:val="lrTb"/>
            <w:noWrap/>
          </w:tcPr>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（一）服务期内，采购人可根据实际需求在总人数不变的情况下调整各部门人员数量，若因采购人物业服务需求增加人员，双方另行协商。</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（二）有关法律、法规、行业规范规定应当由物业管理公司管理的其他事项。</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三）采购人保留对供应商服务范围内的单项服务指定分包的权利。若出现该指定分包的情况，涉及该专业服务内容的报价将从响应总价中扣除，但该专业服务纳入供应商统一管理，由供应商承担管理责任，供应商可以收取一定的管理费。</w:t>
            </w:r>
            <w:r>
              <w:rPr>
                <w:rFonts w:hint="eastAsia" w:eastAsia="宋体" w:cs="Times New Roman"/>
                <w:color w:val="000000"/>
                <w:sz w:val="24"/>
                <w:szCs w:val="24"/>
                <w:lang w:val="en-US" w:eastAsia="zh-CN"/>
              </w:rPr>
            </w:r>
            <w:r/>
          </w:p>
          <w:p>
            <w:pPr>
              <w:pStyle w:val="723"/>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四）本项目结算费用采用包干制的形式，并对在公安机关的工作规律、以及发生紧急事件需要延长工作时间等作出充分必要的估计，对合同期内社会物价水平波动、劳动力价格波动作出充分必要的估计，供应商在中标后对此提出的增加费用的要求一概不予接受。</w:t>
            </w:r>
            <w:r>
              <w:rPr>
                <w:rFonts w:hint="eastAsia" w:eastAsia="宋体" w:cs="Times New Roman"/>
                <w:color w:val="000000"/>
                <w:sz w:val="24"/>
                <w:szCs w:val="24"/>
                <w:lang w:val="en-US" w:eastAsia="zh-CN"/>
              </w:rPr>
            </w:r>
            <w:r/>
          </w:p>
        </w:tc>
      </w:tr>
    </w:tbl>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2.1人员政审。所有物业项目工作人员须经采购人政审合格，无违法犯罪或治安处罚记录，凡采购人提出更换的物业项目工作人员须在一周内更换。</w:t>
      </w:r>
      <w:r>
        <w:rPr>
          <w:rFonts w:hint="eastAsia" w:ascii="宋体" w:hAnsi="宋体" w:eastAsia="宋体" w:cs="宋体"/>
          <w:color w:val="000000"/>
          <w:sz w:val="24"/>
          <w:szCs w:val="24"/>
          <w:lang w:val="en-US" w:eastAsia="zh-CN" w:bidi="ar-SA"/>
        </w:rPr>
      </w:r>
      <w:r/>
    </w:p>
    <w:p>
      <w:pPr>
        <w:pStyle w:val="723"/>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本物业项目工作人员未经采购人同意，不得私自更换，经采购人同意更换的人员，上岗前需经采购人同意，并符合投标响应文件上对该岗位的配置要求，但一年内更换人员不得超过总人数的10%（采购人主动要求更换的人员除外），更换人员超过总人数10%采购人有权终止合同。需要更换的人员须在采购人规定的时间进行更换，供应商签订合同时针对上述事项提供承诺书。</w:t>
      </w:r>
      <w:r>
        <w:rPr>
          <w:rFonts w:hint="eastAsia" w:ascii="宋体" w:hAnsi="宋体" w:eastAsia="宋体" w:cs="宋体"/>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2.3三名主要管理人员要求</w:t>
      </w:r>
      <w:r>
        <w:rPr>
          <w:rFonts w:hint="eastAsia" w:ascii="宋体" w:hAnsi="宋体" w:eastAsia="宋体" w:cs="宋体"/>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（1）项目经理：法定退休年龄以下，本科及以上学历。</w:t>
      </w:r>
      <w:r>
        <w:rPr>
          <w:rFonts w:hint="eastAsia" w:ascii="宋体" w:hAnsi="宋体" w:eastAsia="宋体" w:cs="宋体"/>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（2）工程部部长：法定退休年龄以下，本科及以上学历，具有维修电工证或低压电工证。</w:t>
      </w:r>
      <w:r>
        <w:rPr>
          <w:rFonts w:hint="eastAsia" w:ascii="宋体" w:hAnsi="宋体" w:eastAsia="宋体" w:cs="宋体"/>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（3）安保部部长：法定退休年龄以下，大专及以上学历，同时具备保安员证及消防设施操作员四级或以上证书。</w:t>
      </w:r>
      <w:r>
        <w:rPr>
          <w:rFonts w:hint="eastAsia" w:ascii="宋体" w:hAnsi="宋体" w:eastAsia="宋体" w:cs="宋体"/>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以上三名主要管理人员签订合同时须提供本人身份证、学历证书、学信网截图及供应商为其缴纳的2026年1月1日以来连续三个月为其缴纳的社保证明材料原件并附社保二维码扫描备查，二维码无法识别或与拟投入人员身份不符视为虚假应标。</w:t>
      </w:r>
      <w:r>
        <w:rPr>
          <w:rFonts w:hint="eastAsia" w:ascii="宋体" w:hAnsi="宋体" w:eastAsia="宋体" w:cs="宋体"/>
          <w:color w:val="000000"/>
          <w:sz w:val="24"/>
          <w:szCs w:val="24"/>
          <w:lang w:val="en-US" w:eastAsia="zh-CN" w:bidi="ar-SA"/>
        </w:rPr>
      </w:r>
      <w:r/>
    </w:p>
    <w:p>
      <w:pPr>
        <w:pStyle w:val="723"/>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2.4本项目在不影响服务质量的前提下，按需配置相关人员，总人数不少于64人；本项目服务人员年龄在法定退休年龄以下，招标文件有要求的，从其要求，各岗位人数安排和岗位要求如下表：</w:t>
      </w:r>
      <w:r>
        <w:rPr>
          <w:rFonts w:hint="eastAsia" w:ascii="宋体" w:hAnsi="宋体" w:eastAsia="宋体" w:cs="宋体"/>
          <w:color w:val="000000"/>
          <w:sz w:val="24"/>
          <w:szCs w:val="24"/>
          <w:lang w:val="en-US" w:eastAsia="zh-CN" w:bidi="ar-SA"/>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034"/>
        <w:gridCol w:w="632"/>
        <w:gridCol w:w="603"/>
        <w:gridCol w:w="3855"/>
        <w:gridCol w:w="2759"/>
      </w:tblGrid>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部门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同时在岗人数</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岗位所需人数</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工作时间及工作内容</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项目经理</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工作日工作时间，负责项目具体管理工作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安保部（不少于22人）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安保部部长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前、后院及地库车管</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做六休一07:00-19:00，员工通道进出人员查验，车管负责院内日常定岗停车秩序维护，地下车库定岗停车秩序维护，设备巡查，抄告违停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78"/>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健身房、东侧停车场</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做五休二07:00-19:00，健身房安保兼保洁，健身器材检查归位、室内卫生</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新业务大楼</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周一至周日8:00-20:00，负责人员进出查验，院内大厅巡逻</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1楼消防监控室</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24小时值守，8小时工作制，消防、安防实时监控</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工程部（不少于17人）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restart"/>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大楼内日常零星维修、UPS机房及水泵房巡查、消防、供水、供电、供冷暖等设备维修巡查、新业务大楼设备维修、后勤楼（只负责太阳能设备、监控安防系统、消防系统主设备、中央空调主系统、电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持低压电工证</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油漆瓦工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负责墙面粉刷、瓷砖修补更换、墙面地面修补、墙体开裂渗水维修等工作</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弱电工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熟练掌握计算机网络、监控、门禁、投影仪、话筒、音响等多媒体设施设备的操作</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运行值班备勤（含电梯工）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其中至少2人持特种设备安全管理和作业证（A）</w:t>
            </w: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锅炉房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24小时三班，8小时工作制，日常巡查，保障大楼内空调制冷、制热，供应热水</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制冷制热两套系统共用一路管道系统（空调系统夏天用冷冻机组，冬天用热水锅炉），要求其中至少2人持制冷与空调作业操作证</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配电房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24小时三班，8小时工作制，日常抄表登记，巡查，保障大楼内供电正常</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4人均须持有高压电工证或低压电工证，其中高压电工证人数不少于1人</w:t>
            </w: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保洁部（不少于16人）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做六休一，08：00-17：00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主楼保洁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做六休一：7:30-16:30，负责大楼内公共区域及各楼层房间卫生，上下午各巡查保洁2次、工作日始终保证有人负责电梯口垃圾桶的垃圾清理，节假日、双休日保洁保障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人数较多的楼层，目前是1、2、3、4、5层（不超过总楼层数的一半），加密保洁次数，上下午各巡查3次</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外场保洁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做六休一：7:30-16:30，负责院内及新业务大楼院内公共区域卫生，上下午各巡查保洁2次</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洗衣房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工作日工作时间，大楼内局领导及民警制服清洗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新业务大楼保洁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周一至周日7:30-16:30，负责新业务大楼公共区域及办公室卫生</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机动保洁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做五休二，09：00-18：00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会务部（不少于8人）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1楼大厅</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周一到周日，8：30-18：30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会务接待人员</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工作日8：30-17：30，会议保障、会议室卫生、设备维护、大型活动的保障配合</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遇临时会议需做好保障配合</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723"/>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64</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723"/>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723"/>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2.5安保人员：身体健康，政治清白、无不良记录和嗜好，男性安保人员身高170cm或以上，女性安保人员身高160cm或以上，消防监控岗须持建（构）筑物消防员证或消防设施操作员证上岗。不符合要求的人员，经采购人面试合格后方可上岗。</w:t>
      </w:r>
      <w:r>
        <w:rPr>
          <w:rFonts w:ascii="宋体" w:hAnsi="宋体" w:eastAsia="宋体" w:cs="宋体"/>
          <w:color w:val="000000"/>
          <w:sz w:val="24"/>
          <w:szCs w:val="24"/>
          <w:lang w:val="en-US" w:eastAsia="zh-CN" w:bidi="ar-SA"/>
        </w:rPr>
      </w:r>
      <w:r/>
    </w:p>
    <w:p>
      <w:pPr>
        <w:pStyle w:val="723"/>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2.6工程人员：须持上表中对应岗位的专业证书，适应专业岗位要求。不符合要求的人员，经采购人面试合格后方可上岗。</w:t>
      </w:r>
      <w:r>
        <w:rPr>
          <w:rFonts w:ascii="宋体" w:hAnsi="宋体" w:eastAsia="宋体" w:cs="宋体"/>
          <w:color w:val="000000"/>
          <w:sz w:val="24"/>
          <w:szCs w:val="24"/>
          <w:lang w:val="en-US" w:eastAsia="zh-CN" w:bidi="ar-SA"/>
        </w:rPr>
      </w:r>
      <w:r/>
    </w:p>
    <w:p>
      <w:pPr>
        <w:pStyle w:val="723"/>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2.7保洁人员：面貌端正，身体健康，初中或以上学历，2年或以上相关工作经验。不符合要求的人员，经采购人面试合格后方可上岗。</w:t>
      </w:r>
      <w:r>
        <w:rPr>
          <w:rFonts w:hint="eastAsia" w:ascii="宋体" w:hAnsi="宋体" w:eastAsia="宋体" w:cs="宋体"/>
          <w:color w:val="000000"/>
          <w:sz w:val="24"/>
          <w:szCs w:val="24"/>
          <w:lang w:val="en-US" w:eastAsia="zh-CN" w:bidi="ar-SA"/>
        </w:rPr>
      </w:r>
      <w:r/>
    </w:p>
    <w:p>
      <w:pPr>
        <w:pStyle w:val="723"/>
        <w:jc w:val="both"/>
        <w:spacing w:after="0" w:line="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2.8会务人员：35周岁（含）以下，身高165cm或以上，形象良好，专科或以上学历。不符合要求的人员，经采购人面试合格后方可上岗。</w:t>
      </w:r>
      <w:r>
        <w:rPr>
          <w:rFonts w:ascii="宋体" w:hAnsi="宋体" w:eastAsia="宋体" w:cs="宋体"/>
          <w:b/>
          <w:bCs/>
          <w:color w:val="000000"/>
          <w:sz w:val="24"/>
          <w:szCs w:val="24"/>
          <w:lang w:val="en-US" w:eastAsia="zh-CN" w:bidi="ar-SA"/>
        </w:rPr>
      </w:r>
      <w:r/>
    </w:p>
    <w:p>
      <w:pPr>
        <w:pStyle w:val="723"/>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2.9合同签订后上报各岗位人员信息，如有人员变动需及时上报。</w:t>
      </w:r>
      <w:r>
        <w:rPr>
          <w:rFonts w:hint="eastAsia" w:ascii="宋体" w:hAnsi="宋体" w:eastAsia="宋体" w:cs="宋体"/>
          <w:color w:val="000000"/>
          <w:sz w:val="24"/>
          <w:szCs w:val="24"/>
          <w:lang w:val="en-US" w:eastAsia="zh-CN" w:bidi="ar-SA"/>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77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6.供应商对本项目物业服务人员的人身安全负全部责任（包括人身伤害、火灾、物品失窃等，承担相应违约责任），供应商因履职不到位造成采购人财产损失的负全部责任。</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7.本项目物业服务人员统一着装上岗，配备四季服装。</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8.供应商负责配备用于物业管理服务的清洁耗材包括但不限于各类清洁剂、消毒剂、除臭剂、垃圾袋、手套、拖把、抹布等，需满足服务需要以及采购人要求。</w:t>
            </w:r>
            <w:r>
              <w:rPr>
                <w:rFonts w:hint="eastAsia" w:ascii="宋体" w:hAnsi="宋体" w:eastAsia="宋体" w:cs="宋体"/>
                <w:color w:val="000000"/>
                <w:sz w:val="24"/>
                <w:szCs w:val="24"/>
                <w:lang w:val="en-US" w:eastAsia="zh-CN" w:bidi="ar-SA"/>
              </w:rPr>
            </w:r>
            <w:r/>
          </w:p>
          <w:p>
            <w:pPr>
              <w:pStyle w:val="723"/>
              <w:jc w:val="left"/>
              <w:spacing w:after="0" w:line="240" w:lineRule="auto"/>
              <w:widowControl/>
              <w:rPr>
                <w:rStyle w:val="733"/>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9.供应商负责本项目公共设施日常维护保养，主要指日常性的维护和小修项目，界定标准：单个部件维修费用200元（含）以内由供应商承担，200元以上由采购人承担。</w:t>
            </w:r>
            <w:r>
              <w:rPr>
                <w:rStyle w:val="733"/>
                <w:rFonts w:hint="eastAsia" w:ascii="宋体" w:hAnsi="宋体" w:eastAsia="宋体" w:cs="宋体"/>
                <w:b/>
                <w:bCs/>
                <w:color w:val="000000"/>
                <w:spacing w:val="-1"/>
                <w:sz w:val="24"/>
                <w:szCs w:val="24"/>
                <w:vertAlign w:val="baseline"/>
                <w:lang w:val="en-US" w:eastAsia="zh-CN" w:bidi="ar-SA"/>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highlight w:val="none"/>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w:t>
      </w:r>
      <w:r>
        <w:rPr>
          <w:rFonts w:hint="eastAsia" w:ascii="宋体" w:hAnsi="宋体" w:eastAsia="宋体" w:cs="宋体"/>
          <w:b/>
          <w:bCs/>
          <w:i w:val="0"/>
          <w:iCs w:val="0"/>
          <w:color w:val="000000"/>
          <w:sz w:val="24"/>
          <w:szCs w:val="24"/>
          <w:highlight w:val="none"/>
          <w:u w:val="none"/>
          <w:lang w:val="en-US" w:eastAsia="zh-CN"/>
        </w:rPr>
        <w:t xml:space="preserve">在岗人数</w:t>
      </w:r>
      <w:r>
        <w:rPr>
          <w:rFonts w:hint="eastAsia" w:ascii="宋体" w:hAnsi="宋体" w:cs="宋体"/>
          <w:b/>
          <w:bCs/>
          <w:i w:val="0"/>
          <w:iCs w:val="0"/>
          <w:color w:val="000000"/>
          <w:sz w:val="24"/>
          <w:szCs w:val="24"/>
          <w:highlight w:val="none"/>
          <w:u w:val="none"/>
          <w:lang w:val="en-US" w:eastAsia="zh-CN"/>
        </w:rPr>
        <w:t xml:space="preserve">不少于32人（包括安保部岗位10人、工程部岗位12人，保洁部岗位8人，会务部岗位2人）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人员（64人）</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97"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both"/>
        <w:spacing w:after="0" w:line="240" w:lineRule="auto"/>
        <w:rPr>
          <w:rFonts w:hint="eastAsia" w:ascii="宋体" w:hAnsi="宋体" w:eastAsia="宋体" w:cs="宋体"/>
          <w:b/>
          <w:bCs/>
          <w:color w:val="000000"/>
          <w:sz w:val="24"/>
          <w:szCs w:val="24"/>
          <w:highlight w:val="none"/>
        </w:rPr>
      </w:pPr>
      <w:r/>
      <w:bookmarkEnd w:id="196"/>
      <w:r/>
      <w:bookmarkEnd w:id="197"/>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723"/>
        <w:ind w:firstLine="482"/>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3"/>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（考核标准及规定详见附件1）</w:t>
      </w:r>
      <w:r>
        <w:rPr>
          <w:rFonts w:hint="eastAsia" w:ascii="宋体" w:hAnsi="宋体" w:eastAsia="宋体" w:cs="Times New Roman"/>
          <w:b w:val="0"/>
          <w:bCs w:val="0"/>
          <w:color w:val="000000"/>
          <w:spacing w:val="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3"/>
        <w:ind w:firstLine="422"/>
        <w:jc w:val="both"/>
        <w:spacing w:line="440" w:lineRule="exact"/>
        <w:widowControl/>
        <w:rPr>
          <w:rFonts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lang w:val="en-US" w:eastAsia="zh-CN"/>
        </w:rPr>
        <w:t xml:space="preserve">附件1：</w:t>
      </w:r>
      <w:r>
        <w:rPr>
          <w:rFonts w:hint="eastAsia" w:ascii="Times New Roman" w:hAnsi="Times New Roman" w:eastAsia="宋体" w:cs="Times New Roman"/>
          <w:b/>
          <w:color w:val="000000"/>
          <w:szCs w:val="21"/>
          <w:highlight w:val="none"/>
        </w:rPr>
        <w:t xml:space="preserve">考核标准及规定</w:t>
      </w:r>
      <w:r>
        <w:rPr>
          <w:rFonts w:ascii="Times New Roman" w:hAnsi="Times New Roman" w:eastAsia="宋体" w:cs="Times New Roman"/>
          <w:b/>
          <w:color w:val="000000"/>
          <w:szCs w:val="21"/>
          <w:highlight w:val="none"/>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一、考核内容及标准：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    采购人对供应商的考核内容为：南京市公安局交通指挥中心大楼物业服务内容</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考核标准以各项服务内容、要求及标准为依据，施行百分制扣分考核，满分100分。以100分计算，考核金额为合同金额的5%，每分值为(合同金额*5%/100)元。百分制考核按月度进行，按供应商违反考核规定扣减相应分值（所标分值都为单次计分，多次可累加），所扣金额在采购人付合同款时予以扣留。</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考核人：每季度征询不同处室意见，并以表格的形式对物业的工作情况进行打分考核。</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*供应商在响应文件中的所有承诺将纳入考核规定，未达承诺的将参照标准扣除相应的分数。</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二、考核规定：</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（一）违反以下规定，或未达到以下标准、要求的，每次扣1分：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1、房屋完好率98%以上。</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2、房屋零修、急修及时率100%。</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3、房屋零修工程合格率100%。</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4、保持房屋外观完好、整洁，无缺损现象，不碍观瞻。</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5、各种指示牌、标识完好、清洁。</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6、协助做好供水、供电、供气等设施设备正常运转的保障工作，电梯、空调、智能化系统、消防系统等完好率为100%。</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7、做好供水、供电、电梯、消防、空调、监控等设备运行，实行24小时报修值班制度，急修能及时到达现场。</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8、空调运行正常，水塔运行正常且噪音不超标准，无严重滴漏水现象，有中央空调故障处理方案，保证空调系统的正常运行。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9、路灯、楼道灯等照明设备外观整洁、无脱落、无蜘蛛网、无积尘，完好率及维修更换率100%，并按规定时间定时开关。</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10、维修养护制度健全并在工作场所明示，工作标准及岗位责任制明确，执行良好。</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11、道路通畅，路面平坦，道路、停车场平整通畅，交通标志齐全规范。</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12、各设备房及公共场所、场地，有危及人身安全隐患处有明显标志和防范措施。</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13、承担本物业内劳务搬运任务和其他临时性任务。</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14、各岗位人员必须经专业培训，技术合格后，方能上岗。对达不到工作要求的员工，供应商必须及时调换。</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15、工作时间必须统一工作服，不准与便服混穿，不同季节的工作服不准混穿，工作服应干净整洁，不准披衣、敞怀、挽袖、卷裤腿、不戴或歪戴帽子、穿拖鞋或赤足。</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16、仪容仪表：工作时要仪表端正，精神饱满。不准留长头发、大鬓角和胡须。</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17、礼节：安保着制服时遇局领导要立岗、交班行举手礼；参加集会、大型活动奏国歌、升国旗时，要立正行注目礼。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18、举止： 精神饱满，姿态端正，动作规范，举止文明。不得饮酒后上岗，工作时，不准袖手或将手插入衣袋，不准搭肩、挽臂，翘腿、看报、玩手机，吃东西，嘻笑打闹，不准随地吐痰、乱扔废弃物，不做与工作无关的其他事情。</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19、语言：在工作中使用语言要简洁准确，文明规范，接触办证人员时，说话要有礼有节，并讲普通话。</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20、岗位纪律：严格按照法律的规定范围开展岗位工作，严格履行岗位职责，不准做与工作无关的事情，不准顶撞办证人员，不准脱岗、空岗、睡岗，工作无投诉。</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供应商按采购人要求对供应商的各岗位人员在岗在位进行查岗考勤，采购人对此项工作监督考核，发现空岗、脱岗等情况，每人次扣1分。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21、维护院落公共环境卫生，即公用设施和附属建筑物的保洁（包括主次干道、广场、草坪、停车场、垃圾桶、路灯、信箱、消防栓、电闸箱、室外标志等）。户外公共场所保持清洁，地面无纸屑、烟头、杂物等废弃物。</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22、办公楼的公共场所保洁（包括大厅、地下室、走廊、栏杆、通道、电梯、楼梯、卫生间、杂物间等）。地面干爽洁净，无污渍、积水、杂物等，楼道、扶手和栏杆干净无灰尘，公共门框和墙壁无积尘和蜘蛛网。</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23、定期对所管理区域实施消毒和灭“四害”工作。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24、负责做好公共设施的损坏记录，及时上报。</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25、完成其他临时性工作。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26、办公楼大厅玻璃窗无积尘污迹，厅内饮用水具、沙发等设施干净整洁，大厅立柱、墙壁、灯具、顶部无积尘污迹。</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27、垃圾日清，每天上午8:00前，晚上21:00前清理干净。</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28、垃圾实行分类管理，垃圾桶、箱表面干净、无异味、无污渍、无过夜垃圾、内胆干净。</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29、卫生间需制定保洁巡视制度，随时清扫做到地面清洁，无污迹、无积水、无异味，便器清洁、无便迹、无尿垢，下水道畅通，卷纸、擦手纸、洗手液等用品不断档。</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30、每天早上八点前擦拭养护电梯，按期更换电梯、大厅门前地垫并清洗备用。</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31、地下车库水沟通畅，地面无积水，车库保持干净整洁。</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32、建筑外立面墙体和玻璃窗干净铮亮无污迹。</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33、消毒灭害：每月采取先进消杀技术，对窨井、明沟、垃圾桶、卫生间喷洒无毒留药水一次，夏季每月喷洒无毒留药水两次。</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34、办公室内卫生每天按频次和作息时间进行清扫，作业人员不得翻动桌面上、抽屉内的任何东西，对所见内容必须保密。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35、在下雨或下雪时，应在大厅出入门口放置踏垫，以防止客人滑跌，并定期对踏垫拍打或洗涤。</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36、会议服务人员要求：</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（1）仪表得体，要求化淡妆，不浓妆艳抹。</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（2）着装统一整洁，佩戴服务标志，不穿拖鞋、响钉鞋。</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（3）举止规范端庄，不大声喧哗。</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（4）微笑服务，精神饱满，彬彬有礼，保持良好的工作情绪，无投诉。</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（5）禁止在贵宾室扎堆休息。</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（6）工作主动、热情，认真仔细，卫生工作良好，积极完成上级领导交待的各项服务工作。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（7）会议保障人员熟悉采购人各部门楼层分布，举止规范、大方，能正确引导客户到达指定楼层。</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37、必须根据参会人数和形式，按采购人要求进行会场布置；做好茶叶领用；配备好毛巾、烟缸等相关物品，并在会议召开前半小时，将会议室场所及会议主席台、发言席、签到席、横幅（会标）、背景音乐、灯、空调、开水、话筒、音响和多媒体设备准备就绪。</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38、定期对会议室的会议设备进行检查，并做好检查记录，如有问题应及时报告处理。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39、会议召开后，非涉密会议必须有一名服务人员在会场内，为参会人员提供必要的会议服务，对知悉的会议内容必须保密。会议结束，做好现场的保洁及相关设备、物品的清点、归还（归位）、存库等工作。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40、负责配电房的运行记录以及资料、图纸的整理、归档、保存工作，设施设备的运行、检查、维修、保养等记录齐全。</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41、按规定做好配电房继电保护、变压器试验、高压隔离开关、避雷器、电容器、接地、安全操作工具等耐压试验。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42、保证配电房设备可靠、高效率的安全运行。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43、每周对弱电设备进行巡查、保养一次，每次巡查后出具巡检报告，并存档备查。</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44、采购人发现问题时，由专人及时通知弱电维修工，弱电维修工在接到通知后及时到现场排除故障。如遇较大故障当场无法修复的，必须在3个工作日内修复使用。</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45、保持公共设备设施的完好，若出现问题及时响应，及时保养维修。</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46、对楼道内消防设施进行安全检查，消防通道应保持畅通无杂物。</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47、洗衣房服务：</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（1）在接收时，认真检查制服的内外是否有破损和异常地方，并当面指出并做好登记工作。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 （2）对号领发制服，不能出现差错。负责对洗衣设备的运行进行日常的检查，出现异常及时通知工程维修人员到场维修，排除故障。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（3）对局领导的洗衣服务做到认真细心、及时周到。</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48、健身房服务要求：</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（1）在开放期间，有专人检查、登记，未经允许不得离开岗位。</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（2）严格按开放时间开放，未经允许不得提前或延长开放时间。</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（3）开放前、结束后，检查各种健身器材和设备并摆放整齐。对有问题的健身器材和设备及时报告并做好对健身人员的提醒。</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（4）细心观察场内情况，及时提醒健身人员注意事项，对伤者提供及时救助。</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（5）结束后，做好场内保洁工作，关闭健身器材及灯光，锁好门窗。</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（二）违反以下规定，或未达到以下标准、要求的，每次扣2分：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1、物业管理范围内不得有任何违章建筑。</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2、维修过程的组织、安全和规范应达到国标。</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3、设备台账、图纸档案、运行记录、检查记录、维修记录、保养记录完整，保证运行正常。</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4、供水、供电设备严格按国家规范管理，符合国家标准，运行状况良好，有可行的应急方案，确保供水、供电系统的正常运行。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根据要求，对安保队伍的管理情况进行全面检查考核。安保部部长每天对安保服务工作进行例行检查，安保部部长每周对安保服务工作至少进行两次监督抽查，项目经理每周对安保服务工作至少进行一次监督抽查，以上检查方式均要填写《安保服务质量检查考核记录表》。</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6、办公楼外墙的清洁（清洗每年二次）。</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7、二次供水水箱定期清洗，每年二次清洗、消毒水箱，供水水质符合国家生活用水标准，并有卫生监督部门对供水的水验报告。</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8、收发室报刊、邮件管理有序、规范，不出现延误、遗漏的情况。</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9、所有配电房值班人员必须持证上岗，建立健全管理制度，严格操作规程，明确正常的供电、停电、限电审批权限，确保无重大管理责任事故。配电房均实行24小时值班（四班三运转）。</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安全监控、消防监控实行24小时值班制度，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11、安保人员对外部人员来访办事，须按规定做好相关登记、电话确认及衔接工作，对出入口要进行把守、查验，对信访人员一律引导至信访接待中心，不允许进入大楼。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12、指挥、疏导出入车辆，停车规范、有序，协助做好来访接待工作，以及其他安全保卫工作。</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13、禁止工作场所吸烟。</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14、地下车库的管理人员必须在岗在位，定期巡查，及时发现安全隐患，随叫随到，不发生供应商责任事故。</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15、项目经理负责项目所有工作岗位、职责合理安排，制定各岗位应急预案，支持日常管理工作，检查工作落实情况，布置工作任务，协调员工关系，监督保洁、工程维修等服务，确保工作有序，对存在问题及时整改并有效预防，定期与采购人沟通，不欺骗，不隐瞒，及时收集、整理、汇总并妥善保管物业管理档案资料，档案管理符合要求。</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16、供应商调换在响应文件中答应安排在采购人的一般工作人员，没有书面提出并经采购人同意的每人次扣2分。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17、供应商接到采购人及采购人工作人员关于排除妨碍、故障维修、紧急求助等情况的指令或电话时应当及时响应，未派员到达现场或者到达现场时间超过5分钟的，每次扣2分。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（三）违反以下规定，或未达到以下标准、要求的，每次扣3分：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1、供应商安排在采购人物业的工作人员，一律要经过采购人的政审，合格后才能上岗。</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2、遵守服务单位内部的各项规章制度，对服务单位内部的机密事项，不准随意打听、记录、传播。有重要情况要妥善处理并及时上报，不准迟报、漏报、隐瞒不报。</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3、严格遵守保密协议，不该说的绝对不说，不该打听的绝对不打听。</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4、电梯严格按国家规定进行管理，认真落实维修保养措施，运行、养护记录完整，轿厢、井道、机房保持清洁，编制电梯应急方案，运行故障出现后，按规定时间维修人员到达现场，确保电梯的安全运行。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5、消防系统设备完好无损，可以随时启动，严格按消防设备操作规程操作，消防设备的管理与火灾应急方案紧密结合，确保消防系统万无一失。</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若发生零配件更换的，须得到采购人认可，并将更换的设施、配件归还采购人。维保期间如因维修保养工作不到位，相关设备不能正常工作发生故障的，所造成的责任事故及经济损失全部由供应商承担，并承担相应法律责任。</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7、对设备故障及重大事件有完善的应急方案和现场处理措施、处理记录。</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8、未按照采购人的要求，未能按时完成由供应商承担的系统设备维护保养（包括加油、测试、疏通、清洗、更换易耗件等）的。</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9、供应商调换在响应文件中答应安排在采购人的部长类骨干人员，没有书面提出并经采购人同意的每人次扣3分。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10、供应商没有兑现在响应文件中承诺投入本项目的安全、保洁等设备，每少1件扣3分。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（四）违反以下规定，或未达到以下标准、要求的，每次扣6分：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1、供应商调换在响应文件中答应安排在采购人的项目经理，没有书面提出并经采购人同意的每人次扣6分。</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2、供应商内部员工出现偷盗、泄密行为的。</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（五）出现以下情形，供应商考核结果为不合格，采购人可以解除合同：</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1、合同前三个月为试用期，试用期内采购人对供应商的考核扣分累计达到20分及以上的。</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2、一个合同周期内，采购人对供应商的考核扣分累计达到50分及以上的。</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3、在履行合同过程中，查岗发现供应商岗位人员缺失人数和专业岗位人员无资质证书人数累计达到合同约定总人数的10%，即6个人以上的。</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4、在履行合同过程中发生有影响的安全责任事故，具体如下：</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（1）因供应商履职不到位造成采购人的水电气、消防、电梯、机械车库等相关设备不能正常运转；</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（2）因供应商责任造成采购人被上级机关通报批评或被媒体恶意炒作。</w:t>
      </w:r>
      <w:r>
        <w:rPr>
          <w:rFonts w:hint="eastAsia" w:ascii="宋体" w:hAnsi="宋体" w:eastAsia="宋体" w:cs="宋体"/>
          <w:bCs w:val="0"/>
          <w:color w:val="000000"/>
          <w:sz w:val="24"/>
          <w:szCs w:val="24"/>
          <w:highlight w:val="none"/>
          <w:lang w:val="en-US" w:eastAsia="zh-CN"/>
        </w:rPr>
      </w:r>
      <w:r/>
    </w:p>
    <w:p>
      <w:pPr>
        <w:pStyle w:val="723"/>
        <w:rPr>
          <w:rFonts w:ascii="Times New Roman" w:hAnsi="Times New Roman" w:eastAsia="宋体" w:cs="Times New Roman"/>
        </w:rPr>
      </w:pPr>
      <w:r>
        <w:rPr>
          <w:rFonts w:ascii="Times New Roman" w:hAnsi="Times New Roman" w:eastAsia="宋体" w:cs="Times New Roman"/>
        </w:rPr>
      </w:r>
      <w:r/>
    </w:p>
    <w:p>
      <w:pPr>
        <w:pStyle w:val="723"/>
        <w:jc w:val="both"/>
        <w:spacing w:line="440" w:lineRule="exact"/>
        <w:widowControl/>
        <w:rPr>
          <w:rFonts w:hint="eastAsia" w:ascii="Times New Roman" w:hAnsi="Times New Roman" w:eastAsia="宋体" w:cs="Times New Roman"/>
          <w:b/>
          <w:color w:val="000000"/>
          <w:szCs w:val="21"/>
          <w:highlight w:val="none"/>
          <w:lang w:val="en-US" w:eastAsia="zh-CN"/>
        </w:rPr>
      </w:pPr>
      <w:r>
        <w:rPr>
          <w:rFonts w:hint="eastAsia" w:ascii="Times New Roman" w:hAnsi="Times New Roman" w:eastAsia="宋体" w:cs="Times New Roman"/>
          <w:b/>
          <w:color w:val="000000"/>
          <w:szCs w:val="21"/>
          <w:highlight w:val="none"/>
          <w:lang w:val="en-US" w:eastAsia="zh-CN"/>
        </w:rPr>
        <w:t xml:space="preserve">附件2：系统设备清单</w:t>
      </w:r>
      <w:r>
        <w:rPr>
          <w:rFonts w:hint="eastAsia" w:ascii="Times New Roman" w:hAnsi="Times New Roman" w:eastAsia="宋体" w:cs="Times New Roman"/>
          <w:b/>
          <w:color w:val="000000"/>
          <w:szCs w:val="21"/>
          <w:highlight w:val="none"/>
          <w:lang w:val="en-US" w:eastAsia="zh-CN"/>
        </w:rPr>
      </w:r>
      <w:r/>
    </w:p>
    <w:p>
      <w:pPr>
        <w:pStyle w:val="723"/>
        <w:rPr>
          <w:rFonts w:ascii="Times New Roman" w:hAnsi="Times New Roman" w:eastAsia="宋体" w:cs="Times New Roman"/>
        </w:rPr>
      </w:pPr>
      <w:r>
        <w:rPr>
          <w:rFonts w:ascii="Times New Roman" w:hAnsi="Times New Roman" w:eastAsia="宋体" w:cs="Times New Roman"/>
        </w:rPr>
      </w:r>
      <w:r/>
    </w:p>
    <w:tbl>
      <w:tblPr>
        <w:tblW w:w="96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7"/>
        <w:gridCol w:w="661"/>
        <w:gridCol w:w="98"/>
        <w:gridCol w:w="1058"/>
        <w:gridCol w:w="1335"/>
        <w:gridCol w:w="2265"/>
        <w:gridCol w:w="653"/>
        <w:gridCol w:w="1904"/>
        <w:gridCol w:w="1080"/>
      </w:tblGrid>
      <w:tr>
        <w:trPr>
          <w:trHeight w:val="558"/>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设备名称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使用</w:t>
            </w:r>
            <w:r>
              <w:rPr>
                <w:rFonts w:ascii="Times New Roman" w:hAnsi="Times New Roman" w:eastAsia="宋体" w:cs="Times New Roman"/>
                <w:color w:val="000000"/>
                <w:sz w:val="21"/>
                <w:szCs w:val="21"/>
              </w:rPr>
              <w:t xml:space="preserve">品牌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型号/类型</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数量</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供货单位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维保情况</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1</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none" w:color="000000" w:sz="4" w:space="0"/>
              <w:right w:val="single" w:color="000000" w:sz="4" w:space="0"/>
            </w:tcBorders>
            <w:tcW w:w="661" w:type="dxa"/>
            <w:vAlign w:val="center"/>
            <w:vMerge w:val="restart"/>
            <w:textDirection w:val="lrTb"/>
            <w:noWrap/>
          </w:tcPr>
          <w:p>
            <w:pPr>
              <w:pStyle w:val="723"/>
              <w:jc w:val="center"/>
              <w:rPr>
                <w:rFonts w:ascii="Times New Roman" w:hAnsi="Times New Roman" w:eastAsia="宋体" w:cs="Times New Roman"/>
                <w:color w:val="000000"/>
                <w:sz w:val="21"/>
                <w:szCs w:val="21"/>
                <w:lang w:val="en-US"/>
              </w:rPr>
            </w:pPr>
            <w:r>
              <w:rPr>
                <w:rFonts w:hint="eastAsia" w:ascii="Times New Roman" w:hAnsi="Times New Roman" w:eastAsia="宋体" w:cs="Times New Roman"/>
                <w:b/>
                <w:bCs/>
                <w:color w:val="000000"/>
                <w:sz w:val="21"/>
                <w:szCs w:val="21"/>
                <w:lang w:val="en-US"/>
              </w:rPr>
              <w:t xml:space="preserve">制热系统</w:t>
            </w:r>
            <w:r>
              <w:rPr>
                <w:rFonts w:ascii="Times New Roman" w:hAnsi="Times New Roman" w:eastAsia="宋体" w:cs="Times New Roman"/>
                <w:color w:val="000000"/>
                <w:sz w:val="21"/>
                <w:szCs w:val="21"/>
                <w:lang w:val="en-US"/>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菲斯曼</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Vitoplex2000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江苏伟业安装集团有限公司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太阳能热水设备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Vitopsol300-TCD</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60组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none" w:color="000000" w:sz="4" w:space="0"/>
              <w:right w:val="single" w:color="000000" w:sz="4" w:space="0"/>
            </w:tcBorders>
            <w:tcW w:w="1156"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锅炉、太阳能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锅炉热水循环泵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甲供，伟业施工</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热水循环泵CR1-3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太阳能供水水泵CR10-2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江苏伟业安装集团有限公司</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太阳能循环水泵CR32-2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single" w:color="000000" w:sz="4" w:space="0"/>
              <w:right w:val="single" w:color="000000" w:sz="4" w:space="0"/>
            </w:tcBorders>
            <w:tcW w:w="1156"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热水循环泵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2</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none" w:color="000000" w:sz="4" w:space="0"/>
              <w:right w:val="single" w:color="000000" w:sz="4" w:space="0"/>
            </w:tcBorders>
            <w:tcW w:w="661" w:type="dxa"/>
            <w:vAlign w:val="center"/>
            <w:vMerge w:val="restart"/>
            <w:textDirection w:val="lrTb"/>
            <w:noWrap/>
          </w:tcPr>
          <w:p>
            <w:pPr>
              <w:pStyle w:val="723"/>
              <w:jc w:val="center"/>
              <w:rPr>
                <w:rFonts w:ascii="Times New Roman" w:hAnsi="Times New Roman" w:eastAsia="宋体" w:cs="Times New Roman"/>
                <w:color w:val="000000"/>
                <w:sz w:val="21"/>
                <w:szCs w:val="21"/>
              </w:rPr>
            </w:pPr>
            <w:r>
              <w:rPr>
                <w:rFonts w:hint="eastAsia" w:ascii="Times New Roman" w:hAnsi="Times New Roman" w:eastAsia="宋体" w:cs="Times New Roman"/>
                <w:b/>
                <w:bCs/>
                <w:color w:val="000000"/>
                <w:sz w:val="21"/>
                <w:szCs w:val="21"/>
                <w:lang w:val="en-US"/>
              </w:rPr>
              <w:t xml:space="preserve">制冷系统</w:t>
            </w: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冷水机组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顿汉布什</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WCFX46T</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南京卓越楼宇设备有限公司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冷却塔设备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斯频</w:t>
            </w:r>
            <w:r>
              <w:rPr>
                <w:rFonts w:hint="eastAsia" w:ascii="Times New Roman" w:hAnsi="Times New Roman" w:eastAsia="宋体" w:cs="Times New Roman"/>
                <w:color w:val="000000"/>
                <w:sz w:val="21"/>
                <w:szCs w:val="21"/>
                <w:lang w:val="en-US" w:eastAsia="zh-CN"/>
              </w:rPr>
              <w:t xml:space="preserve">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CAT-400UFWH-F</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冷冻泵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350M3/h 28mH=20 N=37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冷却泵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250M3/h 34mH=20 N=37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3</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none" w:color="000000" w:sz="4" w:space="0"/>
              <w:right w:val="single" w:color="000000" w:sz="4" w:space="0"/>
            </w:tcBorders>
            <w:tcW w:w="1817" w:type="dxa"/>
            <w:vAlign w:val="center"/>
            <w:vMerge w:val="restart"/>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污水泵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50JYWQ10-10-1200-0.75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无</w:t>
            </w:r>
            <w:r>
              <w:rPr>
                <w:rFonts w:ascii="Times New Roman" w:hAnsi="Times New Roman" w:eastAsia="宋体" w:cs="Times New Roman"/>
                <w:color w:val="000000"/>
                <w:sz w:val="21"/>
                <w:szCs w:val="21"/>
                <w:lang w:val="en-US"/>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none" w:color="000000" w:sz="4" w:space="0"/>
              <w:right w:val="single" w:color="000000" w:sz="4" w:space="0"/>
            </w:tcBorders>
            <w:tcW w:w="181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65JYWQ25-15-1400-2.2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single" w:color="000000" w:sz="4" w:space="0"/>
              <w:right w:val="single" w:color="000000" w:sz="4" w:space="0"/>
            </w:tcBorders>
            <w:tcW w:w="181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80JYWQ40-15-1600-4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921"/>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4</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自动平移感应门</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瑞士KABA-GILGEN</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SLM</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南京安景自动化门控有限公司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5</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法国卫星提前放电避雷针</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SATELIT</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E.S.E2500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南京欧文达科技工程有限公司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6</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高压柜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KYM28-10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国电南京自动化股份有限公司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无</w:t>
            </w:r>
            <w:r>
              <w:rPr>
                <w:rFonts w:ascii="Times New Roman" w:hAnsi="Times New Roman" w:eastAsia="宋体" w:cs="Times New Roman"/>
                <w:color w:val="000000"/>
                <w:sz w:val="21"/>
                <w:szCs w:val="21"/>
                <w:lang w:val="en-US"/>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直流屏</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NST-GZDW33-80/220/F2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低压柜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MNS</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江苏南自通华电气集团有限公司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1139"/>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变压器</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SCB11-2000KVA</w:t>
            </w:r>
            <w:r>
              <w:rPr>
                <w:rFonts w:hint="eastAsia" w:ascii="Times New Roman" w:hAnsi="Times New Roman" w:eastAsia="宋体" w:cs="Times New Roman"/>
                <w:color w:val="000000"/>
                <w:sz w:val="21"/>
                <w:szCs w:val="21"/>
                <w:lang w:val="en-US" w:eastAsia="zh-CN"/>
              </w:rPr>
            </w:r>
            <w:r/>
          </w:p>
          <w:p>
            <w:pPr>
              <w:pStyle w:val="723"/>
              <w:jc w:val="both"/>
              <w:rPr>
                <w:rFonts w:hint="eastAsia" w:ascii="Times New Roman" w:hAnsi="Times New Roman" w:eastAsia="宋体" w:cs="Times New Roman"/>
                <w:color w:val="000000"/>
                <w:sz w:val="21"/>
                <w:szCs w:val="21"/>
                <w:u w:val="none"/>
                <w:lang w:val="en-US" w:eastAsia="zh-CN"/>
              </w:rPr>
            </w:pPr>
            <w:r>
              <w:rPr>
                <w:rFonts w:hint="eastAsia" w:ascii="Times New Roman" w:hAnsi="Times New Roman" w:eastAsia="宋体" w:cs="Times New Roman"/>
                <w:color w:val="000000"/>
                <w:sz w:val="21"/>
                <w:szCs w:val="21"/>
                <w:lang w:val="en-US" w:eastAsia="zh-CN"/>
              </w:rPr>
              <w:t xml:space="preserve">10</w:t>
            </w:r>
            <w:r>
              <w:rPr>
                <w:rFonts w:hint="eastAsia" w:ascii="Times New Roman" w:hAnsi="Times New Roman" w:eastAsia="宋体" w:cs="Times New Roman"/>
                <w:color w:val="000000"/>
                <w:sz w:val="21"/>
                <w:szCs w:val="21"/>
                <w:u w:val="single"/>
                <w:lang w:val="en-US" w:eastAsia="zh-CN"/>
              </w:rPr>
              <w:t xml:space="preserve">+</w:t>
            </w:r>
            <w:r>
              <w:rPr>
                <w:rFonts w:hint="eastAsia" w:ascii="Times New Roman" w:hAnsi="Times New Roman" w:eastAsia="宋体" w:cs="Times New Roman"/>
                <w:color w:val="000000"/>
                <w:sz w:val="21"/>
                <w:szCs w:val="21"/>
                <w:u w:val="none"/>
                <w:lang w:val="en-US" w:eastAsia="zh-CN"/>
              </w:rPr>
              <w:t xml:space="preserve">2</w:t>
            </w:r>
            <w:r>
              <w:rPr>
                <w:rFonts w:ascii="Arial" w:hAnsi="Arial" w:eastAsia="宋体" w:cs="Arial"/>
                <w:color w:val="000000"/>
                <w:sz w:val="21"/>
                <w:szCs w:val="21"/>
                <w:u w:val="none"/>
                <w:lang w:val="en-US" w:eastAsia="zh-CN"/>
              </w:rPr>
              <w:t xml:space="preserve">×</w:t>
            </w:r>
            <w:r>
              <w:rPr>
                <w:rFonts w:hint="eastAsia" w:ascii="Times New Roman" w:hAnsi="Times New Roman" w:eastAsia="宋体" w:cs="Times New Roman"/>
                <w:color w:val="000000"/>
                <w:sz w:val="21"/>
                <w:szCs w:val="21"/>
                <w:u w:val="none"/>
                <w:lang w:val="en-US" w:eastAsia="zh-CN"/>
              </w:rPr>
              <w:t xml:space="preserve">2.5%/0.4KV</w:t>
            </w:r>
            <w:r>
              <w:rPr>
                <w:rFonts w:hint="eastAsia" w:ascii="Times New Roman" w:hAnsi="Times New Roman" w:eastAsia="宋体" w:cs="Times New Roman"/>
                <w:color w:val="000000"/>
                <w:sz w:val="21"/>
                <w:szCs w:val="21"/>
                <w:u w:val="none"/>
                <w:lang w:val="en-US" w:eastAsia="zh-CN"/>
              </w:rPr>
            </w:r>
            <w:r/>
          </w:p>
          <w:p>
            <w:pPr>
              <w:pStyle w:val="723"/>
              <w:jc w:val="both"/>
              <w:rPr>
                <w:rFonts w:ascii="Times New Roman" w:hAnsi="Times New Roman" w:eastAsia="宋体" w:cs="Times New Roman"/>
                <w:color w:val="000000"/>
                <w:sz w:val="21"/>
                <w:szCs w:val="21"/>
                <w:u w:val="none"/>
                <w:lang w:val="en-US" w:eastAsia="zh-CN"/>
              </w:rPr>
            </w:pPr>
            <w:r>
              <w:rPr>
                <w:rFonts w:hint="eastAsia" w:ascii="Times New Roman" w:hAnsi="Times New Roman" w:eastAsia="宋体" w:cs="Times New Roman"/>
                <w:color w:val="000000"/>
                <w:sz w:val="21"/>
                <w:szCs w:val="21"/>
                <w:u w:val="none"/>
                <w:lang w:val="en-US" w:eastAsia="zh-CN"/>
              </w:rPr>
              <w:t xml:space="preserve">D,Yn11UK%=6%</w:t>
            </w:r>
            <w:r>
              <w:rPr>
                <w:rFonts w:ascii="Times New Roman" w:hAnsi="Times New Roman" w:eastAsia="宋体" w:cs="Times New Roman"/>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南京栖摄电力安装工程有限公司</w:t>
            </w:r>
            <w:r>
              <w:rPr>
                <w:rFonts w:ascii="Times New Roman" w:hAnsi="Times New Roman" w:eastAsia="宋体" w:cs="Times New Roman"/>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节能监管平台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研华工控机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内存8G</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南京兆景科技实业有限公司</w:t>
            </w: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0"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7</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none" w:color="000000" w:sz="4" w:space="0"/>
              <w:right w:val="single" w:color="000000" w:sz="4" w:space="0"/>
            </w:tcBorders>
            <w:tcW w:w="1817"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UPS电源设备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250KVA系统电池12V100AH</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北京比特瑞旺电脑有限公司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rPr>
            </w:r>
            <w:r/>
          </w:p>
        </w:tc>
      </w:tr>
      <w:tr>
        <w:trPr>
          <w:trHeight w:val="360"/>
        </w:trPr>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none" w:color="000000" w:sz="4" w:space="0"/>
              <w:right w:val="single" w:color="000000" w:sz="4" w:space="0"/>
            </w:tcBorders>
            <w:tcW w:w="181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250KVA电气功率柜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0"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single" w:color="000000" w:sz="4" w:space="0"/>
              <w:right w:val="single" w:color="000000" w:sz="4" w:space="0"/>
            </w:tcBorders>
            <w:tcW w:w="181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160KVA电气功率柜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rPr>
              <w:t xml:space="preserve">8</w:t>
            </w:r>
            <w:r>
              <w:rPr>
                <w:rFonts w:ascii="Times New Roman" w:hAnsi="Times New Roman" w:eastAsia="宋体" w:cs="Times New Roman"/>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通力</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 MiniSpace PT21/25-19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通力电梯有限公司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rPr>
            </w:r>
            <w:r/>
          </w:p>
        </w:tc>
      </w:tr>
      <w:tr>
        <w:trPr>
          <w:trHeight w:val="643"/>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客梯（消防梯）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PT15/25-19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PT18/18-19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649"/>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PT13/18-19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9</w:t>
            </w:r>
            <w:r>
              <w:rPr>
                <w:rFonts w:ascii="Times New Roman" w:hAnsi="Times New Roman" w:eastAsia="宋体" w:cs="Times New Roman"/>
                <w:sz w:val="21"/>
                <w:szCs w:val="21"/>
                <w:lang w:val="en-US"/>
              </w:rPr>
            </w:r>
            <w:r/>
          </w:p>
        </w:tc>
        <w:tc>
          <w:tcPr>
            <w:gridSpan w:val="2"/>
            <w:tcBorders>
              <w:top w:val="single" w:color="000000" w:sz="4" w:space="0"/>
              <w:left w:val="single" w:color="000000" w:sz="4" w:space="0"/>
              <w:bottom w:val="none" w:color="000000" w:sz="4" w:space="0"/>
              <w:right w:val="single" w:color="000000" w:sz="4" w:space="0"/>
            </w:tcBorders>
            <w:tcW w:w="759" w:type="dxa"/>
            <w:vAlign w:val="center"/>
            <w:vMerge w:val="restart"/>
            <w:textDirection w:val="lrTb"/>
            <w:noWrap/>
          </w:tcPr>
          <w:p>
            <w:pPr>
              <w:pStyle w:val="723"/>
              <w:jc w:val="center"/>
              <w:rPr>
                <w:rFonts w:ascii="Times New Roman" w:hAnsi="Times New Roman" w:eastAsia="宋体" w:cs="Times New Roman"/>
                <w:color w:val="000000"/>
                <w:sz w:val="21"/>
                <w:szCs w:val="21"/>
              </w:rPr>
            </w:pPr>
            <w:r>
              <w:rPr>
                <w:rFonts w:hint="eastAsia" w:ascii="Times New Roman" w:hAnsi="Times New Roman" w:eastAsia="宋体" w:cs="Times New Roman"/>
                <w:b/>
                <w:bCs/>
                <w:color w:val="000000"/>
                <w:sz w:val="21"/>
                <w:szCs w:val="21"/>
                <w:lang w:val="en-US"/>
              </w:rPr>
              <w:t xml:space="preserve">消防系统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七氟丙烷灭火系统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友发钢管</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DN40、DN50、DN65、DN80、DN100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共146.2米</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南京市消防工程有限公司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color w:val="000000"/>
                <w:sz w:val="21"/>
                <w:szCs w:val="21"/>
                <w:lang w:val="en-US"/>
              </w:rPr>
              <w:t xml:space="preserve">有</w:t>
            </w:r>
            <w:r>
              <w:rPr>
                <w:rFonts w:ascii="Times New Roman" w:hAnsi="Times New Roman" w:eastAsia="宋体" w:cs="Times New Roman"/>
                <w:sz w:val="21"/>
                <w:szCs w:val="21"/>
              </w:rPr>
            </w:r>
            <w:r/>
          </w:p>
        </w:tc>
      </w:tr>
      <w:tr>
        <w:trPr>
          <w:trHeight w:val="69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应天</w:t>
            </w: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选择阀2个、气体喷头14个、压力信号器（KY-1）2个、贮存装置1套、安全阀1个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七氟丙烷柜式灭火系统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120L灭火剂/105kg/瓶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120L灭火剂/120kg/瓶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120L灭火剂/100kg/瓶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胜捷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180L灭火剂170kg/瓶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变流恒压自动喷淋加压泵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XBD10/40-SLH N75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tabs>
                <w:tab w:val="left" w:pos="225" w:leader="none"/>
                <w:tab w:val="center" w:pos="492" w:leader="none"/>
              </w:tabs>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XBD8/30-SLH N45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XBD4/30-SLH N30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textDirection w:val="lrTb"/>
            <w:noWrap/>
          </w:tcPr>
          <w:p>
            <w:pPr>
              <w:pStyle w:val="723"/>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105中控台消防</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GST</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JB-QT-GST5000</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1台</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9bbb59"/>
                <w:sz w:val="21"/>
                <w:szCs w:val="21"/>
              </w:rPr>
            </w:pPr>
            <w:r>
              <w:rPr>
                <w:rFonts w:ascii="Times New Roman" w:hAnsi="Times New Roman" w:eastAsia="宋体" w:cs="Times New Roman"/>
                <w:color w:val="9bbb59"/>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消防稳压泵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10</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二层升降横移链条式停车设备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赐宝</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PSH-11型</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152个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rPr>
              <w:t xml:space="preserve">上海赐宝停车设备制造有限公司</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rPr>
              <w:t xml:space="preserve">1</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一卡通系统</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清华同方</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版本2.1.12.1212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中源智能</w:t>
            </w:r>
            <w:r>
              <w:rPr>
                <w:rFonts w:ascii="Times New Roman" w:hAnsi="Times New Roman" w:eastAsia="宋体" w:cs="Times New Roman"/>
                <w:sz w:val="21"/>
                <w:szCs w:val="21"/>
                <w:lang w:val="en-US"/>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有</w:t>
            </w:r>
            <w:r>
              <w:rPr>
                <w:rFonts w:ascii="Times New Roman" w:hAnsi="Times New Roman" w:eastAsia="宋体" w:cs="Times New Roman"/>
                <w:sz w:val="21"/>
                <w:szCs w:val="21"/>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rPr>
              <w:t xml:space="preserve">2</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监控系统</w:t>
            </w:r>
            <w:r>
              <w:rPr>
                <w:rFonts w:ascii="Times New Roman" w:hAnsi="Times New Roman" w:eastAsia="宋体" w:cs="Times New Roman"/>
                <w:sz w:val="21"/>
                <w:szCs w:val="21"/>
              </w:rPr>
            </w:r>
            <w:r/>
          </w:p>
        </w:tc>
        <w:tc>
          <w:tcPr>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海康威视</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DS-8616N-K8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南京</w:t>
            </w:r>
            <w:r>
              <w:rPr>
                <w:rFonts w:hint="eastAsia" w:ascii="Times New Roman" w:hAnsi="Times New Roman" w:eastAsia="宋体" w:cs="Times New Roman"/>
                <w:sz w:val="21"/>
                <w:szCs w:val="21"/>
                <w:lang w:val="en-US"/>
              </w:rPr>
              <w:t xml:space="preserve">科鑫数据系统有限公司</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有</w:t>
            </w:r>
            <w:r>
              <w:rPr>
                <w:rFonts w:ascii="Times New Roman" w:hAnsi="Times New Roman" w:eastAsia="宋体" w:cs="Times New Roman"/>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13</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周界系统</w:t>
            </w:r>
            <w:r>
              <w:rPr>
                <w:rFonts w:ascii="Times New Roman" w:hAnsi="Times New Roman" w:eastAsia="宋体" w:cs="Times New Roman"/>
                <w:sz w:val="21"/>
                <w:szCs w:val="21"/>
                <w:lang w:val="en-US"/>
              </w:rPr>
            </w:r>
            <w:r/>
          </w:p>
        </w:tc>
        <w:tc>
          <w:tcPr>
            <w:tcBorders>
              <w:top w:val="non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723"/>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723"/>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23"/>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723"/>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23"/>
              <w:jc w:val="both"/>
              <w:rPr>
                <w:rFonts w:ascii="Times New Roman" w:hAnsi="Times New Roman" w:eastAsia="宋体" w:cs="Times New Roman"/>
                <w:sz w:val="21"/>
                <w:szCs w:val="21"/>
                <w:lang w:val="en-US"/>
              </w:rPr>
            </w:pPr>
            <w:r>
              <w:rPr>
                <w:rFonts w:hint="eastAsia" w:ascii="Times New Roman" w:hAnsi="Times New Roman" w:eastAsia="宋体" w:cs="Times New Roman"/>
                <w:color w:val="76923c"/>
                <w:sz w:val="21"/>
                <w:szCs w:val="21"/>
                <w:lang w:val="en-US"/>
              </w:rPr>
              <w:t xml:space="preserve">有</w:t>
            </w:r>
            <w:r>
              <w:rPr>
                <w:rFonts w:ascii="Times New Roman" w:hAnsi="Times New Roman" w:eastAsia="宋体" w:cs="Times New Roman"/>
                <w:sz w:val="21"/>
                <w:szCs w:val="21"/>
                <w:lang w:val="en-US"/>
              </w:rPr>
            </w:r>
            <w:r/>
          </w:p>
        </w:tc>
      </w:tr>
    </w:tbl>
    <w:p>
      <w:pPr>
        <w:pStyle w:val="1045"/>
        <w:ind w:left="0" w:firstLine="241"/>
        <w:jc w:val="both"/>
        <w:keepLines w:val="0"/>
        <w:keepNext w:val="0"/>
        <w:pageBreakBefore w:val="0"/>
        <w:spacing w:line="360" w:lineRule="auto"/>
        <w:widowControl/>
        <w:rPr>
          <w:rFonts w:hint="eastAsia"/>
          <w:b/>
          <w:bCs/>
          <w:color w:val="000000"/>
          <w:sz w:val="24"/>
          <w:szCs w:val="24"/>
        </w:rPr>
      </w:pPr>
      <w:r>
        <w:rPr>
          <w:rFonts w:hint="eastAsia" w:hAnsi="宋体"/>
          <w:b/>
          <w:bCs/>
          <w:color w:val="000000"/>
          <w:sz w:val="24"/>
          <w:szCs w:val="24"/>
        </w:rPr>
        <w:t xml:space="preserve">注：表中第1项制热系统、第2项制冷系统、</w:t>
      </w:r>
      <w:r>
        <w:rPr>
          <w:rFonts w:hint="eastAsia"/>
          <w:b/>
          <w:bCs/>
          <w:color w:val="000000"/>
          <w:sz w:val="24"/>
          <w:szCs w:val="24"/>
        </w:rPr>
        <w:t xml:space="preserve">第3项污水泵、</w:t>
      </w:r>
      <w:r>
        <w:rPr>
          <w:rFonts w:hint="eastAsia" w:hAnsi="宋体"/>
          <w:b/>
          <w:bCs/>
          <w:color w:val="000000"/>
          <w:sz w:val="24"/>
          <w:szCs w:val="24"/>
        </w:rPr>
        <w:t xml:space="preserve">第4项</w:t>
      </w:r>
      <w:r>
        <w:rPr>
          <w:b/>
          <w:bCs/>
          <w:color w:val="000000"/>
          <w:sz w:val="24"/>
          <w:szCs w:val="24"/>
        </w:rPr>
        <w:t xml:space="preserve">自动平移感应门</w:t>
      </w:r>
      <w:r>
        <w:rPr>
          <w:rFonts w:hint="eastAsia"/>
          <w:b/>
          <w:bCs/>
          <w:color w:val="000000"/>
          <w:sz w:val="24"/>
          <w:szCs w:val="24"/>
        </w:rPr>
        <w:t xml:space="preserve">、第5项法国卫星提前放电避雷针、第6项配电房设备维保均由供应商负责。</w:t>
      </w:r>
      <w:r>
        <w:rPr>
          <w:rFonts w:hint="eastAsia"/>
          <w:b/>
          <w:bCs/>
          <w:color w:val="000000"/>
          <w:sz w:val="24"/>
          <w:szCs w:val="24"/>
        </w:rPr>
      </w:r>
      <w:r/>
    </w:p>
    <w:p>
      <w:pPr>
        <w:pStyle w:val="1045"/>
        <w:ind w:firstLine="0"/>
        <w:spacing w:line="360" w:lineRule="auto"/>
        <w:rPr>
          <w:rFonts w:eastAsia="宋体"/>
          <w:b/>
          <w:bCs/>
          <w:color w:val="000000"/>
          <w:sz w:val="24"/>
          <w:szCs w:val="24"/>
          <w:lang w:val="en-US" w:eastAsia="zh-CN"/>
        </w:rPr>
      </w:pPr>
      <w:r>
        <w:rPr>
          <w:rFonts w:hint="eastAsia"/>
          <w:b/>
          <w:bCs/>
          <w:color w:val="000000"/>
          <w:sz w:val="24"/>
          <w:szCs w:val="24"/>
          <w:lang w:val="en-US" w:eastAsia="zh-CN"/>
        </w:rPr>
        <w:t xml:space="preserve">附件3 新业务大楼设备</w:t>
      </w:r>
      <w:r>
        <w:rPr>
          <w:rFonts w:eastAsia="宋体"/>
          <w:b/>
          <w:bCs/>
          <w:color w:val="000000"/>
          <w:sz w:val="24"/>
          <w:szCs w:val="24"/>
          <w:lang w:val="en-US" w:eastAsia="zh-CN"/>
        </w:rPr>
      </w:r>
      <w:r/>
    </w:p>
    <w:tbl>
      <w:tblPr>
        <w:tblStyle w:val="1046"/>
        <w:tblW w:w="9600" w:type="dxa"/>
        <w:jc w:val="center"/>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792"/>
        <w:gridCol w:w="1284"/>
        <w:gridCol w:w="1092"/>
        <w:gridCol w:w="2244"/>
        <w:gridCol w:w="756"/>
        <w:gridCol w:w="1824"/>
        <w:gridCol w:w="1068"/>
      </w:tblGrid>
      <w:tr>
        <w:trPr/>
        <w:tc>
          <w:tcPr>
            <w:tcW w:w="540"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lang w:val="zh-CN" w:eastAsia="zh-CN" w:bidi="ar-SA"/>
              </w:rPr>
            </w:r>
            <w:r/>
          </w:p>
        </w:tc>
        <w:tc>
          <w:tcPr>
            <w:gridSpan w:val="2"/>
            <w:tcW w:w="2076"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设备名称</w:t>
            </w:r>
            <w:r>
              <w:rPr>
                <w:rFonts w:hint="eastAsia" w:ascii="宋体" w:hAnsi="宋体" w:eastAsia="宋体" w:cs="宋体"/>
                <w:b w:val="0"/>
                <w:bCs w:val="0"/>
                <w:color w:val="000000"/>
                <w:sz w:val="21"/>
                <w:szCs w:val="21"/>
                <w:lang w:val="zh-CN" w:eastAsia="zh-CN" w:bidi="ar-SA"/>
              </w:rPr>
            </w:r>
            <w:r/>
          </w:p>
        </w:tc>
        <w:tc>
          <w:tcPr>
            <w:tcW w:w="1092"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lang w:val="en-US" w:eastAsia="zh-CN"/>
              </w:rPr>
              <w:t xml:space="preserve">使用</w:t>
            </w:r>
            <w:r>
              <w:rPr>
                <w:rFonts w:hint="eastAsia" w:ascii="宋体" w:hAnsi="宋体" w:eastAsia="宋体" w:cs="宋体"/>
                <w:b w:val="0"/>
                <w:bCs w:val="0"/>
                <w:color w:val="000000"/>
                <w:sz w:val="21"/>
                <w:szCs w:val="21"/>
              </w:rPr>
              <w:t xml:space="preserve">品牌</w:t>
            </w:r>
            <w:r>
              <w:rPr>
                <w:rFonts w:hint="eastAsia" w:ascii="宋体" w:hAnsi="宋体" w:eastAsia="宋体" w:cs="宋体"/>
                <w:b w:val="0"/>
                <w:bCs w:val="0"/>
                <w:color w:val="000000"/>
                <w:sz w:val="21"/>
                <w:szCs w:val="21"/>
                <w:lang w:val="zh-CN" w:eastAsia="zh-CN" w:bidi="ar-SA"/>
              </w:rPr>
            </w:r>
            <w:r/>
          </w:p>
        </w:tc>
        <w:tc>
          <w:tcPr>
            <w:tcW w:w="2244"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型号/类型</w:t>
            </w:r>
            <w:r>
              <w:rPr>
                <w:rFonts w:hint="eastAsia" w:ascii="宋体" w:hAnsi="宋体" w:eastAsia="宋体" w:cs="宋体"/>
                <w:b w:val="0"/>
                <w:bCs w:val="0"/>
                <w:color w:val="000000"/>
                <w:sz w:val="21"/>
                <w:szCs w:val="21"/>
                <w:lang w:val="zh-CN" w:eastAsia="zh-CN" w:bidi="ar-SA"/>
              </w:rPr>
            </w:r>
            <w:r/>
          </w:p>
        </w:tc>
        <w:tc>
          <w:tcPr>
            <w:tcW w:w="756"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数量</w:t>
            </w:r>
            <w:r>
              <w:rPr>
                <w:rFonts w:hint="eastAsia" w:ascii="宋体" w:hAnsi="宋体" w:eastAsia="宋体" w:cs="宋体"/>
                <w:b w:val="0"/>
                <w:bCs w:val="0"/>
                <w:color w:val="000000"/>
                <w:sz w:val="21"/>
                <w:szCs w:val="21"/>
                <w:lang w:val="zh-CN" w:eastAsia="zh-CN" w:bidi="ar-SA"/>
              </w:rPr>
            </w:r>
            <w:r/>
          </w:p>
        </w:tc>
        <w:tc>
          <w:tcPr>
            <w:tcW w:w="1824"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供货单位</w:t>
            </w:r>
            <w:r>
              <w:rPr>
                <w:rFonts w:hint="eastAsia" w:ascii="宋体" w:hAnsi="宋体" w:eastAsia="宋体" w:cs="宋体"/>
                <w:b w:val="0"/>
                <w:bCs w:val="0"/>
                <w:color w:val="000000"/>
                <w:sz w:val="21"/>
                <w:szCs w:val="21"/>
                <w:lang w:val="zh-CN" w:eastAsia="zh-CN" w:bidi="ar-SA"/>
              </w:rPr>
            </w:r>
            <w:r/>
          </w:p>
        </w:tc>
        <w:tc>
          <w:tcPr>
            <w:tcW w:w="1068" w:type="dxa"/>
            <w:vAlign w:val="center"/>
            <w:textDirection w:val="lrTb"/>
            <w:noWrap w:val="false"/>
          </w:tcPr>
          <w:p>
            <w:pPr>
              <w:pStyle w:val="723"/>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维保情况</w:t>
            </w:r>
            <w:r>
              <w:rPr>
                <w:rFonts w:hint="eastAsia" w:ascii="宋体" w:hAnsi="宋体" w:eastAsia="宋体" w:cs="宋体"/>
                <w:b w:val="0"/>
                <w:bCs w:val="0"/>
                <w:color w:val="000000"/>
                <w:sz w:val="21"/>
                <w:szCs w:val="21"/>
                <w:lang w:val="zh-CN" w:eastAsia="zh-CN" w:bidi="ar-SA"/>
              </w:rPr>
            </w:r>
            <w:r/>
          </w:p>
        </w:tc>
      </w:tr>
      <w:tr>
        <w:trPr/>
        <w:tc>
          <w:tcPr>
            <w:tcW w:w="540"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1</w:t>
            </w:r>
            <w:r>
              <w:rPr>
                <w:rFonts w:hint="eastAsia" w:ascii="宋体" w:hAnsi="宋体" w:eastAsia="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无机房垂直电梯</w:t>
            </w:r>
            <w:r>
              <w:rPr>
                <w:rFonts w:ascii="宋体" w:hAnsi="宋体" w:eastAsia="宋体" w:cs="宋体"/>
                <w:b w:val="0"/>
                <w:bCs w:val="0"/>
                <w:color w:val="000000"/>
                <w:sz w:val="21"/>
                <w:szCs w:val="21"/>
                <w:vertAlign w:val="baseline"/>
                <w:lang w:val="en-US" w:eastAsia="zh-CN"/>
              </w:rPr>
            </w:r>
            <w:r/>
          </w:p>
        </w:tc>
        <w:tc>
          <w:tcPr>
            <w:tcW w:w="1092" w:type="dxa"/>
            <w:vAlign w:val="center"/>
            <w:vMerge w:val="restart"/>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通力</w:t>
            </w:r>
            <w:r>
              <w:rPr>
                <w:rFonts w:hint="eastAsia" w:ascii="宋体" w:hAnsi="宋体" w:eastAsia="宋体" w:cs="宋体"/>
                <w:b w:val="0"/>
                <w:bCs w:val="0"/>
                <w:color w:val="000000"/>
                <w:sz w:val="21"/>
                <w:szCs w:val="21"/>
                <w:vertAlign w:val="baseline"/>
                <w:lang w:val="en-US" w:eastAsia="zh-CN"/>
              </w:rPr>
            </w:r>
            <w:r/>
          </w:p>
        </w:tc>
        <w:tc>
          <w:tcPr>
            <w:tcW w:w="2244"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Kone N monospace</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1台</w:t>
            </w:r>
            <w:r>
              <w:rPr>
                <w:rFonts w:ascii="宋体" w:hAnsi="宋体" w:eastAsia="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南京恒创机电有限责任公司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质保2年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w:t>
            </w:r>
            <w:r>
              <w:rPr>
                <w:rFonts w:hint="eastAsia" w:ascii="宋体" w:hAnsi="宋体" w:eastAsia="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室内自动扶梯</w:t>
            </w:r>
            <w:r>
              <w:rPr>
                <w:rFonts w:ascii="宋体" w:hAnsi="宋体" w:eastAsia="宋体" w:cs="宋体"/>
                <w:b w:val="0"/>
                <w:bCs w:val="0"/>
                <w:color w:val="000000"/>
                <w:sz w:val="21"/>
                <w:szCs w:val="21"/>
                <w:vertAlign w:val="baseline"/>
                <w:lang w:val="en-US" w:eastAsia="zh-CN"/>
              </w:rPr>
            </w:r>
            <w:r/>
          </w:p>
        </w:tc>
        <w:tc>
          <w:tcPr>
            <w:tcW w:w="1092"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Travel master 110 s</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2台</w:t>
            </w:r>
            <w:r>
              <w:rPr>
                <w:rFonts w:hint="eastAsia" w:ascii="宋体" w:hAnsi="宋体" w:eastAsia="宋体" w:cs="宋体"/>
                <w:b w:val="0"/>
                <w:bCs w:val="0"/>
                <w:color w:val="000000"/>
                <w:sz w:val="21"/>
                <w:szCs w:val="21"/>
                <w:vertAlign w:val="baseline"/>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全自动机械车库系统</w:t>
            </w:r>
            <w:r>
              <w:rPr>
                <w:rFonts w:ascii="宋体" w:hAnsi="宋体" w:eastAsia="宋体" w:cs="宋体"/>
                <w:b w:val="0"/>
                <w:bCs w:val="0"/>
                <w:color w:val="000000"/>
                <w:sz w:val="21"/>
                <w:szCs w:val="21"/>
                <w:vertAlign w:val="baseline"/>
                <w:lang w:val="en-US" w:eastAsia="zh-CN"/>
              </w:rPr>
            </w:r>
            <w:r/>
          </w:p>
        </w:tc>
        <w:tc>
          <w:tcPr>
            <w:tcW w:w="128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恒移车及搬运器</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怡丰</w:t>
            </w:r>
            <w:r>
              <w:rPr>
                <w:rFonts w:ascii="宋体" w:hAnsi="宋体" w:eastAsia="宋体" w:cs="宋体"/>
                <w:b w:val="0"/>
                <w:bCs w:val="0"/>
                <w:color w:val="000000"/>
                <w:sz w:val="21"/>
                <w:szCs w:val="21"/>
                <w:vertAlign w:val="baseline"/>
                <w:lang w:val="en-US" w:eastAsia="zh-CN"/>
              </w:rPr>
            </w:r>
            <w:r/>
          </w:p>
        </w:tc>
        <w:tc>
          <w:tcPr>
            <w:tcW w:w="224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3台</w:t>
            </w:r>
            <w:r>
              <w:rPr>
                <w:rFonts w:ascii="宋体" w:hAnsi="宋体" w:eastAsia="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深圳怡丰自动化科技有限公司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质保2年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4</w:t>
            </w:r>
            <w:r>
              <w:rPr>
                <w:rFonts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自动滑升门</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2个</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5</w:t>
            </w:r>
            <w:r>
              <w:rPr>
                <w:rFonts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升降机</w:t>
            </w:r>
            <w:r>
              <w:rPr>
                <w:rFonts w:hint="eastAsia"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2台</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6</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电控系统</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2套</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7</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车位架</w:t>
            </w:r>
            <w:r>
              <w:rPr>
                <w:rFonts w:hint="eastAsia"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103套</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8</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RAS-850FSDENY3Q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Ansi="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江苏联线环境设备有限公司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质保1年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9</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RAS-960FSDENY3Q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1045"/>
              <w:ind w:left="0" w:firstLine="0"/>
              <w:jc w:val="both"/>
              <w:spacing w:after="0" w:line="360" w:lineRule="auto"/>
              <w:widowControl w:val="off"/>
              <w:rPr>
                <w:rFonts w:hint="eastAsia"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int="eastAsia" w:hAnsi="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10</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1045"/>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1045"/>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RAS-1010FSDENY3Q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1045"/>
              <w:ind w:left="0" w:firstLine="0"/>
              <w:jc w:val="both"/>
              <w:spacing w:after="0" w:line="360" w:lineRule="auto"/>
              <w:widowControl w:val="off"/>
              <w:rPr>
                <w:rFonts w:hint="eastAsia"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int="eastAsia" w:hAnsi="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1045"/>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bl>
    <w:p>
      <w:pPr>
        <w:pStyle w:val="1045"/>
        <w:ind w:firstLine="0"/>
        <w:spacing w:line="360" w:lineRule="auto"/>
        <w:rPr>
          <w:rFonts w:hint="eastAsia"/>
          <w:b/>
          <w:bCs/>
          <w:color w:val="ff0000"/>
          <w:sz w:val="24"/>
          <w:szCs w:val="24"/>
        </w:rPr>
      </w:pPr>
      <w:r>
        <w:rPr>
          <w:rFonts w:hint="eastAsia"/>
          <w:b/>
          <w:bCs/>
          <w:color w:val="ff0000"/>
          <w:sz w:val="24"/>
          <w:szCs w:val="24"/>
        </w:rPr>
      </w:r>
      <w:r/>
    </w:p>
    <w:tbl>
      <w:tblPr>
        <w:tblW w:w="103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9"/>
        <w:gridCol w:w="3240"/>
        <w:gridCol w:w="1980"/>
        <w:gridCol w:w="1638"/>
        <w:gridCol w:w="420"/>
        <w:gridCol w:w="514"/>
        <w:gridCol w:w="1972"/>
      </w:tblGrid>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办公楼一楼报告厅</w:t>
            </w:r>
            <w:r>
              <w:rPr>
                <w:rFonts w:ascii="Times New Roman" w:hAnsi="Times New Roman" w:eastAsia="宋体" w:cs="Times New Roman"/>
                <w:color w:val="000000"/>
                <w:sz w:val="21"/>
                <w:szCs w:val="21"/>
              </w:rPr>
            </w:r>
            <w:r/>
          </w:p>
        </w:tc>
        <w:tc>
          <w:tcPr>
            <w:tcBorders>
              <w:top w:val="single" w:color="000000" w:sz="4" w:space="0"/>
              <w:left w:val="single" w:color="000000" w:sz="8" w:space="0"/>
              <w:bottom w:val="single" w:color="000000" w:sz="4" w:space="0"/>
              <w:right w:val="single" w:color="000000" w:sz="4" w:space="0"/>
            </w:tcBorders>
            <w:tcW w:w="1972" w:type="dxa"/>
            <w:vAlign w:val="top"/>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状况</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主扩声音箱</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FR129z</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EAW</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72" w:type="dxa"/>
            <w:vAlign w:val="top"/>
            <w:vMerge w:val="restart"/>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出现问题外请维修</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主扩声音箱功放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M3600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Mission </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480"/>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数字音频矩阵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Express 8X8 Cobra</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Symetrix</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692"/>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双鹅颈会议话筒（含底座）</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AT837QL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audio-technica</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7</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90"/>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标清会议摄像头</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D70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SONY</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409</w:t>
            </w:r>
            <w:r>
              <w:rPr>
                <w:rFonts w:hint="eastAsia" w:ascii="Times New Roman" w:hAnsi="Times New Roman" w:eastAsia="宋体" w:cs="Times New Roman"/>
                <w:color w:val="000000"/>
                <w:sz w:val="21"/>
                <w:szCs w:val="21"/>
                <w:lang w:val="en-US" w:eastAsia="zh-CN"/>
              </w:rPr>
              <w:t xml:space="preserve">会议室（可视频）</w:t>
            </w:r>
            <w:r>
              <w:rPr>
                <w:rFonts w:ascii="Times New Roman" w:hAnsi="Times New Roman" w:eastAsia="宋体" w:cs="Times New Roman"/>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913</w:t>
            </w:r>
            <w:r>
              <w:rPr>
                <w:rFonts w:ascii="Times New Roman" w:hAnsi="Times New Roman" w:eastAsia="宋体" w:cs="Times New Roman"/>
                <w:color w:val="000000"/>
                <w:sz w:val="21"/>
                <w:szCs w:val="21"/>
              </w:rPr>
              <w:t xml:space="preserve">党委会议室</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808</w:t>
            </w:r>
            <w:r>
              <w:rPr>
                <w:rFonts w:ascii="Times New Roman" w:hAnsi="Times New Roman" w:eastAsia="宋体" w:cs="Times New Roman"/>
                <w:color w:val="000000"/>
                <w:sz w:val="21"/>
                <w:szCs w:val="21"/>
              </w:rPr>
              <w:t xml:space="preserve">椭圆形会议室</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可视频）</w:t>
            </w:r>
            <w:r>
              <w:rPr>
                <w:rFonts w:ascii="Times New Roman" w:hAnsi="Times New Roman" w:eastAsia="宋体" w:cs="Times New Roman"/>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805</w:t>
            </w:r>
            <w:r>
              <w:rPr>
                <w:rFonts w:ascii="Times New Roman" w:hAnsi="Times New Roman" w:eastAsia="宋体" w:cs="Times New Roman"/>
                <w:color w:val="000000"/>
                <w:sz w:val="21"/>
                <w:szCs w:val="21"/>
              </w:rPr>
              <w:t xml:space="preserve">条形50人会议室</w:t>
            </w:r>
            <w:r>
              <w:rPr>
                <w:rFonts w:hint="eastAsia" w:ascii="Times New Roman" w:hAnsi="Times New Roman" w:eastAsia="宋体" w:cs="Times New Roman"/>
                <w:color w:val="000000"/>
                <w:sz w:val="21"/>
                <w:szCs w:val="21"/>
              </w:rPr>
              <w:t xml:space="preserve">（可视频）</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806</w:t>
            </w:r>
            <w:r>
              <w:rPr>
                <w:rFonts w:ascii="Times New Roman" w:hAnsi="Times New Roman" w:eastAsia="宋体" w:cs="Times New Roman"/>
                <w:color w:val="000000"/>
                <w:sz w:val="21"/>
                <w:szCs w:val="21"/>
              </w:rPr>
              <w:t xml:space="preserve">圆形</w:t>
            </w:r>
            <w:r>
              <w:rPr>
                <w:rFonts w:hint="eastAsia"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t xml:space="preserve">0人会议室</w:t>
            </w:r>
            <w:r>
              <w:rPr>
                <w:rFonts w:hint="eastAsia" w:ascii="Times New Roman" w:hAnsi="Times New Roman" w:eastAsia="宋体" w:cs="Times New Roman"/>
                <w:color w:val="000000"/>
                <w:sz w:val="21"/>
                <w:szCs w:val="21"/>
              </w:rPr>
              <w:t xml:space="preserve">（可视频）</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803、804</w:t>
            </w:r>
            <w:r>
              <w:rPr>
                <w:rFonts w:ascii="Times New Roman" w:hAnsi="Times New Roman" w:eastAsia="宋体" w:cs="Times New Roman"/>
                <w:color w:val="000000"/>
                <w:sz w:val="21"/>
                <w:szCs w:val="21"/>
              </w:rPr>
              <w:t xml:space="preserve">小会议室</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ffff00"/>
              </w:rPr>
            </w:pPr>
            <w:r>
              <w:rPr>
                <w:rFonts w:ascii="Times New Roman" w:hAnsi="Times New Roman" w:eastAsia="宋体" w:cs="Times New Roman"/>
                <w:b/>
                <w:color w:val="000000"/>
                <w:sz w:val="21"/>
                <w:szCs w:val="21"/>
                <w:shd w:val="clear" w:color="auto" w:fill="ffff0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b/>
                <w:bCs/>
                <w:color w:val="000000"/>
                <w:sz w:val="21"/>
                <w:szCs w:val="21"/>
              </w:rPr>
              <w:t xml:space="preserve">视频显示系统</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shd w:val="solid" w:color="ffffff" w:fill="auto"/>
              <w:rPr>
                <w:rFonts w:ascii="Times New Roman" w:hAnsi="Times New Roman" w:eastAsia="宋体" w:cs="Times New Roman"/>
                <w:b/>
                <w:color w:val="000000"/>
                <w:sz w:val="21"/>
                <w:szCs w:val="21"/>
                <w:shd w:val="clear" w:color="auto" w:fill="ffffff"/>
              </w:rPr>
            </w:pPr>
            <w:r>
              <w:rPr>
                <w:rFonts w:ascii="Times New Roman" w:hAnsi="Times New Roman" w:eastAsia="宋体" w:cs="Times New Roman"/>
                <w:b/>
                <w:color w:val="000000"/>
                <w:sz w:val="21"/>
                <w:szCs w:val="21"/>
                <w:shd w:val="clear" w:color="auto" w:fill="ffffff"/>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DVD机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PIONEER</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100寸电动遥控投影幕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红叶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3500流明投影机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PT-BX30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Panasonic</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投影仪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723"/>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小会议室(</w:t>
            </w:r>
            <w:r>
              <w:rPr>
                <w:rFonts w:hint="eastAsia" w:ascii="Times New Roman" w:hAnsi="Times New Roman" w:eastAsia="宋体" w:cs="Times New Roman"/>
                <w:color w:val="000000"/>
                <w:sz w:val="21"/>
                <w:szCs w:val="21"/>
              </w:rPr>
              <w:t xml:space="preserve">具有投影</w:t>
            </w:r>
            <w:r>
              <w:rPr>
                <w:rFonts w:ascii="Times New Roman" w:hAnsi="Times New Roman" w:eastAsia="宋体" w:cs="Times New Roman"/>
                <w:color w:val="000000"/>
                <w:sz w:val="21"/>
                <w:szCs w:val="21"/>
              </w:rPr>
              <w:t xml:space="preserve">功能)</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72" w:type="dxa"/>
            <w:vAlign w:val="top"/>
            <w:vMerge w:val="continue"/>
            <w:textDirection w:val="lrTb"/>
            <w:noWrap/>
          </w:tcPr>
          <w:p>
            <w:pPr>
              <w:pStyle w:val="723"/>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bl>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90"/>
        <w:gridCol w:w="6698"/>
        <w:gridCol w:w="580"/>
        <w:gridCol w:w="799"/>
      </w:tblGrid>
      <w:tr>
        <w:trPr>
          <w:trHeight w:val="291"/>
          <w:tblHeader/>
        </w:trPr>
        <w:tc>
          <w:tcPr>
            <w:tcW w:w="522"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90"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98"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80"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9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789"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3"/>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3"/>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3"/>
                <w:rFonts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3"/>
                <w:rFonts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789"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3"/>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3"/>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实施方案</w:t>
            </w:r>
            <w:r>
              <w:rPr>
                <w:rFonts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根据本项目采购需求及相关要求编制方案，内容包含：1.针对本项目的认识；2.管理服务整体设想及总目标；3.服务于本项目的重点、难点及解决措施。以上每项内容逐项评分：</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思路及定位清晰准确、服务重难点判断合理，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符合得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分；不符合或不提供不得分。</w:t>
            </w:r>
            <w:r>
              <w:rPr>
                <w:rFonts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Style w:val="733"/>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3"/>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维修</w:t>
            </w:r>
            <w:r>
              <w:rPr>
                <w:rFonts w:ascii="宋体" w:hAnsi="宋体" w:eastAsia="宋体" w:cs="宋体"/>
                <w:color w:val="000000"/>
                <w:sz w:val="21"/>
                <w:szCs w:val="21"/>
                <w:lang w:val="en-US" w:eastAsia="zh-CN" w:bidi="ar-SA"/>
              </w:rPr>
              <w:t xml:space="preserve">服务方案</w:t>
            </w:r>
            <w:r>
              <w:rPr>
                <w:rFonts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根据本项目采购需求及相关要求编制方案，内容包含：1.房屋公共部位日常管理维护、日常零修小修；2.节约能源资源；3.督促各专业维保单位实施维护保养。以上每项内容逐条阐述。</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完善、针对性强、重点难点把握准确、措施有力</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保洁服务方案</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根据本项目采购需求及相关要求编制方案，内容包含：1.室内外保洁卫生；2.消杀；3.保洁特色举措。以上每项内容逐条阐述。</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安保服务方案</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根据本项目采购需求及相关要求编制方案，内容包含：1.治安服务管理；2.车辆出入管理；3.消防安全管理。以上每项内容逐条阐述。</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会议服务方案</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sz w:val="21"/>
                <w:szCs w:val="21"/>
                <w:lang w:val="en-US" w:eastAsia="zh-CN" w:bidi="ar-SA"/>
              </w:rPr>
              <w:t xml:space="preserve">1.会议室服务；2.前台服务；3.临时性会议保障等。</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应急处理预案</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公共安全类突发事件处理流程</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自然灾害类突发事件</w:t>
            </w:r>
            <w:r>
              <w:rPr>
                <w:rFonts w:hint="eastAsia" w:ascii="宋体" w:hAnsi="宋体" w:eastAsia="宋体" w:cs="宋体"/>
                <w:color w:val="000000"/>
                <w:sz w:val="21"/>
                <w:szCs w:val="21"/>
                <w:lang w:val="en-US" w:eastAsia="zh-CN" w:bidi="ar-SA"/>
              </w:rPr>
              <w:t xml:space="preserve">处理流程；3.其他突发事件处理流程。</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2.7</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723"/>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hint="eastAsia"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及相关要求</w:t>
            </w:r>
            <w:r>
              <w:rPr>
                <w:rFonts w:hint="eastAsia" w:ascii="Times New Roman" w:hAnsi="Times New Roman" w:eastAsia="宋体" w:cs="Times New Roman"/>
                <w:color w:val="000000"/>
                <w:sz w:val="21"/>
                <w:szCs w:val="21"/>
                <w:lang w:val="en-US" w:bidi="ar-SA"/>
              </w:rPr>
              <w:t xml:space="preserve">编制方案，内容</w:t>
            </w:r>
            <w:r>
              <w:rPr>
                <w:rStyle w:val="733"/>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lang w:val="en-US" w:eastAsia="zh-CN" w:bidi="ar-SA"/>
              </w:rPr>
              <w:t xml:space="preserve">1.考核标准及考核措施；2.奖罚淘汰机制。</w:t>
            </w:r>
            <w:r>
              <w:rPr>
                <w:rStyle w:val="733"/>
                <w:rFonts w:hint="eastAsia" w:ascii="宋体" w:hAnsi="宋体" w:eastAsia="宋体" w:cs="宋体"/>
                <w:color w:val="000000"/>
                <w:sz w:val="21"/>
                <w:szCs w:val="21"/>
                <w:lang w:val="en-US" w:eastAsia="zh-CN" w:bidi="ar-SA"/>
              </w:rPr>
              <w:t xml:space="preserve">以上每项内容逐条阐述。</w:t>
            </w:r>
            <w:r>
              <w:rPr>
                <w:rStyle w:val="733"/>
                <w:rFonts w:ascii="宋体" w:hAnsi="宋体" w:eastAsia="宋体" w:cs="宋体"/>
                <w:color w:val="000000"/>
                <w:sz w:val="21"/>
                <w:szCs w:val="21"/>
                <w:lang w:val="en-US" w:eastAsia="zh-CN" w:bidi="ar-SA"/>
              </w:rPr>
            </w:r>
            <w:r/>
          </w:p>
          <w:p>
            <w:pPr>
              <w:pStyle w:val="723"/>
              <w:rPr>
                <w:rFonts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细致完善、科学合理、执行力强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上述每项内容符合得1分；部分符合得0.5分；不符合或不提供不得分。</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2</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gridSpan w:val="5"/>
            <w:tcW w:w="9789"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3"/>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3"/>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3"/>
                <w:rFonts w:hint="eastAsia" w:ascii="宋体" w:hAnsi="宋体" w:eastAsia="宋体" w:cs="宋体"/>
                <w:color w:val="000000"/>
                <w:spacing w:val="-1"/>
                <w:sz w:val="21"/>
                <w:szCs w:val="21"/>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安保、保洁、工程维修、会务服务中任意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733"/>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3"/>
                <w:rFonts w:hint="eastAsia" w:ascii="宋体" w:hAnsi="宋体" w:eastAsia="宋体" w:cs="宋体"/>
                <w:color w:val="000000"/>
                <w:spacing w:val="-6"/>
                <w:sz w:val="21"/>
                <w:szCs w:val="21"/>
                <w:lang w:val="en-US" w:eastAsia="zh-CN" w:bidi="ar-SA"/>
              </w:rPr>
            </w:r>
            <w:r/>
          </w:p>
        </w:tc>
      </w:tr>
      <w:tr>
        <w:trPr/>
        <w:tc>
          <w:tcPr>
            <w:gridSpan w:val="5"/>
            <w:tcW w:w="9789"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3"/>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3"/>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w:t>
            </w:r>
            <w:r>
              <w:rPr>
                <w:rFonts w:hint="eastAsia" w:ascii="宋体" w:hAnsi="宋体" w:eastAsia="宋体" w:cs="宋体"/>
                <w:color w:val="000000"/>
                <w:sz w:val="21"/>
                <w:szCs w:val="21"/>
                <w:lang w:val="en-US" w:eastAsia="zh-CN" w:bidi="ar-SA"/>
              </w:rPr>
            </w:r>
            <w:r/>
          </w:p>
          <w:p>
            <w:pPr>
              <w:pStyle w:val="723"/>
              <w:numPr>
                <w:ilvl w:val="0"/>
                <w:numId w:val="5"/>
              </w:num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宋体" w:hAnsi="宋体" w:eastAsia="宋体" w:cs="宋体"/>
                <w:color w:val="000000"/>
                <w:sz w:val="21"/>
                <w:szCs w:val="21"/>
                <w:lang w:val="en-US" w:eastAsia="zh-CN" w:bidi="ar-SA"/>
              </w:rPr>
              <w:t xml:space="preserve">具有5年及以上类似物业项目（非住宅项目）项目经理工作经验的得3分（提供加盖业主单位公章的工作经验证明材料，需体现人员姓名、岗位及工作年限）。</w:t>
            </w:r>
            <w:r>
              <w:rPr>
                <w:rFonts w:hint="eastAsia" w:ascii="Times New Roman" w:hAnsi="Times New Roman" w:eastAsia="宋体" w:cs="Times New Roman"/>
                <w:lang w:val="en-US" w:eastAsia="zh-CN"/>
              </w:rPr>
            </w:r>
            <w:r/>
          </w:p>
          <w:p>
            <w:pPr>
              <w:pStyle w:val="723"/>
              <w:numPr>
                <w:ilvl w:val="0"/>
                <w:numId w:val="5"/>
              </w:numPr>
              <w:ind w:left="0" w:firstLine="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宋体"/>
                <w:color w:val="000000"/>
                <w:sz w:val="21"/>
                <w:szCs w:val="21"/>
                <w:lang w:val="en-US" w:eastAsia="zh-CN" w:bidi="ar-SA"/>
              </w:rPr>
              <w:t xml:space="preserve">具有物业管理师四级/中级工或以上证书，得3分。</w:t>
            </w:r>
            <w:r>
              <w:rPr>
                <w:rFonts w:hint="eastAsia" w:ascii="宋体" w:hAnsi="宋体" w:eastAsia="宋体" w:cs="Times New Roman"/>
                <w:sz w:val="21"/>
                <w:szCs w:val="20"/>
                <w:lang w:val="en-US" w:eastAsia="zh-CN" w:bidi="ar-SA"/>
              </w:rPr>
            </w:r>
            <w:r/>
          </w:p>
        </w:tc>
        <w:tc>
          <w:tcPr>
            <w:tcW w:w="58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Style w:val="733"/>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3"/>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投标人拟派工程部部长：</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（1）具有</w:t>
            </w:r>
            <w:r>
              <w:rPr>
                <w:rFonts w:hint="eastAsia" w:ascii="宋体" w:hAnsi="宋体" w:eastAsia="宋体" w:cs="宋体"/>
                <w:sz w:val="21"/>
                <w:szCs w:val="21"/>
                <w:highlight w:val="none"/>
                <w:lang w:val="en-US" w:eastAsia="zh-CN" w:bidi="ar-SA"/>
              </w:rPr>
              <w:t xml:space="preserve">高级工程师</w:t>
            </w:r>
            <w:r>
              <w:rPr>
                <w:rFonts w:hint="eastAsia"/>
                <w:lang w:eastAsia="zh-CN"/>
              </w:rPr>
              <w:t xml:space="preserve">（</w:t>
            </w:r>
            <w:r>
              <w:rPr>
                <w:rFonts w:hint="eastAsia"/>
                <w:lang w:eastAsia="zh-CN"/>
              </w:rPr>
              <w:t xml:space="preserve">机械工程类或电力工程类）</w:t>
            </w:r>
            <w:r>
              <w:rPr>
                <w:rFonts w:hint="eastAsia" w:ascii="宋体" w:hAnsi="宋体" w:eastAsia="宋体" w:cs="宋体"/>
                <w:sz w:val="21"/>
                <w:szCs w:val="21"/>
                <w:highlight w:val="none"/>
                <w:lang w:val="en-US" w:eastAsia="zh-CN" w:bidi="ar-SA"/>
              </w:rPr>
              <w:t xml:space="preserve">或以上职称证书，得3分；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sz w:val="21"/>
                <w:szCs w:val="21"/>
                <w:highlight w:val="none"/>
                <w:lang w:val="en-US" w:eastAsia="zh-CN" w:bidi="ar-SA"/>
              </w:rPr>
              <w:t xml:space="preserve">人社部授权的第三方机构出具的电工四级/中级工或以上证书，得3分。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以上提供本人证书。</w:t>
            </w:r>
            <w:r>
              <w:rPr>
                <w:rFonts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733"/>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3</w:t>
            </w:r>
            <w:r>
              <w:rPr>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投标人拟派安保部部长：</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具有5年及以上类似物业项目（非住宅项目）安保条线主管工作经验的得3分（提供加盖业主单位公章的工作经验证明材料，需体现人员姓名、岗位及工作年限）。</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9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4</w:t>
            </w:r>
            <w:r>
              <w:rPr>
                <w:rFonts w:hint="eastAsia"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numPr>
                <w:ilvl w:val="0"/>
                <w:numId w:val="0"/>
              </w:numPr>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Style w:val="733"/>
                <w:rFonts w:hint="eastAsia" w:ascii="宋体" w:hAnsi="宋体" w:eastAsia="宋体" w:cs="宋体"/>
                <w:color w:val="000000"/>
                <w:sz w:val="21"/>
                <w:szCs w:val="21"/>
                <w:lang w:val="en-US" w:eastAsia="zh-CN" w:bidi="ar-SA"/>
              </w:rPr>
              <w:t xml:space="preserve">投标人承诺遵守采购人保密规定，对员工进行安全和保密教育的得3分，未提供不得分（提供承诺书，格式自拟）。</w:t>
            </w:r>
            <w:r>
              <w:rPr>
                <w:rStyle w:val="733"/>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Style w:val="733"/>
                <w:rFonts w:hint="eastAsia" w:ascii="宋体" w:hAnsi="宋体" w:eastAsia="宋体" w:cs="宋体"/>
                <w:color w:val="000000"/>
                <w:sz w:val="21"/>
                <w:szCs w:val="21"/>
                <w:lang w:val="en-US" w:eastAsia="zh-CN" w:bidi="ar-SA"/>
              </w:rPr>
              <w:t xml:space="preserve">3</w:t>
            </w:r>
            <w:r>
              <w:rPr>
                <w:rStyle w:val="733"/>
                <w:rFonts w:ascii="宋体" w:hAnsi="宋体" w:eastAsia="宋体" w:cs="宋体"/>
                <w:color w:val="000000"/>
                <w:sz w:val="21"/>
                <w:szCs w:val="21"/>
                <w:lang w:val="en-US" w:eastAsia="zh-CN" w:bidi="ar-SA"/>
              </w:rPr>
            </w:r>
            <w:r/>
          </w:p>
        </w:tc>
        <w:tc>
          <w:tcPr>
            <w:tcW w:w="799"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Fonts w:hint="eastAsia"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3"/>
                <w:rFonts w:ascii="Times New Roman" w:hAnsi="Times New Roman" w:eastAsia="宋体" w:cs="Times New Roman"/>
                <w:color w:val="0000ff"/>
                <w:sz w:val="21"/>
                <w:szCs w:val="21"/>
                <w:lang w:val="en-US" w:eastAsia="zh-CN" w:bidi="ar-SA"/>
              </w:rPr>
            </w:r>
            <w:r/>
          </w:p>
        </w:tc>
        <w:tc>
          <w:tcPr>
            <w:gridSpan w:val="2"/>
            <w:tcW w:w="7888"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ff"/>
                <w:spacing w:val="-2"/>
                <w:sz w:val="21"/>
                <w:szCs w:val="21"/>
                <w:lang w:val="en-US" w:eastAsia="zh-CN" w:bidi="ar-SA"/>
              </w:rPr>
            </w:pPr>
            <w:r>
              <w:rPr>
                <w:rStyle w:val="733"/>
                <w:rFonts w:ascii="宋体" w:hAnsi="宋体" w:eastAsia="宋体" w:cs="宋体"/>
                <w:color w:val="0000ff"/>
                <w:spacing w:val="-2"/>
                <w:sz w:val="21"/>
                <w:szCs w:val="21"/>
                <w:lang w:val="en-US" w:eastAsia="zh-CN" w:bidi="ar-SA"/>
              </w:rPr>
            </w:r>
            <w:r/>
          </w:p>
        </w:tc>
        <w:tc>
          <w:tcPr>
            <w:gridSpan w:val="2"/>
            <w:tcW w:w="137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3"/>
                <w:rFonts w:ascii="Times New Roman" w:hAnsi="Times New Roman" w:eastAsia="宋体" w:cs="Times New Roman"/>
                <w:color w:val="000000"/>
                <w:sz w:val="21"/>
                <w:szCs w:val="21"/>
                <w:lang w:val="en-US" w:eastAsia="zh-CN" w:bidi="ar-SA"/>
              </w:rPr>
            </w:r>
            <w:r/>
          </w:p>
        </w:tc>
      </w:tr>
    </w:tbl>
    <w:p>
      <w:pPr>
        <w:pStyle w:val="723"/>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3"/>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lang w:val="en-US" w:eastAsia="zh-CN"/>
        </w:rPr>
      </w:pPr>
      <w:r>
        <w:rPr>
          <w:rFonts w:hint="eastAsia"/>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35"/>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3"/>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3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shd w:val="nil" w:color="auto"/>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r>
      <w:r/>
    </w:p>
    <w:p>
      <w:pPr>
        <w:jc w:val="center"/>
        <w:rPr>
          <w:rFonts w:hint="eastAsia" w:ascii="方正小标宋简体" w:hAnsi="方正小标宋简体" w:eastAsia="方正小标宋简体" w:cs="方正小标宋简体"/>
          <w:color w:val="000000"/>
          <w:sz w:val="36"/>
          <w:szCs w:val="36"/>
          <w:highlight w:val="none"/>
          <w:lang w:val="en-US" w:eastAsia="zh-CN" w:bidi="ar-SA"/>
        </w:rPr>
        <w:outlineLvl w:val="0"/>
      </w:pPr>
      <w:r>
        <w:rPr>
          <w:lang w:val="en-US" w:eastAsia="zh-CN" w:bidi="ar-SA"/>
        </w:rPr>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color w:val="000000"/>
          <w:sz w:val="72"/>
        </w:rPr>
      </w:r>
      <w:r/>
    </w:p>
    <w:p>
      <w:pPr>
        <w:pStyle w:val="723"/>
        <w:jc w:val="center"/>
        <w:rPr>
          <w:rFonts w:hint="eastAsia" w:ascii="宋体" w:hAnsi="宋体"/>
          <w:b/>
          <w:color w:val="000000"/>
          <w:sz w:val="72"/>
        </w:rPr>
        <w:outlineLvl w:val="0"/>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outlineLvl w:val="0"/>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outlineLvl w:val="0"/>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outlineLvl w:val="0"/>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outlineLvl w:val="0"/>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outlineLvl w:val="0"/>
      </w:pPr>
      <w:r/>
      <w:bookmarkEnd w:id="191"/>
      <w:r/>
      <w:bookmarkEnd w:id="192"/>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29"/>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35"/>
        <w:rPr>
          <w:rFonts w:hint="eastAsia"/>
          <w:lang w:eastAsia="zh-CN"/>
        </w:rPr>
      </w:pPr>
      <w:r>
        <w:rPr>
          <w:rFonts w:hint="eastAsia"/>
          <w:lang w:eastAsia="zh-CN"/>
        </w:rPr>
      </w:r>
      <w:r/>
    </w:p>
    <w:p>
      <w:pPr>
        <w:pStyle w:val="723"/>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1"/>
        <w:ind w:firstLine="480"/>
        <w:spacing w:line="420" w:lineRule="exact"/>
        <w:tabs>
          <w:tab w:val="left" w:pos="360" w:leader="none"/>
        </w:tabs>
        <w:rPr>
          <w:rFonts w:hint="eastAsia"/>
          <w:sz w:val="24"/>
          <w:szCs w:val="24"/>
        </w:rPr>
      </w:pP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rPr>
      </w:r>
      <w:r/>
    </w:p>
    <w:p>
      <w:pPr>
        <w:pStyle w:val="741"/>
        <w:rPr>
          <w:rFonts w:hint="eastAsia"/>
          <w:i/>
          <w:sz w:val="24"/>
          <w:szCs w:val="24"/>
          <w:u w:val="single"/>
        </w:rPr>
      </w:pPr>
      <w:r>
        <w:rPr>
          <w:rFonts w:hint="eastAsia"/>
          <w:i/>
          <w:sz w:val="24"/>
          <w:szCs w:val="24"/>
          <w:u w:val="single"/>
        </w:rPr>
      </w:r>
      <w:r/>
    </w:p>
    <w:p>
      <w:pPr>
        <w:pStyle w:val="741"/>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35"/>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100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3"/>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3"/>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3"/>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82"/>
        <w:rPr>
          <w:rFonts w:hint="eastAsia"/>
        </w:rPr>
      </w:pPr>
      <w:r>
        <w:rPr>
          <w:rFonts w:hint="eastAsia"/>
        </w:rPr>
      </w:r>
      <w:r/>
    </w:p>
    <w:p>
      <w:pPr>
        <w:pStyle w:val="723"/>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1"/>
        <w:gridCol w:w="1680"/>
        <w:gridCol w:w="1161"/>
        <w:gridCol w:w="1417"/>
        <w:gridCol w:w="1065"/>
        <w:gridCol w:w="1489"/>
        <w:gridCol w:w="2743"/>
      </w:tblGrid>
      <w:tr>
        <w:trPr>
          <w:trHeight w:val="452"/>
        </w:trPr>
        <w:tc>
          <w:tcPr>
            <w:tcW w:w="399"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0"/>
            <w:r>
              <w:rPr>
                <w:rFonts w:hint="eastAsia" w:ascii="宋体" w:hAnsi="宋体" w:eastAsia="宋体" w:cs="宋体"/>
                <w:b/>
                <w:bCs/>
                <w:i w:val="0"/>
                <w:iCs w:val="0"/>
                <w:color w:val="000000"/>
                <w:sz w:val="18"/>
                <w:szCs w:val="18"/>
                <w:highlight w:val="none"/>
                <w:u w:val="none"/>
                <w:lang w:val="en-US" w:eastAsia="zh-CN"/>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399" w:type="dxa"/>
            <w:vAlign w:val="center"/>
            <w:vMerge w:val="continue"/>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207"/>
            <w:r>
              <w:rPr>
                <w:rFonts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660"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733"/>
                <w:rFonts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vMerge w:val="restart"/>
            <w:textDirection w:val="lrTb"/>
            <w:noWrap w:val="false"/>
          </w:tcPr>
          <w:p>
            <w:pPr>
              <w:pStyle w:val="723"/>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08" w:name="OLE_LINK11"/>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399" w:type="dxa"/>
            <w:vAlign w:val="center"/>
            <w:vMerge w:val="continue"/>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08"/>
            <w:r>
              <w:rPr>
                <w:rFonts w:hint="eastAsia"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399"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2"/>
            <w:r>
              <w:rPr>
                <w:rFonts w:hint="eastAsia" w:ascii="宋体" w:hAnsi="宋体" w:eastAsia="宋体" w:cs="宋体"/>
                <w:b/>
                <w:bCs/>
                <w:i w:val="0"/>
                <w:iCs w:val="0"/>
                <w:color w:val="000000"/>
                <w:sz w:val="18"/>
                <w:szCs w:val="18"/>
                <w:highlight w:val="none"/>
                <w:u w:val="none"/>
                <w:lang w:val="en-US" w:eastAsia="zh-CN"/>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399" w:type="dxa"/>
            <w:vAlign w:val="center"/>
            <w:vMerge w:val="continue"/>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09"/>
            <w:r/>
            <w:bookmarkStart w:id="210" w:name="OLE_LINK13"/>
            <w:r>
              <w:rPr>
                <w:rFonts w:hint="eastAsia"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14"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399" w:type="dxa"/>
            <w:vAlign w:val="center"/>
            <w:textDirection w:val="lrTb"/>
            <w:noWrap w:val="false"/>
          </w:tcPr>
          <w:p>
            <w:pPr>
              <w:pStyle w:val="723"/>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399" w:type="dxa"/>
            <w:vAlign w:val="center"/>
            <w:vMerge w:val="restart"/>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eastAsia="宋体" w:cs="宋体"/>
                <w:b/>
                <w:bCs/>
                <w:i w:val="0"/>
                <w:iCs w:val="0"/>
                <w:color w:val="000000"/>
                <w:sz w:val="18"/>
                <w:szCs w:val="18"/>
                <w:highlight w:val="none"/>
                <w:u w:val="none"/>
                <w:lang w:val="en-US" w:eastAsia="zh-CN" w:bidi="ar-SA"/>
              </w:rPr>
              <w:t xml:space="preserve">4</w:t>
            </w:r>
            <w:r>
              <w:rPr>
                <w:rStyle w:val="733"/>
                <w:rFonts w:ascii="宋体" w:hAnsi="宋体" w:eastAsia="宋体" w:cs="宋体"/>
                <w:b/>
                <w:bCs/>
                <w:i w:val="0"/>
                <w:iCs w:val="0"/>
                <w:color w:val="000000"/>
                <w:sz w:val="18"/>
                <w:szCs w:val="18"/>
                <w:highlight w:val="none"/>
                <w:u w:val="none"/>
                <w:lang w:val="en-US" w:eastAsia="zh-CN" w:bidi="ar-SA"/>
              </w:rPr>
            </w:r>
            <w:r/>
          </w:p>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399" w:type="dxa"/>
            <w:vAlign w:val="center"/>
            <w:vMerge w:val="continue"/>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人数</w:t>
            </w: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99"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99" w:type="dxa"/>
            <w:vAlign w:val="center"/>
            <w:textDirection w:val="lrTb"/>
            <w:noWrap w:val="false"/>
          </w:tcPr>
          <w:p>
            <w:pPr>
              <w:pStyle w:val="723"/>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399"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10456"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3"/>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3"/>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3"/>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3"/>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3"/>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82"/>
        <w:rPr>
          <w:rFonts w:ascii="宋体" w:hAnsi="宋体" w:eastAsia="宋体"/>
          <w:sz w:val="24"/>
          <w:szCs w:val="24"/>
          <w:lang w:val="en-US" w:eastAsia="zh-CN"/>
        </w:rPr>
      </w:pPr>
      <w:r>
        <w:rPr>
          <w:rFonts w:ascii="宋体" w:hAnsi="宋体" w:eastAsia="宋体"/>
          <w:sz w:val="24"/>
          <w:szCs w:val="24"/>
          <w:lang w:val="en-US" w:eastAsia="zh-CN"/>
        </w:rPr>
      </w:r>
      <w:r/>
    </w:p>
    <w:p>
      <w:pPr>
        <w:pStyle w:val="782"/>
        <w:rPr>
          <w:lang w:val="en-US" w:eastAsia="zh-CN"/>
        </w:rPr>
      </w:pPr>
      <w:r>
        <w:rPr>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5"/>
        <w:rPr>
          <w:rFonts w:hint="eastAsia"/>
          <w:lang w:val="en-US" w:eastAsia="zh-CN"/>
        </w:rPr>
      </w:pPr>
      <w:r>
        <w:rPr>
          <w:rFonts w:hint="eastAsia" w:ascii="宋体" w:hAnsi="宋体" w:eastAsia="宋体" w:cs="Times New Roman"/>
          <w:sz w:val="24"/>
          <w:szCs w:val="24"/>
          <w:highlight w:val="none"/>
          <w:lang w:val="en-US" w:eastAsia="zh-CN" w:bidi="ar-SA"/>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3"/>
        <w:rPr>
          <w:rFonts w:hint="eastAsia" w:ascii="黑体" w:hAnsi="黑体" w:eastAsia="黑体" w:cs="Times New Roman"/>
          <w:i w:val="0"/>
          <w:iCs/>
          <w:color w:val="000000"/>
          <w:sz w:val="32"/>
          <w:szCs w:val="32"/>
          <w:u w:val="none"/>
          <w:lang w:val="en-US" w:eastAsia="zh-CN"/>
        </w:rPr>
        <w:outlineLvl w:val="0"/>
      </w:pPr>
      <w:r/>
      <w:bookmarkStart w:id="211" w:name="_Hlt26955054"/>
      <w:r/>
      <w:bookmarkEnd w:id="21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5"/>
        <w:rPr>
          <w:rFonts w:hint="eastAsia"/>
          <w:lang w:val="en-US" w:eastAsia="zh-CN"/>
        </w:rPr>
      </w:pPr>
      <w:r>
        <w:rPr>
          <w:rFonts w:hint="eastAsia" w:ascii="宋体" w:hAnsi="宋体" w:eastAsia="宋体" w:cs="Times New Roman"/>
          <w:sz w:val="24"/>
          <w:szCs w:val="24"/>
          <w:highlight w:val="none"/>
          <w:lang w:val="en-US" w:eastAsia="zh-CN" w:bidi="ar-SA"/>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12" w:name="_Hlt24879081"/>
            <w:r/>
            <w:bookmarkEnd w:id="212"/>
            <w:r/>
            <w:bookmarkStart w:id="213" w:name="_Hlt26671372"/>
            <w:r/>
            <w:bookmarkEnd w:id="213"/>
            <w:r/>
            <w:bookmarkStart w:id="214" w:name="_Hlt26580838"/>
            <w:r/>
            <w:bookmarkEnd w:id="214"/>
            <w:r/>
            <w:bookmarkStart w:id="215" w:name="_Hlt26782999"/>
            <w:r/>
            <w:bookmarkEnd w:id="215"/>
            <w:r/>
            <w:bookmarkStart w:id="216" w:name="_Hlt26955056"/>
            <w:r/>
            <w:bookmarkEnd w:id="216"/>
            <w:r/>
            <w:bookmarkStart w:id="217" w:name="_Hlt26609391"/>
            <w:r/>
            <w:bookmarkEnd w:id="217"/>
            <w:r/>
            <w:bookmarkStart w:id="218" w:name="_Hlt26955064"/>
            <w:r/>
            <w:bookmarkEnd w:id="218"/>
            <w:r/>
            <w:bookmarkStart w:id="219" w:name="_Hlt26671343"/>
            <w:r/>
            <w:bookmarkEnd w:id="21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jc w:val="center"/>
        <w:rPr>
          <w:rFonts w:hint="eastAsia" w:ascii="宋体" w:hAnsi="宋体" w:cs="仿宋"/>
          <w:b/>
          <w:bCs/>
          <w:sz w:val="32"/>
          <w:szCs w:val="32"/>
        </w:rPr>
      </w:pPr>
      <w:r>
        <w:rPr>
          <w:rFonts w:hint="eastAsia" w:ascii="宋体" w:hAnsi="宋体" w:cs="仿宋"/>
          <w:b/>
          <w:bCs/>
          <w:sz w:val="32"/>
          <w:szCs w:val="32"/>
        </w:rPr>
      </w:r>
      <w:r/>
    </w:p>
    <w:p>
      <w:pPr>
        <w:pStyle w:val="782"/>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8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3"/>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220"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0"/>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35"/>
        <w:rPr>
          <w:rFonts w:hint="eastAsia" w:ascii="宋体" w:hAnsi="宋体" w:eastAsia="宋体" w:cs="Times New Roman"/>
          <w:sz w:val="24"/>
        </w:rPr>
      </w:pPr>
      <w:r>
        <w:rPr>
          <w:rFonts w:hint="eastAsia" w:ascii="宋体" w:hAnsi="宋体" w:eastAsia="宋体" w:cs="Times New Roman"/>
          <w:sz w:val="24"/>
        </w:rPr>
      </w:r>
      <w:r/>
    </w:p>
    <w:p>
      <w:pPr>
        <w:pStyle w:val="723"/>
        <w:rPr>
          <w:rFonts w:hint="eastAsia"/>
        </w:rPr>
      </w:pPr>
      <w:r>
        <w:rPr>
          <w:rFonts w:hint="eastAsia"/>
        </w:rPr>
      </w:r>
      <w:r/>
    </w:p>
    <w:p>
      <w:pPr>
        <w:pStyle w:val="723"/>
        <w:ind w:firstLine="645"/>
        <w:spacing w:line="560" w:lineRule="exact"/>
        <w:rPr>
          <w:rFonts w:ascii="宋体" w:hAnsi="宋体"/>
          <w:sz w:val="24"/>
        </w:rPr>
      </w:pPr>
      <w:r>
        <w:rPr>
          <w:rFonts w:ascii="宋体" w:hAnsi="宋体"/>
          <w:sz w:val="24"/>
        </w:rPr>
      </w:r>
      <w:r/>
    </w:p>
    <w:p>
      <w:pPr>
        <w:pStyle w:val="723"/>
        <w:ind w:firstLine="645"/>
        <w:spacing w:line="560" w:lineRule="exact"/>
        <w:rPr>
          <w:rFonts w:hint="eastAsia" w:ascii="宋体" w:hAnsi="宋体"/>
          <w:sz w:val="24"/>
        </w:rPr>
      </w:pPr>
      <w:r>
        <w:rPr>
          <w:rFonts w:hint="eastAsia" w:ascii="宋体" w:hAnsi="宋体"/>
          <w:sz w:val="24"/>
        </w:rPr>
      </w:r>
      <w:r/>
    </w:p>
    <w:p>
      <w:pPr>
        <w:pStyle w:val="782"/>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735"/>
        <w:rPr>
          <w:rFonts w:hint="eastAsia"/>
        </w:rPr>
      </w:pPr>
      <w:r>
        <w:rPr>
          <w:rFonts w:hint="eastAsia"/>
        </w:rPr>
      </w:r>
      <w:r/>
    </w:p>
    <w:p>
      <w:pPr>
        <w:pStyle w:val="782"/>
        <w:rPr>
          <w:rFonts w:hint="eastAsia"/>
        </w:rPr>
      </w:pPr>
      <w:r>
        <w:rPr>
          <w:rFonts w:hint="eastAsia"/>
        </w:rPr>
      </w:r>
      <w:r/>
    </w:p>
    <w:p>
      <w:pPr>
        <w:pStyle w:val="723"/>
        <w:rPr>
          <w:rFonts w:hint="eastAsia"/>
        </w:rPr>
      </w:pPr>
      <w:r>
        <w:rPr>
          <w:rFonts w:hint="eastAsia"/>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3"/>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8"/>
      <w:isLgl w:val="false"/>
      <w:suff w:val="nothing"/>
      <w:lvlText w:val=""/>
      <w:lvlJc w:val="left"/>
      <w:pPr>
        <w:pStyle w:val="723"/>
        <w:ind w:left="0" w:firstLine="0"/>
      </w:pPr>
      <w:rPr>
        <w:rFonts w:hint="eastAsia"/>
      </w:rPr>
    </w:lvl>
    <w:lvl w:ilvl="6">
      <w:start w:val="1"/>
      <w:numFmt w:val="decimal"/>
      <w:pStyle w:val="930"/>
      <w:isLgl w:val="false"/>
      <w:suff w:val="nothing"/>
      <w:lvlText w:val=""/>
      <w:lvlJc w:val="left"/>
      <w:pPr>
        <w:pStyle w:val="723"/>
        <w:ind w:left="0" w:firstLine="0"/>
      </w:pPr>
      <w:rPr>
        <w:rFonts w:hint="eastAsia"/>
      </w:rPr>
    </w:lvl>
    <w:lvl w:ilvl="7">
      <w:start w:val="1"/>
      <w:numFmt w:val="decimal"/>
      <w:pStyle w:val="932"/>
      <w:isLgl w:val="false"/>
      <w:suff w:val="nothing"/>
      <w:lvlText w:val=""/>
      <w:lvlJc w:val="left"/>
      <w:pPr>
        <w:pStyle w:val="723"/>
        <w:ind w:left="0" w:firstLine="0"/>
      </w:pPr>
      <w:rPr>
        <w:rFonts w:hint="eastAsia"/>
      </w:rPr>
    </w:lvl>
    <w:lvl w:ilvl="8">
      <w:start w:val="1"/>
      <w:numFmt w:val="decimal"/>
      <w:pStyle w:val="934"/>
      <w:isLgl w:val="false"/>
      <w:suff w:val="nothing"/>
      <w:lvlText w:val=""/>
      <w:lvlJc w:val="left"/>
      <w:pPr>
        <w:pStyle w:val="723"/>
        <w:ind w:left="0" w:firstLine="0"/>
      </w:pPr>
      <w:rPr>
        <w:rFonts w:hint="eastAsia"/>
      </w:rPr>
    </w:lvl>
  </w:abstractNum>
  <w:abstractNum w:abstractNumId="3">
    <w:multiLevelType w:val="hybridMultilevel"/>
    <w:lvl w:ilvl="0">
      <w:start w:val="1"/>
      <w:numFmt w:val="decimal"/>
      <w:isLgl w:val="false"/>
      <w:suff w:val="nothing"/>
      <w:lvlText w:val="（%1）"/>
      <w:lvlJc w:val="left"/>
      <w:pPr>
        <w:pStyle w:val="723"/>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2"/>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81"/>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8"/>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9"/>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41"/>
    <w:link w:val="740"/>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41"/>
    <w:link w:val="742"/>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3"/>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4"/>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6"/>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7"/>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首行缩进 2"/>
    <w:basedOn w:val="736"/>
    <w:next w:val="723"/>
    <w:link w:val="723"/>
    <w:qFormat/>
    <w:pPr>
      <w:ind w:left="0" w:firstLine="420"/>
      <w:spacing w:after="0" w:line="360" w:lineRule="auto"/>
    </w:pPr>
    <w:rPr>
      <w:rFonts w:ascii="宋体" w:hAnsi="宋体" w:eastAsia="宋体" w:cs="Times New Roman"/>
      <w:szCs w:val="20"/>
    </w:rPr>
  </w:style>
  <w:style w:type="paragraph" w:styleId="736">
    <w:name w:val="正文文本缩进"/>
    <w:basedOn w:val="723"/>
    <w:next w:val="737"/>
    <w:link w:val="723"/>
    <w:unhideWhenUsed/>
    <w:qFormat/>
    <w:pPr>
      <w:ind w:left="420"/>
      <w:spacing w:after="120"/>
    </w:pPr>
  </w:style>
  <w:style w:type="paragraph" w:styleId="737">
    <w:name w:val="寄信人地址"/>
    <w:basedOn w:val="723"/>
    <w:next w:val="737"/>
    <w:link w:val="723"/>
    <w:qFormat/>
    <w:rPr>
      <w:rFonts w:ascii="Arial" w:hAnsi="Arial" w:eastAsia="宋体" w:cs="宋体"/>
    </w:rPr>
  </w:style>
  <w:style w:type="character" w:styleId="738">
    <w:name w:val="Heading 1 Char"/>
    <w:next w:val="738"/>
    <w:link w:val="724"/>
    <w:uiPriority w:val="9"/>
    <w:qFormat/>
    <w:rPr>
      <w:rFonts w:ascii="Arial" w:hAnsi="Arial" w:eastAsia="Arial" w:cs="Arial"/>
      <w:sz w:val="40"/>
      <w:szCs w:val="40"/>
    </w:rPr>
  </w:style>
  <w:style w:type="character" w:styleId="739">
    <w:name w:val="Heading 2 Char"/>
    <w:next w:val="739"/>
    <w:link w:val="725"/>
    <w:uiPriority w:val="9"/>
    <w:qFormat/>
    <w:rPr>
      <w:rFonts w:ascii="Arial" w:hAnsi="Arial" w:eastAsia="Arial" w:cs="Arial"/>
      <w:sz w:val="34"/>
    </w:rPr>
  </w:style>
  <w:style w:type="character" w:styleId="740">
    <w:name w:val="Heading 3 Char"/>
    <w:next w:val="740"/>
    <w:link w:val="726"/>
    <w:uiPriority w:val="9"/>
    <w:qFormat/>
    <w:rPr>
      <w:rFonts w:ascii="Arial" w:hAnsi="Arial" w:eastAsia="Arial" w:cs="Arial"/>
      <w:sz w:val="30"/>
      <w:szCs w:val="30"/>
    </w:rPr>
  </w:style>
  <w:style w:type="paragraph" w:styleId="741">
    <w:name w:val="正文缩进"/>
    <w:basedOn w:val="723"/>
    <w:next w:val="741"/>
    <w:link w:val="723"/>
    <w:qFormat/>
    <w:pPr>
      <w:ind w:firstLine="420"/>
    </w:pPr>
  </w:style>
  <w:style w:type="character" w:styleId="742">
    <w:name w:val="Heading 4 Char"/>
    <w:next w:val="742"/>
    <w:link w:val="727"/>
    <w:uiPriority w:val="9"/>
    <w:qFormat/>
    <w:rPr>
      <w:rFonts w:ascii="Arial" w:hAnsi="Arial" w:eastAsia="Arial" w:cs="Arial"/>
      <w:b/>
      <w:bCs/>
      <w:sz w:val="26"/>
      <w:szCs w:val="26"/>
    </w:rPr>
  </w:style>
  <w:style w:type="character" w:styleId="743">
    <w:name w:val="Heading 5 Char"/>
    <w:next w:val="743"/>
    <w:link w:val="728"/>
    <w:uiPriority w:val="9"/>
    <w:qFormat/>
    <w:rPr>
      <w:rFonts w:ascii="Arial" w:hAnsi="Arial" w:eastAsia="Arial" w:cs="Arial"/>
      <w:b/>
      <w:bCs/>
      <w:sz w:val="24"/>
      <w:szCs w:val="24"/>
    </w:rPr>
  </w:style>
  <w:style w:type="character" w:styleId="744">
    <w:name w:val="Heading 6 Char"/>
    <w:next w:val="744"/>
    <w:link w:val="729"/>
    <w:uiPriority w:val="9"/>
    <w:qFormat/>
    <w:rPr>
      <w:rFonts w:ascii="Arial" w:hAnsi="Arial" w:eastAsia="Arial" w:cs="Arial"/>
      <w:b/>
      <w:bCs/>
      <w:sz w:val="22"/>
      <w:szCs w:val="22"/>
    </w:rPr>
  </w:style>
  <w:style w:type="character" w:styleId="745">
    <w:name w:val="Heading 7 Char"/>
    <w:next w:val="745"/>
    <w:link w:val="730"/>
    <w:uiPriority w:val="9"/>
    <w:qFormat/>
    <w:rPr>
      <w:rFonts w:ascii="Arial" w:hAnsi="Arial" w:eastAsia="Arial" w:cs="Arial"/>
      <w:b/>
      <w:bCs/>
      <w:i/>
      <w:iCs/>
      <w:sz w:val="22"/>
      <w:szCs w:val="22"/>
    </w:rPr>
  </w:style>
  <w:style w:type="character" w:styleId="746">
    <w:name w:val="Heading 8 Char"/>
    <w:next w:val="746"/>
    <w:link w:val="731"/>
    <w:uiPriority w:val="9"/>
    <w:qFormat/>
    <w:rPr>
      <w:rFonts w:ascii="Arial" w:hAnsi="Arial" w:eastAsia="Arial" w:cs="Arial"/>
      <w:i/>
      <w:iCs/>
      <w:sz w:val="22"/>
      <w:szCs w:val="22"/>
    </w:rPr>
  </w:style>
  <w:style w:type="character" w:styleId="747">
    <w:name w:val="Heading 9 Char"/>
    <w:next w:val="747"/>
    <w:link w:val="732"/>
    <w:uiPriority w:val="9"/>
    <w:qFormat/>
    <w:rPr>
      <w:rFonts w:ascii="Arial" w:hAnsi="Arial" w:eastAsia="Arial" w:cs="Arial"/>
      <w:i/>
      <w:iCs/>
      <w:sz w:val="21"/>
      <w:szCs w:val="21"/>
    </w:rPr>
  </w:style>
  <w:style w:type="paragraph" w:styleId="748">
    <w:name w:val="目录 7"/>
    <w:basedOn w:val="723"/>
    <w:next w:val="723"/>
    <w:link w:val="723"/>
    <w:uiPriority w:val="39"/>
    <w:unhideWhenUsed/>
    <w:qFormat/>
    <w:pPr>
      <w:ind w:left="1701" w:right="0" w:firstLine="0"/>
      <w:spacing w:after="57"/>
    </w:pPr>
  </w:style>
  <w:style w:type="paragraph" w:styleId="749">
    <w:name w:val="题注"/>
    <w:basedOn w:val="723"/>
    <w:next w:val="723"/>
    <w:link w:val="723"/>
    <w:uiPriority w:val="35"/>
    <w:unhideWhenUsed/>
    <w:qFormat/>
    <w:pPr>
      <w:spacing w:line="276" w:lineRule="auto"/>
    </w:pPr>
    <w:rPr>
      <w:b/>
      <w:bCs/>
      <w:color w:val="4f81bd"/>
      <w:sz w:val="18"/>
      <w:szCs w:val="18"/>
    </w:rPr>
  </w:style>
  <w:style w:type="paragraph" w:styleId="750">
    <w:name w:val="批注文字"/>
    <w:basedOn w:val="723"/>
    <w:next w:val="750"/>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1">
    <w:name w:val="正文文本"/>
    <w:basedOn w:val="723"/>
    <w:next w:val="751"/>
    <w:link w:val="723"/>
    <w:uiPriority w:val="1"/>
    <w:qFormat/>
    <w:pPr>
      <w:ind w:left="120"/>
    </w:pPr>
    <w:rPr>
      <w:rFonts w:ascii="宋体" w:hAnsi="宋体" w:eastAsia="宋体" w:cs="宋体"/>
      <w:sz w:val="21"/>
      <w:szCs w:val="21"/>
      <w:lang w:val="zh-CN" w:eastAsia="zh-CN" w:bidi="zh-CN"/>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Footer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table" w:styleId="775">
    <w:name w:val="网格型"/>
    <w:next w:val="775"/>
    <w:link w:val="723"/>
    <w:uiPriority w:val="59"/>
    <w:qFormat/>
    <w:pPr>
      <w:spacing w:after="0" w:line="240" w:lineRule="auto"/>
    </w:pPr>
    <w:tblPr/>
  </w:style>
  <w:style w:type="character" w:styleId="776">
    <w:name w:val="尾注引用"/>
    <w:next w:val="776"/>
    <w:link w:val="723"/>
    <w:uiPriority w:val="99"/>
    <w:unhideWhenUsed/>
    <w:qFormat/>
    <w:rPr>
      <w:vertAlign w:val="superscript"/>
    </w:rPr>
  </w:style>
  <w:style w:type="character" w:styleId="777">
    <w:name w:val="页码"/>
    <w:next w:val="777"/>
    <w:link w:val="723"/>
    <w:qFormat/>
  </w:style>
  <w:style w:type="character" w:styleId="778">
    <w:name w:val="已访问的超链接"/>
    <w:next w:val="778"/>
    <w:link w:val="723"/>
    <w:qFormat/>
    <w:rPr>
      <w:color w:val="800080"/>
      <w:u w:val="single"/>
    </w:rPr>
  </w:style>
  <w:style w:type="character" w:styleId="779">
    <w:name w:val="超链接"/>
    <w:next w:val="779"/>
    <w:link w:val="723"/>
    <w:uiPriority w:val="99"/>
    <w:unhideWhenUsed/>
    <w:qFormat/>
    <w:rPr>
      <w:color w:val="0000ff"/>
      <w:u w:val="single"/>
    </w:rPr>
  </w:style>
  <w:style w:type="character" w:styleId="780">
    <w:name w:val="脚注引用"/>
    <w:next w:val="780"/>
    <w:link w:val="723"/>
    <w:uiPriority w:val="99"/>
    <w:unhideWhenUsed/>
    <w:qFormat/>
    <w:rPr>
      <w:vertAlign w:val="superscript"/>
    </w:rPr>
  </w:style>
  <w:style w:type="character" w:styleId="781">
    <w:name w:val="Caption Char"/>
    <w:next w:val="781"/>
    <w:link w:val="758"/>
    <w:uiPriority w:val="99"/>
    <w:qFormat/>
  </w:style>
  <w:style w:type="paragraph" w:styleId="782">
    <w:name w:val="索引 41"/>
    <w:basedOn w:val="723"/>
    <w:next w:val="723"/>
    <w:link w:val="723"/>
    <w:semiHidden/>
    <w:qFormat/>
    <w:pPr>
      <w:ind w:left="1260"/>
    </w:pPr>
    <w:rPr>
      <w:rFonts w:ascii="Calibri" w:hAnsi="Calibri" w:eastAsia="Calibri" w:cs="宋体"/>
      <w:sz w:val="20"/>
      <w:lang w:val="zh-CN"/>
    </w:rPr>
  </w:style>
  <w:style w:type="paragraph" w:styleId="783">
    <w:name w:val="正文文本121"/>
    <w:basedOn w:val="723"/>
    <w:next w:val="783"/>
    <w:link w:val="723"/>
    <w:qFormat/>
    <w:pPr>
      <w:ind w:left="120"/>
    </w:pPr>
    <w:rPr>
      <w:rFonts w:ascii="宋体" w:eastAsia="宋体" w:cs="宋体"/>
      <w:sz w:val="21"/>
      <w:szCs w:val="21"/>
      <w:lang w:val="zh-CN" w:eastAsia="zh-CN" w:bidi="zh-CN"/>
    </w:rPr>
  </w:style>
  <w:style w:type="paragraph" w:styleId="784">
    <w:name w:val="List Paragraph"/>
    <w:basedOn w:val="723"/>
    <w:next w:val="784"/>
    <w:link w:val="723"/>
    <w:uiPriority w:val="34"/>
    <w:qFormat/>
    <w:pPr>
      <w:contextualSpacing/>
      <w:ind w:left="720"/>
    </w:pPr>
  </w:style>
  <w:style w:type="paragraph" w:styleId="785">
    <w:name w:val="No Spacing"/>
    <w:next w:val="785"/>
    <w:link w:val="723"/>
    <w:uiPriority w:val="1"/>
    <w:qFormat/>
    <w:pPr>
      <w:spacing w:before="0" w:after="0" w:line="240" w:lineRule="auto"/>
    </w:pPr>
    <w:rPr>
      <w:rFonts w:ascii="Times New Roman" w:hAnsi="Times New Roman" w:eastAsia="宋体" w:cs="Times New Roman"/>
    </w:rPr>
  </w:style>
  <w:style w:type="paragraph" w:styleId="786">
    <w:name w:val="Quote"/>
    <w:basedOn w:val="723"/>
    <w:next w:val="723"/>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3"/>
    <w:next w:val="723"/>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3"/>
    <w:uiPriority w:val="59"/>
    <w:qFormat/>
    <w:pPr>
      <w:spacing w:after="0" w:line="240" w:lineRule="auto"/>
    </w:pPr>
    <w:tblPr/>
  </w:style>
  <w:style w:type="table" w:styleId="791">
    <w:name w:val="Plain Table 1"/>
    <w:next w:val="791"/>
    <w:link w:val="723"/>
    <w:uiPriority w:val="59"/>
    <w:qFormat/>
    <w:pPr>
      <w:spacing w:after="0" w:line="240" w:lineRule="auto"/>
    </w:pPr>
    <w:tblPr/>
  </w:style>
  <w:style w:type="table" w:styleId="792">
    <w:name w:val="Plain Table 2"/>
    <w:next w:val="792"/>
    <w:link w:val="723"/>
    <w:uiPriority w:val="59"/>
    <w:qFormat/>
    <w:pPr>
      <w:spacing w:after="0" w:line="240" w:lineRule="auto"/>
    </w:pPr>
    <w:tblPr/>
  </w:style>
  <w:style w:type="table" w:styleId="793">
    <w:name w:val="Plain Table 3"/>
    <w:next w:val="793"/>
    <w:link w:val="723"/>
    <w:uiPriority w:val="99"/>
    <w:qFormat/>
    <w:pPr>
      <w:spacing w:after="0" w:line="240" w:lineRule="auto"/>
    </w:pPr>
    <w:tblPr/>
  </w:style>
  <w:style w:type="table" w:styleId="794">
    <w:name w:val="Plain Table 4"/>
    <w:next w:val="794"/>
    <w:link w:val="723"/>
    <w:uiPriority w:val="99"/>
    <w:qFormat/>
    <w:pPr>
      <w:spacing w:after="0" w:line="240" w:lineRule="auto"/>
    </w:pPr>
    <w:tblPr/>
  </w:style>
  <w:style w:type="table" w:styleId="795">
    <w:name w:val="Plain Table 5"/>
    <w:next w:val="795"/>
    <w:link w:val="723"/>
    <w:uiPriority w:val="99"/>
    <w:qFormat/>
    <w:pPr>
      <w:spacing w:after="0" w:line="240" w:lineRule="auto"/>
    </w:pPr>
    <w:tblPr/>
  </w:style>
  <w:style w:type="table" w:styleId="796">
    <w:name w:val="Grid Table 1 Light"/>
    <w:next w:val="796"/>
    <w:link w:val="723"/>
    <w:uiPriority w:val="99"/>
    <w:qFormat/>
    <w:pPr>
      <w:spacing w:after="0" w:line="240" w:lineRule="auto"/>
    </w:pPr>
    <w:tblPr/>
  </w:style>
  <w:style w:type="table" w:styleId="797">
    <w:name w:val="Grid Table 1 Light - Accent 1"/>
    <w:next w:val="797"/>
    <w:link w:val="723"/>
    <w:uiPriority w:val="99"/>
    <w:qFormat/>
    <w:pPr>
      <w:spacing w:after="0" w:line="240" w:lineRule="auto"/>
    </w:pPr>
    <w:tblPr/>
  </w:style>
  <w:style w:type="table" w:styleId="798">
    <w:name w:val="Grid Table 1 Light - Accent 2"/>
    <w:next w:val="798"/>
    <w:link w:val="723"/>
    <w:uiPriority w:val="99"/>
    <w:qFormat/>
    <w:pPr>
      <w:spacing w:after="0" w:line="240" w:lineRule="auto"/>
    </w:pPr>
    <w:tblPr/>
  </w:style>
  <w:style w:type="table" w:styleId="799">
    <w:name w:val="Grid Table 1 Light - Accent 3"/>
    <w:next w:val="799"/>
    <w:link w:val="723"/>
    <w:uiPriority w:val="99"/>
    <w:qFormat/>
    <w:pPr>
      <w:spacing w:after="0" w:line="240" w:lineRule="auto"/>
    </w:pPr>
    <w:tblPr/>
  </w:style>
  <w:style w:type="table" w:styleId="800">
    <w:name w:val="Grid Table 1 Light - Accent 4"/>
    <w:next w:val="800"/>
    <w:link w:val="723"/>
    <w:uiPriority w:val="99"/>
    <w:qFormat/>
    <w:pPr>
      <w:spacing w:after="0" w:line="240" w:lineRule="auto"/>
    </w:pPr>
    <w:tblPr/>
  </w:style>
  <w:style w:type="table" w:styleId="801">
    <w:name w:val="Grid Table 1 Light - Accent 5"/>
    <w:next w:val="801"/>
    <w:link w:val="723"/>
    <w:uiPriority w:val="99"/>
    <w:qFormat/>
    <w:pPr>
      <w:spacing w:after="0" w:line="240" w:lineRule="auto"/>
    </w:pPr>
    <w:tblPr/>
  </w:style>
  <w:style w:type="table" w:styleId="802">
    <w:name w:val="Grid Table 1 Light - Accent 6"/>
    <w:next w:val="802"/>
    <w:link w:val="723"/>
    <w:uiPriority w:val="99"/>
    <w:qFormat/>
    <w:pPr>
      <w:spacing w:after="0" w:line="240" w:lineRule="auto"/>
    </w:pPr>
    <w:tblPr/>
  </w:style>
  <w:style w:type="table" w:styleId="803">
    <w:name w:val="Grid Table 2"/>
    <w:next w:val="803"/>
    <w:link w:val="723"/>
    <w:uiPriority w:val="99"/>
    <w:qFormat/>
    <w:pPr>
      <w:spacing w:after="0" w:line="240" w:lineRule="auto"/>
    </w:pPr>
    <w:tblPr/>
  </w:style>
  <w:style w:type="table" w:styleId="804">
    <w:name w:val="Grid Table 2 - Accent 1"/>
    <w:next w:val="804"/>
    <w:link w:val="723"/>
    <w:uiPriority w:val="99"/>
    <w:qFormat/>
    <w:pPr>
      <w:spacing w:after="0" w:line="240" w:lineRule="auto"/>
    </w:pPr>
    <w:tblPr/>
  </w:style>
  <w:style w:type="table" w:styleId="805">
    <w:name w:val="Grid Table 2 - Accent 2"/>
    <w:next w:val="805"/>
    <w:link w:val="723"/>
    <w:uiPriority w:val="99"/>
    <w:qFormat/>
    <w:pPr>
      <w:spacing w:after="0" w:line="240" w:lineRule="auto"/>
    </w:pPr>
    <w:tblPr/>
  </w:style>
  <w:style w:type="table" w:styleId="806">
    <w:name w:val="Grid Table 2 - Accent 3"/>
    <w:next w:val="806"/>
    <w:link w:val="723"/>
    <w:uiPriority w:val="99"/>
    <w:qFormat/>
    <w:pPr>
      <w:spacing w:after="0" w:line="240" w:lineRule="auto"/>
    </w:pPr>
    <w:tblPr/>
  </w:style>
  <w:style w:type="table" w:styleId="807">
    <w:name w:val="Grid Table 2 - Accent 4"/>
    <w:next w:val="807"/>
    <w:link w:val="723"/>
    <w:uiPriority w:val="99"/>
    <w:qFormat/>
    <w:pPr>
      <w:spacing w:after="0" w:line="240" w:lineRule="auto"/>
    </w:pPr>
    <w:tblPr/>
  </w:style>
  <w:style w:type="table" w:styleId="808">
    <w:name w:val="Grid Table 2 - Accent 5"/>
    <w:next w:val="808"/>
    <w:link w:val="723"/>
    <w:uiPriority w:val="99"/>
    <w:qFormat/>
    <w:pPr>
      <w:spacing w:after="0" w:line="240" w:lineRule="auto"/>
    </w:pPr>
    <w:tblPr/>
  </w:style>
  <w:style w:type="table" w:styleId="809">
    <w:name w:val="Grid Table 2 - Accent 6"/>
    <w:next w:val="809"/>
    <w:link w:val="723"/>
    <w:uiPriority w:val="99"/>
    <w:qFormat/>
    <w:pPr>
      <w:spacing w:after="0" w:line="240" w:lineRule="auto"/>
    </w:pPr>
    <w:tblPr/>
  </w:style>
  <w:style w:type="table" w:styleId="810">
    <w:name w:val="Grid Table 3"/>
    <w:next w:val="810"/>
    <w:link w:val="723"/>
    <w:uiPriority w:val="99"/>
    <w:qFormat/>
    <w:pPr>
      <w:spacing w:after="0" w:line="240" w:lineRule="auto"/>
    </w:pPr>
    <w:tblPr/>
  </w:style>
  <w:style w:type="table" w:styleId="811">
    <w:name w:val="Grid Table 3 - Accent 1"/>
    <w:next w:val="811"/>
    <w:link w:val="723"/>
    <w:uiPriority w:val="99"/>
    <w:qFormat/>
    <w:pPr>
      <w:spacing w:after="0" w:line="240" w:lineRule="auto"/>
    </w:pPr>
    <w:tblPr/>
  </w:style>
  <w:style w:type="table" w:styleId="812">
    <w:name w:val="Grid Table 3 - Accent 2"/>
    <w:next w:val="812"/>
    <w:link w:val="723"/>
    <w:uiPriority w:val="99"/>
    <w:qFormat/>
    <w:pPr>
      <w:spacing w:after="0" w:line="240" w:lineRule="auto"/>
    </w:pPr>
    <w:tblPr/>
  </w:style>
  <w:style w:type="table" w:styleId="813">
    <w:name w:val="Grid Table 3 - Accent 3"/>
    <w:next w:val="813"/>
    <w:link w:val="723"/>
    <w:uiPriority w:val="99"/>
    <w:qFormat/>
    <w:pPr>
      <w:spacing w:after="0" w:line="240" w:lineRule="auto"/>
    </w:pPr>
    <w:tblPr/>
  </w:style>
  <w:style w:type="table" w:styleId="814">
    <w:name w:val="Grid Table 3 - Accent 4"/>
    <w:next w:val="814"/>
    <w:link w:val="723"/>
    <w:uiPriority w:val="99"/>
    <w:qFormat/>
    <w:pPr>
      <w:spacing w:after="0" w:line="240" w:lineRule="auto"/>
    </w:pPr>
    <w:tblPr/>
  </w:style>
  <w:style w:type="table" w:styleId="815">
    <w:name w:val="Grid Table 3 - Accent 5"/>
    <w:next w:val="815"/>
    <w:link w:val="723"/>
    <w:uiPriority w:val="99"/>
    <w:qFormat/>
    <w:pPr>
      <w:spacing w:after="0" w:line="240" w:lineRule="auto"/>
    </w:pPr>
    <w:tblPr/>
  </w:style>
  <w:style w:type="table" w:styleId="816">
    <w:name w:val="Grid Table 3 - Accent 6"/>
    <w:next w:val="816"/>
    <w:link w:val="723"/>
    <w:uiPriority w:val="99"/>
    <w:qFormat/>
    <w:pPr>
      <w:spacing w:after="0" w:line="240" w:lineRule="auto"/>
    </w:pPr>
    <w:tblPr/>
  </w:style>
  <w:style w:type="table" w:styleId="817">
    <w:name w:val="Grid Table 4"/>
    <w:next w:val="817"/>
    <w:link w:val="723"/>
    <w:uiPriority w:val="59"/>
    <w:qFormat/>
    <w:pPr>
      <w:spacing w:after="0" w:line="240" w:lineRule="auto"/>
    </w:pPr>
    <w:tblPr/>
  </w:style>
  <w:style w:type="table" w:styleId="818">
    <w:name w:val="Grid Table 4 - Accent 1"/>
    <w:next w:val="818"/>
    <w:link w:val="723"/>
    <w:uiPriority w:val="59"/>
    <w:qFormat/>
    <w:pPr>
      <w:spacing w:after="0" w:line="240" w:lineRule="auto"/>
    </w:pPr>
    <w:tblPr/>
  </w:style>
  <w:style w:type="table" w:styleId="819">
    <w:name w:val="Grid Table 4 - Accent 2"/>
    <w:next w:val="819"/>
    <w:link w:val="723"/>
    <w:uiPriority w:val="59"/>
    <w:qFormat/>
    <w:pPr>
      <w:spacing w:after="0" w:line="240" w:lineRule="auto"/>
    </w:pPr>
    <w:tblPr/>
  </w:style>
  <w:style w:type="table" w:styleId="820">
    <w:name w:val="Grid Table 4 - Accent 3"/>
    <w:next w:val="820"/>
    <w:link w:val="723"/>
    <w:uiPriority w:val="59"/>
    <w:qFormat/>
    <w:pPr>
      <w:spacing w:after="0" w:line="240" w:lineRule="auto"/>
    </w:pPr>
    <w:tblPr/>
  </w:style>
  <w:style w:type="table" w:styleId="821">
    <w:name w:val="Grid Table 4 - Accent 4"/>
    <w:next w:val="821"/>
    <w:link w:val="723"/>
    <w:uiPriority w:val="59"/>
    <w:qFormat/>
    <w:pPr>
      <w:spacing w:after="0" w:line="240" w:lineRule="auto"/>
    </w:pPr>
    <w:tblPr/>
  </w:style>
  <w:style w:type="table" w:styleId="822">
    <w:name w:val="Grid Table 4 - Accent 5"/>
    <w:next w:val="822"/>
    <w:link w:val="723"/>
    <w:uiPriority w:val="59"/>
    <w:qFormat/>
    <w:pPr>
      <w:spacing w:after="0" w:line="240" w:lineRule="auto"/>
    </w:pPr>
    <w:tblPr/>
  </w:style>
  <w:style w:type="table" w:styleId="823">
    <w:name w:val="Grid Table 4 - Accent 6"/>
    <w:next w:val="823"/>
    <w:link w:val="723"/>
    <w:uiPriority w:val="59"/>
    <w:qFormat/>
    <w:pPr>
      <w:spacing w:after="0" w:line="240" w:lineRule="auto"/>
    </w:pPr>
    <w:tblPr/>
  </w:style>
  <w:style w:type="table" w:styleId="824">
    <w:name w:val="Grid Table 5 Dark"/>
    <w:next w:val="824"/>
    <w:link w:val="723"/>
    <w:uiPriority w:val="99"/>
    <w:qFormat/>
    <w:pPr>
      <w:spacing w:after="0" w:line="240" w:lineRule="auto"/>
    </w:pPr>
    <w:tblPr/>
  </w:style>
  <w:style w:type="table" w:styleId="825">
    <w:name w:val="Grid Table 5 Dark- Accent 1"/>
    <w:next w:val="825"/>
    <w:link w:val="723"/>
    <w:uiPriority w:val="99"/>
    <w:qFormat/>
    <w:pPr>
      <w:spacing w:after="0" w:line="240" w:lineRule="auto"/>
    </w:pPr>
    <w:tblPr/>
  </w:style>
  <w:style w:type="table" w:styleId="826">
    <w:name w:val="Grid Table 5 Dark - Accent 2"/>
    <w:next w:val="826"/>
    <w:link w:val="723"/>
    <w:uiPriority w:val="99"/>
    <w:qFormat/>
    <w:pPr>
      <w:spacing w:after="0" w:line="240" w:lineRule="auto"/>
    </w:pPr>
    <w:tblPr/>
  </w:style>
  <w:style w:type="table" w:styleId="827">
    <w:name w:val="Grid Table 5 Dark - Accent 3"/>
    <w:next w:val="827"/>
    <w:link w:val="723"/>
    <w:uiPriority w:val="99"/>
    <w:qFormat/>
    <w:pPr>
      <w:spacing w:after="0" w:line="240" w:lineRule="auto"/>
    </w:pPr>
    <w:tblPr/>
  </w:style>
  <w:style w:type="table" w:styleId="828">
    <w:name w:val="Grid Table 5 Dark- Accent 4"/>
    <w:next w:val="828"/>
    <w:link w:val="723"/>
    <w:uiPriority w:val="99"/>
    <w:qFormat/>
    <w:pPr>
      <w:spacing w:after="0" w:line="240" w:lineRule="auto"/>
    </w:pPr>
    <w:tblPr/>
  </w:style>
  <w:style w:type="table" w:styleId="829">
    <w:name w:val="Grid Table 5 Dark - Accent 5"/>
    <w:next w:val="829"/>
    <w:link w:val="723"/>
    <w:uiPriority w:val="99"/>
    <w:qFormat/>
    <w:pPr>
      <w:spacing w:after="0" w:line="240" w:lineRule="auto"/>
    </w:pPr>
    <w:tblPr/>
  </w:style>
  <w:style w:type="table" w:styleId="830">
    <w:name w:val="Grid Table 5 Dark - Accent 6"/>
    <w:next w:val="830"/>
    <w:link w:val="723"/>
    <w:uiPriority w:val="99"/>
    <w:qFormat/>
    <w:pPr>
      <w:spacing w:after="0" w:line="240" w:lineRule="auto"/>
    </w:pPr>
    <w:tblPr/>
  </w:style>
  <w:style w:type="table" w:styleId="831">
    <w:name w:val="Grid Table 6 Colorful"/>
    <w:next w:val="831"/>
    <w:link w:val="723"/>
    <w:uiPriority w:val="99"/>
    <w:qFormat/>
    <w:pPr>
      <w:spacing w:after="0" w:line="240" w:lineRule="auto"/>
    </w:pPr>
    <w:tblPr/>
  </w:style>
  <w:style w:type="table" w:styleId="832">
    <w:name w:val="Grid Table 6 Colorful - Accent 1"/>
    <w:next w:val="832"/>
    <w:link w:val="723"/>
    <w:uiPriority w:val="99"/>
    <w:qFormat/>
    <w:pPr>
      <w:spacing w:after="0" w:line="240" w:lineRule="auto"/>
    </w:pPr>
    <w:tblPr/>
  </w:style>
  <w:style w:type="table" w:styleId="833">
    <w:name w:val="Grid Table 6 Colorful - Accent 2"/>
    <w:next w:val="833"/>
    <w:link w:val="723"/>
    <w:uiPriority w:val="99"/>
    <w:qFormat/>
    <w:pPr>
      <w:spacing w:after="0" w:line="240" w:lineRule="auto"/>
    </w:pPr>
    <w:tblPr/>
  </w:style>
  <w:style w:type="table" w:styleId="834">
    <w:name w:val="Grid Table 6 Colorful - Accent 3"/>
    <w:next w:val="834"/>
    <w:link w:val="723"/>
    <w:uiPriority w:val="99"/>
    <w:qFormat/>
    <w:pPr>
      <w:spacing w:after="0" w:line="240" w:lineRule="auto"/>
    </w:pPr>
    <w:tblPr/>
  </w:style>
  <w:style w:type="table" w:styleId="835">
    <w:name w:val="Grid Table 6 Colorful - Accent 4"/>
    <w:next w:val="835"/>
    <w:link w:val="723"/>
    <w:uiPriority w:val="99"/>
    <w:qFormat/>
    <w:pPr>
      <w:spacing w:after="0" w:line="240" w:lineRule="auto"/>
    </w:pPr>
    <w:tblPr/>
  </w:style>
  <w:style w:type="table" w:styleId="836">
    <w:name w:val="Grid Table 6 Colorful - Accent 5"/>
    <w:next w:val="836"/>
    <w:link w:val="723"/>
    <w:uiPriority w:val="99"/>
    <w:qFormat/>
    <w:pPr>
      <w:spacing w:after="0" w:line="240" w:lineRule="auto"/>
    </w:pPr>
    <w:tblPr/>
  </w:style>
  <w:style w:type="table" w:styleId="837">
    <w:name w:val="Grid Table 6 Colorful - Accent 6"/>
    <w:next w:val="837"/>
    <w:link w:val="723"/>
    <w:uiPriority w:val="99"/>
    <w:qFormat/>
    <w:pPr>
      <w:spacing w:after="0" w:line="240" w:lineRule="auto"/>
    </w:pPr>
    <w:tblPr/>
  </w:style>
  <w:style w:type="table" w:styleId="838">
    <w:name w:val="Grid Table 7 Colorful"/>
    <w:next w:val="838"/>
    <w:link w:val="723"/>
    <w:uiPriority w:val="99"/>
    <w:qFormat/>
    <w:pPr>
      <w:spacing w:after="0" w:line="240" w:lineRule="auto"/>
    </w:pPr>
    <w:tblPr/>
  </w:style>
  <w:style w:type="table" w:styleId="839">
    <w:name w:val="Grid Table 7 Colorful - Accent 1"/>
    <w:next w:val="839"/>
    <w:link w:val="723"/>
    <w:uiPriority w:val="99"/>
    <w:qFormat/>
    <w:pPr>
      <w:spacing w:after="0" w:line="240" w:lineRule="auto"/>
    </w:pPr>
    <w:tblPr/>
  </w:style>
  <w:style w:type="table" w:styleId="840">
    <w:name w:val="Grid Table 7 Colorful - Accent 2"/>
    <w:next w:val="840"/>
    <w:link w:val="723"/>
    <w:uiPriority w:val="99"/>
    <w:qFormat/>
    <w:pPr>
      <w:spacing w:after="0" w:line="240" w:lineRule="auto"/>
    </w:pPr>
    <w:tblPr/>
  </w:style>
  <w:style w:type="table" w:styleId="841">
    <w:name w:val="Grid Table 7 Colorful - Accent 3"/>
    <w:next w:val="841"/>
    <w:link w:val="723"/>
    <w:uiPriority w:val="99"/>
    <w:qFormat/>
    <w:pPr>
      <w:spacing w:after="0" w:line="240" w:lineRule="auto"/>
    </w:pPr>
    <w:tblPr/>
  </w:style>
  <w:style w:type="table" w:styleId="842">
    <w:name w:val="Grid Table 7 Colorful - Accent 4"/>
    <w:next w:val="842"/>
    <w:link w:val="723"/>
    <w:uiPriority w:val="99"/>
    <w:qFormat/>
    <w:pPr>
      <w:spacing w:after="0" w:line="240" w:lineRule="auto"/>
    </w:pPr>
    <w:tblPr/>
  </w:style>
  <w:style w:type="table" w:styleId="843">
    <w:name w:val="Grid Table 7 Colorful - Accent 5"/>
    <w:next w:val="843"/>
    <w:link w:val="723"/>
    <w:uiPriority w:val="99"/>
    <w:qFormat/>
    <w:pPr>
      <w:spacing w:after="0" w:line="240" w:lineRule="auto"/>
    </w:pPr>
    <w:tblPr/>
  </w:style>
  <w:style w:type="table" w:styleId="844">
    <w:name w:val="Grid Table 7 Colorful - Accent 6"/>
    <w:next w:val="844"/>
    <w:link w:val="723"/>
    <w:uiPriority w:val="99"/>
    <w:qFormat/>
    <w:pPr>
      <w:spacing w:after="0" w:line="240" w:lineRule="auto"/>
    </w:pPr>
    <w:tblPr/>
  </w:style>
  <w:style w:type="table" w:styleId="845">
    <w:name w:val="List Table 1 Light"/>
    <w:next w:val="845"/>
    <w:link w:val="723"/>
    <w:uiPriority w:val="99"/>
    <w:qFormat/>
    <w:pPr>
      <w:spacing w:after="0" w:line="240" w:lineRule="auto"/>
    </w:pPr>
    <w:tblPr/>
  </w:style>
  <w:style w:type="table" w:styleId="846">
    <w:name w:val="List Table 1 Light - Accent 1"/>
    <w:next w:val="846"/>
    <w:link w:val="723"/>
    <w:uiPriority w:val="99"/>
    <w:qFormat/>
    <w:pPr>
      <w:spacing w:after="0" w:line="240" w:lineRule="auto"/>
    </w:pPr>
    <w:tblPr/>
  </w:style>
  <w:style w:type="table" w:styleId="847">
    <w:name w:val="List Table 1 Light - Accent 2"/>
    <w:next w:val="847"/>
    <w:link w:val="723"/>
    <w:uiPriority w:val="99"/>
    <w:qFormat/>
    <w:pPr>
      <w:spacing w:after="0" w:line="240" w:lineRule="auto"/>
    </w:pPr>
    <w:tblPr/>
  </w:style>
  <w:style w:type="table" w:styleId="848">
    <w:name w:val="List Table 1 Light - Accent 3"/>
    <w:next w:val="848"/>
    <w:link w:val="723"/>
    <w:uiPriority w:val="99"/>
    <w:qFormat/>
    <w:pPr>
      <w:spacing w:after="0" w:line="240" w:lineRule="auto"/>
    </w:pPr>
    <w:tblPr/>
  </w:style>
  <w:style w:type="table" w:styleId="849">
    <w:name w:val="List Table 1 Light - Accent 4"/>
    <w:next w:val="849"/>
    <w:link w:val="723"/>
    <w:uiPriority w:val="99"/>
    <w:qFormat/>
    <w:pPr>
      <w:spacing w:after="0" w:line="240" w:lineRule="auto"/>
    </w:pPr>
    <w:tblPr/>
  </w:style>
  <w:style w:type="table" w:styleId="850">
    <w:name w:val="List Table 1 Light - Accent 5"/>
    <w:next w:val="850"/>
    <w:link w:val="723"/>
    <w:uiPriority w:val="99"/>
    <w:qFormat/>
    <w:pPr>
      <w:spacing w:after="0" w:line="240" w:lineRule="auto"/>
    </w:pPr>
    <w:tblPr/>
  </w:style>
  <w:style w:type="table" w:styleId="851">
    <w:name w:val="List Table 1 Light - Accent 6"/>
    <w:next w:val="851"/>
    <w:link w:val="723"/>
    <w:uiPriority w:val="99"/>
    <w:qFormat/>
    <w:pPr>
      <w:spacing w:after="0" w:line="240" w:lineRule="auto"/>
    </w:pPr>
    <w:tblPr/>
  </w:style>
  <w:style w:type="table" w:styleId="852">
    <w:name w:val="List Table 2"/>
    <w:next w:val="852"/>
    <w:link w:val="723"/>
    <w:uiPriority w:val="99"/>
    <w:qFormat/>
    <w:pPr>
      <w:spacing w:after="0" w:line="240" w:lineRule="auto"/>
    </w:pPr>
    <w:tblPr/>
  </w:style>
  <w:style w:type="table" w:styleId="853">
    <w:name w:val="List Table 2 - Accent 1"/>
    <w:next w:val="853"/>
    <w:link w:val="723"/>
    <w:uiPriority w:val="99"/>
    <w:qFormat/>
    <w:pPr>
      <w:spacing w:after="0" w:line="240" w:lineRule="auto"/>
    </w:pPr>
    <w:tblPr/>
  </w:style>
  <w:style w:type="table" w:styleId="854">
    <w:name w:val="List Table 2 - Accent 2"/>
    <w:next w:val="854"/>
    <w:link w:val="723"/>
    <w:uiPriority w:val="99"/>
    <w:qFormat/>
    <w:pPr>
      <w:spacing w:after="0" w:line="240" w:lineRule="auto"/>
    </w:pPr>
    <w:tblPr/>
  </w:style>
  <w:style w:type="table" w:styleId="855">
    <w:name w:val="List Table 2 - Accent 3"/>
    <w:next w:val="855"/>
    <w:link w:val="723"/>
    <w:uiPriority w:val="99"/>
    <w:qFormat/>
    <w:pPr>
      <w:spacing w:after="0" w:line="240" w:lineRule="auto"/>
    </w:pPr>
    <w:tblPr/>
  </w:style>
  <w:style w:type="table" w:styleId="856">
    <w:name w:val="List Table 2 - Accent 4"/>
    <w:next w:val="856"/>
    <w:link w:val="723"/>
    <w:uiPriority w:val="99"/>
    <w:qFormat/>
    <w:pPr>
      <w:spacing w:after="0" w:line="240" w:lineRule="auto"/>
    </w:pPr>
    <w:tblPr/>
  </w:style>
  <w:style w:type="table" w:styleId="857">
    <w:name w:val="List Table 2 - Accent 5"/>
    <w:next w:val="857"/>
    <w:link w:val="723"/>
    <w:uiPriority w:val="99"/>
    <w:qFormat/>
    <w:pPr>
      <w:spacing w:after="0" w:line="240" w:lineRule="auto"/>
    </w:pPr>
    <w:tblPr/>
  </w:style>
  <w:style w:type="table" w:styleId="858">
    <w:name w:val="List Table 2 - Accent 6"/>
    <w:next w:val="858"/>
    <w:link w:val="723"/>
    <w:uiPriority w:val="99"/>
    <w:qFormat/>
    <w:pPr>
      <w:spacing w:after="0" w:line="240" w:lineRule="auto"/>
    </w:pPr>
    <w:tblPr/>
  </w:style>
  <w:style w:type="table" w:styleId="859">
    <w:name w:val="List Table 3"/>
    <w:next w:val="859"/>
    <w:link w:val="723"/>
    <w:uiPriority w:val="99"/>
    <w:qFormat/>
    <w:pPr>
      <w:spacing w:after="0" w:line="240" w:lineRule="auto"/>
    </w:pPr>
    <w:tblPr/>
  </w:style>
  <w:style w:type="table" w:styleId="860">
    <w:name w:val="List Table 3 - Accent 1"/>
    <w:next w:val="860"/>
    <w:link w:val="723"/>
    <w:uiPriority w:val="99"/>
    <w:qFormat/>
    <w:pPr>
      <w:spacing w:after="0" w:line="240" w:lineRule="auto"/>
    </w:pPr>
    <w:tblPr/>
  </w:style>
  <w:style w:type="table" w:styleId="861">
    <w:name w:val="List Table 3 - Accent 2"/>
    <w:next w:val="861"/>
    <w:link w:val="723"/>
    <w:uiPriority w:val="99"/>
    <w:qFormat/>
    <w:pPr>
      <w:spacing w:after="0" w:line="240" w:lineRule="auto"/>
    </w:pPr>
    <w:tblPr/>
  </w:style>
  <w:style w:type="table" w:styleId="862">
    <w:name w:val="List Table 3 - Accent 3"/>
    <w:next w:val="862"/>
    <w:link w:val="723"/>
    <w:uiPriority w:val="99"/>
    <w:qFormat/>
    <w:pPr>
      <w:spacing w:after="0" w:line="240" w:lineRule="auto"/>
    </w:pPr>
    <w:tblPr/>
  </w:style>
  <w:style w:type="table" w:styleId="863">
    <w:name w:val="List Table 3 - Accent 4"/>
    <w:next w:val="863"/>
    <w:link w:val="723"/>
    <w:uiPriority w:val="99"/>
    <w:qFormat/>
    <w:pPr>
      <w:spacing w:after="0" w:line="240" w:lineRule="auto"/>
    </w:pPr>
    <w:tblPr/>
  </w:style>
  <w:style w:type="table" w:styleId="864">
    <w:name w:val="List Table 3 - Accent 5"/>
    <w:next w:val="864"/>
    <w:link w:val="723"/>
    <w:uiPriority w:val="99"/>
    <w:qFormat/>
    <w:pPr>
      <w:spacing w:after="0" w:line="240" w:lineRule="auto"/>
    </w:pPr>
    <w:tblPr/>
  </w:style>
  <w:style w:type="table" w:styleId="865">
    <w:name w:val="List Table 3 - Accent 6"/>
    <w:next w:val="865"/>
    <w:link w:val="723"/>
    <w:uiPriority w:val="99"/>
    <w:qFormat/>
    <w:pPr>
      <w:spacing w:after="0" w:line="240" w:lineRule="auto"/>
    </w:pPr>
    <w:tblPr/>
  </w:style>
  <w:style w:type="table" w:styleId="866">
    <w:name w:val="List Table 4"/>
    <w:next w:val="866"/>
    <w:link w:val="723"/>
    <w:uiPriority w:val="99"/>
    <w:qFormat/>
    <w:pPr>
      <w:spacing w:after="0" w:line="240" w:lineRule="auto"/>
    </w:pPr>
    <w:tblPr/>
  </w:style>
  <w:style w:type="table" w:styleId="867">
    <w:name w:val="List Table 4 - Accent 1"/>
    <w:next w:val="867"/>
    <w:link w:val="723"/>
    <w:uiPriority w:val="99"/>
    <w:qFormat/>
    <w:pPr>
      <w:spacing w:after="0" w:line="240" w:lineRule="auto"/>
    </w:pPr>
    <w:tblPr/>
  </w:style>
  <w:style w:type="table" w:styleId="868">
    <w:name w:val="List Table 4 - Accent 2"/>
    <w:next w:val="868"/>
    <w:link w:val="723"/>
    <w:uiPriority w:val="99"/>
    <w:qFormat/>
    <w:pPr>
      <w:spacing w:after="0" w:line="240" w:lineRule="auto"/>
    </w:pPr>
    <w:tblPr/>
  </w:style>
  <w:style w:type="table" w:styleId="869">
    <w:name w:val="List Table 4 - Accent 3"/>
    <w:next w:val="869"/>
    <w:link w:val="723"/>
    <w:uiPriority w:val="99"/>
    <w:qFormat/>
    <w:pPr>
      <w:spacing w:after="0" w:line="240" w:lineRule="auto"/>
    </w:pPr>
    <w:tblPr/>
  </w:style>
  <w:style w:type="table" w:styleId="870">
    <w:name w:val="List Table 4 - Accent 4"/>
    <w:next w:val="870"/>
    <w:link w:val="723"/>
    <w:uiPriority w:val="99"/>
    <w:qFormat/>
    <w:pPr>
      <w:spacing w:after="0" w:line="240" w:lineRule="auto"/>
    </w:pPr>
    <w:tblPr/>
  </w:style>
  <w:style w:type="table" w:styleId="871">
    <w:name w:val="List Table 4 - Accent 5"/>
    <w:next w:val="871"/>
    <w:link w:val="723"/>
    <w:uiPriority w:val="99"/>
    <w:qFormat/>
    <w:pPr>
      <w:spacing w:after="0" w:line="240" w:lineRule="auto"/>
    </w:pPr>
    <w:tblPr/>
  </w:style>
  <w:style w:type="table" w:styleId="872">
    <w:name w:val="List Table 4 - Accent 6"/>
    <w:next w:val="872"/>
    <w:link w:val="723"/>
    <w:uiPriority w:val="99"/>
    <w:qFormat/>
    <w:pPr>
      <w:spacing w:after="0" w:line="240" w:lineRule="auto"/>
    </w:pPr>
    <w:tblPr/>
  </w:style>
  <w:style w:type="table" w:styleId="873">
    <w:name w:val="List Table 5 Dark"/>
    <w:next w:val="873"/>
    <w:link w:val="723"/>
    <w:uiPriority w:val="99"/>
    <w:qFormat/>
    <w:pPr>
      <w:spacing w:after="0" w:line="240" w:lineRule="auto"/>
    </w:pPr>
    <w:tblPr/>
  </w:style>
  <w:style w:type="table" w:styleId="874">
    <w:name w:val="List Table 5 Dark - Accent 1"/>
    <w:next w:val="874"/>
    <w:link w:val="723"/>
    <w:uiPriority w:val="99"/>
    <w:qFormat/>
    <w:pPr>
      <w:spacing w:after="0" w:line="240" w:lineRule="auto"/>
    </w:pPr>
    <w:tblPr/>
  </w:style>
  <w:style w:type="table" w:styleId="875">
    <w:name w:val="List Table 5 Dark - Accent 2"/>
    <w:next w:val="875"/>
    <w:link w:val="723"/>
    <w:uiPriority w:val="99"/>
    <w:qFormat/>
    <w:pPr>
      <w:spacing w:after="0" w:line="240" w:lineRule="auto"/>
    </w:pPr>
    <w:tblPr/>
  </w:style>
  <w:style w:type="table" w:styleId="876">
    <w:name w:val="List Table 5 Dark - Accent 3"/>
    <w:next w:val="876"/>
    <w:link w:val="723"/>
    <w:uiPriority w:val="99"/>
    <w:qFormat/>
    <w:pPr>
      <w:spacing w:after="0" w:line="240" w:lineRule="auto"/>
    </w:pPr>
    <w:tblPr/>
  </w:style>
  <w:style w:type="table" w:styleId="877">
    <w:name w:val="List Table 5 Dark - Accent 4"/>
    <w:next w:val="877"/>
    <w:link w:val="723"/>
    <w:uiPriority w:val="99"/>
    <w:qFormat/>
    <w:pPr>
      <w:spacing w:after="0" w:line="240" w:lineRule="auto"/>
    </w:pPr>
    <w:tblPr/>
  </w:style>
  <w:style w:type="table" w:styleId="878">
    <w:name w:val="List Table 5 Dark - Accent 5"/>
    <w:next w:val="878"/>
    <w:link w:val="723"/>
    <w:uiPriority w:val="99"/>
    <w:qFormat/>
    <w:pPr>
      <w:spacing w:after="0" w:line="240" w:lineRule="auto"/>
    </w:pPr>
    <w:tblPr/>
  </w:style>
  <w:style w:type="table" w:styleId="879">
    <w:name w:val="List Table 5 Dark - Accent 6"/>
    <w:next w:val="879"/>
    <w:link w:val="723"/>
    <w:uiPriority w:val="99"/>
    <w:qFormat/>
    <w:pPr>
      <w:spacing w:after="0" w:line="240" w:lineRule="auto"/>
    </w:pPr>
    <w:tblPr/>
  </w:style>
  <w:style w:type="table" w:styleId="880">
    <w:name w:val="List Table 6 Colorful"/>
    <w:next w:val="880"/>
    <w:link w:val="723"/>
    <w:uiPriority w:val="99"/>
    <w:qFormat/>
    <w:pPr>
      <w:spacing w:after="0" w:line="240" w:lineRule="auto"/>
    </w:pPr>
    <w:tblPr/>
  </w:style>
  <w:style w:type="table" w:styleId="881">
    <w:name w:val="List Table 6 Colorful - Accent 1"/>
    <w:next w:val="881"/>
    <w:link w:val="723"/>
    <w:uiPriority w:val="99"/>
    <w:qFormat/>
    <w:pPr>
      <w:spacing w:after="0" w:line="240" w:lineRule="auto"/>
    </w:pPr>
    <w:tblPr/>
  </w:style>
  <w:style w:type="table" w:styleId="882">
    <w:name w:val="List Table 6 Colorful - Accent 2"/>
    <w:next w:val="882"/>
    <w:link w:val="723"/>
    <w:uiPriority w:val="99"/>
    <w:qFormat/>
    <w:pPr>
      <w:spacing w:after="0" w:line="240" w:lineRule="auto"/>
    </w:pPr>
    <w:tblPr/>
  </w:style>
  <w:style w:type="table" w:styleId="883">
    <w:name w:val="List Table 6 Colorful - Accent 3"/>
    <w:next w:val="883"/>
    <w:link w:val="723"/>
    <w:uiPriority w:val="99"/>
    <w:qFormat/>
    <w:pPr>
      <w:spacing w:after="0" w:line="240" w:lineRule="auto"/>
    </w:pPr>
    <w:tblPr/>
  </w:style>
  <w:style w:type="table" w:styleId="884">
    <w:name w:val="List Table 6 Colorful - Accent 4"/>
    <w:next w:val="884"/>
    <w:link w:val="723"/>
    <w:uiPriority w:val="99"/>
    <w:qFormat/>
    <w:pPr>
      <w:spacing w:after="0" w:line="240" w:lineRule="auto"/>
    </w:pPr>
    <w:tblPr/>
  </w:style>
  <w:style w:type="table" w:styleId="885">
    <w:name w:val="List Table 6 Colorful - Accent 5"/>
    <w:next w:val="885"/>
    <w:link w:val="723"/>
    <w:uiPriority w:val="99"/>
    <w:qFormat/>
    <w:pPr>
      <w:spacing w:after="0" w:line="240" w:lineRule="auto"/>
    </w:pPr>
    <w:tblPr/>
  </w:style>
  <w:style w:type="table" w:styleId="886">
    <w:name w:val="List Table 6 Colorful - Accent 6"/>
    <w:next w:val="886"/>
    <w:link w:val="723"/>
    <w:uiPriority w:val="99"/>
    <w:qFormat/>
    <w:pPr>
      <w:spacing w:after="0" w:line="240" w:lineRule="auto"/>
    </w:pPr>
    <w:tblPr/>
  </w:style>
  <w:style w:type="table" w:styleId="887">
    <w:name w:val="List Table 7 Colorful"/>
    <w:next w:val="887"/>
    <w:link w:val="723"/>
    <w:uiPriority w:val="99"/>
    <w:qFormat/>
    <w:pPr>
      <w:spacing w:after="0" w:line="240" w:lineRule="auto"/>
    </w:pPr>
    <w:tblPr/>
  </w:style>
  <w:style w:type="table" w:styleId="888">
    <w:name w:val="List Table 7 Colorful - Accent 1"/>
    <w:next w:val="888"/>
    <w:link w:val="723"/>
    <w:uiPriority w:val="99"/>
    <w:qFormat/>
    <w:pPr>
      <w:spacing w:after="0" w:line="240" w:lineRule="auto"/>
    </w:pPr>
    <w:tblPr/>
  </w:style>
  <w:style w:type="table" w:styleId="889">
    <w:name w:val="List Table 7 Colorful - Accent 2"/>
    <w:next w:val="889"/>
    <w:link w:val="723"/>
    <w:uiPriority w:val="99"/>
    <w:qFormat/>
    <w:pPr>
      <w:spacing w:after="0" w:line="240" w:lineRule="auto"/>
    </w:pPr>
    <w:tblPr/>
  </w:style>
  <w:style w:type="table" w:styleId="890">
    <w:name w:val="List Table 7 Colorful - Accent 3"/>
    <w:next w:val="890"/>
    <w:link w:val="723"/>
    <w:uiPriority w:val="99"/>
    <w:qFormat/>
    <w:pPr>
      <w:spacing w:after="0" w:line="240" w:lineRule="auto"/>
    </w:pPr>
    <w:tblPr/>
  </w:style>
  <w:style w:type="table" w:styleId="891">
    <w:name w:val="List Table 7 Colorful - Accent 4"/>
    <w:next w:val="891"/>
    <w:link w:val="723"/>
    <w:uiPriority w:val="99"/>
    <w:qFormat/>
    <w:pPr>
      <w:spacing w:after="0" w:line="240" w:lineRule="auto"/>
    </w:pPr>
    <w:tblPr/>
  </w:style>
  <w:style w:type="table" w:styleId="892">
    <w:name w:val="List Table 7 Colorful - Accent 5"/>
    <w:next w:val="892"/>
    <w:link w:val="723"/>
    <w:uiPriority w:val="99"/>
    <w:qFormat/>
    <w:pPr>
      <w:spacing w:after="0" w:line="240" w:lineRule="auto"/>
    </w:pPr>
    <w:tblPr/>
  </w:style>
  <w:style w:type="table" w:styleId="893">
    <w:name w:val="List Table 7 Colorful - Accent 6"/>
    <w:next w:val="893"/>
    <w:link w:val="723"/>
    <w:uiPriority w:val="99"/>
    <w:qFormat/>
    <w:pPr>
      <w:spacing w:after="0" w:line="240" w:lineRule="auto"/>
    </w:pPr>
    <w:tblPr/>
  </w:style>
  <w:style w:type="table" w:styleId="894">
    <w:name w:val="Lined - Accent"/>
    <w:next w:val="894"/>
    <w:link w:val="723"/>
    <w:uiPriority w:val="99"/>
    <w:qFormat/>
    <w:pPr>
      <w:spacing w:after="0" w:line="240" w:lineRule="auto"/>
    </w:pPr>
    <w:rPr>
      <w:color w:val="404040"/>
    </w:rPr>
    <w:tblPr/>
  </w:style>
  <w:style w:type="table" w:styleId="895">
    <w:name w:val="Lined - Accent 1"/>
    <w:next w:val="895"/>
    <w:link w:val="723"/>
    <w:uiPriority w:val="99"/>
    <w:qFormat/>
    <w:pPr>
      <w:spacing w:after="0" w:line="240" w:lineRule="auto"/>
    </w:pPr>
    <w:rPr>
      <w:color w:val="404040"/>
    </w:rPr>
    <w:tblPr/>
  </w:style>
  <w:style w:type="table" w:styleId="896">
    <w:name w:val="Lined - Accent 2"/>
    <w:next w:val="896"/>
    <w:link w:val="723"/>
    <w:uiPriority w:val="99"/>
    <w:qFormat/>
    <w:pPr>
      <w:spacing w:after="0" w:line="240" w:lineRule="auto"/>
    </w:pPr>
    <w:rPr>
      <w:color w:val="404040"/>
    </w:rPr>
    <w:tblPr/>
  </w:style>
  <w:style w:type="table" w:styleId="897">
    <w:name w:val="Lined - Accent 3"/>
    <w:next w:val="897"/>
    <w:link w:val="723"/>
    <w:uiPriority w:val="99"/>
    <w:qFormat/>
    <w:pPr>
      <w:spacing w:after="0" w:line="240" w:lineRule="auto"/>
    </w:pPr>
    <w:rPr>
      <w:color w:val="404040"/>
    </w:rPr>
    <w:tblPr/>
  </w:style>
  <w:style w:type="table" w:styleId="898">
    <w:name w:val="Lined - Accent 4"/>
    <w:next w:val="898"/>
    <w:link w:val="723"/>
    <w:uiPriority w:val="99"/>
    <w:qFormat/>
    <w:pPr>
      <w:spacing w:after="0" w:line="240" w:lineRule="auto"/>
    </w:pPr>
    <w:rPr>
      <w:color w:val="404040"/>
    </w:rPr>
    <w:tblPr/>
  </w:style>
  <w:style w:type="table" w:styleId="899">
    <w:name w:val="Lined - Accent 5"/>
    <w:next w:val="899"/>
    <w:link w:val="723"/>
    <w:uiPriority w:val="99"/>
    <w:qFormat/>
    <w:pPr>
      <w:spacing w:after="0" w:line="240" w:lineRule="auto"/>
    </w:pPr>
    <w:rPr>
      <w:color w:val="404040"/>
    </w:rPr>
    <w:tblPr/>
  </w:style>
  <w:style w:type="table" w:styleId="900">
    <w:name w:val="Lined - Accent 6"/>
    <w:next w:val="900"/>
    <w:link w:val="723"/>
    <w:uiPriority w:val="99"/>
    <w:qFormat/>
    <w:pPr>
      <w:spacing w:after="0" w:line="240" w:lineRule="auto"/>
    </w:pPr>
    <w:rPr>
      <w:color w:val="404040"/>
    </w:rPr>
    <w:tblPr/>
  </w:style>
  <w:style w:type="table" w:styleId="901">
    <w:name w:val="Bordered &amp; Lined - Accent"/>
    <w:next w:val="901"/>
    <w:link w:val="723"/>
    <w:uiPriority w:val="99"/>
    <w:qFormat/>
    <w:pPr>
      <w:spacing w:after="0" w:line="240" w:lineRule="auto"/>
    </w:pPr>
    <w:rPr>
      <w:color w:val="404040"/>
    </w:rPr>
    <w:tblPr/>
  </w:style>
  <w:style w:type="table" w:styleId="902">
    <w:name w:val="Bordered &amp; Lined - Accent 1"/>
    <w:next w:val="902"/>
    <w:link w:val="723"/>
    <w:uiPriority w:val="99"/>
    <w:qFormat/>
    <w:pPr>
      <w:spacing w:after="0" w:line="240" w:lineRule="auto"/>
    </w:pPr>
    <w:rPr>
      <w:color w:val="404040"/>
    </w:rPr>
    <w:tblPr/>
  </w:style>
  <w:style w:type="table" w:styleId="903">
    <w:name w:val="Bordered &amp; Lined - Accent 2"/>
    <w:next w:val="903"/>
    <w:link w:val="723"/>
    <w:uiPriority w:val="99"/>
    <w:qFormat/>
    <w:pPr>
      <w:spacing w:after="0" w:line="240" w:lineRule="auto"/>
    </w:pPr>
    <w:rPr>
      <w:color w:val="404040"/>
    </w:rPr>
    <w:tblPr/>
  </w:style>
  <w:style w:type="table" w:styleId="904">
    <w:name w:val="Bordered &amp; Lined - Accent 3"/>
    <w:next w:val="904"/>
    <w:link w:val="723"/>
    <w:uiPriority w:val="99"/>
    <w:qFormat/>
    <w:pPr>
      <w:spacing w:after="0" w:line="240" w:lineRule="auto"/>
    </w:pPr>
    <w:rPr>
      <w:color w:val="404040"/>
    </w:rPr>
    <w:tblPr/>
  </w:style>
  <w:style w:type="table" w:styleId="905">
    <w:name w:val="Bordered &amp; Lined - Accent 4"/>
    <w:next w:val="905"/>
    <w:link w:val="723"/>
    <w:uiPriority w:val="99"/>
    <w:qFormat/>
    <w:pPr>
      <w:spacing w:after="0" w:line="240" w:lineRule="auto"/>
    </w:pPr>
    <w:rPr>
      <w:color w:val="404040"/>
    </w:rPr>
    <w:tblPr/>
  </w:style>
  <w:style w:type="table" w:styleId="906">
    <w:name w:val="Bordered &amp; Lined - Accent 5"/>
    <w:next w:val="906"/>
    <w:link w:val="723"/>
    <w:uiPriority w:val="99"/>
    <w:qFormat/>
    <w:pPr>
      <w:spacing w:after="0" w:line="240" w:lineRule="auto"/>
    </w:pPr>
    <w:rPr>
      <w:color w:val="404040"/>
    </w:rPr>
    <w:tblPr/>
  </w:style>
  <w:style w:type="table" w:styleId="907">
    <w:name w:val="Bordered &amp; Lined - Accent 6"/>
    <w:next w:val="907"/>
    <w:link w:val="723"/>
    <w:uiPriority w:val="99"/>
    <w:qFormat/>
    <w:pPr>
      <w:spacing w:after="0" w:line="240" w:lineRule="auto"/>
    </w:pPr>
    <w:rPr>
      <w:color w:val="404040"/>
    </w:rPr>
    <w:tblPr/>
  </w:style>
  <w:style w:type="table" w:styleId="908">
    <w:name w:val="Bordered"/>
    <w:next w:val="908"/>
    <w:link w:val="723"/>
    <w:uiPriority w:val="99"/>
    <w:qFormat/>
    <w:pPr>
      <w:spacing w:after="0" w:line="240" w:lineRule="auto"/>
    </w:pPr>
    <w:tblPr/>
  </w:style>
  <w:style w:type="table" w:styleId="909">
    <w:name w:val="Bordered - Accent 1"/>
    <w:next w:val="909"/>
    <w:link w:val="723"/>
    <w:uiPriority w:val="99"/>
    <w:qFormat/>
    <w:pPr>
      <w:spacing w:after="0" w:line="240" w:lineRule="auto"/>
    </w:pPr>
    <w:tblPr/>
  </w:style>
  <w:style w:type="table" w:styleId="910">
    <w:name w:val="Bordered - Accent 2"/>
    <w:next w:val="910"/>
    <w:link w:val="723"/>
    <w:uiPriority w:val="99"/>
    <w:qFormat/>
    <w:pPr>
      <w:spacing w:after="0" w:line="240" w:lineRule="auto"/>
    </w:pPr>
    <w:tblPr/>
  </w:style>
  <w:style w:type="table" w:styleId="911">
    <w:name w:val="Bordered - Accent 3"/>
    <w:next w:val="911"/>
    <w:link w:val="723"/>
    <w:uiPriority w:val="99"/>
    <w:qFormat/>
    <w:pPr>
      <w:spacing w:after="0" w:line="240" w:lineRule="auto"/>
    </w:pPr>
    <w:tblPr/>
  </w:style>
  <w:style w:type="table" w:styleId="912">
    <w:name w:val="Bordered - Accent 4"/>
    <w:next w:val="912"/>
    <w:link w:val="723"/>
    <w:uiPriority w:val="99"/>
    <w:qFormat/>
    <w:pPr>
      <w:spacing w:after="0" w:line="240" w:lineRule="auto"/>
    </w:pPr>
    <w:tblPr/>
  </w:style>
  <w:style w:type="table" w:styleId="913">
    <w:name w:val="Bordered - Accent 5"/>
    <w:next w:val="913"/>
    <w:link w:val="723"/>
    <w:uiPriority w:val="99"/>
    <w:qFormat/>
    <w:pPr>
      <w:spacing w:after="0" w:line="240" w:lineRule="auto"/>
    </w:pPr>
    <w:tblPr/>
  </w:style>
  <w:style w:type="table" w:styleId="914">
    <w:name w:val="Bordered - Accent 6"/>
    <w:next w:val="914"/>
    <w:link w:val="723"/>
    <w:uiPriority w:val="99"/>
    <w:qFormat/>
    <w:pPr>
      <w:spacing w:after="0" w:line="240" w:lineRule="auto"/>
    </w:pPr>
    <w:tblPr/>
  </w:style>
  <w:style w:type="paragraph" w:styleId="915">
    <w:name w:val="TOC Heading"/>
    <w:next w:val="915"/>
    <w:link w:val="723"/>
    <w:uiPriority w:val="39"/>
    <w:unhideWhenUsed/>
    <w:qFormat/>
    <w:rPr>
      <w:rFonts w:ascii="Times New Roman" w:hAnsi="Times New Roman" w:eastAsia="宋体" w:cs="Times New Roman"/>
    </w:rPr>
  </w:style>
  <w:style w:type="paragraph" w:styleId="916">
    <w:name w:val="标题 11"/>
    <w:basedOn w:val="723"/>
    <w:next w:val="723"/>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3"/>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3"/>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3"/>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3"/>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3"/>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3"/>
    <w:next w:val="723"/>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3"/>
    <w:next w:val="723"/>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3"/>
    <w:next w:val="723"/>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3"/>
    <w:next w:val="723"/>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3"/>
    <w:uiPriority w:val="1"/>
    <w:unhideWhenUsed/>
    <w:qFormat/>
  </w:style>
  <w:style w:type="table" w:styleId="937">
    <w:name w:val="普通表格11"/>
    <w:next w:val="937"/>
    <w:link w:val="723"/>
    <w:uiPriority w:val="99"/>
    <w:unhideWhenUsed/>
    <w:qFormat/>
    <w:tblPr/>
  </w:style>
  <w:style w:type="paragraph" w:styleId="938">
    <w:name w:val="列表 31"/>
    <w:basedOn w:val="723"/>
    <w:next w:val="938"/>
    <w:link w:val="723"/>
    <w:qFormat/>
    <w:pPr>
      <w:ind w:left="100" w:hanging="200"/>
    </w:pPr>
  </w:style>
  <w:style w:type="paragraph" w:styleId="939">
    <w:name w:val="目录 71"/>
    <w:basedOn w:val="723"/>
    <w:next w:val="723"/>
    <w:link w:val="723"/>
    <w:semiHidden/>
    <w:qFormat/>
    <w:pPr>
      <w:ind w:left="1260"/>
      <w:jc w:val="left"/>
    </w:pPr>
  </w:style>
  <w:style w:type="paragraph" w:styleId="940">
    <w:name w:val="文档结构图1"/>
    <w:basedOn w:val="723"/>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3"/>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3"/>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3"/>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3"/>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3"/>
    <w:next w:val="950"/>
    <w:link w:val="723"/>
    <w:qFormat/>
    <w:pPr>
      <w:ind w:left="100" w:hanging="200"/>
    </w:pPr>
  </w:style>
  <w:style w:type="paragraph" w:styleId="951">
    <w:name w:val="目录 51"/>
    <w:basedOn w:val="723"/>
    <w:next w:val="723"/>
    <w:link w:val="723"/>
    <w:semiHidden/>
    <w:qFormat/>
    <w:pPr>
      <w:ind w:left="840"/>
      <w:jc w:val="left"/>
    </w:pPr>
  </w:style>
  <w:style w:type="paragraph" w:styleId="952">
    <w:name w:val="目录 31"/>
    <w:basedOn w:val="723"/>
    <w:next w:val="723"/>
    <w:link w:val="723"/>
    <w:semiHidden/>
    <w:qFormat/>
    <w:pPr>
      <w:ind w:left="420"/>
      <w:jc w:val="left"/>
    </w:pPr>
    <w:rPr>
      <w:i/>
      <w:iCs/>
      <w:szCs w:val="24"/>
    </w:rPr>
  </w:style>
  <w:style w:type="paragraph" w:styleId="953">
    <w:name w:val="纯文本1"/>
    <w:basedOn w:val="723"/>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3"/>
    <w:next w:val="723"/>
    <w:link w:val="723"/>
    <w:semiHidden/>
    <w:qFormat/>
    <w:pPr>
      <w:ind w:left="1470"/>
      <w:jc w:val="left"/>
    </w:pPr>
  </w:style>
  <w:style w:type="paragraph" w:styleId="956">
    <w:name w:val="日期1"/>
    <w:basedOn w:val="723"/>
    <w:next w:val="723"/>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3"/>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3"/>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3"/>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3"/>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3"/>
    <w:next w:val="723"/>
    <w:link w:val="723"/>
    <w:semiHidden/>
    <w:qFormat/>
    <w:pPr>
      <w:ind w:left="630"/>
      <w:jc w:val="left"/>
    </w:pPr>
  </w:style>
  <w:style w:type="paragraph" w:styleId="968">
    <w:name w:val="列表1"/>
    <w:basedOn w:val="723"/>
    <w:next w:val="968"/>
    <w:link w:val="723"/>
    <w:qFormat/>
    <w:pPr>
      <w:ind w:left="200" w:hanging="200"/>
    </w:pPr>
  </w:style>
  <w:style w:type="paragraph" w:styleId="969">
    <w:name w:val="目录 61"/>
    <w:basedOn w:val="723"/>
    <w:next w:val="723"/>
    <w:link w:val="723"/>
    <w:semiHidden/>
    <w:qFormat/>
    <w:pPr>
      <w:ind w:left="1050"/>
      <w:jc w:val="left"/>
    </w:pPr>
  </w:style>
  <w:style w:type="paragraph" w:styleId="970">
    <w:name w:val="正文文本缩进 31"/>
    <w:basedOn w:val="723"/>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3"/>
    <w:next w:val="723"/>
    <w:link w:val="723"/>
    <w:semiHidden/>
    <w:qFormat/>
    <w:pPr>
      <w:ind w:left="840" w:hanging="420"/>
    </w:pPr>
  </w:style>
  <w:style w:type="paragraph" w:styleId="973">
    <w:name w:val="目录 21"/>
    <w:basedOn w:val="723"/>
    <w:next w:val="723"/>
    <w:link w:val="723"/>
    <w:semiHidden/>
    <w:qFormat/>
    <w:pPr>
      <w:ind w:left="210"/>
      <w:jc w:val="left"/>
    </w:pPr>
    <w:rPr>
      <w:smallCaps/>
      <w:szCs w:val="24"/>
    </w:rPr>
  </w:style>
  <w:style w:type="paragraph" w:styleId="974">
    <w:name w:val="目录 91"/>
    <w:basedOn w:val="723"/>
    <w:next w:val="723"/>
    <w:link w:val="723"/>
    <w:semiHidden/>
    <w:qFormat/>
    <w:pPr>
      <w:ind w:left="1680"/>
      <w:jc w:val="left"/>
    </w:pPr>
  </w:style>
  <w:style w:type="paragraph" w:styleId="975">
    <w:name w:val="正文文本 21"/>
    <w:basedOn w:val="723"/>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3"/>
    <w:next w:val="977"/>
    <w:link w:val="723"/>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3"/>
    <w:next w:val="723"/>
    <w:link w:val="723"/>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3"/>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3"/>
    <w:qFormat/>
    <w:pPr>
      <w:jc w:val="both"/>
      <w:widowControl w:val="off"/>
    </w:pPr>
    <w:rPr>
      <w:rFonts w:ascii="Times New Roman" w:hAnsi="Times New Roman" w:eastAsia="宋体" w:cs="Times New Roman"/>
      <w:sz w:val="20"/>
      <w:szCs w:val="20"/>
    </w:rPr>
    <w:tblPr/>
  </w:style>
  <w:style w:type="character" w:styleId="986">
    <w:name w:val="要点1"/>
    <w:next w:val="986"/>
    <w:link w:val="723"/>
    <w:qFormat/>
    <w:rPr>
      <w:b/>
      <w:bCs/>
    </w:rPr>
  </w:style>
  <w:style w:type="character" w:styleId="987">
    <w:name w:val="页码1"/>
    <w:next w:val="987"/>
    <w:link w:val="723"/>
    <w:qFormat/>
  </w:style>
  <w:style w:type="character" w:styleId="988">
    <w:name w:val="已访问的超链接1"/>
    <w:next w:val="988"/>
    <w:link w:val="723"/>
    <w:qFormat/>
    <w:rPr>
      <w:color w:val="800080"/>
      <w:u w:val="single"/>
    </w:rPr>
  </w:style>
  <w:style w:type="character" w:styleId="989">
    <w:name w:val="超链接1"/>
    <w:next w:val="989"/>
    <w:link w:val="723"/>
    <w:qFormat/>
    <w:rPr>
      <w:color w:val="0000ff"/>
      <w:u w:val="single"/>
    </w:rPr>
  </w:style>
  <w:style w:type="character" w:styleId="990">
    <w:name w:val="批注引用1"/>
    <w:next w:val="990"/>
    <w:link w:val="723"/>
    <w:semiHidden/>
    <w:qFormat/>
    <w:rPr>
      <w:sz w:val="21"/>
      <w:szCs w:val="21"/>
    </w:rPr>
  </w:style>
  <w:style w:type="paragraph" w:styleId="991">
    <w:name w:val="正文文本1"/>
    <w:basedOn w:val="723"/>
    <w:next w:val="723"/>
    <w:link w:val="723"/>
    <w:semiHidden/>
    <w:qFormat/>
    <w:rPr>
      <w:rFonts w:ascii="Arial" w:hAnsi="Arial" w:eastAsia="Arial" w:cs="Arial"/>
      <w:sz w:val="21"/>
      <w:szCs w:val="21"/>
      <w:lang w:val="en-US" w:eastAsia="en-US" w:bidi="ar-SA"/>
    </w:rPr>
  </w:style>
  <w:style w:type="paragraph" w:styleId="992">
    <w:name w:val="正文文本12"/>
    <w:basedOn w:val="723"/>
    <w:next w:val="992"/>
    <w:link w:val="723"/>
    <w:uiPriority w:val="1"/>
    <w:qFormat/>
    <w:pPr>
      <w:ind w:left="120"/>
    </w:pPr>
    <w:rPr>
      <w:rFonts w:ascii="宋体" w:hAnsi="宋体" w:eastAsia="宋体" w:cs="宋体"/>
      <w:sz w:val="21"/>
      <w:szCs w:val="21"/>
      <w:lang w:val="zh-CN" w:eastAsia="zh-CN" w:bidi="zh-CN"/>
    </w:rPr>
  </w:style>
  <w:style w:type="character" w:styleId="993">
    <w:name w:val="font5 Char"/>
    <w:next w:val="993"/>
    <w:link w:val="723"/>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3"/>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3"/>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3"/>
    <w:next w:val="946"/>
    <w:link w:val="723"/>
    <w:qFormat/>
    <w:pPr>
      <w:spacing w:after="120"/>
    </w:pPr>
    <w:rPr>
      <w:rFonts w:ascii="宋体" w:hAnsi="Arial"/>
      <w:bCs/>
      <w:iCs/>
      <w:szCs w:val="24"/>
    </w:rPr>
  </w:style>
  <w:style w:type="paragraph" w:styleId="999">
    <w:name w:val="xl27"/>
    <w:basedOn w:val="723"/>
    <w:next w:val="999"/>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3"/>
    <w:next w:val="100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3"/>
    <w:next w:val="1001"/>
    <w:link w:val="723"/>
    <w:qFormat/>
    <w:pPr>
      <w:ind w:firstLine="200"/>
      <w:tabs>
        <w:tab w:val="left" w:pos="360" w:leader="none"/>
      </w:tabs>
    </w:pPr>
    <w:rPr>
      <w:sz w:val="28"/>
      <w:szCs w:val="30"/>
    </w:rPr>
  </w:style>
  <w:style w:type="paragraph" w:styleId="1002">
    <w:name w:val=" Char"/>
    <w:basedOn w:val="940"/>
    <w:next w:val="1002"/>
    <w:link w:val="723"/>
    <w:qFormat/>
    <w:rPr>
      <w:rFonts w:ascii="Tahoma" w:hAnsi="Tahoma"/>
      <w:sz w:val="24"/>
      <w:szCs w:val="24"/>
    </w:rPr>
  </w:style>
  <w:style w:type="paragraph" w:styleId="1003">
    <w:name w:val="普通正文"/>
    <w:basedOn w:val="723"/>
    <w:next w:val="1003"/>
    <w:link w:val="723"/>
    <w:qFormat/>
    <w:pPr>
      <w:ind w:firstLine="480"/>
      <w:jc w:val="left"/>
      <w:spacing w:before="120" w:after="120" w:line="360" w:lineRule="auto"/>
    </w:pPr>
    <w:rPr>
      <w:rFonts w:ascii="Arial" w:hAnsi="Arial"/>
      <w:sz w:val="24"/>
      <w:szCs w:val="24"/>
    </w:rPr>
  </w:style>
  <w:style w:type="paragraph" w:styleId="1004">
    <w:name w:val="table_lines"/>
    <w:basedOn w:val="723"/>
    <w:next w:val="1004"/>
    <w:link w:val="723"/>
    <w:qFormat/>
    <w:pPr>
      <w:jc w:val="left"/>
      <w:widowControl/>
    </w:pPr>
    <w:rPr>
      <w:sz w:val="20"/>
      <w:szCs w:val="20"/>
      <w:lang w:val="de-DE" w:eastAsia="de-DE"/>
    </w:rPr>
  </w:style>
  <w:style w:type="paragraph" w:styleId="1005">
    <w:name w:val="附录1"/>
    <w:next w:val="1005"/>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3"/>
    <w:next w:val="1006"/>
    <w:link w:val="723"/>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3"/>
    <w:qFormat/>
    <w:pPr>
      <w:spacing w:line="360" w:lineRule="auto"/>
    </w:pPr>
    <w:rPr>
      <w:rFonts w:ascii="Tahoma" w:hAnsi="Tahoma"/>
      <w:sz w:val="24"/>
      <w:szCs w:val="24"/>
    </w:rPr>
  </w:style>
  <w:style w:type="paragraph" w:styleId="1008">
    <w:name w:val="列出段落"/>
    <w:basedOn w:val="723"/>
    <w:next w:val="1008"/>
    <w:link w:val="723"/>
    <w:qFormat/>
    <w:pPr>
      <w:contextualSpacing/>
      <w:ind w:left="720"/>
      <w:jc w:val="left"/>
      <w:widowControl/>
    </w:pPr>
    <w:rPr>
      <w:rFonts w:ascii="Calibri" w:hAnsi="Calibri"/>
      <w:sz w:val="24"/>
      <w:szCs w:val="24"/>
      <w:lang w:eastAsia="en-US" w:bidi="en-US"/>
    </w:rPr>
  </w:style>
  <w:style w:type="paragraph" w:styleId="1009">
    <w:name w:val="4"/>
    <w:basedOn w:val="723"/>
    <w:next w:val="970"/>
    <w:link w:val="723"/>
    <w:qFormat/>
    <w:pPr>
      <w:ind w:firstLine="420"/>
      <w:spacing w:line="360" w:lineRule="auto"/>
    </w:pPr>
    <w:rPr>
      <w:color w:val="ff0000"/>
      <w:sz w:val="24"/>
      <w:szCs w:val="24"/>
    </w:rPr>
  </w:style>
  <w:style w:type="paragraph" w:styleId="1010">
    <w:name w:val="普通 (Web)"/>
    <w:basedOn w:val="723"/>
    <w:next w:val="1010"/>
    <w:link w:val="723"/>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3"/>
    <w:next w:val="1011"/>
    <w:link w:val="723"/>
    <w:qFormat/>
    <w:pPr>
      <w:spacing w:line="360" w:lineRule="auto"/>
    </w:pPr>
    <w:rPr>
      <w:sz w:val="24"/>
      <w:szCs w:val="20"/>
    </w:rPr>
  </w:style>
  <w:style w:type="paragraph" w:styleId="1012">
    <w:name w:val="样式1"/>
    <w:basedOn w:val="723"/>
    <w:next w:val="1012"/>
    <w:link w:val="723"/>
    <w:qFormat/>
    <w:pPr>
      <w:numPr>
        <w:ilvl w:val="0"/>
        <w:numId w:val="3"/>
      </w:numPr>
      <w:tabs>
        <w:tab w:val="left" w:pos="709" w:leader="none"/>
      </w:tabs>
    </w:pPr>
    <w:rPr>
      <w:rFonts w:ascii="宋体" w:hAnsi="宋体"/>
    </w:rPr>
  </w:style>
  <w:style w:type="paragraph" w:styleId="1013">
    <w:name w:val="font6"/>
    <w:basedOn w:val="723"/>
    <w:next w:val="1013"/>
    <w:link w:val="723"/>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3"/>
    <w:next w:val="1014"/>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3"/>
    <w:next w:val="723"/>
    <w:link w:val="723"/>
    <w:qFormat/>
    <w:pPr>
      <w:ind w:firstLine="624"/>
      <w:spacing w:line="590" w:lineRule="atLeast"/>
    </w:pPr>
    <w:rPr>
      <w:rFonts w:ascii="方正黑体_GBK" w:eastAsia="方正黑体_GBK"/>
      <w:sz w:val="32"/>
      <w:szCs w:val="32"/>
    </w:rPr>
  </w:style>
  <w:style w:type="paragraph" w:styleId="1017">
    <w:name w:val="xl24"/>
    <w:basedOn w:val="723"/>
    <w:next w:val="1017"/>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3"/>
    <w:next w:val="1018"/>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3"/>
    <w:next w:val="1019"/>
    <w:link w:val="723"/>
    <w:qFormat/>
    <w:pPr>
      <w:jc w:val="left"/>
      <w:spacing w:after="160" w:line="240" w:lineRule="exact"/>
      <w:widowControl/>
    </w:pPr>
    <w:rPr>
      <w:rFonts w:ascii="Verdana" w:hAnsi="Verdana"/>
      <w:sz w:val="20"/>
      <w:szCs w:val="20"/>
      <w:lang w:eastAsia="en-US"/>
    </w:rPr>
  </w:style>
  <w:style w:type="paragraph" w:styleId="1020">
    <w:name w:val="xl28"/>
    <w:basedOn w:val="723"/>
    <w:next w:val="1020"/>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3"/>
    <w:next w:val="1021"/>
    <w:link w:val="723"/>
    <w:qFormat/>
    <w:pPr>
      <w:jc w:val="left"/>
      <w:spacing w:after="160" w:line="240" w:lineRule="exact"/>
      <w:widowControl/>
    </w:pPr>
    <w:rPr>
      <w:rFonts w:ascii="Verdana" w:hAnsi="Verdana"/>
      <w:sz w:val="20"/>
      <w:szCs w:val="20"/>
      <w:lang w:eastAsia="en-US"/>
    </w:rPr>
  </w:style>
  <w:style w:type="paragraph" w:styleId="1022">
    <w:name w:val="xl30"/>
    <w:basedOn w:val="723"/>
    <w:next w:val="1022"/>
    <w:link w:val="723"/>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3"/>
    <w:qFormat/>
    <w:pPr>
      <w:spacing w:line="360" w:lineRule="auto"/>
    </w:pPr>
    <w:rPr>
      <w:rFonts w:ascii="Tahoma" w:hAnsi="Tahoma"/>
      <w:sz w:val="24"/>
      <w:szCs w:val="24"/>
    </w:rPr>
  </w:style>
  <w:style w:type="paragraph" w:styleId="1024">
    <w:name w:val="table_1stline"/>
    <w:basedOn w:val="723"/>
    <w:next w:val="1024"/>
    <w:link w:val="723"/>
    <w:qFormat/>
    <w:pPr>
      <w:jc w:val="left"/>
      <w:spacing w:before="120"/>
      <w:widowControl/>
    </w:pPr>
    <w:rPr>
      <w:bCs/>
      <w:sz w:val="20"/>
      <w:szCs w:val="20"/>
      <w:lang w:val="de-DE" w:eastAsia="de-DE"/>
    </w:rPr>
  </w:style>
  <w:style w:type="paragraph" w:styleId="1025">
    <w:name w:val="font5"/>
    <w:basedOn w:val="723"/>
    <w:next w:val="1025"/>
    <w:link w:val="723"/>
    <w:qFormat/>
    <w:pPr>
      <w:jc w:val="left"/>
      <w:spacing w:before="100" w:beforeAutospacing="1" w:after="100" w:afterAutospacing="1"/>
      <w:widowControl/>
    </w:pPr>
    <w:rPr>
      <w:rFonts w:hint="eastAsia" w:ascii="宋体" w:hAnsi="宋体"/>
      <w:sz w:val="28"/>
      <w:szCs w:val="28"/>
    </w:rPr>
  </w:style>
  <w:style w:type="paragraph" w:styleId="1026">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3"/>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3"/>
    <w:next w:val="1029"/>
    <w:link w:val="723"/>
    <w:uiPriority w:val="99"/>
    <w:qFormat/>
    <w:pPr>
      <w:jc w:val="center"/>
    </w:pPr>
    <w:rPr>
      <w:b/>
      <w:bCs/>
      <w:sz w:val="20"/>
      <w:szCs w:val="20"/>
    </w:rPr>
  </w:style>
  <w:style w:type="table" w:styleId="1030">
    <w:name w:val="Table Normal_0"/>
    <w:next w:val="1030"/>
    <w:link w:val="723"/>
    <w:qFormat/>
    <w:tblPr/>
  </w:style>
  <w:style w:type="character" w:styleId="1031">
    <w:name w:val="font71"/>
    <w:basedOn w:val="936"/>
    <w:next w:val="1031"/>
    <w:link w:val="723"/>
    <w:qFormat/>
    <w:rPr>
      <w:rFonts w:hint="eastAsia" w:ascii="仿宋" w:hAnsi="仿宋" w:eastAsia="仿宋" w:cs="仿宋"/>
      <w:color w:val="000000"/>
      <w:sz w:val="24"/>
      <w:szCs w:val="24"/>
      <w:u w:val="single"/>
    </w:rPr>
  </w:style>
  <w:style w:type="character" w:styleId="1032">
    <w:name w:val="font41"/>
    <w:basedOn w:val="936"/>
    <w:next w:val="1032"/>
    <w:link w:val="723"/>
    <w:qFormat/>
    <w:rPr>
      <w:rFonts w:hint="eastAsia" w:ascii="仿宋" w:hAnsi="仿宋" w:eastAsia="仿宋" w:cs="仿宋"/>
      <w:color w:val="000000"/>
      <w:sz w:val="24"/>
      <w:szCs w:val="24"/>
      <w:u w:val="none"/>
    </w:rPr>
  </w:style>
  <w:style w:type="character" w:styleId="1033">
    <w:name w:val="font81"/>
    <w:basedOn w:val="936"/>
    <w:next w:val="1033"/>
    <w:link w:val="723"/>
    <w:qFormat/>
    <w:rPr>
      <w:rFonts w:hint="eastAsia" w:ascii="宋体" w:hAnsi="宋体" w:eastAsia="宋体" w:cs="宋体"/>
      <w:color w:val="000000"/>
      <w:sz w:val="24"/>
      <w:szCs w:val="24"/>
      <w:u w:val="single"/>
    </w:rPr>
  </w:style>
  <w:style w:type="paragraph" w:styleId="1034">
    <w:name w:val="Table Paragraph"/>
    <w:basedOn w:val="723"/>
    <w:next w:val="1034"/>
    <w:link w:val="723"/>
    <w:uiPriority w:val="1"/>
    <w:qFormat/>
    <w:pPr>
      <w:jc w:val="left"/>
    </w:pPr>
    <w:rPr>
      <w:rFonts w:ascii="宋体" w:hAnsi="宋体" w:eastAsia="宋体" w:cs="宋体"/>
      <w:sz w:val="22"/>
      <w:szCs w:val="22"/>
      <w:lang w:val="zh-CN" w:bidi="zh-CN"/>
    </w:rPr>
  </w:style>
  <w:style w:type="table" w:styleId="1035">
    <w:name w:val="网格型1"/>
    <w:basedOn w:val="1036"/>
    <w:next w:val="1035"/>
    <w:link w:val="723"/>
    <w:qFormat/>
    <w:pPr>
      <w:jc w:val="both"/>
      <w:widowControl w:val="off"/>
    </w:pPr>
    <w:tblPr/>
  </w:style>
  <w:style w:type="table" w:styleId="1036">
    <w:name w:val="普通表格1"/>
    <w:next w:val="1036"/>
    <w:link w:val="723"/>
    <w:semiHidden/>
    <w:qFormat/>
    <w:tblPr/>
  </w:style>
  <w:style w:type="paragraph" w:styleId="1037">
    <w:name w:val="首行缩进"/>
    <w:basedOn w:val="723"/>
    <w:next w:val="1037"/>
    <w:link w:val="723"/>
    <w:qFormat/>
    <w:pPr>
      <w:ind w:firstLine="480"/>
    </w:pPr>
    <w:rPr>
      <w:lang w:val="zh-CN"/>
    </w:rPr>
  </w:style>
  <w:style w:type="paragraph" w:styleId="1038">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3"/>
    <w:next w:val="1039"/>
    <w:link w:val="723"/>
    <w:qFormat/>
    <w:pPr>
      <w:ind w:firstLine="420"/>
      <w:spacing w:line="360" w:lineRule="auto"/>
    </w:pPr>
    <w:rPr>
      <w:sz w:val="24"/>
    </w:rPr>
  </w:style>
  <w:style w:type="table" w:styleId="1040">
    <w:name w:val="Table Normal"/>
    <w:next w:val="1040"/>
    <w:link w:val="723"/>
    <w:qFormat/>
    <w:tblPr/>
  </w:style>
  <w:style w:type="character" w:styleId="1041">
    <w:name w:val="15"/>
    <w:basedOn w:val="733"/>
    <w:next w:val="1041"/>
    <w:link w:val="723"/>
    <w:rPr>
      <w:rFonts w:ascii="Times New Roman" w:hAnsi="Times New Roman" w:cs="Times New Roman"/>
    </w:rPr>
  </w:style>
  <w:style w:type="paragraph" w:styleId="1042">
    <w:name w:val="正文首行缩进 211"/>
    <w:basedOn w:val="1043"/>
    <w:next w:val="723"/>
    <w:link w:val="723"/>
    <w:qFormat/>
    <w:pPr>
      <w:ind w:left="0" w:firstLine="420"/>
      <w:spacing w:after="0" w:line="360" w:lineRule="auto"/>
    </w:pPr>
    <w:rPr>
      <w:rFonts w:ascii="宋体" w:hAnsi="宋体" w:eastAsia="宋体" w:cs="Times New Roman"/>
      <w:szCs w:val="20"/>
    </w:rPr>
  </w:style>
  <w:style w:type="paragraph" w:styleId="1043">
    <w:name w:val="正文文本缩进11"/>
    <w:basedOn w:val="723"/>
    <w:next w:val="1044"/>
    <w:link w:val="723"/>
    <w:unhideWhenUsed/>
    <w:qFormat/>
    <w:pPr>
      <w:ind w:left="420"/>
      <w:spacing w:after="120"/>
    </w:pPr>
  </w:style>
  <w:style w:type="paragraph" w:styleId="1044">
    <w:name w:val="寄信人地址1"/>
    <w:basedOn w:val="723"/>
    <w:next w:val="1044"/>
    <w:link w:val="723"/>
    <w:qFormat/>
    <w:rPr>
      <w:rFonts w:ascii="Arial" w:hAnsi="Arial" w:eastAsia="宋体" w:cs="宋体"/>
    </w:rPr>
  </w:style>
  <w:style w:type="paragraph" w:styleId="1045">
    <w:name w:val="段"/>
    <w:next w:val="1045"/>
    <w:link w:val="723"/>
    <w:qFormat/>
    <w:pPr>
      <w:ind w:firstLine="200"/>
      <w:jc w:val="both"/>
    </w:pPr>
    <w:rPr>
      <w:rFonts w:ascii="宋体" w:hAnsi="Times New Roman" w:eastAsia="宋体" w:cs="Times New Roman"/>
      <w:sz w:val="21"/>
      <w:lang w:val="en-US" w:eastAsia="zh-CN" w:bidi="ar-SA"/>
    </w:rPr>
  </w:style>
  <w:style w:type="table" w:styleId="1046">
    <w:name w:val="网格型12"/>
    <w:next w:val="1046"/>
    <w:link w:val="723"/>
    <w:uiPriority w:val="59"/>
    <w:qFormat/>
    <w:pPr>
      <w:spacing w:after="0" w:line="240" w:lineRule="auto"/>
    </w:pPr>
    <w:tbl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3</cp:revision>
  <dcterms:created xsi:type="dcterms:W3CDTF">2023-03-16T02:16:00Z</dcterms:created>
  <dcterms:modified xsi:type="dcterms:W3CDTF">2026-07-11T15:18:15Z</dcterms:modified>
</cp:coreProperties>
</file>