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995"/>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none"/>
          <w14:textFill>
            <w14:solidFill>
              <w14:schemeClr w14:val="tx1"/>
            </w14:solidFill>
          </w14:textFill>
        </w:rPr>
      </w:pPr>
      <w:r>
        <w:rPr>
          <w:rFonts w:hint="eastAsia" w:ascii="宋体" w:hAnsi="宋体" w:cs="宋体"/>
          <w:b/>
          <w:color w:val="000000" w:themeColor="text1"/>
          <w:sz w:val="56"/>
          <w:szCs w:val="56"/>
          <w:highlight w:val="none"/>
          <w14:textFill>
            <w14:solidFill>
              <w14:schemeClr w14:val="tx1"/>
            </w14:solidFill>
          </w14:textFill>
        </w:rPr>
        <w:t xml:space="preserve">南京鼓楼医院</w:t>
      </w:r>
      <w:r/>
    </w:p>
    <w:p>
      <w:pPr>
        <w:ind w:firstLine="995"/>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none"/>
          <w14:textFill>
            <w14:solidFill>
              <w14:schemeClr w14:val="tx1"/>
            </w14:solidFill>
          </w14:textFill>
        </w:rPr>
      </w:pPr>
      <w:r>
        <w:rPr>
          <w:rFonts w:hint="eastAsia" w:ascii="宋体" w:hAnsi="宋体" w:cs="宋体"/>
          <w:b/>
          <w:color w:val="000000" w:themeColor="text1"/>
          <w:sz w:val="56"/>
          <w:szCs w:val="56"/>
          <w:highlight w:val="none"/>
          <w14:textFill>
            <w14:solidFill>
              <w14:schemeClr w14:val="tx1"/>
            </w14:solidFill>
          </w14:textFill>
        </w:rPr>
        <w:t xml:space="preserve">放疗部TOMO设备保修项目</w:t>
      </w:r>
      <w:r/>
    </w:p>
    <w:p>
      <w:pPr>
        <w:pStyle w:val="788"/>
        <w:ind w:firstLine="1493"/>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788"/>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firstLine="1060"/>
        <w:jc w:val="center"/>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JSZC-320100-JITC-G2026-0187</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二六年</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50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995"/>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995"/>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813"/>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13"/>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5"/>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813"/>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13"/>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813"/>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813"/>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813"/>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813"/>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19</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813"/>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813"/>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813"/>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813"/>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813"/>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813"/>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813"/>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95"/>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813"/>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ind w:firstLine="569"/>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32"/>
          <w:highlight w:val="none"/>
          <w:lang w:val="zh-CN"/>
          <w14:textFill>
            <w14:solidFill>
              <w14:schemeClr w14:val="tx1"/>
            </w14:solidFill>
          </w14:textFill>
        </w:rPr>
        <w:br w:type="page" w:clear="all"/>
      </w:r>
      <w:bookmarkEnd w:id="0"/>
      <w:r/>
      <w:bookmarkEnd w:id="1"/>
      <w:r/>
      <w:r/>
    </w:p>
    <w:p>
      <w:pPr>
        <w:pStyle w:val="805"/>
        <w:ind w:firstLine="3213"/>
        <w:jc w:val="both"/>
        <w:rPr>
          <w:rFonts w:hint="eastAsia" w:ascii="宋体" w:hAnsi="宋体" w:cs="宋体"/>
          <w:color w:val="000000" w:themeColor="text1"/>
          <w:highlight w:val="none"/>
          <w14:textFill>
            <w14:solidFill>
              <w14:schemeClr w14:val="tx1"/>
            </w14:solidFill>
          </w14:textFill>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14:textFill>
            <w14:solidFill>
              <w14:schemeClr w14:val="tx1"/>
            </w14:solidFill>
          </w14:textFill>
        </w:rPr>
        <w:t xml:space="preserve">南京鼓楼医院放疗部TOMO设备保修项目</w:t>
      </w:r>
      <w:r>
        <w:rPr>
          <w:rFonts w:hint="eastAsia" w:ascii="宋体" w:hAnsi="宋体" w:cs="宋体"/>
          <w:bCs/>
          <w:color w:val="000000" w:themeColor="text1"/>
          <w:szCs w:val="21"/>
          <w:highlight w:val="none"/>
          <w14:textFill>
            <w14:solidFill>
              <w14:schemeClr w14:val="tx1"/>
            </w14:solidFill>
          </w14:textFill>
        </w:rPr>
        <w:t xml:space="preserve">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7</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bCs/>
          <w:color w:val="000000" w:themeColor="text1"/>
          <w:szCs w:val="21"/>
          <w:highlight w:val="none"/>
          <w:u w:val="single"/>
          <w14:textFill>
            <w14:solidFill>
              <w14:schemeClr w14:val="tx1"/>
            </w14:solidFill>
          </w14:textFill>
        </w:rPr>
        <w:t xml:space="preserve">日</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bCs/>
          <w:color w:val="000000" w:themeColor="text1"/>
          <w:szCs w:val="21"/>
          <w:highlight w:val="none"/>
          <w:u w:val="single"/>
          <w14:textFill>
            <w14:solidFill>
              <w14:schemeClr w14:val="tx1"/>
            </w14:solidFill>
          </w14:textFill>
        </w:rPr>
        <w:t xml:space="preserve">:30（北京时间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6347851"/>
      <w:r/>
      <w:bookmarkStart w:id="8" w:name="_Toc93909065"/>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JSZC-320100-JITC-G2026-0187</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1.2项目名称：南京鼓楼医院放疗部TOMO设备保修项目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1.3预算金额：本项目三年预算1050万元。</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1.4最高限价：</w:t>
      </w:r>
      <w:sdt>
        <w:sdtPr>
          <w15:appearance w15:val="boundingBox"/>
          <w:id w:val="147480861"/>
          <w:placeholder>
            <w:docPart w:val="{293bd950-0d36-4f31-8531-3a305d7a1ad8}"/>
          </w:placeholder>
          <w:rPr>
            <w:rFonts w:hint="eastAsia" w:ascii="宋体" w:hAnsi="宋体" w:cs="宋体"/>
            <w:b/>
            <w:color w:val="000000" w:themeColor="text1"/>
            <w:szCs w:val="21"/>
            <w:highlight w:val="none"/>
            <w14:textFill>
              <w14:solidFill>
                <w14:schemeClr w14:val="tx1"/>
              </w14:solidFill>
            </w14:textFill>
          </w:rPr>
        </w:sdtPr>
        <w:sdtContent>
          <w:r>
            <w:rPr>
              <w:rFonts w:hint="eastAsia" w:ascii="宋体" w:hAnsi="宋体" w:cs="宋体"/>
              <w:b/>
              <w:color w:val="000000" w:themeColor="text1"/>
              <w:szCs w:val="21"/>
              <w:highlight w:val="none"/>
              <w14:textFill>
                <w14:solidFill>
                  <w14:schemeClr w14:val="tx1"/>
                </w14:solidFill>
              </w14:textFill>
            </w:rPr>
            <w:t xml:space="preserve">本项目投标总价不得高于人民币1050万元/三年（投标人投标报价不得超过上述限价金额，否则将作无效标处理）。</w:t>
          </w:r>
        </w:sdtContent>
      </w:sd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1.5采购需求：采购安科锐螺旋断层放射治疗系统（型号：H-0000-0003）维保服务，具体要求详见招标文件第四章《采购需求》。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1.7合同履行期限：中标自合同签订之日起三年</w:t>
      </w:r>
      <w:r>
        <w:rPr>
          <w:rFonts w:hint="eastAsia"/>
          <w:b/>
          <w:color w:val="000000" w:themeColor="text1"/>
          <w:highlight w:val="none"/>
          <w14:textFill>
            <w14:solidFill>
              <w14:schemeClr w14:val="tx1"/>
            </w14:solidFill>
          </w14:textFill>
        </w:rPr>
        <w:t xml:space="preserve">。</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1.9本项目是否接受进口产品：不接受</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96347853"/>
      <w:r/>
      <w:bookmarkStart w:id="14" w:name="_Toc80792690"/>
      <w:r/>
      <w:bookmarkStart w:id="15" w:name="_Toc93909067"/>
      <w:r/>
      <w:bookmarkStart w:id="16" w:name="_Toc80264699"/>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2024年度财务报表或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w:t>
      </w:r>
      <w:bookmarkStart w:id="17" w:name="OLE_LINK11"/>
      <w:r>
        <w:rPr>
          <w:rFonts w:hint="eastAsia" w:ascii="宋体" w:hAnsi="宋体" w:cs="宋体"/>
          <w:bCs/>
          <w:color w:val="000000" w:themeColor="text1"/>
          <w:szCs w:val="21"/>
          <w:highlight w:val="none"/>
          <w14:textFill>
            <w14:solidFill>
              <w14:schemeClr w14:val="tx1"/>
            </w14:solidFill>
          </w14:textFill>
        </w:rPr>
        <w:t xml:space="preserve">法律、行政法规规定的其他条件。</w:t>
      </w:r>
      <w:bookmarkEnd w:id="1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8" w:name="_Toc35393635"/>
      <w:r/>
      <w:r/>
    </w:p>
    <w:p>
      <w:pPr>
        <w:ind w:firstLine="420"/>
        <w:spacing w:line="360" w:lineRule="auto"/>
        <w:rPr>
          <w:rStyle w:val="814"/>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1、根据《关于在政府采购活动中推行信用承诺制的通知》（宁财购通〔2021〕5 号）的规定，适用信用承诺的供应商，对于2.1.2至2.1.6款证明材料可使用《南京市政府采购供应商信用记录表暨信用承诺书》替代</w:t>
      </w:r>
      <w:bookmarkEnd w:id="18"/>
      <w:r>
        <w:rPr>
          <w:rFonts w:hint="eastAsia" w:ascii="宋体" w:hAnsi="宋体" w:cs="宋体"/>
          <w:bCs/>
          <w:color w:val="000000" w:themeColor="text1"/>
          <w:szCs w:val="21"/>
          <w:highlight w:val="none"/>
          <w14:textFill>
            <w14:solidFill>
              <w14:schemeClr w14:val="tx1"/>
            </w14:solidFill>
          </w14:textFill>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2、其中不适用信用承诺的情形：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2）被相关监督部门作出行政处罚且尚处在处罚有效期内；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2.3.1供应商需取得国家生态环境部门颁发的有效的辐射安全许可证，且种类和范围包括使用II类放射线装置；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2.3.2供应商存在下列情形的不得参加本次招标活动：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通过“信用中国”网站（http://www.creditchina.gov.cn）、中国政府采购网（www.ccgp.gov.cn）查询供应商在响应截止时间前的信用记录，通过以上查询渠道，供应商被列入失信被执行人、重大税收违法失信主体、政府采购严重违法失信行为记录。</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000000" w:themeColor="text1"/>
          <w:szCs w:val="21"/>
          <w:highlight w:val="none"/>
          <w14:textFill>
            <w14:solidFill>
              <w14:schemeClr w14:val="tx1"/>
            </w14:solidFill>
          </w14:textFill>
        </w:rPr>
      </w:pPr>
      <w:r/>
      <w:bookmarkStart w:id="19" w:name="_Toc80264700"/>
      <w:r>
        <w:rPr>
          <w:rFonts w:hint="eastAsia" w:ascii="宋体" w:hAnsi="宋体" w:cs="宋体"/>
          <w:bCs/>
          <w:color w:val="000000" w:themeColor="text1"/>
          <w:szCs w:val="21"/>
          <w:highlight w:val="none"/>
          <w14:textFill>
            <w14:solidFill>
              <w14:schemeClr w14:val="tx1"/>
            </w14:solidFill>
          </w14:textFill>
        </w:rPr>
        <w:t xml:space="preserve">时间：自招标文件公告发布之日起5个工作日</w:t>
      </w:r>
      <w:r/>
    </w:p>
    <w:p>
      <w:pPr>
        <w:ind w:firstLine="525"/>
        <w:spacing w:after="40" w:line="360" w:lineRule="auto"/>
        <w:rPr>
          <w:rFonts w:hint="eastAsia" w:ascii="宋体" w:hAnsi="宋体" w:cs="宋体"/>
          <w:bCs/>
          <w:color w:val="000000" w:themeColor="text1"/>
          <w:szCs w:val="21"/>
          <w:highlight w:val="none"/>
          <w14:textFill>
            <w14:solidFill>
              <w14:schemeClr w14:val="tx1"/>
            </w14:solidFill>
          </w14:textFill>
        </w:rPr>
      </w:pPr>
      <w:r/>
      <w:bookmarkStart w:id="20" w:name="_Toc80792691"/>
      <w:r/>
      <w:bookmarkStart w:id="21" w:name="_Toc96347854"/>
      <w:r/>
      <w:bookmarkStart w:id="22"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rPr>
          <w:rFonts w:hint="eastAsia" w:ascii="宋体" w:hAnsi="宋体" w:cs="宋体"/>
          <w:bCs/>
          <w:color w:val="000000" w:themeColor="text1"/>
          <w:szCs w:val="21"/>
          <w:highlight w:val="none"/>
          <w14:textFill>
            <w14:solidFill>
              <w14:schemeClr w14:val="tx1"/>
            </w14:solidFill>
          </w14:textFill>
        </w:rPr>
        <w:t xml:space="preserve">。</w:t>
      </w:r>
      <w:r/>
    </w:p>
    <w:p>
      <w:pPr>
        <w:ind w:firstLine="525"/>
        <w:spacing w:after="40" w:line="360" w:lineRule="auto"/>
        <w:rPr>
          <w:rFonts w:hint="eastAsia" w:ascii="宋体" w:hAnsi="宋体" w:cs="宋体"/>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9"/>
      <w:r/>
      <w:bookmarkEnd w:id="20"/>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1"/>
      <w:r/>
      <w:bookmarkEnd w:id="22"/>
      <w:r/>
      <w:r/>
    </w:p>
    <w:p>
      <w:pPr>
        <w:ind w:firstLine="525"/>
        <w:spacing w:after="40" w:line="360" w:lineRule="auto"/>
        <w:tabs>
          <w:tab w:val="left" w:pos="3990" w:leader="none"/>
        </w:tabs>
        <w:rPr>
          <w:rFonts w:hint="eastAsia" w:ascii="宋体" w:hAnsi="宋体" w:cs="宋体"/>
          <w:bCs/>
          <w:color w:val="000000" w:themeColor="text1"/>
          <w:szCs w:val="21"/>
          <w:highlight w:val="none"/>
          <w14:textFill>
            <w14:solidFill>
              <w14:schemeClr w14:val="tx1"/>
            </w14:solidFill>
          </w14:textFill>
        </w:rPr>
      </w:pPr>
      <w:r/>
      <w:bookmarkStart w:id="23" w:name="_Toc80792693"/>
      <w:r/>
      <w:bookmarkStart w:id="24" w:name="_Toc93909069"/>
      <w:r/>
      <w:bookmarkStart w:id="25" w:name="_Toc96347855"/>
      <w:r>
        <w:rPr>
          <w:rFonts w:hint="eastAsia" w:ascii="宋体" w:hAnsi="宋体" w:cs="宋体"/>
          <w:bCs/>
          <w:color w:val="000000" w:themeColor="text1"/>
          <w:szCs w:val="21"/>
          <w:highlight w:val="none"/>
          <w14:textFill>
            <w14:solidFill>
              <w14:schemeClr w14:val="tx1"/>
            </w14:solidFill>
          </w14:textFill>
        </w:rPr>
        <w:t xml:space="preserve">提交投标文件截止时间、开标时间：2026年 </w:t>
      </w: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14:textFill>
            <w14:solidFill>
              <w14:schemeClr w14:val="tx1"/>
            </w14:solidFill>
          </w14:textFill>
        </w:rPr>
        <w:t xml:space="preserve"> 月 </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 日</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cs="宋体"/>
          <w:bCs/>
          <w:color w:val="000000" w:themeColor="text1"/>
          <w:szCs w:val="21"/>
          <w:highlight w:val="none"/>
          <w14:textFill>
            <w14:solidFill>
              <w14:schemeClr w14:val="tx1"/>
            </w14:solidFill>
          </w14:textFill>
        </w:rPr>
        <w:t xml:space="preserve">：30（北京时间）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3"/>
      <w:r>
        <w:rPr>
          <w:rFonts w:hint="eastAsia" w:ascii="宋体" w:hAnsi="宋体" w:cs="宋体"/>
          <w:b/>
          <w:bCs/>
          <w:color w:val="000000" w:themeColor="text1"/>
          <w:szCs w:val="44"/>
          <w:highlight w:val="none"/>
          <w14:textFill>
            <w14:solidFill>
              <w14:schemeClr w14:val="tx1"/>
            </w14:solidFill>
          </w14:textFill>
        </w:rPr>
        <w:t xml:space="preserve">公告期</w:t>
      </w:r>
      <w:bookmarkEnd w:id="24"/>
      <w:r/>
      <w:bookmarkEnd w:id="25"/>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6" w:name="_Toc93909070"/>
      <w:r/>
      <w:bookmarkStart w:id="27" w:name="_Toc96347856"/>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6"/>
      <w:r/>
      <w:bookmarkEnd w:id="2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8" w:name="_Toc80792694"/>
      <w:r/>
      <w:bookmarkStart w:id="29" w:name="_Toc80264702"/>
      <w:r/>
      <w:bookmarkStart w:id="30" w:name="_Toc96347857"/>
      <w:r/>
      <w:bookmarkStart w:id="31" w:name="_Toc93909071"/>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themeColor="text1"/>
          <w:szCs w:val="21"/>
          <w:highlight w:val="none"/>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8"/>
      <w:r/>
      <w:bookmarkEnd w:id="29"/>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30"/>
      <w:r/>
      <w:bookmarkEnd w:id="31"/>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2"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址：南京市中山路321号</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联系人：成老师</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联系方式：025-68182528</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址：南京市雨花台区宁双路19号云密城C栋3楼305室</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联系人：杨小莉、呼禹、宗超</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联系方式：18021508706、18761879918、13851876930</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项目联系人：杨小莉</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话：18021508706</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2"/>
      <w:r/>
      <w:r/>
    </w:p>
    <w:p>
      <w:pPr>
        <w:pStyle w:val="7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5"/>
        <w:rPr>
          <w:rFonts w:hint="eastAsia" w:ascii="宋体" w:hAnsi="宋体" w:cs="宋体"/>
          <w:color w:val="000000" w:themeColor="text1"/>
          <w:highlight w:val="none"/>
          <w14:textFill>
            <w14:solidFill>
              <w14:schemeClr w14:val="tx1"/>
            </w14:solidFill>
          </w14:textFill>
        </w:rPr>
      </w:pPr>
      <w:r/>
      <w:bookmarkStart w:id="33"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3"/>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775"/>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578"/>
        </w:trPr>
        <w:tc>
          <w:tcPr>
            <w:tcW w:w="675" w:type="dxa"/>
            <w:vAlign w:val="center"/>
            <w:textDirection w:val="lrTb"/>
            <w:noWrap w:val="false"/>
          </w:tcPr>
          <w:p>
            <w:pPr>
              <w:pStyle w:val="1017"/>
              <w:jc w:val="center"/>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17"/>
              <w:jc w:val="center"/>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017"/>
              <w:ind w:firstLine="373"/>
              <w:jc w:val="center"/>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017"/>
              <w:ind w:firstLine="373"/>
              <w:jc w:val="center"/>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014"/>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014"/>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址：南京市中山路321号</w:t>
            </w:r>
            <w:r/>
          </w:p>
          <w:p>
            <w:pPr>
              <w:pStyle w:val="1014"/>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联系人：成老师</w:t>
            </w:r>
            <w:r/>
          </w:p>
          <w:p>
            <w:pPr>
              <w:pStyle w:val="1014"/>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Cs w:val="21"/>
                <w:highlight w:val="none"/>
                <w14:textFill>
                  <w14:solidFill>
                    <w14:schemeClr w14:val="tx1"/>
                  </w14:solidFill>
                </w14:textFill>
              </w:rPr>
              <w:t xml:space="preserve">025-68182528</w:t>
            </w:r>
            <w:r/>
          </w:p>
        </w:tc>
      </w:tr>
      <w:tr>
        <w:trPr>
          <w:jc w:val="center"/>
        </w:trPr>
        <w:tc>
          <w:tcPr>
            <w:tcW w:w="675"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014"/>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14"/>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：南京市雨花台区宁双路19号云密城C栋3楼305室</w:t>
            </w:r>
            <w:r/>
          </w:p>
          <w:p>
            <w:pPr>
              <w:pStyle w:val="1014"/>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联系人：杨小莉、呼禹、宗超</w:t>
            </w:r>
            <w:r/>
          </w:p>
          <w:p>
            <w:pPr>
              <w:pStyle w:val="1014"/>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话：18021508706、18761879918、13851876930</w:t>
            </w:r>
            <w:r/>
          </w:p>
        </w:tc>
      </w:tr>
      <w:tr>
        <w:trPr>
          <w:jc w:val="center"/>
          <w:trHeight w:val="510"/>
        </w:trPr>
        <w:tc>
          <w:tcPr>
            <w:tcW w:w="675"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01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pStyle w:val="782"/>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1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101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101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017"/>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028"/>
              <w:contextualSpacing/>
              <w:ind w:firstLine="0"/>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投标报价的其他要求：无。</w:t>
            </w:r>
            <w:r/>
          </w:p>
        </w:tc>
      </w:tr>
      <w:tr>
        <w:trPr>
          <w:jc w:val="center"/>
          <w:trHeight w:val="65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01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17"/>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01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p>
            <w:pPr>
              <w:pStyle w:val="101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01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7人及以上单数。</w:t>
            </w:r>
            <w:r/>
          </w:p>
        </w:tc>
      </w:tr>
      <w:tr>
        <w:trPr>
          <w:jc w:val="center"/>
          <w:trHeight w:val="65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01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val="false"/>
          </w:tcPr>
          <w:p>
            <w:pPr>
              <w:pStyle w:val="101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■服务类，本项目不涉及核心产品。</w:t>
            </w:r>
            <w:r/>
          </w:p>
        </w:tc>
      </w:tr>
      <w:tr>
        <w:trPr>
          <w:jc w:val="center"/>
          <w:trHeight w:val="922"/>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017"/>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01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p>
            <w:pPr>
              <w:pStyle w:val="1017"/>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01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■不要求提供</w:t>
            </w:r>
            <w:r/>
          </w:p>
        </w:tc>
      </w:tr>
      <w:tr>
        <w:trPr>
          <w:jc w:val="center"/>
          <w:trHeight w:val="65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788"/>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w:t>
            </w:r>
            <w:r>
              <w:rPr>
                <w:rFonts w:hint="eastAsia" w:hAnsi="宋体" w:cs="宋体"/>
                <w:color w:val="000000" w:themeColor="text1"/>
                <w:highlight w:val="none"/>
                <w14:textFill>
                  <w14:solidFill>
                    <w14:schemeClr w14:val="tx1"/>
                  </w14:solidFill>
                </w14:textFill>
              </w:rPr>
              <w:t xml:space="preserve">递交投标文件截止时间前15日。</w:t>
            </w:r>
            <w:r/>
          </w:p>
          <w:p>
            <w:pPr>
              <w:pStyle w:val="788"/>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14:textFill>
                  <w14:solidFill>
                    <w14:schemeClr w14:val="tx1"/>
                  </w14:solidFill>
                </w14:textFill>
              </w:rPr>
              <w:t xml:space="preserve">18761879918@163.com</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186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788"/>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u w:val="single"/>
                <w14:textFill>
                  <w14:solidFill>
                    <w14:schemeClr w14:val="tx1"/>
                  </w14:solidFill>
                </w14:textFill>
              </w:rPr>
              <w:t xml:space="preserve">18761879918@163.com</w:t>
            </w:r>
            <w:r>
              <w:rPr>
                <w:rFonts w:hint="eastAsia" w:hAnsi="宋体" w:cs="宋体"/>
                <w:bCs/>
                <w:color w:val="000000" w:themeColor="text1"/>
                <w:highlight w:val="none"/>
                <w14:textFill>
                  <w14:solidFill>
                    <w14:schemeClr w14:val="tx1"/>
                  </w14:solidFill>
                </w14:textFill>
              </w:rPr>
              <w:t xml:space="preserve">邮箱）通知，采购代理机构将以邮件形式进行答复。</w:t>
            </w:r>
            <w:r/>
          </w:p>
        </w:tc>
      </w:tr>
      <w:tr>
        <w:trPr>
          <w:jc w:val="center"/>
          <w:trHeight w:val="3526"/>
        </w:trPr>
        <w:tc>
          <w:tcPr>
            <w:tcW w:w="675"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2.为优化采购资金使用效率，依据《政府采购代理机构管理暂行办法》(财库(2018)2号)第十五条规定，本项目代理服务费由成交供应商支付。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3.收取标准及方式:成交供应商在领取成交通知书前按下表中货物类型标准的40%一次性足额向采购代理机构缴纳采购代理服务费用。</w:t>
            </w:r>
            <w:r/>
          </w:p>
          <w:tbl>
            <w:tblPr>
              <w:tblStyle w:val="7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说明：招标代理服务收费按差额定律累进法计算。</w:t>
                  </w:r>
                  <w:r/>
                </w:p>
              </w:tc>
            </w:tr>
          </w:tbl>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 xml:space="preserve">收款人：江苏省招标中心有限公司</w:t>
            </w:r>
            <w:r/>
          </w:p>
          <w:p>
            <w:pPr>
              <w:jc w:val="left"/>
              <w:spacing w:line="360" w:lineRule="auto"/>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 xml:space="preserve">人民币帐号为：7321810182600023404</w:t>
            </w:r>
            <w:r/>
          </w:p>
          <w:p>
            <w:pPr>
              <w:pStyle w:val="788"/>
              <w:spacing w:line="360" w:lineRule="auto"/>
              <w:rPr>
                <w:rFonts w:hint="eastAsia" w:hAnsi="宋体" w:cs="宋体"/>
                <w:bCs/>
                <w:color w:val="000000" w:themeColor="text1"/>
                <w:highlight w:val="none"/>
                <w14:textFill>
                  <w14:solidFill>
                    <w14:schemeClr w14:val="tx1"/>
                  </w14:solidFill>
                </w14:textFill>
              </w:rPr>
            </w:pPr>
            <w:r>
              <w:rPr>
                <w:rFonts w:ascii="Times New Roman" w:hAnsi="宋体" w:cs="宋体"/>
                <w:bCs/>
                <w:color w:val="000000" w:themeColor="text1"/>
                <w:highlight w:val="none"/>
                <w14:textFill>
                  <w14:solidFill>
                    <w14:schemeClr w14:val="tx1"/>
                  </w14:solidFill>
                </w14:textFill>
              </w:rPr>
              <w:t xml:space="preserve">开户银行：中信银行南京江苏路支行</w:t>
            </w:r>
            <w:r/>
          </w:p>
        </w:tc>
      </w:tr>
      <w:tr>
        <w:trPr>
          <w:jc w:val="center"/>
          <w:trHeight w:val="600"/>
        </w:trPr>
        <w:tc>
          <w:tcPr>
            <w:tcW w:w="675" w:type="dxa"/>
            <w:vAlign w:val="center"/>
            <w:vMerge w:val="restart"/>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101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01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788"/>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采购项目类型：服务类</w:t>
            </w:r>
            <w:r/>
          </w:p>
        </w:tc>
      </w:tr>
      <w:tr>
        <w:trPr>
          <w:jc w:val="center"/>
          <w:trHeight w:val="552"/>
        </w:trPr>
        <w:tc>
          <w:tcPr>
            <w:tcW w:w="675" w:type="dxa"/>
            <w:vAlign w:val="center"/>
            <w:vMerge w:val="continue"/>
            <w:textDirection w:val="lrTb"/>
            <w:noWrap w:val="false"/>
          </w:tcPr>
          <w:p>
            <w:pPr>
              <w:pStyle w:val="101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1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17"/>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788"/>
              <w:spacing w:line="360" w:lineRule="auto"/>
              <w:rPr>
                <w:rFonts w:hint="eastAsia" w:hAnsi="宋体" w:eastAsia="宋体" w:cs="宋体"/>
                <w:bCs/>
                <w:color w:val="000000" w:themeColor="text1"/>
                <w:highlight w:val="none"/>
                <w:lang w:eastAsia="zh-CN"/>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w:t>
            </w:r>
            <w:r>
              <w:rPr>
                <w:rFonts w:hint="eastAsia" w:hAnsi="宋体" w:cs="宋体"/>
                <w:color w:val="000000" w:themeColor="text1"/>
                <w:highlight w:val="none"/>
                <w:lang w:eastAsia="zh-CN"/>
                <w14:textFill>
                  <w14:solidFill>
                    <w14:schemeClr w14:val="tx1"/>
                  </w14:solidFill>
                </w14:textFill>
              </w:rPr>
              <w:t xml:space="preserve">工业</w:t>
            </w:r>
            <w:r/>
          </w:p>
        </w:tc>
      </w:tr>
      <w:tr>
        <w:trPr>
          <w:jc w:val="center"/>
          <w:trHeight w:val="656"/>
        </w:trPr>
        <w:tc>
          <w:tcPr>
            <w:tcW w:w="675" w:type="dxa"/>
            <w:vAlign w:val="center"/>
            <w:vMerge w:val="continue"/>
            <w:textDirection w:val="lrTb"/>
            <w:noWrap w:val="false"/>
          </w:tcPr>
          <w:p>
            <w:pPr>
              <w:pStyle w:val="101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1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17"/>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1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01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1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17"/>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17"/>
              <w:spacing w:line="360" w:lineRule="auto"/>
              <w:rPr>
                <w:rFonts w:hint="eastAsia" w:hAnsi="宋体" w:cs="Courier New"/>
                <w:b/>
                <w:bCs/>
                <w:color w:val="000000" w:themeColor="text1"/>
                <w:sz w:val="21"/>
                <w:highlight w:val="none"/>
                <w14:textFill>
                  <w14:solidFill>
                    <w14:schemeClr w14:val="tx1"/>
                  </w14:solidFill>
                </w14:textFill>
              </w:rPr>
            </w:pPr>
            <w:r>
              <w:rPr>
                <w:rFonts w:hint="eastAsia" w:hAnsi="宋体" w:cs="Courier New"/>
                <w:b/>
                <w:bCs/>
                <w:color w:val="000000" w:themeColor="text1"/>
                <w:sz w:val="21"/>
                <w:highlight w:val="none"/>
                <w14:textFill>
                  <w14:solidFill>
                    <w14:schemeClr w14:val="tx1"/>
                  </w14:solidFill>
                </w14:textFill>
              </w:rPr>
              <w:t xml:space="preserve">异常低价处理：</w:t>
            </w:r>
            <w:r/>
          </w:p>
          <w:p>
            <w:pPr>
              <w:pStyle w:val="1017"/>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 （一）采购评审中出现下列情形之一的，评审委员会应当启动异常低价投标（响应）审查程序：</w:t>
            </w:r>
            <w:r/>
          </w:p>
          <w:p>
            <w:pPr>
              <w:pStyle w:val="1017"/>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17"/>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17"/>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1017"/>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1017"/>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1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Courier New"/>
                <w:color w:val="000000" w:themeColor="text1"/>
                <w:sz w:val="21"/>
                <w:highlight w:val="none"/>
                <w:lang w:eastAsia="zh-CN"/>
                <w14:textFill>
                  <w14:solidFill>
                    <w14:schemeClr w14:val="tx1"/>
                  </w14:solidFill>
                </w14:textFill>
              </w:rPr>
              <w:t xml:space="preserve">  </w:t>
            </w:r>
            <w:r>
              <w:rPr>
                <w:rFonts w:hint="eastAsia" w:hAnsi="宋体" w:cs="Courier New"/>
                <w:color w:val="000000" w:themeColor="text1"/>
                <w:sz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color w:val="000000" w:themeColor="text1"/>
                <w:sz w:val="21"/>
                <w:highlight w:val="none"/>
                <w14:textFill>
                  <w14:solidFill>
                    <w14:schemeClr w14:val="tx1"/>
                  </w14:solidFill>
                </w14:textFill>
              </w:rPr>
              <w:t xml:space="preserve">投标（响应）供应商不能提供书面说明、证明材料，或者提供的书面说明、证明材料不能证明其报价合理性的，评审委员会应当将其作为无效投标（响应）处理。</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8"/>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805"/>
        <w:ind w:firstLine="569"/>
        <w:rPr>
          <w:rFonts w:hint="eastAsia" w:ascii="宋体" w:hAnsi="宋体" w:cs="宋体"/>
          <w:color w:val="000000" w:themeColor="text1"/>
          <w:highlight w:val="none"/>
          <w14:textFill>
            <w14:solidFill>
              <w14:schemeClr w14:val="tx1"/>
            </w14:solidFill>
          </w14:textFill>
        </w:rPr>
      </w:pPr>
      <w:r/>
      <w:bookmarkStart w:id="34" w:name="_Toc103848526"/>
      <w:r/>
      <w:bookmarkStart w:id="35" w:name="_Toc107246213"/>
      <w:r/>
      <w:bookmarkStart w:id="36" w:name="_Toc100905199"/>
      <w:r/>
      <w:bookmarkStart w:id="37" w:name="_Toc104560837"/>
      <w:r>
        <w:rPr>
          <w:rFonts w:hint="eastAsia" w:ascii="宋体" w:hAnsi="宋体" w:cs="宋体"/>
          <w:color w:val="000000" w:themeColor="text1"/>
          <w:highlight w:val="none"/>
          <w14:textFill>
            <w14:solidFill>
              <w14:schemeClr w14:val="tx1"/>
            </w14:solidFill>
          </w14:textFill>
        </w:rPr>
        <w:t xml:space="preserve">投标人须知</w:t>
      </w:r>
      <w:bookmarkEnd w:id="34"/>
      <w:r/>
      <w:bookmarkEnd w:id="35"/>
      <w:r/>
      <w:bookmarkEnd w:id="36"/>
      <w:r/>
      <w:bookmarkEnd w:id="37"/>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8" w:name="_Toc80264706"/>
      <w:r/>
      <w:bookmarkStart w:id="39" w:name="_Toc107246214"/>
      <w:r>
        <w:rPr>
          <w:rFonts w:hint="eastAsia" w:ascii="宋体" w:hAnsi="宋体" w:cs="宋体"/>
          <w:color w:val="000000" w:themeColor="text1"/>
          <w:highlight w:val="none"/>
          <w14:textFill>
            <w14:solidFill>
              <w14:schemeClr w14:val="tx1"/>
            </w14:solidFill>
          </w14:textFill>
        </w:rPr>
        <w:t xml:space="preserve">一．</w:t>
      </w:r>
      <w:bookmarkEnd w:id="38"/>
      <w:r>
        <w:rPr>
          <w:rFonts w:hint="eastAsia" w:ascii="宋体" w:hAnsi="宋体" w:cs="宋体"/>
          <w:color w:val="000000" w:themeColor="text1"/>
          <w:highlight w:val="none"/>
          <w14:textFill>
            <w14:solidFill>
              <w14:schemeClr w14:val="tx1"/>
            </w14:solidFill>
          </w14:textFill>
        </w:rPr>
        <w:t xml:space="preserve">总则</w:t>
      </w:r>
      <w:bookmarkEnd w:id="39"/>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0" w:name="_Toc104560839"/>
      <w:r/>
      <w:bookmarkStart w:id="41" w:name="_Toc100905201"/>
      <w:r/>
      <w:bookmarkStart w:id="42" w:name="_Toc103848528"/>
      <w:r/>
      <w:bookmarkStart w:id="43" w:name="_Toc96347862"/>
      <w:r/>
      <w:bookmarkStart w:id="44" w:name="_Toc107246215"/>
      <w:r>
        <w:rPr>
          <w:rFonts w:hint="eastAsia" w:ascii="宋体" w:hAnsi="宋体" w:cs="宋体"/>
          <w:color w:val="000000" w:themeColor="text1"/>
          <w:highlight w:val="none"/>
          <w14:textFill>
            <w14:solidFill>
              <w14:schemeClr w14:val="tx1"/>
            </w14:solidFill>
          </w14:textFill>
        </w:rPr>
        <w:t xml:space="preserve">1.采购方式</w:t>
      </w:r>
      <w:bookmarkEnd w:id="40"/>
      <w:r/>
      <w:bookmarkEnd w:id="41"/>
      <w:r/>
      <w:bookmarkEnd w:id="42"/>
      <w:r/>
      <w:bookmarkEnd w:id="43"/>
      <w:r/>
      <w:bookmarkEnd w:id="4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5" w:name="_Toc103848529"/>
      <w:r/>
      <w:bookmarkStart w:id="46" w:name="_Toc96347863"/>
      <w:r/>
      <w:bookmarkStart w:id="47" w:name="_Toc104560840"/>
      <w:r/>
      <w:bookmarkStart w:id="48" w:name="_Toc107246216"/>
      <w:r/>
      <w:bookmarkStart w:id="49" w:name="_Toc100905202"/>
      <w:r>
        <w:rPr>
          <w:rFonts w:hint="eastAsia" w:ascii="宋体" w:hAnsi="宋体" w:cs="宋体"/>
          <w:color w:val="000000" w:themeColor="text1"/>
          <w:highlight w:val="none"/>
          <w14:textFill>
            <w14:solidFill>
              <w14:schemeClr w14:val="tx1"/>
            </w14:solidFill>
          </w14:textFill>
        </w:rPr>
        <w:t xml:space="preserve">2.定义</w:t>
      </w:r>
      <w:bookmarkEnd w:id="45"/>
      <w:r/>
      <w:bookmarkEnd w:id="46"/>
      <w:r/>
      <w:bookmarkEnd w:id="47"/>
      <w:r/>
      <w:bookmarkEnd w:id="48"/>
      <w:r/>
      <w:bookmarkEnd w:id="4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0" w:name="_Toc107246217"/>
      <w:r/>
      <w:bookmarkStart w:id="51" w:name="_Toc104560841"/>
      <w:r/>
      <w:bookmarkStart w:id="52" w:name="_Toc96347864"/>
      <w:r/>
      <w:bookmarkStart w:id="53" w:name="_Toc103848530"/>
      <w:r/>
      <w:bookmarkStart w:id="54" w:name="_Toc100905203"/>
      <w:r>
        <w:rPr>
          <w:rFonts w:hint="eastAsia" w:ascii="宋体" w:hAnsi="宋体" w:cs="宋体"/>
          <w:color w:val="000000" w:themeColor="text1"/>
          <w:highlight w:val="none"/>
          <w14:textFill>
            <w14:solidFill>
              <w14:schemeClr w14:val="tx1"/>
            </w14:solidFill>
          </w14:textFill>
        </w:rPr>
        <w:t xml:space="preserve">3.适用法律</w:t>
      </w:r>
      <w:bookmarkEnd w:id="50"/>
      <w:r/>
      <w:bookmarkEnd w:id="51"/>
      <w:r/>
      <w:bookmarkEnd w:id="52"/>
      <w:r/>
      <w:bookmarkEnd w:id="53"/>
      <w:r/>
      <w:bookmarkEnd w:id="5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5"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6" w:name="_Toc103848531"/>
      <w:r/>
      <w:bookmarkStart w:id="57" w:name="_Toc107246218"/>
      <w:r/>
      <w:bookmarkStart w:id="58" w:name="_Toc104560842"/>
      <w:r>
        <w:rPr>
          <w:rFonts w:hint="eastAsia" w:ascii="宋体" w:hAnsi="宋体" w:cs="宋体"/>
          <w:color w:val="000000" w:themeColor="text1"/>
          <w:highlight w:val="none"/>
          <w14:textFill>
            <w14:solidFill>
              <w14:schemeClr w14:val="tx1"/>
            </w14:solidFill>
          </w14:textFill>
        </w:rPr>
        <w:t xml:space="preserve">4.</w:t>
      </w:r>
      <w:bookmarkEnd w:id="56"/>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7"/>
      <w:r/>
      <w:bookmarkEnd w:id="58"/>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5"/>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9" w:name="_Toc107246219"/>
      <w:r/>
      <w:bookmarkStart w:id="60" w:name="_Toc103848532"/>
      <w:r/>
      <w:bookmarkStart w:id="61" w:name="_Toc104560843"/>
      <w:r/>
      <w:bookmarkStart w:id="62" w:name="_Toc96347865"/>
      <w:r/>
      <w:bookmarkStart w:id="63" w:name="_Toc100905205"/>
      <w:r>
        <w:rPr>
          <w:rFonts w:hint="eastAsia" w:ascii="宋体" w:hAnsi="宋体" w:cs="宋体"/>
          <w:color w:val="000000" w:themeColor="text1"/>
          <w:highlight w:val="none"/>
          <w14:textFill>
            <w14:solidFill>
              <w14:schemeClr w14:val="tx1"/>
            </w14:solidFill>
          </w14:textFill>
        </w:rPr>
        <w:t xml:space="preserve">5.相关费用</w:t>
      </w:r>
      <w:bookmarkEnd w:id="59"/>
      <w:r/>
      <w:bookmarkEnd w:id="60"/>
      <w:r/>
      <w:bookmarkEnd w:id="61"/>
      <w:r/>
      <w:bookmarkEnd w:id="62"/>
      <w:r/>
      <w:bookmarkEnd w:id="6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4"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5" w:name="_Toc104560844"/>
      <w:r/>
      <w:bookmarkStart w:id="66" w:name="_Toc96347866"/>
      <w:r/>
      <w:bookmarkStart w:id="67" w:name="_Toc103848533"/>
      <w:r/>
      <w:bookmarkStart w:id="68" w:name="_Toc100905206"/>
      <w:r/>
      <w:bookmarkStart w:id="69" w:name="_Toc107246220"/>
      <w:r>
        <w:rPr>
          <w:rFonts w:hint="eastAsia" w:ascii="宋体" w:hAnsi="宋体" w:cs="宋体"/>
          <w:color w:val="000000" w:themeColor="text1"/>
          <w:highlight w:val="none"/>
          <w14:textFill>
            <w14:solidFill>
              <w14:schemeClr w14:val="tx1"/>
            </w14:solidFill>
          </w14:textFill>
        </w:rPr>
        <w:t xml:space="preserve">6.保密</w:t>
      </w:r>
      <w:bookmarkEnd w:id="65"/>
      <w:r/>
      <w:bookmarkEnd w:id="66"/>
      <w:r/>
      <w:bookmarkEnd w:id="67"/>
      <w:r/>
      <w:bookmarkEnd w:id="68"/>
      <w:r/>
      <w:bookmarkEnd w:id="6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0" w:name="_Toc100905207"/>
      <w:r/>
      <w:bookmarkStart w:id="71" w:name="_Toc9634786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2" w:name="_Toc103848534"/>
      <w:r/>
      <w:bookmarkStart w:id="73" w:name="_Toc107246221"/>
      <w:r/>
      <w:bookmarkStart w:id="74" w:name="_Toc104560845"/>
      <w:r>
        <w:rPr>
          <w:rFonts w:hint="eastAsia" w:ascii="宋体" w:hAnsi="宋体" w:cs="宋体"/>
          <w:color w:val="000000" w:themeColor="text1"/>
          <w:highlight w:val="none"/>
          <w14:textFill>
            <w14:solidFill>
              <w14:schemeClr w14:val="tx1"/>
            </w14:solidFill>
          </w14:textFill>
        </w:rPr>
        <w:t xml:space="preserve">7.语言文字、计量单位</w:t>
      </w:r>
      <w:bookmarkEnd w:id="70"/>
      <w:r/>
      <w:bookmarkEnd w:id="71"/>
      <w:r/>
      <w:bookmarkEnd w:id="72"/>
      <w:r/>
      <w:bookmarkEnd w:id="73"/>
      <w:r/>
      <w:bookmarkEnd w:id="7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5" w:name="_Toc100905208"/>
      <w:r/>
      <w:bookmarkStart w:id="76" w:name="_Toc103848535"/>
      <w:r/>
      <w:bookmarkStart w:id="77" w:name="_Toc107246222"/>
      <w:r/>
      <w:bookmarkStart w:id="78" w:name="_Toc96347868"/>
      <w:r/>
      <w:bookmarkStart w:id="79" w:name="_Toc104560846"/>
      <w:r>
        <w:rPr>
          <w:rFonts w:hint="eastAsia" w:ascii="宋体" w:hAnsi="宋体" w:cs="宋体"/>
          <w:color w:val="000000" w:themeColor="text1"/>
          <w:highlight w:val="none"/>
          <w14:textFill>
            <w14:solidFill>
              <w14:schemeClr w14:val="tx1"/>
            </w14:solidFill>
          </w14:textFill>
        </w:rPr>
        <w:t xml:space="preserve">8.现场考察</w:t>
      </w:r>
      <w:bookmarkEnd w:id="75"/>
      <w:r/>
      <w:bookmarkEnd w:id="76"/>
      <w:r/>
      <w:bookmarkEnd w:id="77"/>
      <w:r/>
      <w:bookmarkEnd w:id="78"/>
      <w:r/>
      <w:bookmarkEnd w:id="7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0" w:name="_Toc102117275"/>
      <w:r/>
      <w:bookmarkStart w:id="81" w:name="_Toc107246223"/>
      <w:r>
        <w:rPr>
          <w:rFonts w:hint="eastAsia" w:ascii="宋体" w:hAnsi="宋体" w:cs="宋体"/>
          <w:color w:val="000000" w:themeColor="text1"/>
          <w:highlight w:val="none"/>
          <w14:textFill>
            <w14:solidFill>
              <w14:schemeClr w14:val="tx1"/>
            </w14:solidFill>
          </w14:textFill>
        </w:rPr>
        <w:t xml:space="preserve">9.开标前答疑会</w:t>
      </w:r>
      <w:bookmarkEnd w:id="80"/>
      <w:r/>
      <w:bookmarkEnd w:id="8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2" w:name="_Toc104560847"/>
      <w:r/>
      <w:bookmarkStart w:id="83" w:name="_Toc100905210"/>
      <w:r/>
      <w:bookmarkStart w:id="84" w:name="_Toc103848536"/>
      <w:r/>
      <w:bookmarkStart w:id="85" w:name="_Toc107246224"/>
      <w:r/>
      <w:bookmarkStart w:id="86"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2"/>
      <w:r/>
      <w:bookmarkEnd w:id="83"/>
      <w:r/>
      <w:bookmarkEnd w:id="84"/>
      <w:r/>
      <w:bookmarkEnd w:id="8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7" w:name="_Toc100905213"/>
      <w:r/>
      <w:bookmarkStart w:id="88" w:name="_Toc107246225"/>
      <w:r/>
      <w:bookmarkStart w:id="89" w:name="_Toc103848537"/>
      <w:r/>
      <w:bookmarkStart w:id="90" w:name="_Toc104560848"/>
      <w:r/>
      <w:bookmarkStart w:id="91" w:name="_Toc100905211"/>
      <w:r>
        <w:rPr>
          <w:rFonts w:hint="eastAsia" w:ascii="宋体" w:hAnsi="宋体" w:cs="宋体"/>
          <w:color w:val="000000" w:themeColor="text1"/>
          <w:highlight w:val="none"/>
          <w14:textFill>
            <w14:solidFill>
              <w14:schemeClr w14:val="tx1"/>
            </w14:solidFill>
          </w14:textFill>
        </w:rPr>
        <w:t xml:space="preserve">11.分包</w:t>
      </w:r>
      <w:bookmarkEnd w:id="87"/>
      <w:r/>
      <w:bookmarkEnd w:id="88"/>
      <w:r/>
      <w:bookmarkEnd w:id="89"/>
      <w:r/>
      <w:bookmarkEnd w:id="9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2" w:name="_Toc107246226"/>
      <w:r/>
      <w:bookmarkStart w:id="93" w:name="_Toc104560849"/>
      <w:r>
        <w:rPr>
          <w:rFonts w:hint="eastAsia" w:ascii="宋体" w:hAnsi="宋体" w:cs="宋体"/>
          <w:color w:val="000000" w:themeColor="text1"/>
          <w:highlight w:val="none"/>
          <w14:textFill>
            <w14:solidFill>
              <w14:schemeClr w14:val="tx1"/>
            </w14:solidFill>
          </w14:textFill>
        </w:rPr>
        <w:t xml:space="preserve">12.样品</w:t>
      </w:r>
      <w:bookmarkEnd w:id="92"/>
      <w:r/>
      <w:bookmarkEnd w:id="9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6"/>
      <w:r/>
      <w:bookmarkEnd w:id="91"/>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4" w:name="_Toc107246227"/>
      <w:r/>
      <w:bookmarkStart w:id="95" w:name="_Toc100905214"/>
      <w:r/>
      <w:bookmarkStart w:id="96" w:name="_Toc103848538"/>
      <w:r/>
      <w:bookmarkStart w:id="97" w:name="_Toc104560850"/>
      <w:r>
        <w:rPr>
          <w:rFonts w:hint="eastAsia" w:ascii="宋体" w:hAnsi="宋体" w:cs="宋体"/>
          <w:color w:val="000000" w:themeColor="text1"/>
          <w:highlight w:val="none"/>
          <w14:textFill>
            <w14:solidFill>
              <w14:schemeClr w14:val="tx1"/>
            </w14:solidFill>
          </w14:textFill>
        </w:rPr>
        <w:t xml:space="preserve">13.采购进口产品</w:t>
      </w:r>
      <w:bookmarkEnd w:id="94"/>
      <w:r/>
      <w:bookmarkEnd w:id="95"/>
      <w:r/>
      <w:bookmarkEnd w:id="96"/>
      <w:r/>
      <w:bookmarkEnd w:id="9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8" w:name="_Toc104560851"/>
      <w:r/>
      <w:bookmarkStart w:id="99" w:name="_Toc107246228"/>
      <w:r>
        <w:rPr>
          <w:rFonts w:hint="eastAsia" w:ascii="宋体" w:hAnsi="宋体" w:cs="宋体"/>
          <w:color w:val="000000" w:themeColor="text1"/>
          <w:highlight w:val="none"/>
          <w14:textFill>
            <w14:solidFill>
              <w14:schemeClr w14:val="tx1"/>
            </w14:solidFill>
          </w14:textFill>
        </w:rPr>
        <w:t xml:space="preserve">14.采购项目预算及最高限价</w:t>
      </w:r>
      <w:bookmarkEnd w:id="98"/>
      <w:r/>
      <w:bookmarkEnd w:id="9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0" w:name="_Toc107246229"/>
      <w:r/>
      <w:bookmarkStart w:id="101" w:name="_Toc104560852"/>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0"/>
      <w:r/>
      <w:bookmarkEnd w:id="10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2" w:name="_Toc107246230"/>
      <w:r>
        <w:rPr>
          <w:rFonts w:hint="eastAsia" w:ascii="宋体" w:hAnsi="宋体" w:cs="宋体"/>
          <w:color w:val="000000" w:themeColor="text1"/>
          <w:highlight w:val="none"/>
          <w14:textFill>
            <w14:solidFill>
              <w14:schemeClr w14:val="tx1"/>
            </w14:solidFill>
          </w14:textFill>
        </w:rPr>
        <w:t xml:space="preserve">二．招标文件</w:t>
      </w:r>
      <w:bookmarkEnd w:id="64"/>
      <w:r/>
      <w:bookmarkEnd w:id="102"/>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7246231"/>
      <w:r/>
      <w:bookmarkStart w:id="104" w:name="_Toc103848540"/>
      <w:r/>
      <w:bookmarkStart w:id="105" w:name="_Toc104560854"/>
      <w:r/>
      <w:bookmarkStart w:id="106" w:name="_Toc100905217"/>
      <w:r/>
      <w:bookmarkStart w:id="107" w:name="_Toc96347871"/>
      <w:r/>
      <w:bookmarkStart w:id="108" w:name="_Toc103848541"/>
      <w:r/>
      <w:bookmarkStart w:id="109" w:name="_Toc100905218"/>
      <w:r/>
      <w:bookmarkStart w:id="110" w:name="_Toc96347873"/>
      <w:r/>
      <w:bookmarkStart w:id="111" w:name="_Toc107246232"/>
      <w:r/>
      <w:bookmarkStart w:id="112" w:name="_Toc104560855"/>
      <w:r>
        <w:rPr>
          <w:rFonts w:hint="eastAsia" w:ascii="宋体" w:hAnsi="宋体" w:cs="宋体"/>
          <w:color w:val="000000" w:themeColor="text1"/>
          <w:highlight w:val="none"/>
          <w14:textFill>
            <w14:solidFill>
              <w14:schemeClr w14:val="tx1"/>
            </w14:solidFill>
          </w14:textFill>
        </w:rPr>
        <w:t xml:space="preserve">16.招标文件的构成</w:t>
      </w:r>
      <w:bookmarkEnd w:id="103"/>
      <w:r/>
      <w:bookmarkEnd w:id="104"/>
      <w:r/>
      <w:bookmarkEnd w:id="105"/>
      <w:r/>
      <w:bookmarkEnd w:id="106"/>
      <w:r/>
      <w:bookmarkEnd w:id="10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13"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13"/>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17.招标文件的澄清或者修改</w:t>
      </w:r>
      <w:bookmarkEnd w:id="108"/>
      <w:r/>
      <w:bookmarkEnd w:id="109"/>
      <w:r/>
      <w:bookmarkEnd w:id="110"/>
      <w:r/>
      <w:bookmarkEnd w:id="111"/>
      <w:r/>
      <w:bookmarkEnd w:id="11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4"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5" w:name="_Toc91836558"/>
      <w:r/>
      <w:bookmarkStart w:id="116" w:name="_Toc107246233"/>
      <w:r/>
      <w:bookmarkStart w:id="117" w:name="_Toc104560856"/>
      <w:r/>
      <w:bookmarkStart w:id="118" w:name="_Toc80264708"/>
      <w:r>
        <w:rPr>
          <w:rFonts w:hint="eastAsia" w:ascii="宋体" w:hAnsi="宋体" w:cs="宋体"/>
          <w:color w:val="000000" w:themeColor="text1"/>
          <w:highlight w:val="none"/>
          <w14:textFill>
            <w14:solidFill>
              <w14:schemeClr w14:val="tx1"/>
            </w14:solidFill>
          </w14:textFill>
        </w:rPr>
        <w:t xml:space="preserve">三．投标文件</w:t>
      </w:r>
      <w:bookmarkEnd w:id="115"/>
      <w:r/>
      <w:bookmarkEnd w:id="116"/>
      <w:r/>
      <w:bookmarkEnd w:id="117"/>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9" w:name="_Toc103848543"/>
      <w:r/>
      <w:bookmarkStart w:id="120" w:name="_Toc104560857"/>
      <w:r/>
      <w:bookmarkStart w:id="121" w:name="_Toc107246234"/>
      <w:r/>
      <w:bookmarkStart w:id="122" w:name="_Toc96347875"/>
      <w:r/>
      <w:bookmarkStart w:id="123" w:name="_Toc100905221"/>
      <w:r>
        <w:rPr>
          <w:rFonts w:hint="eastAsia" w:ascii="宋体" w:hAnsi="宋体" w:cs="宋体"/>
          <w:color w:val="000000" w:themeColor="text1"/>
          <w:highlight w:val="none"/>
          <w14:textFill>
            <w14:solidFill>
              <w14:schemeClr w14:val="tx1"/>
            </w14:solidFill>
          </w14:textFill>
        </w:rPr>
        <w:t xml:space="preserve">18.投标文件的组成</w:t>
      </w:r>
      <w:bookmarkEnd w:id="119"/>
      <w:r/>
      <w:bookmarkEnd w:id="120"/>
      <w:r/>
      <w:bookmarkEnd w:id="12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765"/>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4" w:name="_Toc104560858"/>
      <w:r/>
      <w:bookmarkStart w:id="125" w:name="_Toc107246235"/>
      <w:r>
        <w:rPr>
          <w:rFonts w:hint="eastAsia" w:ascii="宋体" w:hAnsi="宋体" w:cs="宋体"/>
          <w:color w:val="000000" w:themeColor="text1"/>
          <w:highlight w:val="none"/>
          <w14:textFill>
            <w14:solidFill>
              <w14:schemeClr w14:val="tx1"/>
            </w14:solidFill>
          </w14:textFill>
        </w:rPr>
        <w:t xml:space="preserve">19.投标文件编制的原则</w:t>
      </w:r>
      <w:bookmarkEnd w:id="124"/>
      <w:r/>
      <w:bookmarkEnd w:id="12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765"/>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6" w:name="_Toc107246236"/>
      <w:r>
        <w:rPr>
          <w:rFonts w:hint="eastAsia" w:ascii="宋体" w:hAnsi="宋体" w:cs="宋体"/>
          <w:color w:val="000000" w:themeColor="text1"/>
          <w:highlight w:val="none"/>
          <w14:textFill>
            <w14:solidFill>
              <w14:schemeClr w14:val="tx1"/>
            </w14:solidFill>
          </w14:textFill>
        </w:rPr>
        <w:t xml:space="preserve">20.投标报价</w:t>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2"/>
      <w:r/>
      <w:bookmarkEnd w:id="123"/>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7" w:name="_Toc100905224"/>
      <w:r/>
      <w:bookmarkStart w:id="128" w:name="_Toc104560859"/>
      <w:r/>
      <w:bookmarkStart w:id="129" w:name="_Toc107246237"/>
      <w:r/>
      <w:bookmarkStart w:id="130" w:name="_Toc103848545"/>
      <w:r/>
      <w:bookmarkStart w:id="131" w:name="_Toc96347878"/>
      <w:r/>
      <w:bookmarkStart w:id="132" w:name="_Toc100905223"/>
      <w:r/>
      <w:bookmarkStart w:id="133" w:name="_Toc103848544"/>
      <w:r>
        <w:rPr>
          <w:rFonts w:hint="eastAsia" w:ascii="宋体" w:hAnsi="宋体" w:cs="宋体"/>
          <w:color w:val="000000" w:themeColor="text1"/>
          <w:highlight w:val="none"/>
          <w14:textFill>
            <w14:solidFill>
              <w14:schemeClr w14:val="tx1"/>
            </w14:solidFill>
          </w14:textFill>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4" w:name="_Toc104560860"/>
      <w:r/>
      <w:bookmarkStart w:id="135" w:name="_Toc107246238"/>
      <w:r>
        <w:rPr>
          <w:rFonts w:hint="eastAsia" w:ascii="宋体" w:hAnsi="宋体" w:cs="宋体"/>
          <w:color w:val="000000" w:themeColor="text1"/>
          <w:highlight w:val="none"/>
          <w14:textFill>
            <w14:solidFill>
              <w14:schemeClr w14:val="tx1"/>
            </w14:solidFill>
          </w14:textFill>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6" w:name="_Toc68159552"/>
      <w:r/>
      <w:bookmarkStart w:id="137" w:name="_Toc96347879"/>
      <w:r/>
      <w:bookmarkStart w:id="138" w:name="_Toc466452044"/>
      <w:r/>
      <w:bookmarkStart w:id="139" w:name="_Toc420487862"/>
      <w:r/>
      <w:bookmarkStart w:id="140" w:name="_Toc420657357"/>
      <w:r/>
      <w:bookmarkStart w:id="141" w:name="_Toc519241651"/>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2" w:name="_Toc103848546"/>
      <w:r/>
      <w:bookmarkStart w:id="143" w:name="_Toc100905225"/>
      <w:r/>
      <w:bookmarkStart w:id="144" w:name="_Toc96347880"/>
      <w:r/>
      <w:bookmarkStart w:id="145" w:name="_Toc104560861"/>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6"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2"/>
      <w:r/>
      <w:bookmarkEnd w:id="143"/>
      <w:r/>
      <w:bookmarkEnd w:id="144"/>
      <w:r/>
      <w:bookmarkEnd w:id="145"/>
      <w:r/>
      <w:bookmarkEnd w:id="146"/>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7"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7"/>
      <w:r/>
      <w:r/>
    </w:p>
    <w:p>
      <w:pPr>
        <w:pStyle w:val="765"/>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8" w:name="_Toc104560863"/>
      <w:r/>
      <w:bookmarkStart w:id="149" w:name="_Toc96347881"/>
      <w:r/>
      <w:bookmarkStart w:id="150" w:name="_Toc107246241"/>
      <w:r/>
      <w:bookmarkStart w:id="151" w:name="_Toc103848548"/>
      <w:r/>
      <w:bookmarkStart w:id="152" w:name="_Toc100905226"/>
      <w:r>
        <w:rPr>
          <w:rFonts w:hint="eastAsia" w:ascii="宋体" w:hAnsi="宋体" w:cs="宋体"/>
          <w:color w:val="000000" w:themeColor="text1"/>
          <w:highlight w:val="none"/>
          <w14:textFill>
            <w14:solidFill>
              <w14:schemeClr w14:val="tx1"/>
            </w14:solidFill>
          </w14:textFill>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3" w:name="_Toc11464"/>
      <w:r/>
      <w:bookmarkStart w:id="154" w:name="_Toc469850063"/>
      <w:r/>
      <w:bookmarkStart w:id="155" w:name="_Toc100905227"/>
      <w:r/>
      <w:bookmarkStart w:id="156" w:name="_Toc46939510"/>
      <w:r/>
      <w:bookmarkStart w:id="157" w:name="_Toc38933357"/>
      <w:r/>
      <w:bookmarkStart w:id="158" w:name="_Toc50528805"/>
      <w:r/>
      <w:bookmarkStart w:id="159" w:name="_Toc97561941"/>
      <w:r/>
      <w:bookmarkStart w:id="160" w:name="_Toc89586904"/>
      <w:r/>
      <w:bookmarkStart w:id="161" w:name="_Toc46960670"/>
      <w:r/>
      <w:bookmarkStart w:id="162" w:name="_Toc103848549"/>
      <w:r/>
      <w:bookmarkStart w:id="163" w:name="_Toc91399404"/>
      <w:r/>
      <w:bookmarkStart w:id="164" w:name="_Toc46219699"/>
      <w:r/>
      <w:bookmarkStart w:id="165" w:name="_Toc51928343"/>
      <w:r/>
      <w:bookmarkStart w:id="166" w:name="_Toc4536"/>
      <w:r/>
      <w:bookmarkStart w:id="167" w:name="_Toc96347882"/>
      <w:r/>
      <w:bookmarkStart w:id="168" w:name="_Toc40202948"/>
      <w:r/>
      <w:bookmarkStart w:id="169" w:name="_Toc38931800"/>
      <w:r/>
      <w:bookmarkStart w:id="170" w:name="_Toc48151397"/>
      <w:r/>
      <w:bookmarkStart w:id="171" w:name="_Toc19963"/>
      <w:r/>
      <w:bookmarkStart w:id="172" w:name="_Toc38931614"/>
      <w:r/>
      <w:bookmarkStart w:id="173" w:name="_Toc11952"/>
      <w:r/>
      <w:bookmarkStart w:id="174" w:name="_Toc5042"/>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5" w:name="_Toc107246242"/>
      <w:r/>
      <w:bookmarkStart w:id="176" w:name="_Toc104560864"/>
      <w:r>
        <w:rPr>
          <w:rFonts w:hint="eastAsia" w:ascii="宋体" w:hAnsi="宋体" w:cs="宋体"/>
          <w:color w:val="000000" w:themeColor="text1"/>
          <w:highlight w:val="none"/>
          <w14:textFill>
            <w14:solidFill>
              <w14:schemeClr w14:val="tx1"/>
            </w14:solidFill>
          </w14:textFill>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77"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8" w:name="_Toc103848550"/>
      <w:r/>
      <w:bookmarkStart w:id="179" w:name="_Toc107246243"/>
      <w:r/>
      <w:bookmarkStart w:id="180" w:name="_Toc100905228"/>
      <w:r/>
      <w:bookmarkStart w:id="181" w:name="_Toc104560865"/>
      <w:r>
        <w:rPr>
          <w:rFonts w:hint="eastAsia" w:ascii="宋体" w:hAnsi="宋体" w:cs="宋体"/>
          <w:color w:val="000000" w:themeColor="text1"/>
          <w:highlight w:val="none"/>
          <w14:textFill>
            <w14:solidFill>
              <w14:schemeClr w14:val="tx1"/>
            </w14:solidFill>
          </w14:textFill>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82"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编制</w:t>
      </w: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3" w:name="_Toc107246244"/>
      <w:r/>
      <w:bookmarkStart w:id="184" w:name="_Toc103848551"/>
      <w:r/>
      <w:bookmarkStart w:id="185" w:name="_Toc104560866"/>
      <w:r>
        <w:rPr>
          <w:rFonts w:hint="eastAsia" w:ascii="宋体" w:hAnsi="宋体" w:cs="宋体"/>
          <w:color w:val="000000" w:themeColor="text1"/>
          <w:highlight w:val="none"/>
          <w14:textFill>
            <w14:solidFill>
              <w14:schemeClr w14:val="tx1"/>
            </w14:solidFill>
          </w14:textFill>
        </w:rPr>
        <w:t xml:space="preserve">27.诚实信用</w:t>
      </w:r>
      <w:bookmarkEnd w:id="183"/>
      <w:r/>
      <w:bookmarkEnd w:id="184"/>
      <w:r/>
      <w:bookmarkEnd w:id="18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6"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6"/>
      <w:r/>
      <w:bookmarkStart w:id="187" w:name="_Toc96347885"/>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8" w:name="_Toc107246246"/>
      <w:r/>
      <w:bookmarkStart w:id="189" w:name="_Toc104560868"/>
      <w:r/>
      <w:bookmarkStart w:id="190" w:name="_Toc103848553"/>
      <w:r/>
      <w:bookmarkStart w:id="191" w:name="_Toc100905230"/>
      <w:r>
        <w:rPr>
          <w:rFonts w:hint="eastAsia" w:ascii="宋体" w:hAnsi="宋体" w:cs="宋体"/>
          <w:color w:val="000000" w:themeColor="text1"/>
          <w:highlight w:val="none"/>
          <w14:textFill>
            <w14:solidFill>
              <w14:schemeClr w14:val="tx1"/>
            </w14:solidFill>
          </w14:textFill>
        </w:rPr>
        <w:t xml:space="preserve">28.开标</w:t>
      </w:r>
      <w:bookmarkEnd w:id="187"/>
      <w:r/>
      <w:bookmarkEnd w:id="188"/>
      <w:r/>
      <w:bookmarkEnd w:id="189"/>
      <w:r/>
      <w:bookmarkEnd w:id="190"/>
      <w:r/>
      <w:bookmarkEnd w:id="191"/>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2" w:name="_Toc107246247"/>
      <w:r/>
      <w:bookmarkStart w:id="193"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4" w:name="_Toc103848554"/>
      <w:r/>
      <w:bookmarkStart w:id="195"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6" w:name="_Toc107246248"/>
      <w:r>
        <w:rPr>
          <w:rFonts w:hint="eastAsia" w:ascii="宋体" w:hAnsi="宋体" w:cs="宋体"/>
          <w:color w:val="000000" w:themeColor="text1"/>
          <w:highlight w:val="none"/>
          <w14:textFill>
            <w14:solidFill>
              <w14:schemeClr w14:val="tx1"/>
            </w14:solidFill>
          </w14:textFill>
        </w:rPr>
        <w:t xml:space="preserve">30.评标</w:t>
      </w:r>
      <w:bookmarkEnd w:id="194"/>
      <w:r/>
      <w:bookmarkEnd w:id="195"/>
      <w:r/>
      <w:bookmarkEnd w:id="196"/>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7246249"/>
      <w:r/>
      <w:bookmarkStart w:id="198" w:name="_Toc104560870"/>
      <w:r/>
      <w:bookmarkStart w:id="199" w:name="_Toc103848555"/>
      <w:r>
        <w:rPr>
          <w:rFonts w:hint="eastAsia" w:ascii="宋体" w:hAnsi="宋体" w:cs="宋体"/>
          <w:color w:val="000000" w:themeColor="text1"/>
          <w:highlight w:val="none"/>
          <w14:textFill>
            <w14:solidFill>
              <w14:schemeClr w14:val="tx1"/>
            </w14:solidFill>
          </w14:textFill>
        </w:rPr>
        <w:t xml:space="preserve">30.1评标委员会</w:t>
      </w:r>
      <w:bookmarkEnd w:id="197"/>
      <w:r/>
      <w:bookmarkEnd w:id="198"/>
      <w:r/>
      <w:bookmarkEnd w:id="19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0" w:name="_Toc104560871"/>
      <w:r/>
      <w:bookmarkStart w:id="201" w:name="_Toc103848556"/>
      <w:r/>
      <w:bookmarkStart w:id="202" w:name="_Toc107246250"/>
      <w:r>
        <w:rPr>
          <w:rFonts w:hint="eastAsia" w:ascii="宋体" w:hAnsi="宋体" w:cs="宋体"/>
          <w:color w:val="000000" w:themeColor="text1"/>
          <w:highlight w:val="none"/>
          <w14:textFill>
            <w14:solidFill>
              <w14:schemeClr w14:val="tx1"/>
            </w14:solidFill>
          </w14:textFill>
        </w:rPr>
        <w:t xml:space="preserve">30.2</w:t>
      </w:r>
      <w:bookmarkEnd w:id="200"/>
      <w:r/>
      <w:bookmarkEnd w:id="201"/>
      <w:r>
        <w:rPr>
          <w:rFonts w:hint="eastAsia" w:ascii="宋体" w:hAnsi="宋体" w:cs="宋体"/>
          <w:color w:val="000000" w:themeColor="text1"/>
          <w:highlight w:val="none"/>
          <w14:textFill>
            <w14:solidFill>
              <w14:schemeClr w14:val="tx1"/>
            </w14:solidFill>
          </w14:textFill>
        </w:rPr>
        <w:t xml:space="preserve">符合性审查</w:t>
      </w:r>
      <w:bookmarkEnd w:id="20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3" w:name="_Toc103848557"/>
      <w:r/>
      <w:bookmarkStart w:id="204" w:name="_Toc104560872"/>
      <w:r/>
      <w:bookmarkStart w:id="205" w:name="_Toc107246251"/>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3"/>
      <w:r/>
      <w:bookmarkEnd w:id="204"/>
      <w:r/>
      <w:bookmarkEnd w:id="20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6" w:name="_Toc107246252"/>
      <w:r>
        <w:rPr>
          <w:rFonts w:hint="eastAsia" w:ascii="宋体" w:hAnsi="宋体" w:cs="宋体"/>
          <w:color w:val="000000" w:themeColor="text1"/>
          <w:highlight w:val="none"/>
          <w14:textFill>
            <w14:solidFill>
              <w14:schemeClr w14:val="tx1"/>
            </w14:solidFill>
          </w14:textFill>
        </w:rPr>
        <w:t xml:space="preserve">30.4</w:t>
      </w:r>
      <w:bookmarkEnd w:id="206"/>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4560873"/>
      <w:r/>
      <w:bookmarkStart w:id="208" w:name="_Toc107246253"/>
      <w:r/>
      <w:bookmarkStart w:id="209" w:name="_Toc103848558"/>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7"/>
      <w:r/>
      <w:bookmarkEnd w:id="208"/>
      <w:r/>
      <w:bookmarkEnd w:id="20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0" w:name="_Toc104560874"/>
      <w:r/>
      <w:bookmarkStart w:id="211" w:name="_Toc103848559"/>
      <w:r/>
      <w:bookmarkStart w:id="212" w:name="_Toc107246254"/>
      <w:r>
        <w:rPr>
          <w:rFonts w:hint="eastAsia" w:ascii="宋体" w:hAnsi="宋体" w:cs="宋体"/>
          <w:color w:val="000000" w:themeColor="text1"/>
          <w:highlight w:val="none"/>
          <w14:textFill>
            <w14:solidFill>
              <w14:schemeClr w14:val="tx1"/>
            </w14:solidFill>
          </w14:textFill>
        </w:rPr>
        <w:t xml:space="preserve">30.6比较与评价</w:t>
      </w:r>
      <w:bookmarkEnd w:id="210"/>
      <w:r/>
      <w:bookmarkEnd w:id="211"/>
      <w:r/>
      <w:bookmarkEnd w:id="212"/>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3"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765"/>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4" w:name="_Toc104560876"/>
      <w:r/>
      <w:bookmarkStart w:id="215" w:name="_Toc107246256"/>
      <w:r/>
      <w:bookmarkStart w:id="216" w:name="_Toc103848561"/>
      <w:r>
        <w:rPr>
          <w:rFonts w:hint="eastAsia" w:ascii="宋体" w:hAnsi="宋体" w:cs="宋体"/>
          <w:color w:val="000000" w:themeColor="text1"/>
          <w:highlight w:val="none"/>
          <w14:textFill>
            <w14:solidFill>
              <w14:schemeClr w14:val="tx1"/>
            </w14:solidFill>
          </w14:textFill>
        </w:rPr>
        <w:t xml:space="preserve">30.8评标过程的保密</w:t>
      </w:r>
      <w:bookmarkEnd w:id="214"/>
      <w:r/>
      <w:bookmarkEnd w:id="215"/>
      <w:r/>
      <w:bookmarkEnd w:id="216"/>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7" w:name="_Toc107246257"/>
      <w:r>
        <w:rPr>
          <w:rFonts w:hint="eastAsia" w:ascii="宋体" w:hAnsi="宋体" w:cs="宋体"/>
          <w:color w:val="000000" w:themeColor="text1"/>
          <w:highlight w:val="none"/>
          <w14:textFill>
            <w14:solidFill>
              <w14:schemeClr w14:val="tx1"/>
            </w14:solidFill>
          </w14:textFill>
        </w:rPr>
        <w:t xml:space="preserve">六．确定中标</w:t>
      </w:r>
      <w:bookmarkEnd w:id="217"/>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3848563"/>
      <w:r/>
      <w:bookmarkStart w:id="219" w:name="_Toc104560878"/>
      <w:r/>
      <w:bookmarkStart w:id="220" w:name="_Toc107246258"/>
      <w:r>
        <w:rPr>
          <w:rFonts w:hint="eastAsia" w:ascii="宋体" w:hAnsi="宋体" w:cs="宋体"/>
          <w:color w:val="000000" w:themeColor="text1"/>
          <w:highlight w:val="none"/>
          <w14:textFill>
            <w14:solidFill>
              <w14:schemeClr w14:val="tx1"/>
            </w14:solidFill>
          </w14:textFill>
        </w:rPr>
        <w:t xml:space="preserve">31.确定中标</w:t>
      </w:r>
      <w:bookmarkEnd w:id="218"/>
      <w:r/>
      <w:bookmarkEnd w:id="219"/>
      <w:r>
        <w:rPr>
          <w:rFonts w:hint="eastAsia" w:ascii="宋体" w:hAnsi="宋体" w:cs="宋体"/>
          <w:color w:val="000000" w:themeColor="text1"/>
          <w:highlight w:val="none"/>
          <w14:textFill>
            <w14:solidFill>
              <w14:schemeClr w14:val="tx1"/>
            </w14:solidFill>
          </w14:textFill>
        </w:rPr>
        <w:t xml:space="preserve">人</w:t>
      </w:r>
      <w:bookmarkEnd w:id="22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21" w:name="_Toc103848564"/>
      <w:r/>
      <w:bookmarkStart w:id="222" w:name="_Toc107246259"/>
      <w:r/>
      <w:bookmarkStart w:id="223" w:name="_Toc104560879"/>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1"/>
      <w:r/>
      <w:bookmarkEnd w:id="222"/>
      <w:r/>
      <w:bookmarkEnd w:id="22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4" w:name="_Toc104560875"/>
      <w:r/>
      <w:bookmarkStart w:id="225" w:name="_Toc103848560"/>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6" w:name="_Toc107246260"/>
      <w:r>
        <w:rPr>
          <w:rFonts w:hint="eastAsia" w:ascii="宋体" w:hAnsi="宋体" w:cs="宋体"/>
          <w:color w:val="000000" w:themeColor="text1"/>
          <w:highlight w:val="none"/>
          <w14:textFill>
            <w14:solidFill>
              <w14:schemeClr w14:val="tx1"/>
            </w14:solidFill>
          </w14:textFill>
        </w:rPr>
        <w:t xml:space="preserve">33.废标</w:t>
      </w:r>
      <w:bookmarkEnd w:id="224"/>
      <w:r/>
      <w:bookmarkEnd w:id="225"/>
      <w:r/>
      <w:bookmarkEnd w:id="226"/>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4560880"/>
      <w:r/>
      <w:bookmarkStart w:id="228" w:name="_Toc103848565"/>
      <w:r/>
      <w:bookmarkStart w:id="229" w:name="_Toc107246261"/>
      <w:r/>
      <w:bookmarkStart w:id="230" w:name="_Toc20823309"/>
      <w:r/>
      <w:bookmarkStart w:id="231" w:name="_Toc16938553"/>
      <w:r/>
      <w:bookmarkStart w:id="232" w:name="_Toc513029237"/>
      <w:r>
        <w:rPr>
          <w:rFonts w:hint="eastAsia" w:ascii="宋体" w:hAnsi="宋体" w:cs="宋体"/>
          <w:color w:val="000000" w:themeColor="text1"/>
          <w:highlight w:val="none"/>
          <w14:textFill>
            <w14:solidFill>
              <w14:schemeClr w14:val="tx1"/>
            </w14:solidFill>
          </w14:textFill>
        </w:rPr>
        <w:t xml:space="preserve">34.签订合同</w:t>
      </w:r>
      <w:bookmarkEnd w:id="227"/>
      <w:r/>
      <w:bookmarkEnd w:id="228"/>
      <w:r/>
      <w:bookmarkEnd w:id="22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765"/>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3" w:name="_Toc104560881"/>
      <w:r/>
      <w:bookmarkStart w:id="234" w:name="_Toc107246262"/>
      <w:r/>
      <w:bookmarkStart w:id="235" w:name="_Toc103848567"/>
      <w:r>
        <w:rPr>
          <w:rFonts w:hint="eastAsia" w:ascii="宋体" w:hAnsi="宋体" w:cs="宋体"/>
          <w:color w:val="000000" w:themeColor="text1"/>
          <w:szCs w:val="21"/>
          <w:highlight w:val="none"/>
          <w14:textFill>
            <w14:solidFill>
              <w14:schemeClr w14:val="tx1"/>
            </w14:solidFill>
          </w14:textFill>
        </w:rPr>
        <w:t xml:space="preserve">35.履约保证金</w:t>
      </w:r>
      <w:bookmarkEnd w:id="233"/>
      <w:r/>
      <w:bookmarkEnd w:id="234"/>
      <w:r/>
      <w:bookmarkEnd w:id="23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0"/>
      <w:r/>
      <w:bookmarkEnd w:id="231"/>
      <w:r/>
      <w:bookmarkEnd w:id="232"/>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6" w:name="_Toc107246263"/>
      <w:r>
        <w:rPr>
          <w:rFonts w:hint="eastAsia" w:ascii="宋体" w:hAnsi="宋体" w:cs="宋体"/>
          <w:color w:val="000000" w:themeColor="text1"/>
          <w:highlight w:val="none"/>
          <w14:textFill>
            <w14:solidFill>
              <w14:schemeClr w14:val="tx1"/>
            </w14:solidFill>
          </w14:textFill>
        </w:rPr>
        <w:t xml:space="preserve">七．</w:t>
      </w:r>
      <w:bookmarkStart w:id="237" w:name="_Toc103848569"/>
      <w:r>
        <w:rPr>
          <w:rFonts w:hint="eastAsia" w:ascii="宋体" w:hAnsi="宋体" w:cs="宋体"/>
          <w:color w:val="000000" w:themeColor="text1"/>
          <w:highlight w:val="none"/>
          <w14:textFill>
            <w14:solidFill>
              <w14:schemeClr w14:val="tx1"/>
            </w14:solidFill>
          </w14:textFill>
        </w:rPr>
        <w:t xml:space="preserve">询问与质疑</w:t>
      </w:r>
      <w:bookmarkEnd w:id="236"/>
      <w:r/>
      <w:bookmarkEnd w:id="237"/>
      <w:r/>
      <w:r/>
    </w:p>
    <w:p>
      <w:pPr>
        <w:pStyle w:val="765"/>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8" w:name="_Toc107246264"/>
      <w:r/>
      <w:bookmarkStart w:id="239" w:name="_Toc104560883"/>
      <w:r/>
      <w:bookmarkStart w:id="240" w:name="_Toc102117305"/>
      <w:r>
        <w:rPr>
          <w:rFonts w:hint="eastAsia" w:ascii="宋体" w:hAnsi="宋体" w:cs="宋体"/>
          <w:color w:val="000000" w:themeColor="text1"/>
          <w:szCs w:val="21"/>
          <w:highlight w:val="none"/>
          <w14:textFill>
            <w14:solidFill>
              <w14:schemeClr w14:val="tx1"/>
            </w14:solidFill>
          </w14:textFill>
        </w:rPr>
        <w:t xml:space="preserve">36.询问</w:t>
      </w:r>
      <w:bookmarkEnd w:id="238"/>
      <w:r/>
      <w:bookmarkEnd w:id="239"/>
      <w:r/>
      <w:bookmarkEnd w:id="24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765"/>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1" w:name="_Toc107246265"/>
      <w:r/>
      <w:bookmarkStart w:id="242" w:name="_Toc102117306"/>
      <w:r/>
      <w:bookmarkStart w:id="243" w:name="_Toc104560884"/>
      <w:r>
        <w:rPr>
          <w:rFonts w:hint="eastAsia" w:ascii="宋体" w:hAnsi="宋体" w:cs="宋体"/>
          <w:color w:val="000000" w:themeColor="text1"/>
          <w:szCs w:val="21"/>
          <w:highlight w:val="none"/>
          <w14:textFill>
            <w14:solidFill>
              <w14:schemeClr w14:val="tx1"/>
            </w14:solidFill>
          </w14:textFill>
        </w:rPr>
        <w:t xml:space="preserve">37.质疑</w:t>
      </w:r>
      <w:bookmarkEnd w:id="241"/>
      <w:r/>
      <w:bookmarkEnd w:id="242"/>
      <w:r/>
      <w:bookmarkEnd w:id="24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供应商如在法定期限内对同一采购程序环节提出多次质疑的，采购代理机构或采购人将只对供应商第一次质疑作出答复。</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765"/>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4" w:name="_Toc107246266"/>
      <w:r>
        <w:rPr>
          <w:rFonts w:hint="eastAsia" w:ascii="宋体" w:hAnsi="宋体" w:cs="宋体"/>
          <w:color w:val="000000" w:themeColor="text1"/>
          <w:highlight w:val="none"/>
          <w14:textFill>
            <w14:solidFill>
              <w14:schemeClr w14:val="tx1"/>
            </w14:solidFill>
          </w14:textFill>
        </w:rPr>
        <w:t xml:space="preserve">八．其他</w:t>
      </w:r>
      <w:bookmarkEnd w:id="244"/>
      <w:r/>
      <w:r/>
    </w:p>
    <w:p>
      <w:pPr>
        <w:pStyle w:val="765"/>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5" w:name="_Toc107246267"/>
      <w:r/>
      <w:bookmarkStart w:id="246" w:name="_Toc103848572"/>
      <w:r/>
      <w:bookmarkStart w:id="247" w:name="_Toc104560886"/>
      <w:r>
        <w:rPr>
          <w:rFonts w:hint="eastAsia" w:ascii="宋体" w:hAnsi="宋体" w:cs="宋体"/>
          <w:color w:val="000000" w:themeColor="text1"/>
          <w:szCs w:val="21"/>
          <w:highlight w:val="none"/>
          <w14:textFill>
            <w14:solidFill>
              <w14:schemeClr w14:val="tx1"/>
            </w14:solidFill>
          </w14:textFill>
        </w:rPr>
        <w:t xml:space="preserve">38.招标代理服务费</w:t>
      </w:r>
      <w:bookmarkEnd w:id="245"/>
      <w:r/>
      <w:bookmarkEnd w:id="246"/>
      <w:r/>
      <w:bookmarkEnd w:id="24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38.1中标人是否交纳投招标代理服务费及相关要求见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65"/>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8" w:name="_Toc103848573"/>
      <w:r/>
      <w:bookmarkStart w:id="249" w:name="_Toc107246268"/>
      <w:r/>
      <w:bookmarkStart w:id="250" w:name="_Toc104560887"/>
      <w:r>
        <w:rPr>
          <w:rFonts w:hint="eastAsia" w:ascii="宋体" w:hAnsi="宋体" w:cs="宋体"/>
          <w:color w:val="000000" w:themeColor="text1"/>
          <w:szCs w:val="21"/>
          <w:highlight w:val="none"/>
          <w14:textFill>
            <w14:solidFill>
              <w14:schemeClr w14:val="tx1"/>
            </w14:solidFill>
          </w14:textFill>
        </w:rPr>
        <w:t xml:space="preserve">39.其他规定</w:t>
      </w:r>
      <w:bookmarkEnd w:id="248"/>
      <w:r/>
      <w:bookmarkEnd w:id="249"/>
      <w:r/>
      <w:bookmarkEnd w:id="25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765"/>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1" w:name="_Toc107246269"/>
      <w:r/>
      <w:bookmarkStart w:id="252" w:name="_Toc104560888"/>
      <w:r/>
      <w:bookmarkStart w:id="253" w:name="_Toc103848574"/>
      <w:r>
        <w:rPr>
          <w:rFonts w:hint="eastAsia" w:ascii="宋体" w:hAnsi="宋体" w:cs="宋体"/>
          <w:color w:val="000000" w:themeColor="text1"/>
          <w:szCs w:val="21"/>
          <w:highlight w:val="none"/>
          <w14:textFill>
            <w14:solidFill>
              <w14:schemeClr w14:val="tx1"/>
            </w14:solidFill>
          </w14:textFill>
        </w:rPr>
        <w:t xml:space="preserve">40.文件解释权</w:t>
      </w:r>
      <w:bookmarkEnd w:id="251"/>
      <w:r/>
      <w:bookmarkEnd w:id="252"/>
      <w:r/>
      <w:bookmarkEnd w:id="25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2"/>
      <w:r/>
      <w:r/>
    </w:p>
    <w:p>
      <w:pPr>
        <w:pStyle w:val="805"/>
        <w:numPr>
          <w:ilvl w:val="0"/>
          <w:numId w:val="2"/>
        </w:numPr>
        <w:ind w:firstLine="567"/>
        <w:rPr>
          <w:rFonts w:hint="eastAsia" w:ascii="宋体" w:hAnsi="宋体" w:cs="宋体"/>
          <w:color w:val="000000" w:themeColor="text1"/>
          <w:highlight w:val="none"/>
          <w14:textFill>
            <w14:solidFill>
              <w14:schemeClr w14:val="tx1"/>
            </w14:solidFill>
          </w14:textFill>
        </w:rPr>
      </w:pPr>
      <w:r/>
      <w:bookmarkStart w:id="254" w:name="_Toc91836563"/>
      <w:r>
        <w:rPr>
          <w:rFonts w:hint="eastAsia" w:ascii="宋体" w:hAnsi="宋体" w:cs="宋体"/>
          <w:color w:val="000000" w:themeColor="text1"/>
          <w:highlight w:val="none"/>
          <w14:textFill>
            <w14:solidFill>
              <w14:schemeClr w14:val="tx1"/>
            </w14:solidFill>
          </w14:textFill>
        </w:rPr>
        <w:br w:type="page" w:clear="all"/>
      </w:r>
      <w:bookmarkStart w:id="255"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4"/>
      <w:r>
        <w:rPr>
          <w:rFonts w:hint="eastAsia" w:ascii="宋体" w:hAnsi="宋体" w:cs="宋体"/>
          <w:color w:val="000000" w:themeColor="text1"/>
          <w:highlight w:val="none"/>
          <w14:textFill>
            <w14:solidFill>
              <w14:schemeClr w14:val="tx1"/>
            </w14:solidFill>
          </w14:textFill>
        </w:rPr>
        <w:t xml:space="preserve">及格式</w:t>
      </w:r>
      <w:bookmarkEnd w:id="255"/>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设备维保服务合同</w:t>
      </w:r>
      <w:r/>
    </w:p>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甲方：南京鼓楼医院 </w:t>
      </w:r>
      <w:r/>
    </w:p>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乙方：供应商名称</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经</w:t>
      </w:r>
      <w:r>
        <w:rPr>
          <w:rFonts w:hint="eastAsia" w:ascii="宋体" w:hAnsi="宋体" w:cs="宋体"/>
          <w:color w:val="000000" w:themeColor="text1"/>
          <w:szCs w:val="21"/>
          <w:highlight w:val="none"/>
          <w:u w:val="single"/>
          <w14:textFill>
            <w14:solidFill>
              <w14:schemeClr w14:val="tx1"/>
            </w14:solidFill>
          </w14:textFill>
        </w:rPr>
        <w:t xml:space="preserve">XXXX年XXXX月XXXX日招标代理公司名称</w:t>
      </w:r>
      <w:r>
        <w:rPr>
          <w:rFonts w:hint="eastAsia" w:ascii="宋体" w:hAnsi="宋体" w:cs="宋体"/>
          <w:color w:val="000000" w:themeColor="text1"/>
          <w:szCs w:val="21"/>
          <w:highlight w:val="none"/>
          <w14:textFill>
            <w14:solidFill>
              <w14:schemeClr w14:val="tx1"/>
            </w14:solidFill>
          </w14:textFill>
        </w:rPr>
        <w:t xml:space="preserve">公开招标（招标编号：</w:t>
      </w:r>
      <w:r>
        <w:rPr>
          <w:rFonts w:hint="eastAsia" w:ascii="宋体" w:hAnsi="宋体" w:cs="宋体"/>
          <w:color w:val="000000" w:themeColor="text1"/>
          <w:szCs w:val="21"/>
          <w:highlight w:val="none"/>
          <w:u w:val="single"/>
          <w14:textFill>
            <w14:solidFill>
              <w14:schemeClr w14:val="tx1"/>
            </w14:solidFill>
          </w14:textFill>
        </w:rPr>
        <w:t xml:space="preserve">XXXX</w:t>
      </w:r>
      <w:r>
        <w:rPr>
          <w:rFonts w:hint="eastAsia" w:ascii="宋体" w:hAnsi="宋体" w:cs="宋体"/>
          <w:color w:val="000000" w:themeColor="text1"/>
          <w:szCs w:val="21"/>
          <w:highlight w:val="none"/>
          <w14:textFill>
            <w14:solidFill>
              <w14:schemeClr w14:val="tx1"/>
            </w14:solidFill>
          </w14:textFill>
        </w:rPr>
        <w:t xml:space="preserve">），就乙方为甲方</w:t>
      </w:r>
      <w:r>
        <w:rPr>
          <w:rFonts w:hint="eastAsia" w:ascii="宋体" w:hAnsi="宋体" w:cs="宋体"/>
          <w:color w:val="000000" w:themeColor="text1"/>
          <w:szCs w:val="21"/>
          <w:highlight w:val="none"/>
          <w:u w:val="single"/>
          <w14:textFill>
            <w14:solidFill>
              <w14:schemeClr w14:val="tx1"/>
            </w14:solidFill>
          </w14:textFill>
        </w:rPr>
        <w:t xml:space="preserve">固定资产名称（固定资产编号：XXXX）</w:t>
      </w:r>
      <w:r>
        <w:rPr>
          <w:rFonts w:hint="eastAsia" w:ascii="宋体" w:hAnsi="宋体" w:cs="宋体"/>
          <w:color w:val="000000" w:themeColor="text1"/>
          <w:szCs w:val="21"/>
          <w:highlight w:val="none"/>
          <w14:textFill>
            <w14:solidFill>
              <w14:schemeClr w14:val="tx1"/>
            </w14:solidFill>
          </w14:textFill>
        </w:rPr>
        <w:t xml:space="preserve">提供维保服务，制定本合同。</w:t>
      </w:r>
      <w:r/>
    </w:p>
    <w:p>
      <w:pPr>
        <w:pStyle w:val="1028"/>
        <w:numPr>
          <w:ilvl w:val="0"/>
          <w:numId w:val="3"/>
        </w:num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合同期限</w:t>
      </w:r>
      <w:r/>
    </w:p>
    <w:p>
      <w:pPr>
        <w:pStyle w:val="1028"/>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保修期自</w:t>
      </w:r>
      <w:r>
        <w:rPr>
          <w:rFonts w:hint="eastAsia" w:ascii="宋体" w:hAnsi="宋体" w:cs="宋体"/>
          <w:color w:val="000000" w:themeColor="text1"/>
          <w:szCs w:val="21"/>
          <w:highlight w:val="none"/>
          <w:u w:val="single"/>
          <w14:textFill>
            <w14:solidFill>
              <w14:schemeClr w14:val="tx1"/>
            </w14:solidFill>
          </w14:textFill>
        </w:rPr>
        <w:t xml:space="preserve">XXXX年XXXX月XXXX日</w:t>
      </w:r>
      <w:r>
        <w:rPr>
          <w:rFonts w:hint="eastAsia" w:ascii="宋体" w:hAnsi="宋体" w:cs="宋体"/>
          <w:color w:val="000000" w:themeColor="text1"/>
          <w:szCs w:val="21"/>
          <w:highlight w:val="none"/>
          <w14:textFill>
            <w14:solidFill>
              <w14:schemeClr w14:val="tx1"/>
            </w14:solidFill>
          </w14:textFill>
        </w:rPr>
        <w:t xml:space="preserve">至</w:t>
      </w:r>
      <w:r>
        <w:rPr>
          <w:rFonts w:hint="eastAsia" w:ascii="宋体" w:hAnsi="宋体" w:cs="宋体"/>
          <w:color w:val="000000" w:themeColor="text1"/>
          <w:szCs w:val="21"/>
          <w:highlight w:val="none"/>
          <w:u w:val="single"/>
          <w14:textFill>
            <w14:solidFill>
              <w14:schemeClr w14:val="tx1"/>
            </w14:solidFill>
          </w14:textFill>
        </w:rPr>
        <w:t xml:space="preserve">XXXX年XXXX月XXXX日</w:t>
      </w:r>
      <w:r>
        <w:rPr>
          <w:rFonts w:hint="eastAsia" w:ascii="宋体" w:hAnsi="宋体" w:cs="宋体"/>
          <w:color w:val="000000" w:themeColor="text1"/>
          <w:szCs w:val="21"/>
          <w:highlight w:val="none"/>
          <w14:textFill>
            <w14:solidFill>
              <w14:schemeClr w14:val="tx1"/>
            </w14:solidFill>
          </w14:textFill>
        </w:rPr>
        <w:t xml:space="preserve">。合同每执行一个年度，甲方有权对乙方进行考核，考核不合格的，甲方有权终止合同；考核合格，经甲方项目主管部门确认下一年度的预算后，合同方可继续执行。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若由于该设备停止使用的原因，甲方需要解除该合同，甲方可提前30日以书面形式通知乙方，确认设备停用时间，在合同有效期内提前解除合同，费用结算至确认的设备停用时间，当期合同价款按天计算。</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二、维保服务设备：</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1.设备详情</w:t>
      </w:r>
      <w:r/>
    </w:p>
    <w:tbl>
      <w:tblPr>
        <w:tblStyle w:val="775"/>
        <w:tblW w:w="5000" w:type="pct"/>
        <w:jc w:val="center"/>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5"/>
        <w:gridCol w:w="1014"/>
        <w:gridCol w:w="1140"/>
        <w:gridCol w:w="1140"/>
        <w:gridCol w:w="1140"/>
        <w:gridCol w:w="765"/>
        <w:gridCol w:w="1106"/>
        <w:gridCol w:w="1126"/>
      </w:tblGrid>
      <w:tr>
        <w:trPr>
          <w:jc w:val="center"/>
          <w:trHeight w:val="422"/>
        </w:trPr>
        <w:tc>
          <w:tcPr>
            <w:tcW w:w="79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设备</w:t>
            </w:r>
            <w:r>
              <w:rPr>
                <w:rFonts w:hint="eastAsia" w:ascii="宋体" w:hAnsi="宋体" w:cs="宋体"/>
                <w:color w:val="000000" w:themeColor="text1"/>
                <w:szCs w:val="21"/>
                <w:highlight w:val="none"/>
                <w14:textFill>
                  <w14:solidFill>
                    <w14:schemeClr w14:val="tx1"/>
                  </w14:solidFill>
                </w14:textFill>
              </w:rPr>
              <w:t xml:space="preserve">编号／序列号</w:t>
            </w:r>
            <w:r/>
          </w:p>
        </w:tc>
        <w:tc>
          <w:tcPr>
            <w:tcW w:w="574"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设备名称</w:t>
            </w:r>
            <w:r/>
          </w:p>
        </w:tc>
        <w:tc>
          <w:tcPr>
            <w:tcW w:w="645"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数量</w:t>
            </w:r>
            <w:r/>
          </w:p>
        </w:tc>
        <w:tc>
          <w:tcPr>
            <w:tcW w:w="645"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单位</w:t>
            </w:r>
            <w:r/>
          </w:p>
        </w:tc>
        <w:tc>
          <w:tcPr>
            <w:tcW w:w="645"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维保单价(元)</w:t>
            </w:r>
            <w:r/>
          </w:p>
        </w:tc>
        <w:tc>
          <w:tcPr>
            <w:tcW w:w="4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维保年限</w:t>
            </w:r>
            <w:r/>
          </w:p>
        </w:tc>
        <w:tc>
          <w:tcPr>
            <w:tcW w:w="626"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维保总价 (元)</w:t>
            </w:r>
            <w:r/>
          </w:p>
        </w:tc>
        <w:tc>
          <w:tcPr>
            <w:tcW w:w="637"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维保服务范围</w:t>
            </w:r>
            <w:r/>
          </w:p>
        </w:tc>
      </w:tr>
      <w:tr>
        <w:trPr>
          <w:jc w:val="center"/>
          <w:trHeight w:val="534"/>
        </w:trPr>
        <w:tc>
          <w:tcPr>
            <w:tcW w:w="795"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574"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4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4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4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433"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26"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37"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r>
      <w:tr>
        <w:trPr>
          <w:jc w:val="center"/>
          <w:trHeight w:val="501"/>
        </w:trPr>
        <w:tc>
          <w:tcPr>
            <w:gridSpan w:val="8"/>
            <w:tcBorders>
              <w:top w:val="single" w:color="auto" w:sz="4" w:space="0"/>
              <w:bottom w:val="single" w:color="auto" w:sz="4" w:space="0"/>
            </w:tcBorders>
            <w:tcW w:w="5000"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合</w:t>
            </w:r>
            <w:r>
              <w:rPr>
                <w:rFonts w:hint="eastAsia" w:ascii="宋体" w:hAnsi="宋体" w:cs="宋体"/>
                <w:color w:val="000000" w:themeColor="text1"/>
                <w:spacing w:val="-2"/>
                <w:szCs w:val="21"/>
                <w:highlight w:val="none"/>
                <w14:textFill>
                  <w14:solidFill>
                    <w14:schemeClr w14:val="tx1"/>
                  </w14:solidFill>
                </w14:textFill>
              </w:rPr>
              <w:t xml:space="preserve">计（大写）: (人民币)</w:t>
            </w:r>
            <w:r>
              <w:rPr>
                <w:rFonts w:hint="eastAsia" w:ascii="宋体" w:hAnsi="宋体" w:cs="宋体"/>
                <w:color w:val="000000" w:themeColor="text1"/>
                <w:szCs w:val="21"/>
                <w:highlight w:val="none"/>
                <w14:textFill>
                  <w14:solidFill>
                    <w14:schemeClr w14:val="tx1"/>
                  </w14:solidFill>
                </w14:textFill>
              </w:rPr>
              <w:t xml:space="preserve"> XXXX</w:t>
            </w:r>
            <w:r>
              <w:rPr>
                <w:rFonts w:hint="eastAsia" w:ascii="宋体" w:hAnsi="宋体" w:cs="宋体"/>
                <w:color w:val="000000" w:themeColor="text1"/>
                <w:spacing w:val="-2"/>
                <w:szCs w:val="21"/>
                <w:highlight w:val="none"/>
                <w:lang w:val="en-AU"/>
                <w14:textFill>
                  <w14:solidFill>
                    <w14:schemeClr w14:val="tx1"/>
                  </w14:solidFill>
                </w14:textFill>
              </w:rPr>
              <w:t xml:space="preserve">元整                                                             小写：￥</w:t>
            </w:r>
            <w:r>
              <w:rPr>
                <w:rFonts w:hint="eastAsia" w:ascii="宋体" w:hAnsi="宋体" w:cs="宋体"/>
                <w:color w:val="000000" w:themeColor="text1"/>
                <w:szCs w:val="21"/>
                <w:highlight w:val="none"/>
                <w14:textFill>
                  <w14:solidFill>
                    <w14:schemeClr w14:val="tx1"/>
                  </w14:solidFill>
                </w14:textFill>
              </w:rPr>
              <w:t xml:space="preserve">XXXX</w:t>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合同为固定单价合同，合同价款不因国家税率变更而更改。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三、付款方式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1.按约定时间付款，乙方须在约定时间前一个月开具</w:t>
      </w:r>
      <w:bookmarkStart w:id="256" w:name="_Hlk100649898"/>
      <w:r>
        <w:rPr>
          <w:rFonts w:hint="eastAsia" w:ascii="宋体" w:hAnsi="宋体" w:cs="宋体"/>
          <w:color w:val="000000" w:themeColor="text1"/>
          <w:szCs w:val="21"/>
          <w:highlight w:val="none"/>
          <w14:textFill>
            <w14:solidFill>
              <w14:schemeClr w14:val="tx1"/>
            </w14:solidFill>
          </w14:textFill>
        </w:rPr>
        <w:t xml:space="preserve">合法有效的</w:t>
      </w:r>
      <w:bookmarkEnd w:id="256"/>
      <w:r>
        <w:rPr>
          <w:rFonts w:hint="eastAsia" w:ascii="宋体" w:hAnsi="宋体" w:cs="宋体"/>
          <w:color w:val="000000" w:themeColor="text1"/>
          <w:szCs w:val="21"/>
          <w:highlight w:val="none"/>
          <w14:textFill>
            <w14:solidFill>
              <w14:schemeClr w14:val="tx1"/>
            </w14:solidFill>
          </w14:textFill>
        </w:rPr>
        <w:t xml:space="preserve">发票并经由甲方医用物资保障处工程师和使用科室签字确认，如果乙方未提供合法有效的发票，则甲方有权拒绝支付该部分费用，因此产生的一切损失由乙方自行承担。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2.付款时间表：</w:t>
      </w:r>
      <w:r/>
    </w:p>
    <w:tbl>
      <w:tblPr>
        <w:tblStyle w:val="7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28"/>
        <w:gridCol w:w="3045"/>
        <w:gridCol w:w="3063"/>
      </w:tblGrid>
      <w:tr>
        <w:trPr>
          <w:jc w:val="center"/>
          <w:trHeight w:val="580"/>
        </w:trPr>
        <w:tc>
          <w:tcPr>
            <w:tcW w:w="1544"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付款期数</w:t>
            </w:r>
            <w:r/>
          </w:p>
        </w:tc>
        <w:tc>
          <w:tcPr>
            <w:tcW w:w="172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付款时间</w:t>
            </w:r>
            <w:r/>
          </w:p>
        </w:tc>
        <w:tc>
          <w:tcPr>
            <w:tcW w:w="17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应付金额（</w:t>
            </w:r>
            <w:r>
              <w:rPr>
                <w:rFonts w:hint="eastAsia" w:ascii="宋体" w:hAnsi="宋体" w:cs="宋体"/>
                <w:color w:val="000000" w:themeColor="text1"/>
                <w:spacing w:val="-2"/>
                <w:szCs w:val="21"/>
                <w:highlight w:val="none"/>
                <w14:textFill>
                  <w14:solidFill>
                    <w14:schemeClr w14:val="tx1"/>
                  </w14:solidFill>
                </w14:textFill>
              </w:rPr>
              <w:t xml:space="preserve">元</w:t>
            </w:r>
            <w:r>
              <w:rPr>
                <w:rFonts w:hint="eastAsia" w:ascii="宋体" w:hAnsi="宋体" w:cs="宋体"/>
                <w:color w:val="000000" w:themeColor="text1"/>
                <w:spacing w:val="-2"/>
                <w:szCs w:val="21"/>
                <w:highlight w:val="none"/>
                <w:lang w:val="en-AU"/>
                <w14:textFill>
                  <w14:solidFill>
                    <w14:schemeClr w14:val="tx1"/>
                  </w14:solidFill>
                </w14:textFill>
              </w:rPr>
              <w:t xml:space="preserve">）</w:t>
            </w:r>
            <w:r/>
          </w:p>
        </w:tc>
      </w:tr>
      <w:tr>
        <w:trPr>
          <w:jc w:val="center"/>
          <w:trHeight w:val="561"/>
        </w:trPr>
        <w:tc>
          <w:tcPr>
            <w:tcW w:w="1544"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第一期</w:t>
            </w:r>
            <w:r/>
          </w:p>
        </w:tc>
        <w:tc>
          <w:tcPr>
            <w:tcW w:w="172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c>
          <w:tcPr>
            <w:tcW w:w="17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r>
      <w:tr>
        <w:trPr>
          <w:jc w:val="center"/>
          <w:trHeight w:val="555"/>
        </w:trPr>
        <w:tc>
          <w:tcPr>
            <w:tcW w:w="1544" w:type="pct"/>
            <w:vAlign w:val="center"/>
            <w:textDirection w:val="lrTb"/>
            <w:noWrap w:val="false"/>
          </w:tcPr>
          <w:p>
            <w:pPr>
              <w:jc w:val="center"/>
              <w:spacing w:line="360" w:lineRule="auto"/>
              <w:tabs>
                <w:tab w:val="left" w:pos="-720"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第二期</w:t>
            </w:r>
            <w:r/>
          </w:p>
        </w:tc>
        <w:tc>
          <w:tcPr>
            <w:tcW w:w="172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c>
          <w:tcPr>
            <w:tcW w:w="17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r>
      <w:tr>
        <w:trPr>
          <w:jc w:val="center"/>
          <w:trHeight w:val="555"/>
        </w:trPr>
        <w:tc>
          <w:tcPr>
            <w:tcW w:w="1544"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w:t>
            </w:r>
            <w:r/>
          </w:p>
        </w:tc>
        <w:tc>
          <w:tcPr>
            <w:tcW w:w="172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c>
          <w:tcPr>
            <w:tcW w:w="17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r>
    </w:tbl>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四、甲方权利义务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1.甲方应保证电源质量稳定可靠，并对设备进行日常清洁保养和基本维护工作，做好故障记录。</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2.甲方应按设备使用手册的要求正确操作设备，保证设备的电、气和水的正常供应，同时保证设备开启关闭时的环境处于正常状态。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3.甲方应按合同约定的方式和时间向乙方支付维保服务费用。</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五、乙方权利义务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1.服务时间：7×24小时。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2.为保证甲方设备的正常运行，乙方根据设备运行情况提供每年</w:t>
      </w:r>
      <w:r>
        <w:rPr>
          <w:rFonts w:hint="eastAsia" w:ascii="宋体" w:hAnsi="宋体" w:cs="宋体"/>
          <w:b/>
          <w:bCs/>
          <w:color w:val="000000" w:themeColor="text1"/>
          <w:szCs w:val="21"/>
          <w:highlight w:val="none"/>
          <w:u w:val="single"/>
          <w14:textFill>
            <w14:solidFill>
              <w14:schemeClr w14:val="tx1"/>
            </w14:solidFill>
          </w14:textFill>
        </w:rPr>
        <w:t xml:space="preserve">XX</w:t>
      </w:r>
      <w:r>
        <w:rPr>
          <w:rFonts w:hint="eastAsia" w:ascii="宋体" w:hAnsi="宋体" w:cs="宋体"/>
          <w:color w:val="000000" w:themeColor="text1"/>
          <w:szCs w:val="21"/>
          <w:highlight w:val="none"/>
          <w14:textFill>
            <w14:solidFill>
              <w14:schemeClr w14:val="tx1"/>
            </w14:solidFill>
          </w14:textFill>
        </w:rPr>
        <w:t xml:space="preserve">次定期预防性保养，由原厂工程师或原厂认证合格的工程师根据标准操作流程和测试程序完成。</w:t>
      </w:r>
      <w:bookmarkStart w:id="257" w:name="_Hlk100650363"/>
      <w:r>
        <w:rPr>
          <w:rFonts w:hint="eastAsia" w:ascii="宋体" w:hAnsi="宋体" w:cs="宋体"/>
          <w:color w:val="000000" w:themeColor="text1"/>
          <w:szCs w:val="21"/>
          <w:highlight w:val="none"/>
          <w14:textFill>
            <w14:solidFill>
              <w14:schemeClr w14:val="tx1"/>
            </w14:solidFill>
          </w14:textFill>
        </w:rPr>
        <w:t xml:space="preserve">保修期结束前一个月内，乙方通知甲方并安排最后一次预防性保养。</w:t>
      </w:r>
      <w:bookmarkEnd w:id="257"/>
      <w:r>
        <w:rPr>
          <w:rFonts w:hint="eastAsia" w:ascii="宋体" w:hAnsi="宋体" w:cs="宋体"/>
          <w:color w:val="000000" w:themeColor="text1"/>
          <w:szCs w:val="21"/>
          <w:highlight w:val="none"/>
          <w14:textFill>
            <w14:solidFill>
              <w14:schemeClr w14:val="tx1"/>
            </w14:solidFill>
          </w14:textFill>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如设备发生故障，乙方在接到甲方报修电话后2小时之内响应，24小时内到达甲方现场进行维修（含节假日）。如若乙方在48小时内无法修复故障，为保证甲方工作正常开展，乙方需在合理期限内采取可满足甲方设备使用需求的应急措施（包括但不限于根据甲方需求免费提供备用机、与甲方协商确定应急方案及其他类似措施），否则甲方可自行采取必要的措施，由此产生的风险和费用由乙方承担。如有特殊情况，乙方应立即电话通知甲方不能响应的原因，在获得甲方同意后，才可推迟响应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4.乙方在设备故障维修中，必须免费更换保修范围内的设备备件，并承担维修期间的往返费、人工费、维修所需备件的搬运费、安装调试费以及系统软件升级等一切费用。</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5.乙方承诺：开机率保证为 95%，(一年以 365 个工作日计算)，超过一天保修期顺延三天。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6.保修期内，每次故障维修及保养结束后一周内乙方必须提供维修、保养记录并交甲方医用物资保障处备案登记。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7.乙方工程师至甲方维修设备，必须事先与甲方医用物资保障处取得联系，并与甲方工程师共同完成维修工作，否则引起的一切责任由乙方负责。</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8.乙方维修人员在维修期间必须遵守院方在安全、防盗、停车、周围环境卫生及排放污物的有关规定，否则引起的一切责任由乙方负责。</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六、违约责任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1.自本协议生效之日起，双方应严格依约履行。一方违约，应赔偿由此给其他方造成的损失。</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2.如果乙方没有按照合同规定进行维保服务，每逾期一日，乙方应按合同金额的1%计算，向甲方赔偿等额耗材或配件，但该违约金总额不超过合同总金额的30%。乙方</w:t>
      </w:r>
      <w:bookmarkStart w:id="258" w:name="_Hlk100650392"/>
      <w:r>
        <w:rPr>
          <w:rFonts w:hint="eastAsia" w:ascii="宋体" w:hAnsi="宋体" w:cs="宋体"/>
          <w:color w:val="000000" w:themeColor="text1"/>
          <w:szCs w:val="21"/>
          <w:highlight w:val="none"/>
          <w14:textFill>
            <w14:solidFill>
              <w14:schemeClr w14:val="tx1"/>
            </w14:solidFill>
          </w14:textFill>
        </w:rPr>
        <w:t xml:space="preserve">逾期不进行维保服务</w:t>
      </w:r>
      <w:bookmarkEnd w:id="258"/>
      <w:r>
        <w:rPr>
          <w:rFonts w:hint="eastAsia" w:ascii="宋体" w:hAnsi="宋体" w:cs="宋体"/>
          <w:color w:val="000000" w:themeColor="text1"/>
          <w:szCs w:val="21"/>
          <w:highlight w:val="none"/>
          <w14:textFill>
            <w14:solidFill>
              <w14:schemeClr w14:val="tx1"/>
            </w14:solidFill>
          </w14:textFill>
        </w:rPr>
        <w:t xml:space="preserve">30日以上的，则视乙方不能提供正常维保，甲方有权因此解除本合同。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3.乙方若违反本合同</w:t>
      </w:r>
      <w:bookmarkStart w:id="259" w:name="_Hlk100650478"/>
      <w:r>
        <w:rPr>
          <w:rFonts w:hint="eastAsia" w:ascii="宋体" w:hAnsi="宋体" w:cs="宋体"/>
          <w:color w:val="000000" w:themeColor="text1"/>
          <w:szCs w:val="21"/>
          <w:highlight w:val="none"/>
          <w14:textFill>
            <w14:solidFill>
              <w14:schemeClr w14:val="tx1"/>
            </w14:solidFill>
          </w14:textFill>
        </w:rPr>
        <w:t xml:space="preserve">第五条下相关款项、</w:t>
      </w:r>
      <w:bookmarkEnd w:id="259"/>
      <w:r>
        <w:rPr>
          <w:rFonts w:hint="eastAsia" w:ascii="宋体" w:hAnsi="宋体" w:cs="宋体"/>
          <w:color w:val="000000" w:themeColor="text1"/>
          <w:szCs w:val="21"/>
          <w:highlight w:val="none"/>
          <w14:textFill>
            <w14:solidFill>
              <w14:schemeClr w14:val="tx1"/>
            </w14:solidFill>
          </w14:textFill>
        </w:rPr>
        <w:t xml:space="preserve">第八条与第十一条视为对本合同的重大违约，甲方随时有权书面通知乙方立即解除本合同。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4.因乙方的违约行为给甲方造成损失的（包括所有直接或间接损失），如果违约金不足以补偿该损失的，甲方有权继续要求乙方赔偿甲方所有实际损失，并保留申诉的权利。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5.因乙方故意或重大过失造成甲方财产损失或因乙方产品质量原因造成人员伤亡事件时，乙方应依法处理赔付。</w:t>
      </w:r>
      <w:r/>
    </w:p>
    <w:p>
      <w:pPr>
        <w:spacing w:line="360" w:lineRule="auto"/>
        <w:rPr>
          <w:rFonts w:hint="eastAsia" w:ascii="宋体" w:hAnsi="宋体" w:cs="宋体"/>
          <w:color w:val="000000" w:themeColor="text1"/>
          <w:szCs w:val="21"/>
          <w:highlight w:val="none"/>
          <w14:textFill>
            <w14:solidFill>
              <w14:schemeClr w14:val="tx1"/>
            </w14:solidFill>
          </w14:textFill>
        </w:rPr>
      </w:pPr>
      <w:r/>
      <w:bookmarkStart w:id="260" w:name="_Hlk100650496"/>
      <w:r>
        <w:rPr>
          <w:rFonts w:hint="eastAsia" w:ascii="宋体" w:hAnsi="宋体" w:cs="宋体"/>
          <w:color w:val="000000" w:themeColor="text1"/>
          <w:szCs w:val="21"/>
          <w:highlight w:val="none"/>
          <w14:textFill>
            <w14:solidFill>
              <w14:schemeClr w14:val="tx1"/>
            </w14:solidFill>
          </w14:textFill>
        </w:rPr>
        <w:t xml:space="preserve">七、不可抗力条款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由于甲乙双方在签订本合同时不可</w:t>
      </w:r>
      <w:r>
        <w:rPr>
          <w:rFonts w:hint="eastAsia" w:ascii="宋体" w:hAnsi="宋体" w:cs="宋体"/>
          <w:color w:val="000000" w:themeColor="text1"/>
          <w:szCs w:val="21"/>
          <w:highlight w:val="none"/>
          <w14:textFill>
            <w14:solidFill>
              <w14:schemeClr w14:val="tx1"/>
            </w14:solidFill>
          </w14:textFill>
        </w:rPr>
        <w:t xml:space="preserve">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260"/>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八、廉洁条款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甲乙双方须遵守《南京鼓楼医院物资购销廉洁条例》，条例内容如下：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为进一步加强医疗卫生行风建设，规范医疗卫生机构购销行为，有效防范商业贿赂行为，营造公平交易、诚实守信的购销环境，南京鼓楼医院特制定本条例，以资合同各方共同遵守：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1、合同各方按照《民法典》及购销廉洁条例约定购销药品、医用设备、医用耗材及行政办公物资等。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2、甲方应当严格执行产品购销合同验收、入库制度，对采购产品及发票进行查验，不得违反有关规定进行合同外采购、违价采购或从非规定渠道采购。</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3、甲方严禁接受乙方以任何名义、形式给予的回扣，不得将接受捐赠资助与采购挂钩。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4、甲方严禁利用任何途径和方式，为乙方统计医师个人及临床科室有关产品用量信息，或为乙方统计提供便利。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5、乙方不得以回扣、宴请等方式影响甲方工作人员采购或使用产品的选择权，不得在学术活动中提供旅游、超标准支付食宿费用。</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8、乙方如违反本廉洁条例，一经发现，甲方有权终止购销合同，并向上级主管部门报告。如乙方被列入商业贿赂不良记录，则严格按照国家相关规定处理。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9、本廉洁条例在产品购销过程中，合同各方均需严格遵守。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10、本条例由南京鼓楼医院负责解释。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11、本条例自即日起施行。</w:t>
      </w:r>
      <w:r/>
    </w:p>
    <w:p>
      <w:pPr>
        <w:spacing w:line="360" w:lineRule="auto"/>
        <w:rPr>
          <w:rFonts w:hint="eastAsia" w:ascii="宋体" w:hAnsi="宋体" w:cs="宋体"/>
          <w:color w:val="000000" w:themeColor="text1"/>
          <w:szCs w:val="21"/>
          <w:highlight w:val="none"/>
          <w14:textFill>
            <w14:solidFill>
              <w14:schemeClr w14:val="tx1"/>
            </w14:solidFill>
          </w14:textFill>
        </w:rPr>
      </w:pPr>
      <w:r/>
      <w:bookmarkStart w:id="261" w:name="_Hlk100650549"/>
      <w:r>
        <w:rPr>
          <w:rFonts w:hint="eastAsia" w:ascii="宋体" w:hAnsi="宋体" w:cs="宋体"/>
          <w:color w:val="000000" w:themeColor="text1"/>
          <w:szCs w:val="21"/>
          <w:highlight w:val="none"/>
          <w14:textFill>
            <w14:solidFill>
              <w14:schemeClr w14:val="tx1"/>
            </w14:solidFill>
          </w14:textFill>
        </w:rPr>
        <w:t xml:space="preserve">九、合同的解除条款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本合同第六条下解约事由与法定解约事由出现后，解约方有权提前三个工作日书面通知对方解约，自通知送达之日起，本合同解除。</w:t>
      </w:r>
      <w:bookmarkEnd w:id="261"/>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十、争议解决</w:t>
      </w:r>
      <w:r/>
    </w:p>
    <w:p>
      <w:pPr>
        <w:ind w:firstLine="420"/>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双方应本着友好协商的原则，解决与本合同有关的一切争议。如一方不愿协商或协商开始后30日内无法解决，应提交甲方所在地人民法院裁决。</w:t>
      </w:r>
      <w:r/>
    </w:p>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十一、保密条款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2、双方应确保己方人员遵守本条约定保密义务，否则由此产生的一切后果由违约方承担责任。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3、本条约定在本协议（合同）解除、终止或被认为无效后仍然有效。</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十二、其他条款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262" w:name="_Hlk100650600"/>
      <w:r>
        <w:rPr>
          <w:rFonts w:hint="eastAsia" w:ascii="宋体" w:hAnsi="宋体" w:cs="宋体"/>
          <w:color w:val="000000" w:themeColor="text1"/>
          <w:szCs w:val="21"/>
          <w:highlight w:val="none"/>
          <w14:textFill>
            <w14:solidFill>
              <w14:schemeClr w14:val="tx1"/>
            </w14:solidFill>
          </w14:textFill>
        </w:rPr>
        <w:t xml:space="preserve">1.本项目招标文件、投标文件、合同及其附件、其他承诺为本项目不可分割的组成部分，具有同等法律效力。</w:t>
      </w:r>
      <w:bookmarkEnd w:id="26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2.本合同一式叁份，甲方执贰份，乙方执壹份，经双方签字盖章并加盖骑缝章后生效，未经事宜双方协商解决。</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 </w:t>
      </w:r>
      <w:bookmarkStart w:id="263" w:name="_Hlk100650618"/>
      <w:r>
        <w:rPr>
          <w:rFonts w:hint="eastAsia" w:ascii="宋体" w:hAnsi="宋体" w:cs="宋体"/>
          <w:color w:val="000000" w:themeColor="text1"/>
          <w:szCs w:val="21"/>
          <w:highlight w:val="none"/>
          <w14:textFill>
            <w14:solidFill>
              <w14:schemeClr w14:val="tx1"/>
            </w14:solidFill>
          </w14:textFill>
        </w:rPr>
        <w:t xml:space="preserve">本合同适用的语言文字为汉语文字，本合同适用法律法规为中华人民共和国及其区域内相关法律法规，本合同条款解释语言以中文为准。</w:t>
      </w:r>
      <w:bookmarkEnd w:id="26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4.合同签署地点:南京。</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bl>
      <w:tblPr>
        <w:tblStyle w:val="80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47"/>
        <w:gridCol w:w="4389"/>
      </w:tblGrid>
      <w:tr>
        <w:trPr/>
        <w:tc>
          <w:tcPr>
            <w:tcW w:w="4828" w:type="dxa"/>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甲方：</w:t>
            </w:r>
            <w:r>
              <w:rPr>
                <w:rFonts w:hint="eastAsia" w:ascii="宋体" w:hAnsi="宋体" w:cs="宋体"/>
                <w:b/>
                <w:bCs/>
                <w:color w:val="000000" w:themeColor="text1"/>
                <w:szCs w:val="21"/>
                <w:highlight w:val="none"/>
                <w:u w:val="single"/>
                <w14:textFill>
                  <w14:solidFill>
                    <w14:schemeClr w14:val="tx1"/>
                  </w14:solidFill>
                </w14:textFill>
              </w:rPr>
              <w:t xml:space="preserve">南京鼓楼医院</w:t>
            </w:r>
            <w:r>
              <w:rPr>
                <w:rFonts w:hint="eastAsia" w:ascii="宋体" w:hAnsi="宋体" w:cs="宋体"/>
                <w:b/>
                <w:bCs/>
                <w:color w:val="000000" w:themeColor="text1"/>
                <w:szCs w:val="21"/>
                <w:highlight w:val="none"/>
                <w14:textFill>
                  <w14:solidFill>
                    <w14:schemeClr w14:val="tx1"/>
                  </w14:solidFill>
                </w14:textFill>
              </w:rPr>
              <w:t xml:space="preserve">（盖章）</w:t>
            </w:r>
            <w:r/>
          </w:p>
        </w:tc>
        <w:tc>
          <w:tcPr>
            <w:tcW w:w="4811"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乙方：</w:t>
            </w:r>
            <w:r>
              <w:rPr>
                <w:rFonts w:hint="eastAsia" w:ascii="宋体" w:hAnsi="宋体" w:cs="宋体"/>
                <w:b/>
                <w:bCs/>
                <w:color w:val="000000" w:themeColor="text1"/>
                <w:szCs w:val="21"/>
                <w:highlight w:val="none"/>
                <w:u w:val="single"/>
                <w14:textFill>
                  <w14:solidFill>
                    <w14:schemeClr w14:val="tx1"/>
                  </w14:solidFill>
                </w14:textFill>
              </w:rPr>
              <w:t xml:space="preserve">供应商名称</w:t>
            </w:r>
            <w:r>
              <w:rPr>
                <w:rFonts w:hint="eastAsia" w:ascii="宋体" w:hAnsi="宋体" w:cs="宋体"/>
                <w:b/>
                <w:bCs/>
                <w:color w:val="000000" w:themeColor="text1"/>
                <w:szCs w:val="21"/>
                <w:highlight w:val="none"/>
                <w14:textFill>
                  <w14:solidFill>
                    <w14:schemeClr w14:val="tx1"/>
                  </w14:solidFill>
                </w14:textFill>
              </w:rPr>
              <w:t xml:space="preserve">（盖章）</w:t>
            </w:r>
            <w:r/>
          </w:p>
        </w:tc>
      </w:tr>
      <w:tr>
        <w:trPr/>
        <w:tc>
          <w:tcPr>
            <w:tcW w:w="4828"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地址：</w:t>
            </w:r>
            <w:r>
              <w:rPr>
                <w:rFonts w:hint="eastAsia" w:ascii="宋体" w:hAnsi="宋体" w:cs="宋体"/>
                <w:b/>
                <w:bCs/>
                <w:color w:val="000000" w:themeColor="text1"/>
                <w:szCs w:val="21"/>
                <w:highlight w:val="none"/>
                <w:u w:val="single"/>
                <w14:textFill>
                  <w14:solidFill>
                    <w14:schemeClr w14:val="tx1"/>
                  </w14:solidFill>
                </w14:textFill>
              </w:rPr>
              <w:t xml:space="preserve">南京市中山路321号</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地址：</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邮编：</w:t>
            </w:r>
            <w:r>
              <w:rPr>
                <w:rFonts w:hint="eastAsia" w:ascii="宋体" w:hAnsi="宋体" w:cs="宋体"/>
                <w:b/>
                <w:bCs/>
                <w:color w:val="000000" w:themeColor="text1"/>
                <w:szCs w:val="21"/>
                <w:highlight w:val="none"/>
                <w:u w:val="single"/>
                <w14:textFill>
                  <w14:solidFill>
                    <w14:schemeClr w14:val="tx1"/>
                  </w14:solidFill>
                </w14:textFill>
              </w:rPr>
              <w:t xml:space="preserve">210008</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邮编：</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电话：</w:t>
            </w:r>
            <w:r>
              <w:rPr>
                <w:rFonts w:hint="eastAsia" w:ascii="宋体" w:hAnsi="宋体" w:cs="宋体"/>
                <w:b/>
                <w:bCs/>
                <w:color w:val="000000" w:themeColor="text1"/>
                <w:szCs w:val="21"/>
                <w:highlight w:val="none"/>
                <w:u w:val="single"/>
                <w14:textFill>
                  <w14:solidFill>
                    <w14:schemeClr w14:val="tx1"/>
                  </w14:solidFill>
                </w14:textFill>
              </w:rPr>
              <w:t xml:space="preserve">025-83106666</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传真：</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tabs>
                <w:tab w:val="left" w:pos="420" w:leader="none"/>
              </w:tabs>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法定代表人或授权代表：</w:t>
            </w:r>
            <w:r>
              <w:rPr>
                <w:rFonts w:hint="eastAsia" w:ascii="宋体" w:hAnsi="宋体" w:cs="宋体"/>
                <w:b/>
                <w:bCs/>
                <w:color w:val="000000" w:themeColor="text1"/>
                <w:szCs w:val="21"/>
                <w:highlight w:val="none"/>
                <w:u w:val="single"/>
                <w14:textFill>
                  <w14:solidFill>
                    <w14:schemeClr w14:val="tx1"/>
                  </w14:solidFill>
                </w14:textFill>
              </w:rPr>
              <w:t xml:space="preserve">              </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固定电话：</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分管院领导：</w:t>
            </w:r>
            <w:r>
              <w:rPr>
                <w:rFonts w:hint="eastAsia" w:ascii="宋体" w:hAnsi="宋体" w:cs="宋体"/>
                <w:color w:val="000000" w:themeColor="text1"/>
                <w:szCs w:val="21"/>
                <w:highlight w:val="none"/>
                <w:u w:val="single"/>
                <w14:textFill>
                  <w14:solidFill>
                    <w14:schemeClr w14:val="tx1"/>
                  </w14:solidFill>
                </w14:textFill>
              </w:rPr>
              <w:t xml:space="preserve">                        </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法定代表人：</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医用物资采购中心负责人：</w:t>
            </w:r>
            <w:r>
              <w:rPr>
                <w:rFonts w:hint="eastAsia" w:ascii="宋体" w:hAnsi="宋体" w:cs="宋体"/>
                <w:b/>
                <w:bCs/>
                <w:color w:val="000000" w:themeColor="text1"/>
                <w:szCs w:val="21"/>
                <w:highlight w:val="none"/>
                <w:u w:val="single"/>
                <w14:textFill>
                  <w14:solidFill>
                    <w14:schemeClr w14:val="tx1"/>
                  </w14:solidFill>
                </w14:textFill>
              </w:rPr>
              <w:t xml:space="preserve">            </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授权代表及手机：</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日期：</w:t>
            </w:r>
            <w:r>
              <w:rPr>
                <w:rFonts w:hint="eastAsia" w:ascii="宋体" w:hAnsi="宋体" w:cs="宋体"/>
                <w:b/>
                <w:bCs/>
                <w:color w:val="000000" w:themeColor="text1"/>
                <w:szCs w:val="21"/>
                <w:highlight w:val="none"/>
                <w:u w:val="single"/>
                <w14:textFill>
                  <w14:solidFill>
                    <w14:schemeClr w14:val="tx1"/>
                  </w14:solidFill>
                </w14:textFill>
              </w:rPr>
              <w:t xml:space="preserve">               </w:t>
            </w:r>
            <w:r/>
          </w:p>
        </w:tc>
        <w:tc>
          <w:tcPr>
            <w:tcW w:w="4811"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日期：</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bl>
    <w:p>
      <w:pPr>
        <w:ind w:firstLine="420"/>
        <w:jc w:val="left"/>
        <w:spacing w:line="360" w:lineRule="auto"/>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5"/>
        <w:ind w:firstLine="569"/>
        <w:rPr>
          <w:rFonts w:hint="eastAsia" w:ascii="宋体" w:hAnsi="宋体" w:cs="宋体"/>
          <w:color w:val="000000" w:themeColor="text1"/>
          <w:sz w:val="24"/>
          <w:highlight w:val="none"/>
          <w14:textFill>
            <w14:solidFill>
              <w14:schemeClr w14:val="tx1"/>
            </w14:solidFill>
          </w14:textFill>
        </w:rPr>
      </w:pPr>
      <w:r/>
      <w:bookmarkStart w:id="264" w:name="_Toc91836564"/>
      <w:r/>
      <w:bookmarkStart w:id="265" w:name="_Toc107246271"/>
      <w:r>
        <w:rPr>
          <w:rFonts w:hint="eastAsia" w:ascii="宋体" w:hAnsi="宋体" w:cs="宋体"/>
          <w:color w:val="000000" w:themeColor="text1"/>
          <w:highlight w:val="none"/>
          <w14:textFill>
            <w14:solidFill>
              <w14:schemeClr w14:val="tx1"/>
            </w14:solidFill>
          </w14:textFill>
        </w:rPr>
        <w:t xml:space="preserve">第四章 采购需求</w:t>
      </w:r>
      <w:bookmarkEnd w:id="264"/>
      <w:r/>
      <w:bookmarkEnd w:id="265"/>
      <w:r/>
      <w:r/>
    </w:p>
    <w:p>
      <w:pPr>
        <w:pStyle w:val="766"/>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66" w:name="_Toc262893315"/>
      <w:r/>
      <w:bookmarkStart w:id="267" w:name="_Toc426996356"/>
      <w:r/>
      <w:bookmarkStart w:id="268" w:name="_Hlk93775766"/>
      <w:r>
        <w:rPr>
          <w:rFonts w:hint="eastAsia" w:ascii="宋体" w:hAnsi="宋体" w:eastAsia="宋体" w:cs="宋体"/>
          <w:color w:val="000000" w:themeColor="text1"/>
          <w:sz w:val="24"/>
          <w:szCs w:val="24"/>
          <w:highlight w:val="none"/>
          <w14:textFill>
            <w14:solidFill>
              <w14:schemeClr w14:val="tx1"/>
            </w14:solidFill>
          </w14:textFill>
        </w:rPr>
        <w:t xml:space="preserve">一、服务内容一览表</w:t>
      </w:r>
      <w:r/>
    </w:p>
    <w:tbl>
      <w:tblPr>
        <w:tblStyle w:val="77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87"/>
        <w:gridCol w:w="3251"/>
        <w:gridCol w:w="2094"/>
      </w:tblGrid>
      <w:tr>
        <w:trPr>
          <w:cantSplit/>
          <w:jc w:val="center"/>
          <w:trHeight w:val="219"/>
        </w:trPr>
        <w:tc>
          <w:tcPr>
            <w:tcW w:w="1974" w:type="pct"/>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内容</w:t>
            </w:r>
            <w:r/>
          </w:p>
        </w:tc>
        <w:tc>
          <w:tcPr>
            <w:tcW w:w="1840" w:type="pct"/>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设备型号</w:t>
            </w:r>
            <w:r/>
          </w:p>
        </w:tc>
        <w:tc>
          <w:tcPr>
            <w:tcW w:w="1185" w:type="pct"/>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数量</w:t>
            </w:r>
            <w:r/>
          </w:p>
        </w:tc>
      </w:tr>
      <w:tr>
        <w:trPr>
          <w:cantSplit/>
          <w:jc w:val="center"/>
          <w:trHeight w:val="1082"/>
        </w:trPr>
        <w:tc>
          <w:tcPr>
            <w:tcW w:w="1974" w:type="pct"/>
            <w:vAlign w:val="center"/>
            <w:textDirection w:val="lrTb"/>
            <w:noWrap w:val="false"/>
          </w:tcPr>
          <w:p>
            <w:pPr>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安科锐螺旋断层放射治疗系统维保服务</w:t>
            </w:r>
            <w:r/>
          </w:p>
        </w:tc>
        <w:tc>
          <w:tcPr>
            <w:tcW w:w="1840" w:type="pct"/>
            <w:vAlign w:val="center"/>
            <w:textDirection w:val="lrTb"/>
            <w:noWrap w:val="false"/>
          </w:tcPr>
          <w:p>
            <w:pPr>
              <w:jc w:val="center"/>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H-0000-0003</w:t>
            </w:r>
            <w:r/>
          </w:p>
        </w:tc>
        <w:tc>
          <w:tcPr>
            <w:tcW w:w="1185" w:type="pct"/>
            <w:vAlign w:val="center"/>
            <w:textDirection w:val="lrTb"/>
            <w:noWrap w:val="false"/>
          </w:tcPr>
          <w:p>
            <w:pPr>
              <w:jc w:val="center"/>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1套</w:t>
            </w:r>
            <w:r/>
          </w:p>
        </w:tc>
      </w:tr>
    </w:tbl>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bookmarkEnd w:id="266"/>
      <w:r/>
      <w:bookmarkEnd w:id="267"/>
      <w:r/>
      <w:r/>
    </w:p>
    <w:p>
      <w:pPr>
        <w:pStyle w:val="766"/>
        <w:numPr>
          <w:ilvl w:val="0"/>
          <w:numId w:val="4"/>
        </w:numPr>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设备保修服务范围：螺旋断层放射治疗系统整机全保(含机架系统、治疗床、变频器、治疗操作工作站和状态控制器、TOMO计划工作站、激光定位系统、服务器系统、空压机系统（含第三方空压机）、T0M0配套质控系统等所有功能组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★2、投标人应具有服务团队，不得将本项目授权、分包或转包且相关资质均为投标人自有。维修工程师需为投标人本单位工程师，不得外借或授权。</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、提供免费维修、零配件更换和维修劳务等各种服务，应保证设备达到符合厂家合格标准或相应的国家质量标准的要求。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、提供400或800售后服务热线电话，服务期内无限次维修，提供电话、邮件等技术支持。收到故障报修电话后 2 小时内响应，24 小时内需到达现场进行维修（含节假日）。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、开机率保证为 95%，(一年以 365 个工作日计算)，超过一天保修期顺延三天。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每年为保修设备提供四次维护保养服务（含保养所需更换的易损耗件），服务内容包含：设备的安全检查、影像的质量检查、设备的清洁保养、性能测试及校准、设备的运行状态检查等，并于保养结束后提供详细的保养记录报告或清单。保证为医院服务的工程师均通过正规培训且具有本项目维保设备的维修资质证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7、投标人在南京市内具有常驻维修工程师，提供相关承诺函（格式自拟）；</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设备维修所更换的备件必须为全新备件（进口配件提供相应报关单），跟设备品牌型号匹配和兼容，满足设备运行要求，符合国家质量检测标准。投标人要保障100%备件供应，备件的采购渠道必须符合国家相关法律、法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设备维修结束后需提交维修报告，每年度出具年度维修服务报告。建立设备一机一档专属运维档案，全程记录设备运行数据、故障信息、保养内容、校准报告、备件更换记录，档案纸质+电子双存档，服务期满后完整移交医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因维保范围涉及治疗计划系统维护，投标人至少具备1名经国家卫生计生委颁发的LA物理师证书的专业技术人员，为本院提供治疗计划系统维保技术服务。（提供佐证材料，</w:t>
      </w:r>
      <w:r>
        <w:rPr>
          <w:rFonts w:hint="eastAsia" w:ascii="宋体" w:hAnsi="宋体" w:cs="宋体"/>
          <w:color w:val="000000" w:themeColor="text1"/>
          <w:sz w:val="24"/>
          <w:highlight w:val="none"/>
          <w:lang w:val="en-US" w:eastAsia="zh-CN"/>
          <w14:textFill>
            <w14:solidFill>
              <w14:schemeClr w14:val="tx1"/>
            </w14:solidFill>
          </w14:textFill>
        </w:rPr>
        <w:t xml:space="preserve">包含LA</w:t>
      </w:r>
      <w:r>
        <w:rPr>
          <w:rFonts w:hint="eastAsia" w:ascii="宋体" w:hAnsi="宋体" w:cs="宋体"/>
          <w:color w:val="000000" w:themeColor="text1"/>
          <w:sz w:val="24"/>
          <w:highlight w:val="none"/>
          <w14:textFill>
            <w14:solidFill>
              <w14:schemeClr w14:val="tx1"/>
            </w14:solidFill>
          </w14:textFill>
        </w:rPr>
        <w:t xml:space="preserve">物理师证、社保</w:t>
      </w:r>
      <w:r>
        <w:rPr>
          <w:rFonts w:hint="eastAsia" w:ascii="宋体" w:hAnsi="宋体" w:cs="宋体"/>
          <w:color w:val="000000" w:themeColor="text1"/>
          <w:sz w:val="24"/>
          <w:highlight w:val="none"/>
          <w:lang w:val="en-US" w:eastAsia="zh-CN"/>
          <w14:textFill>
            <w14:solidFill>
              <w14:schemeClr w14:val="tx1"/>
            </w14:solidFill>
          </w14:textFill>
        </w:rPr>
        <w:t xml:space="preserve">证明材料</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、配合医院完成设备放射防护检测、年检、质控督查、上级部门检查等工作，提前排查问题、整理全套质控资料，全程协助迎检。</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、定期对院内</w:t>
      </w:r>
      <w:r>
        <w:rPr>
          <w:rFonts w:hint="eastAsia" w:ascii="宋体" w:hAnsi="宋体" w:cs="宋体"/>
          <w:color w:val="000000" w:themeColor="text1"/>
          <w:sz w:val="24"/>
          <w:highlight w:val="none"/>
          <w:lang w:val="en-US" w:eastAsia="zh-CN"/>
          <w14:textFill>
            <w14:solidFill>
              <w14:schemeClr w14:val="tx1"/>
            </w14:solidFill>
          </w14:textFill>
        </w:rPr>
        <w:t xml:space="preserve">维修工程师、</w:t>
      </w:r>
      <w:r>
        <w:rPr>
          <w:rFonts w:hint="eastAsia" w:ascii="宋体" w:hAnsi="宋体" w:cs="宋体"/>
          <w:color w:val="000000" w:themeColor="text1"/>
          <w:sz w:val="24"/>
          <w:highlight w:val="none"/>
          <w14:textFill>
            <w14:solidFill>
              <w14:schemeClr w14:val="tx1"/>
            </w14:solidFill>
          </w14:textFill>
        </w:rPr>
        <w:t xml:space="preserve">操作技师、物理师开展设备日常操作、简易故障排查、基础日常养护免费培训，每年培训不少于 2 次，并留存培训签到、课件、现场记录。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、对 TOMO 配套 MVCT 影像系统、治疗计划系统、激光定位系统开展后台数据巡检、系统漏洞修复、软件补丁升级，保障软件运行稳定，不影响临床治疗流程。</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、维保期间严格执行医院院感、消防安全、放射安全管理制度，工程师进入机房、治疗室、控制室遵守医院出入管理规定，作业前报备、作业后清理现场。</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、针对设备空压机、水冷机组、散热系统等附属设备开展管路疏通、压力调试、降噪处理、渗漏排查，杜绝漏水、漏气、异响、散热不良等问题。</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、每次维修、保养、校准工作完成后，现场对设备进行空载试运行、模拟治疗测试，确认各项功能、剂量、机械精度、影像指标全部达标后方可交付使用。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、建立备件预警机制，对磁控管、MLC 驱动组件、滤芯、密封件等高损耗部件提前预判使用寿命，主动向医院提交备件更换建议及风险提示。</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、保障 TOMO 设备网络通讯、数据传输、计划导入导出功能正常，定期排查工作站、服务器、交换机等网络节点故障，保障治疗数据安全不外泄。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、服务期内提供7×24 小时远程技术值守，针对软件报错、参数异常、简单联锁故障等问题，优先通过远程方式快速排查处置，减少停机时长。</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“★”标注的服务需求为实质性要求，若不满足按无效响应处理；“▲”标注的服务需求为重要服务要求，若不满足按照评分标准相关规定扣分。</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6"/>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★三、商务要求</w:t>
      </w:r>
      <w:r/>
    </w:p>
    <w:p>
      <w:pPr>
        <w:numPr>
          <w:ilvl w:val="0"/>
          <w:numId w:val="5"/>
        </w:numPr>
        <w:ind w:left="0"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合同履行期限：中标之日起三年。</w:t>
      </w:r>
      <w:r/>
    </w:p>
    <w:p>
      <w:pPr>
        <w:numPr>
          <w:ilvl w:val="0"/>
          <w:numId w:val="5"/>
        </w:numPr>
        <w:ind w:left="0"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服务地点：采购人指定地点</w:t>
      </w:r>
      <w:r/>
    </w:p>
    <w:p>
      <w:pPr>
        <w:numPr>
          <w:ilvl w:val="0"/>
          <w:numId w:val="5"/>
        </w:numPr>
        <w:ind w:left="0"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付款方式：</w:t>
      </w:r>
      <w:r>
        <w:rPr>
          <w:rFonts w:hint="eastAsia"/>
          <w:color w:val="000000" w:themeColor="text1"/>
          <w:highlight w:val="none"/>
          <w14:textFill>
            <w14:solidFill>
              <w14:schemeClr w14:val="tx1"/>
            </w14:solidFill>
          </w14:textFill>
        </w:rPr>
        <w:t xml:space="preserve">合同签订后，中标单位每履行保修服务满6个月，医院收到发票后支付该6个月的保修款；共支付6次，第6次医院收到发票后无息付清余款。</w:t>
      </w:r>
      <w:r/>
    </w:p>
    <w:p>
      <w:pPr>
        <w:numPr>
          <w:ilvl w:val="0"/>
          <w:numId w:val="5"/>
        </w:numPr>
        <w:ind w:left="0"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质保期：中标之日起三年</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68"/>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5"/>
        <w:ind w:firstLine="569"/>
        <w:spacing w:line="480" w:lineRule="auto"/>
        <w:rPr>
          <w:rFonts w:hint="eastAsia" w:ascii="宋体" w:hAnsi="宋体" w:cs="宋体"/>
          <w:color w:val="000000" w:themeColor="text1"/>
          <w:highlight w:val="none"/>
          <w14:textFill>
            <w14:solidFill>
              <w14:schemeClr w14:val="tx1"/>
            </w14:solidFill>
          </w14:textFill>
        </w:rPr>
      </w:pPr>
      <w:r/>
      <w:bookmarkStart w:id="269" w:name="_Toc107246272"/>
      <w:r>
        <w:rPr>
          <w:rFonts w:hint="eastAsia" w:ascii="宋体" w:hAnsi="宋体" w:cs="宋体"/>
          <w:color w:val="000000" w:themeColor="text1"/>
          <w:highlight w:val="none"/>
          <w14:textFill>
            <w14:solidFill>
              <w14:schemeClr w14:val="tx1"/>
            </w14:solidFill>
          </w14:textFill>
        </w:rPr>
        <w:t xml:space="preserve">第五章 评标方法与评标标准</w:t>
      </w:r>
      <w:bookmarkEnd w:id="269"/>
      <w:r/>
      <w:r/>
    </w:p>
    <w:p>
      <w:pPr>
        <w:jc w:val="left"/>
        <w:spacing w:line="360" w:lineRule="auto"/>
        <w:rPr>
          <w:rFonts w:hint="eastAsia" w:ascii="宋体" w:hAnsi="宋体" w:cs="宋体"/>
          <w:bCs/>
          <w:color w:val="000000" w:themeColor="text1"/>
          <w:position w:val="-10"/>
          <w:sz w:val="24"/>
          <w:highlight w:val="none"/>
          <w14:textFill>
            <w14:solidFill>
              <w14:schemeClr w14:val="tx1"/>
            </w14:solidFill>
          </w14:textFill>
        </w:rPr>
      </w:pPr>
      <w:r>
        <w:rPr>
          <w:rFonts w:hint="eastAsia" w:ascii="宋体" w:hAnsi="宋体" w:cs="宋体"/>
          <w:bCs/>
          <w:color w:val="000000" w:themeColor="text1"/>
          <w:position w:val="-10"/>
          <w:sz w:val="24"/>
          <w:highlight w:val="none"/>
          <w14:textFill>
            <w14:solidFill>
              <w14:schemeClr w14:val="tx1"/>
            </w14:solidFill>
          </w14:textFill>
        </w:rPr>
        <w:t xml:space="preserve">一、评标方法</w:t>
      </w:r>
      <w:r/>
    </w:p>
    <w:p>
      <w:pPr>
        <w:ind w:firstLine="420"/>
        <w:jc w:val="left"/>
        <w:spacing w:line="360" w:lineRule="auto"/>
        <w:rPr>
          <w:rFonts w:hint="eastAsia" w:ascii="宋体" w:hAnsi="宋体" w:cs="宋体"/>
          <w:bCs/>
          <w:color w:val="000000" w:themeColor="text1"/>
          <w:position w:val="-10"/>
          <w:sz w:val="24"/>
          <w:highlight w:val="none"/>
          <w14:textFill>
            <w14:solidFill>
              <w14:schemeClr w14:val="tx1"/>
            </w14:solidFill>
          </w14:textFill>
        </w:rPr>
      </w:pPr>
      <w:r>
        <w:rPr>
          <w:rFonts w:hint="eastAsia" w:ascii="宋体" w:hAnsi="宋体" w:cs="宋体"/>
          <w:bCs/>
          <w:color w:val="000000" w:themeColor="text1"/>
          <w:position w:val="-10"/>
          <w:sz w:val="24"/>
          <w:highlight w:val="none"/>
          <w14:textFill>
            <w14:solidFill>
              <w14:schemeClr w14:val="tx1"/>
            </w14:solidFill>
          </w14:textFill>
        </w:rPr>
        <w:t xml:space="preserve">评委会将对确定为实质性响应采购文件要求的投标文件进行评价和比较，评标采用综合评估法。</w:t>
      </w:r>
      <w:r/>
    </w:p>
    <w:p>
      <w:pPr>
        <w:jc w:val="left"/>
        <w:spacing w:line="360" w:lineRule="auto"/>
        <w:rPr>
          <w:rFonts w:hint="eastAsia" w:ascii="宋体" w:hAnsi="宋体" w:cs="宋体"/>
          <w:bCs/>
          <w:color w:val="000000" w:themeColor="text1"/>
          <w:position w:val="-10"/>
          <w:sz w:val="24"/>
          <w:highlight w:val="none"/>
          <w14:textFill>
            <w14:solidFill>
              <w14:schemeClr w14:val="tx1"/>
            </w14:solidFill>
          </w14:textFill>
        </w:rPr>
      </w:pPr>
      <w:r>
        <w:rPr>
          <w:rFonts w:hint="eastAsia" w:ascii="宋体" w:hAnsi="宋体" w:cs="宋体"/>
          <w:bCs/>
          <w:color w:val="000000" w:themeColor="text1"/>
          <w:position w:val="-10"/>
          <w:sz w:val="24"/>
          <w:highlight w:val="none"/>
          <w14:textFill>
            <w14:solidFill>
              <w14:schemeClr w14:val="tx1"/>
            </w14:solidFill>
          </w14:textFill>
        </w:rPr>
        <w:t xml:space="preserve">二、评标标准</w:t>
      </w:r>
      <w:r/>
    </w:p>
    <w:p>
      <w:pPr>
        <w:ind w:firstLine="420"/>
        <w:jc w:val="left"/>
        <w:spacing w:line="360" w:lineRule="auto"/>
        <w:rPr>
          <w:rFonts w:hint="eastAsia" w:ascii="宋体" w:hAnsi="宋体" w:cs="宋体"/>
          <w:bCs/>
          <w:color w:val="000000" w:themeColor="text1"/>
          <w:position w:val="-10"/>
          <w:sz w:val="24"/>
          <w:highlight w:val="none"/>
          <w14:textFill>
            <w14:solidFill>
              <w14:schemeClr w14:val="tx1"/>
            </w14:solidFill>
          </w14:textFill>
        </w:rPr>
      </w:pPr>
      <w:r>
        <w:rPr>
          <w:rFonts w:hint="eastAsia" w:ascii="宋体" w:hAnsi="宋体" w:cs="宋体"/>
          <w:bCs/>
          <w:color w:val="000000" w:themeColor="text1"/>
          <w:position w:val="-10"/>
          <w:sz w:val="24"/>
          <w:highlight w:val="none"/>
          <w14:textFill>
            <w14:solidFill>
              <w14:schemeClr w14:val="tx1"/>
            </w14:solidFill>
          </w14:textFill>
        </w:rPr>
        <w:t xml:space="preserve">本项目采用综合评分法确定中标候选人。评标委员会将按下列评分办法和标准进行评分，总分值为100分。</w:t>
      </w:r>
      <w:r/>
    </w:p>
    <w:tbl>
      <w:tblPr>
        <w:tblStyle w:val="775"/>
        <w:tblpPr w:horzAnchor="page" w:tblpX="1337" w:vertAnchor="text" w:tblpY="305" w:leftFromText="180" w:topFromText="0" w:rightFromText="180" w:bottomFromText="0"/>
        <w:tblW w:w="53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282"/>
        <w:gridCol w:w="6420"/>
        <w:gridCol w:w="1015"/>
      </w:tblGrid>
      <w:tr>
        <w:trPr>
          <w:trHeight w:val="694"/>
        </w:trPr>
        <w:tc>
          <w:tcPr>
            <w:tcW w:w="429" w:type="pct"/>
            <w:vAlign w:val="center"/>
            <w:textDirection w:val="lrTb"/>
            <w:noWrap w:val="false"/>
          </w:tcPr>
          <w:p>
            <w:pPr>
              <w:contextualSpacing/>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672" w:type="pct"/>
            <w:vAlign w:val="center"/>
            <w:textDirection w:val="lrTb"/>
            <w:noWrap w:val="false"/>
          </w:tcPr>
          <w:p>
            <w:pPr>
              <w:contextualSpacing/>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评审因素</w:t>
            </w:r>
            <w:r/>
          </w:p>
        </w:tc>
        <w:tc>
          <w:tcPr>
            <w:tcW w:w="3366" w:type="pct"/>
            <w:vAlign w:val="center"/>
            <w:textDirection w:val="lrTb"/>
            <w:noWrap w:val="false"/>
          </w:tcPr>
          <w:p>
            <w:pPr>
              <w:contextualSpacing/>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评审标准</w:t>
            </w:r>
            <w:r/>
          </w:p>
        </w:tc>
        <w:tc>
          <w:tcPr>
            <w:tcW w:w="532" w:type="pct"/>
            <w:vAlign w:val="center"/>
            <w:textDirection w:val="lrTb"/>
            <w:noWrap w:val="false"/>
          </w:tcPr>
          <w:p>
            <w:pPr>
              <w:contextualSpacing/>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分值</w:t>
            </w:r>
            <w:r/>
          </w:p>
        </w:tc>
      </w:tr>
      <w:tr>
        <w:trPr>
          <w:trHeight w:val="1953"/>
        </w:trPr>
        <w:tc>
          <w:tcPr>
            <w:tcW w:w="429" w:type="pct"/>
            <w:vAlign w:val="center"/>
            <w:textDirection w:val="lrTb"/>
            <w:noWrap w:val="false"/>
          </w:tcPr>
          <w:p>
            <w:pPr>
              <w:numPr>
                <w:ilvl w:val="0"/>
                <w:numId w:val="0"/>
              </w:numPr>
              <w:contextualSpacing/>
              <w:ind w:left="425" w:hanging="425"/>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价格</w:t>
            </w:r>
            <w:r/>
          </w:p>
        </w:tc>
        <w:tc>
          <w:tcPr>
            <w:tcW w:w="3366" w:type="pct"/>
            <w:vAlign w:val="center"/>
            <w:textDirection w:val="lrTb"/>
            <w:noWrap w:val="false"/>
          </w:tcPr>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采用低价优先法计算，即满足采购文件要求且投标报价最低的为评标基准价，其价格分为满分20分。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其他投标人的价格分统一按照下列公式计算:投标报价得分=（评标基准价/投标报价）×20（小数点保留两位）</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20分</w:t>
            </w:r>
            <w:r/>
          </w:p>
        </w:tc>
      </w:tr>
      <w:tr>
        <w:trPr>
          <w:trHeight w:val="3277"/>
        </w:trPr>
        <w:tc>
          <w:tcPr>
            <w:tcW w:w="429" w:type="pct"/>
            <w:vAlign w:val="center"/>
            <w:textDirection w:val="lrTb"/>
            <w:noWrap w:val="false"/>
          </w:tcPr>
          <w:p>
            <w:pPr>
              <w:numPr>
                <w:ilvl w:val="0"/>
                <w:numId w:val="0"/>
              </w:num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p>
        </w:tc>
        <w:tc>
          <w:tcPr>
            <w:tcW w:w="672" w:type="pct"/>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技术要求</w:t>
            </w:r>
            <w:r/>
          </w:p>
        </w:tc>
        <w:tc>
          <w:tcPr>
            <w:shd w:val="clear" w:color="auto" w:fill="ffffff"/>
            <w:tcW w:w="3366" w:type="pct"/>
            <w:vAlign w:val="center"/>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全部满足招标文件第四章采购需求“二、服务要求”的得30分，正偏离不加分，打★号指标为必须满足项，如有负偏离将作为无效报价；打▲号指标，有一项负偏离扣</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共计2项</w:t>
            </w:r>
            <w:r>
              <w:rPr>
                <w:rFonts w:hint="eastAsia" w:ascii="宋体" w:hAnsi="宋体" w:cs="宋体"/>
                <w:color w:val="000000" w:themeColor="text1"/>
                <w:sz w:val="24"/>
                <w:highlight w:val="none"/>
                <w14:textFill>
                  <w14:solidFill>
                    <w14:schemeClr w14:val="tx1"/>
                  </w14:solidFill>
                </w14:textFill>
              </w:rPr>
              <w:t xml:space="preserve">；其他指标，有一项负偏离扣</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lang w:val="en-US" w:eastAsia="zh-CN"/>
                <w14:textFill>
                  <w14:solidFill>
                    <w14:schemeClr w14:val="tx1"/>
                  </w14:solidFill>
                </w14:textFill>
              </w:rPr>
              <w:t xml:space="preserve">共计12项</w:t>
            </w:r>
            <w:r>
              <w:rPr>
                <w:rFonts w:hint="eastAsia" w:ascii="宋体" w:hAnsi="宋体" w:cs="宋体"/>
                <w:color w:val="000000" w:themeColor="text1"/>
                <w:sz w:val="24"/>
                <w:highlight w:val="none"/>
                <w14:textFill>
                  <w14:solidFill>
                    <w14:schemeClr w14:val="tx1"/>
                  </w14:solidFill>
                </w14:textFill>
              </w:rPr>
              <w:t xml:space="preserve">。招标文件第四章采购需求中要求提供证明材料的，须按要求提供相关证明材料，未提供的视为负偏离（为方便评委评审，可用箭头、标红或下划线等进行明显标注）。</w:t>
            </w:r>
            <w:r/>
          </w:p>
        </w:tc>
        <w:tc>
          <w:tcPr>
            <w:tcW w:w="53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分</w:t>
            </w:r>
            <w:r/>
          </w:p>
        </w:tc>
      </w:tr>
      <w:tr>
        <w:trPr>
          <w:trHeight w:val="699"/>
        </w:trPr>
        <w:tc>
          <w:tcPr>
            <w:tcW w:w="429" w:type="pct"/>
            <w:vAlign w:val="center"/>
            <w:textDirection w:val="lrTb"/>
            <w:noWrap w:val="false"/>
          </w:tcPr>
          <w:p>
            <w:pPr>
              <w:numPr>
                <w:ilvl w:val="0"/>
                <w:numId w:val="0"/>
              </w:num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日常维护方案</w:t>
            </w:r>
            <w:r/>
          </w:p>
        </w:tc>
        <w:tc>
          <w:tcPr>
            <w:shd w:val="clear" w:color="auto" w:fill="ffffff"/>
            <w:tcW w:w="3366" w:type="pct"/>
            <w:vAlign w:val="center"/>
            <w:textDirection w:val="lrTb"/>
            <w:noWrap w:val="false"/>
          </w:tcPr>
          <w:p>
            <w:pPr>
              <w:contextualSpacing/>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根据投标人提供针对本项目的日常维护方案进行</w:t>
            </w:r>
            <w:r>
              <w:rPr>
                <w:rFonts w:hint="eastAsia" w:ascii="宋体" w:hAnsi="宋体" w:cs="宋体"/>
                <w:color w:val="000000" w:themeColor="text1"/>
                <w:sz w:val="24"/>
                <w:highlight w:val="none"/>
                <w:lang w:val="en-US" w:eastAsia="zh-CN"/>
                <w14:textFill>
                  <w14:solidFill>
                    <w14:schemeClr w14:val="tx1"/>
                  </w14:solidFill>
                </w14:textFill>
              </w:rPr>
              <w:t xml:space="preserve">逐项</w:t>
            </w:r>
            <w:r>
              <w:rPr>
                <w:rFonts w:ascii="宋体" w:hAnsi="宋体" w:cs="宋体"/>
                <w:color w:val="000000" w:themeColor="text1"/>
                <w:sz w:val="24"/>
                <w:highlight w:val="none"/>
                <w14:textFill>
                  <w14:solidFill>
                    <w14:schemeClr w14:val="tx1"/>
                  </w14:solidFill>
                </w14:textFill>
              </w:rPr>
              <w:t xml:space="preserve">评分（包括维修保养规章制度</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维修保养操作规范、维护保养范围</w:t>
            </w:r>
            <w:r>
              <w:rPr>
                <w:rFonts w:hint="eastAsia" w:ascii="宋体" w:hAnsi="宋体" w:cs="宋体"/>
                <w:color w:val="000000" w:themeColor="text1"/>
                <w:sz w:val="24"/>
                <w:highlight w:val="none"/>
                <w:lang w:eastAsia="zh-CN"/>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维护保养计划）</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每项2分，最多8分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（1）内容全面合理、针对性及操作性强的，得2分；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（2）内容较合理、针对性及操作性较强的，得1分；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（3）内容合理性一般有瑕疵、针对性及操作性一般的，得0.5分；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（4）内容不合理、缺乏针对性及操作性或未提供方案的不得分。</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rPr>
                <w:rFonts w:ascii="宋体" w:hAnsi="宋体" w:cs="宋体"/>
                <w:color w:val="000000" w:themeColor="text1"/>
                <w:sz w:val="24"/>
                <w:highlight w:val="none"/>
                <w14:textFill>
                  <w14:solidFill>
                    <w14:schemeClr w14:val="tx1"/>
                  </w14:solidFill>
                </w14:textFill>
              </w:rPr>
              <w:t xml:space="preserve">分</w:t>
            </w:r>
            <w:r/>
          </w:p>
        </w:tc>
      </w:tr>
      <w:tr>
        <w:trPr>
          <w:trHeight w:val="699"/>
        </w:trPr>
        <w:tc>
          <w:tcPr>
            <w:tcW w:w="429" w:type="pct"/>
            <w:vAlign w:val="center"/>
            <w:textDirection w:val="lrTb"/>
            <w:noWrap w:val="false"/>
          </w:tcPr>
          <w:p>
            <w:pPr>
              <w:numPr>
                <w:ilvl w:val="-1"/>
                <w:numId w:val="0"/>
              </w:numPr>
              <w:contextualSpacing/>
              <w:ind w:left="0" w:firstLine="0"/>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质控与校准服务方案</w:t>
            </w:r>
            <w:r/>
          </w:p>
        </w:tc>
        <w:tc>
          <w:tcPr>
            <w:shd w:val="clear" w:color="auto" w:fill="ffffff"/>
            <w:tcW w:w="3366" w:type="pct"/>
            <w:textDirection w:val="lrTb"/>
            <w:noWrap w:val="false"/>
          </w:tcPr>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根据投标人提供的 TOMO 设备专项质控、精度校准方案进行评分（包含剂量质控</w:t>
            </w:r>
            <w:r>
              <w:rPr>
                <w:rFonts w:hint="eastAsia" w:ascii="宋体" w:hAnsi="宋体" w:cs="宋体"/>
                <w:color w:val="000000" w:themeColor="text1"/>
                <w:sz w:val="24"/>
                <w:highlight w:val="none"/>
                <w:lang w:val="en-US" w:eastAsia="zh-CN"/>
                <w14:textFill>
                  <w14:solidFill>
                    <w14:schemeClr w14:val="tx1"/>
                  </w14:solidFill>
                </w14:textFill>
              </w:rPr>
              <w:t xml:space="preserve">和</w:t>
            </w:r>
            <w:r>
              <w:rPr>
                <w:rFonts w:hint="eastAsia" w:ascii="宋体" w:hAnsi="宋体" w:cs="宋体"/>
                <w:color w:val="000000" w:themeColor="text1"/>
                <w:sz w:val="24"/>
                <w:highlight w:val="none"/>
                <w14:textFill>
                  <w14:solidFill>
                    <w14:schemeClr w14:val="tx1"/>
                  </w14:solidFill>
                </w14:textFill>
              </w:rPr>
              <w:t xml:space="preserve">机械精度校准、MVCT 影像质控、安全联锁校验、年度整体质控计划），每项2分，最多8分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（1）内容全面合理、针对性及操作性强的，得2分；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（2）内容较合理、针对性及操作性较强的，得1分；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（3）内容合理性一般有瑕疵、针对性及操作性一般的，得0.5分；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（4）内容不合理、缺乏针对性及操作性或未提供方案的不得分。</w:t>
            </w:r>
            <w:r/>
          </w:p>
        </w:tc>
        <w:tc>
          <w:tcPr>
            <w:tcW w:w="532" w:type="pct"/>
            <w:vAlign w:val="center"/>
            <w:textDirection w:val="lrTb"/>
            <w:noWrap w:val="false"/>
          </w:tcPr>
          <w:p>
            <w:pPr>
              <w:contextualSpacing/>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8分</w:t>
            </w:r>
            <w:r/>
          </w:p>
        </w:tc>
      </w:tr>
      <w:tr>
        <w:trPr>
          <w:trHeight w:val="699"/>
        </w:trPr>
        <w:tc>
          <w:tcPr>
            <w:tcW w:w="429" w:type="pct"/>
            <w:vAlign w:val="center"/>
            <w:textDirection w:val="lrTb"/>
            <w:noWrap w:val="false"/>
          </w:tcPr>
          <w:p>
            <w:pPr>
              <w:numPr>
                <w:ilvl w:val="0"/>
                <w:numId w:val="0"/>
              </w:num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4.</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人员资质</w:t>
            </w:r>
            <w:r/>
          </w:p>
        </w:tc>
        <w:tc>
          <w:tcPr>
            <w:shd w:val="clear" w:color="auto" w:fill="ffffff"/>
            <w:tcW w:w="3366" w:type="pct"/>
            <w:vAlign w:val="center"/>
            <w:textDirection w:val="lrTb"/>
            <w:noWrap w:val="false"/>
          </w:tcPr>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供应商拟投入本项目人员中具有3年及以上TOMO维修维护经验的，每提供1人得2分，最多得10分。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注：本项须在投标文件中提供①原厂培训证书或其他相关证明材料②投标单位为该工程师缴纳的近半年（2025年11月（含）以来）任意一个月的社保证明材料，未按要求提供的不予认可。</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10分</w:t>
            </w:r>
            <w:r/>
          </w:p>
        </w:tc>
      </w:tr>
      <w:tr>
        <w:trPr>
          <w:trHeight w:val="699"/>
        </w:trPr>
        <w:tc>
          <w:tcPr>
            <w:tcW w:w="429" w:type="pct"/>
            <w:vAlign w:val="center"/>
            <w:textDirection w:val="lrTb"/>
            <w:noWrap w:val="false"/>
          </w:tcPr>
          <w:p>
            <w:pPr>
              <w:numPr>
                <w:ilvl w:val="0"/>
                <w:numId w:val="0"/>
              </w:num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服务响应时间</w:t>
            </w:r>
            <w:r/>
          </w:p>
        </w:tc>
        <w:tc>
          <w:tcPr>
            <w:shd w:val="clear" w:color="auto" w:fill="ffffff"/>
            <w:tcW w:w="3366" w:type="pct"/>
            <w:vAlign w:val="center"/>
            <w:textDirection w:val="lrTb"/>
            <w:noWrap w:val="false"/>
          </w:tcPr>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服务响应时间满足采购文件要求基础上（本项目电话报修首次响应时间≤2小时，工程师到达现场时间≤24小时，配件到达设备现场≤24小时），供应商承诺：</w:t>
            </w:r>
            <w:r/>
          </w:p>
          <w:p>
            <w:pPr>
              <w:numPr>
                <w:ilvl w:val="0"/>
                <w:numId w:val="0"/>
              </w:num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电话报修首次响应时间≤0.5小时，工程师到达现场时间≤6小时，配件到达设备现场≤6小时的，得</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分；</w:t>
            </w:r>
            <w:r/>
          </w:p>
          <w:p>
            <w:pPr>
              <w:numPr>
                <w:ilvl w:val="0"/>
                <w:numId w:val="0"/>
              </w:num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电话报修首次响应时间≤1小时，工程师到达现场时间≤12小时，配件到达设备现场≤12小时的，得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p>
          <w:p>
            <w:pPr>
              <w:numPr>
                <w:ilvl w:val="0"/>
                <w:numId w:val="0"/>
              </w:num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电话报修首次响应时间≤1.5小时，工程师到达现场时间≤18小时，配件到达设备现场≤18小时的，得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w:t>
            </w:r>
            <w:r/>
          </w:p>
          <w:p>
            <w:pPr>
              <w:numPr>
                <w:ilvl w:val="0"/>
                <w:numId w:val="0"/>
              </w:num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未提供承诺或承诺内容不符合得分要求的不得分。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注：本项须在投标文件中提供承诺函，未提供的不得分。</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分</w:t>
            </w:r>
            <w:r/>
          </w:p>
        </w:tc>
      </w:tr>
      <w:tr>
        <w:trPr>
          <w:trHeight w:val="699"/>
        </w:trPr>
        <w:tc>
          <w:tcPr>
            <w:tcW w:w="429" w:type="pct"/>
            <w:vAlign w:val="center"/>
            <w:textDirection w:val="lrTb"/>
            <w:noWrap w:val="false"/>
          </w:tcPr>
          <w:p>
            <w:pPr>
              <w:numPr>
                <w:ilvl w:val="0"/>
                <w:numId w:val="0"/>
              </w:num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履约能力</w:t>
            </w:r>
            <w:r/>
          </w:p>
        </w:tc>
        <w:tc>
          <w:tcPr>
            <w:shd w:val="clear" w:color="auto" w:fill="ffffff"/>
            <w:tcW w:w="3366" w:type="pct"/>
            <w:vAlign w:val="center"/>
            <w:textDirection w:val="lrTb"/>
            <w:noWrap w:val="false"/>
          </w:tcPr>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1、供应商具有全套维修工具，并提供适用于本设备型号的工具清单及相关维修工具图片的，</w:t>
            </w:r>
            <w:r>
              <w:rPr>
                <w:rFonts w:hint="eastAsia" w:ascii="宋体" w:hAnsi="宋体" w:cs="宋体"/>
                <w:color w:val="000000" w:themeColor="text1"/>
                <w:sz w:val="24"/>
                <w:highlight w:val="none"/>
                <w:lang w:val="en-US" w:eastAsia="zh-CN"/>
                <w14:textFill>
                  <w14:solidFill>
                    <w14:schemeClr w14:val="tx1"/>
                  </w14:solidFill>
                </w14:textFill>
              </w:rPr>
              <w:t xml:space="preserve">如：</w:t>
            </w:r>
            <w:r>
              <w:rPr>
                <w:rFonts w:hint="eastAsia" w:ascii="宋体" w:hAnsi="宋体" w:cs="宋体"/>
                <w:color w:val="000000" w:themeColor="text1"/>
                <w:sz w:val="24"/>
                <w:highlight w:val="none"/>
                <w14:textFill>
                  <w14:solidFill>
                    <w14:schemeClr w14:val="tx1"/>
                  </w14:solidFill>
                </w14:textFill>
              </w:rPr>
              <w:t xml:space="preserve">TOMO专用三维剂量扫描水箱</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高精度电离室及剂量测量仪</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激光等中心校准仪（激光准直仪）</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MLC叶片精度检测工装</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精密数显百分表（机械同轴度/位移检测）</w:t>
            </w:r>
            <w:r>
              <w:rPr>
                <w:rFonts w:hint="eastAsia" w:ascii="宋体" w:hAnsi="宋体" w:cs="宋体"/>
                <w:color w:val="000000" w:themeColor="text1"/>
                <w:sz w:val="24"/>
                <w:highlight w:val="none"/>
                <w:lang w:val="en-US" w:eastAsia="zh-CN"/>
                <w14:textFill>
                  <w14:solidFill>
                    <w14:schemeClr w14:val="tx1"/>
                  </w14:solidFill>
                </w14:textFill>
              </w:rPr>
              <w:t xml:space="preserve">等，每提供1个得1分，最多</w:t>
            </w:r>
            <w:r>
              <w:rPr>
                <w:rFonts w:hint="eastAsia" w:ascii="宋体" w:hAnsi="宋体" w:cs="宋体"/>
                <w:color w:val="000000" w:themeColor="text1"/>
                <w:sz w:val="24"/>
                <w:highlight w:val="none"/>
                <w14:textFill>
                  <w14:solidFill>
                    <w14:schemeClr w14:val="tx1"/>
                  </w14:solidFill>
                </w14:textFill>
              </w:rPr>
              <w:t xml:space="preserve">得5分，未提供不得分。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2、供应商维修所用零部件为原厂备件的得5分，须提供承诺函，未按要求提供的不得分。</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10分</w:t>
            </w:r>
            <w:r/>
          </w:p>
        </w:tc>
      </w:tr>
      <w:tr>
        <w:trPr>
          <w:trHeight w:val="1103"/>
        </w:trPr>
        <w:tc>
          <w:tcPr>
            <w:tcW w:w="429" w:type="pct"/>
            <w:vAlign w:val="center"/>
            <w:textDirection w:val="lrTb"/>
            <w:noWrap w:val="false"/>
          </w:tcPr>
          <w:p>
            <w:pPr>
              <w:numPr>
                <w:ilvl w:val="0"/>
                <w:numId w:val="0"/>
              </w:num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7.</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业绩</w:t>
            </w:r>
            <w:r/>
          </w:p>
        </w:tc>
        <w:tc>
          <w:tcPr>
            <w:shd w:val="clear" w:color="auto" w:fill="ffffff"/>
            <w:tcW w:w="3366" w:type="pct"/>
            <w:textDirection w:val="lrTb"/>
            <w:noWrap w:val="false"/>
          </w:tcPr>
          <w:p>
            <w:pPr>
              <w:contextualSpacing/>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自 2023 年 </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 月 1 日（以合同签订时间为准）起，投标人每提供一份与本次维保项目同品牌同型号设备维保业绩的，得 3 分，本项满分 9 分；仅投标人自身业绩计分，关联方、母公司、子公司、合作方等非投标人业绩均不予计分。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注：提供合同复印件，合同须签章完整、签署日期清晰，同时须反映设备品牌、型号等内容。</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9分</w:t>
            </w:r>
            <w:r/>
          </w:p>
        </w:tc>
      </w:tr>
      <w:tr>
        <w:trPr>
          <w:trHeight w:val="592"/>
        </w:trPr>
        <w:tc>
          <w:tcPr>
            <w:tcW w:w="429" w:type="pct"/>
            <w:vAlign w:val="center"/>
            <w:textDirection w:val="lrTb"/>
            <w:noWrap w:val="false"/>
          </w:tcPr>
          <w:p>
            <w:pPr>
              <w:numPr>
                <w:ilvl w:val="0"/>
                <w:numId w:val="0"/>
              </w:numPr>
              <w:contextualSpacing/>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gridSpan w:val="2"/>
            <w:tcW w:w="403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合计</w:t>
            </w:r>
            <w:r/>
          </w:p>
        </w:tc>
        <w:tc>
          <w:tcPr>
            <w:tcW w:w="53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100</w:t>
            </w:r>
            <w:r>
              <w:rPr>
                <w:rFonts w:hint="eastAsia" w:ascii="宋体" w:hAnsi="宋体" w:cs="宋体"/>
                <w:color w:val="000000" w:themeColor="text1"/>
                <w:sz w:val="24"/>
                <w:highlight w:val="none"/>
                <w14:textFill>
                  <w14:solidFill>
                    <w14:schemeClr w14:val="tx1"/>
                  </w14:solidFill>
                </w14:textFill>
              </w:rPr>
              <w:t xml:space="preserve">分</w:t>
            </w:r>
            <w:r/>
          </w:p>
        </w:tc>
      </w:tr>
    </w:tbl>
    <w:p>
      <w:pPr>
        <w:spacing w:line="360" w:lineRule="auto"/>
        <w:rPr>
          <w:rStyle w:val="1042"/>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bookmarkStart w:id="270"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71" w:name="_Toc107246273"/>
      <w:r>
        <w:rPr>
          <w:rFonts w:ascii="宋体" w:hAnsi="宋体" w:cs="宋体"/>
          <w:color w:val="000000" w:themeColor="text1"/>
          <w:highlight w:val="none"/>
          <w14:textFill>
            <w14:solidFill>
              <w14:schemeClr w14:val="tx1"/>
            </w14:solidFill>
          </w14:textFill>
        </w:rPr>
        <w:br w:type="page" w:clear="all"/>
      </w:r>
      <w:r/>
    </w:p>
    <w:p>
      <w:pPr>
        <w:pStyle w:val="805"/>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70"/>
      <w:r>
        <w:rPr>
          <w:rFonts w:hint="eastAsia" w:ascii="宋体" w:hAnsi="宋体" w:cs="宋体"/>
          <w:color w:val="000000" w:themeColor="text1"/>
          <w:highlight w:val="none"/>
          <w14:textFill>
            <w14:solidFill>
              <w14:schemeClr w14:val="tx1"/>
            </w14:solidFill>
          </w14:textFill>
        </w:rPr>
        <w:t xml:space="preserve">投标文件格式</w:t>
      </w:r>
      <w:bookmarkEnd w:id="271"/>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19"/>
        <w:ind w:firstLine="0"/>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100" w:after="100" w:line="360" w:lineRule="auto"/>
        <w:rPr>
          <w:rFonts w:hint="eastAsia" w:ascii="宋体" w:hAnsi="宋体" w:cs="宋体"/>
          <w:color w:val="000000" w:themeColor="text1"/>
          <w:sz w:val="24"/>
          <w:highlight w:val="none"/>
          <w14:textFill>
            <w14:solidFill>
              <w14:schemeClr w14:val="tx1"/>
            </w14:solidFill>
          </w14:textFill>
        </w:rPr>
      </w:pPr>
      <w:r/>
      <w:bookmarkStart w:id="272"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788"/>
        <w:jc w:val="center"/>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788"/>
        <w:jc w:val="center"/>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t xml:space="preserve">南京鼓楼医院</w:t>
      </w:r>
      <w:r/>
    </w:p>
    <w:p>
      <w:pPr>
        <w:pStyle w:val="788"/>
        <w:jc w:val="center"/>
        <w:rPr>
          <w:rFonts w:hint="eastAsia" w:hAnsi="宋体" w:cs="宋体"/>
          <w:b/>
          <w:bCs/>
          <w:color w:val="000000" w:themeColor="text1"/>
          <w:sz w:val="56"/>
          <w:szCs w:val="56"/>
          <w:highlight w:val="none"/>
          <w14:textFill>
            <w14:solidFill>
              <w14:schemeClr w14:val="tx1"/>
            </w14:solidFill>
          </w14:textFill>
        </w:rPr>
      </w:pPr>
      <w:r>
        <w:rPr>
          <w:rFonts w:hint="eastAsia" w:hAnsi="宋体" w:cs="宋体"/>
          <w:b/>
          <w:bCs/>
          <w:color w:val="000000" w:themeColor="text1"/>
          <w:sz w:val="56"/>
          <w:szCs w:val="56"/>
          <w:highlight w:val="none"/>
          <w14:textFill>
            <w14:solidFill>
              <w14:schemeClr w14:val="tx1"/>
            </w14:solidFill>
          </w14:textFill>
        </w:rPr>
        <w:t xml:space="preserve">放疗部TOMO设备保修项目</w:t>
      </w:r>
      <w:r/>
    </w:p>
    <w:p>
      <w:pPr>
        <w:pStyle w:val="788"/>
        <w:jc w:val="center"/>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8"/>
        <w:ind w:firstLine="220"/>
        <w:jc w:val="center"/>
        <w:rPr>
          <w:rFonts w:hint="eastAsia" w:hAnsi="宋体" w:cs="宋体"/>
          <w:b/>
          <w:color w:val="000000" w:themeColor="text1"/>
          <w:sz w:val="84"/>
          <w:szCs w:val="84"/>
          <w:highlight w:val="none"/>
          <w14:textFill>
            <w14:solidFill>
              <w14:schemeClr w14:val="tx1"/>
            </w14:solidFill>
          </w14:textFill>
        </w:rPr>
      </w:pPr>
      <w:r/>
      <w:bookmarkStart w:id="273" w:name="_Toc100905255"/>
      <w:r>
        <w:rPr>
          <w:rFonts w:hint="eastAsia" w:hAnsi="宋体" w:cs="宋体"/>
          <w:b/>
          <w:color w:val="000000" w:themeColor="text1"/>
          <w:sz w:val="84"/>
          <w:szCs w:val="84"/>
          <w:highlight w:val="none"/>
          <w14:textFill>
            <w14:solidFill>
              <w14:schemeClr w14:val="tx1"/>
            </w14:solidFill>
          </w14:textFill>
        </w:rPr>
        <w:t xml:space="preserve">投 标 文 件</w:t>
      </w:r>
      <w:bookmarkEnd w:id="273"/>
      <w:r/>
      <w:r/>
    </w:p>
    <w:p>
      <w:pPr>
        <w:ind w:right="640" w:firstLine="782"/>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right="640" w:firstLine="782"/>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right="-200" w:firstLine="711"/>
        <w:spacing w:line="360" w:lineRule="auto"/>
        <w:rPr>
          <w:rFonts w:hint="eastAsia" w:ascii="宋体" w:hAnsi="宋体" w:eastAsia="宋体" w:cs="宋体"/>
          <w:b/>
          <w:color w:val="000000" w:themeColor="text1"/>
          <w:sz w:val="40"/>
          <w:szCs w:val="40"/>
          <w:highlight w:val="none"/>
          <w:lang w:eastAsia="zh-CN"/>
          <w14:textFill>
            <w14:solidFill>
              <w14:schemeClr w14:val="tx1"/>
            </w14:solidFill>
          </w14:textFill>
        </w:rPr>
      </w:pPr>
      <w:r>
        <w:rPr>
          <w:rFonts w:hint="eastAsia" w:ascii="宋体" w:hAnsi="宋体" w:cs="宋体"/>
          <w:b/>
          <w:color w:val="000000" w:themeColor="text1"/>
          <w:sz w:val="40"/>
          <w:szCs w:val="40"/>
          <w:highlight w:val="none"/>
          <w14:textFill>
            <w14:solidFill>
              <w14:schemeClr w14:val="tx1"/>
            </w14:solidFill>
          </w14:textFill>
        </w:rPr>
        <w:t xml:space="preserve">项目编号：</w:t>
      </w:r>
      <w:r>
        <w:rPr>
          <w:rFonts w:hint="eastAsia" w:ascii="宋体" w:hAnsi="宋体" w:cs="宋体"/>
          <w:b/>
          <w:color w:val="000000" w:themeColor="text1"/>
          <w:sz w:val="40"/>
          <w:szCs w:val="40"/>
          <w:highlight w:val="none"/>
          <w:lang w:eastAsia="zh-CN"/>
          <w14:textFill>
            <w14:solidFill>
              <w14:schemeClr w14:val="tx1"/>
            </w14:solidFill>
          </w14:textFill>
        </w:rPr>
        <w:t xml:space="preserve">JSZC-320100-JITC-G2026-0187</w:t>
      </w:r>
      <w:r/>
    </w:p>
    <w:p>
      <w:pPr>
        <w:pStyle w:val="788"/>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88"/>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88"/>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88"/>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88"/>
        <w:ind w:firstLine="569"/>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788"/>
        <w:ind w:firstLine="569"/>
        <w:jc w:val="center"/>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788"/>
        <w:ind w:firstLine="569"/>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pStyle w:val="788"/>
        <w:ind w:firstLine="496"/>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b/>
          <w:color w:val="000000" w:themeColor="text1"/>
          <w:sz w:val="32"/>
          <w:highlight w:val="none"/>
          <w14:textFill>
            <w14:solidFill>
              <w14:schemeClr w14:val="tx1"/>
            </w14:solidFill>
          </w14:textFill>
        </w:rPr>
        <w:t xml:space="preserve">二O   年  月  日</w:t>
      </w:r>
      <w:r/>
    </w:p>
    <w:p>
      <w:pPr>
        <w:ind w:firstLine="569"/>
        <w:jc w:val="center"/>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sz w:val="32"/>
          <w:highlight w:val="none"/>
          <w14:textFill>
            <w14:solidFill>
              <w14:schemeClr w14:val="tx1"/>
            </w14:solidFill>
          </w14:textFill>
        </w:rPr>
        <w:t xml:space="preserve">目录</w:t>
      </w:r>
      <w:r/>
    </w:p>
    <w:p>
      <w:pPr>
        <w:pStyle w:val="788"/>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一、价格及商务部分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（2）法定代表人（非法人单位负责人）身份证明，格式见附件。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（3）法定代表人授权委托书（适用于法人/非法人），格式见附件。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（5）商务条款偏离表，格式见附件。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（6）投标人具备投标资格的证明文件（如为南京市政府采购项目，按照公告要求提供）：</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（6-1-1）营业执照复印件或自然人的身份证明复印件（或具有同等法律效力的证照），格式见附件。</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（6-1-2）工商变更登记文件（如需），如发生了单位名称等变更的，需提供工商变更登记文件。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（6-2）财务报表等证明文件。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（6-3）具有履行合同所必需的设备和专业技术能力的相关证明材料或承诺函，格式见附件。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（6-4）依法缴纳税收的相关材料，格式见附件。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（6-5）依法缴纳社会保障资金的相关材料，格式见附件。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（6-6）参加政府采购活动前三年内，在经营活动中没有重大违法记录，格式见附件。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（6-7）无不良信用记录承诺函（投标人自行查询适用），格式见附件。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（6-8）招标文件要求的其它实质性资格资信证明文件。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（9）《南京市政府采购供应商信用记录表暨信用承诺书》</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（10）公章授权书（如需），格式见附件。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（11）售后服务条款</w:t>
      </w:r>
      <w:r/>
    </w:p>
    <w:p>
      <w:pPr>
        <w:pStyle w:val="788"/>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二、技术部分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（1）技术条款偏离表</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（2）需求响应方案</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（5）用于本项目人员表</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（6）用于本项目设备</w:t>
      </w:r>
      <w:r/>
    </w:p>
    <w:p>
      <w:pPr>
        <w:pStyle w:val="788"/>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三、其他部分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（1）要求投标人提交的其他文件材料或证明材料</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（2）投标人认为需提供的其他文件或证明材料</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（3）提供符合政府采购政策的证明材料</w:t>
      </w:r>
      <w:r/>
    </w:p>
    <w:p>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72"/>
      <w:r/>
      <w:r/>
    </w:p>
    <w:p>
      <w:pPr>
        <w:pStyle w:val="805"/>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74" w:name="_Toc103848582"/>
      <w:r/>
      <w:bookmarkStart w:id="275" w:name="_Toc107246274"/>
      <w:r/>
      <w:bookmarkStart w:id="276" w:name="_Toc104560897"/>
      <w:r/>
      <w:bookmarkStart w:id="277"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74"/>
      <w:r/>
      <w:bookmarkEnd w:id="275"/>
      <w:r/>
      <w:bookmarkEnd w:id="276"/>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05"/>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78"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77"/>
      <w:r/>
      <w:bookmarkEnd w:id="278"/>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79" w:name="_Toc103848580"/>
      <w:r/>
      <w:bookmarkStart w:id="280"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14:textFill>
            <w14:solidFill>
              <w14:schemeClr w14:val="tx1"/>
            </w14:solidFill>
          </w14:textFill>
        </w:rPr>
        <w:t xml:space="preserve">南京鼓楼医院放疗部TOMO设备保修项目（项目名称）（项目编号：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JSZC-320100-JITC-G2026-0187</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803"/>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803"/>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803"/>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803"/>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03"/>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03"/>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03"/>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03"/>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03"/>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803"/>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03"/>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03"/>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03"/>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03"/>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03"/>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03"/>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03"/>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03"/>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782"/>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5"/>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81" w:name="_Toc103848583"/>
      <w:r/>
      <w:bookmarkStart w:id="282" w:name="_Toc104560898"/>
      <w:r/>
      <w:bookmarkStart w:id="283"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81"/>
      <w:r/>
      <w:bookmarkEnd w:id="282"/>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83"/>
      <w:r/>
      <w:r/>
    </w:p>
    <w:p>
      <w:pPr>
        <w:pStyle w:val="782"/>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782"/>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782"/>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82"/>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82"/>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782"/>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782"/>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82"/>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77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82"/>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82"/>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82"/>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82"/>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82"/>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782"/>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03"/>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5"/>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84" w:name="_Toc103848584"/>
      <w:r/>
      <w:bookmarkStart w:id="285" w:name="_Toc107246277"/>
      <w:r/>
      <w:bookmarkStart w:id="286" w:name="_Toc104560899"/>
      <w:r>
        <w:rPr>
          <w:rFonts w:hint="eastAsia" w:ascii="宋体" w:hAnsi="宋体" w:cs="宋体"/>
          <w:bCs w:val="0"/>
          <w:color w:val="000000" w:themeColor="text1"/>
          <w:sz w:val="24"/>
          <w:szCs w:val="24"/>
          <w:highlight w:val="none"/>
          <w14:textFill>
            <w14:solidFill>
              <w14:schemeClr w14:val="tx1"/>
            </w14:solidFill>
          </w14:textFill>
        </w:rPr>
        <w:t xml:space="preserve">（3）法定代表人授权委托书</w:t>
      </w:r>
      <w:bookmarkEnd w:id="284"/>
      <w:r/>
      <w:bookmarkEnd w:id="285"/>
      <w:r/>
      <w:bookmarkEnd w:id="286"/>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14:textFill>
            <w14:solidFill>
              <w14:schemeClr w14:val="tx1"/>
            </w14:solidFill>
          </w14:textFill>
        </w:rPr>
        <w:t xml:space="preserve">南京鼓楼医院放疗部TOMO设备保修项目（项目名称）（项目编号：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JSZC-320100-JITC-G2026-0187</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803"/>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03"/>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7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82"/>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77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82"/>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03"/>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803"/>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03"/>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87" w:name="_Toc104560895"/>
      <w:r/>
      <w:bookmarkStart w:id="288" w:name="_Toc107246279"/>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05"/>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89" w:name="_Toc103848585"/>
      <w:r/>
      <w:bookmarkStart w:id="290" w:name="_Toc104560900"/>
      <w:r/>
      <w:bookmarkStart w:id="291" w:name="_Toc107246278"/>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9"/>
      <w:r/>
      <w:bookmarkEnd w:id="290"/>
      <w:r/>
      <w:bookmarkEnd w:id="291"/>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14:textFill>
            <w14:solidFill>
              <w14:schemeClr w14:val="tx1"/>
            </w14:solidFill>
          </w14:textFill>
        </w:rPr>
        <w:t xml:space="preserve">南京鼓楼医院放疗部TOMO设备保修项目（项目名称）（项目编号：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JSZC-320100-JITC-G2026-0187</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803"/>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03"/>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7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82"/>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03"/>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77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82"/>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03"/>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05"/>
        <w:numPr>
          <w:ilvl w:val="0"/>
          <w:numId w:val="6"/>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开标一览表</w:t>
      </w:r>
      <w:bookmarkEnd w:id="279"/>
      <w:r/>
      <w:bookmarkEnd w:id="287"/>
      <w:r/>
      <w:bookmarkEnd w:id="288"/>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14:textFill>
            <w14:solidFill>
              <w14:schemeClr w14:val="tx1"/>
            </w14:solidFill>
          </w14:textFill>
        </w:rPr>
        <w:t xml:space="preserve">南京鼓楼医院放疗部TOMO设备保修项目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92"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JSZC-320100-JITC-G2026-0187</w:t>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w:t>
      </w:r>
      <w:r/>
    </w:p>
    <w:tbl>
      <w:tblPr>
        <w:tblStyle w:val="77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305"/>
        </w:trPr>
        <w:tc>
          <w:tcPr>
            <w:shd w:val="clear" w:color="auto" w:fill="auto"/>
            <w:tcW w:w="1406"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投标报价：</w:t>
            </w:r>
            <w:r/>
          </w:p>
        </w:tc>
        <w:tc>
          <w:tcPr>
            <w:shd w:val="clear" w:color="auto" w:fill="auto"/>
            <w:tcW w:w="3593" w:type="pct"/>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     </w:t>
            </w:r>
            <w:r>
              <w:rPr>
                <w:rFonts w:hint="eastAsia" w:ascii="宋体" w:hAnsi="宋体" w:cs="宋体"/>
                <w:color w:val="000000" w:themeColor="text1"/>
                <w:sz w:val="24"/>
                <w:highlight w:val="none"/>
                <w14:textFill>
                  <w14:solidFill>
                    <w14:schemeClr w14:val="tx1"/>
                  </w14:solidFill>
                </w14:textFill>
              </w:rPr>
              <w:t xml:space="preserve">（元/三年）</w:t>
            </w:r>
            <w:r/>
          </w:p>
          <w:p>
            <w:pPr>
              <w:jc w:val="center"/>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大写：     </w:t>
            </w:r>
            <w:r>
              <w:rPr>
                <w:rFonts w:hint="eastAsia" w:ascii="宋体" w:hAnsi="宋体" w:cs="宋体"/>
                <w:color w:val="000000" w:themeColor="text1"/>
                <w:sz w:val="24"/>
                <w:highlight w:val="none"/>
                <w14:textFill>
                  <w14:solidFill>
                    <w14:schemeClr w14:val="tx1"/>
                  </w14:solidFill>
                </w14:textFill>
              </w:rPr>
              <w:t xml:space="preserve">（元/三年）</w:t>
            </w:r>
            <w:r/>
          </w:p>
        </w:tc>
      </w:tr>
      <w:tr>
        <w:trPr>
          <w:jc w:val="center"/>
          <w:trHeight w:val="964"/>
        </w:trPr>
        <w:tc>
          <w:tcPr>
            <w:shd w:val="clear" w:color="auto" w:fill="auto"/>
            <w:tcW w:w="1406"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付款方式：</w:t>
            </w:r>
            <w:r/>
          </w:p>
        </w:tc>
        <w:tc>
          <w:tcPr>
            <w:shd w:val="clear" w:color="auto" w:fill="auto"/>
            <w:tcW w:w="3593"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响应招标文件</w:t>
            </w:r>
            <w:r/>
          </w:p>
        </w:tc>
      </w:tr>
      <w:tr>
        <w:trPr>
          <w:jc w:val="center"/>
          <w:trHeight w:val="964"/>
        </w:trPr>
        <w:tc>
          <w:tcPr>
            <w:shd w:val="clear" w:color="auto" w:fill="auto"/>
            <w:tcW w:w="2484" w:type="dxa"/>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服务地点：</w:t>
            </w:r>
            <w:r/>
          </w:p>
        </w:tc>
        <w:tc>
          <w:tcPr>
            <w:shd w:val="clear" w:color="auto" w:fill="auto"/>
            <w:tcW w:w="3593"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响应招标文件</w:t>
            </w:r>
            <w:r/>
          </w:p>
        </w:tc>
      </w:tr>
      <w:tr>
        <w:trPr>
          <w:jc w:val="center"/>
          <w:trHeight w:val="964"/>
        </w:trPr>
        <w:tc>
          <w:tcPr>
            <w:shd w:val="clear" w:color="auto" w:fill="auto"/>
            <w:tcW w:w="2484" w:type="dxa"/>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服务期：</w:t>
            </w:r>
            <w:r/>
          </w:p>
        </w:tc>
        <w:tc>
          <w:tcPr>
            <w:shd w:val="clear" w:color="auto" w:fill="auto"/>
            <w:tcW w:w="3593"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响应招标文件</w:t>
            </w:r>
            <w:r/>
          </w:p>
        </w:tc>
      </w:tr>
      <w:tr>
        <w:trPr>
          <w:jc w:val="center"/>
          <w:trHeight w:val="1269"/>
        </w:trPr>
        <w:tc>
          <w:tcPr>
            <w:shd w:val="clear" w:color="auto" w:fill="auto"/>
            <w:tcW w:w="1406"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服务承接商属于小微企业</w:t>
            </w:r>
            <w:r/>
          </w:p>
        </w:tc>
        <w:tc>
          <w:tcPr>
            <w:shd w:val="clear" w:color="auto" w:fill="auto"/>
            <w:tcW w:w="3593"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是       </w:t>
            </w:r>
            <w:r>
              <w:rPr>
                <w:rFonts w:hint="eastAsia" w:ascii="宋体" w:hAnsi="宋体"/>
                <w:color w:val="000000" w:themeColor="text1"/>
                <w:szCs w:val="21"/>
                <w:highlight w:val="none"/>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否</w:t>
            </w:r>
            <w:r/>
          </w:p>
        </w:tc>
      </w:tr>
    </w:tbl>
    <w:p>
      <w:pPr>
        <w:ind w:firstLine="422"/>
        <w:spacing w:line="360" w:lineRule="auto"/>
        <w:tabs>
          <w:tab w:val="left" w:pos="6045" w:leader="none"/>
        </w:tabs>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r>
      <w:r/>
    </w:p>
    <w:p>
      <w:pPr>
        <w:ind w:firstLine="422"/>
        <w:spacing w:line="360" w:lineRule="auto"/>
        <w:tabs>
          <w:tab w:val="left" w:pos="6045" w:leader="none"/>
        </w:tabs>
        <w:rPr>
          <w:rFonts w:hint="eastAsia" w:ascii="宋体" w:hAnsi="宋体" w:cs="宋体"/>
          <w:b/>
          <w:color w:val="000000" w:themeColor="text1"/>
          <w:highlight w:val="none"/>
          <w14:textFill>
            <w14:solidFill>
              <w14:schemeClr w14:val="tx1"/>
            </w14:solidFill>
          </w14:textFill>
        </w:rPr>
      </w:pPr>
      <w:r/>
      <w:bookmarkStart w:id="293" w:name="_Toc104560896"/>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Style w:val="1031"/>
          <w:rFonts w:hint="eastAsia" w:hAnsi="宋体"/>
          <w:color w:val="000000" w:themeColor="text1"/>
          <w:highlight w:val="none"/>
          <w14:textFill>
            <w14:solidFill>
              <w14:schemeClr w14:val="tx1"/>
            </w14:solidFill>
          </w14:textFill>
        </w:rPr>
      </w:pPr>
      <w:r>
        <w:rPr>
          <w:rStyle w:val="1031"/>
          <w:rFonts w:hAnsi="宋体"/>
          <w:color w:val="000000" w:themeColor="text1"/>
          <w:highlight w:val="none"/>
          <w14:textFill>
            <w14:solidFill>
              <w14:schemeClr w14:val="tx1"/>
            </w14:solidFill>
          </w14:textFill>
        </w:rPr>
        <w:br w:type="page" w:clear="all"/>
      </w:r>
      <w:bookmarkEnd w:id="292"/>
      <w:r/>
      <w:bookmarkEnd w:id="293"/>
      <w:r/>
      <w:r/>
    </w:p>
    <w:p>
      <w:pPr>
        <w:ind w:firstLine="372"/>
        <w:rPr>
          <w:color w:val="000000" w:themeColor="text1"/>
          <w:highlight w:val="none"/>
          <w14:textFill>
            <w14:solidFill>
              <w14:schemeClr w14:val="tx1"/>
            </w14:solidFill>
          </w14:textFill>
        </w:rPr>
      </w:pPr>
      <w:r/>
      <w:bookmarkStart w:id="294" w:name="_Toc103848586"/>
      <w:r/>
      <w:bookmarkStart w:id="295" w:name="_Toc104560901"/>
      <w:r/>
      <w:bookmarkStart w:id="296" w:name="_Toc107246281"/>
      <w:r/>
      <w:bookmarkStart w:id="297" w:name="_Toc102117319"/>
      <w:r/>
      <w:r/>
    </w:p>
    <w:p>
      <w:pPr>
        <w:pStyle w:val="805"/>
        <w:numPr>
          <w:ilvl w:val="0"/>
          <w:numId w:val="6"/>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分项报价表（如需）</w:t>
      </w:r>
      <w:r/>
    </w:p>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bl>
      <w:tblPr>
        <w:tblStyle w:val="808"/>
        <w:tblW w:w="9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751"/>
        <w:gridCol w:w="2122"/>
        <w:gridCol w:w="964"/>
        <w:gridCol w:w="1575"/>
        <w:gridCol w:w="1172"/>
      </w:tblGrid>
      <w:tr>
        <w:trPr>
          <w:jc w:val="center"/>
        </w:trPr>
        <w:tc>
          <w:tcPr>
            <w:tcW w:w="760"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2751"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项目名称</w:t>
            </w:r>
            <w:r/>
          </w:p>
        </w:tc>
        <w:tc>
          <w:tcPr>
            <w:tcW w:w="2122"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单年度维保费用（元）</w:t>
            </w:r>
            <w:r/>
          </w:p>
        </w:tc>
        <w:tc>
          <w:tcPr>
            <w:tcW w:w="964"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数量（年）</w:t>
            </w:r>
            <w:r/>
          </w:p>
        </w:tc>
        <w:tc>
          <w:tcPr>
            <w:tcW w:w="1575"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小计（元）</w:t>
            </w:r>
            <w:r/>
          </w:p>
        </w:tc>
        <w:tc>
          <w:tcPr>
            <w:tcW w:w="1172"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备注</w:t>
            </w:r>
            <w:r/>
          </w:p>
        </w:tc>
      </w:tr>
      <w:tr>
        <w:trPr>
          <w:jc w:val="center"/>
          <w:trHeight w:val="1022"/>
        </w:trPr>
        <w:tc>
          <w:tcPr>
            <w:tcW w:w="760" w:type="dxa"/>
            <w:vAlign w:val="center"/>
            <w:textDirection w:val="lrTb"/>
            <w:noWrap w:val="false"/>
          </w:tcPr>
          <w:p>
            <w:pPr>
              <w:numPr>
                <w:ilvl w:val="0"/>
                <w:numId w:val="7"/>
              </w:numPr>
              <w:ind w:left="0" w:firstLine="0"/>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W w:w="2751" w:type="dxa"/>
            <w:vAlign w:val="center"/>
            <w:textDirection w:val="lrTb"/>
            <w:noWrap w:val="false"/>
          </w:tcPr>
          <w:p>
            <w:pPr>
              <w:ind w:left="-120" w:firstLine="21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南京鼓楼医院放疗部TOMO设备保修项目</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2"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64"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575"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W w:w="1172"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r>
      <w:tr>
        <w:trPr>
          <w:jc w:val="center"/>
          <w:trHeight w:val="1022"/>
        </w:trPr>
        <w:tc>
          <w:tcPr>
            <w:tcW w:w="760" w:type="dxa"/>
            <w:vAlign w:val="center"/>
            <w:textDirection w:val="lrTb"/>
            <w:noWrap w:val="false"/>
          </w:tcPr>
          <w:p>
            <w:pPr>
              <w:numPr>
                <w:ilvl w:val="0"/>
                <w:numId w:val="7"/>
              </w:numPr>
              <w:ind w:left="0" w:firstLine="0"/>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W w:w="2751"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合计（元）</w:t>
            </w:r>
            <w:r/>
          </w:p>
        </w:tc>
        <w:tc>
          <w:tcPr>
            <w:gridSpan w:val="4"/>
            <w:tcW w:w="5833"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r>
    </w:tbl>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5"/>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（6）商务条款偏离表</w:t>
      </w:r>
      <w:bookmarkEnd w:id="294"/>
      <w:r/>
      <w:bookmarkEnd w:id="295"/>
      <w:r/>
      <w:bookmarkEnd w:id="296"/>
      <w:r/>
      <w:r/>
    </w:p>
    <w:p>
      <w:pPr>
        <w:pStyle w:val="102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项目名称：南京鼓楼医院放疗部TOMO设备保修项目</w:t>
      </w:r>
      <w:r/>
    </w:p>
    <w:p>
      <w:pPr>
        <w:pStyle w:val="1021"/>
        <w:ind w:firstLine="420"/>
        <w:rPr>
          <w:rFonts w:hint="eastAsia" w:hAnsi="宋体" w:eastAsia="宋体" w:cs="宋体"/>
          <w:color w:val="000000" w:themeColor="text1"/>
          <w:sz w:val="21"/>
          <w:szCs w:val="21"/>
          <w:highlight w:val="none"/>
          <w:u w:val="singl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JSZC-320100-JITC-G2026-0187</w:t>
      </w:r>
      <w:r/>
    </w:p>
    <w:tbl>
      <w:tblPr>
        <w:tblStyle w:val="77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71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854" w:type="pct"/>
            <w:textDirection w:val="lrTb"/>
            <w:noWrap w:val="false"/>
          </w:tcPr>
          <w:p>
            <w:pPr>
              <w:pStyle w:val="1021"/>
              <w:ind w:firstLine="0"/>
              <w:jc w:val="center"/>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342"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60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491"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491"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491"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491"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491"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491"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03"/>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03"/>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03"/>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w:t>
      </w:r>
      <w:r/>
    </w:p>
    <w:p>
      <w:pPr>
        <w:pStyle w:val="803"/>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98" w:name="_Toc104560902"/>
      <w:r/>
      <w:bookmarkStart w:id="299" w:name="_Toc10384858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5"/>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300" w:name="_Toc107246282"/>
      <w:r>
        <w:rPr>
          <w:rFonts w:hint="eastAsia" w:ascii="宋体" w:hAnsi="宋体" w:cs="宋体"/>
          <w:bCs w:val="0"/>
          <w:color w:val="000000" w:themeColor="text1"/>
          <w:sz w:val="24"/>
          <w:szCs w:val="24"/>
          <w:highlight w:val="none"/>
          <w14:textFill>
            <w14:solidFill>
              <w14:schemeClr w14:val="tx1"/>
            </w14:solidFill>
          </w14:textFill>
        </w:rPr>
        <w:t xml:space="preserve">（7）投标人具备投标资格的证明文件</w:t>
      </w:r>
      <w:bookmarkEnd w:id="298"/>
      <w:r/>
      <w:bookmarkEnd w:id="299"/>
      <w:r/>
      <w:bookmarkEnd w:id="300"/>
      <w:r/>
      <w:r/>
    </w:p>
    <w:p>
      <w:pPr>
        <w:pStyle w:val="805"/>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301" w:name="_Toc103848588"/>
      <w:r/>
      <w:bookmarkStart w:id="302" w:name="_Toc107246283"/>
      <w:r/>
      <w:bookmarkStart w:id="303" w:name="_Toc104560903"/>
      <w:r>
        <w:rPr>
          <w:rFonts w:hint="eastAsia" w:ascii="宋体" w:hAnsi="宋体" w:cs="宋体"/>
          <w:bCs w:val="0"/>
          <w:color w:val="000000" w:themeColor="text1"/>
          <w:sz w:val="24"/>
          <w:szCs w:val="24"/>
          <w:highlight w:val="none"/>
          <w14:textFill>
            <w14:solidFill>
              <w14:schemeClr w14:val="tx1"/>
            </w14:solidFill>
          </w14:textFill>
        </w:rPr>
        <w:t xml:space="preserve">（7-1-1）营业执照复印件</w:t>
      </w:r>
      <w:bookmarkEnd w:id="297"/>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301"/>
      <w:r/>
      <w:bookmarkEnd w:id="302"/>
      <w:r/>
      <w:bookmarkEnd w:id="303"/>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304" w:name="_Hlk33717720"/>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bookmarkEnd w:id="304"/>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305" w:name="_Toc102117320"/>
      <w:r/>
      <w:bookmarkStart w:id="306" w:name="_Toc103848589"/>
      <w:r>
        <w:rPr>
          <w:rFonts w:hint="eastAsia" w:ascii="宋体" w:hAnsi="宋体" w:cs="宋体"/>
          <w:color w:val="000000" w:themeColor="text1"/>
          <w:highlight w:val="none"/>
          <w14:textFill>
            <w14:solidFill>
              <w14:schemeClr w14:val="tx1"/>
            </w14:solidFill>
          </w14:textFill>
        </w:rPr>
        <w:br w:type="page" w:clear="all"/>
      </w:r>
      <w:bookmarkStart w:id="307" w:name="_Toc107246284"/>
      <w:r/>
      <w:bookmarkStart w:id="308" w:name="_Toc104560904"/>
      <w:r/>
      <w:r/>
    </w:p>
    <w:p>
      <w:pPr>
        <w:pStyle w:val="805"/>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（7-1-2）工商变更登记文件（如需）</w:t>
      </w:r>
      <w:bookmarkEnd w:id="305"/>
      <w:r/>
      <w:bookmarkEnd w:id="306"/>
      <w:r/>
      <w:bookmarkEnd w:id="307"/>
      <w:r/>
      <w:bookmarkEnd w:id="308"/>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9" w:name="_Toc104560905"/>
      <w:r/>
      <w:bookmarkStart w:id="310" w:name="_Toc102117321"/>
      <w:r/>
      <w:bookmarkStart w:id="311" w:name="_Toc107246285"/>
      <w:r/>
      <w:bookmarkStart w:id="312" w:name="_Toc103848590"/>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号）的规定，适用信用承诺的供应商，对于下列7-2至7-6款证明材料可使用《南京市政府采购供应商信用记录表暨信用承诺书》替代。</w:t>
      </w:r>
      <w:r/>
    </w:p>
    <w:p>
      <w:pPr>
        <w:pStyle w:val="805"/>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（7-2）财务报表</w:t>
      </w:r>
      <w:bookmarkEnd w:id="309"/>
      <w:r/>
      <w:bookmarkEnd w:id="310"/>
      <w:r/>
      <w:bookmarkEnd w:id="311"/>
      <w:r/>
      <w:bookmarkEnd w:id="312"/>
      <w:r>
        <w:rPr>
          <w:rFonts w:hint="eastAsia" w:ascii="宋体" w:hAnsi="宋体" w:cs="宋体"/>
          <w:bCs w:val="0"/>
          <w:color w:val="000000" w:themeColor="text1"/>
          <w:sz w:val="24"/>
          <w:szCs w:val="24"/>
          <w:highlight w:val="none"/>
          <w14:textFill>
            <w14:solidFill>
              <w14:schemeClr w14:val="tx1"/>
            </w14:solidFill>
          </w14:textFill>
        </w:rPr>
        <w:t xml:space="preserve">等证明文件</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bookmarkStart w:id="313" w:name="_Toc103848593"/>
      <w:r/>
      <w:bookmarkStart w:id="314" w:name="_Toc102117322"/>
      <w:r/>
      <w:bookmarkStart w:id="315" w:name="_Toc104560908"/>
      <w:r>
        <w:rPr>
          <w:rFonts w:hint="eastAsia" w:ascii="宋体" w:hAnsi="宋体" w:cs="宋体"/>
          <w:b/>
          <w:color w:val="000000" w:themeColor="text1"/>
          <w:szCs w:val="21"/>
          <w:highlight w:val="none"/>
          <w14:textFill>
            <w14:solidFill>
              <w14:schemeClr w14:val="tx1"/>
            </w14:solidFill>
          </w14:textFill>
        </w:rPr>
        <w:t xml:space="preserve">具有良好的商业信誉和健全的财务会计制度，投标人提供《南京市政府采购供应商信用记录表暨信用承诺书》；</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其中不适用信用承诺的情形:</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2）被相关监督部门作出行政处罚且尚处在处罚有效期内；</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在“信用中国”网站(www.creditchina.gov.cn)查询，无被列入失信被执行人、重大税收违法失信主体、政府采购严重失信行为记录名单及其他不符合《中华人民共和国政府采购法》第二十二条规定条件的信用记录。该项评标现场通过网站核查；</w:t>
      </w:r>
      <w:r/>
    </w:p>
    <w:p>
      <w:pPr>
        <w:pStyle w:val="805"/>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316" w:name="_Toc107246286"/>
      <w:r>
        <w:rPr>
          <w:rFonts w:hint="eastAsia" w:ascii="宋体" w:hAnsi="宋体" w:cs="宋体"/>
          <w:bCs w:val="0"/>
          <w:color w:val="000000" w:themeColor="text1"/>
          <w:sz w:val="24"/>
          <w:szCs w:val="24"/>
          <w:highlight w:val="none"/>
          <w14:textFill>
            <w14:solidFill>
              <w14:schemeClr w14:val="tx1"/>
            </w14:solidFill>
          </w14:textFill>
        </w:rPr>
        <w:t xml:space="preserve">（7-3）</w:t>
      </w:r>
      <w:bookmarkEnd w:id="313"/>
      <w:r/>
      <w:bookmarkEnd w:id="314"/>
      <w:r/>
      <w:bookmarkEnd w:id="315"/>
      <w:r/>
      <w:bookmarkEnd w:id="316"/>
      <w:r>
        <w:rPr>
          <w:rFonts w:hint="eastAsia" w:ascii="宋体" w:hAnsi="宋体" w:cs="宋体"/>
          <w:bCs w:val="0"/>
          <w:color w:val="000000" w:themeColor="text1"/>
          <w:sz w:val="24"/>
          <w:szCs w:val="24"/>
          <w:highlight w:val="none"/>
          <w14:textFill>
            <w14:solidFill>
              <w14:schemeClr w14:val="tx1"/>
            </w14:solidFill>
          </w14:textFill>
        </w:rPr>
        <w:t xml:space="preserve">具有良好的商业信誉和健全的财务会计制度，提供上年度财务报表复印件（即2024年度财务报表或2025年度财务报表，如为新成立的公司，应提供公司成立之后的财务报表）或投标截止时间前3个月内，由其基本开户银行出具的资信证明；</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5"/>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（7-4）具有履行合同所必需的设备和专业技术能力，投标人提供具备履行合同所必需的设备和专业技术能力的书面声明（由供应商根据项目需求提供材料）；</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5"/>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5"/>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05"/>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17" w:name="_Toc103848591"/>
      <w:r/>
      <w:bookmarkStart w:id="318"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9" w:name="_Toc107246287"/>
      <w:r/>
      <w:bookmarkStart w:id="320" w:name="_Toc104560906"/>
      <w:r>
        <w:rPr>
          <w:rFonts w:hint="eastAsia" w:ascii="宋体" w:hAnsi="宋体" w:cs="宋体"/>
          <w:bCs w:val="0"/>
          <w:color w:val="000000" w:themeColor="text1"/>
          <w:sz w:val="24"/>
          <w:szCs w:val="24"/>
          <w:highlight w:val="none"/>
          <w14:textFill>
            <w14:solidFill>
              <w14:schemeClr w14:val="tx1"/>
            </w14:solidFill>
          </w14:textFill>
        </w:rPr>
        <w:t xml:space="preserve">（7-5）有依法缴纳税收和社会保障资金的良好记录的相关材料</w:t>
      </w:r>
      <w:bookmarkEnd w:id="317"/>
      <w:r/>
      <w:bookmarkEnd w:id="318"/>
      <w:r/>
      <w:bookmarkEnd w:id="319"/>
      <w:r/>
      <w:bookmarkEnd w:id="320"/>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pStyle w:val="805"/>
        <w:ind w:firstLine="566"/>
        <w:spacing w:line="240" w:lineRule="atLeast"/>
        <w:rPr>
          <w:rFonts w:hint="eastAsia" w:ascii="宋体" w:hAnsi="宋体" w:cs="宋体"/>
          <w:b w:val="0"/>
          <w:color w:val="000000" w:themeColor="text1"/>
          <w:sz w:val="24"/>
          <w:highlight w:val="none"/>
          <w14:textFill>
            <w14:solidFill>
              <w14:schemeClr w14:val="tx1"/>
            </w14:solidFill>
          </w14:textFill>
        </w:rPr>
      </w:pPr>
      <w:r>
        <w:rPr>
          <w:rFonts w:hint="eastAsia" w:ascii="宋体" w:hAnsi="宋体" w:cs="宋体"/>
          <w:b w:val="0"/>
          <w:color w:val="000000" w:themeColor="text1"/>
          <w:sz w:val="24"/>
          <w:highlight w:val="none"/>
          <w14:textFill>
            <w14:solidFill>
              <w14:schemeClr w14:val="tx1"/>
            </w14:solidFill>
          </w14:textFill>
        </w:rPr>
        <w:br w:type="page" w:clear="all"/>
      </w:r>
      <w:bookmarkStart w:id="321" w:name="_Toc104560909"/>
      <w:r/>
      <w:bookmarkStart w:id="322" w:name="_Toc103848594"/>
      <w:r/>
      <w:bookmarkStart w:id="323" w:name="_Toc107246289"/>
      <w:r/>
      <w:bookmarkStart w:id="324" w:name="_Toc102117325"/>
      <w:r>
        <w:rPr>
          <w:rFonts w:hint="eastAsia" w:ascii="宋体" w:hAnsi="宋体" w:cs="宋体"/>
          <w:bCs w:val="0"/>
          <w:color w:val="000000" w:themeColor="text1"/>
          <w:sz w:val="24"/>
          <w:szCs w:val="24"/>
          <w:highlight w:val="none"/>
          <w14:textFill>
            <w14:solidFill>
              <w14:schemeClr w14:val="tx1"/>
            </w14:solidFill>
          </w14:textFill>
        </w:rPr>
        <w:t xml:space="preserve">（7-6）没有重大违法记录的书面声明</w:t>
      </w:r>
      <w:bookmarkEnd w:id="321"/>
      <w:r/>
      <w:bookmarkEnd w:id="322"/>
      <w:r/>
      <w:bookmarkEnd w:id="323"/>
      <w:r/>
      <w:bookmarkEnd w:id="324"/>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05"/>
        <w:ind w:firstLine="566"/>
        <w:spacing w:line="240" w:lineRule="atLeast"/>
        <w:rPr>
          <w:rFonts w:hint="eastAsia" w:ascii="宋体" w:hAnsi="宋体" w:cs="宋体"/>
          <w:b w:val="0"/>
          <w:color w:val="000000" w:themeColor="text1"/>
          <w:highlight w:val="none"/>
          <w14:textFill>
            <w14:solidFill>
              <w14:schemeClr w14:val="tx1"/>
            </w14:solidFill>
          </w14:textFill>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25" w:name="_Toc104560910"/>
      <w:r/>
      <w:bookmarkStart w:id="326" w:name="_Toc107246290"/>
      <w:r/>
      <w:r/>
    </w:p>
    <w:p>
      <w:pPr>
        <w:pStyle w:val="805"/>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（7-7） 信用中国查询</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5"/>
        <w:ind w:firstLine="426"/>
        <w:spacing w:line="240" w:lineRule="atLeast"/>
        <w:rPr>
          <w:rFonts w:hint="eastAsia" w:ascii="宋体" w:hAnsi="宋体" w:cs="宋体"/>
          <w:bCs w:val="0"/>
          <w:color w:val="000000" w:themeColor="text1"/>
          <w:sz w:val="24"/>
          <w:szCs w:val="24"/>
          <w:highlight w:val="none"/>
          <w:lang w:val="en-US" w:eastAsia="zh-CN"/>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 </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特定资格条件</w:t>
      </w:r>
      <w:r/>
    </w:p>
    <w:p>
      <w:pPr>
        <w:ind w:firstLine="420"/>
        <w:rPr>
          <w:rFonts w:hint="default"/>
          <w:color w:val="000000" w:themeColor="text1"/>
          <w:highlight w:val="none"/>
          <w:lang w:val="en-US" w:eastAsia="zh-CN"/>
          <w14:textFill>
            <w14:solidFill>
              <w14:schemeClr w14:val="tx1"/>
            </w14:solidFill>
          </w14:textFill>
        </w:rPr>
      </w:pPr>
      <w:r>
        <w:rPr>
          <w:rFonts w:hint="default" w:ascii="宋体" w:hAnsi="宋体" w:cs="宋体"/>
          <w:color w:val="000000" w:themeColor="text1"/>
          <w:highlight w:val="none"/>
          <w:lang w:val="en-US" w:eastAsia="zh-CN"/>
          <w14:textFill>
            <w14:solidFill>
              <w14:schemeClr w14:val="tx1"/>
            </w14:solidFill>
          </w14:textFill>
        </w:rPr>
        <w:t xml:space="preserve">供应商需</w:t>
      </w:r>
      <w:r>
        <w:rPr>
          <w:rFonts w:hint="eastAsia" w:ascii="宋体" w:hAnsi="宋体" w:cs="宋体"/>
          <w:color w:val="000000" w:themeColor="text1"/>
          <w:highlight w:val="none"/>
          <w:lang w:val="en-US" w:eastAsia="zh-CN"/>
          <w14:textFill>
            <w14:solidFill>
              <w14:schemeClr w14:val="tx1"/>
            </w14:solidFill>
          </w14:textFill>
        </w:rPr>
        <w:t xml:space="preserve">提供</w:t>
      </w:r>
      <w:r>
        <w:rPr>
          <w:rFonts w:hint="default" w:ascii="宋体" w:hAnsi="宋体" w:cs="宋体"/>
          <w:color w:val="000000" w:themeColor="text1"/>
          <w:highlight w:val="none"/>
          <w:lang w:val="en-US" w:eastAsia="zh-CN"/>
          <w14:textFill>
            <w14:solidFill>
              <w14:schemeClr w14:val="tx1"/>
            </w14:solidFill>
          </w14:textFill>
        </w:rPr>
        <w:t xml:space="preserve">国家生态环境部门颁发的有效的辐射安全许可证，且种类和范围包括使用II类放射线装置</w:t>
      </w:r>
      <w:r>
        <w:rPr>
          <w:rFonts w:hint="eastAsia" w:ascii="宋体" w:hAnsi="宋体" w:cs="宋体"/>
          <w:color w:val="000000" w:themeColor="text1"/>
          <w:highlight w:val="none"/>
          <w:lang w:val="en-US" w:eastAsia="zh-CN"/>
          <w14:textFill>
            <w14:solidFill>
              <w14:schemeClr w14:val="tx1"/>
            </w14:solidFill>
          </w14:textFill>
        </w:rPr>
        <w:t xml:space="preserve">。</w:t>
      </w:r>
      <w:r/>
    </w:p>
    <w:p>
      <w:pPr>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r>
      <w:r/>
    </w:p>
    <w:p>
      <w:pPr>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r/>
    </w:p>
    <w:p>
      <w:pPr>
        <w:pStyle w:val="805"/>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val="0"/>
          <w:color w:val="000000" w:themeColor="text1"/>
          <w:sz w:val="24"/>
          <w:szCs w:val="24"/>
          <w:highlight w:val="none"/>
          <w14:textFill>
            <w14:solidFill>
              <w14:schemeClr w14:val="tx1"/>
            </w14:solidFill>
          </w14:textFill>
        </w:rPr>
        <w:t xml:space="preserve">）承诺函</w:t>
      </w:r>
      <w:bookmarkEnd w:id="325"/>
      <w:r/>
      <w:bookmarkEnd w:id="326"/>
      <w:r/>
      <w:r/>
    </w:p>
    <w:p>
      <w:pPr>
        <w:pStyle w:val="102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02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2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2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2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02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02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2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02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2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2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bookmarkStart w:id="327" w:name="_Toc102117326"/>
      <w:r/>
      <w:bookmarkStart w:id="328" w:name="_Toc103848596"/>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805"/>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9" w:name="_Toc107246291"/>
      <w:r/>
      <w:bookmarkStart w:id="330" w:name="_Toc104560911"/>
      <w:r>
        <w:rPr>
          <w:rFonts w:hint="eastAsia" w:ascii="宋体" w:hAnsi="宋体" w:cs="宋体"/>
          <w:bCs w:val="0"/>
          <w:color w:val="000000" w:themeColor="text1"/>
          <w:sz w:val="24"/>
          <w:szCs w:val="24"/>
          <w:highlight w:val="none"/>
          <w14:textFill>
            <w14:solidFill>
              <w14:schemeClr w14:val="tx1"/>
            </w14:solidFill>
          </w14:textFill>
        </w:rPr>
        <w:t xml:space="preserve">（7-</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val="0"/>
          <w:color w:val="000000" w:themeColor="text1"/>
          <w:sz w:val="24"/>
          <w:szCs w:val="24"/>
          <w:highlight w:val="none"/>
          <w14:textFill>
            <w14:solidFill>
              <w14:schemeClr w14:val="tx1"/>
            </w14:solidFill>
          </w14:textFill>
        </w:rPr>
        <w:t xml:space="preserve">）</w:t>
      </w:r>
      <w:bookmarkEnd w:id="327"/>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9"/>
      <w:r/>
      <w:bookmarkEnd w:id="330"/>
      <w:r/>
      <w:r/>
    </w:p>
    <w:p>
      <w:pPr>
        <w:ind w:firstLine="372"/>
        <w:rPr>
          <w:rFonts w:hint="eastAsia" w:ascii="宋体" w:hAnsi="宋体" w:cs="宋体"/>
          <w:b/>
          <w:bCs/>
          <w:color w:val="000000" w:themeColor="text1"/>
          <w:highlight w:val="none"/>
          <w14:textFill>
            <w14:solidFill>
              <w14:schemeClr w14:val="tx1"/>
            </w14:solidFill>
          </w14:textFill>
        </w:rPr>
      </w:pPr>
      <w:r/>
      <w:bookmarkStart w:id="331" w:name="_Toc107246292"/>
      <w:r>
        <w:rPr>
          <w:rFonts w:hint="eastAsia" w:ascii="宋体" w:hAnsi="宋体" w:cs="宋体"/>
          <w:b/>
          <w:bCs/>
          <w:color w:val="000000" w:themeColor="text1"/>
          <w:highlight w:val="none"/>
          <w14:textFill>
            <w14:solidFill>
              <w14:schemeClr w14:val="tx1"/>
            </w14:solidFill>
          </w14:textFill>
        </w:rPr>
        <w:t xml:space="preserve">无。</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331"/>
      <w:r/>
      <w:bookmarkStart w:id="332" w:name="_Toc104560912"/>
      <w:r/>
      <w:bookmarkStart w:id="333" w:name="_Toc107246293"/>
      <w:r/>
      <w:r/>
    </w:p>
    <w:p>
      <w:pPr>
        <w:pStyle w:val="805"/>
        <w:ind w:firstLine="426"/>
        <w:jc w:val="left"/>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（8）《南京市政府采购供应商信用记录表暨信用承诺书》</w:t>
      </w:r>
      <w:r/>
    </w:p>
    <w:p>
      <w:pPr>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76"/>
        <w:ind w:left="1240"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79"/>
        <w:jc w:val="center"/>
        <w:spacing w:line="500" w:lineRule="exact"/>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南京市政府采购供应商信用记录表</w:t>
      </w:r>
      <w:r/>
    </w:p>
    <w:p>
      <w:pPr>
        <w:ind w:firstLine="779"/>
        <w:jc w:val="center"/>
        <w:spacing w:line="500" w:lineRule="exac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暨信用承诺书（格式）</w:t>
      </w:r>
      <w:r/>
    </w:p>
    <w:p>
      <w:pPr>
        <w:ind w:firstLine="372"/>
        <w:jc w:val="right"/>
        <w:spacing w:line="5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bl>
      <w:tblPr>
        <w:tblStyle w:val="775"/>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val="false"/>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单位名称</w:t>
            </w:r>
            <w:r/>
          </w:p>
        </w:tc>
        <w:tc>
          <w:tcPr>
            <w:tcW w:w="3402" w:type="dxa"/>
            <w:textDirection w:val="lrTb"/>
            <w:noWrap w:val="false"/>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val="false"/>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统一社会信用代码</w:t>
            </w:r>
            <w:r/>
          </w:p>
        </w:tc>
        <w:tc>
          <w:tcPr>
            <w:tcW w:w="1937" w:type="dxa"/>
            <w:textDirection w:val="lrTb"/>
            <w:noWrap w:val="false"/>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val="false"/>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w:t>
            </w:r>
            <w:r/>
          </w:p>
        </w:tc>
        <w:tc>
          <w:tcPr>
            <w:tcW w:w="3402" w:type="dxa"/>
            <w:textDirection w:val="lrTb"/>
            <w:noWrap w:val="false"/>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val="false"/>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联系人</w:t>
            </w:r>
            <w:r/>
          </w:p>
        </w:tc>
        <w:tc>
          <w:tcPr>
            <w:tcW w:w="1937" w:type="dxa"/>
            <w:textDirection w:val="lrTb"/>
            <w:noWrap w:val="false"/>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val="false"/>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联系地址 </w:t>
            </w:r>
            <w:r/>
          </w:p>
        </w:tc>
        <w:tc>
          <w:tcPr>
            <w:tcW w:w="3402" w:type="dxa"/>
            <w:textDirection w:val="lrTb"/>
            <w:noWrap w:val="false"/>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val="false"/>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联系电话</w:t>
            </w:r>
            <w:r/>
          </w:p>
        </w:tc>
        <w:tc>
          <w:tcPr>
            <w:tcW w:w="1937" w:type="dxa"/>
            <w:textDirection w:val="lrTb"/>
            <w:noWrap w:val="false"/>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val="false"/>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信用得分</w:t>
            </w:r>
            <w:r/>
          </w:p>
        </w:tc>
        <w:tc>
          <w:tcPr>
            <w:tcW w:w="3402" w:type="dxa"/>
            <w:textDirection w:val="lrTb"/>
            <w:noWrap w:val="false"/>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val="false"/>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星级</w:t>
            </w:r>
            <w:r/>
          </w:p>
        </w:tc>
        <w:tc>
          <w:tcPr>
            <w:tcW w:w="1937" w:type="dxa"/>
            <w:textDirection w:val="lrTb"/>
            <w:noWrap w:val="false"/>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1024"/>
        </w:trPr>
        <w:tc>
          <w:tcPr>
            <w:tcW w:w="1668" w:type="dxa"/>
            <w:textDirection w:val="lrTb"/>
            <w:noWrap w:val="false"/>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诚信档案记录情况</w:t>
            </w:r>
            <w:r/>
          </w:p>
        </w:tc>
        <w:tc>
          <w:tcPr>
            <w:gridSpan w:val="3"/>
            <w:tcW w:w="7323" w:type="dxa"/>
            <w:textDirection w:val="lrTb"/>
            <w:noWrap w:val="false"/>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5318"/>
        </w:trPr>
        <w:tc>
          <w:tcPr>
            <w:tcW w:w="1668" w:type="dxa"/>
            <w:textDirection w:val="lrTb"/>
            <w:noWrap w:val="false"/>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信用承诺</w:t>
            </w:r>
            <w:r/>
          </w:p>
        </w:tc>
        <w:tc>
          <w:tcPr>
            <w:gridSpan w:val="3"/>
            <w:tcW w:w="7323" w:type="dxa"/>
            <w:textDirection w:val="lrTb"/>
            <w:noWrap w:val="false"/>
          </w:tcPr>
          <w:p>
            <w:pPr>
              <w:ind w:firstLine="420"/>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我公司自愿参加江苏省招标中心有限公司组织的本次采购活动，严格遵守《中华人民共和国</w:t>
            </w:r>
            <w:r>
              <w:rPr>
                <w:rFonts w:hint="eastAsia" w:ascii="宋体" w:hAnsi="宋体" w:cs="宋体"/>
                <w:color w:val="000000" w:themeColor="text1"/>
                <w:highlight w:val="none"/>
                <w14:textFill>
                  <w14:solidFill>
                    <w14:schemeClr w14:val="tx1"/>
                  </w14:solidFill>
                </w14:textFill>
              </w:rPr>
              <w:t xml:space="preserve">政府采购法</w:t>
            </w:r>
            <w:r>
              <w:rPr>
                <w:rFonts w:hint="eastAsia" w:ascii="宋体" w:hAnsi="宋体" w:cs="宋体"/>
                <w:bCs/>
                <w:color w:val="000000" w:themeColor="text1"/>
                <w:highlight w:val="none"/>
                <w14:textFill>
                  <w14:solidFill>
                    <w14:schemeClr w14:val="tx1"/>
                  </w14:solidFill>
                </w14:textFill>
              </w:rPr>
              <w:t xml:space="preserve">》及相关法律法规，坚守公开、公平、公证、诚实信用的原则，已发诚信经营，无条件遵守本次政府采购活动的各项规定。</w:t>
            </w:r>
            <w:r/>
          </w:p>
          <w:p>
            <w:pPr>
              <w:ind w:firstLine="420"/>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供应商名称（盖章）：</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法定代表人（签字）：</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c>
      </w:tr>
    </w:tbl>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2、供应商申请网上注册的，应当按以下程序进行： </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76"/>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328"/>
      <w:r/>
      <w:bookmarkEnd w:id="332"/>
      <w:r/>
      <w:bookmarkEnd w:id="333"/>
      <w:r/>
      <w:r/>
    </w:p>
    <w:p>
      <w:pPr>
        <w:pStyle w:val="805"/>
        <w:ind w:firstLine="426"/>
        <w:rPr>
          <w:rFonts w:hint="eastAsia" w:ascii="宋体" w:hAnsi="宋体" w:cs="宋体"/>
          <w:b w:val="0"/>
          <w:color w:val="000000" w:themeColor="text1"/>
          <w:sz w:val="24"/>
          <w:szCs w:val="24"/>
          <w:highlight w:val="none"/>
          <w14:textFill>
            <w14:solidFill>
              <w14:schemeClr w14:val="tx1"/>
            </w14:solidFill>
          </w14:textFill>
        </w:rPr>
      </w:pPr>
      <w:r/>
      <w:bookmarkStart w:id="334" w:name="_Toc107246296"/>
      <w:r/>
      <w:bookmarkStart w:id="335" w:name="_Toc102117330"/>
      <w:r/>
      <w:bookmarkStart w:id="336" w:name="_Toc104560915"/>
      <w:r/>
      <w:bookmarkStart w:id="337" w:name="_Toc103848598"/>
      <w:r>
        <w:rPr>
          <w:rFonts w:hint="eastAsia" w:ascii="宋体" w:hAnsi="宋体" w:cs="宋体"/>
          <w:color w:val="000000" w:themeColor="text1"/>
          <w:sz w:val="24"/>
          <w:szCs w:val="24"/>
          <w:highlight w:val="none"/>
          <w14:textFill>
            <w14:solidFill>
              <w14:schemeClr w14:val="tx1"/>
            </w14:solidFill>
          </w14:textFill>
        </w:rPr>
        <w:t xml:space="preserve">（9）公章授权书（如需）</w:t>
      </w:r>
      <w:bookmarkEnd w:id="334"/>
      <w:r/>
      <w:bookmarkEnd w:id="335"/>
      <w:r/>
      <w:bookmarkEnd w:id="336"/>
      <w:r/>
      <w:bookmarkEnd w:id="337"/>
      <w:r/>
      <w:r/>
    </w:p>
    <w:p>
      <w:pPr>
        <w:pStyle w:val="1021"/>
        <w:ind w:firstLine="0"/>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r>
      <w:r/>
    </w:p>
    <w:p>
      <w:pPr>
        <w:pStyle w:val="1021"/>
        <w:ind w:firstLine="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______________________（采购人）</w:t>
      </w:r>
      <w:r/>
    </w:p>
    <w:p>
      <w:pPr>
        <w:pStyle w:val="102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w:t>
      </w:r>
      <w:r>
        <w:rPr>
          <w:rFonts w:hint="eastAsia" w:hAnsi="宋体" w:cs="宋体"/>
          <w:color w:val="000000" w:themeColor="text1"/>
          <w:sz w:val="21"/>
          <w:szCs w:val="21"/>
          <w:highlight w:val="none"/>
          <w:u w:val="single"/>
          <w14:textFill>
            <w14:solidFill>
              <w14:schemeClr w14:val="tx1"/>
            </w14:solidFill>
          </w14:textFill>
        </w:rPr>
        <w:t xml:space="preserve">(投标人名称)</w:t>
      </w:r>
      <w:r>
        <w:rPr>
          <w:rFonts w:hint="eastAsia" w:hAnsi="宋体" w:cs="宋体"/>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hAnsi="宋体" w:cs="宋体"/>
          <w:color w:val="000000" w:themeColor="text1"/>
          <w:sz w:val="21"/>
          <w:szCs w:val="21"/>
          <w:highlight w:val="none"/>
          <w:u w:val="single"/>
          <w14:textFill>
            <w14:solidFill>
              <w14:schemeClr w14:val="tx1"/>
            </w14:solidFill>
          </w14:textFill>
        </w:rPr>
        <w:t xml:space="preserve">南京鼓楼医院放疗部TOMO设备保修项目（项目名称）（项目编号：</w:t>
      </w:r>
      <w:r>
        <w:rPr>
          <w:rFonts w:hint="eastAsia" w:hAnsi="宋体" w:cs="宋体"/>
          <w:color w:val="000000" w:themeColor="text1"/>
          <w:sz w:val="21"/>
          <w:szCs w:val="21"/>
          <w:highlight w:val="none"/>
          <w:u w:val="single"/>
          <w:lang w:eastAsia="zh-CN"/>
          <w14:textFill>
            <w14:solidFill>
              <w14:schemeClr w14:val="tx1"/>
            </w14:solidFill>
          </w14:textFill>
        </w:rPr>
        <w:t xml:space="preserve">JSZC-320100-JITC-G2026-0187</w:t>
      </w:r>
      <w:r>
        <w:rPr>
          <w:rFonts w:hint="eastAsia" w:hAnsi="宋体" w:cs="宋体"/>
          <w:color w:val="000000" w:themeColor="text1"/>
          <w:sz w:val="21"/>
          <w:szCs w:val="21"/>
          <w:highlight w:val="none"/>
          <w:u w:val="single"/>
          <w14:textFill>
            <w14:solidFill>
              <w14:schemeClr w14:val="tx1"/>
            </w14:solidFill>
          </w14:textFill>
        </w:rPr>
        <w:t xml:space="preserve">）</w:t>
      </w:r>
      <w:r>
        <w:rPr>
          <w:rFonts w:hint="eastAsia" w:hAnsi="宋体" w:cs="宋体"/>
          <w:color w:val="000000" w:themeColor="text1"/>
          <w:sz w:val="21"/>
          <w:szCs w:val="21"/>
          <w:highlight w:val="none"/>
          <w14:textFill>
            <w14:solidFill>
              <w14:schemeClr w14:val="tx1"/>
            </w14:solidFill>
          </w14:textFill>
        </w:rPr>
        <w:t xml:space="preserve">协商活动中，我单位授权</w:t>
      </w: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（样式附后）在此次活动中代为公章使用。</w:t>
      </w:r>
      <w:r/>
    </w:p>
    <w:p>
      <w:pPr>
        <w:pStyle w:val="102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2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签署的所有文件、协议不因授权的撤销而失效。</w:t>
      </w:r>
      <w:r/>
    </w:p>
    <w:p>
      <w:pPr>
        <w:pStyle w:val="1021"/>
        <w:ind w:right="840" w:firstLine="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21"/>
        <w:ind w:right="840" w:firstLine="19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其他形式的印章名称：______________</w:t>
      </w:r>
      <w:r/>
    </w:p>
    <w:p>
      <w:pPr>
        <w:pStyle w:val="1021"/>
        <w:ind w:right="420" w:firstLine="190"/>
        <w:rPr>
          <w:rFonts w:hint="eastAsia" w:hAnsi="宋体" w:cs="宋体"/>
          <w:color w:val="000000" w:themeColor="text1"/>
          <w:sz w:val="21"/>
          <w:szCs w:val="21"/>
          <w:highlight w:val="none"/>
          <w14:textFill>
            <w14:solidFill>
              <w14:schemeClr w14:val="tx1"/>
            </w14:solidFill>
          </w14:textFill>
        </w:rPr>
      </w:pPr>
      <w:r>
        <w:rPr>
          <w:rFonts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chemeClr val="tx1"/>
                          </a:solidFill>
                          <a:miter/>
                        </a:ln>
                      </wps:spPr>
                      <wps:txbx>
                        <w:txbxContent>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txbxContent>
                </v:textbox>
              </v:shape>
            </w:pict>
          </mc:Fallback>
        </mc:AlternateContent>
      </w:r>
      <w:r>
        <w:rPr>
          <w:rFonts w:hint="eastAsia" w:hAnsi="宋体" w:cs="宋体"/>
          <w:color w:val="000000" w:themeColor="text1"/>
          <w:sz w:val="21"/>
          <w:szCs w:val="21"/>
          <w:highlight w:val="none"/>
          <w14:textFill>
            <w14:solidFill>
              <w14:schemeClr w14:val="tx1"/>
            </w14:solidFill>
          </w14:textFill>
        </w:rPr>
        <w:t xml:space="preserve">印章样式：</w:t>
      </w:r>
      <w:r/>
    </w:p>
    <w:p>
      <w:pPr>
        <w:pStyle w:val="1021"/>
        <w:ind w:right="420" w:firstLine="481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21"/>
        <w:ind w:right="420" w:firstLine="315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21"/>
        <w:ind w:right="420" w:firstLine="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21"/>
        <w:ind w:right="420" w:firstLine="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21"/>
        <w:ind w:right="420" w:firstLine="3150"/>
        <w:jc w:val="left"/>
        <w:spacing w:line="276" w:lineRule="auto"/>
        <w:rPr>
          <w:rFonts w:hint="eastAsia"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投标人名称（公章）：</w:t>
      </w:r>
      <w:r/>
    </w:p>
    <w:p>
      <w:pPr>
        <w:pStyle w:val="1021"/>
        <w:ind w:right="420" w:firstLine="315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ind w:firstLine="3158"/>
        <w:jc w:val="left"/>
        <w:spacing w:line="276" w:lineRule="auto"/>
        <w:rPr>
          <w:rFonts w:hint="eastAsia" w:ascii="宋体" w:hAnsi="宋体" w:cs="宋体"/>
          <w:bCs/>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日期：______年______月______日</w:t>
      </w:r>
      <w:r/>
    </w:p>
    <w:p>
      <w:pPr>
        <w:pStyle w:val="805"/>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38" w:name="_Toc107246299"/>
      <w:r/>
      <w:bookmarkStart w:id="339" w:name="_Toc103848599"/>
      <w:r/>
      <w:bookmarkStart w:id="340" w:name="_Toc104560916"/>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38"/>
      <w:r/>
      <w:bookmarkEnd w:id="339"/>
      <w:r/>
      <w:bookmarkEnd w:id="340"/>
      <w:r/>
      <w:r/>
    </w:p>
    <w:p>
      <w:pPr>
        <w:pStyle w:val="805"/>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41" w:name="_Toc103848601"/>
      <w:r/>
      <w:bookmarkStart w:id="342" w:name="_Toc107246301"/>
      <w:r/>
      <w:bookmarkStart w:id="343" w:name="_Toc104560918"/>
      <w:r>
        <w:rPr>
          <w:rFonts w:hint="eastAsia" w:ascii="宋体" w:hAnsi="宋体" w:cs="宋体"/>
          <w:bCs w:val="0"/>
          <w:color w:val="000000" w:themeColor="text1"/>
          <w:sz w:val="24"/>
          <w:szCs w:val="24"/>
          <w:highlight w:val="none"/>
          <w14:textFill>
            <w14:solidFill>
              <w14:schemeClr w14:val="tx1"/>
            </w14:solidFill>
          </w14:textFill>
        </w:rPr>
        <w:t xml:space="preserve">（1）技术条款偏离表</w:t>
      </w:r>
      <w:bookmarkEnd w:id="341"/>
      <w:r/>
      <w:bookmarkEnd w:id="342"/>
      <w:r/>
      <w:bookmarkEnd w:id="343"/>
      <w:r/>
      <w:r/>
    </w:p>
    <w:p>
      <w:pPr>
        <w:pStyle w:val="102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项目名称：南京鼓楼医院放疗部TOMO设备保修项目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21"/>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JSZC-320100-JITC-G2026-0187</w:t>
      </w:r>
      <w:r/>
    </w:p>
    <w:tbl>
      <w:tblPr>
        <w:tblStyle w:val="77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71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854" w:type="pct"/>
            <w:vAlign w:val="center"/>
            <w:textDirection w:val="lrTb"/>
            <w:noWrap w:val="false"/>
          </w:tcPr>
          <w:p>
            <w:pPr>
              <w:pStyle w:val="1021"/>
              <w:ind w:firstLine="0"/>
              <w:jc w:val="center"/>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342"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60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491"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491"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491"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491"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491"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491"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03"/>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03"/>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03"/>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投标人须根据招标文件技术条款要求填写此表，作为投标文件的组成部分。</w:t>
      </w:r>
      <w:r/>
    </w:p>
    <w:p>
      <w:pPr>
        <w:pStyle w:val="803"/>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所有偏离必须在本表中逐条列出，未在本偏离表中列出偏离，将视为投标人已完全接受招标文件要求。</w:t>
      </w:r>
      <w:r/>
    </w:p>
    <w:p>
      <w:pPr>
        <w:pStyle w:val="803"/>
        <w:ind w:firstLine="373"/>
        <w:spacing w:line="360" w:lineRule="exact"/>
        <w:rPr>
          <w:rFonts w:hint="eastAsia"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782"/>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pStyle w:val="805"/>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5"/>
        <w:ind w:left="114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（3）需求响应方案</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r/>
    </w:p>
    <w:p>
      <w:pPr>
        <w:pStyle w:val="102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2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805"/>
        <w:ind w:firstLine="569"/>
        <w:spacing w:before="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44" w:name="_Toc103848602"/>
      <w:r/>
      <w:bookmarkStart w:id="345" w:name="_Toc107246302"/>
      <w:r/>
      <w:bookmarkStart w:id="346" w:name="_Toc104560919"/>
      <w:r>
        <w:rPr>
          <w:rFonts w:hint="eastAsia" w:ascii="宋体" w:hAnsi="宋体" w:cs="宋体"/>
          <w:bCs w:val="0"/>
          <w:color w:val="000000" w:themeColor="text1"/>
          <w:sz w:val="24"/>
          <w:szCs w:val="24"/>
          <w:highlight w:val="none"/>
          <w14:textFill>
            <w14:solidFill>
              <w14:schemeClr w14:val="tx1"/>
            </w14:solidFill>
          </w14:textFill>
        </w:rPr>
        <w:t xml:space="preserve">（4）投标人服务承诺</w:t>
      </w:r>
      <w:bookmarkEnd w:id="344"/>
      <w:r/>
      <w:bookmarkEnd w:id="345"/>
      <w:r/>
      <w:bookmarkEnd w:id="346"/>
      <w:r/>
      <w:r/>
    </w:p>
    <w:p>
      <w:pPr>
        <w:pStyle w:val="782"/>
        <w:ind w:firstLine="562"/>
        <w:jc w:val="center"/>
        <w:spacing w:after="0"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承诺函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南京鼓楼医院：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我司承诺：</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1.电话报修首次响应时间≤</w:t>
      </w:r>
      <w:r>
        <w:rPr>
          <w:rFonts w:hint="eastAsia" w:ascii="宋体" w:hAnsi="宋体" w:cs="宋体"/>
          <w:color w:val="000000" w:themeColor="text1"/>
          <w:sz w:val="24"/>
          <w:highlight w:val="none"/>
          <w:u w:val="single"/>
          <w14:textFill>
            <w14:solidFill>
              <w14:schemeClr w14:val="tx1"/>
            </w14:solidFill>
          </w14:textFill>
        </w:rPr>
        <w:t xml:space="preserve">    （选填2/1.5/1/0.5）</w:t>
      </w:r>
      <w:r>
        <w:rPr>
          <w:rFonts w:hint="eastAsia" w:ascii="宋体" w:hAnsi="宋体" w:cs="宋体"/>
          <w:color w:val="000000" w:themeColor="text1"/>
          <w:sz w:val="24"/>
          <w:highlight w:val="none"/>
          <w14:textFill>
            <w14:solidFill>
              <w14:schemeClr w14:val="tx1"/>
            </w14:solidFill>
          </w14:textFill>
        </w:rPr>
        <w:t xml:space="preserve">小时，工程师到达现场时间≤</w:t>
      </w:r>
      <w:r>
        <w:rPr>
          <w:rFonts w:hint="eastAsia" w:ascii="宋体" w:hAnsi="宋体" w:cs="宋体"/>
          <w:color w:val="000000" w:themeColor="text1"/>
          <w:sz w:val="24"/>
          <w:highlight w:val="none"/>
          <w:u w:val="single"/>
          <w14:textFill>
            <w14:solidFill>
              <w14:schemeClr w14:val="tx1"/>
            </w14:solidFill>
          </w14:textFill>
        </w:rPr>
        <w:t xml:space="preserve">     （选填24/18/12/6）</w:t>
      </w:r>
      <w:r>
        <w:rPr>
          <w:rFonts w:hint="eastAsia" w:ascii="宋体" w:hAnsi="宋体" w:cs="宋体"/>
          <w:color w:val="000000" w:themeColor="text1"/>
          <w:sz w:val="24"/>
          <w:highlight w:val="none"/>
          <w14:textFill>
            <w14:solidFill>
              <w14:schemeClr w14:val="tx1"/>
            </w14:solidFill>
          </w14:textFill>
        </w:rPr>
        <w:t xml:space="preserve">小时，配件到达设备现场≤</w:t>
      </w:r>
      <w:r>
        <w:rPr>
          <w:rFonts w:hint="eastAsia" w:ascii="宋体" w:hAnsi="宋体" w:cs="宋体"/>
          <w:color w:val="000000" w:themeColor="text1"/>
          <w:sz w:val="24"/>
          <w:highlight w:val="none"/>
          <w:u w:val="single"/>
          <w14:textFill>
            <w14:solidFill>
              <w14:schemeClr w14:val="tx1"/>
            </w14:solidFill>
          </w14:textFill>
        </w:rPr>
        <w:t xml:space="preserve">     （选填24/18/12/6）</w:t>
      </w:r>
      <w:r>
        <w:rPr>
          <w:rFonts w:hint="eastAsia" w:ascii="宋体" w:hAnsi="宋体" w:cs="宋体"/>
          <w:color w:val="000000" w:themeColor="text1"/>
          <w:sz w:val="24"/>
          <w:highlight w:val="none"/>
          <w14:textFill>
            <w14:solidFill>
              <w14:schemeClr w14:val="tx1"/>
            </w14:solidFill>
          </w14:textFill>
        </w:rPr>
        <w:t xml:space="preserve">小时；</w:t>
      </w:r>
      <w:r/>
    </w:p>
    <w:p>
      <w:pPr>
        <w:pStyle w:val="81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2.其他（如有，格式自拟）</w:t>
      </w:r>
      <w:r/>
    </w:p>
    <w:p>
      <w:pPr>
        <w:ind w:left="4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2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投标人名称（盖章）：</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p>
    <w:p>
      <w:pPr>
        <w:ind w:left="42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日期：2026年</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日</w:t>
      </w:r>
      <w:r/>
    </w:p>
    <w:p>
      <w:pPr>
        <w:ind w:left="42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2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05"/>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47" w:name="_Toc107246303"/>
      <w:r/>
      <w:bookmarkStart w:id="348" w:name="_Toc103848603"/>
      <w:r/>
      <w:bookmarkStart w:id="349" w:name="_Toc104560920"/>
      <w:r>
        <w:rPr>
          <w:rFonts w:hint="eastAsia" w:ascii="宋体" w:hAnsi="宋体" w:cs="宋体"/>
          <w:bCs w:val="0"/>
          <w:color w:val="000000" w:themeColor="text1"/>
          <w:sz w:val="24"/>
          <w:szCs w:val="24"/>
          <w:highlight w:val="none"/>
          <w14:textFill>
            <w14:solidFill>
              <w14:schemeClr w14:val="tx1"/>
            </w14:solidFill>
          </w14:textFill>
        </w:rPr>
        <w:t xml:space="preserve">（5）用于本项目人员简历表</w:t>
      </w:r>
      <w:bookmarkEnd w:id="347"/>
      <w:r/>
      <w:bookmarkEnd w:id="348"/>
      <w:r/>
      <w:bookmarkEnd w:id="349"/>
      <w:r/>
      <w:r/>
    </w:p>
    <w:p>
      <w:pPr>
        <w:pStyle w:val="102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775"/>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02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2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102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2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5"/>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（6）拟投入本项目人员情况表</w:t>
      </w:r>
      <w:r/>
    </w:p>
    <w:p>
      <w:pPr>
        <w:pStyle w:val="102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项目名称：南京鼓楼医院放疗部TOMO设备保修项目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21"/>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JSZC-320100-JITC-G2026-0187</w:t>
      </w:r>
      <w:r/>
    </w:p>
    <w:tbl>
      <w:tblPr>
        <w:tblStyle w:val="775"/>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80"/>
      <w:r/>
      <w:r/>
    </w:p>
    <w:p>
      <w:pPr>
        <w:ind w:firstLine="372"/>
        <w:jc w:val="center"/>
        <w:rPr>
          <w:b/>
          <w:bCs/>
          <w:color w:val="000000" w:themeColor="text1"/>
          <w:highlight w:val="none"/>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 xml:space="preserve">三、其他部分</w:t>
      </w:r>
      <w:r/>
    </w:p>
    <w:p>
      <w:pPr>
        <w:ind w:firstLine="372"/>
        <w:rPr>
          <w:rFonts w:hint="eastAsia" w:ascii="宋体" w:hAnsi="宋体" w:cs="宋体"/>
          <w:color w:val="000000" w:themeColor="text1"/>
          <w:highlight w:val="none"/>
          <w14:textFill>
            <w14:solidFill>
              <w14:schemeClr w14:val="tx1"/>
            </w14:solidFill>
          </w14:textFill>
        </w:rPr>
      </w:pPr>
      <w:r/>
      <w:bookmarkStart w:id="350" w:name="_Toc104560923"/>
      <w:r/>
      <w:bookmarkStart w:id="351" w:name="_Toc107246306"/>
      <w:r/>
      <w:bookmarkStart w:id="352" w:name="_Toc103848606"/>
      <w:r/>
      <w:r/>
    </w:p>
    <w:p>
      <w:pPr>
        <w:pStyle w:val="805"/>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53" w:name="_Toc103848608"/>
      <w:r/>
      <w:bookmarkStart w:id="354" w:name="_Toc104560925"/>
      <w:r/>
      <w:bookmarkStart w:id="355" w:name="_Toc107246308"/>
      <w:r/>
      <w:bookmarkStart w:id="356" w:name="_Toc107246307"/>
      <w:r/>
      <w:bookmarkStart w:id="357" w:name="_Toc103848607"/>
      <w:r/>
      <w:bookmarkStart w:id="358" w:name="_Toc104560924"/>
      <w:r/>
      <w:bookmarkStart w:id="359" w:name="_Toc100905295"/>
      <w:r>
        <w:rPr>
          <w:rFonts w:hint="eastAsia" w:ascii="宋体" w:hAnsi="宋体" w:cs="宋体"/>
          <w:bCs w:val="0"/>
          <w:color w:val="000000" w:themeColor="text1"/>
          <w:sz w:val="24"/>
          <w:szCs w:val="24"/>
          <w:highlight w:val="none"/>
          <w14:textFill>
            <w14:solidFill>
              <w14:schemeClr w14:val="tx1"/>
            </w14:solidFill>
          </w14:textFill>
        </w:rPr>
        <w:t xml:space="preserve">（1）要求投标人提交的其他文件材料或证明材料</w:t>
      </w:r>
      <w:bookmarkEnd w:id="353"/>
      <w:r/>
      <w:bookmarkEnd w:id="354"/>
      <w:r/>
      <w:bookmarkEnd w:id="355"/>
      <w:r/>
      <w:r/>
    </w:p>
    <w:p>
      <w:pPr>
        <w:pStyle w:val="785"/>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785"/>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356"/>
      <w:r/>
      <w:bookmarkEnd w:id="357"/>
      <w:r/>
      <w:bookmarkEnd w:id="358"/>
      <w:r/>
      <w:bookmarkEnd w:id="359"/>
      <w:r/>
      <w:r/>
    </w:p>
    <w:p>
      <w:pPr>
        <w:pStyle w:val="805"/>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（2）投标人认为需提供的其他文件或证明材料</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5"/>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50"/>
      <w:r/>
      <w:bookmarkEnd w:id="351"/>
      <w:r/>
      <w:bookmarkEnd w:id="35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021"/>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中小企业声明函（服务）</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南京鼓楼医院放疗部TOMO设备保修项目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采购活动，提供的服务全部由符合政策要求的中小企业承接。相关企业（含联合体中的中小企业、签订分包意向协议的中小企业）的具体情况如下：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lang w:eastAsia="zh-CN"/>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lang w:eastAsia="zh-CN"/>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bookmarkStart w:id="360" w:name="_GoBack"/>
      <w:r/>
      <w:bookmarkEnd w:id="360"/>
      <w:r/>
      <w:r/>
    </w:p>
    <w:p>
      <w:pPr>
        <w:numPr>
          <w:ilvl w:val="0"/>
          <w:numId w:val="8"/>
        </w:numPr>
        <w:ind w:firstLine="373"/>
        <w:rPr>
          <w:rFonts w:hint="eastAsia"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本项目中小微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w:t>
      </w:r>
      <w:r>
        <w:rPr>
          <w:rFonts w:hint="eastAsia" w:ascii="宋体" w:hAnsi="宋体" w:cs="宋体"/>
          <w:b/>
          <w:color w:val="000000" w:themeColor="text1"/>
          <w:szCs w:val="21"/>
          <w:highlight w:val="none"/>
          <w:lang w:eastAsia="zh-CN"/>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 xml:space="preserve">国家统计局</w:t>
      </w:r>
      <w:r>
        <w:rPr>
          <w:rFonts w:hint="eastAsia" w:ascii="宋体" w:hAnsi="宋体" w:cs="宋体"/>
          <w:b/>
          <w:color w:val="000000" w:themeColor="text1"/>
          <w:szCs w:val="21"/>
          <w:highlight w:val="none"/>
          <w:lang w:eastAsia="zh-CN"/>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 xml:space="preserve">国家发展和改革委员会</w:t>
      </w:r>
      <w:r>
        <w:rPr>
          <w:rFonts w:hint="eastAsia" w:ascii="宋体" w:hAnsi="宋体" w:cs="宋体"/>
          <w:b/>
          <w:color w:val="000000" w:themeColor="text1"/>
          <w:szCs w:val="21"/>
          <w:highlight w:val="none"/>
          <w:lang w:eastAsia="zh-CN"/>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 xml:space="preserve">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21"/>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021"/>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02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2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21"/>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02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02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2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2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2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21"/>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r/>
    </w:p>
    <w:p>
      <w:pPr>
        <w:pStyle w:val="1021"/>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w:r/>
  </w:p>
  <w:p>
    <w:pPr>
      <w:pStyle w:val="7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93"/>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93"/>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93"/>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94"/>
    </w:pPr>
    <w:r>
      <w:rPr>
        <w:rFonts w:hint="eastAsia" w:ascii="宋体" w:hAnsi="宋体" w:cs="宋体"/>
        <w:color w:val="000000"/>
        <w:sz w:val="22"/>
        <w:szCs w:val="22"/>
      </w:rPr>
      <w:t xml:space="preserve">（南京鼓楼医院放疗部TOMO设备保修项目）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6"/>
  </w:num>
  <w:num w:numId="3">
    <w:abstractNumId w:val="7"/>
  </w:num>
  <w:num w:numId="4">
    <w:abstractNumId w:val="0"/>
  </w:num>
  <w:num w:numId="5">
    <w:abstractNumId w:val="5"/>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4">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3">
    <w:name w:val="TOC Heading"/>
    <w:uiPriority w:val="39"/>
    <w:unhideWhenUsed/>
  </w:style>
  <w:style w:type="paragraph" w:styleId="76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5">
    <w:name w:val="Heading 1"/>
    <w:basedOn w:val="764"/>
    <w:next w:val="764"/>
    <w:link w:val="847"/>
    <w:uiPriority w:val="0"/>
    <w:qFormat/>
    <w:pPr>
      <w:ind w:left="100" w:right="100"/>
      <w:keepLines/>
      <w:keepNext/>
      <w:spacing w:before="120" w:after="120"/>
      <w:outlineLvl w:val="0"/>
    </w:pPr>
    <w:rPr>
      <w:b/>
      <w:bCs/>
      <w:szCs w:val="44"/>
    </w:rPr>
  </w:style>
  <w:style w:type="paragraph" w:styleId="766">
    <w:name w:val="Heading 2"/>
    <w:basedOn w:val="764"/>
    <w:next w:val="776"/>
    <w:link w:val="816"/>
    <w:uiPriority w:val="0"/>
    <w:qFormat/>
    <w:pPr>
      <w:keepLines/>
      <w:keepNext/>
      <w:spacing w:before="260" w:after="260" w:line="416" w:lineRule="auto"/>
      <w:outlineLvl w:val="1"/>
    </w:pPr>
    <w:rPr>
      <w:rFonts w:ascii="等线 Light" w:hAnsi="等线 Light" w:eastAsia="等线 Light"/>
      <w:b/>
      <w:bCs/>
      <w:sz w:val="32"/>
      <w:szCs w:val="32"/>
    </w:rPr>
  </w:style>
  <w:style w:type="paragraph" w:styleId="767">
    <w:name w:val="Heading 3"/>
    <w:basedOn w:val="764"/>
    <w:next w:val="764"/>
    <w:link w:val="846"/>
    <w:uiPriority w:val="9"/>
    <w:qFormat/>
    <w:pPr>
      <w:keepLines/>
      <w:keepNext/>
      <w:spacing w:before="260" w:after="260" w:line="416" w:lineRule="auto"/>
      <w:outlineLvl w:val="2"/>
    </w:pPr>
    <w:rPr>
      <w:b/>
      <w:bCs/>
      <w:sz w:val="32"/>
      <w:szCs w:val="32"/>
    </w:rPr>
  </w:style>
  <w:style w:type="paragraph" w:styleId="768">
    <w:name w:val="Heading 4"/>
    <w:basedOn w:val="764"/>
    <w:next w:val="764"/>
    <w:link w:val="848"/>
    <w:uiPriority w:val="0"/>
    <w:qFormat/>
    <w:pPr>
      <w:keepLines/>
      <w:keepNext/>
      <w:spacing w:before="280" w:after="290" w:line="376" w:lineRule="auto"/>
      <w:outlineLvl w:val="3"/>
    </w:pPr>
    <w:rPr>
      <w:rFonts w:ascii="等线 Light" w:hAnsi="等线 Light" w:eastAsia="等线 Light"/>
      <w:b/>
      <w:bCs/>
      <w:sz w:val="28"/>
      <w:szCs w:val="28"/>
    </w:rPr>
  </w:style>
  <w:style w:type="paragraph" w:styleId="769">
    <w:name w:val="Heading 5"/>
    <w:basedOn w:val="764"/>
    <w:next w:val="764"/>
    <w:link w:val="856"/>
    <w:uiPriority w:val="9"/>
    <w:unhideWhenUsed/>
    <w:qFormat/>
    <w:pPr>
      <w:keepLines/>
      <w:keepNext/>
      <w:spacing w:before="320" w:after="200"/>
      <w:outlineLvl w:val="4"/>
    </w:pPr>
    <w:rPr>
      <w:rFonts w:ascii="Arial" w:hAnsi="Arial" w:eastAsia="Arial" w:cs="Arial"/>
      <w:b/>
      <w:bCs/>
      <w:sz w:val="24"/>
    </w:rPr>
  </w:style>
  <w:style w:type="paragraph" w:styleId="770">
    <w:name w:val="Heading 6"/>
    <w:basedOn w:val="764"/>
    <w:next w:val="764"/>
    <w:link w:val="980"/>
    <w:uiPriority w:val="0"/>
    <w:qFormat/>
    <w:pPr>
      <w:keepLines/>
      <w:keepNext/>
      <w:spacing w:before="240" w:after="64" w:line="320" w:lineRule="auto"/>
      <w:outlineLvl w:val="5"/>
    </w:pPr>
    <w:rPr>
      <w:rFonts w:ascii="等线 Light" w:hAnsi="等线 Light" w:eastAsia="等线 Light"/>
      <w:b/>
      <w:bCs/>
      <w:sz w:val="24"/>
    </w:rPr>
  </w:style>
  <w:style w:type="paragraph" w:styleId="771">
    <w:name w:val="Heading 7"/>
    <w:basedOn w:val="764"/>
    <w:next w:val="764"/>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981"/>
    <w:uiPriority w:val="0"/>
    <w:qFormat/>
    <w:pPr>
      <w:keepLines/>
      <w:keepNext/>
      <w:spacing w:before="240" w:after="64" w:line="320" w:lineRule="auto"/>
      <w:outlineLvl w:val="7"/>
    </w:pPr>
    <w:rPr>
      <w:rFonts w:ascii="等线 Light" w:hAnsi="等线 Light" w:eastAsia="等线 Light"/>
      <w:sz w:val="24"/>
    </w:rPr>
  </w:style>
  <w:style w:type="paragraph" w:styleId="773">
    <w:name w:val="Heading 9"/>
    <w:basedOn w:val="764"/>
    <w:next w:val="764"/>
    <w:link w:val="860"/>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Normal Indent"/>
    <w:basedOn w:val="764"/>
    <w:link w:val="983"/>
    <w:uiPriority w:val="99"/>
    <w:qFormat/>
    <w:pPr>
      <w:ind w:firstLine="420"/>
    </w:pPr>
    <w:rPr>
      <w:szCs w:val="20"/>
    </w:rPr>
  </w:style>
  <w:style w:type="paragraph" w:styleId="777">
    <w:name w:val="List 3"/>
    <w:basedOn w:val="764"/>
    <w:uiPriority w:val="0"/>
    <w:qFormat/>
    <w:pPr>
      <w:contextualSpacing/>
      <w:ind w:left="100" w:hanging="200"/>
      <w:jc w:val="left"/>
      <w:widowControl/>
    </w:pPr>
    <w:rPr>
      <w:sz w:val="20"/>
      <w:szCs w:val="20"/>
    </w:rPr>
  </w:style>
  <w:style w:type="paragraph" w:styleId="778">
    <w:name w:val="toc 7"/>
    <w:basedOn w:val="764"/>
    <w:next w:val="764"/>
    <w:uiPriority w:val="39"/>
    <w:unhideWhenUsed/>
    <w:qFormat/>
    <w:pPr>
      <w:ind w:left="1701"/>
      <w:spacing w:after="57"/>
    </w:pPr>
  </w:style>
  <w:style w:type="paragraph" w:styleId="779">
    <w:name w:val="Caption"/>
    <w:basedOn w:val="764"/>
    <w:next w:val="76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80">
    <w:name w:val="Document Map"/>
    <w:basedOn w:val="764"/>
    <w:link w:val="984"/>
    <w:uiPriority w:val="0"/>
    <w:qFormat/>
    <w:pPr>
      <w:shd w:val="clear" w:color="auto" w:fill="000080"/>
    </w:pPr>
  </w:style>
  <w:style w:type="paragraph" w:styleId="781">
    <w:name w:val="annotation text"/>
    <w:basedOn w:val="764"/>
    <w:link w:val="985"/>
    <w:uiPriority w:val="0"/>
    <w:qFormat/>
    <w:pPr>
      <w:jc w:val="left"/>
    </w:pPr>
  </w:style>
  <w:style w:type="paragraph" w:styleId="782">
    <w:name w:val="Body Text"/>
    <w:basedOn w:val="764"/>
    <w:next w:val="764"/>
    <w:link w:val="986"/>
    <w:uiPriority w:val="1"/>
    <w:qFormat/>
    <w:pPr>
      <w:spacing w:after="120"/>
    </w:pPr>
  </w:style>
  <w:style w:type="paragraph" w:styleId="783">
    <w:name w:val="Body Text Indent"/>
    <w:basedOn w:val="764"/>
    <w:next w:val="784"/>
    <w:uiPriority w:val="0"/>
    <w:qFormat/>
    <w:pPr>
      <w:ind w:left="420"/>
      <w:spacing w:after="120"/>
    </w:pPr>
  </w:style>
  <w:style w:type="paragraph" w:styleId="784">
    <w:name w:val="envelope return"/>
    <w:basedOn w:val="764"/>
    <w:uiPriority w:val="0"/>
    <w:qFormat/>
    <w:rPr>
      <w:rFonts w:ascii="Arial" w:hAnsi="Arial"/>
    </w:rPr>
  </w:style>
  <w:style w:type="paragraph" w:styleId="785">
    <w:name w:val="index 4"/>
    <w:basedOn w:val="764"/>
    <w:next w:val="764"/>
    <w:uiPriority w:val="99"/>
    <w:unhideWhenUsed/>
    <w:qFormat/>
    <w:pPr>
      <w:ind w:left="600"/>
    </w:pPr>
    <w:rPr>
      <w:rFonts w:ascii="宋体"/>
      <w:b/>
      <w:position w:val="-10"/>
      <w:sz w:val="24"/>
      <w:szCs w:val="20"/>
    </w:rPr>
  </w:style>
  <w:style w:type="paragraph" w:styleId="786">
    <w:name w:val="toc 5"/>
    <w:basedOn w:val="764"/>
    <w:next w:val="764"/>
    <w:uiPriority w:val="39"/>
    <w:unhideWhenUsed/>
    <w:qFormat/>
    <w:pPr>
      <w:ind w:left="1134"/>
      <w:spacing w:after="57"/>
    </w:pPr>
  </w:style>
  <w:style w:type="paragraph" w:styleId="787">
    <w:name w:val="toc 3"/>
    <w:basedOn w:val="764"/>
    <w:next w:val="764"/>
    <w:uiPriority w:val="39"/>
    <w:unhideWhenUsed/>
    <w:qFormat/>
    <w:pPr>
      <w:ind w:left="567"/>
      <w:spacing w:after="57"/>
    </w:pPr>
  </w:style>
  <w:style w:type="paragraph" w:styleId="788">
    <w:name w:val="Plain Text"/>
    <w:basedOn w:val="764"/>
    <w:link w:val="989"/>
    <w:uiPriority w:val="0"/>
    <w:qFormat/>
    <w:rPr>
      <w:rFonts w:ascii="宋体" w:hAnsi="Courier New" w:cs="Courier New"/>
      <w:szCs w:val="21"/>
    </w:rPr>
  </w:style>
  <w:style w:type="paragraph" w:styleId="789">
    <w:name w:val="toc 8"/>
    <w:basedOn w:val="764"/>
    <w:next w:val="764"/>
    <w:uiPriority w:val="39"/>
    <w:unhideWhenUsed/>
    <w:qFormat/>
    <w:pPr>
      <w:ind w:left="1984"/>
      <w:spacing w:after="57"/>
    </w:pPr>
  </w:style>
  <w:style w:type="paragraph" w:styleId="790">
    <w:name w:val="Date"/>
    <w:basedOn w:val="764"/>
    <w:next w:val="764"/>
    <w:link w:val="991"/>
    <w:uiPriority w:val="0"/>
    <w:qFormat/>
    <w:rPr>
      <w:sz w:val="24"/>
      <w:szCs w:val="20"/>
    </w:rPr>
  </w:style>
  <w:style w:type="paragraph" w:styleId="791">
    <w:name w:val="endnote text"/>
    <w:basedOn w:val="764"/>
    <w:link w:val="977"/>
    <w:uiPriority w:val="99"/>
    <w:semiHidden/>
    <w:unhideWhenUsed/>
    <w:qFormat/>
    <w:rPr>
      <w:sz w:val="20"/>
    </w:rPr>
  </w:style>
  <w:style w:type="paragraph" w:styleId="792">
    <w:name w:val="Balloon Text"/>
    <w:basedOn w:val="764"/>
    <w:link w:val="992"/>
    <w:uiPriority w:val="0"/>
    <w:qFormat/>
    <w:rPr>
      <w:sz w:val="18"/>
      <w:szCs w:val="18"/>
    </w:rPr>
  </w:style>
  <w:style w:type="paragraph" w:styleId="793">
    <w:name w:val="Footer"/>
    <w:basedOn w:val="764"/>
    <w:link w:val="993"/>
    <w:uiPriority w:val="99"/>
    <w:qFormat/>
    <w:pPr>
      <w:jc w:val="left"/>
      <w:tabs>
        <w:tab w:val="center" w:pos="4153" w:leader="none"/>
        <w:tab w:val="right" w:pos="8306" w:leader="none"/>
      </w:tabs>
    </w:pPr>
    <w:rPr>
      <w:sz w:val="18"/>
      <w:szCs w:val="18"/>
    </w:rPr>
  </w:style>
  <w:style w:type="paragraph" w:styleId="794">
    <w:name w:val="Header"/>
    <w:basedOn w:val="764"/>
    <w:link w:val="994"/>
    <w:uiPriority w:val="99"/>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4"/>
    <w:next w:val="764"/>
    <w:uiPriority w:val="39"/>
    <w:unhideWhenUsed/>
    <w:qFormat/>
    <w:pPr>
      <w:spacing w:after="57"/>
    </w:pPr>
  </w:style>
  <w:style w:type="paragraph" w:styleId="796">
    <w:name w:val="toc 4"/>
    <w:basedOn w:val="764"/>
    <w:next w:val="764"/>
    <w:uiPriority w:val="39"/>
    <w:unhideWhenUsed/>
    <w:qFormat/>
    <w:pPr>
      <w:ind w:left="850"/>
      <w:spacing w:after="57"/>
    </w:pPr>
  </w:style>
  <w:style w:type="paragraph" w:styleId="797">
    <w:name w:val="Subtitle"/>
    <w:basedOn w:val="764"/>
    <w:next w:val="764"/>
    <w:link w:val="862"/>
    <w:uiPriority w:val="11"/>
    <w:qFormat/>
    <w:pPr>
      <w:spacing w:before="200" w:after="200"/>
    </w:pPr>
    <w:rPr>
      <w:sz w:val="24"/>
    </w:rPr>
  </w:style>
  <w:style w:type="paragraph" w:styleId="798">
    <w:name w:val="footnote text"/>
    <w:basedOn w:val="764"/>
    <w:link w:val="976"/>
    <w:uiPriority w:val="99"/>
    <w:semiHidden/>
    <w:unhideWhenUsed/>
    <w:qFormat/>
    <w:pPr>
      <w:spacing w:after="40"/>
    </w:pPr>
    <w:rPr>
      <w:sz w:val="18"/>
    </w:rPr>
  </w:style>
  <w:style w:type="paragraph" w:styleId="799">
    <w:name w:val="toc 6"/>
    <w:basedOn w:val="764"/>
    <w:next w:val="764"/>
    <w:uiPriority w:val="39"/>
    <w:unhideWhenUsed/>
    <w:qFormat/>
    <w:pPr>
      <w:ind w:left="1417"/>
      <w:spacing w:after="57"/>
    </w:pPr>
  </w:style>
  <w:style w:type="paragraph" w:styleId="800">
    <w:name w:val="table of figures"/>
    <w:basedOn w:val="764"/>
    <w:next w:val="764"/>
    <w:uiPriority w:val="99"/>
    <w:unhideWhenUsed/>
    <w:qFormat/>
  </w:style>
  <w:style w:type="paragraph" w:styleId="801">
    <w:name w:val="toc 2"/>
    <w:basedOn w:val="764"/>
    <w:next w:val="764"/>
    <w:uiPriority w:val="99"/>
    <w:semiHidden/>
    <w:qFormat/>
    <w:pPr>
      <w:ind w:left="420"/>
    </w:pPr>
    <w:rPr>
      <w:rFonts w:eastAsia="楷体_GB2312"/>
      <w:sz w:val="26"/>
      <w:szCs w:val="26"/>
    </w:rPr>
  </w:style>
  <w:style w:type="paragraph" w:styleId="802">
    <w:name w:val="toc 9"/>
    <w:basedOn w:val="764"/>
    <w:next w:val="764"/>
    <w:uiPriority w:val="39"/>
    <w:unhideWhenUsed/>
    <w:qFormat/>
    <w:pPr>
      <w:ind w:left="2268"/>
      <w:spacing w:after="57"/>
    </w:pPr>
  </w:style>
  <w:style w:type="paragraph" w:styleId="803">
    <w:name w:val="Body Text 2"/>
    <w:basedOn w:val="764"/>
    <w:link w:val="1000"/>
    <w:uiPriority w:val="0"/>
    <w:qFormat/>
    <w:pPr>
      <w:spacing w:after="120" w:line="480" w:lineRule="auto"/>
    </w:pPr>
    <w:rPr>
      <w:rFonts w:ascii="Calibri" w:hAnsi="Calibri"/>
    </w:rPr>
  </w:style>
  <w:style w:type="paragraph" w:styleId="804">
    <w:name w:val="Normal (Web)"/>
    <w:basedOn w:val="764"/>
    <w:uiPriority w:val="99"/>
    <w:qFormat/>
    <w:pPr>
      <w:jc w:val="left"/>
      <w:spacing w:before="100" w:beforeAutospacing="1" w:after="100" w:afterAutospacing="1"/>
      <w:widowControl/>
    </w:pPr>
    <w:rPr>
      <w:sz w:val="24"/>
    </w:rPr>
  </w:style>
  <w:style w:type="paragraph" w:styleId="805">
    <w:name w:val="Title"/>
    <w:basedOn w:val="764"/>
    <w:next w:val="764"/>
    <w:link w:val="1001"/>
    <w:uiPriority w:val="0"/>
    <w:qFormat/>
    <w:pPr>
      <w:jc w:val="center"/>
      <w:spacing w:before="240" w:after="60" w:line="360" w:lineRule="auto"/>
      <w:outlineLvl w:val="0"/>
    </w:pPr>
    <w:rPr>
      <w:rFonts w:ascii="等线 Light" w:hAnsi="等线 Light"/>
      <w:b/>
      <w:bCs/>
      <w:sz w:val="32"/>
      <w:szCs w:val="32"/>
    </w:rPr>
  </w:style>
  <w:style w:type="paragraph" w:styleId="806">
    <w:name w:val="annotation subject"/>
    <w:basedOn w:val="781"/>
    <w:next w:val="781"/>
    <w:link w:val="1002"/>
    <w:uiPriority w:val="0"/>
    <w:qFormat/>
    <w:rPr>
      <w:b/>
      <w:bCs/>
    </w:rPr>
  </w:style>
  <w:style w:type="paragraph" w:styleId="807">
    <w:name w:val="Body Text First Indent"/>
    <w:basedOn w:val="782"/>
    <w:uiPriority w:val="0"/>
    <w:qFormat/>
    <w:pPr>
      <w:ind w:firstLine="420"/>
      <w:spacing w:line="360" w:lineRule="auto"/>
    </w:pPr>
    <w:rPr>
      <w:szCs w:val="21"/>
    </w:rPr>
  </w:style>
  <w:style w:type="table" w:styleId="808">
    <w:name w:val="Table Grid"/>
    <w:basedOn w:val="7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9">
    <w:name w:val="Strong"/>
    <w:uiPriority w:val="0"/>
    <w:qFormat/>
    <w:rPr>
      <w:b/>
      <w:bCs/>
    </w:rPr>
  </w:style>
  <w:style w:type="character" w:styleId="810">
    <w:name w:val="endnote reference"/>
    <w:basedOn w:val="774"/>
    <w:uiPriority w:val="99"/>
    <w:semiHidden/>
    <w:unhideWhenUsed/>
    <w:qFormat/>
    <w:rPr>
      <w:vertAlign w:val="superscript"/>
    </w:rPr>
  </w:style>
  <w:style w:type="character" w:styleId="811">
    <w:name w:val="page number"/>
    <w:uiPriority w:val="0"/>
    <w:qFormat/>
  </w:style>
  <w:style w:type="character" w:styleId="812">
    <w:name w:val="Emphasis"/>
    <w:uiPriority w:val="0"/>
    <w:qFormat/>
    <w:rPr>
      <w:i/>
      <w:iCs/>
    </w:rPr>
  </w:style>
  <w:style w:type="character" w:styleId="813">
    <w:name w:val="Hyperlink"/>
    <w:uiPriority w:val="99"/>
    <w:qFormat/>
    <w:rPr>
      <w:color w:val="auto"/>
      <w:u w:val="none"/>
    </w:rPr>
  </w:style>
  <w:style w:type="character" w:styleId="814">
    <w:name w:val="annotation reference"/>
    <w:uiPriority w:val="0"/>
    <w:qFormat/>
    <w:rPr>
      <w:sz w:val="21"/>
      <w:szCs w:val="21"/>
    </w:rPr>
  </w:style>
  <w:style w:type="character" w:styleId="815">
    <w:name w:val="footnote reference"/>
    <w:basedOn w:val="774"/>
    <w:uiPriority w:val="99"/>
    <w:unhideWhenUsed/>
    <w:qFormat/>
    <w:rPr>
      <w:vertAlign w:val="superscript"/>
    </w:rPr>
  </w:style>
  <w:style w:type="character" w:styleId="816" w:customStyle="1">
    <w:name w:val="标题 2 字符"/>
    <w:link w:val="766"/>
    <w:uiPriority w:val="0"/>
    <w:semiHidden/>
    <w:qFormat/>
    <w:rPr>
      <w:rFonts w:ascii="等线 Light" w:hAnsi="等线 Light" w:eastAsia="等线 Light" w:cs="Times New Roman"/>
      <w:b/>
      <w:bCs/>
      <w:sz w:val="32"/>
      <w:szCs w:val="32"/>
    </w:rPr>
  </w:style>
  <w:style w:type="paragraph" w:styleId="817" w:customStyle="1">
    <w:name w:val="段"/>
    <w:next w:val="764"/>
    <w:uiPriority w:val="0"/>
    <w:qFormat/>
    <w:pPr>
      <w:ind w:firstLine="200"/>
      <w:jc w:val="both"/>
      <w:spacing w:after="160" w:line="278" w:lineRule="auto"/>
    </w:pPr>
    <w:rPr>
      <w:rFonts w:ascii="宋体" w:hAnsi="Calibri" w:eastAsia="宋体" w:cs="Times New Roman"/>
      <w:sz w:val="21"/>
      <w:szCs w:val="22"/>
      <w:lang w:val="en-US" w:eastAsia="zh-CN" w:bidi="ar-SA"/>
    </w:rPr>
  </w:style>
  <w:style w:type="character" w:styleId="818" w:customStyle="1">
    <w:name w:val="Heading 5 Char"/>
    <w:basedOn w:val="774"/>
    <w:uiPriority w:val="9"/>
    <w:qFormat/>
    <w:rPr>
      <w:rFonts w:ascii="Arial" w:hAnsi="Arial" w:eastAsia="Arial" w:cs="Arial"/>
      <w:b/>
      <w:bCs/>
      <w:sz w:val="24"/>
      <w:szCs w:val="24"/>
    </w:rPr>
  </w:style>
  <w:style w:type="character" w:styleId="819" w:customStyle="1">
    <w:name w:val="Heading 7 Char"/>
    <w:basedOn w:val="774"/>
    <w:uiPriority w:val="9"/>
    <w:qFormat/>
    <w:rPr>
      <w:rFonts w:ascii="Arial" w:hAnsi="Arial" w:eastAsia="Arial" w:cs="Arial"/>
      <w:b/>
      <w:bCs/>
      <w:i/>
      <w:iCs/>
      <w:sz w:val="22"/>
      <w:szCs w:val="22"/>
    </w:rPr>
  </w:style>
  <w:style w:type="character" w:styleId="820" w:customStyle="1">
    <w:name w:val="Heading 9 Char"/>
    <w:basedOn w:val="774"/>
    <w:uiPriority w:val="9"/>
    <w:qFormat/>
    <w:rPr>
      <w:rFonts w:ascii="Arial" w:hAnsi="Arial" w:eastAsia="Arial" w:cs="Arial"/>
      <w:i/>
      <w:iCs/>
      <w:sz w:val="21"/>
      <w:szCs w:val="21"/>
    </w:rPr>
  </w:style>
  <w:style w:type="character" w:styleId="821" w:customStyle="1">
    <w:name w:val="Subtitle Char"/>
    <w:basedOn w:val="774"/>
    <w:uiPriority w:val="11"/>
    <w:qFormat/>
    <w:rPr>
      <w:sz w:val="24"/>
      <w:szCs w:val="24"/>
    </w:rPr>
  </w:style>
  <w:style w:type="character" w:styleId="822" w:customStyle="1">
    <w:name w:val="Quote Char"/>
    <w:uiPriority w:val="29"/>
    <w:qFormat/>
    <w:rPr>
      <w:i/>
    </w:rPr>
  </w:style>
  <w:style w:type="character" w:styleId="823" w:customStyle="1">
    <w:name w:val="Intense Quote Char"/>
    <w:uiPriority w:val="30"/>
    <w:qFormat/>
    <w:rPr>
      <w:i/>
    </w:rPr>
  </w:style>
  <w:style w:type="table" w:styleId="824" w:customStyle="1">
    <w:name w:val="无格式表格 11"/>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网格表 3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网格表 6 彩色1"/>
    <w:basedOn w:val="7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网格表 7 彩色1"/>
    <w:basedOn w:val="7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清单表 1 浅色1"/>
    <w:basedOn w:val="77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清单表 21"/>
    <w:basedOn w:val="7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清单表 3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5 深色1"/>
    <w:basedOn w:val="7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清单表 6 彩色1"/>
    <w:basedOn w:val="77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清单表 7 彩色1"/>
    <w:basedOn w:val="77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
    <w:uiPriority w:val="39"/>
    <w:unhideWhenUsed/>
    <w:qFormat/>
    <w:rPr>
      <w:rFonts w:ascii="Times New Roman" w:hAnsi="Times New Roman" w:eastAsia="宋体" w:cs="Times New Roman"/>
      <w:lang w:val="en-US" w:eastAsia="zh-CN" w:bidi="ar-SA"/>
    </w:rPr>
  </w:style>
  <w:style w:type="character" w:styleId="846" w:customStyle="1">
    <w:name w:val="标题 3 字符"/>
    <w:link w:val="767"/>
    <w:uiPriority w:val="9"/>
    <w:qFormat/>
    <w:rPr>
      <w:rFonts w:eastAsia="宋体"/>
      <w:b/>
      <w:bCs/>
      <w:sz w:val="32"/>
      <w:szCs w:val="32"/>
      <w:lang w:val="en-US" w:eastAsia="zh-CN" w:bidi="ar-SA"/>
    </w:rPr>
  </w:style>
  <w:style w:type="character" w:styleId="847" w:customStyle="1">
    <w:name w:val="标题 1 字符"/>
    <w:link w:val="765"/>
    <w:uiPriority w:val="0"/>
    <w:qFormat/>
    <w:rPr>
      <w:b/>
      <w:bCs/>
      <w:sz w:val="21"/>
      <w:szCs w:val="44"/>
    </w:rPr>
  </w:style>
  <w:style w:type="character" w:styleId="848" w:customStyle="1">
    <w:name w:val="标题 4 字符"/>
    <w:link w:val="768"/>
    <w:uiPriority w:val="0"/>
    <w:semiHidden/>
    <w:qFormat/>
    <w:rPr>
      <w:rFonts w:ascii="等线 Light" w:hAnsi="等线 Light" w:eastAsia="等线 Light" w:cs="Times New Roman"/>
      <w:b/>
      <w:bCs/>
      <w:sz w:val="28"/>
      <w:szCs w:val="28"/>
    </w:rPr>
  </w:style>
  <w:style w:type="paragraph" w:styleId="849" w:customStyle="1">
    <w:name w:val="首行缩进"/>
    <w:basedOn w:val="764"/>
    <w:uiPriority w:val="0"/>
    <w:qFormat/>
    <w:pPr>
      <w:spacing w:line="360" w:lineRule="auto"/>
    </w:pPr>
  </w:style>
  <w:style w:type="paragraph" w:styleId="850" w:customStyle="1">
    <w:name w:val="正文文本1"/>
    <w:basedOn w:val="851"/>
    <w:next w:val="764"/>
    <w:uiPriority w:val="0"/>
    <w:qFormat/>
    <w:pPr>
      <w:spacing w:after="120"/>
    </w:pPr>
    <w:rPr>
      <w:sz w:val="28"/>
    </w:rPr>
  </w:style>
  <w:style w:type="paragraph" w:styleId="851"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852" w:customStyle="1">
    <w:name w:val="Heading 1 Char"/>
    <w:basedOn w:val="774"/>
    <w:uiPriority w:val="9"/>
    <w:qFormat/>
    <w:rPr>
      <w:rFonts w:ascii="Arial" w:hAnsi="Arial" w:eastAsia="Arial" w:cs="Arial"/>
      <w:sz w:val="40"/>
      <w:szCs w:val="40"/>
    </w:rPr>
  </w:style>
  <w:style w:type="character" w:styleId="853" w:customStyle="1">
    <w:name w:val="Heading 2 Char"/>
    <w:basedOn w:val="774"/>
    <w:uiPriority w:val="9"/>
    <w:qFormat/>
    <w:rPr>
      <w:rFonts w:ascii="Arial" w:hAnsi="Arial" w:eastAsia="Arial" w:cs="Arial"/>
      <w:sz w:val="34"/>
    </w:rPr>
  </w:style>
  <w:style w:type="character" w:styleId="854" w:customStyle="1">
    <w:name w:val="Heading 3 Char"/>
    <w:basedOn w:val="774"/>
    <w:uiPriority w:val="9"/>
    <w:qFormat/>
    <w:rPr>
      <w:rFonts w:ascii="Arial" w:hAnsi="Arial" w:eastAsia="Arial" w:cs="Arial"/>
      <w:sz w:val="30"/>
      <w:szCs w:val="30"/>
    </w:rPr>
  </w:style>
  <w:style w:type="character" w:styleId="855" w:customStyle="1">
    <w:name w:val="Heading 4 Char"/>
    <w:basedOn w:val="774"/>
    <w:uiPriority w:val="9"/>
    <w:qFormat/>
    <w:rPr>
      <w:rFonts w:ascii="Arial" w:hAnsi="Arial" w:eastAsia="Arial" w:cs="Arial"/>
      <w:b/>
      <w:bCs/>
      <w:sz w:val="26"/>
      <w:szCs w:val="26"/>
    </w:rPr>
  </w:style>
  <w:style w:type="character" w:styleId="856" w:customStyle="1">
    <w:name w:val="标题 5 字符"/>
    <w:basedOn w:val="774"/>
    <w:link w:val="769"/>
    <w:uiPriority w:val="9"/>
    <w:qFormat/>
    <w:rPr>
      <w:rFonts w:ascii="Arial" w:hAnsi="Arial" w:eastAsia="Arial" w:cs="Arial"/>
      <w:b/>
      <w:bCs/>
      <w:sz w:val="24"/>
      <w:szCs w:val="24"/>
    </w:rPr>
  </w:style>
  <w:style w:type="character" w:styleId="857" w:customStyle="1">
    <w:name w:val="Heading 6 Char"/>
    <w:basedOn w:val="774"/>
    <w:uiPriority w:val="9"/>
    <w:qFormat/>
    <w:rPr>
      <w:rFonts w:ascii="Arial" w:hAnsi="Arial" w:eastAsia="Arial" w:cs="Arial"/>
      <w:b/>
      <w:bCs/>
      <w:sz w:val="22"/>
      <w:szCs w:val="22"/>
    </w:rPr>
  </w:style>
  <w:style w:type="character" w:styleId="858" w:customStyle="1">
    <w:name w:val="标题 7 字符"/>
    <w:basedOn w:val="774"/>
    <w:link w:val="771"/>
    <w:uiPriority w:val="9"/>
    <w:qFormat/>
    <w:rPr>
      <w:rFonts w:ascii="Arial" w:hAnsi="Arial" w:eastAsia="Arial" w:cs="Arial"/>
      <w:b/>
      <w:bCs/>
      <w:i/>
      <w:iCs/>
      <w:sz w:val="22"/>
      <w:szCs w:val="22"/>
    </w:rPr>
  </w:style>
  <w:style w:type="character" w:styleId="859" w:customStyle="1">
    <w:name w:val="Heading 8 Char"/>
    <w:basedOn w:val="774"/>
    <w:uiPriority w:val="9"/>
    <w:qFormat/>
    <w:rPr>
      <w:rFonts w:ascii="Arial" w:hAnsi="Arial" w:eastAsia="Arial" w:cs="Arial"/>
      <w:i/>
      <w:iCs/>
      <w:sz w:val="22"/>
      <w:szCs w:val="22"/>
    </w:rPr>
  </w:style>
  <w:style w:type="character" w:styleId="860" w:customStyle="1">
    <w:name w:val="标题 9 字符"/>
    <w:basedOn w:val="774"/>
    <w:link w:val="773"/>
    <w:uiPriority w:val="9"/>
    <w:qFormat/>
    <w:rPr>
      <w:rFonts w:ascii="Arial" w:hAnsi="Arial" w:eastAsia="Arial" w:cs="Arial"/>
      <w:i/>
      <w:iCs/>
      <w:sz w:val="21"/>
      <w:szCs w:val="21"/>
    </w:rPr>
  </w:style>
  <w:style w:type="character" w:styleId="861" w:customStyle="1">
    <w:name w:val="Title Char"/>
    <w:basedOn w:val="774"/>
    <w:uiPriority w:val="10"/>
    <w:qFormat/>
    <w:rPr>
      <w:sz w:val="48"/>
      <w:szCs w:val="48"/>
    </w:rPr>
  </w:style>
  <w:style w:type="character" w:styleId="862" w:customStyle="1">
    <w:name w:val="副标题 字符"/>
    <w:basedOn w:val="774"/>
    <w:link w:val="797"/>
    <w:uiPriority w:val="11"/>
    <w:qFormat/>
    <w:rPr>
      <w:sz w:val="24"/>
      <w:szCs w:val="24"/>
    </w:rPr>
  </w:style>
  <w:style w:type="paragraph" w:styleId="863">
    <w:name w:val="Quote"/>
    <w:basedOn w:val="764"/>
    <w:next w:val="764"/>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764"/>
    <w:next w:val="764"/>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Header Char"/>
    <w:basedOn w:val="774"/>
    <w:uiPriority w:val="99"/>
    <w:qFormat/>
  </w:style>
  <w:style w:type="character" w:styleId="868" w:customStyle="1">
    <w:name w:val="Footer Char"/>
    <w:basedOn w:val="774"/>
    <w:uiPriority w:val="99"/>
    <w:qFormat/>
  </w:style>
  <w:style w:type="character" w:styleId="869" w:customStyle="1">
    <w:name w:val="Caption Char"/>
    <w:uiPriority w:val="99"/>
    <w:qFormat/>
  </w:style>
  <w:style w:type="table" w:styleId="870" w:customStyle="1">
    <w:name w:val="Table Grid Light"/>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1" w:customStyle="1">
    <w:name w:val="Grid Table 1 Light - Accent 1"/>
    <w:basedOn w:val="77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basedOn w:val="7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basedOn w:val="7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basedOn w:val="77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basedOn w:val="77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basedOn w:val="7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7" w:customStyle="1">
    <w:name w:val="Grid Table 2 - Accent 1"/>
    <w:basedOn w:val="77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77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7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77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77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7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Grid Table 3 - Accent 1"/>
    <w:basedOn w:val="77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basedOn w:val="77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basedOn w:val="7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basedOn w:val="77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basedOn w:val="77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basedOn w:val="7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 Accent 1"/>
    <w:basedOn w:val="77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0" w:customStyle="1">
    <w:name w:val="Grid Table 4 - Accent 2"/>
    <w:basedOn w:val="77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1" w:customStyle="1">
    <w:name w:val="Grid Table 4 - Accent 3"/>
    <w:basedOn w:val="77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2" w:customStyle="1">
    <w:name w:val="Grid Table 4 - Accent 4"/>
    <w:basedOn w:val="77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3" w:customStyle="1">
    <w:name w:val="Grid Table 4 - Accent 5"/>
    <w:basedOn w:val="77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4" w:customStyle="1">
    <w:name w:val="Grid Table 4 - Accent 6"/>
    <w:basedOn w:val="77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5"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6"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7"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8"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9"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0"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1" w:customStyle="1">
    <w:name w:val="Grid Table 6 Colorful - Accent 1"/>
    <w:basedOn w:val="77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02" w:customStyle="1">
    <w:name w:val="Grid Table 6 Colorful - Accent 2"/>
    <w:basedOn w:val="77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3" w:customStyle="1">
    <w:name w:val="Grid Table 6 Colorful - Accent 3"/>
    <w:basedOn w:val="77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4" w:customStyle="1">
    <w:name w:val="Grid Table 6 Colorful - Accent 4"/>
    <w:basedOn w:val="77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5" w:customStyle="1">
    <w:name w:val="Grid Table 6 Colorful - Accent 5"/>
    <w:basedOn w:val="77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6" w:customStyle="1">
    <w:name w:val="Grid Table 6 Colorful - Accent 6"/>
    <w:basedOn w:val="77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7" w:customStyle="1">
    <w:name w:val="Grid Table 7 Colorful - Accent 1"/>
    <w:basedOn w:val="77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basedOn w:val="77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basedOn w:val="77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basedOn w:val="77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basedOn w:val="77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basedOn w:val="77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3" w:customStyle="1">
    <w:name w:val="List Table 1 Light - Accent 1"/>
    <w:basedOn w:val="77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4" w:customStyle="1">
    <w:name w:val="List Table 1 Light - Accent 2"/>
    <w:basedOn w:val="77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5" w:customStyle="1">
    <w:name w:val="List Table 1 Light - Accent 3"/>
    <w:basedOn w:val="77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6" w:customStyle="1">
    <w:name w:val="List Table 1 Light - Accent 4"/>
    <w:basedOn w:val="77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7" w:customStyle="1">
    <w:name w:val="List Table 1 Light - Accent 5"/>
    <w:basedOn w:val="77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8" w:customStyle="1">
    <w:name w:val="List Table 1 Light - Accent 6"/>
    <w:basedOn w:val="77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9" w:customStyle="1">
    <w:name w:val="List Table 2 - Accent 1"/>
    <w:basedOn w:val="77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0" w:customStyle="1">
    <w:name w:val="List Table 2 - Accent 2"/>
    <w:basedOn w:val="77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1" w:customStyle="1">
    <w:name w:val="List Table 2 - Accent 3"/>
    <w:basedOn w:val="77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2" w:customStyle="1">
    <w:name w:val="List Table 2 - Accent 4"/>
    <w:basedOn w:val="77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3" w:customStyle="1">
    <w:name w:val="List Table 2 - Accent 5"/>
    <w:basedOn w:val="77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4" w:customStyle="1">
    <w:name w:val="List Table 2 - Accent 6"/>
    <w:basedOn w:val="77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5" w:customStyle="1">
    <w:name w:val="List Table 3 - Accent 1"/>
    <w:basedOn w:val="77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6" w:customStyle="1">
    <w:name w:val="List Table 3 - Accent 2"/>
    <w:basedOn w:val="77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7" w:customStyle="1">
    <w:name w:val="List Table 3 - Accent 3"/>
    <w:basedOn w:val="77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8" w:customStyle="1">
    <w:name w:val="List Table 3 - Accent 4"/>
    <w:basedOn w:val="77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9" w:customStyle="1">
    <w:name w:val="List Table 3 - Accent 5"/>
    <w:basedOn w:val="77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0" w:customStyle="1">
    <w:name w:val="List Table 3 - Accent 6"/>
    <w:basedOn w:val="77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1" w:customStyle="1">
    <w:name w:val="List Table 4 - Accent 1"/>
    <w:basedOn w:val="77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2" w:customStyle="1">
    <w:name w:val="List Table 4 - Accent 2"/>
    <w:basedOn w:val="77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3" w:customStyle="1">
    <w:name w:val="List Table 4 - Accent 3"/>
    <w:basedOn w:val="77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4" w:customStyle="1">
    <w:name w:val="List Table 4 - Accent 4"/>
    <w:basedOn w:val="77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5" w:customStyle="1">
    <w:name w:val="List Table 4 - Accent 5"/>
    <w:basedOn w:val="77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6" w:customStyle="1">
    <w:name w:val="List Table 4 - Accent 6"/>
    <w:basedOn w:val="77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7" w:customStyle="1">
    <w:name w:val="List Table 5 Dark - Accent 1"/>
    <w:basedOn w:val="77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2"/>
    <w:basedOn w:val="77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3"/>
    <w:basedOn w:val="77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4"/>
    <w:basedOn w:val="77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5"/>
    <w:basedOn w:val="77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6"/>
    <w:basedOn w:val="77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6 Colorful - Accent 1"/>
    <w:basedOn w:val="77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4" w:customStyle="1">
    <w:name w:val="List Table 6 Colorful - Accent 2"/>
    <w:basedOn w:val="77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5" w:customStyle="1">
    <w:name w:val="List Table 6 Colorful - Accent 3"/>
    <w:basedOn w:val="77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6" w:customStyle="1">
    <w:name w:val="List Table 6 Colorful - Accent 4"/>
    <w:basedOn w:val="77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7" w:customStyle="1">
    <w:name w:val="List Table 6 Colorful - Accent 5"/>
    <w:basedOn w:val="77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8" w:customStyle="1">
    <w:name w:val="List Table 6 Colorful - Accent 6"/>
    <w:basedOn w:val="77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9" w:customStyle="1">
    <w:name w:val="List Table 7 Colorful - Accent 1"/>
    <w:basedOn w:val="77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basedOn w:val="77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basedOn w:val="77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basedOn w:val="77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basedOn w:val="77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basedOn w:val="77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5"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7" w:customStyle="1">
    <w:name w:val="Lined - Accent 2"/>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8" w:customStyle="1">
    <w:name w:val="Lined - Accent 3"/>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9"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0"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1"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2" w:customStyle="1">
    <w:name w:val="Bordered &amp; Lined - Accent"/>
    <w:basedOn w:val="7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basedOn w:val="77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4" w:customStyle="1">
    <w:name w:val="Bordered &amp; Lined - Accent 2"/>
    <w:basedOn w:val="77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5" w:customStyle="1">
    <w:name w:val="Bordered &amp; Lined - Accent 3"/>
    <w:basedOn w:val="77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6" w:customStyle="1">
    <w:name w:val="Bordered &amp; Lined - Accent 4"/>
    <w:basedOn w:val="77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7" w:customStyle="1">
    <w:name w:val="Bordered &amp; Lined - Accent 5"/>
    <w:basedOn w:val="77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8" w:customStyle="1">
    <w:name w:val="Bordered &amp; Lined - Accent 6"/>
    <w:basedOn w:val="77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9" w:customStyle="1">
    <w:name w:val="Bordered"/>
    <w:basedOn w:val="7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basedOn w:val="77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1" w:customStyle="1">
    <w:name w:val="Bordered - Accent 2"/>
    <w:basedOn w:val="7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2" w:customStyle="1">
    <w:name w:val="Bordered - Accent 3"/>
    <w:basedOn w:val="7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3" w:customStyle="1">
    <w:name w:val="Bordered - Accent 4"/>
    <w:basedOn w:val="77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4" w:customStyle="1">
    <w:name w:val="Bordered - Accent 5"/>
    <w:basedOn w:val="77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5" w:customStyle="1">
    <w:name w:val="Bordered - Accent 6"/>
    <w:basedOn w:val="7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6" w:customStyle="1">
    <w:name w:val="脚注文本 字符"/>
    <w:link w:val="798"/>
    <w:uiPriority w:val="99"/>
    <w:qFormat/>
    <w:rPr>
      <w:sz w:val="18"/>
    </w:rPr>
  </w:style>
  <w:style w:type="character" w:styleId="977" w:customStyle="1">
    <w:name w:val="尾注文本 字符"/>
    <w:link w:val="791"/>
    <w:uiPriority w:val="99"/>
    <w:qFormat/>
    <w:rPr>
      <w:sz w:val="20"/>
    </w:rPr>
  </w:style>
  <w:style w:type="paragraph" w:styleId="978" w:customStyle="1">
    <w:name w:val="TOC 标题111"/>
    <w:uiPriority w:val="39"/>
    <w:unhideWhenUsed/>
    <w:qFormat/>
    <w:rPr>
      <w:rFonts w:ascii="Times New Roman" w:hAnsi="Times New Roman" w:eastAsia="宋体" w:cs="Times New Roman"/>
      <w:lang w:val="en-US" w:eastAsia="zh-CN" w:bidi="ar-SA"/>
    </w:rPr>
  </w:style>
  <w:style w:type="paragraph" w:styleId="979" w:customStyle="1">
    <w:name w:val="正文文本11"/>
    <w:basedOn w:val="764"/>
    <w:uiPriority w:val="99"/>
    <w:qFormat/>
    <w:rPr>
      <w:rFonts w:ascii="楷体_GB2312" w:hAnsi="宋体" w:eastAsia="楷体_GB2312"/>
      <w:sz w:val="28"/>
      <w:szCs w:val="28"/>
    </w:rPr>
  </w:style>
  <w:style w:type="character" w:styleId="980" w:customStyle="1">
    <w:name w:val="标题 6 字符"/>
    <w:link w:val="770"/>
    <w:uiPriority w:val="0"/>
    <w:qFormat/>
    <w:rPr>
      <w:rFonts w:ascii="等线 Light" w:hAnsi="等线 Light" w:eastAsia="等线 Light" w:cs="Times New Roman"/>
      <w:b/>
      <w:bCs/>
      <w:sz w:val="24"/>
      <w:szCs w:val="24"/>
    </w:rPr>
  </w:style>
  <w:style w:type="character" w:styleId="981" w:customStyle="1">
    <w:name w:val="标题 8 字符"/>
    <w:link w:val="772"/>
    <w:uiPriority w:val="0"/>
    <w:semiHidden/>
    <w:qFormat/>
    <w:rPr>
      <w:rFonts w:ascii="等线 Light" w:hAnsi="等线 Light" w:eastAsia="等线 Light" w:cs="Times New Roman"/>
      <w:sz w:val="24"/>
      <w:szCs w:val="24"/>
    </w:rPr>
  </w:style>
  <w:style w:type="paragraph" w:styleId="982" w:customStyle="1">
    <w:name w:val="目录 71"/>
    <w:basedOn w:val="764"/>
    <w:next w:val="764"/>
    <w:uiPriority w:val="39"/>
    <w:unhideWhenUsed/>
    <w:qFormat/>
    <w:pPr>
      <w:ind w:left="2520"/>
    </w:pPr>
    <w:rPr>
      <w:rFonts w:ascii="等线" w:hAnsi="等线" w:eastAsia="等线"/>
      <w:szCs w:val="22"/>
    </w:rPr>
  </w:style>
  <w:style w:type="character" w:styleId="983" w:customStyle="1">
    <w:name w:val="正文缩进 字符"/>
    <w:link w:val="776"/>
    <w:uiPriority w:val="0"/>
    <w:qFormat/>
    <w:rPr>
      <w:sz w:val="21"/>
    </w:rPr>
  </w:style>
  <w:style w:type="character" w:styleId="984" w:customStyle="1">
    <w:name w:val="文档结构图 字符"/>
    <w:link w:val="780"/>
    <w:uiPriority w:val="0"/>
    <w:qFormat/>
    <w:rPr>
      <w:sz w:val="21"/>
      <w:szCs w:val="24"/>
      <w:shd w:val="clear" w:color="auto" w:fill="000080"/>
    </w:rPr>
  </w:style>
  <w:style w:type="character" w:styleId="985" w:customStyle="1">
    <w:name w:val="批注文字 字符"/>
    <w:link w:val="781"/>
    <w:uiPriority w:val="0"/>
    <w:qFormat/>
    <w:rPr>
      <w:sz w:val="21"/>
      <w:szCs w:val="24"/>
    </w:rPr>
  </w:style>
  <w:style w:type="character" w:styleId="986" w:customStyle="1">
    <w:name w:val="正文文本 字符"/>
    <w:link w:val="782"/>
    <w:uiPriority w:val="1"/>
    <w:qFormat/>
    <w:rPr>
      <w:sz w:val="21"/>
      <w:szCs w:val="24"/>
    </w:rPr>
  </w:style>
  <w:style w:type="paragraph" w:styleId="987" w:customStyle="1">
    <w:name w:val="目录 51"/>
    <w:basedOn w:val="764"/>
    <w:next w:val="764"/>
    <w:uiPriority w:val="39"/>
    <w:unhideWhenUsed/>
    <w:qFormat/>
    <w:pPr>
      <w:ind w:left="1680"/>
    </w:pPr>
    <w:rPr>
      <w:rFonts w:ascii="等线" w:hAnsi="等线" w:eastAsia="等线"/>
      <w:szCs w:val="22"/>
    </w:rPr>
  </w:style>
  <w:style w:type="paragraph" w:styleId="988" w:customStyle="1">
    <w:name w:val="目录 31"/>
    <w:basedOn w:val="764"/>
    <w:next w:val="764"/>
    <w:uiPriority w:val="39"/>
    <w:unhideWhenUsed/>
    <w:qFormat/>
    <w:pPr>
      <w:ind w:left="440"/>
      <w:jc w:val="left"/>
      <w:spacing w:after="100" w:line="259" w:lineRule="auto"/>
      <w:widowControl/>
    </w:pPr>
    <w:rPr>
      <w:rFonts w:ascii="等线" w:hAnsi="等线" w:eastAsia="等线"/>
      <w:sz w:val="22"/>
      <w:szCs w:val="22"/>
    </w:rPr>
  </w:style>
  <w:style w:type="character" w:styleId="989" w:customStyle="1">
    <w:name w:val="纯文本 字符"/>
    <w:link w:val="788"/>
    <w:uiPriority w:val="0"/>
    <w:qFormat/>
    <w:rPr>
      <w:rFonts w:ascii="宋体" w:hAnsi="Courier New" w:cs="Courier New"/>
      <w:sz w:val="21"/>
      <w:szCs w:val="21"/>
    </w:rPr>
  </w:style>
  <w:style w:type="paragraph" w:styleId="990" w:customStyle="1">
    <w:name w:val="目录 81"/>
    <w:basedOn w:val="764"/>
    <w:next w:val="764"/>
    <w:uiPriority w:val="39"/>
    <w:unhideWhenUsed/>
    <w:qFormat/>
    <w:pPr>
      <w:ind w:left="2940"/>
    </w:pPr>
    <w:rPr>
      <w:rFonts w:ascii="等线" w:hAnsi="等线" w:eastAsia="等线"/>
      <w:szCs w:val="22"/>
    </w:rPr>
  </w:style>
  <w:style w:type="character" w:styleId="991" w:customStyle="1">
    <w:name w:val="日期 字符"/>
    <w:link w:val="790"/>
    <w:uiPriority w:val="0"/>
    <w:qFormat/>
    <w:rPr>
      <w:sz w:val="24"/>
    </w:rPr>
  </w:style>
  <w:style w:type="character" w:styleId="992" w:customStyle="1">
    <w:name w:val="批注框文本 字符"/>
    <w:link w:val="792"/>
    <w:uiPriority w:val="0"/>
    <w:qFormat/>
    <w:rPr>
      <w:sz w:val="18"/>
      <w:szCs w:val="18"/>
    </w:rPr>
  </w:style>
  <w:style w:type="character" w:styleId="993" w:customStyle="1">
    <w:name w:val="页脚 字符"/>
    <w:link w:val="793"/>
    <w:uiPriority w:val="99"/>
    <w:qFormat/>
    <w:rPr>
      <w:sz w:val="18"/>
      <w:szCs w:val="18"/>
    </w:rPr>
  </w:style>
  <w:style w:type="character" w:styleId="994" w:customStyle="1">
    <w:name w:val="页眉 字符"/>
    <w:link w:val="794"/>
    <w:uiPriority w:val="99"/>
    <w:qFormat/>
    <w:rPr>
      <w:sz w:val="18"/>
      <w:szCs w:val="18"/>
    </w:rPr>
  </w:style>
  <w:style w:type="paragraph" w:styleId="995" w:customStyle="1">
    <w:name w:val="目录 11"/>
    <w:basedOn w:val="764"/>
    <w:next w:val="764"/>
    <w:uiPriority w:val="39"/>
    <w:qFormat/>
    <w:rPr>
      <w:rFonts w:ascii="仿宋_GB2312" w:eastAsia="仿宋_GB2312"/>
      <w:sz w:val="24"/>
    </w:rPr>
  </w:style>
  <w:style w:type="paragraph" w:styleId="996" w:customStyle="1">
    <w:name w:val="目录 41"/>
    <w:basedOn w:val="764"/>
    <w:next w:val="764"/>
    <w:uiPriority w:val="39"/>
    <w:unhideWhenUsed/>
    <w:qFormat/>
    <w:pPr>
      <w:ind w:left="1260"/>
    </w:pPr>
    <w:rPr>
      <w:rFonts w:ascii="等线" w:hAnsi="等线" w:eastAsia="等线"/>
      <w:szCs w:val="22"/>
    </w:rPr>
  </w:style>
  <w:style w:type="paragraph" w:styleId="997" w:customStyle="1">
    <w:name w:val="目录 61"/>
    <w:basedOn w:val="764"/>
    <w:next w:val="764"/>
    <w:uiPriority w:val="39"/>
    <w:unhideWhenUsed/>
    <w:qFormat/>
    <w:pPr>
      <w:ind w:left="2100"/>
    </w:pPr>
    <w:rPr>
      <w:rFonts w:ascii="等线" w:hAnsi="等线" w:eastAsia="等线"/>
      <w:szCs w:val="22"/>
    </w:rPr>
  </w:style>
  <w:style w:type="paragraph" w:styleId="998" w:customStyle="1">
    <w:name w:val="目录 21"/>
    <w:basedOn w:val="764"/>
    <w:next w:val="764"/>
    <w:uiPriority w:val="39"/>
    <w:unhideWhenUsed/>
    <w:qFormat/>
    <w:pPr>
      <w:ind w:left="220"/>
      <w:jc w:val="left"/>
      <w:spacing w:after="100" w:line="259" w:lineRule="auto"/>
      <w:widowControl/>
    </w:pPr>
    <w:rPr>
      <w:rFonts w:ascii="等线" w:hAnsi="等线" w:eastAsia="等线"/>
      <w:sz w:val="22"/>
      <w:szCs w:val="22"/>
    </w:rPr>
  </w:style>
  <w:style w:type="paragraph" w:styleId="999" w:customStyle="1">
    <w:name w:val="目录 91"/>
    <w:basedOn w:val="764"/>
    <w:next w:val="764"/>
    <w:uiPriority w:val="39"/>
    <w:unhideWhenUsed/>
    <w:qFormat/>
    <w:pPr>
      <w:ind w:left="3360"/>
    </w:pPr>
    <w:rPr>
      <w:rFonts w:ascii="等线" w:hAnsi="等线" w:eastAsia="等线"/>
      <w:szCs w:val="22"/>
    </w:rPr>
  </w:style>
  <w:style w:type="character" w:styleId="1000" w:customStyle="1">
    <w:name w:val="正文文本 2 字符"/>
    <w:link w:val="803"/>
    <w:uiPriority w:val="0"/>
    <w:qFormat/>
    <w:rPr>
      <w:rFonts w:ascii="Calibri" w:hAnsi="Calibri"/>
      <w:sz w:val="21"/>
      <w:szCs w:val="24"/>
    </w:rPr>
  </w:style>
  <w:style w:type="character" w:styleId="1001" w:customStyle="1">
    <w:name w:val="标题 字符"/>
    <w:link w:val="805"/>
    <w:uiPriority w:val="0"/>
    <w:qFormat/>
    <w:rPr>
      <w:rFonts w:ascii="等线 Light" w:hAnsi="等线 Light" w:eastAsia="宋体" w:cs="Times New Roman"/>
      <w:b/>
      <w:bCs/>
      <w:sz w:val="32"/>
      <w:szCs w:val="32"/>
    </w:rPr>
  </w:style>
  <w:style w:type="character" w:styleId="1002" w:customStyle="1">
    <w:name w:val="批注主题 字符"/>
    <w:link w:val="806"/>
    <w:uiPriority w:val="0"/>
    <w:qFormat/>
    <w:rPr>
      <w:b/>
      <w:bCs/>
      <w:sz w:val="21"/>
      <w:szCs w:val="24"/>
    </w:rPr>
  </w:style>
  <w:style w:type="character" w:styleId="1003" w:customStyle="1">
    <w:name w:val="p0 Char"/>
    <w:link w:val="1004"/>
    <w:uiPriority w:val="0"/>
    <w:qFormat/>
    <w:rPr>
      <w:rFonts w:eastAsia="宋体"/>
      <w:sz w:val="21"/>
      <w:szCs w:val="21"/>
      <w:lang w:val="en-US" w:eastAsia="zh-CN" w:bidi="ar-SA"/>
    </w:rPr>
  </w:style>
  <w:style w:type="paragraph" w:styleId="1004" w:customStyle="1">
    <w:name w:val="p0"/>
    <w:basedOn w:val="764"/>
    <w:link w:val="1003"/>
    <w:uiPriority w:val="0"/>
    <w:qFormat/>
    <w:pPr>
      <w:widowControl/>
    </w:pPr>
    <w:rPr>
      <w:szCs w:val="21"/>
    </w:rPr>
  </w:style>
  <w:style w:type="character" w:styleId="1005" w:customStyle="1">
    <w:name w:val="标题 2 Char Char Char"/>
    <w:uiPriority w:val="0"/>
    <w:qFormat/>
    <w:rPr>
      <w:rFonts w:ascii="Arial" w:hAnsi="Arial" w:eastAsia="黑体"/>
      <w:b/>
      <w:bCs/>
      <w:sz w:val="32"/>
      <w:szCs w:val="32"/>
      <w:lang w:val="en-US" w:eastAsia="zh-CN" w:bidi="ar-SA"/>
    </w:rPr>
  </w:style>
  <w:style w:type="character" w:styleId="1006" w:customStyle="1">
    <w:name w:val="NormalCharacter"/>
    <w:uiPriority w:val="0"/>
    <w:semiHidden/>
    <w:qFormat/>
  </w:style>
  <w:style w:type="paragraph" w:styleId="1007" w:customStyle="1">
    <w:name w:val="标题 21"/>
    <w:basedOn w:val="764"/>
    <w:next w:val="764"/>
    <w:uiPriority w:val="0"/>
    <w:qFormat/>
    <w:pPr>
      <w:jc w:val="center"/>
      <w:keepNext/>
      <w:widowControl/>
    </w:pPr>
    <w:rPr>
      <w:rFonts w:ascii="楷体_GB2312" w:eastAsia="楷体_GB2312"/>
      <w:sz w:val="18"/>
      <w:szCs w:val="20"/>
    </w:rPr>
  </w:style>
  <w:style w:type="paragraph" w:styleId="1008" w:customStyle="1">
    <w:name w:val="TOC 标题11"/>
    <w:basedOn w:val="765"/>
    <w:next w:val="76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09">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10" w:customStyle="1">
    <w:name w:val="样式1"/>
    <w:basedOn w:val="765"/>
    <w:link w:val="1011"/>
    <w:uiPriority w:val="0"/>
    <w:qFormat/>
    <w:pPr>
      <w:ind w:left="210" w:right="210"/>
    </w:pPr>
  </w:style>
  <w:style w:type="character" w:styleId="1011" w:customStyle="1">
    <w:name w:val="样式1 字符"/>
    <w:link w:val="1010"/>
    <w:uiPriority w:val="0"/>
    <w:qFormat/>
  </w:style>
  <w:style w:type="paragraph" w:styleId="1012" w:customStyle="1">
    <w:name w:val="标题 211"/>
    <w:basedOn w:val="76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3" w:customStyle="1">
    <w:name w:val="列出段落1"/>
    <w:basedOn w:val="764"/>
    <w:uiPriority w:val="1"/>
    <w:qFormat/>
    <w:pPr>
      <w:ind w:left="400" w:firstLine="420"/>
      <w:jc w:val="left"/>
    </w:pPr>
    <w:rPr>
      <w:rFonts w:ascii="宋体" w:hAnsi="宋体" w:cs="宋体"/>
      <w:sz w:val="22"/>
      <w:szCs w:val="22"/>
      <w:lang w:val="zh-CN" w:bidi="zh-CN"/>
    </w:rPr>
  </w:style>
  <w:style w:type="paragraph" w:styleId="1014" w:customStyle="1">
    <w:name w:val="Table Paragraph"/>
    <w:basedOn w:val="764"/>
    <w:uiPriority w:val="1"/>
    <w:qFormat/>
    <w:pPr>
      <w:jc w:val="left"/>
    </w:pPr>
    <w:rPr>
      <w:rFonts w:ascii="宋体" w:hAnsi="宋体" w:cs="宋体"/>
      <w:sz w:val="22"/>
      <w:szCs w:val="22"/>
      <w:lang w:val="zh-CN" w:bidi="zh-CN"/>
    </w:rPr>
  </w:style>
  <w:style w:type="character" w:styleId="1015" w:customStyle="1">
    <w:name w:val="ask-title2"/>
    <w:uiPriority w:val="0"/>
    <w:qFormat/>
  </w:style>
  <w:style w:type="paragraph" w:styleId="1016" w:customStyle="1">
    <w:name w:val="列出段落2"/>
    <w:basedOn w:val="764"/>
    <w:uiPriority w:val="99"/>
    <w:unhideWhenUsed/>
    <w:qFormat/>
    <w:pPr>
      <w:ind w:firstLine="420"/>
      <w:jc w:val="left"/>
    </w:pPr>
    <w:rPr>
      <w:rFonts w:ascii="宋体"/>
      <w:sz w:val="20"/>
      <w:szCs w:val="20"/>
    </w:rPr>
  </w:style>
  <w:style w:type="paragraph" w:styleId="1017" w:customStyle="1">
    <w:name w:val="纯文本1"/>
    <w:basedOn w:val="764"/>
    <w:uiPriority w:val="0"/>
    <w:qFormat/>
    <w:rPr>
      <w:rFonts w:ascii="宋体" w:hAnsi="Courier New"/>
      <w:sz w:val="20"/>
      <w:szCs w:val="21"/>
    </w:rPr>
  </w:style>
  <w:style w:type="character" w:styleId="1018" w:customStyle="1">
    <w:name w:val="纯文本 Char2"/>
    <w:uiPriority w:val="0"/>
    <w:qFormat/>
    <w:rPr>
      <w:rFonts w:ascii="宋体" w:hAnsi="Courier New"/>
      <w:sz w:val="21"/>
    </w:rPr>
  </w:style>
  <w:style w:type="paragraph" w:styleId="1019" w:customStyle="1">
    <w:name w:val="列出段落11"/>
    <w:basedOn w:val="764"/>
    <w:uiPriority w:val="0"/>
    <w:qFormat/>
    <w:pPr>
      <w:ind w:firstLine="420"/>
      <w:spacing w:line="0" w:lineRule="atLeast"/>
    </w:pPr>
    <w:rPr>
      <w:rFonts w:eastAsia="微软雅黑"/>
      <w:sz w:val="20"/>
      <w:szCs w:val="20"/>
    </w:rPr>
  </w:style>
  <w:style w:type="character" w:styleId="1020" w:customStyle="1">
    <w:name w:val="纯文本 Char"/>
    <w:link w:val="1021"/>
    <w:uiPriority w:val="0"/>
    <w:qFormat/>
    <w:rPr>
      <w:rFonts w:ascii="宋体" w:hAnsi="Courier New"/>
    </w:rPr>
  </w:style>
  <w:style w:type="paragraph" w:styleId="1021" w:customStyle="1">
    <w:name w:val="纯文本2"/>
    <w:basedOn w:val="764"/>
    <w:link w:val="1020"/>
    <w:uiPriority w:val="0"/>
    <w:qFormat/>
    <w:pPr>
      <w:ind w:firstLine="200"/>
      <w:spacing w:line="360" w:lineRule="auto"/>
    </w:pPr>
    <w:rPr>
      <w:rFonts w:ascii="宋体" w:hAnsi="Courier New"/>
      <w:sz w:val="20"/>
      <w:szCs w:val="20"/>
    </w:rPr>
  </w:style>
  <w:style w:type="character" w:styleId="1022" w:customStyle="1">
    <w:name w:val="页脚 Char"/>
    <w:uiPriority w:val="0"/>
    <w:qFormat/>
    <w:rPr>
      <w:sz w:val="18"/>
      <w:szCs w:val="18"/>
    </w:rPr>
  </w:style>
  <w:style w:type="paragraph" w:styleId="1023" w:customStyle="1">
    <w:name w:val="_Style 83"/>
    <w:basedOn w:val="764"/>
    <w:next w:val="1013"/>
    <w:uiPriority w:val="99"/>
    <w:qFormat/>
    <w:pPr>
      <w:ind w:firstLine="420"/>
    </w:pPr>
  </w:style>
  <w:style w:type="character" w:styleId="1024">
    <w:name w:val="Placeholder Text"/>
    <w:basedOn w:val="774"/>
    <w:uiPriority w:val="99"/>
    <w:unhideWhenUsed/>
    <w:qFormat/>
    <w:rPr>
      <w:color w:val="808080"/>
    </w:rPr>
  </w:style>
  <w:style w:type="paragraph" w:styleId="1025" w:customStyle="1">
    <w:name w:val="pf0"/>
    <w:basedOn w:val="764"/>
    <w:uiPriority w:val="0"/>
    <w:qFormat/>
    <w:pPr>
      <w:jc w:val="left"/>
      <w:spacing w:before="100" w:beforeAutospacing="1" w:after="100" w:afterAutospacing="1"/>
      <w:widowControl/>
    </w:pPr>
    <w:rPr>
      <w:rFonts w:ascii="宋体" w:hAnsi="宋体" w:cs="宋体"/>
      <w:sz w:val="24"/>
    </w:rPr>
  </w:style>
  <w:style w:type="character" w:styleId="1026" w:customStyle="1">
    <w:name w:val="cf01"/>
    <w:basedOn w:val="774"/>
    <w:uiPriority w:val="0"/>
    <w:qFormat/>
    <w:rPr>
      <w:rFonts w:hint="eastAsia" w:ascii="Microsoft YaHei UI" w:hAnsi="Microsoft YaHei UI" w:eastAsia="Microsoft YaHei UI"/>
      <w:sz w:val="18"/>
      <w:szCs w:val="18"/>
    </w:rPr>
  </w:style>
  <w:style w:type="character" w:styleId="1027" w:customStyle="1">
    <w:name w:val="cf11"/>
    <w:basedOn w:val="774"/>
    <w:uiPriority w:val="0"/>
    <w:qFormat/>
    <w:rPr>
      <w:rFonts w:hint="eastAsia" w:ascii="Microsoft YaHei UI" w:hAnsi="Microsoft YaHei UI" w:eastAsia="Microsoft YaHei UI"/>
      <w:sz w:val="18"/>
      <w:szCs w:val="18"/>
    </w:rPr>
  </w:style>
  <w:style w:type="paragraph" w:styleId="1028">
    <w:name w:val="List Paragraph"/>
    <w:basedOn w:val="764"/>
    <w:uiPriority w:val="1"/>
    <w:qFormat/>
    <w:pPr>
      <w:ind w:firstLine="420"/>
    </w:pPr>
  </w:style>
  <w:style w:type="paragraph" w:styleId="1029" w:customStyle="1">
    <w:name w:val="标题1，章节第一层"/>
    <w:basedOn w:val="764"/>
    <w:next w:val="764"/>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30" w:customStyle="1">
    <w:name w:val="标准文本"/>
    <w:basedOn w:val="764"/>
    <w:uiPriority w:val="0"/>
    <w:qFormat/>
    <w:pPr>
      <w:ind w:firstLine="480"/>
      <w:spacing w:line="360" w:lineRule="auto"/>
    </w:pPr>
    <w:rPr>
      <w:rFonts w:ascii="Calibri" w:hAnsi="Calibri" w:eastAsia="Calibri" w:cs="宋体"/>
      <w:sz w:val="24"/>
      <w:lang w:val="zh-CN"/>
    </w:rPr>
  </w:style>
  <w:style w:type="character" w:styleId="1031" w:customStyle="1">
    <w:name w:val="标准文本 Char Char"/>
    <w:uiPriority w:val="0"/>
    <w:qFormat/>
    <w:rPr>
      <w:rFonts w:eastAsia="宋体" w:cs="宋体"/>
      <w:sz w:val="24"/>
      <w:szCs w:val="24"/>
      <w:lang w:val="en-US" w:eastAsia="zh-CN" w:bidi="ar-SA"/>
    </w:rPr>
  </w:style>
  <w:style w:type="character" w:styleId="1032" w:customStyle="1">
    <w:name w:val="标准小四 Char Char"/>
    <w:uiPriority w:val="0"/>
    <w:qFormat/>
    <w:rPr>
      <w:rFonts w:ascii="Arial" w:hAnsi="Arial" w:eastAsia="宋体"/>
      <w:sz w:val="24"/>
      <w:szCs w:val="21"/>
      <w:lang w:val="en-US" w:eastAsia="zh-CN" w:bidi="ar-SA"/>
    </w:rPr>
  </w:style>
  <w:style w:type="character" w:styleId="1033" w:customStyle="1">
    <w:name w:val="标准文本 Char"/>
    <w:uiPriority w:val="0"/>
    <w:qFormat/>
    <w:rPr>
      <w:rFonts w:eastAsia="宋体" w:cs="宋体"/>
      <w:sz w:val="24"/>
      <w:szCs w:val="24"/>
      <w:lang w:val="en-US" w:eastAsia="zh-CN" w:bidi="ar-SA"/>
    </w:rPr>
  </w:style>
  <w:style w:type="character" w:styleId="1034" w:customStyle="1">
    <w:name w:val="未处理的提及1"/>
    <w:basedOn w:val="774"/>
    <w:uiPriority w:val="99"/>
    <w:semiHidden/>
    <w:unhideWhenUsed/>
    <w:qFormat/>
    <w:rPr>
      <w:color w:val="605e5c"/>
      <w:shd w:val="clear" w:color="auto" w:fill="e1dfdd"/>
    </w:rPr>
  </w:style>
  <w:style w:type="paragraph" w:styleId="1035" w:customStyle="1">
    <w:name w:val="列出段落3"/>
    <w:basedOn w:val="764"/>
    <w:uiPriority w:val="99"/>
    <w:qFormat/>
    <w:pPr>
      <w:ind w:firstLine="420"/>
    </w:pPr>
  </w:style>
  <w:style w:type="paragraph" w:styleId="1036" w:customStyle="1">
    <w:name w:val="Normal_8_0"/>
    <w:uiPriority w:val="0"/>
    <w:qFormat/>
    <w:rPr>
      <w:rFonts w:ascii="Times New Roman" w:hAnsi="Times New Roman" w:eastAsia="Times New Roman" w:cs="Times New Roman"/>
      <w:sz w:val="24"/>
      <w:szCs w:val="24"/>
      <w:lang w:val="en-US" w:eastAsia="zh-CN" w:bidi="ar-SA"/>
    </w:rPr>
  </w:style>
  <w:style w:type="character" w:styleId="1037"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38" w:customStyle="1">
    <w:name w:val="font41"/>
    <w:basedOn w:val="774"/>
    <w:uiPriority w:val="0"/>
    <w:qFormat/>
    <w:rPr>
      <w:rFonts w:hint="default" w:ascii="方正仿宋_GBK" w:hAnsi="方正仿宋_GBK" w:eastAsia="方正仿宋_GBK" w:cs="方正仿宋_GBK"/>
      <w:b/>
      <w:bCs/>
      <w:color w:val="000000"/>
      <w:sz w:val="22"/>
      <w:szCs w:val="22"/>
      <w:u w:val="none"/>
    </w:rPr>
  </w:style>
  <w:style w:type="character" w:styleId="1039" w:customStyle="1">
    <w:name w:val="font31"/>
    <w:basedOn w:val="774"/>
    <w:uiPriority w:val="0"/>
    <w:qFormat/>
    <w:rPr>
      <w:rFonts w:hint="default" w:ascii="方正仿宋_GBK" w:hAnsi="方正仿宋_GBK" w:eastAsia="方正仿宋_GBK" w:cs="方正仿宋_GBK"/>
      <w:color w:val="000000"/>
      <w:sz w:val="22"/>
      <w:szCs w:val="22"/>
      <w:u w:val="none"/>
    </w:rPr>
  </w:style>
  <w:style w:type="character" w:styleId="1040" w:customStyle="1">
    <w:name w:val="不明显参考1"/>
    <w:uiPriority w:val="31"/>
    <w:qFormat/>
    <w:rPr>
      <w:smallCaps/>
    </w:rPr>
  </w:style>
  <w:style w:type="paragraph" w:styleId="1041" w:customStyle="1">
    <w:name w:val="Normal_5_0"/>
    <w:uiPriority w:val="0"/>
    <w:qFormat/>
    <w:rPr>
      <w:rFonts w:ascii="Times New Roman" w:hAnsi="Times New Roman" w:eastAsia="Times New Roman" w:cs="Times New Roman"/>
      <w:sz w:val="24"/>
      <w:szCs w:val="24"/>
      <w:lang w:val="en-US" w:eastAsia="zh-CN" w:bidi="ar-SA"/>
    </w:rPr>
  </w:style>
  <w:style w:type="character" w:styleId="1042" w:customStyle="1">
    <w:name w:val="默认段落字体11"/>
    <w:uiPriority w:val="1"/>
    <w:unhideWhenUsed/>
    <w:qFormat/>
  </w:style>
  <w:style w:type="paragraph" w:styleId="1043" w:customStyle="1">
    <w:name w:val="Normal_17"/>
    <w:uiPriority w:val="0"/>
    <w:qFormat/>
    <w:rPr>
      <w:rFonts w:ascii="Times New Roman" w:hAnsi="Times New Roman" w:eastAsia="Times New Roman" w:cs="Times New Roman"/>
      <w:sz w:val="24"/>
      <w:szCs w:val="24"/>
      <w:lang w:val="en-US" w:eastAsia="zh-CN" w:bidi="ar-SA"/>
    </w:rPr>
  </w:style>
  <w:style w:type="paragraph" w:styleId="1044" w:customStyle="1">
    <w:name w:val="Normal_0_3"/>
    <w:uiPriority w:val="0"/>
    <w:qFormat/>
    <w:rPr>
      <w:rFonts w:ascii="Times New Roman" w:hAnsi="Times New Roman" w:eastAsia="Times New Roman" w:cs="Times New Roman"/>
      <w:sz w:val="24"/>
      <w:szCs w:val="24"/>
      <w:lang w:val="en-US" w:eastAsia="zh-CN" w:bidi="ar-SA"/>
    </w:rPr>
  </w:style>
  <w:style w:type="paragraph" w:styleId="1045" w:customStyle="1">
    <w:name w:val="Normal_23"/>
    <w:uiPriority w:val="0"/>
    <w:qFormat/>
    <w:rPr>
      <w:rFonts w:ascii="Times New Roman" w:hAnsi="Times New Roman" w:eastAsia="Times New Roman" w:cs="Times New Roman"/>
      <w:sz w:val="24"/>
      <w:szCs w:val="24"/>
      <w:lang w:val="en-US" w:eastAsia="zh-CN" w:bidi="ar-SA"/>
    </w:rPr>
  </w:style>
  <w:style w:type="paragraph" w:styleId="1046"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47" w:customStyle="1">
    <w:name w:val="列表段落1"/>
    <w:basedOn w:val="764"/>
    <w:uiPriority w:val="99"/>
    <w:qFormat/>
    <w:pPr>
      <w:ind w:firstLine="420"/>
    </w:pPr>
  </w:style>
  <w:style w:type="character" w:styleId="1048" w:customStyle="1">
    <w:name w:val="font21"/>
    <w:basedOn w:val="774"/>
    <w:uiPriority w:val="0"/>
    <w:qFormat/>
    <w:rPr>
      <w:rFonts w:hint="eastAsia" w:ascii="等线" w:hAnsi="等线" w:eastAsia="等线" w:cs="等线"/>
      <w:color w:val="000000"/>
      <w:sz w:val="21"/>
      <w:szCs w:val="21"/>
      <w:u w:val="none"/>
    </w:rPr>
  </w:style>
  <w:style w:type="character" w:styleId="1049" w:customStyle="1">
    <w:name w:val="font11"/>
    <w:basedOn w:val="774"/>
    <w:uiPriority w:val="0"/>
    <w:qFormat/>
    <w:rPr>
      <w:rFonts w:hint="eastAsia" w:ascii="宋体" w:hAnsi="宋体" w:eastAsia="宋体" w:cs="宋体"/>
      <w:color w:val="000000"/>
      <w:sz w:val="21"/>
      <w:szCs w:val="21"/>
      <w:u w:val="none"/>
    </w:rPr>
  </w:style>
  <w:style w:type="paragraph" w:styleId="1050" w:customStyle="1">
    <w:name w:val="null3"/>
    <w:hidden/>
    <w:uiPriority w:val="0"/>
    <w:qFormat/>
    <w:rPr>
      <w:rFonts w:hint="eastAsia" w:asciiTheme="minorHAnsi" w:hAnsiTheme="minorHAnsi" w:eastAsiaTheme="minorEastAsia" w:cstheme="minorBidi"/>
      <w:lang w:val="en-US" w:eastAsia="zh-Hans" w:bidi="ar-SA"/>
    </w:rPr>
  </w:style>
  <w:style w:type="paragraph" w:styleId="1051" w:customStyle="1">
    <w:name w:val="Plain Text1"/>
    <w:basedOn w:val="764"/>
    <w:uiPriority w:val="0"/>
    <w:qFormat/>
    <w:pPr>
      <w:jc w:val="left"/>
      <w:widowControl/>
    </w:pPr>
    <w:rPr>
      <w:rFonts w:ascii="宋体" w:hAnsi="Courier New" w:eastAsia="楷体_GB2312"/>
      <w:sz w:val="26"/>
      <w:szCs w:val="20"/>
    </w:rPr>
  </w:style>
  <w:style w:type="paragraph" w:styleId="105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293bd950-0d36-4f31-8531-3a305d7a1ad8}"/>
        <w:description w:val=""/>
        <w:category>
          <w:name w:val="常规"/>
          <w:gallery w:val="placeholder"/>
        </w:category>
        <w:types>
          <w:type w:val="bbPlcHdr"/>
        </w:types>
        <w:behaviors>
          <w:behavior w:val="content"/>
        </w:behaviors>
        <w:guid w:val="{293BD950-0D36-4F31-8531-3A305D7A1AD8}"/>
      </w:docPartPr>
      <w:docPartBody>
        <w:p>
          <w:pPr>
            <w:rPr>
              <w:rFonts w:hint="eastAsia"/>
            </w:rPr>
          </w:pPr>
          <w:r>
            <w:rPr>
              <w:rStyle w:val="1720"/>
              <w:rFonts w:hint="eastAsia"/>
            </w:rPr>
            <w:t xml:space="preserve">单击或点击此处输入文字。</w:t>
          </w:r>
          <w:r/>
        </w:p>
      </w:docPartBody>
    </w:docPart>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719"/>
            <w:rPr>
              <w:rFonts w:hint="eastAsia"/>
            </w:rPr>
          </w:pPr>
          <w:r>
            <w:rPr>
              <w:rStyle w:val="1720"/>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02">
    <w:name w:val="Heading 1 Char"/>
    <w:basedOn w:val="1550"/>
    <w:link w:val="1541"/>
    <w:uiPriority w:val="9"/>
    <w:rPr>
      <w:rFonts w:ascii="Arial" w:hAnsi="Arial" w:eastAsia="Arial" w:cs="Arial"/>
      <w:sz w:val="40"/>
      <w:szCs w:val="40"/>
    </w:rPr>
  </w:style>
  <w:style w:type="character" w:styleId="1503">
    <w:name w:val="Heading 2 Char"/>
    <w:basedOn w:val="1550"/>
    <w:link w:val="1542"/>
    <w:uiPriority w:val="9"/>
    <w:rPr>
      <w:rFonts w:ascii="Arial" w:hAnsi="Arial" w:eastAsia="Arial" w:cs="Arial"/>
      <w:sz w:val="34"/>
    </w:rPr>
  </w:style>
  <w:style w:type="character" w:styleId="1504">
    <w:name w:val="Heading 3 Char"/>
    <w:basedOn w:val="1550"/>
    <w:link w:val="1543"/>
    <w:uiPriority w:val="9"/>
    <w:rPr>
      <w:rFonts w:ascii="Arial" w:hAnsi="Arial" w:eastAsia="Arial" w:cs="Arial"/>
      <w:sz w:val="30"/>
      <w:szCs w:val="30"/>
    </w:rPr>
  </w:style>
  <w:style w:type="character" w:styleId="1505">
    <w:name w:val="Heading 4 Char"/>
    <w:basedOn w:val="1550"/>
    <w:link w:val="1544"/>
    <w:uiPriority w:val="9"/>
    <w:rPr>
      <w:rFonts w:ascii="Arial" w:hAnsi="Arial" w:eastAsia="Arial" w:cs="Arial"/>
      <w:b/>
      <w:bCs/>
      <w:sz w:val="26"/>
      <w:szCs w:val="26"/>
    </w:rPr>
  </w:style>
  <w:style w:type="character" w:styleId="1506">
    <w:name w:val="Heading 5 Char"/>
    <w:basedOn w:val="1550"/>
    <w:link w:val="1545"/>
    <w:uiPriority w:val="9"/>
    <w:rPr>
      <w:rFonts w:ascii="Arial" w:hAnsi="Arial" w:eastAsia="Arial" w:cs="Arial"/>
      <w:b/>
      <w:bCs/>
      <w:sz w:val="24"/>
      <w:szCs w:val="24"/>
    </w:rPr>
  </w:style>
  <w:style w:type="character" w:styleId="1507">
    <w:name w:val="Heading 6 Char"/>
    <w:basedOn w:val="1550"/>
    <w:link w:val="1546"/>
    <w:uiPriority w:val="9"/>
    <w:rPr>
      <w:rFonts w:ascii="Arial" w:hAnsi="Arial" w:eastAsia="Arial" w:cs="Arial"/>
      <w:b/>
      <w:bCs/>
      <w:sz w:val="22"/>
      <w:szCs w:val="22"/>
    </w:rPr>
  </w:style>
  <w:style w:type="character" w:styleId="1508">
    <w:name w:val="Heading 7 Char"/>
    <w:basedOn w:val="1550"/>
    <w:link w:val="1547"/>
    <w:uiPriority w:val="9"/>
    <w:rPr>
      <w:rFonts w:ascii="Arial" w:hAnsi="Arial" w:eastAsia="Arial" w:cs="Arial"/>
      <w:b/>
      <w:bCs/>
      <w:i/>
      <w:iCs/>
      <w:sz w:val="22"/>
      <w:szCs w:val="22"/>
    </w:rPr>
  </w:style>
  <w:style w:type="character" w:styleId="1509">
    <w:name w:val="Heading 8 Char"/>
    <w:basedOn w:val="1550"/>
    <w:link w:val="1548"/>
    <w:uiPriority w:val="9"/>
    <w:rPr>
      <w:rFonts w:ascii="Arial" w:hAnsi="Arial" w:eastAsia="Arial" w:cs="Arial"/>
      <w:i/>
      <w:iCs/>
      <w:sz w:val="22"/>
      <w:szCs w:val="22"/>
    </w:rPr>
  </w:style>
  <w:style w:type="character" w:styleId="1510">
    <w:name w:val="Heading 9 Char"/>
    <w:basedOn w:val="1550"/>
    <w:link w:val="1549"/>
    <w:uiPriority w:val="9"/>
    <w:rPr>
      <w:rFonts w:ascii="Arial" w:hAnsi="Arial" w:eastAsia="Arial" w:cs="Arial"/>
      <w:i/>
      <w:iCs/>
      <w:sz w:val="21"/>
      <w:szCs w:val="21"/>
    </w:rPr>
  </w:style>
  <w:style w:type="character" w:styleId="1511">
    <w:name w:val="Title Char"/>
    <w:basedOn w:val="1550"/>
    <w:link w:val="1582"/>
    <w:uiPriority w:val="10"/>
    <w:rPr>
      <w:sz w:val="48"/>
      <w:szCs w:val="48"/>
    </w:rPr>
  </w:style>
  <w:style w:type="character" w:styleId="1512">
    <w:name w:val="Subtitle Char"/>
    <w:basedOn w:val="1550"/>
    <w:link w:val="1584"/>
    <w:uiPriority w:val="11"/>
    <w:rPr>
      <w:sz w:val="24"/>
      <w:szCs w:val="24"/>
    </w:rPr>
  </w:style>
  <w:style w:type="character" w:styleId="1513">
    <w:name w:val="Quote Char"/>
    <w:link w:val="1586"/>
    <w:uiPriority w:val="29"/>
    <w:rPr>
      <w:i/>
    </w:rPr>
  </w:style>
  <w:style w:type="character" w:styleId="1514">
    <w:name w:val="Intense Quote Char"/>
    <w:link w:val="1588"/>
    <w:uiPriority w:val="30"/>
    <w:rPr>
      <w:i/>
    </w:rPr>
  </w:style>
  <w:style w:type="character" w:styleId="1515">
    <w:name w:val="Header Char"/>
    <w:basedOn w:val="1550"/>
    <w:link w:val="1590"/>
    <w:uiPriority w:val="99"/>
  </w:style>
  <w:style w:type="character" w:styleId="1516">
    <w:name w:val="Footer Char"/>
    <w:basedOn w:val="1550"/>
    <w:link w:val="1592"/>
    <w:uiPriority w:val="99"/>
  </w:style>
  <w:style w:type="character" w:styleId="1517">
    <w:name w:val="Caption Char"/>
    <w:basedOn w:val="1593"/>
    <w:link w:val="1592"/>
    <w:uiPriority w:val="99"/>
  </w:style>
  <w:style w:type="table" w:styleId="1518">
    <w:name w:val="Plain Table 1"/>
    <w:basedOn w:val="15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19">
    <w:name w:val="Plain Table 2"/>
    <w:basedOn w:val="15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20">
    <w:name w:val="Plain Table 3"/>
    <w:basedOn w:val="15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21">
    <w:name w:val="Plain Table 4"/>
    <w:basedOn w:val="15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22">
    <w:name w:val="Plain Table 5"/>
    <w:basedOn w:val="15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23">
    <w:name w:val="Grid Table 1 Light"/>
    <w:basedOn w:val="15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24">
    <w:name w:val="Grid Table 2"/>
    <w:basedOn w:val="15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25">
    <w:name w:val="Grid Table 3"/>
    <w:basedOn w:val="15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6">
    <w:name w:val="Grid Table 4"/>
    <w:basedOn w:val="15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27">
    <w:name w:val="Grid Table 5 Dark"/>
    <w:basedOn w:val="15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28">
    <w:name w:val="Grid Table 6 Colorful"/>
    <w:basedOn w:val="15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29">
    <w:name w:val="Grid Table 7 Colorful"/>
    <w:basedOn w:val="15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30">
    <w:name w:val="List Table 1 Light"/>
    <w:basedOn w:val="15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31">
    <w:name w:val="List Table 2"/>
    <w:basedOn w:val="15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32">
    <w:name w:val="List Table 3"/>
    <w:basedOn w:val="15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33">
    <w:name w:val="List Table 4"/>
    <w:basedOn w:val="15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34">
    <w:name w:val="List Table 5 Dark"/>
    <w:basedOn w:val="15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35">
    <w:name w:val="List Table 6 Colorful"/>
    <w:basedOn w:val="15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36">
    <w:name w:val="List Table 7 Colorful"/>
    <w:basedOn w:val="15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537">
    <w:name w:val="Footnote Text Char"/>
    <w:link w:val="1703"/>
    <w:uiPriority w:val="99"/>
    <w:rPr>
      <w:sz w:val="18"/>
    </w:rPr>
  </w:style>
  <w:style w:type="character" w:styleId="1538">
    <w:name w:val="Endnote Text Char"/>
    <w:link w:val="1706"/>
    <w:uiPriority w:val="99"/>
    <w:rPr>
      <w:sz w:val="20"/>
    </w:rPr>
  </w:style>
  <w:style w:type="paragraph" w:styleId="1539">
    <w:name w:val="TOC Heading"/>
    <w:uiPriority w:val="39"/>
    <w:unhideWhenUsed/>
  </w:style>
  <w:style w:type="paragraph" w:styleId="1540" w:default="1">
    <w:name w:val="Normal"/>
    <w:uiPriority w:val="0"/>
    <w:qFormat/>
    <w:rPr>
      <w:rFonts w:asciiTheme="minorHAnsi" w:hAnsiTheme="minorHAnsi" w:eastAsiaTheme="minorEastAsia" w:cstheme="minorBidi"/>
      <w:lang w:val="en-US" w:eastAsia="zh-CN" w:bidi="ar-SA"/>
    </w:rPr>
  </w:style>
  <w:style w:type="paragraph" w:styleId="1541">
    <w:name w:val="Heading 1"/>
    <w:link w:val="1571"/>
    <w:uiPriority w:val="9"/>
    <w:qFormat/>
    <w:pPr>
      <w:keepLines/>
      <w:keepNext/>
      <w:spacing w:before="480" w:after="200"/>
      <w:outlineLvl w:val="0"/>
    </w:pPr>
    <w:rPr>
      <w:rFonts w:ascii="Arial" w:hAnsi="Arial" w:eastAsia="Arial" w:cs="Arial"/>
      <w:sz w:val="40"/>
      <w:szCs w:val="40"/>
      <w:lang w:val="en-US" w:eastAsia="zh-CN" w:bidi="ar-SA"/>
    </w:rPr>
  </w:style>
  <w:style w:type="paragraph" w:styleId="1542">
    <w:name w:val="Heading 2"/>
    <w:link w:val="1572"/>
    <w:uiPriority w:val="9"/>
    <w:unhideWhenUsed/>
    <w:qFormat/>
    <w:pPr>
      <w:keepLines/>
      <w:keepNext/>
      <w:spacing w:before="360" w:after="200"/>
      <w:outlineLvl w:val="1"/>
    </w:pPr>
    <w:rPr>
      <w:rFonts w:ascii="Arial" w:hAnsi="Arial" w:eastAsia="Arial" w:cs="Arial"/>
      <w:sz w:val="34"/>
      <w:lang w:val="en-US" w:eastAsia="zh-CN" w:bidi="ar-SA"/>
    </w:rPr>
  </w:style>
  <w:style w:type="paragraph" w:styleId="1543">
    <w:name w:val="Heading 3"/>
    <w:link w:val="1573"/>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1544">
    <w:name w:val="Heading 4"/>
    <w:link w:val="1574"/>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545">
    <w:name w:val="Heading 5"/>
    <w:link w:val="1575"/>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1546">
    <w:name w:val="Heading 6"/>
    <w:link w:val="1576"/>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1547">
    <w:name w:val="Heading 7"/>
    <w:link w:val="1577"/>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1548">
    <w:name w:val="Heading 8"/>
    <w:link w:val="1578"/>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1549">
    <w:name w:val="Heading 9"/>
    <w:link w:val="1579"/>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1550" w:default="1">
    <w:name w:val="Default Paragraph Font"/>
    <w:uiPriority w:val="1"/>
    <w:semiHidden/>
    <w:unhideWhenUsed/>
    <w:qFormat/>
  </w:style>
  <w:style w:type="table" w:styleId="1551" w:default="1">
    <w:name w:val="Normal Table"/>
    <w:uiPriority w:val="99"/>
    <w:semiHidden/>
    <w:unhideWhenUsed/>
    <w:qFormat/>
    <w:tblPr>
      <w:tblCellMar>
        <w:left w:w="108" w:type="dxa"/>
        <w:top w:w="0" w:type="dxa"/>
        <w:right w:w="108" w:type="dxa"/>
        <w:bottom w:w="0" w:type="dxa"/>
      </w:tblCellMar>
    </w:tblPr>
  </w:style>
  <w:style w:type="table" w:styleId="1552" w:customStyle="1">
    <w:name w:val="无格式表格 11"/>
    <w:basedOn w:val="15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53" w:customStyle="1">
    <w:name w:val="无格式表格 21"/>
    <w:basedOn w:val="15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54" w:customStyle="1">
    <w:name w:val="无格式表格 31"/>
    <w:basedOn w:val="15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55" w:customStyle="1">
    <w:name w:val="无格式表格 41"/>
    <w:basedOn w:val="15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56" w:customStyle="1">
    <w:name w:val="无格式表格 51"/>
    <w:basedOn w:val="15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57" w:customStyle="1">
    <w:name w:val="网格表 1 浅色1"/>
    <w:basedOn w:val="15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58" w:customStyle="1">
    <w:name w:val="网格表 21"/>
    <w:basedOn w:val="15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59" w:customStyle="1">
    <w:name w:val="网格表 31"/>
    <w:basedOn w:val="15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0" w:customStyle="1">
    <w:name w:val="网格表 41"/>
    <w:basedOn w:val="15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61" w:customStyle="1">
    <w:name w:val="网格表 5 深色1"/>
    <w:basedOn w:val="15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62" w:customStyle="1">
    <w:name w:val="网格表 6 彩色1"/>
    <w:basedOn w:val="15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63" w:customStyle="1">
    <w:name w:val="网格表 7 彩色1"/>
    <w:basedOn w:val="15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64" w:customStyle="1">
    <w:name w:val="清单表 1 浅色1"/>
    <w:basedOn w:val="155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5" w:customStyle="1">
    <w:name w:val="清单表 21"/>
    <w:basedOn w:val="15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66" w:customStyle="1">
    <w:name w:val="清单表 31"/>
    <w:basedOn w:val="15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67" w:customStyle="1">
    <w:name w:val="清单表 41"/>
    <w:basedOn w:val="15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68" w:customStyle="1">
    <w:name w:val="清单表 5 深色1"/>
    <w:basedOn w:val="15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69" w:customStyle="1">
    <w:name w:val="清单表 6 彩色1"/>
    <w:basedOn w:val="155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70" w:customStyle="1">
    <w:name w:val="清单表 7 彩色1"/>
    <w:basedOn w:val="155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71" w:customStyle="1">
    <w:name w:val="标题 1 字符"/>
    <w:basedOn w:val="1550"/>
    <w:link w:val="1541"/>
    <w:uiPriority w:val="9"/>
    <w:qFormat/>
    <w:rPr>
      <w:rFonts w:ascii="Arial" w:hAnsi="Arial" w:eastAsia="Arial" w:cs="Arial"/>
      <w:sz w:val="40"/>
      <w:szCs w:val="40"/>
    </w:rPr>
  </w:style>
  <w:style w:type="character" w:styleId="1572" w:customStyle="1">
    <w:name w:val="标题 2 字符"/>
    <w:basedOn w:val="1550"/>
    <w:link w:val="1542"/>
    <w:uiPriority w:val="9"/>
    <w:qFormat/>
    <w:rPr>
      <w:rFonts w:ascii="Arial" w:hAnsi="Arial" w:eastAsia="Arial" w:cs="Arial"/>
      <w:sz w:val="34"/>
    </w:rPr>
  </w:style>
  <w:style w:type="character" w:styleId="1573" w:customStyle="1">
    <w:name w:val="标题 3 字符"/>
    <w:basedOn w:val="1550"/>
    <w:link w:val="1543"/>
    <w:uiPriority w:val="9"/>
    <w:qFormat/>
    <w:rPr>
      <w:rFonts w:ascii="Arial" w:hAnsi="Arial" w:eastAsia="Arial" w:cs="Arial"/>
      <w:sz w:val="30"/>
      <w:szCs w:val="30"/>
    </w:rPr>
  </w:style>
  <w:style w:type="character" w:styleId="1574" w:customStyle="1">
    <w:name w:val="标题 4 字符"/>
    <w:basedOn w:val="1550"/>
    <w:link w:val="1544"/>
    <w:uiPriority w:val="9"/>
    <w:qFormat/>
    <w:rPr>
      <w:rFonts w:ascii="Arial" w:hAnsi="Arial" w:eastAsia="Arial" w:cs="Arial"/>
      <w:b/>
      <w:bCs/>
      <w:sz w:val="26"/>
      <w:szCs w:val="26"/>
    </w:rPr>
  </w:style>
  <w:style w:type="character" w:styleId="1575" w:customStyle="1">
    <w:name w:val="标题 5 字符"/>
    <w:basedOn w:val="1550"/>
    <w:link w:val="1545"/>
    <w:uiPriority w:val="9"/>
    <w:qFormat/>
    <w:rPr>
      <w:rFonts w:ascii="Arial" w:hAnsi="Arial" w:eastAsia="Arial" w:cs="Arial"/>
      <w:b/>
      <w:bCs/>
      <w:sz w:val="24"/>
      <w:szCs w:val="24"/>
    </w:rPr>
  </w:style>
  <w:style w:type="character" w:styleId="1576" w:customStyle="1">
    <w:name w:val="标题 6 字符"/>
    <w:basedOn w:val="1550"/>
    <w:link w:val="1546"/>
    <w:uiPriority w:val="9"/>
    <w:qFormat/>
    <w:rPr>
      <w:rFonts w:ascii="Arial" w:hAnsi="Arial" w:eastAsia="Arial" w:cs="Arial"/>
      <w:b/>
      <w:bCs/>
      <w:sz w:val="22"/>
      <w:szCs w:val="22"/>
    </w:rPr>
  </w:style>
  <w:style w:type="character" w:styleId="1577" w:customStyle="1">
    <w:name w:val="标题 7 字符"/>
    <w:basedOn w:val="1550"/>
    <w:link w:val="1547"/>
    <w:uiPriority w:val="9"/>
    <w:qFormat/>
    <w:rPr>
      <w:rFonts w:ascii="Arial" w:hAnsi="Arial" w:eastAsia="Arial" w:cs="Arial"/>
      <w:b/>
      <w:bCs/>
      <w:i/>
      <w:iCs/>
      <w:sz w:val="22"/>
      <w:szCs w:val="22"/>
    </w:rPr>
  </w:style>
  <w:style w:type="character" w:styleId="1578" w:customStyle="1">
    <w:name w:val="标题 8 字符"/>
    <w:basedOn w:val="1550"/>
    <w:link w:val="1548"/>
    <w:uiPriority w:val="9"/>
    <w:qFormat/>
    <w:rPr>
      <w:rFonts w:ascii="Arial" w:hAnsi="Arial" w:eastAsia="Arial" w:cs="Arial"/>
      <w:i/>
      <w:iCs/>
      <w:sz w:val="22"/>
      <w:szCs w:val="22"/>
    </w:rPr>
  </w:style>
  <w:style w:type="character" w:styleId="1579" w:customStyle="1">
    <w:name w:val="标题 9 字符"/>
    <w:basedOn w:val="1550"/>
    <w:link w:val="1549"/>
    <w:uiPriority w:val="9"/>
    <w:qFormat/>
    <w:rPr>
      <w:rFonts w:ascii="Arial" w:hAnsi="Arial" w:eastAsia="Arial" w:cs="Arial"/>
      <w:i/>
      <w:iCs/>
      <w:sz w:val="21"/>
      <w:szCs w:val="21"/>
    </w:rPr>
  </w:style>
  <w:style w:type="paragraph" w:styleId="1580">
    <w:name w:val="List Paragraph"/>
    <w:uiPriority w:val="34"/>
    <w:qFormat/>
    <w:pPr>
      <w:contextualSpacing/>
      <w:ind w:left="720"/>
    </w:pPr>
    <w:rPr>
      <w:rFonts w:asciiTheme="minorHAnsi" w:hAnsiTheme="minorHAnsi" w:eastAsiaTheme="minorEastAsia" w:cstheme="minorBidi"/>
      <w:lang w:val="en-US" w:eastAsia="zh-CN" w:bidi="ar-SA"/>
    </w:rPr>
  </w:style>
  <w:style w:type="paragraph" w:styleId="1581">
    <w:name w:val="No Spacing"/>
    <w:uiPriority w:val="1"/>
    <w:qFormat/>
    <w:rPr>
      <w:rFonts w:asciiTheme="minorHAnsi" w:hAnsiTheme="minorHAnsi" w:eastAsiaTheme="minorEastAsia" w:cstheme="minorBidi"/>
      <w:lang w:val="en-US" w:eastAsia="zh-CN" w:bidi="ar-SA"/>
    </w:rPr>
  </w:style>
  <w:style w:type="paragraph" w:styleId="1582">
    <w:name w:val="Title"/>
    <w:link w:val="1583"/>
    <w:uiPriority w:val="10"/>
    <w:qFormat/>
    <w:pPr>
      <w:contextualSpacing/>
      <w:spacing w:before="300" w:after="200"/>
    </w:pPr>
    <w:rPr>
      <w:rFonts w:asciiTheme="minorHAnsi" w:hAnsiTheme="minorHAnsi" w:eastAsiaTheme="minorEastAsia" w:cstheme="minorBidi"/>
      <w:sz w:val="48"/>
      <w:szCs w:val="48"/>
      <w:lang w:val="en-US" w:eastAsia="zh-CN" w:bidi="ar-SA"/>
    </w:rPr>
  </w:style>
  <w:style w:type="character" w:styleId="1583" w:customStyle="1">
    <w:name w:val="标题 字符"/>
    <w:basedOn w:val="1550"/>
    <w:link w:val="1582"/>
    <w:uiPriority w:val="10"/>
    <w:qFormat/>
    <w:rPr>
      <w:sz w:val="48"/>
      <w:szCs w:val="48"/>
    </w:rPr>
  </w:style>
  <w:style w:type="paragraph" w:styleId="1584">
    <w:name w:val="Subtitle"/>
    <w:link w:val="1585"/>
    <w:uiPriority w:val="11"/>
    <w:qFormat/>
    <w:pPr>
      <w:spacing w:before="200" w:after="200"/>
    </w:pPr>
    <w:rPr>
      <w:rFonts w:asciiTheme="minorHAnsi" w:hAnsiTheme="minorHAnsi" w:eastAsiaTheme="minorEastAsia" w:cstheme="minorBidi"/>
      <w:sz w:val="24"/>
      <w:szCs w:val="24"/>
      <w:lang w:val="en-US" w:eastAsia="zh-CN" w:bidi="ar-SA"/>
    </w:rPr>
  </w:style>
  <w:style w:type="character" w:styleId="1585" w:customStyle="1">
    <w:name w:val="副标题 字符"/>
    <w:basedOn w:val="1550"/>
    <w:link w:val="1584"/>
    <w:uiPriority w:val="11"/>
    <w:qFormat/>
    <w:rPr>
      <w:sz w:val="24"/>
      <w:szCs w:val="24"/>
    </w:rPr>
  </w:style>
  <w:style w:type="paragraph" w:styleId="1586">
    <w:name w:val="Quote"/>
    <w:link w:val="1587"/>
    <w:uiPriority w:val="29"/>
    <w:qFormat/>
    <w:pPr>
      <w:ind w:left="720" w:right="720"/>
    </w:pPr>
    <w:rPr>
      <w:rFonts w:asciiTheme="minorHAnsi" w:hAnsiTheme="minorHAnsi" w:eastAsiaTheme="minorEastAsia" w:cstheme="minorBidi"/>
      <w:i/>
      <w:lang w:val="en-US" w:eastAsia="zh-CN" w:bidi="ar-SA"/>
    </w:rPr>
  </w:style>
  <w:style w:type="character" w:styleId="1587" w:customStyle="1">
    <w:name w:val="引用 字符"/>
    <w:link w:val="1586"/>
    <w:uiPriority w:val="29"/>
    <w:qFormat/>
    <w:rPr>
      <w:i/>
    </w:rPr>
  </w:style>
  <w:style w:type="paragraph" w:styleId="1588">
    <w:name w:val="Intense Quote"/>
    <w:link w:val="15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lang w:val="en-US" w:eastAsia="zh-CN" w:bidi="ar-SA"/>
    </w:rPr>
  </w:style>
  <w:style w:type="character" w:styleId="1589" w:customStyle="1">
    <w:name w:val="明显引用 字符"/>
    <w:link w:val="1588"/>
    <w:uiPriority w:val="30"/>
    <w:qFormat/>
    <w:rPr>
      <w:i/>
    </w:rPr>
  </w:style>
  <w:style w:type="paragraph" w:styleId="1590">
    <w:name w:val="Header"/>
    <w:link w:val="1591"/>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character" w:styleId="1591" w:customStyle="1">
    <w:name w:val="页眉 字符"/>
    <w:basedOn w:val="1550"/>
    <w:link w:val="1590"/>
    <w:uiPriority w:val="99"/>
    <w:qFormat/>
  </w:style>
  <w:style w:type="paragraph" w:styleId="1592">
    <w:name w:val="Footer"/>
    <w:link w:val="1594"/>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paragraph" w:styleId="1593">
    <w:name w:val="Caption"/>
    <w:uiPriority w:val="35"/>
    <w:semiHidden/>
    <w:unhideWhenUsed/>
    <w:qFormat/>
    <w:pPr>
      <w:spacing w:line="276" w:lineRule="auto"/>
    </w:pPr>
    <w:rPr>
      <w:rFonts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594" w:customStyle="1">
    <w:name w:val="页脚 字符"/>
    <w:link w:val="1592"/>
    <w:uiPriority w:val="99"/>
    <w:qFormat/>
  </w:style>
  <w:style w:type="table" w:styleId="15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9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97"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98"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99"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00"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01"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02"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03"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04"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05"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06"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07"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08"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09"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0"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1"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2"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3"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4"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5"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16"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17"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18"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19"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20"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27"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28"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29"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30"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31"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32"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33"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34"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35"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36"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37"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38"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39"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40"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41"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42"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43"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44"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45"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46"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47"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48"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49"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50"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51"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2"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53"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54"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55"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56"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57"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8"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59"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60"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61"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62"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63"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4"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5"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6"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7"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8"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9"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70"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71"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72"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73"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74"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75"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76"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77"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78"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79"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80"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9"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0"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91"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2"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93"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4"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96"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97"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98"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99"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00"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01"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02">
    <w:name w:val="Hyperlink"/>
    <w:uiPriority w:val="99"/>
    <w:unhideWhenUsed/>
    <w:qFormat/>
    <w:rPr>
      <w:color w:val="0563c1" w:themeColor="hyperlink"/>
      <w:u w:val="single"/>
      <w14:textFill>
        <w14:solidFill>
          <w14:schemeClr w14:val="hlink"/>
        </w14:solidFill>
      </w14:textFill>
    </w:rPr>
  </w:style>
  <w:style w:type="paragraph" w:styleId="1703">
    <w:name w:val="footnote text"/>
    <w:link w:val="1704"/>
    <w:uiPriority w:val="99"/>
    <w:semiHidden/>
    <w:unhideWhenUsed/>
    <w:qFormat/>
    <w:pPr>
      <w:spacing w:after="40"/>
    </w:pPr>
    <w:rPr>
      <w:rFonts w:asciiTheme="minorHAnsi" w:hAnsiTheme="minorHAnsi" w:eastAsiaTheme="minorEastAsia" w:cstheme="minorBidi"/>
      <w:sz w:val="18"/>
      <w:lang w:val="en-US" w:eastAsia="zh-CN" w:bidi="ar-SA"/>
    </w:rPr>
  </w:style>
  <w:style w:type="character" w:styleId="1704" w:customStyle="1">
    <w:name w:val="脚注文本 字符"/>
    <w:link w:val="1703"/>
    <w:uiPriority w:val="99"/>
    <w:qFormat/>
    <w:rPr>
      <w:sz w:val="18"/>
    </w:rPr>
  </w:style>
  <w:style w:type="character" w:styleId="1705">
    <w:name w:val="footnote reference"/>
    <w:basedOn w:val="1550"/>
    <w:uiPriority w:val="99"/>
    <w:unhideWhenUsed/>
    <w:qFormat/>
    <w:rPr>
      <w:vertAlign w:val="superscript"/>
    </w:rPr>
  </w:style>
  <w:style w:type="paragraph" w:styleId="1706">
    <w:name w:val="endnote text"/>
    <w:link w:val="1707"/>
    <w:uiPriority w:val="99"/>
    <w:semiHidden/>
    <w:unhideWhenUsed/>
    <w:qFormat/>
    <w:rPr>
      <w:rFonts w:asciiTheme="minorHAnsi" w:hAnsiTheme="minorHAnsi" w:eastAsiaTheme="minorEastAsia" w:cstheme="minorBidi"/>
      <w:lang w:val="en-US" w:eastAsia="zh-CN" w:bidi="ar-SA"/>
    </w:rPr>
  </w:style>
  <w:style w:type="character" w:styleId="1707" w:customStyle="1">
    <w:name w:val="尾注文本 字符"/>
    <w:link w:val="1706"/>
    <w:uiPriority w:val="99"/>
    <w:qFormat/>
    <w:rPr>
      <w:sz w:val="20"/>
    </w:rPr>
  </w:style>
  <w:style w:type="character" w:styleId="1708">
    <w:name w:val="endnote reference"/>
    <w:basedOn w:val="1550"/>
    <w:uiPriority w:val="99"/>
    <w:semiHidden/>
    <w:unhideWhenUsed/>
    <w:qFormat/>
    <w:rPr>
      <w:vertAlign w:val="superscript"/>
    </w:rPr>
  </w:style>
  <w:style w:type="paragraph" w:styleId="1709">
    <w:name w:val="toc 1"/>
    <w:uiPriority w:val="39"/>
    <w:unhideWhenUsed/>
    <w:qFormat/>
    <w:pPr>
      <w:spacing w:after="57"/>
    </w:pPr>
    <w:rPr>
      <w:rFonts w:asciiTheme="minorHAnsi" w:hAnsiTheme="minorHAnsi" w:eastAsiaTheme="minorEastAsia" w:cstheme="minorBidi"/>
      <w:lang w:val="en-US" w:eastAsia="zh-CN" w:bidi="ar-SA"/>
    </w:rPr>
  </w:style>
  <w:style w:type="paragraph" w:styleId="1710">
    <w:name w:val="toc 2"/>
    <w:uiPriority w:val="39"/>
    <w:unhideWhenUsed/>
    <w:qFormat/>
    <w:pPr>
      <w:ind w:left="283"/>
      <w:spacing w:after="57"/>
    </w:pPr>
    <w:rPr>
      <w:rFonts w:asciiTheme="minorHAnsi" w:hAnsiTheme="minorHAnsi" w:eastAsiaTheme="minorEastAsia" w:cstheme="minorBidi"/>
      <w:lang w:val="en-US" w:eastAsia="zh-CN" w:bidi="ar-SA"/>
    </w:rPr>
  </w:style>
  <w:style w:type="paragraph" w:styleId="1711">
    <w:name w:val="toc 3"/>
    <w:uiPriority w:val="39"/>
    <w:unhideWhenUsed/>
    <w:qFormat/>
    <w:pPr>
      <w:ind w:left="567"/>
      <w:spacing w:after="57"/>
    </w:pPr>
    <w:rPr>
      <w:rFonts w:asciiTheme="minorHAnsi" w:hAnsiTheme="minorHAnsi" w:eastAsiaTheme="minorEastAsia" w:cstheme="minorBidi"/>
      <w:lang w:val="en-US" w:eastAsia="zh-CN" w:bidi="ar-SA"/>
    </w:rPr>
  </w:style>
  <w:style w:type="paragraph" w:styleId="1712">
    <w:name w:val="toc 4"/>
    <w:uiPriority w:val="39"/>
    <w:unhideWhenUsed/>
    <w:qFormat/>
    <w:pPr>
      <w:ind w:left="850"/>
      <w:spacing w:after="57"/>
    </w:pPr>
    <w:rPr>
      <w:rFonts w:asciiTheme="minorHAnsi" w:hAnsiTheme="minorHAnsi" w:eastAsiaTheme="minorEastAsia" w:cstheme="minorBidi"/>
      <w:lang w:val="en-US" w:eastAsia="zh-CN" w:bidi="ar-SA"/>
    </w:rPr>
  </w:style>
  <w:style w:type="paragraph" w:styleId="1713">
    <w:name w:val="toc 5"/>
    <w:uiPriority w:val="39"/>
    <w:unhideWhenUsed/>
    <w:qFormat/>
    <w:pPr>
      <w:ind w:left="1134"/>
      <w:spacing w:after="57"/>
    </w:pPr>
    <w:rPr>
      <w:rFonts w:asciiTheme="minorHAnsi" w:hAnsiTheme="minorHAnsi" w:eastAsiaTheme="minorEastAsia" w:cstheme="minorBidi"/>
      <w:lang w:val="en-US" w:eastAsia="zh-CN" w:bidi="ar-SA"/>
    </w:rPr>
  </w:style>
  <w:style w:type="paragraph" w:styleId="1714">
    <w:name w:val="toc 6"/>
    <w:uiPriority w:val="39"/>
    <w:unhideWhenUsed/>
    <w:qFormat/>
    <w:pPr>
      <w:ind w:left="1417"/>
      <w:spacing w:after="57"/>
    </w:pPr>
    <w:rPr>
      <w:rFonts w:asciiTheme="minorHAnsi" w:hAnsiTheme="minorHAnsi" w:eastAsiaTheme="minorEastAsia" w:cstheme="minorBidi"/>
      <w:lang w:val="en-US" w:eastAsia="zh-CN" w:bidi="ar-SA"/>
    </w:rPr>
  </w:style>
  <w:style w:type="paragraph" w:styleId="1715">
    <w:name w:val="toc 7"/>
    <w:uiPriority w:val="39"/>
    <w:unhideWhenUsed/>
    <w:qFormat/>
    <w:pPr>
      <w:ind w:left="1701"/>
      <w:spacing w:after="57"/>
    </w:pPr>
    <w:rPr>
      <w:rFonts w:asciiTheme="minorHAnsi" w:hAnsiTheme="minorHAnsi" w:eastAsiaTheme="minorEastAsia" w:cstheme="minorBidi"/>
      <w:lang w:val="en-US" w:eastAsia="zh-CN" w:bidi="ar-SA"/>
    </w:rPr>
  </w:style>
  <w:style w:type="paragraph" w:styleId="1716">
    <w:name w:val="toc 8"/>
    <w:uiPriority w:val="39"/>
    <w:unhideWhenUsed/>
    <w:qFormat/>
    <w:pPr>
      <w:ind w:left="1984"/>
      <w:spacing w:after="57"/>
    </w:pPr>
    <w:rPr>
      <w:rFonts w:asciiTheme="minorHAnsi" w:hAnsiTheme="minorHAnsi" w:eastAsiaTheme="minorEastAsia" w:cstheme="minorBidi"/>
      <w:lang w:val="en-US" w:eastAsia="zh-CN" w:bidi="ar-SA"/>
    </w:rPr>
  </w:style>
  <w:style w:type="paragraph" w:styleId="1717">
    <w:name w:val="toc 9"/>
    <w:uiPriority w:val="39"/>
    <w:unhideWhenUsed/>
    <w:qFormat/>
    <w:pPr>
      <w:ind w:left="2268"/>
      <w:spacing w:after="57"/>
    </w:pPr>
    <w:rPr>
      <w:rFonts w:asciiTheme="minorHAnsi" w:hAnsiTheme="minorHAnsi" w:eastAsiaTheme="minorEastAsia" w:cstheme="minorBidi"/>
      <w:lang w:val="en-US" w:eastAsia="zh-CN" w:bidi="ar-SA"/>
    </w:rPr>
  </w:style>
  <w:style w:type="paragraph" w:styleId="1718">
    <w:name w:val="table of figures"/>
    <w:uiPriority w:val="99"/>
    <w:unhideWhenUsed/>
    <w:qFormat/>
    <w:rPr>
      <w:rFonts w:asciiTheme="minorHAnsi" w:hAnsiTheme="minorHAnsi" w:eastAsiaTheme="minorEastAsia" w:cstheme="minorBidi"/>
      <w:lang w:val="en-US" w:eastAsia="zh-CN" w:bidi="ar-SA"/>
    </w:rPr>
  </w:style>
  <w:style w:type="paragraph" w:styleId="1719" w:customStyle="1">
    <w:name w:val="40972909C00547EF89E6E87F19707554"/>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character" w:styleId="1720">
    <w:name w:val="Placeholder Text"/>
    <w:basedOn w:val="1550"/>
    <w:uiPriority w:val="99"/>
    <w:unhideWhenUsed/>
    <w:qFormat/>
    <w:rPr>
      <w:color w:val="808080"/>
    </w:rPr>
  </w:style>
  <w:style w:type="numbering" w:styleId="1721"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107</cp:revision>
  <dcterms:created xsi:type="dcterms:W3CDTF">2023-10-16T10:18:00Z</dcterms:created>
  <dcterms:modified xsi:type="dcterms:W3CDTF">2026-06-12T10:57:38Z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4465DFC39D784C02B92855EBD2C1BD7E_13</vt:lpwstr>
  </property>
  <property fmtid="{D5CDD505-2E9C-101B-9397-08002B2CF9AE}" pid="4" name="KSOTemplateDocerSaveRecord">
    <vt:lpwstr>eyJoZGlkIjoiMWYxYmUwODIzYzk0M2QzOTM3M2I1MzA0NjYxZWNjMTciLCJ1c2VySWQiOiI3MDY5OTM5NjQifQ==</vt:lpwstr>
  </property>
</Properties>
</file>