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77A4B">
      <w:pPr>
        <w:jc w:val="center"/>
        <w:rPr>
          <w:sz w:val="28"/>
        </w:rPr>
      </w:pPr>
      <w:r>
        <w:rPr>
          <w:sz w:val="28"/>
        </w:rPr>
        <w:t>编制说明</w:t>
      </w:r>
    </w:p>
    <w:p w14:paraId="1279620E">
      <w:r>
        <w:rPr>
          <w:rFonts w:hint="eastAsia"/>
        </w:rPr>
        <w:t>工程名称：六合区金牛湖街道2024年度省级宜居宜业和美乡村建设项目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6BE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9" w:hRule="atLeast"/>
        </w:trPr>
        <w:tc>
          <w:tcPr>
            <w:tcW w:w="8522" w:type="dxa"/>
          </w:tcPr>
          <w:p w14:paraId="41C4BB8E"/>
          <w:p w14:paraId="67AA9504">
            <w:pPr>
              <w:pStyle w:val="7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工程概况</w:t>
            </w:r>
          </w:p>
          <w:p w14:paraId="639D39E9">
            <w:pPr>
              <w:pStyle w:val="7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工程概况：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六合区金牛湖街道2024年度省级宜居宜业和美乡村建设项目</w:t>
            </w:r>
          </w:p>
          <w:p w14:paraId="7D404486">
            <w:pPr>
              <w:pStyle w:val="7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工程取费类别：市政工程</w:t>
            </w:r>
          </w:p>
          <w:p w14:paraId="2B0C1277">
            <w:pPr>
              <w:pStyle w:val="7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工程施工安全要求：满足行政主管部门的安全要求</w:t>
            </w:r>
          </w:p>
          <w:p w14:paraId="122D5FC3">
            <w:pPr>
              <w:pStyle w:val="7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环保要求：符合环保部门的要求</w:t>
            </w:r>
          </w:p>
          <w:p w14:paraId="019D582E">
            <w:pPr>
              <w:pStyle w:val="7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预算编制依据：</w:t>
            </w:r>
          </w:p>
          <w:p w14:paraId="1DBB2F54">
            <w:pPr>
              <w:pStyle w:val="7"/>
              <w:numPr>
                <w:ilvl w:val="0"/>
                <w:numId w:val="3"/>
              </w:numPr>
              <w:ind w:left="420" w:firstLine="0" w:firstLineChars="0"/>
            </w:pPr>
            <w:r>
              <w:rPr>
                <w:rFonts w:hint="eastAsia"/>
              </w:rPr>
              <w:t>《建设工程工程量清单计价规范》GB50500-2013、</w:t>
            </w:r>
          </w:p>
          <w:p w14:paraId="7535900D">
            <w:pPr>
              <w:pStyle w:val="7"/>
              <w:ind w:firstLine="630" w:firstLineChars="300"/>
            </w:pPr>
            <w:r>
              <w:rPr>
                <w:rFonts w:hint="eastAsia"/>
              </w:rPr>
              <w:t>《江苏建筑与装饰工程定额》2016版、</w:t>
            </w:r>
          </w:p>
          <w:p w14:paraId="141CCA81">
            <w:pPr>
              <w:pStyle w:val="7"/>
              <w:ind w:left="420" w:firstLine="210" w:firstLineChars="100"/>
            </w:pPr>
            <w:r>
              <w:rPr>
                <w:rFonts w:hint="eastAsia"/>
              </w:rPr>
              <w:t>《江苏市政工程定额》2014版、</w:t>
            </w:r>
          </w:p>
          <w:p w14:paraId="3DBBE59F">
            <w:pPr>
              <w:pStyle w:val="7"/>
              <w:ind w:left="420" w:firstLine="210" w:firstLineChars="100"/>
            </w:pPr>
            <w:r>
              <w:rPr>
                <w:rFonts w:hint="eastAsia"/>
                <w:bCs/>
              </w:rPr>
              <w:t>《江苏安装工程定额》2014</w:t>
            </w:r>
            <w:r>
              <w:rPr>
                <w:rFonts w:hint="eastAsia"/>
              </w:rPr>
              <w:t>版</w:t>
            </w:r>
            <w:r>
              <w:rPr>
                <w:rFonts w:hint="eastAsia"/>
                <w:bCs/>
              </w:rPr>
              <w:t>、</w:t>
            </w:r>
          </w:p>
          <w:p w14:paraId="2D7F12F5">
            <w:pPr>
              <w:pStyle w:val="7"/>
              <w:ind w:left="420" w:firstLine="210" w:firstLineChars="100"/>
            </w:pPr>
            <w:r>
              <w:rPr>
                <w:rFonts w:hint="eastAsia"/>
              </w:rPr>
              <w:t>《江苏古建园林工程定额》2007版、</w:t>
            </w:r>
          </w:p>
          <w:p w14:paraId="2FF6E00C">
            <w:pPr>
              <w:pStyle w:val="7"/>
              <w:ind w:left="420" w:firstLine="210" w:firstLineChars="100"/>
            </w:pPr>
            <w:r>
              <w:rPr>
                <w:rFonts w:hint="eastAsia"/>
              </w:rPr>
              <w:t>《江苏省建设工程费用定额》2014版（增值税版）等</w:t>
            </w:r>
          </w:p>
          <w:p w14:paraId="0CB32DA9">
            <w:pPr>
              <w:pStyle w:val="7"/>
              <w:ind w:left="420" w:firstLine="0" w:firstLineChars="0"/>
            </w:pPr>
            <w:r>
              <w:rPr>
                <w:rFonts w:hint="eastAsia"/>
              </w:rPr>
              <w:t>2、甲方提供的资料</w:t>
            </w:r>
          </w:p>
          <w:p w14:paraId="5DF7C964">
            <w:pPr>
              <w:pStyle w:val="7"/>
              <w:ind w:left="420" w:firstLine="0" w:firstLineChars="0"/>
            </w:pPr>
            <w:r>
              <w:rPr>
                <w:rFonts w:hint="eastAsia"/>
              </w:rPr>
              <w:t>3、工程施工规范、技术标准</w:t>
            </w:r>
          </w:p>
          <w:p w14:paraId="0FD86DF6">
            <w:pPr>
              <w:pStyle w:val="7"/>
              <w:ind w:left="420" w:firstLine="0" w:firstLineChars="0"/>
            </w:pPr>
            <w:r>
              <w:rPr>
                <w:rFonts w:hint="eastAsia"/>
              </w:rPr>
              <w:t>4、相关标准图集以及现行相关文件</w:t>
            </w:r>
          </w:p>
          <w:p w14:paraId="4279C316">
            <w:pPr>
              <w:pStyle w:val="7"/>
              <w:ind w:left="420" w:firstLine="0" w:firstLineChars="0"/>
            </w:pPr>
            <w:r>
              <w:rPr>
                <w:rFonts w:hint="eastAsia"/>
              </w:rPr>
              <w:t>5、材料价格按2024年《南京工程造价管理》第10期信息指导价执行</w:t>
            </w:r>
          </w:p>
          <w:p w14:paraId="394ECDC5">
            <w:pPr>
              <w:pStyle w:val="7"/>
              <w:ind w:left="420" w:firstLine="0" w:firstLineChars="0"/>
            </w:pPr>
            <w:r>
              <w:rPr>
                <w:rFonts w:hint="eastAsia"/>
              </w:rPr>
              <w:t>7、人工单价及机械人工按苏建函价（2024）348号执行。</w:t>
            </w:r>
          </w:p>
          <w:p w14:paraId="7E5245AF">
            <w:pPr>
              <w:pStyle w:val="7"/>
              <w:ind w:left="420" w:firstLine="0" w:firstLineChars="0"/>
            </w:pPr>
            <w:r>
              <w:rPr>
                <w:rFonts w:hint="eastAsia"/>
              </w:rPr>
              <w:t>8、不可竞争的费用计取执行2014年《江苏省建设工程费用定额》，具体标准如下：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17"/>
              <w:gridCol w:w="1255"/>
              <w:gridCol w:w="1125"/>
              <w:gridCol w:w="1124"/>
              <w:gridCol w:w="1125"/>
              <w:gridCol w:w="1125"/>
              <w:gridCol w:w="1125"/>
            </w:tblGrid>
            <w:tr w14:paraId="7B27893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17" w:type="dxa"/>
                  <w:vMerge w:val="restart"/>
                  <w:vAlign w:val="center"/>
                </w:tcPr>
                <w:p w14:paraId="6C7B38FD">
                  <w:pPr>
                    <w:pStyle w:val="7"/>
                    <w:ind w:firstLine="0" w:firstLineChars="0"/>
                    <w:jc w:val="center"/>
                  </w:pPr>
                  <w:r>
                    <w:t>工程名称</w:t>
                  </w:r>
                </w:p>
              </w:tc>
              <w:tc>
                <w:tcPr>
                  <w:tcW w:w="2380" w:type="dxa"/>
                  <w:gridSpan w:val="2"/>
                  <w:vAlign w:val="center"/>
                </w:tcPr>
                <w:p w14:paraId="589B0AFD">
                  <w:pPr>
                    <w:pStyle w:val="7"/>
                    <w:ind w:firstLine="0" w:firstLineChars="0"/>
                    <w:jc w:val="center"/>
                  </w:pPr>
                  <w:r>
                    <w:t>现场安全文明施工费</w:t>
                  </w:r>
                </w:p>
              </w:tc>
              <w:tc>
                <w:tcPr>
                  <w:tcW w:w="1124" w:type="dxa"/>
                  <w:vMerge w:val="restart"/>
                  <w:vAlign w:val="center"/>
                </w:tcPr>
                <w:p w14:paraId="020D6C91">
                  <w:pPr>
                    <w:pStyle w:val="7"/>
                    <w:ind w:firstLine="0" w:firstLineChars="0"/>
                    <w:jc w:val="center"/>
                  </w:pPr>
                  <w:r>
                    <w:t>社会保障费率</w:t>
                  </w:r>
                  <w:r>
                    <w:rPr>
                      <w:rFonts w:hint="eastAsia"/>
                    </w:rPr>
                    <w:t>（%）</w:t>
                  </w:r>
                </w:p>
              </w:tc>
              <w:tc>
                <w:tcPr>
                  <w:tcW w:w="1125" w:type="dxa"/>
                  <w:vMerge w:val="restart"/>
                  <w:vAlign w:val="center"/>
                </w:tcPr>
                <w:p w14:paraId="207E8EBA">
                  <w:pPr>
                    <w:pStyle w:val="7"/>
                    <w:ind w:firstLine="0" w:firstLineChars="0"/>
                    <w:jc w:val="center"/>
                  </w:pPr>
                  <w:r>
                    <w:t>公积金</w:t>
                  </w:r>
                  <w:r>
                    <w:rPr>
                      <w:rFonts w:hint="eastAsia"/>
                    </w:rPr>
                    <w:t>率（%）</w:t>
                  </w:r>
                </w:p>
              </w:tc>
              <w:tc>
                <w:tcPr>
                  <w:tcW w:w="1125" w:type="dxa"/>
                  <w:vMerge w:val="restart"/>
                  <w:vAlign w:val="center"/>
                </w:tcPr>
                <w:p w14:paraId="00E647B3">
                  <w:pPr>
                    <w:pStyle w:val="7"/>
                    <w:ind w:firstLine="0" w:firstLineChars="0"/>
                    <w:jc w:val="center"/>
                  </w:pPr>
                  <w:r>
                    <w:rPr>
                      <w:rFonts w:hint="eastAsia"/>
                    </w:rPr>
                    <w:t>环境保护税（%）</w:t>
                  </w:r>
                </w:p>
              </w:tc>
              <w:tc>
                <w:tcPr>
                  <w:tcW w:w="1125" w:type="dxa"/>
                  <w:vMerge w:val="restart"/>
                  <w:vAlign w:val="center"/>
                </w:tcPr>
                <w:p w14:paraId="1756D533">
                  <w:pPr>
                    <w:pStyle w:val="7"/>
                    <w:ind w:firstLine="0" w:firstLineChars="0"/>
                    <w:jc w:val="center"/>
                  </w:pPr>
                  <w:r>
                    <w:t>税金</w:t>
                  </w:r>
                  <w:r>
                    <w:rPr>
                      <w:rFonts w:hint="eastAsia"/>
                    </w:rPr>
                    <w:t>（%）</w:t>
                  </w:r>
                </w:p>
              </w:tc>
            </w:tr>
            <w:tr w14:paraId="0B5D525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17" w:type="dxa"/>
                  <w:vMerge w:val="continue"/>
                  <w:vAlign w:val="center"/>
                </w:tcPr>
                <w:p w14:paraId="23B4853D">
                  <w:pPr>
                    <w:pStyle w:val="7"/>
                    <w:ind w:firstLine="0" w:firstLineChars="0"/>
                    <w:jc w:val="center"/>
                  </w:pPr>
                </w:p>
              </w:tc>
              <w:tc>
                <w:tcPr>
                  <w:tcW w:w="1255" w:type="dxa"/>
                  <w:vAlign w:val="center"/>
                </w:tcPr>
                <w:p w14:paraId="633F2BEB">
                  <w:pPr>
                    <w:pStyle w:val="7"/>
                    <w:ind w:firstLine="0" w:firstLineChars="0"/>
                    <w:jc w:val="center"/>
                  </w:pPr>
                  <w:r>
                    <w:t>基本费</w:t>
                  </w:r>
                  <w:r>
                    <w:rPr>
                      <w:rFonts w:hint="eastAsia"/>
                    </w:rPr>
                    <w:t>（%）</w:t>
                  </w:r>
                </w:p>
              </w:tc>
              <w:tc>
                <w:tcPr>
                  <w:tcW w:w="1125" w:type="dxa"/>
                  <w:vAlign w:val="center"/>
                </w:tcPr>
                <w:p w14:paraId="6E9BC697">
                  <w:pPr>
                    <w:pStyle w:val="7"/>
                    <w:ind w:firstLine="0" w:firstLineChars="0"/>
                    <w:jc w:val="center"/>
                  </w:pPr>
                  <w:r>
                    <w:t>扬尘污染防治增加费</w:t>
                  </w:r>
                  <w:r>
                    <w:rPr>
                      <w:rFonts w:hint="eastAsia"/>
                    </w:rPr>
                    <w:t>（%）</w:t>
                  </w:r>
                </w:p>
              </w:tc>
              <w:tc>
                <w:tcPr>
                  <w:tcW w:w="1124" w:type="dxa"/>
                  <w:vMerge w:val="continue"/>
                  <w:vAlign w:val="center"/>
                </w:tcPr>
                <w:p w14:paraId="3957BB44">
                  <w:pPr>
                    <w:pStyle w:val="7"/>
                    <w:ind w:firstLine="0" w:firstLineChars="0"/>
                    <w:jc w:val="center"/>
                  </w:pPr>
                </w:p>
              </w:tc>
              <w:tc>
                <w:tcPr>
                  <w:tcW w:w="1125" w:type="dxa"/>
                  <w:vMerge w:val="continue"/>
                  <w:vAlign w:val="center"/>
                </w:tcPr>
                <w:p w14:paraId="59754D5B">
                  <w:pPr>
                    <w:pStyle w:val="7"/>
                    <w:ind w:firstLine="0" w:firstLineChars="0"/>
                    <w:jc w:val="center"/>
                  </w:pPr>
                </w:p>
              </w:tc>
              <w:tc>
                <w:tcPr>
                  <w:tcW w:w="1125" w:type="dxa"/>
                  <w:vMerge w:val="continue"/>
                  <w:vAlign w:val="center"/>
                </w:tcPr>
                <w:p w14:paraId="1D27D4AF">
                  <w:pPr>
                    <w:pStyle w:val="7"/>
                    <w:ind w:firstLine="0" w:firstLineChars="0"/>
                    <w:jc w:val="center"/>
                  </w:pPr>
                </w:p>
              </w:tc>
              <w:tc>
                <w:tcPr>
                  <w:tcW w:w="1125" w:type="dxa"/>
                  <w:vMerge w:val="continue"/>
                  <w:vAlign w:val="center"/>
                </w:tcPr>
                <w:p w14:paraId="2C92FA0C">
                  <w:pPr>
                    <w:pStyle w:val="7"/>
                    <w:ind w:firstLine="0" w:firstLineChars="0"/>
                    <w:jc w:val="center"/>
                  </w:pPr>
                </w:p>
              </w:tc>
            </w:tr>
            <w:tr w14:paraId="7D5B16B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17" w:type="dxa"/>
                  <w:vAlign w:val="center"/>
                </w:tcPr>
                <w:p w14:paraId="1C6942B7">
                  <w:pPr>
                    <w:pStyle w:val="7"/>
                    <w:ind w:firstLine="0" w:firstLineChars="0"/>
                    <w:jc w:val="center"/>
                  </w:pPr>
                  <w:r>
                    <w:rPr>
                      <w:rFonts w:hint="eastAsia"/>
                    </w:rPr>
                    <w:t>市政</w:t>
                  </w:r>
                  <w:r>
                    <w:t>工程</w:t>
                  </w:r>
                </w:p>
              </w:tc>
              <w:tc>
                <w:tcPr>
                  <w:tcW w:w="1255" w:type="dxa"/>
                  <w:vAlign w:val="center"/>
                </w:tcPr>
                <w:p w14:paraId="2B5A77EA">
                  <w:pPr>
                    <w:pStyle w:val="7"/>
                    <w:ind w:firstLine="0" w:firstLineChars="0"/>
                    <w:jc w:val="center"/>
                  </w:pPr>
                  <w:r>
                    <w:rPr>
                      <w:rFonts w:hint="eastAsia"/>
                    </w:rPr>
                    <w:t>1.4</w:t>
                  </w:r>
                </w:p>
              </w:tc>
              <w:tc>
                <w:tcPr>
                  <w:tcW w:w="1125" w:type="dxa"/>
                  <w:vAlign w:val="center"/>
                </w:tcPr>
                <w:p w14:paraId="72E6D00D">
                  <w:pPr>
                    <w:pStyle w:val="7"/>
                    <w:ind w:firstLine="0" w:firstLineChars="0"/>
                    <w:jc w:val="center"/>
                  </w:pPr>
                  <w:r>
                    <w:rPr>
                      <w:rFonts w:hint="eastAsia"/>
                    </w:rPr>
                    <w:t>0.3</w:t>
                  </w:r>
                </w:p>
              </w:tc>
              <w:tc>
                <w:tcPr>
                  <w:tcW w:w="1124" w:type="dxa"/>
                  <w:vAlign w:val="center"/>
                </w:tcPr>
                <w:p w14:paraId="5F4CCF44">
                  <w:pPr>
                    <w:pStyle w:val="7"/>
                    <w:ind w:firstLine="0" w:firstLineChars="0"/>
                    <w:jc w:val="center"/>
                  </w:pPr>
                  <w:r>
                    <w:rPr>
                      <w:rFonts w:hint="eastAsia"/>
                    </w:rPr>
                    <w:t>1.8</w:t>
                  </w:r>
                </w:p>
              </w:tc>
              <w:tc>
                <w:tcPr>
                  <w:tcW w:w="1125" w:type="dxa"/>
                  <w:vAlign w:val="center"/>
                </w:tcPr>
                <w:p w14:paraId="65AA1EC3">
                  <w:pPr>
                    <w:pStyle w:val="7"/>
                    <w:ind w:firstLine="0" w:firstLineChars="0"/>
                    <w:jc w:val="center"/>
                  </w:pPr>
                  <w:r>
                    <w:rPr>
                      <w:rFonts w:hint="eastAsia"/>
                    </w:rPr>
                    <w:t>0.31</w:t>
                  </w:r>
                </w:p>
              </w:tc>
              <w:tc>
                <w:tcPr>
                  <w:tcW w:w="1125" w:type="dxa"/>
                  <w:vAlign w:val="center"/>
                </w:tcPr>
                <w:p w14:paraId="39D0DF26">
                  <w:pPr>
                    <w:pStyle w:val="7"/>
                    <w:ind w:firstLine="0" w:firstLineChars="0"/>
                    <w:jc w:val="center"/>
                  </w:pPr>
                  <w:r>
                    <w:rPr>
                      <w:rFonts w:hint="eastAsia"/>
                    </w:rPr>
                    <w:t>0.1</w:t>
                  </w:r>
                </w:p>
              </w:tc>
              <w:tc>
                <w:tcPr>
                  <w:tcW w:w="1125" w:type="dxa"/>
                  <w:vAlign w:val="center"/>
                </w:tcPr>
                <w:p w14:paraId="71E805A1">
                  <w:pPr>
                    <w:pStyle w:val="7"/>
                    <w:ind w:firstLine="0" w:firstLineChars="0"/>
                    <w:jc w:val="center"/>
                  </w:pPr>
                  <w:r>
                    <w:rPr>
                      <w:rFonts w:hint="eastAsia"/>
                    </w:rPr>
                    <w:t>3.3</w:t>
                  </w:r>
                </w:p>
              </w:tc>
            </w:tr>
          </w:tbl>
          <w:p w14:paraId="7F9D0380"/>
          <w:p w14:paraId="43C0F6C0">
            <w:r>
              <w:rPr>
                <w:rFonts w:hint="eastAsia"/>
              </w:rPr>
              <w:t>三、暂列金：本工程无暂列金。</w:t>
            </w:r>
          </w:p>
          <w:p w14:paraId="398FD4FA">
            <w:r>
              <w:rPr>
                <w:rFonts w:hint="eastAsia"/>
              </w:rPr>
              <w:t>四、补充说明：</w:t>
            </w:r>
          </w:p>
          <w:p w14:paraId="74750639">
            <w:pPr>
              <w:ind w:firstLine="210" w:firstLineChars="100"/>
            </w:pPr>
            <w:r>
              <w:rPr>
                <w:rFonts w:hint="eastAsia"/>
              </w:rPr>
              <w:t>1、本工程为简易计税，甲供材为电焊条。</w:t>
            </w:r>
          </w:p>
          <w:p w14:paraId="29613BB0">
            <w:pPr>
              <w:ind w:firstLine="210" w:firstLineChars="100"/>
            </w:pPr>
            <w:r>
              <w:rPr>
                <w:rFonts w:hint="eastAsia"/>
              </w:rPr>
              <w:t>2、本工程所有工程量以实际结算为准，按项计费的项目需甲方确认，如有新增项目必须由甲方同意。</w:t>
            </w:r>
          </w:p>
          <w:p w14:paraId="41218F43">
            <w:pPr>
              <w:ind w:firstLine="210" w:firstLineChars="100"/>
            </w:pPr>
            <w:r>
              <w:rPr>
                <w:rFonts w:hint="eastAsia"/>
              </w:rPr>
              <w:t>3、本工程按项计费的清单价格为包干价，结算不予调整。</w:t>
            </w:r>
          </w:p>
          <w:p w14:paraId="5E335DF5">
            <w:pPr>
              <w:ind w:firstLine="210" w:firstLineChars="100"/>
            </w:pPr>
            <w:r>
              <w:rPr>
                <w:rFonts w:hint="eastAsia"/>
              </w:rPr>
              <w:t>4、清单综合单价包含清单每道工序所需的全部费用，施工单位不得以任何理由要求施工材料、施工工艺与综合单价变更。</w:t>
            </w:r>
          </w:p>
          <w:p w14:paraId="15DF71A0">
            <w:pPr>
              <w:ind w:firstLine="210" w:firstLineChars="100"/>
            </w:pPr>
            <w:r>
              <w:rPr>
                <w:rFonts w:hint="eastAsia"/>
              </w:rPr>
              <w:t>5、施工单位需要自行勘察现场，需要注意了解任何对施工过程中产生影响的因素，施工过程中不得以此为由增加造价。</w:t>
            </w:r>
          </w:p>
          <w:p w14:paraId="05DD7579">
            <w:pPr>
              <w:ind w:firstLine="210" w:firstLineChars="100"/>
            </w:pPr>
          </w:p>
        </w:tc>
      </w:tr>
    </w:tbl>
    <w:p w14:paraId="3FA05A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3F6B6E"/>
    <w:multiLevelType w:val="singleLevel"/>
    <w:tmpl w:val="F53F6B6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4CE7126"/>
    <w:multiLevelType w:val="multilevel"/>
    <w:tmpl w:val="04CE7126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BD0826"/>
    <w:multiLevelType w:val="multilevel"/>
    <w:tmpl w:val="1ABD0826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1MTg0NTlmZDE3Mjk1NzE1OTZlZDBkYzBkOTc0ODgifQ=="/>
    <w:docVar w:name="KSO_WPS_MARK_KEY" w:val="07b7819d-aec7-4497-87c6-acfb30ff9586"/>
  </w:docVars>
  <w:rsids>
    <w:rsidRoot w:val="00363D36"/>
    <w:rsid w:val="00046591"/>
    <w:rsid w:val="000D3AFA"/>
    <w:rsid w:val="000D43E7"/>
    <w:rsid w:val="0018504E"/>
    <w:rsid w:val="001A246D"/>
    <w:rsid w:val="001A6408"/>
    <w:rsid w:val="001F1B92"/>
    <w:rsid w:val="001F61D4"/>
    <w:rsid w:val="00241622"/>
    <w:rsid w:val="002547CC"/>
    <w:rsid w:val="00270A37"/>
    <w:rsid w:val="002B00E8"/>
    <w:rsid w:val="002C5104"/>
    <w:rsid w:val="00317C50"/>
    <w:rsid w:val="00341446"/>
    <w:rsid w:val="00363D36"/>
    <w:rsid w:val="00365F08"/>
    <w:rsid w:val="003B0659"/>
    <w:rsid w:val="003E3850"/>
    <w:rsid w:val="0041560C"/>
    <w:rsid w:val="004A0398"/>
    <w:rsid w:val="004B6DA0"/>
    <w:rsid w:val="004D1DCC"/>
    <w:rsid w:val="004D5ECC"/>
    <w:rsid w:val="00526C3E"/>
    <w:rsid w:val="0055492E"/>
    <w:rsid w:val="005C1513"/>
    <w:rsid w:val="005D6869"/>
    <w:rsid w:val="0061545F"/>
    <w:rsid w:val="00632FF3"/>
    <w:rsid w:val="00633429"/>
    <w:rsid w:val="006D211D"/>
    <w:rsid w:val="00700D57"/>
    <w:rsid w:val="00716518"/>
    <w:rsid w:val="00740F38"/>
    <w:rsid w:val="0078662D"/>
    <w:rsid w:val="007A6076"/>
    <w:rsid w:val="007D5E21"/>
    <w:rsid w:val="00804911"/>
    <w:rsid w:val="0083665A"/>
    <w:rsid w:val="00891D58"/>
    <w:rsid w:val="008A48AB"/>
    <w:rsid w:val="008E7ED0"/>
    <w:rsid w:val="00926E6B"/>
    <w:rsid w:val="00946A60"/>
    <w:rsid w:val="009B0EE8"/>
    <w:rsid w:val="009C63A2"/>
    <w:rsid w:val="00A22946"/>
    <w:rsid w:val="00A52016"/>
    <w:rsid w:val="00AC491B"/>
    <w:rsid w:val="00BF2856"/>
    <w:rsid w:val="00BF3221"/>
    <w:rsid w:val="00C23D6C"/>
    <w:rsid w:val="00C343B6"/>
    <w:rsid w:val="00C56D45"/>
    <w:rsid w:val="00C64BB1"/>
    <w:rsid w:val="00C917DC"/>
    <w:rsid w:val="00CA5379"/>
    <w:rsid w:val="00CB02B9"/>
    <w:rsid w:val="00D22E57"/>
    <w:rsid w:val="00D5708C"/>
    <w:rsid w:val="00E14921"/>
    <w:rsid w:val="00E3275A"/>
    <w:rsid w:val="00E63F42"/>
    <w:rsid w:val="00EC6FD2"/>
    <w:rsid w:val="00EE3E22"/>
    <w:rsid w:val="00EE501D"/>
    <w:rsid w:val="00EF3D25"/>
    <w:rsid w:val="00F15A88"/>
    <w:rsid w:val="00F66589"/>
    <w:rsid w:val="00F72B0B"/>
    <w:rsid w:val="00F73DDB"/>
    <w:rsid w:val="04E377CC"/>
    <w:rsid w:val="07D72618"/>
    <w:rsid w:val="09C05539"/>
    <w:rsid w:val="0ECF5262"/>
    <w:rsid w:val="112B04DA"/>
    <w:rsid w:val="11371515"/>
    <w:rsid w:val="123C3186"/>
    <w:rsid w:val="12655821"/>
    <w:rsid w:val="13741F37"/>
    <w:rsid w:val="17B86DB2"/>
    <w:rsid w:val="19AB73E5"/>
    <w:rsid w:val="19DD0836"/>
    <w:rsid w:val="1C0B6D14"/>
    <w:rsid w:val="1E211544"/>
    <w:rsid w:val="1ED659B5"/>
    <w:rsid w:val="1FF417BA"/>
    <w:rsid w:val="25A00351"/>
    <w:rsid w:val="26E33204"/>
    <w:rsid w:val="2B6F55CF"/>
    <w:rsid w:val="2CBA57BA"/>
    <w:rsid w:val="34C41691"/>
    <w:rsid w:val="38DC37A1"/>
    <w:rsid w:val="3A223894"/>
    <w:rsid w:val="3C7D772F"/>
    <w:rsid w:val="47715B17"/>
    <w:rsid w:val="49A334FA"/>
    <w:rsid w:val="4C84320B"/>
    <w:rsid w:val="4CB22410"/>
    <w:rsid w:val="5654037A"/>
    <w:rsid w:val="66B07E9C"/>
    <w:rsid w:val="6B005C39"/>
    <w:rsid w:val="6E2038A4"/>
    <w:rsid w:val="75A84326"/>
    <w:rsid w:val="75C32CA0"/>
    <w:rsid w:val="77511E37"/>
    <w:rsid w:val="7A1B7E60"/>
    <w:rsid w:val="7AD45FFA"/>
    <w:rsid w:val="7C392558"/>
    <w:rsid w:val="7F0271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631</Words>
  <Characters>688</Characters>
  <Lines>5</Lines>
  <Paragraphs>1</Paragraphs>
  <TotalTime>1</TotalTime>
  <ScaleCrop>false</ScaleCrop>
  <LinksUpToDate>false</LinksUpToDate>
  <CharactersWithSpaces>688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2018-04-23T09:07:00Z</dcterms:created>
  <dc:creator>微软用户</dc:creator>
  <cp:lastModifiedBy>冬去春又来</cp:lastModifiedBy>
  <cp:lastPrinted>2020-05-20T03:12:00Z</cp:lastPrinted>
  <dcterms:modified xsi:type="dcterms:W3CDTF">2024-12-02T08:42:09Z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EE9E564EC4104A9C8B8F07B4529A17FE</vt:lpwstr>
  </property>
</Properties>
</file>