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spacing w:before="8"/>
        <w:rPr>
          <w:rFonts w:ascii="黑体" w:hAnsi="黑体" w:eastAsia="黑体" w:cs="黑体"/>
          <w:sz w:val="23"/>
          <w:highlight w:val="none"/>
        </w:rPr>
      </w:pPr>
      <w:r>
        <w:rPr>
          <w:rFonts w:ascii="黑体" w:hAnsi="黑体" w:eastAsia="黑体" w:cs="黑体"/>
          <w:sz w:val="23"/>
          <w:highlight w:val="none"/>
        </w:rPr>
      </w:r>
      <w:r/>
    </w:p>
    <w:p>
      <w:pPr>
        <w:ind w:left="10"/>
        <w:jc w:val="center"/>
        <w:spacing w:line="1058" w:lineRule="exact"/>
        <w:rPr>
          <w:rFonts w:ascii="黑体" w:hAnsi="黑体" w:eastAsia="黑体" w:cs="黑体"/>
          <w:sz w:val="84"/>
          <w:highlight w:val="none"/>
        </w:rPr>
      </w:pPr>
      <w:r>
        <w:rPr>
          <w:rFonts w:hint="eastAsia" w:ascii="黑体" w:hAnsi="黑体" w:eastAsia="黑体" w:cs="黑体"/>
          <w:sz w:val="84"/>
          <w:highlight w:val="none"/>
        </w:rPr>
        <w:t xml:space="preserve">竞争性磋商文件</w:t>
      </w:r>
      <w:r/>
    </w:p>
    <w:p>
      <w:pPr>
        <w:pStyle w:val="1130"/>
        <w:rPr>
          <w:rFonts w:ascii="黑体" w:hAnsi="黑体" w:eastAsia="黑体" w:cs="黑体"/>
          <w:sz w:val="84"/>
          <w:highlight w:val="none"/>
        </w:rPr>
      </w:pPr>
      <w:r>
        <w:rPr>
          <w:rFonts w:ascii="黑体" w:hAnsi="黑体" w:eastAsia="黑体" w:cs="黑体"/>
          <w:sz w:val="84"/>
          <w:highlight w:val="none"/>
        </w:rPr>
      </w:r>
      <w:r/>
    </w:p>
    <w:p>
      <w:pPr>
        <w:pStyle w:val="1130"/>
        <w:spacing w:before="1"/>
        <w:rPr>
          <w:rFonts w:ascii="黑体" w:hAnsi="黑体" w:eastAsia="黑体" w:cs="黑体"/>
          <w:sz w:val="75"/>
          <w:highlight w:val="none"/>
        </w:rPr>
      </w:pPr>
      <w:r>
        <w:rPr>
          <w:rFonts w:ascii="黑体" w:hAnsi="黑体" w:eastAsia="黑体" w:cs="黑体"/>
          <w:sz w:val="75"/>
          <w:highlight w:val="none"/>
        </w:rPr>
      </w:r>
      <w:r/>
    </w:p>
    <w:p>
      <w:pPr>
        <w:ind w:left="1386"/>
        <w:rPr>
          <w:rFonts w:ascii="黑体" w:hAnsi="黑体" w:eastAsia="黑体" w:cs="黑体"/>
          <w:sz w:val="36"/>
          <w:highlight w:val="none"/>
        </w:rPr>
      </w:pPr>
      <w:r>
        <w:rPr>
          <w:rFonts w:hint="eastAsia" w:ascii="黑体" w:hAnsi="黑体" w:eastAsia="黑体" w:cs="黑体"/>
          <w:sz w:val="36"/>
          <w:highlight w:val="none"/>
        </w:rPr>
        <w:t xml:space="preserve">项目编号：</w:t>
      </w:r>
      <w:r>
        <w:rPr>
          <w:rFonts w:hint="eastAsia" w:ascii="黑体" w:hAnsi="黑体" w:eastAsia="黑体" w:cs="黑体"/>
          <w:sz w:val="36"/>
          <w:highlight w:val="none"/>
          <w:lang w:eastAsia="zh-CN"/>
        </w:rPr>
        <w:t xml:space="preserve">JSZC-320115-JSXN-C2025-0020</w:t>
      </w:r>
      <w:r/>
    </w:p>
    <w:p>
      <w:pPr>
        <w:pStyle w:val="1130"/>
        <w:rPr>
          <w:rFonts w:ascii="黑体" w:hAnsi="黑体" w:eastAsia="黑体" w:cs="黑体"/>
          <w:sz w:val="40"/>
          <w:highlight w:val="none"/>
        </w:rPr>
      </w:pPr>
      <w:r>
        <w:rPr>
          <w:rFonts w:ascii="黑体" w:hAnsi="黑体" w:eastAsia="黑体" w:cs="黑体"/>
          <w:sz w:val="40"/>
          <w:highlight w:val="none"/>
        </w:rPr>
      </w:r>
      <w:r/>
    </w:p>
    <w:p>
      <w:pPr>
        <w:ind w:left="3260" w:right="312" w:hanging="1860"/>
        <w:spacing w:before="327" w:line="324" w:lineRule="auto"/>
        <w:rPr>
          <w:rFonts w:hint="default" w:ascii="黑体" w:hAnsi="黑体" w:eastAsia="黑体" w:cs="黑体"/>
          <w:sz w:val="36"/>
          <w:highlight w:val="none"/>
          <w:lang w:eastAsia="zh-CN"/>
        </w:rPr>
      </w:pPr>
      <w:r>
        <w:rPr>
          <w:rFonts w:hint="eastAsia" w:ascii="黑体" w:hAnsi="黑体" w:eastAsia="黑体" w:cs="黑体"/>
          <w:sz w:val="36"/>
          <w:highlight w:val="none"/>
        </w:rPr>
        <w:t xml:space="preserve">项目名称：</w:t>
      </w:r>
      <w:r>
        <w:rPr>
          <w:rFonts w:hint="eastAsia" w:ascii="黑体" w:hAnsi="黑体" w:eastAsia="黑体" w:cs="黑体"/>
          <w:sz w:val="36"/>
          <w:highlight w:val="none"/>
          <w:lang w:eastAsia="zh-CN"/>
        </w:rPr>
        <w:t xml:space="preserve">秣陵街道社区卫生服务中心体检科改造工程</w:t>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jc w:val="center"/>
        <w:rPr>
          <w:rFonts w:ascii="黑体" w:hAnsi="黑体" w:eastAsia="黑体" w:cs="黑体"/>
          <w:sz w:val="44"/>
          <w:szCs w:val="22"/>
          <w:highlight w:val="none"/>
          <w:lang w:val="en-US"/>
        </w:rPr>
      </w:pPr>
      <w:r>
        <w:rPr>
          <w:rFonts w:hint="eastAsia" w:ascii="黑体" w:hAnsi="黑体" w:eastAsia="黑体" w:cs="黑体"/>
          <w:sz w:val="44"/>
          <w:szCs w:val="22"/>
          <w:highlight w:val="none"/>
          <w:lang w:val="en-US"/>
        </w:rPr>
        <w:t xml:space="preserve">江苏祥能工程项目管理有限公司</w:t>
      </w:r>
      <w:r/>
    </w:p>
    <w:p>
      <w:pPr>
        <w:pStyle w:val="1130"/>
        <w:rPr>
          <w:rFonts w:ascii="黑体" w:hAnsi="黑体" w:eastAsia="黑体" w:cs="黑体"/>
          <w:sz w:val="44"/>
          <w:highlight w:val="none"/>
        </w:rPr>
      </w:pPr>
      <w:r>
        <w:rPr>
          <w:rFonts w:ascii="黑体" w:hAnsi="黑体" w:eastAsia="黑体" w:cs="黑体"/>
          <w:sz w:val="44"/>
          <w:highlight w:val="none"/>
        </w:rPr>
      </w:r>
      <w:r/>
    </w:p>
    <w:p>
      <w:pPr>
        <w:pStyle w:val="1130"/>
        <w:jc w:val="center"/>
        <w:rPr>
          <w:rFonts w:ascii="黑体" w:hAnsi="黑体" w:eastAsia="黑体" w:cs="黑体"/>
          <w:sz w:val="36"/>
          <w:highlight w:val="none"/>
          <w:lang w:val="en-US"/>
        </w:rPr>
      </w:pPr>
      <w:r>
        <w:rPr>
          <w:rFonts w:hint="eastAsia" w:ascii="黑体" w:hAnsi="黑体" w:eastAsia="黑体" w:cs="黑体"/>
          <w:sz w:val="44"/>
          <w:highlight w:val="none"/>
        </w:rPr>
        <w:t xml:space="preserve">二〇二</w:t>
      </w:r>
      <w:r>
        <w:rPr>
          <w:rFonts w:hint="eastAsia" w:ascii="黑体" w:hAnsi="黑体" w:eastAsia="黑体" w:cs="黑体"/>
          <w:sz w:val="44"/>
          <w:highlight w:val="none"/>
          <w:lang w:val="en-US" w:eastAsia="zh-CN"/>
        </w:rPr>
        <w:t xml:space="preserve">五</w:t>
      </w:r>
      <w:r>
        <w:rPr>
          <w:rFonts w:hint="eastAsia" w:ascii="黑体" w:hAnsi="黑体" w:eastAsia="黑体" w:cs="黑体"/>
          <w:sz w:val="44"/>
          <w:highlight w:val="none"/>
        </w:rPr>
        <w:t xml:space="preserve">年</w:t>
      </w:r>
      <w:r>
        <w:rPr>
          <w:rFonts w:hint="eastAsia" w:ascii="黑体" w:hAnsi="黑体" w:eastAsia="黑体" w:cs="黑体"/>
          <w:sz w:val="44"/>
          <w:highlight w:val="none"/>
          <w:lang w:val="en-US" w:eastAsia="zh-CN"/>
        </w:rPr>
        <w:t xml:space="preserve">十一</w:t>
      </w:r>
      <w:r>
        <w:rPr>
          <w:rFonts w:hint="eastAsia" w:ascii="黑体" w:hAnsi="黑体" w:eastAsia="黑体" w:cs="黑体"/>
          <w:sz w:val="44"/>
          <w:highlight w:val="none"/>
        </w:rPr>
        <w:t xml:space="preserve">月</w:t>
      </w:r>
      <w:r/>
    </w:p>
    <w:p>
      <w:pPr>
        <w:pStyle w:val="1130"/>
        <w:rPr>
          <w:rFonts w:ascii="黑体" w:hAnsi="黑体" w:eastAsia="黑体" w:cs="黑体"/>
          <w:sz w:val="36"/>
          <w:highlight w:val="none"/>
        </w:rPr>
      </w:pPr>
      <w:r>
        <w:rPr>
          <w:rFonts w:ascii="黑体" w:hAnsi="黑体" w:eastAsia="黑体" w:cs="黑体"/>
          <w:sz w:val="36"/>
          <w:highlight w:val="none"/>
        </w:rPr>
      </w:r>
      <w:r/>
    </w:p>
    <w:p>
      <w:pPr>
        <w:pStyle w:val="1130"/>
        <w:spacing w:before="4"/>
        <w:rPr>
          <w:rFonts w:ascii="黑体" w:hAnsi="黑体" w:eastAsia="黑体" w:cs="黑体"/>
          <w:sz w:val="10"/>
          <w:highlight w:val="none"/>
        </w:rPr>
      </w:pPr>
      <w:r>
        <w:rPr>
          <w:rFonts w:ascii="黑体" w:hAnsi="黑体" w:eastAsia="黑体" w:cs="黑体"/>
          <w:sz w:val="10"/>
          <w:highlight w:val="none"/>
        </w:rPr>
      </w:r>
      <w:r/>
    </w:p>
    <w:p>
      <w:pPr>
        <w:ind w:left="308"/>
        <w:jc w:val="center"/>
        <w:spacing w:before="58"/>
        <w:tabs>
          <w:tab w:val="left" w:pos="910" w:leader="none"/>
        </w:tabs>
        <w:rPr>
          <w:rFonts w:ascii="黑体" w:hAnsi="黑体" w:eastAsia="黑体" w:cs="黑体"/>
          <w:b/>
          <w:sz w:val="30"/>
          <w:highlight w:val="none"/>
        </w:rPr>
      </w:pPr>
      <w:r/>
      <w:bookmarkStart w:id="0" w:name="第一章__竞争性磋商邀请"/>
      <w:r/>
      <w:bookmarkEnd w:id="0"/>
      <w:r/>
      <w:r/>
    </w:p>
    <w:p>
      <w:pPr>
        <w:ind w:left="308"/>
        <w:jc w:val="center"/>
        <w:spacing w:before="58"/>
        <w:tabs>
          <w:tab w:val="left" w:pos="910" w:leader="none"/>
        </w:tabs>
        <w:rPr>
          <w:rFonts w:ascii="黑体" w:hAnsi="黑体" w:eastAsia="黑体" w:cs="黑体"/>
          <w:b/>
          <w:sz w:val="30"/>
          <w:highlight w:val="none"/>
        </w:rPr>
      </w:pPr>
      <w:r>
        <w:rPr>
          <w:rFonts w:hint="eastAsia" w:ascii="黑体" w:hAnsi="黑体" w:eastAsia="黑体" w:cs="黑体"/>
          <w:b/>
          <w:sz w:val="30"/>
          <w:highlight w:val="none"/>
        </w:rPr>
        <w:t xml:space="preserve">目</w:t>
      </w:r>
      <w:r>
        <w:rPr>
          <w:rFonts w:hint="eastAsia" w:ascii="黑体" w:hAnsi="黑体" w:eastAsia="黑体" w:cs="黑体"/>
          <w:b/>
          <w:sz w:val="30"/>
          <w:highlight w:val="none"/>
        </w:rPr>
        <w:tab/>
      </w:r>
      <w:r>
        <w:rPr>
          <w:rFonts w:hint="eastAsia" w:ascii="黑体" w:hAnsi="黑体" w:eastAsia="黑体" w:cs="黑体"/>
          <w:b/>
          <w:sz w:val="30"/>
          <w:highlight w:val="none"/>
        </w:rPr>
        <w:t xml:space="preserve">录</w:t>
      </w:r>
      <w:r/>
    </w:p>
    <w:sdt>
      <w:sdtPr>
        <w15:appearance w15:val="boundingBox"/>
        <w:id w:val="633684368"/>
        <w:docPartObj>
          <w:docPartGallery w:val="Table of Contents"/>
          <w:docPartUnique w:val="true"/>
        </w:docPartObj>
        <w:rPr>
          <w:rFonts w:hint="eastAsia" w:ascii="宋体" w:hAnsi="宋体" w:eastAsia="宋体" w:cs="宋体"/>
          <w:highlight w:val="none"/>
        </w:rPr>
      </w:sdtPr>
      <w:sdtContent>
        <w:p>
          <w:pPr>
            <w:pStyle w:val="1136"/>
            <w:spacing w:before="454"/>
            <w:tabs>
              <w:tab w:val="left" w:pos="1163" w:leader="none"/>
              <w:tab w:val="right" w:pos="9793" w:leader="dot"/>
            </w:tabs>
            <w:rPr>
              <w:highlight w:val="none"/>
            </w:rPr>
          </w:pPr>
          <w:r>
            <w:rPr>
              <w:highlight w:val="none"/>
            </w:rPr>
            <w:fldChar w:fldCharType="begin"/>
          </w:r>
          <w:r>
            <w:rPr>
              <w:highlight w:val="none"/>
            </w:rPr>
            <w:instrText xml:space="preserve"> HYPERLINK \l "_bookmark0" </w:instrText>
          </w:r>
          <w:r>
            <w:rPr>
              <w:highlight w:val="none"/>
            </w:rPr>
            <w:fldChar w:fldCharType="separate"/>
          </w:r>
          <w:r>
            <w:rPr>
              <w:rFonts w:hint="eastAsia"/>
              <w:highlight w:val="none"/>
            </w:rPr>
            <w:t xml:space="preserve">第一章</w:t>
          </w:r>
          <w:r>
            <w:rPr>
              <w:rFonts w:hint="eastAsia"/>
              <w:highlight w:val="none"/>
            </w:rPr>
            <w:tab/>
          </w:r>
          <w:r>
            <w:rPr>
              <w:rFonts w:hint="eastAsia"/>
              <w:highlight w:val="none"/>
            </w:rPr>
            <w:t xml:space="preserve">竞争性磋商邀请</w:t>
          </w:r>
          <w:r>
            <w:rPr>
              <w:rFonts w:hint="eastAsia"/>
              <w:highlight w:val="none"/>
            </w:rPr>
            <w:tab/>
          </w:r>
          <w:r>
            <w:rPr>
              <w:rFonts w:hint="eastAsia"/>
              <w:highlight w:val="none"/>
            </w:rPr>
            <w:t xml:space="preserve">3</w:t>
          </w:r>
          <w:r>
            <w:rPr>
              <w:rFonts w:hint="eastAsia"/>
              <w:highlight w:val="none"/>
            </w:rPr>
            <w:fldChar w:fldCharType="end"/>
          </w:r>
          <w:r/>
        </w:p>
        <w:p>
          <w:pPr>
            <w:pStyle w:val="1136"/>
            <w:tabs>
              <w:tab w:val="left" w:pos="1163" w:leader="none"/>
              <w:tab w:val="right" w:pos="9793" w:leader="dot"/>
            </w:tabs>
            <w:rPr>
              <w:highlight w:val="none"/>
            </w:rPr>
          </w:pPr>
          <w:r>
            <w:rPr>
              <w:highlight w:val="none"/>
            </w:rPr>
            <w:fldChar w:fldCharType="begin"/>
          </w:r>
          <w:r>
            <w:rPr>
              <w:highlight w:val="none"/>
            </w:rPr>
            <w:instrText xml:space="preserve"> HYPERLINK \l "_bookmark1" </w:instrText>
          </w:r>
          <w:r>
            <w:rPr>
              <w:highlight w:val="none"/>
            </w:rPr>
            <w:fldChar w:fldCharType="separate"/>
          </w:r>
          <w:r>
            <w:rPr>
              <w:rFonts w:hint="eastAsia"/>
              <w:highlight w:val="none"/>
            </w:rPr>
            <w:t xml:space="preserve">第二章</w:t>
          </w:r>
          <w:r>
            <w:rPr>
              <w:rFonts w:hint="eastAsia"/>
              <w:highlight w:val="none"/>
            </w:rPr>
            <w:tab/>
          </w:r>
          <w:r>
            <w:rPr>
              <w:rFonts w:hint="eastAsia"/>
              <w:highlight w:val="none"/>
            </w:rPr>
            <w:t xml:space="preserve">竞争性磋商须知</w:t>
          </w:r>
          <w:r>
            <w:rPr>
              <w:rFonts w:hint="eastAsia"/>
              <w:highlight w:val="none"/>
            </w:rPr>
            <w:tab/>
          </w:r>
          <w:r>
            <w:rPr>
              <w:rFonts w:hint="eastAsia"/>
              <w:highlight w:val="none"/>
            </w:rPr>
            <w:t xml:space="preserve">6</w:t>
          </w:r>
          <w:r>
            <w:rPr>
              <w:rFonts w:hint="eastAsia"/>
              <w:highlight w:val="none"/>
            </w:rPr>
            <w:fldChar w:fldCharType="end"/>
          </w:r>
          <w:r/>
        </w:p>
        <w:p>
          <w:pPr>
            <w:pStyle w:val="1137"/>
            <w:tabs>
              <w:tab w:val="right" w:pos="9793" w:leader="dot"/>
            </w:tabs>
            <w:rPr>
              <w:rFonts w:ascii="黑体" w:hAnsi="黑体" w:eastAsia="黑体" w:cs="黑体"/>
              <w:highlight w:val="none"/>
            </w:rPr>
          </w:pPr>
          <w:r>
            <w:rPr>
              <w:highlight w:val="none"/>
            </w:rPr>
            <w:fldChar w:fldCharType="begin"/>
          </w:r>
          <w:r>
            <w:rPr>
              <w:highlight w:val="none"/>
            </w:rPr>
            <w:instrText xml:space="preserve"> HYPERLINK \l "_bookmark2" </w:instrText>
          </w:r>
          <w:r>
            <w:rPr>
              <w:highlight w:val="none"/>
            </w:rPr>
            <w:fldChar w:fldCharType="separate"/>
          </w:r>
          <w:r>
            <w:rPr>
              <w:rFonts w:hint="eastAsia" w:ascii="黑体" w:hAnsi="黑体" w:eastAsia="黑体" w:cs="黑体"/>
              <w:highlight w:val="none"/>
            </w:rPr>
            <w:t xml:space="preserve">一、总则</w:t>
          </w:r>
          <w:r>
            <w:rPr>
              <w:rFonts w:hint="eastAsia" w:ascii="黑体" w:hAnsi="黑体" w:eastAsia="黑体" w:cs="黑体"/>
              <w:highlight w:val="none"/>
            </w:rPr>
            <w:tab/>
          </w:r>
          <w:r>
            <w:rPr>
              <w:rFonts w:hint="eastAsia" w:ascii="黑体" w:hAnsi="黑体" w:eastAsia="黑体" w:cs="黑体"/>
              <w:highlight w:val="none"/>
            </w:rPr>
            <w:t xml:space="preserve">7</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"_bookmark3" </w:instrText>
          </w:r>
          <w:r>
            <w:rPr>
              <w:highlight w:val="none"/>
            </w:rPr>
            <w:fldChar w:fldCharType="separate"/>
          </w:r>
          <w:r>
            <w:rPr>
              <w:rFonts w:hint="eastAsia" w:ascii="黑体" w:hAnsi="黑体" w:eastAsia="黑体" w:cs="黑体"/>
              <w:highlight w:val="none"/>
            </w:rPr>
            <w:t xml:space="preserve">二、响应性文件的编制</w:t>
          </w:r>
          <w:r>
            <w:rPr>
              <w:rFonts w:hint="eastAsia" w:ascii="黑体" w:hAnsi="黑体" w:eastAsia="黑体" w:cs="黑体"/>
              <w:highlight w:val="none"/>
            </w:rPr>
            <w:tab/>
          </w:r>
          <w:r>
            <w:rPr>
              <w:rFonts w:hint="eastAsia" w:ascii="黑体" w:hAnsi="黑体" w:eastAsia="黑体" w:cs="黑体"/>
              <w:highlight w:val="none"/>
            </w:rPr>
            <w:t xml:space="preserve">10</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"_bookmark4" </w:instrText>
          </w:r>
          <w:r>
            <w:rPr>
              <w:highlight w:val="none"/>
            </w:rPr>
            <w:fldChar w:fldCharType="separate"/>
          </w:r>
          <w:r>
            <w:rPr>
              <w:rFonts w:hint="eastAsia" w:ascii="黑体" w:hAnsi="黑体" w:eastAsia="黑体" w:cs="黑体"/>
              <w:highlight w:val="none"/>
            </w:rPr>
            <w:t xml:space="preserve">三、响应性文件递交</w:t>
          </w:r>
          <w:r>
            <w:rPr>
              <w:rFonts w:hint="eastAsia" w:ascii="黑体" w:hAnsi="黑体" w:eastAsia="黑体" w:cs="黑体"/>
              <w:highlight w:val="none"/>
            </w:rPr>
            <w:tab/>
          </w:r>
          <w:r>
            <w:rPr>
              <w:rFonts w:hint="eastAsia" w:ascii="黑体" w:hAnsi="黑体" w:eastAsia="黑体" w:cs="黑体"/>
              <w:highlight w:val="none"/>
            </w:rPr>
            <w:t xml:space="preserve">11</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"_bookmark5" </w:instrText>
          </w:r>
          <w:r>
            <w:rPr>
              <w:highlight w:val="none"/>
            </w:rPr>
            <w:fldChar w:fldCharType="separate"/>
          </w:r>
          <w:r>
            <w:rPr>
              <w:rFonts w:hint="eastAsia" w:ascii="黑体" w:hAnsi="黑体" w:eastAsia="黑体" w:cs="黑体"/>
              <w:highlight w:val="none"/>
            </w:rPr>
            <w:t xml:space="preserve">四、磋商</w:t>
          </w:r>
          <w:r>
            <w:rPr>
              <w:rFonts w:hint="eastAsia" w:ascii="黑体" w:hAnsi="黑体" w:eastAsia="黑体" w:cs="黑体"/>
              <w:highlight w:val="none"/>
            </w:rPr>
            <w:tab/>
          </w:r>
          <w:r>
            <w:rPr>
              <w:rFonts w:hint="eastAsia" w:ascii="黑体" w:hAnsi="黑体" w:eastAsia="黑体" w:cs="黑体"/>
              <w:highlight w:val="none"/>
            </w:rPr>
            <w:t xml:space="preserve">12</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"_bookmark6" </w:instrText>
          </w:r>
          <w:r>
            <w:rPr>
              <w:highlight w:val="none"/>
            </w:rPr>
            <w:fldChar w:fldCharType="separate"/>
          </w:r>
          <w:r>
            <w:rPr>
              <w:rFonts w:hint="eastAsia" w:ascii="黑体" w:hAnsi="黑体" w:eastAsia="黑体" w:cs="黑体"/>
              <w:highlight w:val="none"/>
            </w:rPr>
            <w:t xml:space="preserve">五、签订合同</w:t>
          </w:r>
          <w:r>
            <w:rPr>
              <w:rFonts w:hint="eastAsia" w:ascii="黑体" w:hAnsi="黑体" w:eastAsia="黑体" w:cs="黑体"/>
              <w:highlight w:val="none"/>
            </w:rPr>
            <w:tab/>
          </w:r>
          <w:r>
            <w:rPr>
              <w:rFonts w:hint="eastAsia" w:ascii="黑体" w:hAnsi="黑体" w:eastAsia="黑体" w:cs="黑体"/>
              <w:highlight w:val="none"/>
            </w:rPr>
            <w:t xml:space="preserve">13</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"_bookmark7" </w:instrText>
          </w:r>
          <w:r>
            <w:rPr>
              <w:highlight w:val="none"/>
            </w:rPr>
            <w:fldChar w:fldCharType="separate"/>
          </w:r>
          <w:r>
            <w:rPr>
              <w:rFonts w:hint="eastAsia" w:ascii="黑体" w:hAnsi="黑体" w:eastAsia="黑体" w:cs="黑体"/>
              <w:highlight w:val="none"/>
            </w:rPr>
            <w:t xml:space="preserve">六、质疑和投诉</w:t>
          </w:r>
          <w:r>
            <w:rPr>
              <w:rFonts w:hint="eastAsia" w:ascii="黑体" w:hAnsi="黑体" w:eastAsia="黑体" w:cs="黑体"/>
              <w:highlight w:val="none"/>
            </w:rPr>
            <w:tab/>
          </w:r>
          <w:r>
            <w:rPr>
              <w:rFonts w:hint="eastAsia" w:ascii="黑体" w:hAnsi="黑体" w:eastAsia="黑体" w:cs="黑体"/>
              <w:highlight w:val="none"/>
            </w:rPr>
            <w:t xml:space="preserve">13</w:t>
          </w:r>
          <w:r>
            <w:rPr>
              <w:rFonts w:hint="eastAsia" w:ascii="黑体" w:hAnsi="黑体" w:eastAsia="黑体" w:cs="黑体"/>
              <w:highlight w:val="none"/>
            </w:rPr>
            <w:fldChar w:fldCharType="end"/>
          </w:r>
          <w:r/>
        </w:p>
        <w:p>
          <w:pPr>
            <w:pStyle w:val="1136"/>
            <w:tabs>
              <w:tab w:val="right" w:pos="9791" w:leader="dot"/>
            </w:tabs>
            <w:rPr>
              <w:highlight w:val="none"/>
            </w:rPr>
          </w:pPr>
          <w:r>
            <w:rPr>
              <w:highlight w:val="none"/>
            </w:rPr>
            <w:fldChar w:fldCharType="begin"/>
          </w:r>
          <w:r>
            <w:rPr>
              <w:highlight w:val="none"/>
            </w:rPr>
            <w:instrText xml:space="preserve"> HYPERLINK \l "_bookmark8" </w:instrText>
          </w:r>
          <w:r>
            <w:rPr>
              <w:highlight w:val="none"/>
            </w:rPr>
            <w:fldChar w:fldCharType="separate"/>
          </w:r>
          <w:r>
            <w:rPr>
              <w:rFonts w:hint="eastAsia"/>
              <w:highlight w:val="none"/>
            </w:rPr>
            <w:t xml:space="preserve">第三章磋商项目需求</w:t>
          </w:r>
          <w:r>
            <w:rPr>
              <w:rFonts w:hint="eastAsia"/>
              <w:highlight w:val="none"/>
            </w:rPr>
            <w:tab/>
          </w:r>
          <w:r>
            <w:rPr>
              <w:rFonts w:hint="eastAsia"/>
              <w:highlight w:val="none"/>
            </w:rPr>
            <w:t xml:space="preserve">14</w:t>
          </w:r>
          <w:r>
            <w:rPr>
              <w:rFonts w:hint="eastAsia"/>
              <w:highlight w:val="none"/>
            </w:rPr>
            <w:fldChar w:fldCharType="end"/>
          </w:r>
          <w:r/>
        </w:p>
        <w:p>
          <w:pPr>
            <w:pStyle w:val="1136"/>
            <w:tabs>
              <w:tab w:val="right" w:pos="9791" w:leader="dot"/>
            </w:tabs>
            <w:rPr>
              <w:highlight w:val="none"/>
            </w:rPr>
          </w:pPr>
          <w:r>
            <w:rPr>
              <w:highlight w:val="none"/>
            </w:rPr>
            <w:fldChar w:fldCharType="begin"/>
          </w:r>
          <w:r>
            <w:rPr>
              <w:highlight w:val="none"/>
            </w:rPr>
            <w:instrText xml:space="preserve"> HYPERLINK \l "_bookmark9" </w:instrText>
          </w:r>
          <w:r>
            <w:rPr>
              <w:highlight w:val="none"/>
            </w:rPr>
            <w:fldChar w:fldCharType="separate"/>
          </w:r>
          <w:r>
            <w:rPr>
              <w:rFonts w:hint="eastAsia"/>
              <w:highlight w:val="none"/>
            </w:rPr>
            <w:t xml:space="preserve">第四章评分标准</w:t>
          </w:r>
          <w:r>
            <w:rPr>
              <w:rFonts w:hint="eastAsia"/>
              <w:highlight w:val="none"/>
            </w:rPr>
            <w:tab/>
          </w:r>
          <w:r>
            <w:rPr>
              <w:rFonts w:hint="eastAsia"/>
              <w:highlight w:val="none"/>
            </w:rPr>
            <w:t xml:space="preserve">16</w:t>
          </w:r>
          <w:r>
            <w:rPr>
              <w:rFonts w:hint="eastAsia"/>
              <w:highlight w:val="none"/>
            </w:rPr>
            <w:fldChar w:fldCharType="end"/>
          </w:r>
          <w:r/>
        </w:p>
        <w:p>
          <w:pPr>
            <w:pStyle w:val="1136"/>
            <w:spacing w:before="42"/>
            <w:tabs>
              <w:tab w:val="left" w:pos="1163" w:leader="none"/>
              <w:tab w:val="right" w:pos="9791" w:leader="dot"/>
            </w:tabs>
            <w:rPr>
              <w:highlight w:val="none"/>
            </w:rPr>
          </w:pPr>
          <w:r>
            <w:rPr>
              <w:highlight w:val="none"/>
            </w:rPr>
            <w:fldChar w:fldCharType="begin"/>
          </w:r>
          <w:r>
            <w:rPr>
              <w:highlight w:val="none"/>
            </w:rPr>
            <w:instrText xml:space="preserve"> HYPERLINK \l "_bookmark10" </w:instrText>
          </w:r>
          <w:r>
            <w:rPr>
              <w:highlight w:val="none"/>
            </w:rPr>
            <w:fldChar w:fldCharType="separate"/>
          </w:r>
          <w:r>
            <w:rPr>
              <w:rFonts w:hint="eastAsia"/>
              <w:highlight w:val="none"/>
            </w:rPr>
            <w:t xml:space="preserve">第五章</w:t>
          </w:r>
          <w:r>
            <w:rPr>
              <w:rFonts w:hint="eastAsia"/>
              <w:highlight w:val="none"/>
            </w:rPr>
            <w:tab/>
          </w:r>
          <w:r>
            <w:rPr>
              <w:rFonts w:hint="eastAsia"/>
              <w:highlight w:val="none"/>
            </w:rPr>
            <w:t xml:space="preserve">政府采购合同格式</w:t>
          </w:r>
          <w:r>
            <w:rPr>
              <w:rFonts w:hint="eastAsia"/>
              <w:highlight w:val="none"/>
            </w:rPr>
            <w:tab/>
          </w:r>
          <w:r>
            <w:rPr>
              <w:rFonts w:hint="eastAsia"/>
              <w:highlight w:val="none"/>
            </w:rPr>
            <w:t xml:space="preserve">18</w:t>
          </w:r>
          <w:r>
            <w:rPr>
              <w:rFonts w:hint="eastAsia"/>
              <w:highlight w:val="none"/>
            </w:rPr>
            <w:fldChar w:fldCharType="end"/>
          </w:r>
          <w:r/>
        </w:p>
        <w:p>
          <w:pPr>
            <w:pStyle w:val="1136"/>
            <w:spacing w:before="12"/>
            <w:tabs>
              <w:tab w:val="right" w:pos="9791" w:leader="dot"/>
            </w:tabs>
            <w:rPr>
              <w:highlight w:val="none"/>
            </w:rPr>
          </w:pPr>
          <w:r>
            <w:rPr>
              <w:highlight w:val="none"/>
            </w:rPr>
            <w:fldChar w:fldCharType="begin"/>
          </w:r>
          <w:r>
            <w:rPr>
              <w:highlight w:val="none"/>
            </w:rPr>
            <w:instrText xml:space="preserve"> HYPERLINK \l "_bookmark11" </w:instrText>
          </w:r>
          <w:r>
            <w:rPr>
              <w:highlight w:val="none"/>
            </w:rPr>
            <w:fldChar w:fldCharType="separate"/>
          </w:r>
          <w:r>
            <w:rPr>
              <w:rFonts w:hint="eastAsia"/>
              <w:highlight w:val="none"/>
            </w:rPr>
            <w:t xml:space="preserve">第一部分合同协议书</w:t>
          </w:r>
          <w:r>
            <w:rPr>
              <w:rFonts w:hint="eastAsia"/>
              <w:highlight w:val="none"/>
            </w:rPr>
            <w:tab/>
          </w:r>
          <w:r>
            <w:rPr>
              <w:rFonts w:hint="eastAsia"/>
              <w:highlight w:val="none"/>
            </w:rPr>
            <w:t xml:space="preserve">18</w:t>
          </w:r>
          <w:r>
            <w:rPr>
              <w:rFonts w:hint="eastAsia"/>
              <w:highlight w:val="none"/>
            </w:rPr>
            <w:fldChar w:fldCharType="end"/>
          </w:r>
          <w:r/>
        </w:p>
        <w:p>
          <w:pPr>
            <w:pStyle w:val="1136"/>
            <w:spacing w:before="10"/>
            <w:tabs>
              <w:tab w:val="right" w:pos="9791" w:leader="dot"/>
            </w:tabs>
            <w:rPr>
              <w:highlight w:val="none"/>
            </w:rPr>
          </w:pPr>
          <w:r>
            <w:rPr>
              <w:highlight w:val="none"/>
            </w:rPr>
            <w:fldChar w:fldCharType="begin"/>
          </w:r>
          <w:r>
            <w:rPr>
              <w:highlight w:val="none"/>
            </w:rPr>
            <w:instrText xml:space="preserve"> HYPERLINK \l "_bookmark12" </w:instrText>
          </w:r>
          <w:r>
            <w:rPr>
              <w:highlight w:val="none"/>
            </w:rPr>
            <w:fldChar w:fldCharType="separate"/>
          </w:r>
          <w:r>
            <w:rPr>
              <w:rFonts w:hint="eastAsia"/>
              <w:highlight w:val="none"/>
            </w:rPr>
            <w:t xml:space="preserve">第六章、竞争性磋商文件格式及附件</w:t>
          </w:r>
          <w:r>
            <w:rPr>
              <w:rFonts w:hint="eastAsia"/>
              <w:highlight w:val="none"/>
            </w:rPr>
            <w:tab/>
          </w:r>
          <w:r>
            <w:rPr>
              <w:rFonts w:hint="eastAsia"/>
              <w:highlight w:val="none"/>
            </w:rPr>
            <w:t xml:space="preserve">56</w:t>
          </w:r>
          <w:r>
            <w:rPr>
              <w:rFonts w:hint="eastAsia"/>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"_bookmark13" </w:instrText>
          </w:r>
          <w:r>
            <w:rPr>
              <w:highlight w:val="none"/>
            </w:rPr>
            <w:fldChar w:fldCharType="separate"/>
          </w:r>
          <w:r>
            <w:rPr>
              <w:rFonts w:hint="eastAsia" w:ascii="黑体" w:hAnsi="黑体" w:eastAsia="黑体" w:cs="黑体"/>
              <w:highlight w:val="none"/>
            </w:rPr>
            <w:t xml:space="preserve">评分索引表</w:t>
          </w:r>
          <w:r>
            <w:rPr>
              <w:rFonts w:hint="eastAsia" w:ascii="黑体" w:hAnsi="黑体" w:eastAsia="黑体" w:cs="黑体"/>
              <w:highlight w:val="none"/>
            </w:rPr>
            <w:tab/>
          </w:r>
          <w:r>
            <w:rPr>
              <w:rFonts w:hint="eastAsia" w:ascii="黑体" w:hAnsi="黑体" w:eastAsia="黑体" w:cs="黑体"/>
              <w:highlight w:val="none"/>
            </w:rPr>
            <w:t xml:space="preserve">57</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"_bookmark14" </w:instrText>
          </w:r>
          <w:r>
            <w:rPr>
              <w:highlight w:val="none"/>
            </w:rPr>
            <w:fldChar w:fldCharType="separate"/>
          </w:r>
          <w:r>
            <w:rPr>
              <w:rFonts w:hint="eastAsia" w:ascii="黑体" w:hAnsi="黑体" w:eastAsia="黑体" w:cs="黑体"/>
              <w:highlight w:val="none"/>
            </w:rPr>
            <w:t xml:space="preserve">一、磋商申请及声明</w:t>
          </w:r>
          <w:r>
            <w:rPr>
              <w:rFonts w:hint="eastAsia" w:ascii="黑体" w:hAnsi="黑体" w:eastAsia="黑体" w:cs="黑体"/>
              <w:highlight w:val="none"/>
            </w:rPr>
            <w:tab/>
          </w:r>
          <w:r>
            <w:rPr>
              <w:rFonts w:hint="eastAsia" w:ascii="黑体" w:hAnsi="黑体" w:eastAsia="黑体" w:cs="黑体"/>
              <w:highlight w:val="none"/>
            </w:rPr>
            <w:t xml:space="preserve">58</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"_bookmark15" </w:instrText>
          </w:r>
          <w:r>
            <w:rPr>
              <w:highlight w:val="none"/>
            </w:rPr>
            <w:fldChar w:fldCharType="separate"/>
          </w:r>
          <w:r>
            <w:rPr>
              <w:rFonts w:hint="eastAsia" w:ascii="黑体" w:hAnsi="黑体" w:eastAsia="黑体" w:cs="黑体"/>
              <w:highlight w:val="none"/>
            </w:rPr>
            <w:t xml:space="preserve">二、法定代表人授权委托书</w:t>
          </w:r>
          <w:r>
            <w:rPr>
              <w:rFonts w:hint="eastAsia" w:ascii="黑体" w:hAnsi="黑体" w:eastAsia="黑体" w:cs="黑体"/>
              <w:highlight w:val="none"/>
            </w:rPr>
            <w:tab/>
          </w:r>
          <w:r>
            <w:rPr>
              <w:rFonts w:hint="eastAsia" w:ascii="黑体" w:hAnsi="黑体" w:eastAsia="黑体" w:cs="黑体"/>
              <w:highlight w:val="none"/>
            </w:rPr>
            <w:t xml:space="preserve">59</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"_bookmark16" </w:instrText>
          </w:r>
          <w:r>
            <w:rPr>
              <w:highlight w:val="none"/>
            </w:rPr>
            <w:fldChar w:fldCharType="separate"/>
          </w:r>
          <w:r>
            <w:rPr>
              <w:rFonts w:hint="eastAsia" w:ascii="黑体" w:hAnsi="黑体" w:eastAsia="黑体" w:cs="黑体"/>
              <w:highlight w:val="none"/>
            </w:rPr>
            <w:t xml:space="preserve">三、磋商报价汇总表</w:t>
          </w:r>
          <w:r>
            <w:rPr>
              <w:rFonts w:hint="eastAsia" w:ascii="黑体" w:hAnsi="黑体" w:eastAsia="黑体" w:cs="黑体"/>
              <w:highlight w:val="none"/>
            </w:rPr>
            <w:tab/>
          </w:r>
          <w:r>
            <w:rPr>
              <w:rFonts w:hint="eastAsia" w:ascii="黑体" w:hAnsi="黑体" w:eastAsia="黑体" w:cs="黑体"/>
              <w:highlight w:val="none"/>
            </w:rPr>
            <w:t xml:space="preserve">59</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"_bookmark17" </w:instrText>
          </w:r>
          <w:r>
            <w:rPr>
              <w:highlight w:val="none"/>
            </w:rPr>
            <w:fldChar w:fldCharType="separate"/>
          </w:r>
          <w:r>
            <w:rPr>
              <w:rFonts w:hint="eastAsia" w:ascii="黑体" w:hAnsi="黑体" w:eastAsia="黑体" w:cs="黑体"/>
              <w:highlight w:val="none"/>
            </w:rPr>
            <w:t xml:space="preserve">四、磋商分项报价表</w:t>
          </w:r>
          <w:r>
            <w:rPr>
              <w:rFonts w:hint="eastAsia" w:ascii="黑体" w:hAnsi="黑体" w:eastAsia="黑体" w:cs="黑体"/>
              <w:highlight w:val="none"/>
            </w:rPr>
            <w:tab/>
          </w:r>
          <w:r>
            <w:rPr>
              <w:rFonts w:hint="eastAsia" w:ascii="黑体" w:hAnsi="黑体" w:eastAsia="黑体" w:cs="黑体"/>
              <w:highlight w:val="none"/>
            </w:rPr>
            <w:t xml:space="preserve">60</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"_bookmark19" </w:instrText>
          </w:r>
          <w:r>
            <w:rPr>
              <w:highlight w:val="none"/>
            </w:rPr>
            <w:fldChar w:fldCharType="separate"/>
          </w:r>
          <w:r>
            <w:rPr>
              <w:rFonts w:hint="eastAsia" w:ascii="黑体" w:hAnsi="黑体" w:eastAsia="黑体" w:cs="黑体"/>
              <w:highlight w:val="none"/>
            </w:rPr>
            <w:t xml:space="preserve">五、资格证明</w:t>
          </w:r>
          <w:r>
            <w:rPr>
              <w:rFonts w:hint="eastAsia" w:ascii="黑体" w:hAnsi="黑体" w:eastAsia="黑体" w:cs="黑体"/>
              <w:highlight w:val="none"/>
            </w:rPr>
            <w:tab/>
          </w:r>
          <w:r>
            <w:rPr>
              <w:rFonts w:hint="eastAsia" w:ascii="黑体" w:hAnsi="黑体" w:eastAsia="黑体" w:cs="黑体"/>
              <w:highlight w:val="none"/>
            </w:rPr>
            <w:t xml:space="preserve">60</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"_bookmark20" </w:instrText>
          </w:r>
          <w:r>
            <w:rPr>
              <w:highlight w:val="none"/>
            </w:rPr>
            <w:fldChar w:fldCharType="separate"/>
          </w:r>
          <w:r>
            <w:rPr>
              <w:rFonts w:hint="eastAsia" w:ascii="黑体" w:hAnsi="黑体" w:eastAsia="黑体" w:cs="黑体"/>
              <w:highlight w:val="none"/>
            </w:rPr>
            <w:t xml:space="preserve">六、商务条款响应表</w:t>
          </w:r>
          <w:r>
            <w:rPr>
              <w:rFonts w:hint="eastAsia" w:ascii="黑体" w:hAnsi="黑体" w:eastAsia="黑体" w:cs="黑体"/>
              <w:highlight w:val="none"/>
            </w:rPr>
            <w:tab/>
          </w:r>
          <w:r>
            <w:rPr>
              <w:rFonts w:hint="eastAsia" w:ascii="黑体" w:hAnsi="黑体" w:eastAsia="黑体" w:cs="黑体"/>
              <w:highlight w:val="none"/>
            </w:rPr>
            <w:t xml:space="preserve">61</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"_bookmark21" </w:instrText>
          </w:r>
          <w:r>
            <w:rPr>
              <w:highlight w:val="none"/>
            </w:rPr>
            <w:fldChar w:fldCharType="separate"/>
          </w:r>
          <w:r>
            <w:rPr>
              <w:rFonts w:hint="eastAsia" w:ascii="黑体" w:hAnsi="黑体" w:eastAsia="黑体" w:cs="黑体"/>
              <w:highlight w:val="none"/>
            </w:rPr>
            <w:t xml:space="preserve">七、项目实施方案</w:t>
          </w:r>
          <w:r>
            <w:rPr>
              <w:rFonts w:hint="eastAsia" w:ascii="黑体" w:hAnsi="黑体" w:eastAsia="黑体" w:cs="黑体"/>
              <w:highlight w:val="none"/>
            </w:rPr>
            <w:tab/>
          </w:r>
          <w:r>
            <w:rPr>
              <w:rFonts w:hint="eastAsia" w:ascii="黑体" w:hAnsi="黑体" w:eastAsia="黑体" w:cs="黑体"/>
              <w:highlight w:val="none"/>
            </w:rPr>
            <w:t xml:space="preserve">61</w:t>
          </w:r>
          <w:r>
            <w:rPr>
              <w:rFonts w:hint="eastAsia" w:ascii="黑体" w:hAnsi="黑体" w:eastAsia="黑体" w:cs="黑体"/>
              <w:highlight w:val="none"/>
            </w:rPr>
            <w:fldChar w:fldCharType="end"/>
          </w:r>
          <w:r/>
        </w:p>
        <w:p>
          <w:pPr>
            <w:pStyle w:val="1137"/>
            <w:spacing w:before="42"/>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"_bookmark22" </w:instrText>
          </w:r>
          <w:r>
            <w:rPr>
              <w:highlight w:val="none"/>
            </w:rPr>
            <w:fldChar w:fldCharType="separate"/>
          </w:r>
          <w:r>
            <w:rPr>
              <w:rFonts w:hint="eastAsia" w:ascii="黑体" w:hAnsi="黑体" w:eastAsia="黑体" w:cs="黑体"/>
              <w:highlight w:val="none"/>
            </w:rPr>
            <w:t xml:space="preserve">八、项目参与人员基本情况表</w:t>
          </w:r>
          <w:r>
            <w:rPr>
              <w:rFonts w:hint="eastAsia" w:ascii="黑体" w:hAnsi="黑体" w:eastAsia="黑体" w:cs="黑体"/>
              <w:highlight w:val="none"/>
            </w:rPr>
            <w:tab/>
          </w:r>
          <w:r>
            <w:rPr>
              <w:rFonts w:hint="eastAsia" w:ascii="黑体" w:hAnsi="黑体" w:eastAsia="黑体" w:cs="黑体"/>
              <w:highlight w:val="none"/>
            </w:rPr>
            <w:t xml:space="preserve">62</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"_bookmark23" </w:instrText>
          </w:r>
          <w:r>
            <w:rPr>
              <w:highlight w:val="none"/>
            </w:rPr>
            <w:fldChar w:fldCharType="separate"/>
          </w:r>
          <w:r>
            <w:rPr>
              <w:rFonts w:hint="eastAsia" w:ascii="黑体" w:hAnsi="黑体" w:eastAsia="黑体" w:cs="黑体"/>
              <w:highlight w:val="none"/>
            </w:rPr>
            <w:t xml:space="preserve">九、技术规格偏离表</w:t>
          </w:r>
          <w:r>
            <w:rPr>
              <w:rFonts w:hint="eastAsia" w:ascii="黑体" w:hAnsi="黑体" w:eastAsia="黑体" w:cs="黑体"/>
              <w:highlight w:val="none"/>
            </w:rPr>
            <w:tab/>
          </w:r>
          <w:r>
            <w:rPr>
              <w:rFonts w:hint="eastAsia" w:ascii="黑体" w:hAnsi="黑体" w:eastAsia="黑体" w:cs="黑体"/>
              <w:highlight w:val="none"/>
            </w:rPr>
            <w:t xml:space="preserve">63</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"_bookmark24" </w:instrText>
          </w:r>
          <w:r>
            <w:rPr>
              <w:highlight w:val="none"/>
            </w:rPr>
            <w:fldChar w:fldCharType="separate"/>
          </w:r>
          <w:r>
            <w:rPr>
              <w:rFonts w:hint="eastAsia" w:ascii="黑体" w:hAnsi="黑体" w:eastAsia="黑体" w:cs="黑体"/>
              <w:highlight w:val="none"/>
            </w:rPr>
            <w:t xml:space="preserve">十、质量保证及服务承诺</w:t>
          </w:r>
          <w:r>
            <w:rPr>
              <w:rFonts w:hint="eastAsia" w:ascii="黑体" w:hAnsi="黑体" w:eastAsia="黑体" w:cs="黑体"/>
              <w:highlight w:val="none"/>
            </w:rPr>
            <w:tab/>
          </w:r>
          <w:r>
            <w:rPr>
              <w:rFonts w:hint="eastAsia" w:ascii="黑体" w:hAnsi="黑体" w:eastAsia="黑体" w:cs="黑体"/>
              <w:highlight w:val="none"/>
            </w:rPr>
            <w:t xml:space="preserve">63</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"_bookmark25" </w:instrText>
          </w:r>
          <w:r>
            <w:rPr>
              <w:highlight w:val="none"/>
            </w:rPr>
            <w:fldChar w:fldCharType="separate"/>
          </w:r>
          <w:r>
            <w:rPr>
              <w:rFonts w:hint="eastAsia" w:ascii="黑体" w:hAnsi="黑体" w:eastAsia="黑体" w:cs="黑体"/>
              <w:highlight w:val="none"/>
            </w:rPr>
            <w:t xml:space="preserve">附件一：具备履行合同所必需的设备和专业技术能力的书面声明</w:t>
          </w:r>
          <w:r>
            <w:rPr>
              <w:rFonts w:hint="eastAsia" w:ascii="黑体" w:hAnsi="黑体" w:eastAsia="黑体" w:cs="黑体"/>
              <w:highlight w:val="none"/>
            </w:rPr>
            <w:tab/>
          </w:r>
          <w:r>
            <w:rPr>
              <w:rFonts w:hint="eastAsia" w:ascii="黑体" w:hAnsi="黑体" w:eastAsia="黑体" w:cs="黑体"/>
              <w:highlight w:val="none"/>
            </w:rPr>
            <w:t xml:space="preserve">64</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"_bookmark26" </w:instrText>
          </w:r>
          <w:r>
            <w:rPr>
              <w:highlight w:val="none"/>
            </w:rPr>
            <w:fldChar w:fldCharType="separate"/>
          </w:r>
          <w:r>
            <w:rPr>
              <w:rFonts w:hint="eastAsia" w:ascii="黑体" w:hAnsi="黑体" w:eastAsia="黑体" w:cs="黑体"/>
              <w:highlight w:val="none"/>
            </w:rPr>
            <w:t xml:space="preserve">附件二：无重大违法记录声明格式</w:t>
          </w:r>
          <w:r>
            <w:rPr>
              <w:rFonts w:hint="eastAsia" w:ascii="黑体" w:hAnsi="黑体" w:eastAsia="黑体" w:cs="黑体"/>
              <w:highlight w:val="none"/>
            </w:rPr>
            <w:tab/>
          </w:r>
          <w:r>
            <w:rPr>
              <w:rFonts w:hint="eastAsia" w:ascii="黑体" w:hAnsi="黑体" w:eastAsia="黑体" w:cs="黑体"/>
              <w:highlight w:val="none"/>
            </w:rPr>
            <w:t xml:space="preserve">64</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"_bookmark27" </w:instrText>
          </w:r>
          <w:r>
            <w:rPr>
              <w:highlight w:val="none"/>
            </w:rPr>
            <w:fldChar w:fldCharType="separate"/>
          </w:r>
          <w:r>
            <w:rPr>
              <w:rFonts w:hint="eastAsia" w:ascii="黑体" w:hAnsi="黑体" w:eastAsia="黑体" w:cs="黑体"/>
              <w:highlight w:val="none"/>
            </w:rPr>
            <w:t xml:space="preserve">附件三：中小企业声明函格式、残疾人福利性单位声明函（如有）</w:t>
          </w:r>
          <w:r>
            <w:rPr>
              <w:rFonts w:hint="eastAsia" w:ascii="黑体" w:hAnsi="黑体" w:eastAsia="黑体" w:cs="黑体"/>
              <w:highlight w:val="none"/>
            </w:rPr>
            <w:tab/>
          </w:r>
          <w:r>
            <w:rPr>
              <w:rFonts w:hint="eastAsia" w:ascii="黑体" w:hAnsi="黑体" w:eastAsia="黑体" w:cs="黑体"/>
              <w:highlight w:val="none"/>
            </w:rPr>
            <w:t xml:space="preserve">65</w:t>
          </w:r>
          <w:r>
            <w:rPr>
              <w:rFonts w:hint="eastAsia" w:ascii="黑体" w:hAnsi="黑体" w:eastAsia="黑体" w:cs="黑体"/>
              <w:highlight w:val="none"/>
            </w:rPr>
            <w:fldChar w:fldCharType="end"/>
          </w:r>
          <w:r/>
        </w:p>
        <w:p>
          <w:pPr>
            <w:pStyle w:val="1137"/>
            <w:tabs>
              <w:tab w:val="right" w:pos="9791" w:leader="dot"/>
            </w:tabs>
            <w:rPr>
              <w:rFonts w:ascii="黑体" w:hAnsi="黑体" w:eastAsia="黑体" w:cs="黑体"/>
              <w:highlight w:val="none"/>
            </w:rPr>
          </w:pPr>
          <w:r>
            <w:rPr>
              <w:highlight w:val="none"/>
            </w:rPr>
            <w:fldChar w:fldCharType="begin"/>
          </w:r>
          <w:r>
            <w:rPr>
              <w:highlight w:val="none"/>
            </w:rPr>
            <w:instrText xml:space="preserve"> HYPERLINK \l "_bookmark28" </w:instrText>
          </w:r>
          <w:r>
            <w:rPr>
              <w:highlight w:val="none"/>
            </w:rPr>
            <w:fldChar w:fldCharType="separate"/>
          </w:r>
          <w:r>
            <w:rPr>
              <w:rFonts w:hint="eastAsia" w:ascii="黑体" w:hAnsi="黑体" w:eastAsia="黑体" w:cs="黑体"/>
              <w:highlight w:val="none"/>
            </w:rPr>
            <w:t xml:space="preserve">附件四：南京市政府采购供应商信用记录表暨信用承诺书</w:t>
          </w:r>
          <w:r>
            <w:rPr>
              <w:rFonts w:hint="eastAsia" w:ascii="黑体" w:hAnsi="黑体" w:eastAsia="黑体" w:cs="黑体"/>
              <w:highlight w:val="none"/>
            </w:rPr>
            <w:tab/>
          </w:r>
          <w:r>
            <w:rPr>
              <w:rFonts w:hint="eastAsia" w:ascii="黑体" w:hAnsi="黑体" w:eastAsia="黑体" w:cs="黑体"/>
              <w:highlight w:val="none"/>
            </w:rPr>
            <w:t xml:space="preserve">66</w:t>
          </w:r>
          <w:r>
            <w:rPr>
              <w:rFonts w:hint="eastAsia" w:ascii="黑体" w:hAnsi="黑体" w:eastAsia="黑体" w:cs="黑体"/>
              <w:highlight w:val="none"/>
            </w:rPr>
            <w:fldChar w:fldCharType="end"/>
          </w:r>
          <w:r/>
        </w:p>
      </w:sdtContent>
    </w:sdt>
    <w:p>
      <w:pPr>
        <w:rPr>
          <w:rFonts w:ascii="黑体" w:hAnsi="黑体" w:eastAsia="黑体" w:cs="黑体"/>
          <w:highlight w:val="none"/>
        </w:rPr>
        <w:sectPr>
          <w:headerReference w:type="default" r:id="rId9"/>
          <w:footerReference w:type="default" r:id="rId13"/>
          <w:footnotePr/>
          <w:endnotePr/>
          <w:type w:val="nextPage"/>
          <w:pgSz w:w="11910" w:h="16840" w:orient="portrait"/>
          <w:pgMar w:top="1340" w:right="820" w:bottom="1180" w:left="980" w:header="878" w:footer="1000" w:gutter="0"/>
          <w:cols w:num="1" w:sep="0" w:space="720" w:equalWidth="1"/>
          <w:docGrid w:linePitch="360"/>
        </w:sectPr>
      </w:pPr>
      <w:r>
        <w:rPr>
          <w:rFonts w:ascii="黑体" w:hAnsi="黑体" w:eastAsia="黑体" w:cs="黑体"/>
          <w:highlight w:val="none"/>
        </w:rPr>
      </w:r>
      <w:r/>
    </w:p>
    <w:p>
      <w:pPr>
        <w:pStyle w:val="1122"/>
        <w:tabs>
          <w:tab w:val="left" w:pos="1208" w:leader="none"/>
        </w:tabs>
        <w:rPr>
          <w:sz w:val="23"/>
          <w:highlight w:val="none"/>
        </w:rPr>
      </w:pPr>
      <w:r/>
      <w:bookmarkStart w:id="1" w:name="_bookmark0"/>
      <w:r/>
      <w:bookmarkEnd w:id="1"/>
      <w:r>
        <w:rPr>
          <w:rFonts w:hint="eastAsia"/>
          <w:highlight w:val="none"/>
        </w:rPr>
        <w:t xml:space="preserve">第一章</w:t>
      </w:r>
      <w:r>
        <w:rPr>
          <w:rFonts w:hint="eastAsia"/>
          <w:highlight w:val="none"/>
        </w:rPr>
        <w:tab/>
      </w:r>
      <w:r>
        <w:rPr>
          <w:rFonts w:hint="eastAsia"/>
          <w:highlight w:val="none"/>
        </w:rPr>
        <w:t xml:space="preserve">竞争性磋商邀请</w:t>
      </w:r>
      <w:r/>
    </w:p>
    <w:p>
      <w:pPr>
        <w:pStyle w:val="1122"/>
        <w:ind w:left="0" w:right="0"/>
        <w:jc w:val="center"/>
        <w:keepLines w:val="0"/>
        <w:keepNext w:val="0"/>
        <w:spacing w:before="0" w:beforeAutospacing="0" w:after="0" w:afterAutospacing="0" w:line="360" w:lineRule="auto"/>
        <w:widowControl/>
        <w:tabs>
          <w:tab w:val="left" w:pos="0" w:leader="none"/>
        </w:tabs>
        <w:rPr>
          <w:highlight w:val="none"/>
        </w:rPr>
        <w:suppressLineNumbers w:val="0"/>
      </w:pPr>
      <w:r>
        <w:rPr>
          <w:highlight w:val="none"/>
        </w:rPr>
        <w:t xml:space="preserve"> </w:t>
      </w:r>
      <w:r/>
    </w:p>
    <w:tbl>
      <w:tblPr>
        <w:tblStyle w:val="112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144"/>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项目概况</w:t>
            </w:r>
            <w:r/>
          </w:p>
          <w:p>
            <w:pPr>
              <w:pStyle w:val="1138"/>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lang w:eastAsia="zh-CN"/>
              </w:rPr>
              <w:t xml:space="preserve">秣陵街道社区卫生服务中心体检科改造工程</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JSZC-320115-JSXN-C2025-0020</w:t>
            </w:r>
            <w:r>
              <w:rPr>
                <w:rFonts w:hint="eastAsia" w:ascii="仿宋" w:hAnsi="仿宋" w:eastAsia="仿宋" w:cs="仿宋"/>
                <w:sz w:val="28"/>
                <w:szCs w:val="28"/>
                <w:highlight w:val="none"/>
              </w:rPr>
              <w:t xml:space="preserve"> 采购项目的潜在供应商应在</w:t>
            </w:r>
            <w:r>
              <w:rPr>
                <w:rFonts w:hint="eastAsia" w:ascii="仿宋" w:hAnsi="仿宋" w:eastAsia="仿宋" w:cs="仿宋"/>
                <w:sz w:val="28"/>
                <w:szCs w:val="28"/>
                <w:highlight w:val="none"/>
                <w:lang w:eastAsia="zh-CN"/>
              </w:rPr>
              <w:t xml:space="preserve">“江苏政府采购网、南京公共采购信息网”自行免费下载</w:t>
            </w:r>
            <w:r>
              <w:rPr>
                <w:rFonts w:hint="eastAsia" w:ascii="仿宋" w:hAnsi="仿宋" w:eastAsia="仿宋" w:cs="仿宋"/>
                <w:sz w:val="28"/>
                <w:szCs w:val="28"/>
                <w:highlight w:val="none"/>
              </w:rPr>
              <w:t xml:space="preserve"> 获取采购文件，并于</w:t>
            </w:r>
            <w:r>
              <w:rPr>
                <w:rFonts w:hint="eastAsia" w:ascii="仿宋" w:hAnsi="仿宋" w:eastAsia="仿宋" w:cs="仿宋"/>
                <w:sz w:val="28"/>
                <w:szCs w:val="28"/>
                <w:highlight w:val="none"/>
                <w:lang w:eastAsia="zh-CN"/>
              </w:rPr>
              <w:t xml:space="preserve">2025-11-21</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09:00</w:t>
            </w:r>
            <w:r>
              <w:rPr>
                <w:rFonts w:hint="eastAsia" w:ascii="仿宋" w:hAnsi="仿宋" w:eastAsia="仿宋" w:cs="仿宋"/>
                <w:sz w:val="28"/>
                <w:szCs w:val="28"/>
                <w:highlight w:val="none"/>
              </w:rPr>
              <w:t xml:space="preserve">（北京时间）前提交响应文件。</w:t>
            </w:r>
            <w:r/>
          </w:p>
        </w:tc>
      </w:tr>
    </w:tbl>
    <w:p>
      <w:pPr>
        <w:pStyle w:val="1123"/>
        <w:keepLines w:val="0"/>
        <w:keepNext w:val="0"/>
        <w:widowControl/>
        <w:rPr>
          <w:highlight w:val="none"/>
        </w:rPr>
        <w:suppressLineNumbers w:val="0"/>
      </w:pPr>
      <w:r>
        <w:rPr>
          <w:rStyle w:val="1140"/>
          <w:rFonts w:ascii="黑体" w:hAnsi="宋体" w:eastAsia="黑体" w:cs="黑体"/>
          <w:b/>
          <w:bCs/>
          <w:sz w:val="28"/>
          <w:szCs w:val="28"/>
          <w:highlight w:val="none"/>
        </w:rPr>
        <w:t xml:space="preserve">一、项目基本情况</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JSZC-320115-JSXN-C2025-0020</w:t>
      </w:r>
      <w:r>
        <w:rPr>
          <w:rFonts w:hint="eastAsia" w:ascii="仿宋" w:hAnsi="仿宋" w:eastAsia="仿宋" w:cs="仿宋"/>
          <w:sz w:val="28"/>
          <w:szCs w:val="28"/>
          <w:highlight w:val="none"/>
        </w:rPr>
        <w:t xml:space="preserve">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秣陵街道社区卫生服务中心体检科改造工程</w:t>
      </w:r>
      <w:r>
        <w:rPr>
          <w:rFonts w:hint="eastAsia" w:ascii="仿宋" w:hAnsi="仿宋" w:eastAsia="仿宋" w:cs="仿宋"/>
          <w:sz w:val="28"/>
          <w:szCs w:val="28"/>
          <w:highlight w:val="none"/>
        </w:rPr>
        <w:t xml:space="preserve">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采购方式：竞争性磋商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预算金额：</w:t>
      </w:r>
      <w:r>
        <w:rPr>
          <w:rFonts w:hint="eastAsia" w:ascii="仿宋" w:hAnsi="仿宋" w:eastAsia="仿宋" w:cs="仿宋"/>
          <w:sz w:val="28"/>
          <w:szCs w:val="28"/>
          <w:highlight w:val="none"/>
          <w:lang w:val="en-US" w:eastAsia="zh-CN"/>
        </w:rPr>
        <w:t xml:space="preserve">75.000000万元</w:t>
      </w:r>
      <w:r>
        <w:rPr>
          <w:rFonts w:hint="eastAsia" w:ascii="仿宋" w:hAnsi="仿宋" w:eastAsia="仿宋" w:cs="仿宋"/>
          <w:sz w:val="28"/>
          <w:szCs w:val="28"/>
          <w:highlight w:val="none"/>
        </w:rPr>
        <w:t xml:space="preserve"> </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rPr>
        <w:t xml:space="preserve">最高限价（如有）：</w:t>
      </w:r>
      <w:r>
        <w:rPr>
          <w:rFonts w:hint="eastAsia" w:ascii="仿宋" w:hAnsi="仿宋" w:eastAsia="仿宋" w:cs="仿宋"/>
          <w:sz w:val="28"/>
          <w:szCs w:val="28"/>
          <w:highlight w:val="none"/>
          <w:lang w:val="en-US" w:eastAsia="zh-CN"/>
        </w:rPr>
        <w:t xml:space="preserve">68.293774万元</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采购需求：</w:t>
      </w:r>
      <w:r>
        <w:rPr>
          <w:rFonts w:hint="eastAsia" w:ascii="仿宋" w:hAnsi="仿宋" w:eastAsia="仿宋" w:cs="仿宋"/>
          <w:sz w:val="28"/>
          <w:szCs w:val="28"/>
          <w:highlight w:val="none"/>
          <w:lang w:val="en-US" w:eastAsia="zh-CN"/>
        </w:rPr>
        <w:t xml:space="preserve">秣陵街道社区卫生服务中心体检科改造工程，详见竞争性磋商文件</w:t>
      </w:r>
      <w:r/>
    </w:p>
    <w:p>
      <w:pPr>
        <w:pStyle w:val="1138"/>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rPr>
        <w:t xml:space="preserve">合同履行期限：</w:t>
      </w:r>
      <w:r>
        <w:rPr>
          <w:rFonts w:hint="eastAsia" w:ascii="仿宋" w:hAnsi="仿宋" w:eastAsia="仿宋" w:cs="仿宋"/>
          <w:sz w:val="28"/>
          <w:szCs w:val="28"/>
          <w:highlight w:val="none"/>
          <w:lang w:eastAsia="zh-CN"/>
        </w:rPr>
        <w:t xml:space="preserve">60日历天</w:t>
      </w:r>
      <w:r/>
    </w:p>
    <w:p>
      <w:pPr>
        <w:pStyle w:val="1138"/>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lang w:eastAsia="zh-CN"/>
        </w:rPr>
        <w:t xml:space="preserve">本项目（是/否）接受联合体：否</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二、申请人的资格要求：</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（一）满足《中华人民共和国政府采购法》第二十二条规定：</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1.法人或者其他组织的营业执照等证明文件，自然人的身份证明。</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2.上一年度的财务状况报告（成立不满一年不需提供）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3.依法缴纳税收和社会保障资金的相关材料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4.具备履行合同所必需的设备和专业技术能力的书面声明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5.参加政府采购活动前3年内在经营活动中没有重大违法记录的书面声明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6.法律、行政法规规定的其他条件。</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（二）落实政府采购政策需满足的资格要求：</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sz w:val="28"/>
          <w:szCs w:val="28"/>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在政府采购资格审查环节，供应商只需提供书面《南京市政府采购供应商信用记录表暨信用承诺书》，即可替代以下证明材料：</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（1）符合国家相关规定的财务状况报告；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（2）依法缴纳税收的证明材料；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（3）依法缴纳社会保障资金的证明材料；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（4）具备履行政府采购合同所必需的设备和专业技术能力的证明材料；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（5）参加政府采购活动前三年内在经营活动中没有重大违法记录的证明材料；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（6）未被列入失信被执行人、重大税收违法失信主体、政府采购严重违法失信行为记录名单的证明材料。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供应商涉及以下情形的，不适用信用承诺：</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（1）供应商被列入严重失信主体名单；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（2）被相关监管部门作出行政处罚且尚在处罚有效期内；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（3）其他法律、行政法规规定的不适用信用承诺的情形。 </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供应商对信用承诺内容的真实性、合法性、有效性负责。如作出虚假信用承诺，视同为“提供虚假材料谋取中标、成交”的违法行为。</w:t>
      </w:r>
      <w:r/>
    </w:p>
    <w:p>
      <w:pPr>
        <w:ind w:left="0" w:right="0" w:firstLine="0"/>
        <w:jc w:val="left"/>
        <w:keepLines w:val="0"/>
        <w:keepNext w:val="0"/>
        <w:spacing w:before="0" w:beforeAutospacing="0" w:after="0" w:afterAutospacing="0"/>
        <w:shd w:val="clear" w:color="auto" w:fill="ffffff"/>
        <w:widowControl/>
        <w:rPr>
          <w:rFonts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2、如属于专门面向中小企业采购的项目，供应商应为中小微企业、监狱企业、残疾人福利性单位</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本项目按照采用以下第( 1 )种方式落实政府采购促进中小企业发展的要求:</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（1）本项目整体专门面向中小企业采购服务。</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（2）本项目整体专门面向小微企业采购服务。</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（4）本项目为非预留份额的采购项目或采购包，执行价格扣除优惠政策，具体详见采购文件。</w:t>
      </w:r>
      <w:r/>
    </w:p>
    <w:p>
      <w:pPr>
        <w:pStyle w:val="1138"/>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（三）本项目的特定资格要求：</w:t>
      </w:r>
      <w:r/>
    </w:p>
    <w:p>
      <w:pPr>
        <w:pStyle w:val="1138"/>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企业资质：施工总承包建筑工程三级(含)以上；建设行政主管部门核发的安全生产许可证书在有效期内；</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项目负责人资质：注册建造师建筑工程二级（含）以上；并且取得有效的安全生产考核合格证（B 证）。</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三、获取采购文件</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时间：自磋商文件公告发布之日起5个工作日</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地点：“江苏政府采购网、南京公共采购信息网”自行免费下载 </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售价：0.00元 </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四、响应文件提交</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截止时间：2025-11-21 09:00（北京时间）</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五、开启</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时间：2025-11-21 09:00 （北京时间）</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六、公告期限</w:t>
      </w:r>
      <w:r/>
    </w:p>
    <w:p>
      <w:pPr>
        <w:pStyle w:val="1138"/>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自本公告发布之日起3个工作日。</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七、其他补充事宜</w:t>
      </w:r>
      <w:r/>
    </w:p>
    <w:p>
      <w:pPr>
        <w:pStyle w:val="1138"/>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采购代理机构将组织已获取采购文件的供应商统一进行现场踏勘并现场答疑,以便供应商充分了解项目情况、准确编制报价。如供应商因主动放弃现场踏勘造成响应不准确、报价不合理的，后果自行承担。（详见竞争性磋商文件）</w:t>
      </w:r>
      <w:r/>
    </w:p>
    <w:p>
      <w:pPr>
        <w:pStyle w:val="1138"/>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2、拒绝下述供应商参加本次采购活动：</w:t>
      </w:r>
      <w:r/>
    </w:p>
    <w:p>
      <w:pPr>
        <w:pStyle w:val="1138"/>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（1）是否接受联合体投标：不接受。</w:t>
      </w:r>
      <w:r/>
    </w:p>
    <w:p>
      <w:pPr>
        <w:pStyle w:val="1138"/>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（2）供应商单位负责人为同一人或者存在直接控股、管理关系的不同供应商，不得参加同一合同项下的政府采购活动。</w:t>
      </w:r>
      <w:r/>
    </w:p>
    <w:p>
      <w:pPr>
        <w:pStyle w:val="1138"/>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（3）凡为采购项目提供整体设计、规范编制或者项目管理、监理、检测等服务的供应商，不得再参加本项目的采购活动。</w:t>
      </w:r>
      <w:r/>
    </w:p>
    <w:p>
      <w:pPr>
        <w:pStyle w:val="1138"/>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（4）供应商被“信用中国”网站、“中国政府采购网”列入失信被执行人、重大税收违法案件当事人名单、政府采购严重违法失信行为记录名单。</w:t>
      </w:r>
      <w:r/>
    </w:p>
    <w:p>
      <w:pPr>
        <w:pStyle w:val="1123"/>
        <w:keepLines w:val="0"/>
        <w:keepNext w:val="0"/>
        <w:widowControl/>
        <w:rPr>
          <w:highlight w:val="none"/>
        </w:rPr>
        <w:suppressLineNumbers w:val="0"/>
      </w:pPr>
      <w:r>
        <w:rPr>
          <w:rStyle w:val="1140"/>
          <w:rFonts w:hint="eastAsia" w:ascii="黑体" w:hAnsi="宋体" w:eastAsia="黑体" w:cs="黑体"/>
          <w:b/>
          <w:bCs/>
          <w:sz w:val="28"/>
          <w:szCs w:val="28"/>
          <w:highlight w:val="none"/>
        </w:rPr>
        <w:t xml:space="preserve">八、凡对本次采购提出询问，请按以下方式联系。</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1.采购人信息</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单位名称：南京市江宁区人民政府秣陵街道办事处</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单位地址：南京市江宁区秣陵街道凤仪街2号</w:t>
      </w:r>
      <w:r/>
    </w:p>
    <w:p>
      <w:pPr>
        <w:pStyle w:val="1138"/>
        <w:keepLines w:val="0"/>
        <w:keepNext w:val="0"/>
        <w:widowControl/>
        <w:rPr>
          <w:rFonts w:hint="default"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联系人：陆主任</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联系方式：025-52752987</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 2.采购代理机构信息（如有）</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单位名称：江苏祥能工程项目管理有限公司</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单位地址：南京市江宁区秣陵街道苏源大道100号1幢</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联系人：陈工</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联系电话：18952089947</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3.项目联系方式</w:t>
      </w:r>
      <w:r/>
    </w:p>
    <w:p>
      <w:pPr>
        <w:pStyle w:val="1138"/>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项目联系人：陈工</w:t>
      </w:r>
      <w:r/>
    </w:p>
    <w:p>
      <w:pPr>
        <w:pStyle w:val="1138"/>
        <w:keepLines w:val="0"/>
        <w:keepNext w:val="0"/>
        <w:widowControl/>
        <w:rPr>
          <w:rFonts w:ascii="黑体" w:hAnsi="黑体" w:eastAsia="黑体" w:cs="黑体"/>
          <w:sz w:val="30"/>
          <w:szCs w:val="30"/>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电话：18952089947</w:t>
      </w:r>
      <w:r>
        <w:rPr>
          <w:highlight w:val="none"/>
        </w:rPr>
        <w:br w:type="page" w:clear="all"/>
      </w:r>
      <w:r/>
    </w:p>
    <w:p>
      <w:pPr>
        <w:pStyle w:val="1122"/>
        <w:spacing w:before="58"/>
        <w:tabs>
          <w:tab w:val="left" w:pos="1208" w:leader="none"/>
        </w:tabs>
        <w:rPr>
          <w:highlight w:val="none"/>
        </w:rPr>
      </w:pPr>
      <w:r>
        <w:rPr>
          <w:rFonts w:hint="eastAsia"/>
          <w:highlight w:val="none"/>
        </w:rPr>
        <w:t xml:space="preserve">第二章</w:t>
      </w:r>
      <w:r>
        <w:rPr>
          <w:rFonts w:hint="eastAsia"/>
          <w:highlight w:val="none"/>
        </w:rPr>
        <w:tab/>
      </w:r>
      <w:r>
        <w:rPr>
          <w:rFonts w:hint="eastAsia"/>
          <w:highlight w:val="none"/>
        </w:rPr>
        <w:t xml:space="preserve">竞争性磋商须知</w:t>
      </w:r>
      <w:r/>
    </w:p>
    <w:tbl>
      <w:tblPr>
        <w:tblStyle w:val="1127"/>
        <w:tblpPr w:horzAnchor="page" w:tblpX="1064" w:vertAnchor="page" w:tblpY="2849" w:leftFromText="180" w:topFromText="0" w:rightFromText="180" w:bottomFromText="0"/>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7058"/>
      </w:tblGrid>
      <w:tr>
        <w:trPr>
          <w:trHeight w:val="327"/>
        </w:trPr>
        <w:tc>
          <w:tcPr>
            <w:tcW w:w="690" w:type="dxa"/>
            <w:textDirection w:val="lrTb"/>
            <w:noWrap w:val="false"/>
          </w:tcPr>
          <w:p>
            <w:pPr>
              <w:pStyle w:val="1146"/>
              <w:ind w:left="114" w:right="104"/>
              <w:jc w:val="center"/>
              <w:spacing w:before="27"/>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gridSpan w:val="2"/>
            <w:tcW w:w="2122" w:type="dxa"/>
            <w:textDirection w:val="lrTb"/>
            <w:noWrap w:val="false"/>
          </w:tcPr>
          <w:p>
            <w:pPr>
              <w:pStyle w:val="1146"/>
              <w:ind w:left="8"/>
              <w:jc w:val="center"/>
              <w:spacing w:before="27"/>
              <w:tabs>
                <w:tab w:val="left" w:pos="428" w:leader="none"/>
              </w:tabs>
              <w:rPr>
                <w:rFonts w:ascii="黑体" w:hAnsi="黑体" w:eastAsia="黑体" w:cs="黑体"/>
                <w:b/>
                <w:sz w:val="21"/>
                <w:highlight w:val="none"/>
              </w:rPr>
            </w:pPr>
            <w:r>
              <w:rPr>
                <w:rFonts w:hint="eastAsia" w:ascii="黑体" w:hAnsi="黑体" w:eastAsia="黑体" w:cs="黑体"/>
                <w:b/>
                <w:sz w:val="21"/>
                <w:highlight w:val="none"/>
              </w:rPr>
              <w:t xml:space="preserve">项</w:t>
            </w:r>
            <w:r>
              <w:rPr>
                <w:rFonts w:hint="eastAsia" w:ascii="黑体" w:hAnsi="黑体" w:eastAsia="黑体" w:cs="黑体"/>
                <w:b/>
                <w:sz w:val="21"/>
                <w:highlight w:val="none"/>
              </w:rPr>
              <w:tab/>
            </w:r>
            <w:r>
              <w:rPr>
                <w:rFonts w:hint="eastAsia" w:ascii="黑体" w:hAnsi="黑体" w:eastAsia="黑体" w:cs="黑体"/>
                <w:b/>
                <w:sz w:val="21"/>
                <w:highlight w:val="none"/>
              </w:rPr>
              <w:t xml:space="preserve">目</w:t>
            </w:r>
            <w:r/>
          </w:p>
        </w:tc>
        <w:tc>
          <w:tcPr>
            <w:tcW w:w="7058" w:type="dxa"/>
            <w:textDirection w:val="lrTb"/>
            <w:noWrap w:val="false"/>
          </w:tcPr>
          <w:p>
            <w:pPr>
              <w:pStyle w:val="1146"/>
              <w:ind w:left="11"/>
              <w:jc w:val="center"/>
              <w:spacing w:before="27"/>
              <w:tabs>
                <w:tab w:val="left" w:pos="1170" w:leader="none"/>
              </w:tabs>
              <w:rPr>
                <w:rFonts w:ascii="黑体" w:hAnsi="黑体" w:eastAsia="黑体" w:cs="黑体"/>
                <w:b/>
                <w:sz w:val="21"/>
                <w:highlight w:val="none"/>
              </w:rPr>
            </w:pPr>
            <w:r>
              <w:rPr>
                <w:rFonts w:hint="eastAsia" w:ascii="黑体" w:hAnsi="黑体" w:eastAsia="黑体" w:cs="黑体"/>
                <w:b/>
                <w:sz w:val="21"/>
                <w:highlight w:val="none"/>
              </w:rPr>
              <w:t xml:space="preserve">内</w:t>
            </w:r>
            <w:r>
              <w:rPr>
                <w:rFonts w:hint="eastAsia" w:ascii="黑体" w:hAnsi="黑体" w:eastAsia="黑体" w:cs="黑体"/>
                <w:b/>
                <w:sz w:val="21"/>
                <w:highlight w:val="none"/>
              </w:rPr>
              <w:tab/>
            </w:r>
            <w:r>
              <w:rPr>
                <w:rFonts w:hint="eastAsia" w:ascii="黑体" w:hAnsi="黑体" w:eastAsia="黑体" w:cs="黑体"/>
                <w:b/>
                <w:sz w:val="21"/>
                <w:highlight w:val="none"/>
              </w:rPr>
              <w:t xml:space="preserve">容</w:t>
            </w:r>
            <w:r/>
          </w:p>
        </w:tc>
      </w:tr>
      <w:tr>
        <w:trPr>
          <w:trHeight w:val="312"/>
        </w:trPr>
        <w:tc>
          <w:tcPr>
            <w:tcW w:w="690" w:type="dxa"/>
            <w:textDirection w:val="lrTb"/>
            <w:noWrap w:val="false"/>
          </w:tcPr>
          <w:p>
            <w:pPr>
              <w:pStyle w:val="1146"/>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1</w:t>
            </w:r>
            <w:r/>
          </w:p>
        </w:tc>
        <w:tc>
          <w:tcPr>
            <w:gridSpan w:val="2"/>
            <w:tcW w:w="2122" w:type="dxa"/>
            <w:textDirection w:val="lrTb"/>
            <w:noWrap w:val="false"/>
          </w:tcPr>
          <w:p>
            <w:pPr>
              <w:pStyle w:val="1146"/>
              <w:ind w:left="640"/>
              <w:spacing w:before="21"/>
              <w:rPr>
                <w:rFonts w:ascii="黑体" w:hAnsi="黑体" w:eastAsia="黑体" w:cs="黑体"/>
                <w:sz w:val="21"/>
                <w:highlight w:val="none"/>
              </w:rPr>
            </w:pPr>
            <w:r>
              <w:rPr>
                <w:rFonts w:hint="eastAsia" w:ascii="黑体" w:hAnsi="黑体" w:eastAsia="黑体" w:cs="黑体"/>
                <w:sz w:val="21"/>
                <w:highlight w:val="none"/>
              </w:rPr>
              <w:t xml:space="preserve">项目编号</w:t>
            </w:r>
            <w:r/>
          </w:p>
        </w:tc>
        <w:tc>
          <w:tcPr>
            <w:tcW w:w="7058" w:type="dxa"/>
            <w:textDirection w:val="lrTb"/>
            <w:noWrap w:val="false"/>
          </w:tcPr>
          <w:p>
            <w:pPr>
              <w:pStyle w:val="1146"/>
              <w:ind w:left="107"/>
              <w:spacing w:before="21"/>
              <w:rPr>
                <w:rFonts w:ascii="黑体" w:hAnsi="黑体" w:eastAsia="黑体" w:cs="黑体"/>
                <w:sz w:val="21"/>
                <w:highlight w:val="none"/>
              </w:rPr>
            </w:pPr>
            <w:r>
              <w:rPr>
                <w:rFonts w:hint="eastAsia" w:ascii="黑体" w:hAnsi="黑体" w:eastAsia="黑体" w:cs="黑体"/>
                <w:b/>
                <w:bCs/>
                <w:color w:val="0070c0"/>
                <w:sz w:val="21"/>
                <w:highlight w:val="none"/>
                <w:lang w:eastAsia="zh-CN"/>
              </w:rPr>
              <w:t xml:space="preserve">JSZC-320115-JSXN-C2025-0020</w:t>
            </w:r>
            <w:r/>
          </w:p>
        </w:tc>
      </w:tr>
      <w:tr>
        <w:trPr>
          <w:trHeight w:val="312"/>
        </w:trPr>
        <w:tc>
          <w:tcPr>
            <w:tcW w:w="690" w:type="dxa"/>
            <w:textDirection w:val="lrTb"/>
            <w:noWrap w:val="false"/>
          </w:tcPr>
          <w:p>
            <w:pPr>
              <w:pStyle w:val="1146"/>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2</w:t>
            </w:r>
            <w:r/>
          </w:p>
        </w:tc>
        <w:tc>
          <w:tcPr>
            <w:gridSpan w:val="2"/>
            <w:tcW w:w="2122" w:type="dxa"/>
            <w:textDirection w:val="lrTb"/>
            <w:noWrap w:val="false"/>
          </w:tcPr>
          <w:p>
            <w:pPr>
              <w:pStyle w:val="1146"/>
              <w:ind w:left="640"/>
              <w:spacing w:before="21"/>
              <w:rPr>
                <w:rFonts w:ascii="黑体" w:hAnsi="黑体" w:eastAsia="黑体" w:cs="黑体"/>
                <w:sz w:val="21"/>
                <w:highlight w:val="none"/>
              </w:rPr>
            </w:pPr>
            <w:r>
              <w:rPr>
                <w:rFonts w:hint="eastAsia" w:ascii="黑体" w:hAnsi="黑体" w:eastAsia="黑体" w:cs="黑体"/>
                <w:sz w:val="21"/>
                <w:highlight w:val="none"/>
              </w:rPr>
              <w:t xml:space="preserve">项目名称</w:t>
            </w:r>
            <w:r/>
          </w:p>
        </w:tc>
        <w:tc>
          <w:tcPr>
            <w:tcW w:w="7058" w:type="dxa"/>
            <w:textDirection w:val="lrTb"/>
            <w:noWrap w:val="false"/>
          </w:tcPr>
          <w:p>
            <w:pPr>
              <w:pStyle w:val="1146"/>
              <w:ind w:left="107"/>
              <w:spacing w:before="21"/>
              <w:rPr>
                <w:rFonts w:hint="default" w:ascii="黑体" w:hAnsi="黑体" w:eastAsia="黑体" w:cs="黑体"/>
                <w:sz w:val="21"/>
                <w:highlight w:val="none"/>
                <w:lang w:eastAsia="zh-CN"/>
              </w:rPr>
            </w:pPr>
            <w:r>
              <w:rPr>
                <w:rFonts w:hint="eastAsia" w:ascii="黑体" w:hAnsi="黑体" w:eastAsia="黑体" w:cs="黑体"/>
                <w:b/>
                <w:bCs/>
                <w:color w:val="0070c0"/>
                <w:highlight w:val="none"/>
                <w:lang w:eastAsia="zh-CN"/>
              </w:rPr>
              <w:t xml:space="preserve">秣陵街道社区卫生服务中心体检科改造工程</w:t>
            </w:r>
            <w:r/>
          </w:p>
        </w:tc>
      </w:tr>
      <w:tr>
        <w:trPr>
          <w:trHeight w:val="311"/>
        </w:trPr>
        <w:tc>
          <w:tcPr>
            <w:tcW w:w="690" w:type="dxa"/>
            <w:textDirection w:val="lrTb"/>
            <w:noWrap w:val="false"/>
          </w:tcPr>
          <w:p>
            <w:pPr>
              <w:pStyle w:val="1146"/>
              <w:ind w:left="6"/>
              <w:jc w:val="center"/>
              <w:spacing w:before="20"/>
              <w:rPr>
                <w:rFonts w:ascii="黑体" w:hAnsi="黑体" w:eastAsia="黑体" w:cs="黑体"/>
                <w:sz w:val="21"/>
                <w:highlight w:val="none"/>
              </w:rPr>
            </w:pPr>
            <w:r>
              <w:rPr>
                <w:rFonts w:hint="eastAsia" w:ascii="黑体" w:hAnsi="黑体" w:eastAsia="黑体" w:cs="黑体"/>
                <w:sz w:val="21"/>
                <w:highlight w:val="none"/>
              </w:rPr>
              <w:t xml:space="preserve">3</w:t>
            </w:r>
            <w:r/>
          </w:p>
        </w:tc>
        <w:tc>
          <w:tcPr>
            <w:gridSpan w:val="2"/>
            <w:tcW w:w="2122" w:type="dxa"/>
            <w:textDirection w:val="lrTb"/>
            <w:noWrap w:val="false"/>
          </w:tcPr>
          <w:p>
            <w:pPr>
              <w:pStyle w:val="1146"/>
              <w:ind w:left="431"/>
              <w:spacing w:before="20"/>
              <w:rPr>
                <w:rFonts w:ascii="黑体" w:hAnsi="黑体" w:eastAsia="黑体" w:cs="黑体"/>
                <w:sz w:val="21"/>
                <w:highlight w:val="none"/>
              </w:rPr>
            </w:pPr>
            <w:r>
              <w:rPr>
                <w:rFonts w:hint="eastAsia" w:ascii="黑体" w:hAnsi="黑体" w:eastAsia="黑体" w:cs="黑体"/>
                <w:sz w:val="21"/>
                <w:highlight w:val="none"/>
              </w:rPr>
              <w:t xml:space="preserve">采购代理机构</w:t>
            </w:r>
            <w:r/>
          </w:p>
        </w:tc>
        <w:tc>
          <w:tcPr>
            <w:tcW w:w="7058" w:type="dxa"/>
            <w:textDirection w:val="lrTb"/>
            <w:noWrap w:val="false"/>
          </w:tcPr>
          <w:p>
            <w:pPr>
              <w:pStyle w:val="1146"/>
              <w:ind w:left="107"/>
              <w:spacing w:before="21"/>
              <w:rPr>
                <w:rFonts w:ascii="黑体" w:hAnsi="黑体" w:eastAsia="黑体" w:cs="黑体"/>
                <w:b/>
                <w:bCs/>
                <w:color w:val="0070c0"/>
                <w:highlight w:val="none"/>
              </w:rPr>
            </w:pPr>
            <w:r>
              <w:rPr>
                <w:rFonts w:hint="eastAsia" w:ascii="黑体" w:hAnsi="黑体" w:eastAsia="黑体" w:cs="黑体"/>
                <w:b/>
                <w:bCs/>
                <w:color w:val="0070c0"/>
                <w:highlight w:val="none"/>
              </w:rPr>
              <w:t xml:space="preserve">江苏祥能工程项目管理有限公司</w:t>
            </w:r>
            <w:r/>
          </w:p>
        </w:tc>
      </w:tr>
      <w:tr>
        <w:trPr>
          <w:trHeight w:val="312"/>
        </w:trPr>
        <w:tc>
          <w:tcPr>
            <w:tcW w:w="690" w:type="dxa"/>
            <w:textDirection w:val="lrTb"/>
            <w:noWrap w:val="false"/>
          </w:tcPr>
          <w:p>
            <w:pPr>
              <w:pStyle w:val="1146"/>
              <w:ind w:left="6"/>
              <w:jc w:val="center"/>
              <w:spacing w:before="20"/>
              <w:rPr>
                <w:rFonts w:ascii="黑体" w:hAnsi="黑体" w:eastAsia="黑体" w:cs="黑体"/>
                <w:sz w:val="21"/>
                <w:highlight w:val="none"/>
              </w:rPr>
            </w:pPr>
            <w:r>
              <w:rPr>
                <w:rFonts w:hint="eastAsia" w:ascii="黑体" w:hAnsi="黑体" w:eastAsia="黑体" w:cs="黑体"/>
                <w:sz w:val="21"/>
                <w:highlight w:val="none"/>
              </w:rPr>
              <w:t xml:space="preserve">4</w:t>
            </w:r>
            <w:r/>
          </w:p>
        </w:tc>
        <w:tc>
          <w:tcPr>
            <w:gridSpan w:val="2"/>
            <w:tcW w:w="2122" w:type="dxa"/>
            <w:textDirection w:val="lrTb"/>
            <w:noWrap w:val="false"/>
          </w:tcPr>
          <w:p>
            <w:pPr>
              <w:pStyle w:val="1146"/>
              <w:ind w:left="220"/>
              <w:spacing w:before="20"/>
              <w:rPr>
                <w:rFonts w:ascii="黑体" w:hAnsi="黑体" w:eastAsia="黑体" w:cs="黑体"/>
                <w:sz w:val="21"/>
                <w:highlight w:val="none"/>
              </w:rPr>
            </w:pPr>
            <w:r>
              <w:rPr>
                <w:rFonts w:hint="eastAsia" w:ascii="黑体" w:hAnsi="黑体" w:eastAsia="黑体" w:cs="黑体"/>
                <w:sz w:val="21"/>
                <w:highlight w:val="none"/>
              </w:rPr>
              <w:t xml:space="preserve">采购代理机构地址</w:t>
            </w:r>
            <w:r/>
          </w:p>
        </w:tc>
        <w:tc>
          <w:tcPr>
            <w:tcW w:w="7058" w:type="dxa"/>
            <w:textDirection w:val="lrTb"/>
            <w:noWrap w:val="false"/>
          </w:tcPr>
          <w:p>
            <w:pPr>
              <w:pStyle w:val="1146"/>
              <w:ind w:left="107"/>
              <w:spacing w:before="21"/>
              <w:rPr>
                <w:rFonts w:ascii="黑体" w:hAnsi="黑体" w:eastAsia="黑体" w:cs="黑体"/>
                <w:b/>
                <w:bCs/>
                <w:color w:val="0070c0"/>
                <w:highlight w:val="none"/>
              </w:rPr>
            </w:pPr>
            <w:r>
              <w:rPr>
                <w:rFonts w:hint="eastAsia" w:ascii="黑体" w:hAnsi="黑体" w:eastAsia="黑体" w:cs="黑体"/>
                <w:b/>
                <w:bCs/>
                <w:color w:val="0070c0"/>
                <w:highlight w:val="none"/>
              </w:rPr>
              <w:t xml:space="preserve">南京市江宁区秣陵街道苏源大道100号6楼</w:t>
            </w:r>
            <w:r/>
          </w:p>
        </w:tc>
      </w:tr>
      <w:tr>
        <w:trPr>
          <w:trHeight w:val="1560"/>
        </w:trPr>
        <w:tc>
          <w:tcPr>
            <w:tcW w:w="690" w:type="dxa"/>
            <w:vAlign w:val="center"/>
            <w:textDirection w:val="lrTb"/>
            <w:noWrap w:val="false"/>
          </w:tcPr>
          <w:p>
            <w:pPr>
              <w:pStyle w:val="1146"/>
              <w:jc w:val="center"/>
              <w:spacing w:before="21"/>
              <w:rPr>
                <w:rFonts w:ascii="黑体" w:hAnsi="黑体" w:eastAsia="黑体" w:cs="黑体"/>
                <w:sz w:val="21"/>
                <w:highlight w:val="none"/>
              </w:rPr>
            </w:pPr>
            <w:r>
              <w:rPr>
                <w:rFonts w:hint="eastAsia" w:ascii="黑体" w:hAnsi="黑体" w:eastAsia="黑体" w:cs="黑体"/>
                <w:sz w:val="21"/>
                <w:highlight w:val="none"/>
              </w:rPr>
              <w:t xml:space="preserve">5</w:t>
            </w:r>
            <w:r/>
          </w:p>
        </w:tc>
        <w:tc>
          <w:tcPr>
            <w:gridSpan w:val="2"/>
            <w:tcW w:w="212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p>
            <w:pPr>
              <w:pStyle w:val="1146"/>
              <w:rPr>
                <w:rFonts w:ascii="黑体" w:hAnsi="黑体" w:eastAsia="黑体" w:cs="黑体"/>
                <w:sz w:val="20"/>
                <w:highlight w:val="none"/>
              </w:rPr>
            </w:pPr>
            <w:r>
              <w:rPr>
                <w:rFonts w:ascii="黑体" w:hAnsi="黑体" w:eastAsia="黑体" w:cs="黑体"/>
                <w:sz w:val="20"/>
                <w:highlight w:val="none"/>
              </w:rPr>
            </w:r>
            <w:r/>
          </w:p>
          <w:p>
            <w:pPr>
              <w:pStyle w:val="1146"/>
              <w:ind w:left="220"/>
              <w:spacing w:before="133"/>
              <w:rPr>
                <w:rFonts w:ascii="黑体" w:hAnsi="黑体" w:eastAsia="黑体" w:cs="黑体"/>
                <w:sz w:val="21"/>
                <w:highlight w:val="none"/>
              </w:rPr>
            </w:pPr>
            <w:r>
              <w:rPr>
                <w:rFonts w:hint="eastAsia" w:ascii="黑体" w:hAnsi="黑体" w:eastAsia="黑体" w:cs="黑体"/>
                <w:sz w:val="21"/>
                <w:highlight w:val="none"/>
              </w:rPr>
              <w:t xml:space="preserve">磋商文件获取方法</w:t>
            </w:r>
            <w:r/>
          </w:p>
        </w:tc>
        <w:tc>
          <w:tcPr>
            <w:tcW w:w="7058" w:type="dxa"/>
            <w:textDirection w:val="lrTb"/>
            <w:noWrap w:val="false"/>
          </w:tcPr>
          <w:p>
            <w:pPr>
              <w:pStyle w:val="1146"/>
              <w:numPr>
                <w:ilvl w:val="0"/>
                <w:numId w:val="0"/>
              </w:numPr>
              <w:ind w:left="106"/>
              <w:spacing w:line="269" w:lineRule="exact"/>
              <w:tabs>
                <w:tab w:val="left" w:pos="632" w:leader="none"/>
              </w:tabs>
              <w:rPr>
                <w:rFonts w:hint="eastAsia" w:ascii="黑体" w:hAnsi="黑体" w:eastAsia="黑体" w:cs="黑体"/>
                <w:sz w:val="21"/>
                <w:highlight w:val="none"/>
              </w:rPr>
            </w:pPr>
            <w:r>
              <w:rPr>
                <w:rFonts w:hint="eastAsia" w:ascii="黑体" w:hAnsi="黑体" w:eastAsia="黑体" w:cs="黑体"/>
                <w:sz w:val="21"/>
                <w:highlight w:val="none"/>
              </w:rPr>
            </w:r>
            <w:r/>
          </w:p>
          <w:p>
            <w:pPr>
              <w:pStyle w:val="1146"/>
              <w:numPr>
                <w:ilvl w:val="0"/>
                <w:numId w:val="0"/>
              </w:numPr>
              <w:ind w:left="106"/>
              <w:spacing w:line="269" w:lineRule="exact"/>
              <w:tabs>
                <w:tab w:val="left" w:pos="632" w:leader="none"/>
              </w:tabs>
              <w:rPr>
                <w:rFonts w:ascii="黑体" w:hAnsi="黑体" w:eastAsia="黑体" w:cs="黑体"/>
                <w:sz w:val="21"/>
                <w:highlight w:val="none"/>
              </w:rPr>
            </w:pPr>
            <w:r>
              <w:rPr>
                <w:rFonts w:hint="eastAsia" w:ascii="黑体" w:hAnsi="黑体" w:eastAsia="黑体" w:cs="黑体"/>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623"/>
        </w:trPr>
        <w:tc>
          <w:tcPr>
            <w:tcW w:w="690" w:type="dxa"/>
            <w:textDirection w:val="lrTb"/>
            <w:noWrap w:val="false"/>
          </w:tcPr>
          <w:p>
            <w:pPr>
              <w:pStyle w:val="1146"/>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6</w:t>
            </w:r>
            <w:r/>
          </w:p>
        </w:tc>
        <w:tc>
          <w:tcPr>
            <w:gridSpan w:val="2"/>
            <w:tcW w:w="2122" w:type="dxa"/>
            <w:textDirection w:val="lrTb"/>
            <w:noWrap w:val="false"/>
          </w:tcPr>
          <w:p>
            <w:pPr>
              <w:pStyle w:val="1146"/>
              <w:ind w:left="640"/>
              <w:spacing w:before="177"/>
              <w:rPr>
                <w:rFonts w:ascii="黑体" w:hAnsi="黑体" w:eastAsia="黑体" w:cs="黑体"/>
                <w:sz w:val="21"/>
                <w:highlight w:val="none"/>
              </w:rPr>
            </w:pPr>
            <w:r>
              <w:rPr>
                <w:rFonts w:hint="eastAsia" w:ascii="黑体" w:hAnsi="黑体" w:eastAsia="黑体" w:cs="黑体"/>
                <w:sz w:val="21"/>
                <w:highlight w:val="none"/>
              </w:rPr>
              <w:t xml:space="preserve">项目预算及工期</w:t>
            </w:r>
            <w:r/>
          </w:p>
        </w:tc>
        <w:tc>
          <w:tcPr>
            <w:tcW w:w="7058" w:type="dxa"/>
            <w:textDirection w:val="lrTb"/>
            <w:noWrap w:val="false"/>
          </w:tcPr>
          <w:p>
            <w:pPr>
              <w:pStyle w:val="1146"/>
              <w:ind w:left="107"/>
              <w:spacing w:before="21"/>
              <w:rPr>
                <w:rFonts w:ascii="黑体" w:hAnsi="黑体" w:eastAsia="黑体" w:cs="黑体"/>
                <w:sz w:val="21"/>
                <w:highlight w:val="none"/>
              </w:rPr>
            </w:pPr>
            <w:r>
              <w:rPr>
                <w:rFonts w:hint="eastAsia" w:ascii="黑体" w:hAnsi="黑体" w:eastAsia="黑体" w:cs="黑体"/>
                <w:spacing w:val="-14"/>
                <w:sz w:val="21"/>
                <w:highlight w:val="none"/>
              </w:rPr>
              <w:t xml:space="preserve">人民币</w:t>
            </w:r>
            <w:r>
              <w:rPr>
                <w:rFonts w:hint="eastAsia" w:ascii="黑体" w:hAnsi="黑体" w:eastAsia="黑体" w:cs="黑体"/>
                <w:b/>
                <w:bCs/>
                <w:color w:val="0070c0"/>
                <w:spacing w:val="20"/>
                <w:sz w:val="21"/>
                <w:highlight w:val="none"/>
                <w:u w:val="single"/>
                <w:lang w:val="en-US" w:eastAsia="zh-CN"/>
              </w:rPr>
              <w:t xml:space="preserve">75万元</w:t>
            </w:r>
            <w:r>
              <w:rPr>
                <w:rFonts w:hint="eastAsia" w:ascii="黑体" w:hAnsi="黑体" w:eastAsia="黑体" w:cs="黑体"/>
                <w:sz w:val="21"/>
                <w:highlight w:val="none"/>
              </w:rPr>
              <w:t xml:space="preserve">（</w:t>
            </w:r>
            <w:r>
              <w:rPr>
                <w:rFonts w:hint="eastAsia" w:ascii="黑体" w:hAnsi="黑体" w:eastAsia="黑体" w:cs="黑体"/>
                <w:spacing w:val="-10"/>
                <w:sz w:val="21"/>
                <w:highlight w:val="none"/>
              </w:rPr>
              <w:t xml:space="preserve">控制价为</w:t>
            </w:r>
            <w:r>
              <w:rPr>
                <w:rFonts w:hint="eastAsia" w:ascii="黑体" w:hAnsi="黑体" w:eastAsia="黑体" w:cs="黑体"/>
                <w:b/>
                <w:bCs/>
                <w:color w:val="0070c0"/>
                <w:spacing w:val="20"/>
                <w:sz w:val="21"/>
                <w:highlight w:val="none"/>
                <w:u w:val="single"/>
                <w:lang w:val="en-US" w:eastAsia="zh-CN"/>
              </w:rPr>
              <w:t xml:space="preserve">68.293774万元</w:t>
            </w:r>
            <w:r>
              <w:rPr>
                <w:rFonts w:hint="eastAsia" w:ascii="黑体" w:hAnsi="黑体" w:eastAsia="黑体" w:cs="黑体"/>
                <w:spacing w:val="-8"/>
                <w:sz w:val="21"/>
                <w:highlight w:val="none"/>
              </w:rPr>
              <w:t xml:space="preserve">，投标人报价超过控制价作无效</w:t>
            </w:r>
            <w:r>
              <w:rPr>
                <w:rFonts w:hint="eastAsia" w:ascii="黑体" w:hAnsi="黑体" w:eastAsia="黑体" w:cs="黑体"/>
                <w:sz w:val="21"/>
                <w:highlight w:val="none"/>
              </w:rPr>
              <w:t xml:space="preserve">标处理。）</w:t>
            </w:r>
            <w:r/>
          </w:p>
          <w:p>
            <w:pPr>
              <w:pStyle w:val="1146"/>
              <w:ind w:left="107"/>
              <w:spacing w:before="21"/>
              <w:rPr>
                <w:rFonts w:hint="eastAsia" w:ascii="黑体" w:hAnsi="黑体" w:eastAsia="黑体" w:cs="黑体"/>
                <w:sz w:val="21"/>
                <w:highlight w:val="none"/>
                <w:lang w:val="en-US" w:eastAsia="zh-CN"/>
              </w:rPr>
            </w:pPr>
            <w:r>
              <w:rPr>
                <w:rFonts w:hint="eastAsia" w:ascii="黑体" w:hAnsi="黑体" w:eastAsia="黑体" w:cs="黑体"/>
                <w:sz w:val="21"/>
                <w:highlight w:val="none"/>
              </w:rPr>
              <w:t xml:space="preserve">工期：</w:t>
            </w:r>
            <w:r>
              <w:rPr>
                <w:rFonts w:hint="eastAsia" w:ascii="黑体" w:hAnsi="黑体" w:eastAsia="黑体" w:cs="黑体"/>
                <w:b/>
                <w:bCs/>
                <w:color w:val="0070c0"/>
                <w:spacing w:val="20"/>
                <w:sz w:val="21"/>
                <w:highlight w:val="none"/>
                <w:u w:val="single"/>
                <w:lang w:val="en-US" w:eastAsia="zh-CN"/>
              </w:rPr>
              <w:t xml:space="preserve">60日历天</w:t>
            </w:r>
            <w:r/>
          </w:p>
        </w:tc>
      </w:tr>
      <w:tr>
        <w:trPr>
          <w:trHeight w:val="623"/>
        </w:trPr>
        <w:tc>
          <w:tcPr>
            <w:tcW w:w="690" w:type="dxa"/>
            <w:textDirection w:val="lrTb"/>
            <w:noWrap w:val="false"/>
          </w:tcPr>
          <w:p>
            <w:pPr>
              <w:pStyle w:val="1146"/>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7</w:t>
            </w:r>
            <w:r/>
          </w:p>
        </w:tc>
        <w:tc>
          <w:tcPr>
            <w:gridSpan w:val="2"/>
            <w:tcW w:w="2122" w:type="dxa"/>
            <w:textDirection w:val="lrTb"/>
            <w:noWrap w:val="false"/>
          </w:tcPr>
          <w:p>
            <w:pPr>
              <w:pStyle w:val="1146"/>
              <w:ind w:left="640"/>
              <w:spacing w:before="177"/>
              <w:rPr>
                <w:rFonts w:ascii="黑体" w:hAnsi="黑体" w:eastAsia="黑体" w:cs="黑体"/>
                <w:sz w:val="21"/>
                <w:highlight w:val="none"/>
              </w:rPr>
            </w:pPr>
            <w:r>
              <w:rPr>
                <w:rFonts w:hint="eastAsia" w:ascii="黑体" w:hAnsi="黑体" w:eastAsia="黑体" w:cs="黑体"/>
                <w:sz w:val="21"/>
                <w:highlight w:val="none"/>
              </w:rPr>
              <w:t xml:space="preserve">投标人资质</w:t>
            </w:r>
            <w:r/>
          </w:p>
        </w:tc>
        <w:tc>
          <w:tcPr>
            <w:tcW w:w="7058" w:type="dxa"/>
            <w:textDirection w:val="lrTb"/>
            <w:noWrap w:val="false"/>
          </w:tcPr>
          <w:p>
            <w:pPr>
              <w:pStyle w:val="1146"/>
              <w:ind w:left="107"/>
              <w:spacing w:before="21"/>
              <w:rPr>
                <w:rFonts w:hint="eastAsia" w:ascii="黑体" w:hAnsi="黑体" w:eastAsia="黑体" w:cs="黑体"/>
                <w:b/>
                <w:bCs/>
                <w:color w:val="0070c0"/>
                <w:highlight w:val="none"/>
                <w:lang w:eastAsia="zh-CN"/>
              </w:rPr>
            </w:pPr>
            <w:r>
              <w:rPr>
                <w:rFonts w:hint="eastAsia" w:ascii="黑体" w:hAnsi="黑体" w:eastAsia="黑体" w:cs="黑体"/>
                <w:b/>
                <w:bCs/>
                <w:color w:val="0070c0"/>
                <w:highlight w:val="none"/>
              </w:rPr>
              <w:t xml:space="preserve">企业资质：</w:t>
            </w:r>
            <w:r>
              <w:rPr>
                <w:rFonts w:hint="eastAsia" w:ascii="黑体" w:hAnsi="黑体" w:eastAsia="黑体" w:cs="黑体"/>
                <w:b/>
                <w:bCs/>
                <w:color w:val="0070c0"/>
                <w:highlight w:val="none"/>
                <w:lang w:eastAsia="zh-CN"/>
              </w:rPr>
              <w:t xml:space="preserve">施工总承包建筑工程三级(含)以上；建设行政主管部门核发的安全生产许可证书在有效期内；</w:t>
            </w:r>
            <w:r/>
          </w:p>
          <w:p>
            <w:pPr>
              <w:pStyle w:val="1146"/>
              <w:ind w:left="107"/>
              <w:spacing w:before="21"/>
              <w:rPr>
                <w:rFonts w:hint="eastAsia" w:ascii="黑体" w:hAnsi="黑体" w:eastAsia="黑体" w:cs="黑体"/>
                <w:spacing w:val="-14"/>
                <w:sz w:val="21"/>
                <w:highlight w:val="none"/>
                <w:lang w:eastAsia="zh-CN"/>
              </w:rPr>
            </w:pPr>
            <w:r>
              <w:rPr>
                <w:rFonts w:hint="eastAsia" w:ascii="黑体" w:hAnsi="黑体" w:eastAsia="黑体" w:cs="黑体"/>
                <w:b/>
                <w:bCs/>
                <w:color w:val="0070c0"/>
                <w:highlight w:val="none"/>
              </w:rPr>
              <w:t xml:space="preserve">项目负责人资质：</w:t>
            </w:r>
            <w:r>
              <w:rPr>
                <w:rFonts w:hint="eastAsia" w:ascii="黑体" w:hAnsi="黑体" w:eastAsia="黑体" w:cs="黑体"/>
                <w:b/>
                <w:bCs/>
                <w:color w:val="0070c0"/>
                <w:highlight w:val="none"/>
                <w:lang w:eastAsia="zh-CN"/>
              </w:rPr>
              <w:t xml:space="preserve">注册建造师建筑工程二级（含）以上；并且取得有效的安全生产考核合格证（B 证）。</w:t>
            </w:r>
            <w:r/>
          </w:p>
        </w:tc>
      </w:tr>
      <w:tr>
        <w:trPr>
          <w:trHeight w:val="312"/>
        </w:trPr>
        <w:tc>
          <w:tcPr>
            <w:tcW w:w="690" w:type="dxa"/>
            <w:textDirection w:val="lrTb"/>
            <w:noWrap w:val="false"/>
          </w:tcPr>
          <w:p>
            <w:pPr>
              <w:pStyle w:val="1146"/>
              <w:jc w:val="center"/>
              <w:spacing w:before="21"/>
              <w:rPr>
                <w:rFonts w:ascii="黑体" w:hAnsi="黑体" w:eastAsia="黑体" w:cs="黑体"/>
                <w:sz w:val="21"/>
                <w:highlight w:val="none"/>
              </w:rPr>
            </w:pPr>
            <w:r>
              <w:rPr>
                <w:rFonts w:hint="eastAsia" w:ascii="黑体" w:hAnsi="黑体" w:eastAsia="黑体" w:cs="黑体"/>
                <w:sz w:val="21"/>
                <w:highlight w:val="none"/>
              </w:rPr>
              <w:t xml:space="preserve">8</w:t>
            </w:r>
            <w:r/>
          </w:p>
        </w:tc>
        <w:tc>
          <w:tcPr>
            <w:gridSpan w:val="2"/>
            <w:tcW w:w="2122" w:type="dxa"/>
            <w:textDirection w:val="lrTb"/>
            <w:noWrap w:val="false"/>
          </w:tcPr>
          <w:p>
            <w:pPr>
              <w:pStyle w:val="1146"/>
              <w:ind w:left="534"/>
              <w:spacing w:before="20"/>
              <w:rPr>
                <w:rFonts w:ascii="黑体" w:hAnsi="黑体" w:eastAsia="黑体" w:cs="黑体"/>
                <w:sz w:val="21"/>
                <w:highlight w:val="none"/>
              </w:rPr>
            </w:pPr>
            <w:r>
              <w:rPr>
                <w:rFonts w:hint="eastAsia" w:ascii="黑体" w:hAnsi="黑体" w:eastAsia="黑体" w:cs="黑体"/>
                <w:sz w:val="21"/>
                <w:highlight w:val="none"/>
              </w:rPr>
              <w:t xml:space="preserve">磋商有效期</w:t>
            </w:r>
            <w:r/>
          </w:p>
        </w:tc>
        <w:tc>
          <w:tcPr>
            <w:tcW w:w="7058" w:type="dxa"/>
            <w:textDirection w:val="lrTb"/>
            <w:noWrap w:val="false"/>
          </w:tcPr>
          <w:p>
            <w:pPr>
              <w:pStyle w:val="1146"/>
              <w:ind w:left="107"/>
              <w:spacing w:before="20"/>
              <w:rPr>
                <w:rFonts w:ascii="黑体" w:hAnsi="黑体" w:eastAsia="黑体" w:cs="黑体"/>
                <w:sz w:val="21"/>
                <w:highlight w:val="none"/>
              </w:rPr>
            </w:pPr>
            <w:r>
              <w:rPr>
                <w:rFonts w:hint="eastAsia" w:ascii="黑体" w:hAnsi="黑体" w:eastAsia="黑体" w:cs="黑体"/>
                <w:sz w:val="21"/>
                <w:highlight w:val="none"/>
              </w:rPr>
              <w:t xml:space="preserve">磋商之日起90天</w:t>
            </w:r>
            <w:r/>
          </w:p>
        </w:tc>
      </w:tr>
      <w:tr>
        <w:trPr>
          <w:trHeight w:val="624"/>
        </w:trPr>
        <w:tc>
          <w:tcPr>
            <w:tcW w:w="690" w:type="dxa"/>
            <w:vAlign w:val="center"/>
            <w:vMerge w:val="restart"/>
            <w:textDirection w:val="lrTb"/>
            <w:noWrap w:val="false"/>
          </w:tcPr>
          <w:p>
            <w:pPr>
              <w:pStyle w:val="1146"/>
              <w:jc w:val="center"/>
              <w:spacing w:before="21"/>
              <w:rPr>
                <w:rFonts w:ascii="黑体" w:hAnsi="黑体" w:eastAsia="黑体" w:cs="黑体"/>
                <w:sz w:val="21"/>
                <w:highlight w:val="none"/>
              </w:rPr>
            </w:pPr>
            <w:r>
              <w:rPr>
                <w:rFonts w:hint="eastAsia" w:ascii="黑体" w:hAnsi="黑体" w:eastAsia="黑体" w:cs="黑体"/>
                <w:sz w:val="21"/>
                <w:highlight w:val="none"/>
              </w:rPr>
              <w:t xml:space="preserve">9</w:t>
            </w:r>
            <w:r/>
          </w:p>
        </w:tc>
        <w:tc>
          <w:tcPr>
            <w:tcW w:w="1042" w:type="dxa"/>
            <w:vAlign w:val="center"/>
            <w:vMerge w:val="restart"/>
            <w:textDirection w:val="lrTb"/>
            <w:noWrap w:val="false"/>
          </w:tcPr>
          <w:p>
            <w:pPr>
              <w:pStyle w:val="1146"/>
              <w:ind w:left="311" w:right="300"/>
              <w:spacing w:line="278" w:lineRule="auto"/>
              <w:rPr>
                <w:rFonts w:ascii="黑体" w:hAnsi="黑体" w:eastAsia="黑体" w:cs="黑体"/>
                <w:sz w:val="21"/>
                <w:highlight w:val="none"/>
              </w:rPr>
            </w:pPr>
            <w:r>
              <w:rPr>
                <w:rFonts w:hint="eastAsia" w:ascii="黑体" w:hAnsi="黑体" w:eastAsia="黑体" w:cs="黑体"/>
                <w:sz w:val="21"/>
                <w:highlight w:val="none"/>
              </w:rPr>
              <w:t xml:space="preserve">磋商报名</w:t>
            </w:r>
            <w:r/>
          </w:p>
        </w:tc>
        <w:tc>
          <w:tcPr>
            <w:tcW w:w="1080" w:type="dxa"/>
            <w:textDirection w:val="lrTb"/>
            <w:noWrap w:val="false"/>
          </w:tcPr>
          <w:p>
            <w:pPr>
              <w:pStyle w:val="1146"/>
              <w:ind w:right="196"/>
              <w:jc w:val="center"/>
              <w:spacing w:before="176"/>
              <w:rPr>
                <w:rFonts w:hint="eastAsia"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1146"/>
              <w:ind w:right="196"/>
              <w:jc w:val="center"/>
              <w:spacing w:before="176"/>
              <w:rPr>
                <w:rFonts w:hint="eastAsia" w:ascii="黑体" w:hAnsi="黑体" w:eastAsia="黑体" w:cs="黑体"/>
                <w:sz w:val="21"/>
                <w:highlight w:val="none"/>
              </w:rPr>
            </w:pPr>
            <w:r>
              <w:rPr>
                <w:rFonts w:hint="eastAsia" w:ascii="黑体" w:hAnsi="黑体" w:eastAsia="黑体" w:cs="黑体"/>
                <w:sz w:val="21"/>
                <w:highlight w:val="none"/>
              </w:rPr>
              <w:t xml:space="preserve">自磋商文件公告发布之日起5个工作日</w:t>
            </w:r>
            <w:r/>
          </w:p>
        </w:tc>
      </w:tr>
      <w:tr>
        <w:trPr>
          <w:trHeight w:val="377"/>
        </w:trPr>
        <w:tc>
          <w:tcPr>
            <w:tcBorders>
              <w:top w:val="none" w:color="000000" w:sz="4" w:space="0"/>
            </w:tcBorders>
            <w:tcW w:w="690" w:type="dxa"/>
            <w:vMerge w:val="continue"/>
            <w:textDirection w:val="lrTb"/>
            <w:noWrap w:val="false"/>
          </w:tcPr>
          <w:p>
            <w:pPr>
              <w:pStyle w:val="1146"/>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6"/>
              <w:ind w:right="196"/>
              <w:jc w:val="center"/>
              <w:spacing w:before="54"/>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1146"/>
              <w:ind w:firstLine="110"/>
              <w:spacing w:before="54"/>
              <w:rPr>
                <w:rFonts w:hint="eastAsia" w:ascii="黑体" w:hAnsi="黑体" w:eastAsia="黑体" w:cs="黑体"/>
                <w:sz w:val="21"/>
                <w:highlight w:val="none"/>
                <w:lang w:eastAsia="zh-CN"/>
              </w:rPr>
            </w:pPr>
            <w:r>
              <w:rPr>
                <w:rFonts w:hint="eastAsia" w:ascii="黑体" w:hAnsi="黑体" w:eastAsia="黑体" w:cs="黑体"/>
                <w:b/>
                <w:bCs/>
                <w:color w:val="0070c0"/>
                <w:highlight w:val="none"/>
                <w:lang w:eastAsia="zh-CN"/>
              </w:rPr>
              <w:t xml:space="preserve">“江苏政府采购网、南京公共采购信息网”自行免费下载</w:t>
            </w:r>
            <w:r/>
          </w:p>
        </w:tc>
      </w:tr>
      <w:tr>
        <w:trPr>
          <w:trHeight w:val="624"/>
        </w:trPr>
        <w:tc>
          <w:tcPr>
            <w:tcBorders>
              <w:top w:val="none" w:color="000000" w:sz="4" w:space="0"/>
            </w:tcBorders>
            <w:tcW w:w="690" w:type="dxa"/>
            <w:vMerge w:val="continue"/>
            <w:textDirection w:val="lrTb"/>
            <w:noWrap w:val="false"/>
          </w:tcPr>
          <w:p>
            <w:pPr>
              <w:pStyle w:val="1146"/>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6"/>
              <w:ind w:right="196"/>
              <w:jc w:val="center"/>
              <w:spacing w:before="177"/>
              <w:rPr>
                <w:rFonts w:ascii="黑体" w:hAnsi="黑体" w:eastAsia="黑体" w:cs="黑体"/>
                <w:sz w:val="21"/>
                <w:highlight w:val="none"/>
              </w:rPr>
            </w:pPr>
            <w:r>
              <w:rPr>
                <w:rFonts w:hint="eastAsia" w:ascii="黑体" w:hAnsi="黑体" w:eastAsia="黑体" w:cs="黑体"/>
                <w:sz w:val="21"/>
                <w:highlight w:val="none"/>
              </w:rPr>
              <w:t xml:space="preserve">要求</w:t>
            </w:r>
            <w:r/>
          </w:p>
        </w:tc>
        <w:tc>
          <w:tcPr>
            <w:tcW w:w="7058" w:type="dxa"/>
            <w:textDirection w:val="lrTb"/>
            <w:noWrap w:val="false"/>
          </w:tcPr>
          <w:p>
            <w:pPr>
              <w:pStyle w:val="1146"/>
              <w:ind w:left="107"/>
              <w:spacing w:before="43"/>
              <w:rPr>
                <w:rFonts w:ascii="黑体" w:hAnsi="黑体" w:eastAsia="黑体" w:cs="黑体"/>
                <w:sz w:val="21"/>
                <w:highlight w:val="none"/>
              </w:rPr>
            </w:pPr>
            <w:r>
              <w:rPr>
                <w:rFonts w:hint="eastAsia" w:ascii="黑体" w:hAnsi="黑体" w:eastAsia="黑体" w:cs="黑体"/>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75"/>
        </w:trPr>
        <w:tc>
          <w:tcPr>
            <w:tcW w:w="690" w:type="dxa"/>
            <w:vAlign w:val="center"/>
            <w:vMerge w:val="restart"/>
            <w:textDirection w:val="lrTb"/>
            <w:noWrap w:val="false"/>
          </w:tcPr>
          <w:p>
            <w:pPr>
              <w:pStyle w:val="1146"/>
              <w:jc w:val="center"/>
              <w:spacing w:before="21"/>
              <w:rPr>
                <w:rFonts w:ascii="黑体" w:hAnsi="黑体" w:eastAsia="黑体" w:cs="黑体"/>
                <w:sz w:val="21"/>
                <w:highlight w:val="none"/>
              </w:rPr>
            </w:pPr>
            <w:r>
              <w:rPr>
                <w:rFonts w:hint="eastAsia" w:ascii="黑体" w:hAnsi="黑体" w:eastAsia="黑体" w:cs="黑体"/>
                <w:sz w:val="21"/>
                <w:highlight w:val="none"/>
              </w:rPr>
              <w:t xml:space="preserve">10</w:t>
            </w:r>
            <w:r/>
          </w:p>
        </w:tc>
        <w:tc>
          <w:tcPr>
            <w:tcW w:w="1042" w:type="dxa"/>
            <w:vAlign w:val="center"/>
            <w:vMerge w:val="restart"/>
            <w:textDirection w:val="lrTb"/>
            <w:noWrap w:val="false"/>
          </w:tcPr>
          <w:p>
            <w:pPr>
              <w:pStyle w:val="1146"/>
              <w:ind w:left="205" w:right="195"/>
              <w:jc w:val="both"/>
              <w:spacing w:before="167" w:line="278" w:lineRule="auto"/>
              <w:rPr>
                <w:rFonts w:ascii="黑体" w:hAnsi="黑体" w:eastAsia="黑体" w:cs="黑体"/>
                <w:sz w:val="21"/>
                <w:highlight w:val="none"/>
              </w:rPr>
            </w:pPr>
            <w:r>
              <w:rPr>
                <w:rFonts w:hint="eastAsia" w:ascii="黑体" w:hAnsi="黑体" w:eastAsia="黑体" w:cs="黑体"/>
                <w:sz w:val="21"/>
                <w:highlight w:val="none"/>
              </w:rPr>
              <w:t xml:space="preserve">响应性文件递交信息</w:t>
            </w:r>
            <w:r/>
          </w:p>
        </w:tc>
        <w:tc>
          <w:tcPr>
            <w:tcW w:w="1080" w:type="dxa"/>
            <w:textDirection w:val="lrTb"/>
            <w:noWrap w:val="false"/>
          </w:tcPr>
          <w:p>
            <w:pPr>
              <w:pStyle w:val="1146"/>
              <w:ind w:right="196"/>
              <w:jc w:val="center"/>
              <w:spacing w:before="52"/>
              <w:rPr>
                <w:rFonts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1146"/>
              <w:ind w:firstLine="128"/>
              <w:jc w:val="both"/>
              <w:spacing w:before="52"/>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 xml:space="preserve">2025-11-21</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 xml:space="preserve">09:00</w:t>
            </w:r>
            <w:r/>
          </w:p>
        </w:tc>
      </w:tr>
      <w:tr>
        <w:trPr>
          <w:trHeight w:val="412"/>
        </w:trPr>
        <w:tc>
          <w:tcPr>
            <w:tcBorders>
              <w:top w:val="none" w:color="000000" w:sz="4" w:space="0"/>
            </w:tcBorders>
            <w:tcW w:w="690" w:type="dxa"/>
            <w:vMerge w:val="continue"/>
            <w:textDirection w:val="lrTb"/>
            <w:noWrap w:val="false"/>
          </w:tcPr>
          <w:p>
            <w:pPr>
              <w:pStyle w:val="1146"/>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6"/>
              <w:ind w:right="196"/>
              <w:jc w:val="center"/>
              <w:spacing w:before="70"/>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1146"/>
              <w:ind w:left="107"/>
              <w:spacing w:before="21"/>
              <w:rPr>
                <w:rFonts w:hint="default" w:ascii="黑体" w:hAnsi="黑体" w:eastAsia="黑体" w:cs="黑体"/>
                <w:sz w:val="21"/>
                <w:highlight w:val="none"/>
                <w:lang w:val="en-US" w:eastAsia="zh-CN"/>
              </w:rPr>
            </w:pPr>
            <w:r>
              <w:rPr>
                <w:rFonts w:hint="eastAsia" w:ascii="黑体" w:hAnsi="黑体" w:eastAsia="黑体" w:cs="黑体"/>
                <w:b/>
                <w:bCs/>
                <w:color w:val="0070c0"/>
                <w:highlight w:val="none"/>
              </w:rPr>
              <w:t xml:space="preserve">苏采云”政府采购交易系统网上开标大厅</w:t>
            </w:r>
            <w:r/>
          </w:p>
        </w:tc>
      </w:tr>
      <w:tr>
        <w:trPr>
          <w:trHeight w:val="606"/>
        </w:trPr>
        <w:tc>
          <w:tcPr>
            <w:tcBorders>
              <w:top w:val="none" w:color="000000" w:sz="4" w:space="0"/>
            </w:tcBorders>
            <w:tcW w:w="690" w:type="dxa"/>
            <w:vMerge w:val="continue"/>
            <w:textDirection w:val="lrTb"/>
            <w:noWrap w:val="false"/>
          </w:tcPr>
          <w:p>
            <w:pPr>
              <w:pStyle w:val="1146"/>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vAlign w:val="center"/>
            <w:textDirection w:val="lrTb"/>
            <w:noWrap w:val="false"/>
          </w:tcPr>
          <w:p>
            <w:pPr>
              <w:pStyle w:val="1146"/>
              <w:ind w:right="196"/>
              <w:jc w:val="center"/>
              <w:rPr>
                <w:rFonts w:ascii="黑体" w:hAnsi="黑体" w:eastAsia="黑体" w:cs="黑体"/>
                <w:sz w:val="21"/>
                <w:highlight w:val="none"/>
              </w:rPr>
            </w:pPr>
            <w:r>
              <w:rPr>
                <w:rFonts w:hint="eastAsia" w:ascii="黑体" w:hAnsi="黑体" w:eastAsia="黑体" w:cs="黑体"/>
                <w:sz w:val="21"/>
                <w:highlight w:val="none"/>
              </w:rPr>
              <w:t xml:space="preserve">要求</w:t>
            </w:r>
            <w:r/>
          </w:p>
        </w:tc>
        <w:tc>
          <w:tcPr>
            <w:tcW w:w="7058" w:type="dxa"/>
            <w:vAlign w:val="center"/>
            <w:textDirection w:val="lrTb"/>
            <w:noWrap w:val="false"/>
          </w:tcPr>
          <w:p>
            <w:pPr>
              <w:pStyle w:val="1146"/>
              <w:ind w:left="107" w:right="96"/>
              <w:spacing w:before="21" w:line="278" w:lineRule="auto"/>
              <w:rPr>
                <w:rFonts w:ascii="黑体" w:hAnsi="黑体" w:eastAsia="黑体" w:cs="黑体"/>
                <w:sz w:val="21"/>
                <w:highlight w:val="none"/>
              </w:rPr>
            </w:pPr>
            <w:r>
              <w:rPr>
                <w:rFonts w:hint="eastAsia"/>
                <w:highlight w:val="none"/>
              </w:rPr>
              <w:t xml:space="preserve">苏采云”政府采购交易系统网上开标大厅</w:t>
            </w:r>
            <w:r/>
          </w:p>
        </w:tc>
      </w:tr>
      <w:tr>
        <w:trPr>
          <w:trHeight w:val="388"/>
        </w:trPr>
        <w:tc>
          <w:tcPr>
            <w:tcW w:w="690" w:type="dxa"/>
            <w:vMerge w:val="restart"/>
            <w:textDirection w:val="lrTb"/>
            <w:noWrap w:val="false"/>
          </w:tcPr>
          <w:p>
            <w:pPr>
              <w:pStyle w:val="1146"/>
              <w:ind w:left="6"/>
              <w:jc w:val="center"/>
              <w:spacing w:before="21"/>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11</w:t>
            </w:r>
            <w:r/>
          </w:p>
        </w:tc>
        <w:tc>
          <w:tcPr>
            <w:tcW w:w="1042" w:type="dxa"/>
            <w:vMerge w:val="restart"/>
            <w:textDirection w:val="lrTb"/>
            <w:noWrap w:val="false"/>
          </w:tcPr>
          <w:p>
            <w:pPr>
              <w:pStyle w:val="1146"/>
              <w:ind w:left="414" w:right="142" w:hanging="262"/>
              <w:spacing w:before="23" w:line="310" w:lineRule="atLeast"/>
              <w:rPr>
                <w:rFonts w:ascii="黑体" w:hAnsi="黑体" w:eastAsia="黑体" w:cs="黑体"/>
                <w:sz w:val="21"/>
                <w:highlight w:val="none"/>
              </w:rPr>
            </w:pPr>
            <w:r>
              <w:rPr>
                <w:rFonts w:hint="eastAsia" w:ascii="黑体" w:hAnsi="黑体" w:eastAsia="黑体" w:cs="黑体"/>
                <w:sz w:val="21"/>
                <w:highlight w:val="none"/>
              </w:rPr>
              <w:t xml:space="preserve">磋商信息</w:t>
            </w:r>
            <w:r/>
          </w:p>
        </w:tc>
        <w:tc>
          <w:tcPr>
            <w:tcW w:w="1080" w:type="dxa"/>
            <w:textDirection w:val="lrTb"/>
            <w:noWrap w:val="false"/>
          </w:tcPr>
          <w:p>
            <w:pPr>
              <w:pStyle w:val="1146"/>
              <w:ind w:left="204" w:right="196"/>
              <w:jc w:val="center"/>
              <w:spacing w:before="59"/>
              <w:rPr>
                <w:rFonts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1146"/>
              <w:ind w:firstLine="128"/>
              <w:spacing w:before="59"/>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 xml:space="preserve">2025-11-21</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 xml:space="preserve">09:00</w:t>
            </w:r>
            <w:r/>
          </w:p>
        </w:tc>
      </w:tr>
      <w:tr>
        <w:trPr>
          <w:trHeight w:val="310"/>
        </w:trPr>
        <w:tc>
          <w:tcPr>
            <w:tcBorders>
              <w:top w:val="none" w:color="000000" w:sz="4" w:space="0"/>
            </w:tcBorders>
            <w:tcW w:w="690"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1146"/>
              <w:ind w:left="204" w:right="196"/>
              <w:jc w:val="center"/>
              <w:spacing w:before="21" w:line="269" w:lineRule="exact"/>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1146"/>
              <w:ind w:left="107"/>
              <w:spacing w:before="21"/>
              <w:rPr>
                <w:rFonts w:ascii="黑体" w:hAnsi="黑体" w:eastAsia="黑体" w:cs="黑体"/>
                <w:sz w:val="21"/>
                <w:highlight w:val="none"/>
              </w:rPr>
            </w:pPr>
            <w:r>
              <w:rPr>
                <w:rFonts w:hint="eastAsia" w:ascii="黑体" w:hAnsi="黑体" w:eastAsia="黑体" w:cs="黑体"/>
                <w:b/>
                <w:bCs/>
                <w:color w:val="0070c0"/>
                <w:highlight w:val="none"/>
              </w:rPr>
              <w:t xml:space="preserve">苏采云”政府采购交易系统网上开标大厅</w:t>
            </w:r>
            <w:r/>
          </w:p>
        </w:tc>
      </w:tr>
    </w:tbl>
    <w:p>
      <w:pPr>
        <w:ind w:firstLine="422"/>
        <w:spacing w:line="360" w:lineRule="auto"/>
        <w:rPr>
          <w:rFonts w:hint="eastAsia" w:ascii="宋体" w:hAnsi="宋体"/>
          <w:bCs/>
          <w:highlight w:val="none"/>
          <w:lang w:eastAsia="zh-CN"/>
        </w:rPr>
        <w:outlineLvl w:val="1"/>
      </w:pPr>
      <w:r>
        <w:rPr>
          <w:rFonts w:hint="eastAsia" w:ascii="黑体" w:hAnsi="黑体" w:eastAsia="黑体" w:cs="黑体"/>
          <w:highlight w:val="none"/>
          <w:u w:val="single"/>
        </w:rPr>
        <w:t xml:space="preserve">江苏祥能工程项目管理有限公司</w:t>
      </w:r>
      <w:r>
        <w:rPr>
          <w:rFonts w:hint="eastAsia" w:ascii="黑体" w:hAnsi="黑体" w:eastAsia="黑体" w:cs="黑体"/>
          <w:highlight w:val="none"/>
        </w:rPr>
        <w:t xml:space="preserve">（采购代理机构）受</w:t>
      </w:r>
      <w:r>
        <w:rPr>
          <w:rFonts w:hint="eastAsia" w:ascii="黑体" w:hAnsi="黑体" w:eastAsia="黑体" w:cs="黑体"/>
          <w:b/>
          <w:bCs/>
          <w:highlight w:val="none"/>
          <w:u w:val="single"/>
        </w:rPr>
        <w:t xml:space="preserve">南京市江宁区人民政府秣陵街道办事处</w:t>
      </w:r>
      <w:r>
        <w:rPr>
          <w:rFonts w:hint="eastAsia" w:ascii="黑体" w:hAnsi="黑体" w:eastAsia="黑体" w:cs="黑体"/>
          <w:highlight w:val="none"/>
        </w:rPr>
        <w:t xml:space="preserve">（采购人） 委托，对</w:t>
      </w:r>
      <w:r>
        <w:rPr>
          <w:rFonts w:hint="eastAsia" w:ascii="黑体" w:hAnsi="黑体" w:eastAsia="黑体" w:cs="黑体"/>
          <w:b/>
          <w:bCs/>
          <w:highlight w:val="none"/>
          <w:u w:val="single"/>
          <w:lang w:eastAsia="zh-CN"/>
        </w:rPr>
        <w:t xml:space="preserve">秣陵街道社区卫生服务中心体检科改造工程</w:t>
      </w:r>
      <w:r>
        <w:rPr>
          <w:rFonts w:hint="eastAsia" w:ascii="黑体" w:hAnsi="黑体" w:eastAsia="黑体" w:cs="黑体"/>
          <w:highlight w:val="none"/>
        </w:rPr>
        <w:t xml:space="preserve">（项目名称）进行竞争性磋商采购，兹邀</w:t>
      </w:r>
      <w:bookmarkStart w:id="0" w:name="undefined"/>
      <w:r/>
      <w:bookmarkEnd w:id="0"/>
      <w:r/>
      <w:bookmarkStart w:id="0" w:name="undefined"/>
      <w:r/>
      <w:bookmarkEnd w:id="0"/>
      <w:r>
        <w:rPr>
          <w:rFonts w:hint="eastAsia" w:ascii="宋体" w:hAnsi="宋体"/>
          <w:b/>
          <w:sz w:val="22"/>
          <w:szCs w:val="22"/>
          <w:highlight w:val="none"/>
          <w:lang w:eastAsia="zh-CN"/>
        </w:rPr>
      </w:r>
      <w:r/>
      <w:r/>
      <w:r/>
      <w:r>
        <w:rPr>
          <w:rFonts w:hint="eastAsia" w:ascii="宋体" w:hAnsi="宋体"/>
          <w:b/>
          <w:bCs/>
          <w:sz w:val="22"/>
          <w:szCs w:val="22"/>
          <w:highlight w:val="none"/>
          <w:lang w:eastAsia="zh-CN"/>
        </w:rPr>
      </w:r>
    </w:p>
    <w:tbl>
      <w:tblPr>
        <w:tblStyle w:val="1127"/>
        <w:tblpPr w:horzAnchor="page" w:tblpX="956" w:vertAnchor="text" w:tblpY="11068" w:leftFromText="180" w:topFromText="0" w:rightFromText="180" w:bottomFromText="0"/>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295"/>
        <w:gridCol w:w="5763"/>
      </w:tblGrid>
      <w:tr>
        <w:trPr>
          <w:trHeight w:val="310"/>
        </w:trPr>
        <w:tc>
          <w:tcPr>
            <w:tcBorders>
              <w:top w:val="single" w:color="000000" w:sz="4" w:space="0"/>
              <w:bottom w:val="single" w:color="000000" w:sz="4" w:space="0"/>
            </w:tcBorders>
            <w:tcW w:w="690" w:type="dxa"/>
            <w:vAlign w:val="center"/>
            <w:textDirection w:val="lrTb"/>
            <w:noWrap w:val="false"/>
          </w:tcPr>
          <w:p>
            <w:pPr>
              <w:pStyle w:val="1146"/>
              <w:ind w:left="107"/>
              <w:jc w:val="both"/>
              <w:spacing w:before="21"/>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 xml:space="preserve">12</w:t>
            </w:r>
            <w:r/>
          </w:p>
        </w:tc>
        <w:tc>
          <w:tcPr>
            <w:gridSpan w:val="2"/>
            <w:tcBorders>
              <w:top w:val="single" w:color="000000" w:sz="4" w:space="0"/>
              <w:bottom w:val="single" w:color="000000" w:sz="4" w:space="0"/>
            </w:tcBorders>
            <w:tcW w:w="2122" w:type="dxa"/>
            <w:vAlign w:val="center"/>
            <w:textDirection w:val="lrTb"/>
            <w:noWrap w:val="false"/>
          </w:tcPr>
          <w:p>
            <w:pPr>
              <w:pStyle w:val="1146"/>
              <w:ind w:left="107"/>
              <w:jc w:val="both"/>
              <w:spacing w:before="21"/>
              <w:rPr>
                <w:rFonts w:hint="eastAsia" w:ascii="黑体" w:hAnsi="黑体" w:eastAsia="黑体" w:cs="黑体"/>
                <w:sz w:val="22"/>
                <w:szCs w:val="22"/>
                <w:highlight w:val="none"/>
              </w:rPr>
            </w:pPr>
            <w:r>
              <w:rPr>
                <w:rFonts w:hint="eastAsia" w:ascii="黑体" w:hAnsi="黑体" w:eastAsia="黑体" w:cs="黑体"/>
                <w:sz w:val="22"/>
                <w:szCs w:val="22"/>
                <w:highlight w:val="none"/>
              </w:rPr>
              <w:t xml:space="preserve">本工程图纸下载地址</w:t>
            </w:r>
            <w:r/>
          </w:p>
        </w:tc>
        <w:tc>
          <w:tcPr>
            <w:gridSpan w:val="2"/>
            <w:tcBorders>
              <w:top w:val="single" w:color="000000" w:sz="4" w:space="0"/>
              <w:bottom w:val="single" w:color="000000" w:sz="4" w:space="0"/>
            </w:tcBorders>
            <w:tcW w:w="7058" w:type="dxa"/>
            <w:vAlign w:val="center"/>
            <w:textDirection w:val="lrTb"/>
            <w:noWrap w:val="false"/>
          </w:tcPr>
          <w:p>
            <w:pPr>
              <w:ind w:left="107" w:right="0" w:firstLine="0"/>
              <w:jc w:val="both"/>
              <w:spacing w:before="21"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本项目辅助资料请投标人自行登录邮箱下载:</w:t>
            </w:r>
            <w:r/>
          </w:p>
          <w:p>
            <w:pPr>
              <w:ind w:left="107" w:right="0" w:firstLine="0"/>
              <w:jc w:val="both"/>
              <w:spacing w:before="21"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163 邮箱账号: </w:t>
            </w:r>
            <w:hyperlink r:id="rId21" w:tooltip="mailto:tuzhixiazai2023@163.com" w:history="1">
              <w:r>
                <w:rPr>
                  <w:rStyle w:val="1143"/>
                  <w:rFonts w:ascii="SimHei" w:hAnsi="SimHei" w:eastAsia="SimHei" w:cs="SimHei"/>
                  <w:color w:val="0000ff"/>
                  <w:sz w:val="22"/>
                  <w:u w:val="single"/>
                </w:rPr>
                <w:t xml:space="preserve">tuzhixiazai2023@163.com</w:t>
              </w:r>
            </w:hyperlink>
            <w:r/>
            <w:r/>
          </w:p>
          <w:p>
            <w:pPr>
              <w:ind w:left="107" w:right="0" w:firstLine="0"/>
              <w:jc w:val="both"/>
              <w:spacing w:before="21"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密码:Tuzhi123456 注:切勿更改密码;</w:t>
            </w:r>
            <w:r/>
          </w:p>
          <w:p>
            <w:pPr>
              <w:ind w:left="107" w:right="0" w:firstLine="0"/>
              <w:jc w:val="both"/>
              <w:spacing w:before="21"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链接:https://pan.baidu.com/s/1x-46zv1liseXMQaZmXQetQ </w:t>
            </w:r>
            <w:r/>
          </w:p>
          <w:p>
            <w:pPr>
              <w:ind w:left="107" w:right="0" w:firstLine="0"/>
              <w:jc w:val="both"/>
              <w:spacing w:before="21"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提取码:mgs2</w:t>
            </w:r>
            <w:r/>
          </w:p>
          <w:p>
            <w:pPr>
              <w:ind w:left="107" w:right="0" w:firstLine="0"/>
              <w:jc w:val="both"/>
              <w:spacing w:before="21"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请各投标人自行下载未下载由此产生的一切后果均由投标人自行承担。</w:t>
            </w:r>
            <w:r/>
            <w:r>
              <w:rPr>
                <w:sz w:val="24"/>
              </w:rPr>
            </w:r>
            <w:r/>
            <w:r/>
            <w:r>
              <w:rPr>
                <w:rFonts w:hint="eastAsia" w:ascii="黑体" w:hAnsi="黑体" w:eastAsia="黑体" w:cs="黑体"/>
                <w:sz w:val="22"/>
                <w:szCs w:val="22"/>
                <w:highlight w:val="none"/>
              </w:rPr>
            </w:r>
            <w:r/>
            <w:r>
              <w:rPr>
                <w:sz w:val="24"/>
              </w:rPr>
            </w:r>
          </w:p>
        </w:tc>
      </w:tr>
      <w:tr>
        <w:trPr>
          <w:trHeight w:val="310"/>
        </w:trPr>
        <w:tc>
          <w:tcPr>
            <w:tcBorders>
              <w:top w:val="single" w:color="000000" w:sz="4" w:space="0"/>
            </w:tcBorders>
            <w:tcW w:w="690" w:type="dxa"/>
            <w:vAlign w:val="center"/>
            <w:vMerge w:val="restart"/>
            <w:textDirection w:val="lrTb"/>
            <w:noWrap w:val="false"/>
          </w:tcPr>
          <w:p>
            <w:pPr>
              <w:jc w:val="center"/>
              <w:rPr>
                <w:rFonts w:hint="eastAsia" w:cs="宋体"/>
                <w:sz w:val="22"/>
                <w:szCs w:val="22"/>
                <w:highlight w:val="none"/>
                <w:lang w:val="en-US" w:eastAsia="zh-CN" w:bidi="zh-CN"/>
              </w:rPr>
            </w:pPr>
            <w:r>
              <w:rPr>
                <w:rFonts w:hint="eastAsia" w:ascii="黑体" w:hAnsi="黑体" w:eastAsia="黑体" w:cs="黑体"/>
                <w:sz w:val="21"/>
                <w:highlight w:val="none"/>
                <w:lang w:val="en-US" w:eastAsia="zh-CN"/>
              </w:rPr>
              <w:t xml:space="preserve">13</w:t>
            </w:r>
            <w:r/>
          </w:p>
        </w:tc>
        <w:tc>
          <w:tcPr>
            <w:tcBorders>
              <w:top w:val="single" w:color="000000" w:sz="4" w:space="0"/>
            </w:tcBorders>
            <w:tcW w:w="1042" w:type="dxa"/>
            <w:vAlign w:val="center"/>
            <w:vMerge w:val="restart"/>
            <w:textDirection w:val="lrTb"/>
            <w:noWrap w:val="false"/>
          </w:tcPr>
          <w:p>
            <w:pPr>
              <w:jc w:val="center"/>
              <w:rPr>
                <w:rFonts w:hint="eastAsia" w:ascii="方正仿宋_GB18030" w:hAnsi="方正仿宋_GB18030" w:eastAsia="方正仿宋_GB18030" w:cs="方正仿宋_GB18030"/>
                <w:sz w:val="24"/>
                <w:highlight w:val="none"/>
              </w:rPr>
            </w:pPr>
            <w:r>
              <w:rPr>
                <w:rFonts w:hint="eastAsia" w:ascii="黑体" w:hAnsi="黑体" w:eastAsia="黑体" w:cs="黑体"/>
                <w:sz w:val="21"/>
                <w:highlight w:val="none"/>
              </w:rPr>
              <w:t xml:space="preserve">联系事项</w:t>
            </w:r>
            <w:r/>
          </w:p>
        </w:tc>
        <w:tc>
          <w:tcPr>
            <w:tcBorders>
              <w:top w:val="single" w:color="000000" w:sz="4" w:space="0"/>
            </w:tcBorders>
            <w:tcW w:w="1080" w:type="dxa"/>
            <w:vMerge w:val="restart"/>
            <w:textDirection w:val="lrTb"/>
            <w:noWrap w:val="false"/>
          </w:tcPr>
          <w:p>
            <w:pPr>
              <w:pStyle w:val="1146"/>
              <w:ind w:left="204" w:right="196"/>
              <w:jc w:val="center"/>
              <w:spacing w:before="21" w:line="269" w:lineRule="exact"/>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采购单位</w:t>
            </w:r>
            <w:r/>
          </w:p>
        </w:tc>
        <w:tc>
          <w:tcPr>
            <w:shd w:val="clear" w:color="auto" w:fill="auto"/>
            <w:tcBorders>
              <w:top w:val="single" w:color="000000" w:sz="4" w:space="0"/>
              <w:bottom w:val="single" w:color="000000" w:sz="4" w:space="0"/>
            </w:tcBorders>
            <w:tcW w:w="1295" w:type="dxa"/>
            <w:vAlign w:val="top"/>
            <w:textDirection w:val="lrTb"/>
            <w:noWrap w:val="false"/>
          </w:tcPr>
          <w:p>
            <w:pPr>
              <w:pStyle w:val="1146"/>
              <w:ind w:left="107"/>
              <w:spacing w:before="72"/>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联系人</w:t>
            </w:r>
            <w:r/>
          </w:p>
        </w:tc>
        <w:tc>
          <w:tcPr>
            <w:shd w:val="clear" w:color="auto" w:fill="auto"/>
            <w:tcBorders>
              <w:top w:val="single" w:color="000000" w:sz="4" w:space="0"/>
              <w:bottom w:val="single" w:color="000000" w:sz="4" w:space="0"/>
            </w:tcBorders>
            <w:tcW w:w="5763" w:type="dxa"/>
            <w:vAlign w:val="top"/>
            <w:textDirection w:val="lrTb"/>
            <w:noWrap w:val="false"/>
          </w:tcPr>
          <w:p>
            <w:pPr>
              <w:pStyle w:val="1146"/>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lang w:val="en-US" w:eastAsia="zh-CN"/>
              </w:rPr>
              <w:t xml:space="preserve">陆主任</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Borders>
              <w:bottom w:val="single" w:color="000000" w:sz="4" w:space="0"/>
            </w:tcBorders>
            <w:tcW w:w="1080" w:type="dxa"/>
            <w:vMerge w:val="continue"/>
            <w:textDirection w:val="lrTb"/>
            <w:noWrap w:val="false"/>
          </w:tcPr>
          <w:p>
            <w:pPr>
              <w:pStyle w:val="1146"/>
              <w:ind w:left="204" w:right="196"/>
              <w:jc w:val="center"/>
              <w:spacing w:before="21" w:line="269" w:lineRule="exact"/>
              <w:rPr>
                <w:rFonts w:hint="eastAsia" w:ascii="黑体" w:hAnsi="黑体" w:eastAsia="黑体" w:cs="黑体"/>
                <w:sz w:val="21"/>
                <w:highlight w:val="none"/>
              </w:rPr>
            </w:pPr>
            <w:r>
              <w:rPr>
                <w:rFonts w:hint="eastAsia" w:ascii="黑体" w:hAnsi="黑体" w:eastAsia="黑体" w:cs="黑体"/>
                <w:sz w:val="21"/>
                <w:highlight w:val="none"/>
              </w:rPr>
            </w:r>
            <w:r/>
          </w:p>
        </w:tc>
        <w:tc>
          <w:tcPr>
            <w:shd w:val="clear" w:color="auto" w:fill="auto"/>
            <w:tcBorders>
              <w:top w:val="single" w:color="000000" w:sz="4" w:space="0"/>
              <w:bottom w:val="single" w:color="000000" w:sz="4" w:space="0"/>
            </w:tcBorders>
            <w:tcW w:w="1295" w:type="dxa"/>
            <w:vAlign w:val="top"/>
            <w:textDirection w:val="lrTb"/>
            <w:noWrap w:val="false"/>
          </w:tcPr>
          <w:p>
            <w:pPr>
              <w:pStyle w:val="1146"/>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联系电话</w:t>
            </w:r>
            <w:r/>
          </w:p>
        </w:tc>
        <w:tc>
          <w:tcPr>
            <w:shd w:val="clear" w:color="auto" w:fill="auto"/>
            <w:tcBorders>
              <w:top w:val="single" w:color="000000" w:sz="4" w:space="0"/>
              <w:bottom w:val="single" w:color="000000" w:sz="4" w:space="0"/>
            </w:tcBorders>
            <w:tcW w:w="5763" w:type="dxa"/>
            <w:vAlign w:val="top"/>
            <w:textDirection w:val="lrTb"/>
            <w:noWrap w:val="false"/>
          </w:tcPr>
          <w:p>
            <w:pPr>
              <w:pStyle w:val="1146"/>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025-52752987</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Borders>
              <w:top w:val="single" w:color="000000" w:sz="4" w:space="0"/>
            </w:tcBorders>
            <w:tcW w:w="1080" w:type="dxa"/>
            <w:vMerge w:val="restart"/>
            <w:textDirection w:val="lrTb"/>
            <w:noWrap w:val="false"/>
          </w:tcPr>
          <w:p>
            <w:pPr>
              <w:pStyle w:val="1146"/>
              <w:ind w:left="204" w:right="196"/>
              <w:jc w:val="center"/>
              <w:spacing w:before="21" w:line="269" w:lineRule="exact"/>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采购代理机构</w:t>
            </w:r>
            <w:r/>
          </w:p>
        </w:tc>
        <w:tc>
          <w:tcPr>
            <w:shd w:val="clear" w:color="auto" w:fill="auto"/>
            <w:tcBorders>
              <w:top w:val="single" w:color="000000" w:sz="4" w:space="0"/>
              <w:bottom w:val="single" w:color="000000" w:sz="4" w:space="0"/>
            </w:tcBorders>
            <w:tcW w:w="1295" w:type="dxa"/>
            <w:vAlign w:val="top"/>
            <w:textDirection w:val="lrTb"/>
            <w:noWrap w:val="false"/>
          </w:tcPr>
          <w:p>
            <w:pPr>
              <w:pStyle w:val="1146"/>
              <w:ind w:left="107"/>
              <w:spacing w:before="46"/>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联系人</w:t>
            </w:r>
            <w:r/>
          </w:p>
        </w:tc>
        <w:tc>
          <w:tcPr>
            <w:shd w:val="clear" w:color="auto" w:fill="auto"/>
            <w:tcBorders>
              <w:top w:val="single" w:color="000000" w:sz="4" w:space="0"/>
              <w:bottom w:val="single" w:color="000000" w:sz="4" w:space="0"/>
            </w:tcBorders>
            <w:tcW w:w="5763" w:type="dxa"/>
            <w:vAlign w:val="top"/>
            <w:textDirection w:val="lrTb"/>
            <w:noWrap w:val="false"/>
          </w:tcPr>
          <w:p>
            <w:pPr>
              <w:pStyle w:val="1146"/>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陈工</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W w:w="1080" w:type="dxa"/>
            <w:vMerge w:val="continue"/>
            <w:textDirection w:val="lrTb"/>
            <w:noWrap w:val="false"/>
          </w:tcPr>
          <w:p>
            <w:pPr>
              <w:pStyle w:val="1146"/>
              <w:ind w:left="204" w:right="196"/>
              <w:jc w:val="center"/>
              <w:spacing w:before="21" w:line="269" w:lineRule="exact"/>
              <w:rPr>
                <w:rFonts w:hint="eastAsia" w:ascii="黑体" w:hAnsi="黑体" w:eastAsia="黑体" w:cs="黑体"/>
                <w:sz w:val="21"/>
                <w:highlight w:val="none"/>
              </w:rPr>
            </w:pPr>
            <w:r>
              <w:rPr>
                <w:rFonts w:hint="eastAsia" w:ascii="黑体" w:hAnsi="黑体" w:eastAsia="黑体" w:cs="黑体"/>
                <w:sz w:val="21"/>
                <w:highlight w:val="none"/>
              </w:rPr>
            </w:r>
            <w:r/>
          </w:p>
        </w:tc>
        <w:tc>
          <w:tcPr>
            <w:shd w:val="clear" w:color="auto" w:fill="auto"/>
            <w:tcBorders>
              <w:top w:val="single" w:color="000000" w:sz="4" w:space="0"/>
            </w:tcBorders>
            <w:tcW w:w="1295" w:type="dxa"/>
            <w:vAlign w:val="top"/>
            <w:textDirection w:val="lrTb"/>
            <w:noWrap w:val="false"/>
          </w:tcPr>
          <w:p>
            <w:pPr>
              <w:pStyle w:val="1146"/>
              <w:ind w:left="107"/>
              <w:spacing w:before="22"/>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联系电话</w:t>
            </w:r>
            <w:r/>
          </w:p>
        </w:tc>
        <w:tc>
          <w:tcPr>
            <w:shd w:val="clear" w:color="auto" w:fill="auto"/>
            <w:tcBorders>
              <w:top w:val="single" w:color="000000" w:sz="4" w:space="0"/>
            </w:tcBorders>
            <w:tcW w:w="5763" w:type="dxa"/>
            <w:vAlign w:val="top"/>
            <w:textDirection w:val="lrTb"/>
            <w:noWrap w:val="false"/>
          </w:tcPr>
          <w:p>
            <w:pPr>
              <w:pStyle w:val="1146"/>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18952089947</w:t>
            </w:r>
            <w:r/>
          </w:p>
        </w:tc>
      </w:tr>
    </w:tbl>
    <w:p>
      <w:pPr>
        <w:ind w:firstLine="422"/>
        <w:spacing w:line="360" w:lineRule="auto"/>
        <w:rPr>
          <w:rFonts w:hint="eastAsia" w:ascii="宋体" w:hAnsi="宋体"/>
          <w:b/>
          <w:sz w:val="22"/>
          <w:szCs w:val="22"/>
          <w:highlight w:val="none"/>
          <w:lang w:eastAsia="zh-CN"/>
        </w:rPr>
        <w:outlineLvl w:val="1"/>
      </w:pPr>
      <w:r>
        <w:rPr>
          <w:rFonts w:hint="eastAsia" w:ascii="宋体" w:hAnsi="宋体"/>
          <w:b/>
          <w:sz w:val="22"/>
          <w:szCs w:val="22"/>
          <w:highlight w:val="none"/>
          <w:lang w:eastAsia="zh-CN"/>
        </w:rPr>
        <w:t xml:space="preserve">一、总则</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1.适用法律</w:t>
      </w:r>
      <w:r/>
    </w:p>
    <w:p>
      <w:pPr>
        <w:ind w:firstLine="420"/>
        <w:spacing w:line="360" w:lineRule="auto"/>
        <w:rPr>
          <w:rFonts w:hint="eastAsia" w:ascii="宋体" w:hAnsi="宋体"/>
          <w:b/>
          <w:sz w:val="22"/>
          <w:szCs w:val="22"/>
          <w:highlight w:val="none"/>
          <w:lang w:val="zh-CN" w:eastAsia="zh-CN"/>
        </w:rPr>
      </w:pPr>
      <w:r>
        <w:rPr>
          <w:rFonts w:hint="eastAsia" w:ascii="宋体" w:hAnsi="宋体"/>
          <w:sz w:val="22"/>
          <w:szCs w:val="22"/>
          <w:highlight w:val="none"/>
          <w:lang w:val="zh-CN" w:eastAsia="zh-CN"/>
        </w:rPr>
        <w:t xml:space="preserve">1.1 </w:t>
      </w:r>
      <w:r>
        <w:rPr>
          <w:rFonts w:hint="eastAsia" w:ascii="宋体" w:hAnsi="宋体"/>
          <w:sz w:val="22"/>
          <w:szCs w:val="22"/>
          <w:highlight w:val="none"/>
          <w:lang w:eastAsia="zh-CN"/>
        </w:rPr>
        <w:t xml:space="preserve">《中华人民共和国政府采购法》、《中华人民共和国政府采购法实施条例》、《政府采购竞争性磋商采购方式管理暂行办法》等有关法律、规章和规定等</w:t>
      </w:r>
      <w:r>
        <w:rPr>
          <w:rFonts w:hint="eastAsia" w:ascii="宋体" w:hAnsi="宋体"/>
          <w:sz w:val="22"/>
          <w:szCs w:val="22"/>
          <w:highlight w:val="none"/>
          <w:lang w:val="zh-CN" w:eastAsia="zh-CN"/>
        </w:rPr>
        <w:t xml:space="preserve">。</w:t>
      </w:r>
      <w:r/>
    </w:p>
    <w:p>
      <w:pPr>
        <w:ind w:firstLine="422"/>
        <w:spacing w:line="360" w:lineRule="auto"/>
        <w:rPr>
          <w:rFonts w:hint="eastAsia" w:ascii="宋体" w:hAnsi="宋体"/>
          <w:b/>
          <w:sz w:val="22"/>
          <w:szCs w:val="22"/>
          <w:highlight w:val="none"/>
          <w:lang w:val="zh-CN" w:eastAsia="zh-CN"/>
        </w:rPr>
      </w:pPr>
      <w:r>
        <w:rPr>
          <w:rFonts w:ascii="宋体" w:hAnsi="宋体"/>
          <w:b/>
          <w:sz w:val="22"/>
          <w:szCs w:val="22"/>
          <w:highlight w:val="none"/>
          <w:lang w:val="zh-CN" w:eastAsia="zh-CN"/>
        </w:rPr>
        <w:t xml:space="preserve">2</w:t>
      </w:r>
      <w:r>
        <w:rPr>
          <w:rFonts w:hint="eastAsia" w:ascii="宋体" w:hAnsi="宋体"/>
          <w:b/>
          <w:sz w:val="22"/>
          <w:szCs w:val="22"/>
          <w:highlight w:val="none"/>
          <w:lang w:val="zh-CN" w:eastAsia="zh-CN"/>
        </w:rPr>
        <w:t xml:space="preserve">．定义</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2.1 “供应商”是指参加磋商竞争，并符合采购文件规定资格条件的法人、其他组织或者自然人。</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2.2 “货物和服务”指本磋商文件中所述产品及相关服务。</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2.3 “用户或使用单位”是指使用服务的单位。</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3．政策功能</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（2）在工程采购项目中，工程由中小企业承建，即工程施工单位为中小企业；</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特别说明：</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中小企业供应商参加政府采购活动，应当出具《中小企业声明函》，否则不享受相关中小企业扶持政策。</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3.7提供的产品属于环境标志产品的,供应商应当选择依据相关标准的最新版本认证的环境标志产品投标,并提供有效的环境标志产品认证证书。</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3.8 进口产品政策</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（1）除采购公告载明接受进口产品参加外，不允许进口产品参加。进口产品认定依照《财政部关于政府采购进口产品管理有关问题的通知》（财办库〔2008〕248 号）的规定。</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（2）允许进口产品参加的，满足需求的国内产品可以参加。</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3.9 绿色包装规定</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（1）本项目中</w:t>
      </w:r>
      <w:r>
        <w:rPr>
          <w:rFonts w:hint="eastAsia" w:ascii="宋体" w:hAnsi="宋体" w:cs="宋体"/>
          <w:b/>
          <w:sz w:val="22"/>
          <w:szCs w:val="22"/>
          <w:highlight w:val="none"/>
          <w:lang w:val="en-US" w:eastAsia="zh-CN"/>
        </w:rPr>
        <w:t xml:space="preserve">如</w:t>
      </w:r>
      <w:r>
        <w:rPr>
          <w:rFonts w:hint="eastAsia" w:ascii="宋体" w:hAnsi="宋体" w:cs="宋体"/>
          <w:b/>
          <w:sz w:val="22"/>
          <w:szCs w:val="22"/>
          <w:highlight w:val="none"/>
          <w:lang w:val="zh-CN" w:eastAsia="zh-CN"/>
        </w:rPr>
        <w:t xml:space="preserve">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（2）本项目中</w:t>
      </w:r>
      <w:r>
        <w:rPr>
          <w:rFonts w:hint="eastAsia" w:ascii="宋体" w:hAnsi="宋体" w:cs="宋体"/>
          <w:b/>
          <w:sz w:val="22"/>
          <w:szCs w:val="22"/>
          <w:highlight w:val="none"/>
          <w:lang w:val="en-US" w:eastAsia="zh-CN"/>
        </w:rPr>
        <w:t xml:space="preserve">如</w:t>
      </w:r>
      <w:r>
        <w:rPr>
          <w:rFonts w:hint="eastAsia" w:ascii="宋体" w:hAnsi="宋体" w:cs="宋体"/>
          <w:b/>
          <w:sz w:val="22"/>
          <w:szCs w:val="22"/>
          <w:highlight w:val="none"/>
          <w:lang w:val="zh-CN" w:eastAsia="zh-CN"/>
        </w:rPr>
        <w:t xml:space="preserve">涉及涂料、胶黏剂、油墨、清洗剂等挥发性有机物产品的，属于强制性标准的，供应商应当提供符合国家和江苏省相关 VOCs 含量限制标准的产品。</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3.11未按要求提供相关材料的，不享受相关政策。</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4.参与竞争性磋商供应商资格条件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4.1满足《中华人民共和国政府采购法》第二十二条规定：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1.法人或者其他组织的营业执照等证明文件，自然人的身份证明。</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2.上一年度的财务状况报告（成立不满一年不需提供）（提供信用承诺书）。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3.依法缴纳税收和社会保障资金的相关材料（提供信用承诺书）。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4.具备履行合同所必需的设备和专业技术能力的书面声明（提供信用承诺书）。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5.参加政府采购活动前3年内在经营活动中没有重大违法记录的书面声明（提供信用承诺书）。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6.法律、行政法规规定的其他条件。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en-US" w:eastAsia="zh-CN"/>
        </w:rPr>
        <w:t xml:space="preserve">4.2</w:t>
      </w:r>
      <w:r>
        <w:rPr>
          <w:rFonts w:hint="eastAsia" w:ascii="宋体" w:hAnsi="宋体"/>
          <w:sz w:val="22"/>
          <w:szCs w:val="22"/>
          <w:highlight w:val="none"/>
          <w:lang w:eastAsia="zh-CN"/>
        </w:rPr>
        <w:t xml:space="preserve">（二）落实政府采购政策需满足的资格要求：</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sz w:val="22"/>
          <w:szCs w:val="22"/>
          <w:highlight w:val="none"/>
          <w:lang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（1）符合国家相关规定的财务状况报告；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（2）依法缴纳税收的证明材料；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（3）依法缴纳社会保障资金的证明材料；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（4）具备履行政府采购合同所必需的设备和专业技术能力的证明材料；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（5）参加政府采购活动前三年内在经营活动中没有重大违法记录的证明材料；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（6）未被列入失信被执行人、重大税收违法失信主体、政府采购严重违法失信行为记录名单的证明材料。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供应商涉及以下情形的，不适用信用承诺：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（1）供应商被列入严重失信主体名单；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（2）被相关监管部门作出行政处罚且尚在处罚有效期内；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（3）其他法律、行政法规规定的不适用信用承诺的情形。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2、如属于专门面向中小企业采购的项目，供应商应为中小微企业、监狱企业、残疾人福利性单位</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本项目按照采用以下第( 1 )种方式落实政府采购促进中小企业发展的要求:</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（1）本项目整体专门面向中小企业采购服务。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（2）本项目整体专门面向小微企业采购服务。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（4）本项目为非预留份额的采购项目或采购包，执行价格扣除优惠政策，具体详见采购文件。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4.3</w:t>
      </w:r>
      <w:r>
        <w:rPr>
          <w:rFonts w:ascii="宋体" w:hAnsi="宋体"/>
          <w:sz w:val="22"/>
          <w:szCs w:val="22"/>
          <w:highlight w:val="none"/>
          <w:lang w:eastAsia="zh-CN"/>
        </w:rPr>
        <w:t xml:space="preserve"> 采购人根据采购项目的特殊要求规定的特定条件</w:t>
      </w:r>
      <w:r>
        <w:rPr>
          <w:rFonts w:hint="eastAsia" w:ascii="宋体" w:hAnsi="宋体"/>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企业资质：</w:t>
      </w:r>
      <w:r>
        <w:rPr>
          <w:rFonts w:hint="eastAsia"/>
          <w:sz w:val="22"/>
          <w:szCs w:val="22"/>
          <w:highlight w:val="none"/>
          <w:lang w:eastAsia="zh-CN"/>
        </w:rPr>
        <w:t xml:space="preserve">施工总承包建筑工程三级(含)以上；建设行政主管部门核发的安全生产许可证书在有效期内；</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项目负责人资质：</w:t>
      </w:r>
      <w:r>
        <w:rPr>
          <w:rFonts w:hint="eastAsia"/>
          <w:sz w:val="22"/>
          <w:szCs w:val="22"/>
          <w:highlight w:val="none"/>
          <w:lang w:eastAsia="zh-CN"/>
        </w:rPr>
        <w:t xml:space="preserve">注册建造师建筑工程二级（含）以上；并且取得有效的安全生产考核合格证（B 证）。</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4.4拒绝下述供应商参加本次采购活动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（1）是否接受联合体投标：不接受。</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eastAsia="zh-CN"/>
        </w:rPr>
        <w:t xml:space="preserve">5.磋商供应商的义务及注意事项</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5.1</w:t>
      </w:r>
      <w:r>
        <w:rPr>
          <w:rFonts w:hint="eastAsia" w:ascii="宋体" w:hAnsi="宋体"/>
          <w:b/>
          <w:sz w:val="22"/>
          <w:szCs w:val="22"/>
          <w:highlight w:val="none"/>
          <w:lang w:val="zh-CN" w:eastAsia="zh-CN"/>
        </w:rPr>
        <w:t xml:space="preserve">集中</w:t>
      </w:r>
      <w:r>
        <w:rPr>
          <w:rFonts w:hint="eastAsia" w:ascii="宋体" w:hAnsi="宋体"/>
          <w:b/>
          <w:sz w:val="22"/>
          <w:szCs w:val="22"/>
          <w:highlight w:val="none"/>
          <w:lang w:eastAsia="zh-CN"/>
        </w:rPr>
        <w:t xml:space="preserve">勘查现场及答疑会: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 采购人将</w:t>
      </w:r>
      <w:r>
        <w:rPr>
          <w:rFonts w:ascii="宋体" w:hAnsi="宋体"/>
          <w:sz w:val="22"/>
          <w:szCs w:val="22"/>
          <w:highlight w:val="none"/>
          <w:lang w:eastAsia="zh-CN"/>
        </w:rPr>
        <w:t xml:space="preserve">组织所有已获取采购文件的供应商统一进行现场踏勘并现场答疑，以便供应商充分了解项目情况、准确编制报价</w:t>
      </w:r>
      <w:r>
        <w:rPr>
          <w:rFonts w:hint="eastAsia" w:ascii="宋体" w:hAnsi="宋体"/>
          <w:sz w:val="22"/>
          <w:szCs w:val="22"/>
          <w:highlight w:val="none"/>
          <w:lang w:eastAsia="zh-CN"/>
        </w:rPr>
        <w:t xml:space="preserve">。</w:t>
      </w:r>
      <w:r>
        <w:rPr>
          <w:rFonts w:ascii="宋体" w:hAnsi="宋体"/>
          <w:sz w:val="22"/>
          <w:szCs w:val="22"/>
          <w:highlight w:val="none"/>
          <w:lang w:eastAsia="zh-CN"/>
        </w:rPr>
        <w:t xml:space="preserve">如供应商因主动放弃现场踏勘造成响应不准确、报价不合理的，后果自行承担</w:t>
      </w:r>
      <w:r>
        <w:rPr>
          <w:rFonts w:hint="eastAsia" w:ascii="宋体" w:hAnsi="宋体"/>
          <w:sz w:val="22"/>
          <w:szCs w:val="22"/>
          <w:highlight w:val="none"/>
          <w:lang w:eastAsia="zh-CN"/>
        </w:rPr>
        <w:t xml:space="preserve">。在现场踏勘过程中所发生的一切费用及责任事故均由投标人自行负责。</w:t>
      </w:r>
      <w:r/>
    </w:p>
    <w:p>
      <w:pPr>
        <w:ind w:firstLine="420"/>
        <w:spacing w:line="360" w:lineRule="auto"/>
        <w:rPr>
          <w:rFonts w:hint="default" w:ascii="宋体" w:hAnsi="宋体"/>
          <w:sz w:val="22"/>
          <w:szCs w:val="22"/>
          <w:highlight w:val="none"/>
          <w:lang w:val="en-US" w:eastAsia="zh-CN"/>
        </w:rPr>
      </w:pPr>
      <w:r>
        <w:rPr>
          <w:rFonts w:hint="eastAsia" w:ascii="宋体" w:hAnsi="宋体"/>
          <w:sz w:val="22"/>
          <w:szCs w:val="22"/>
          <w:highlight w:val="none"/>
          <w:lang w:eastAsia="zh-CN"/>
        </w:rPr>
        <w:t xml:space="preserve">时    间：</w:t>
      </w:r>
      <w:r>
        <w:rPr>
          <w:rFonts w:hint="eastAsia"/>
          <w:sz w:val="22"/>
          <w:szCs w:val="22"/>
          <w:highlight w:val="none"/>
          <w:lang w:eastAsia="zh-CN"/>
        </w:rPr>
        <w:t xml:space="preserve">2025-1</w:t>
      </w:r>
      <w:r>
        <w:rPr>
          <w:rFonts w:hint="eastAsia"/>
          <w:sz w:val="22"/>
          <w:szCs w:val="22"/>
          <w:highlight w:val="none"/>
          <w:lang w:val="en-US" w:eastAsia="zh-CN"/>
        </w:rPr>
        <w:t xml:space="preserve">1</w:t>
      </w:r>
      <w:r>
        <w:rPr>
          <w:rFonts w:hint="eastAsia"/>
          <w:sz w:val="22"/>
          <w:szCs w:val="22"/>
          <w:highlight w:val="none"/>
          <w:lang w:eastAsia="zh-CN"/>
        </w:rPr>
        <w:t xml:space="preserve">-</w:t>
      </w:r>
      <w:r>
        <w:rPr>
          <w:rFonts w:hint="eastAsia"/>
          <w:sz w:val="22"/>
          <w:szCs w:val="22"/>
          <w:highlight w:val="none"/>
          <w:lang w:val="en-US" w:eastAsia="zh-CN"/>
        </w:rPr>
        <w:t xml:space="preserve">18</w:t>
      </w:r>
      <w:r>
        <w:rPr>
          <w:rFonts w:hint="eastAsia" w:ascii="宋体" w:hAnsi="宋体"/>
          <w:color w:val="ff0000"/>
          <w:sz w:val="22"/>
          <w:szCs w:val="22"/>
          <w:highlight w:val="none"/>
          <w:lang w:eastAsia="zh-CN"/>
        </w:rPr>
        <w:t xml:space="preserve"> </w:t>
      </w:r>
      <w:r>
        <w:rPr>
          <w:rFonts w:hint="eastAsia"/>
          <w:color w:val="ff0000"/>
          <w:sz w:val="22"/>
          <w:szCs w:val="22"/>
          <w:highlight w:val="none"/>
          <w:lang w:val="en-US" w:eastAsia="zh-CN"/>
        </w:rPr>
        <w:t xml:space="preserve"> </w:t>
      </w:r>
      <w:r>
        <w:rPr>
          <w:rFonts w:hint="eastAsia" w:ascii="宋体" w:hAnsi="宋体"/>
          <w:sz w:val="22"/>
          <w:szCs w:val="22"/>
          <w:highlight w:val="none"/>
          <w:lang w:val="en-US" w:eastAsia="zh-CN"/>
        </w:rPr>
        <w:t xml:space="preserve">14:00</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地    点：另行通知</w:t>
      </w:r>
      <w:r>
        <w:rPr>
          <w:rFonts w:ascii="宋体" w:hAnsi="宋体"/>
          <w:sz w:val="22"/>
          <w:szCs w:val="22"/>
          <w:highlight w:val="none"/>
          <w:lang w:eastAsia="zh-CN"/>
        </w:rPr>
        <w:t xml:space="preserve">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勘察路线：集合后，统一带入项目踏勘现场。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现场踏勘联系人： </w:t>
      </w:r>
      <w:r>
        <w:rPr>
          <w:rFonts w:hint="eastAsia" w:ascii="宋体" w:hAnsi="宋体"/>
          <w:sz w:val="22"/>
          <w:szCs w:val="22"/>
          <w:highlight w:val="none"/>
          <w:lang w:val="en-US" w:eastAsia="zh-CN"/>
        </w:rPr>
        <w:t xml:space="preserve">陈工</w:t>
      </w:r>
      <w:r/>
    </w:p>
    <w:p>
      <w:pPr>
        <w:ind w:firstLine="420"/>
        <w:spacing w:line="360" w:lineRule="auto"/>
        <w:rPr>
          <w:rFonts w:hint="default" w:ascii="宋体" w:hAnsi="宋体"/>
          <w:sz w:val="22"/>
          <w:szCs w:val="22"/>
          <w:highlight w:val="none"/>
          <w:lang w:val="en-US" w:eastAsia="zh-CN"/>
        </w:rPr>
      </w:pPr>
      <w:r>
        <w:rPr>
          <w:rFonts w:hint="eastAsia" w:ascii="宋体" w:hAnsi="宋体"/>
          <w:sz w:val="22"/>
          <w:szCs w:val="22"/>
          <w:highlight w:val="none"/>
          <w:lang w:eastAsia="zh-CN"/>
        </w:rPr>
        <w:t xml:space="preserve">联系电话：</w:t>
      </w:r>
      <w:r>
        <w:rPr>
          <w:rFonts w:hint="eastAsia" w:ascii="宋体" w:hAnsi="宋体"/>
          <w:sz w:val="22"/>
          <w:szCs w:val="22"/>
          <w:highlight w:val="none"/>
          <w:lang w:val="en-US" w:eastAsia="zh-CN"/>
        </w:rPr>
        <w:t xml:space="preserve">18952089947</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5.2 义务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5.2.3磋商供应商应在磋商截止时间前，将密封的响应性文件送达磋商地点。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1132"/>
        <w:ind w:left="0" w:firstLine="420"/>
        <w:spacing w:line="360" w:lineRule="auto"/>
        <w:rPr>
          <w:rFonts w:hint="eastAsia" w:ascii="宋体" w:hAnsi="宋体" w:eastAsia="宋体"/>
          <w:sz w:val="22"/>
          <w:szCs w:val="22"/>
          <w:highlight w:val="none"/>
          <w:lang w:eastAsia="zh-CN"/>
        </w:rPr>
      </w:pPr>
      <w:r>
        <w:rPr>
          <w:rFonts w:hint="eastAsia" w:ascii="宋体" w:hAnsi="宋体" w:eastAsia="宋体"/>
          <w:sz w:val="22"/>
          <w:szCs w:val="22"/>
          <w:highlight w:val="none"/>
          <w:lang w:eastAsia="zh-CN"/>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5.3 注意事项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5.3.2验收标准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5.3.2.1磋商文件中明确的标准和技术要求，未明确部分按照国家最新的相关标准；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5.3.2.3供应商在澄清响应文件时作出的承诺，经采购单位确认后，将作为对货物和服务的验收依据之一；</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5.3.2.4项目完毕后，由采购单位组织按国家相关标准进行验收。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5.3.4任何供应商成交，须保证所供货物和服务能通过当地有关职能部门验收，否则采购单位有权拒绝支付合同款项。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5.3.6本次项目不接受联合体磋商。</w:t>
      </w:r>
      <w:r/>
    </w:p>
    <w:p>
      <w:pPr>
        <w:ind w:firstLine="422"/>
        <w:spacing w:line="360" w:lineRule="auto"/>
        <w:tabs>
          <w:tab w:val="left" w:pos="1260" w:leader="none"/>
        </w:tabs>
        <w:rPr>
          <w:rFonts w:hint="eastAsia" w:ascii="宋体" w:hAnsi="宋体"/>
          <w:b/>
          <w:sz w:val="22"/>
          <w:szCs w:val="22"/>
          <w:highlight w:val="none"/>
          <w:lang w:eastAsia="zh-CN"/>
        </w:rPr>
      </w:pPr>
      <w:r>
        <w:rPr>
          <w:rFonts w:hint="eastAsia" w:ascii="宋体" w:hAnsi="宋体"/>
          <w:b/>
          <w:sz w:val="22"/>
          <w:szCs w:val="22"/>
          <w:highlight w:val="none"/>
          <w:lang w:eastAsia="zh-CN"/>
        </w:rPr>
        <w:t xml:space="preserve">6.磋商文件的澄清、修改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6.1任何要求对磋商文件进行澄清的供应商，应在磋商文件规定的响应性文件提交</w:t>
      </w:r>
      <w:r>
        <w:rPr>
          <w:rFonts w:hint="eastAsia" w:ascii="宋体" w:hAnsi="宋体"/>
          <w:b/>
          <w:sz w:val="22"/>
          <w:szCs w:val="22"/>
          <w:highlight w:val="none"/>
          <w:lang w:eastAsia="zh-CN"/>
        </w:rPr>
        <w:t xml:space="preserve">截止日期五天前</w:t>
      </w:r>
      <w:r>
        <w:rPr>
          <w:rFonts w:hint="eastAsia" w:ascii="宋体" w:hAnsi="宋体"/>
          <w:sz w:val="22"/>
          <w:szCs w:val="22"/>
          <w:highlight w:val="none"/>
          <w:lang w:eastAsia="zh-CN"/>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7.磋商有效期</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7.1磋商有效期为磋商文件规定的磋商之日后90天。</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sz w:val="22"/>
          <w:szCs w:val="22"/>
          <w:highlight w:val="none"/>
          <w:lang w:val="zh-CN" w:eastAsia="zh-CN"/>
        </w:rPr>
      </w:pPr>
      <w:r>
        <w:rPr>
          <w:rFonts w:hint="eastAsia" w:ascii="宋体" w:hAnsi="宋体"/>
          <w:b/>
          <w:bCs/>
          <w:sz w:val="22"/>
          <w:szCs w:val="22"/>
          <w:highlight w:val="none"/>
          <w:lang w:val="zh-CN" w:eastAsia="zh-CN"/>
        </w:rPr>
        <w:t xml:space="preserve">8．磋商费用</w:t>
      </w:r>
      <w:r/>
    </w:p>
    <w:p>
      <w:pPr>
        <w:ind w:firstLine="418"/>
        <w:spacing w:line="360" w:lineRule="auto"/>
        <w:rPr>
          <w:rFonts w:hint="eastAsia" w:ascii="宋体" w:hAnsi="宋体"/>
          <w:b/>
          <w:bCs/>
          <w:sz w:val="22"/>
          <w:szCs w:val="22"/>
          <w:highlight w:val="none"/>
          <w:lang w:val="zh-CN" w:eastAsia="zh-CN"/>
        </w:rPr>
      </w:pPr>
      <w:r>
        <w:rPr>
          <w:rFonts w:hint="eastAsia" w:ascii="宋体" w:hAnsi="宋体"/>
          <w:sz w:val="22"/>
          <w:szCs w:val="22"/>
          <w:highlight w:val="none"/>
          <w:lang w:eastAsia="zh-CN"/>
        </w:rPr>
        <w:t xml:space="preserve">8.1磋商供应商</w:t>
      </w:r>
      <w:r>
        <w:rPr>
          <w:rFonts w:hint="eastAsia" w:ascii="宋体" w:hAnsi="宋体"/>
          <w:sz w:val="22"/>
          <w:szCs w:val="22"/>
          <w:highlight w:val="none"/>
          <w:lang w:val="zh-CN" w:eastAsia="zh-CN"/>
        </w:rPr>
        <w:t xml:space="preserve">应承担所有与准备和参加磋商有关的费用，采购代理机构和采购人在任何情况下均无义务和责任承担这些费用。</w:t>
      </w:r>
      <w:r/>
    </w:p>
    <w:p>
      <w:pPr>
        <w:ind w:firstLine="418"/>
        <w:spacing w:line="360" w:lineRule="auto"/>
        <w:rPr>
          <w:rFonts w:hint="eastAsia" w:ascii="宋体" w:hAnsi="宋体"/>
          <w:b/>
          <w:bCs/>
          <w:sz w:val="22"/>
          <w:szCs w:val="22"/>
          <w:highlight w:val="none"/>
          <w:lang w:val="zh-CN" w:eastAsia="zh-CN"/>
        </w:rPr>
      </w:pPr>
      <w:r>
        <w:rPr>
          <w:rFonts w:hint="eastAsia" w:ascii="宋体" w:hAnsi="宋体"/>
          <w:sz w:val="22"/>
          <w:szCs w:val="22"/>
          <w:highlight w:val="none"/>
          <w:lang w:val="zh-CN" w:eastAsia="zh-CN"/>
        </w:rPr>
        <w:t xml:space="preserve">8.2</w:t>
      </w:r>
      <w:bookmarkStart w:id="4" w:name="_Toc9706"/>
      <w:r/>
      <w:bookmarkStart w:id="5" w:name="_Toc8651"/>
      <w:r/>
      <w:bookmarkStart w:id="6" w:name="_Toc21976"/>
      <w:r/>
      <w:bookmarkStart w:id="7" w:name="_Toc478818514"/>
      <w:r/>
      <w:bookmarkStart w:id="8" w:name="_Toc23959"/>
      <w:r/>
      <w:bookmarkStart w:id="9" w:name="_Toc9570"/>
      <w:r/>
      <w:bookmarkStart w:id="10" w:name="_Toc6803"/>
      <w:r/>
      <w:bookmarkStart w:id="11" w:name="_Toc22271"/>
      <w:r/>
      <w:bookmarkStart w:id="12" w:name="_Toc8705"/>
      <w:r/>
      <w:bookmarkStart w:id="13" w:name="_Toc10828"/>
      <w:r/>
      <w:bookmarkStart w:id="14" w:name="_Toc13984"/>
      <w:r/>
      <w:bookmarkStart w:id="15" w:name="_Toc335"/>
      <w:r/>
      <w:bookmarkStart w:id="16" w:name="_Toc503338388"/>
      <w:r/>
      <w:bookmarkStart w:id="17" w:name="_Toc1641"/>
      <w:r>
        <w:rPr>
          <w:rFonts w:hint="eastAsia" w:ascii="宋体" w:hAnsi="宋体"/>
          <w:sz w:val="22"/>
          <w:szCs w:val="22"/>
          <w:highlight w:val="none"/>
          <w:lang w:val="zh-CN" w:eastAsia="zh-CN"/>
        </w:rPr>
        <w:t xml:space="preserve">本项目采购代理服务费收费标准：按照国家计委《招标代理服务收费管理暂行办法》的通知【计价格（2002）1980号】文件标准的80%执行；工程量清单及招标控制价按苏价服[2014]383号的80%执行。</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8.3本次采购相关服务费、在成交供应商领取成交通知书时结算。</w:t>
      </w:r>
      <w:r/>
    </w:p>
    <w:p>
      <w:pPr>
        <w:ind w:firstLine="422"/>
        <w:spacing w:line="360" w:lineRule="auto"/>
        <w:rPr>
          <w:rFonts w:hint="eastAsia" w:ascii="宋体" w:hAnsi="宋体"/>
          <w:b/>
          <w:sz w:val="22"/>
          <w:szCs w:val="22"/>
          <w:highlight w:val="none"/>
          <w:lang w:eastAsia="zh-CN"/>
        </w:rPr>
        <w:outlineLvl w:val="1"/>
      </w:pPr>
      <w:r>
        <w:rPr>
          <w:rFonts w:hint="eastAsia" w:ascii="宋体" w:hAnsi="宋体"/>
          <w:b/>
          <w:sz w:val="22"/>
          <w:szCs w:val="22"/>
          <w:highlight w:val="none"/>
          <w:lang w:eastAsia="zh-CN"/>
        </w:rPr>
        <w:t xml:space="preserve">二、响应性文件的编制</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9.响应性文件的语言、计量单位、货币和编制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9.2供应商所使用的计量单位应为国家法定计量单位。</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eastAsia="zh-CN"/>
        </w:rPr>
        <w:t xml:space="preserve">9.3供应商应用人民币报价。</w:t>
      </w:r>
      <w:r>
        <w:rPr>
          <w:rFonts w:hint="eastAsia" w:ascii="宋体" w:hAnsi="宋体"/>
          <w:sz w:val="22"/>
          <w:szCs w:val="22"/>
          <w:highlight w:val="none"/>
          <w:lang w:val="zh-CN" w:eastAsia="zh-CN"/>
        </w:rPr>
        <w:t xml:space="preserve">报价产品如果是进口产品的，应提供人民币与美元之间的汇率；报价单位为“元”。</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.4</w:t>
      </w:r>
      <w:r>
        <w:rPr>
          <w:rFonts w:hint="eastAsia" w:ascii="宋体" w:hAnsi="宋体"/>
          <w:sz w:val="22"/>
          <w:szCs w:val="22"/>
          <w:highlight w:val="none"/>
          <w:lang w:val="zh-CN" w:eastAsia="zh-CN"/>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.5</w:t>
      </w:r>
      <w:r>
        <w:rPr>
          <w:rFonts w:hint="eastAsia" w:ascii="宋体" w:hAnsi="宋体"/>
          <w:sz w:val="22"/>
          <w:szCs w:val="22"/>
          <w:highlight w:val="none"/>
          <w:lang w:val="zh-CN" w:eastAsia="zh-CN"/>
        </w:rPr>
        <w:t xml:space="preserve"> 磋商响应文件应按照竞争性磋商文件规定的顺序，统一用</w:t>
      </w:r>
      <w:r>
        <w:rPr>
          <w:rFonts w:ascii="宋体" w:hAnsi="宋体"/>
          <w:sz w:val="22"/>
          <w:szCs w:val="22"/>
          <w:highlight w:val="none"/>
          <w:lang w:val="zh-CN" w:eastAsia="zh-CN"/>
        </w:rPr>
        <w:t xml:space="preserve">A4</w:t>
      </w:r>
      <w:r>
        <w:rPr>
          <w:rFonts w:hint="eastAsia" w:ascii="宋体" w:hAnsi="宋体"/>
          <w:sz w:val="22"/>
          <w:szCs w:val="22"/>
          <w:highlight w:val="none"/>
          <w:lang w:val="zh-CN" w:eastAsia="zh-CN"/>
        </w:rPr>
        <w:t xml:space="preserve">规格幅面打印、装订成册并编制目录，由于编排混乱导致磋商响应文件被误读或查找不到，责任由供应商承担。</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.6</w:t>
      </w:r>
      <w:r>
        <w:rPr>
          <w:rFonts w:hint="eastAsia" w:ascii="宋体" w:hAnsi="宋体"/>
          <w:sz w:val="22"/>
          <w:szCs w:val="22"/>
          <w:highlight w:val="none"/>
          <w:lang w:val="zh-CN" w:eastAsia="zh-CN"/>
        </w:rPr>
        <w:t xml:space="preserve"> 供应商应在磋商响应文件中写清相应的项目编号、项目名称、供应商全称等。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9.7供应商所使用的技术标准应遵循国家最新标准及规范。</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10.响应性文件的组成</w:t>
      </w:r>
      <w:r/>
    </w:p>
    <w:p>
      <w:pPr>
        <w:ind w:firstLine="420"/>
        <w:spacing w:before="220" w:line="85"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10.1供应商应当根据磋商文件要求编制投标文件，并根据自己的商务能力、技术水平对磋商文件提出的要求和条件逐条标明是否响应。响应文件由商务部分、技术部分、价格部分，以及其他部分组成。</w:t>
      </w:r>
      <w:r>
        <w:rPr>
          <w:rFonts w:ascii="宋体" w:hAnsi="宋体" w:cs="宋体"/>
          <w:b/>
          <w:color w:val="000000"/>
          <w:sz w:val="21"/>
          <w:highlight w:val="none"/>
          <w:lang w:eastAsia="zh-CN"/>
        </w:rPr>
        <w:t xml:space="preserve">对带星号（“★”）的技术条款必须在投标文件中提供技术支持资料（如白皮书、彩页、手册、检测报告等），未提供技术支持资料的，评审时不予认可。</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供应商编写的磋商文件应包括但不限于下列文件（1）-（13）所述材料如提供不全或不满足招标文件的实质性要求，评标委员会有权否决供应商的投标）：</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（1）磋商申请及声明（格式见附件）；</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（2）法定代表人授权委托书及委托代理人的身份证扫描件（格式见附件）；</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（3）第一章竞争性磋商公告中2.1《中华人民共和国政府采购法》规定的资格条件证明文件（提供《南京市政府采购供应商信用记录表暨信用承诺书》）应由法定代表人签字并盖单位电子公章；</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（4）第一章竞争性磋商公告中2.3采购人根据采购项目的特殊要求规定的特定条件证明文件；</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（5）供应商资格承诺函（加盖供应商电子公章）；</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（6）磋商报价表；</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（7）已标价工程量清单；</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（8）磋商响应文件的有效性、完整性和响应程度审查</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（9）《商务条款偏离表》；</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（10）《技术条款偏离表》；</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（11）项目的技术说明或施工组织设计；</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（12）施工现场安全文明措施承诺书；</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（13）项目负责人无在建工程承诺书；</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（14）供应商拟投入本项目的人员情况一览表；</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（15）供应商近年类似业绩情况表；</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（16）第</w:t>
      </w:r>
      <w:r>
        <w:rPr>
          <w:rFonts w:hint="eastAsia" w:ascii="宋体" w:hAnsi="宋体" w:cs="宋体"/>
          <w:color w:val="000000"/>
          <w:sz w:val="21"/>
          <w:highlight w:val="none"/>
          <w:lang w:val="en-US" w:eastAsia="zh-CN"/>
        </w:rPr>
        <w:t xml:space="preserve">四</w:t>
      </w:r>
      <w:r>
        <w:rPr>
          <w:rFonts w:ascii="宋体" w:hAnsi="宋体" w:cs="宋体"/>
          <w:color w:val="000000"/>
          <w:sz w:val="21"/>
          <w:highlight w:val="none"/>
          <w:lang w:eastAsia="zh-CN"/>
        </w:rPr>
        <w:t xml:space="preserve">章评标标准中对应的其它所需证明材料（如有自行添加）；</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（17）要求采购人提供的配合（如有自拟并自行添加）；</w:t>
      </w:r>
      <w:r/>
    </w:p>
    <w:p>
      <w:pPr>
        <w:pStyle w:val="1125"/>
        <w:spacing w:before="319" w:line="268"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lang w:eastAsia="zh-CN"/>
        </w:rPr>
        <w:t xml:space="preserve">（18）供应商认为需要提供的其他技术资料。</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10.2 响应性文件的商务部分</w:t>
      </w:r>
      <w:r>
        <w:rPr>
          <w:rFonts w:hint="eastAsia" w:ascii="宋体" w:hAnsi="宋体"/>
          <w:sz w:val="22"/>
          <w:szCs w:val="22"/>
          <w:highlight w:val="none"/>
          <w:lang w:eastAsia="zh-CN"/>
        </w:rPr>
        <w:t xml:space="preserve">:</w:t>
      </w:r>
      <w:r>
        <w:rPr>
          <w:rFonts w:hint="eastAsia" w:ascii="宋体" w:hAnsi="宋体"/>
          <w:sz w:val="22"/>
          <w:szCs w:val="22"/>
          <w:highlight w:val="none"/>
          <w:lang w:val="zh-CN" w:eastAsia="zh-CN"/>
        </w:rPr>
        <w:t xml:space="preserve"> 商务部分是证明供应商有资格参加磋商和成交后有能力履行合同的文件，</w:t>
      </w:r>
      <w:r>
        <w:rPr>
          <w:rFonts w:hint="eastAsia" w:ascii="宋体" w:hAnsi="宋体"/>
          <w:sz w:val="22"/>
          <w:szCs w:val="22"/>
          <w:highlight w:val="none"/>
          <w:lang w:eastAsia="zh-CN"/>
        </w:rPr>
        <w:t xml:space="preserve">这些文件应能满足竞争性磋商采购文件的要求</w:t>
      </w:r>
      <w:r>
        <w:rPr>
          <w:rFonts w:hint="eastAsia" w:ascii="宋体" w:hAnsi="宋体"/>
          <w:sz w:val="22"/>
          <w:szCs w:val="22"/>
          <w:highlight w:val="none"/>
          <w:lang w:val="zh-CN" w:eastAsia="zh-CN"/>
        </w:rPr>
        <w:t xml:space="preserve">，包括但不限于下列文件，其中加</w:t>
      </w:r>
      <w:r>
        <w:rPr>
          <w:rFonts w:hint="eastAsia" w:ascii="宋体" w:hAnsi="宋体"/>
          <w:b/>
          <w:sz w:val="22"/>
          <w:szCs w:val="22"/>
          <w:highlight w:val="none"/>
          <w:lang w:eastAsia="zh-CN"/>
        </w:rPr>
        <w:t xml:space="preserve">★</w:t>
      </w:r>
      <w:r>
        <w:rPr>
          <w:rFonts w:hint="eastAsia" w:ascii="宋体" w:hAnsi="宋体"/>
          <w:sz w:val="22"/>
          <w:szCs w:val="22"/>
          <w:highlight w:val="none"/>
          <w:lang w:val="zh-CN" w:eastAsia="zh-CN"/>
        </w:rPr>
        <w:t xml:space="preserve">项目不得有缺失或无效。</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（1）</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磋商申请及声明</w:t>
      </w:r>
      <w:r>
        <w:rPr>
          <w:rFonts w:hint="eastAsia"/>
          <w:sz w:val="24"/>
          <w:szCs w:val="24"/>
          <w:highlight w:val="none"/>
          <w:lang w:eastAsia="zh-CN"/>
        </w:rPr>
        <w:t xml:space="preserve">；</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（2）</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法定代表人授权委托书、委托代理人的身份证明复印件；</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（3）</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《磋商报价汇总表》；</w:t>
      </w:r>
      <w:r>
        <w:rPr>
          <w:rFonts w:ascii="宋体" w:hAnsi="宋体"/>
          <w:sz w:val="24"/>
          <w:szCs w:val="24"/>
          <w:highlight w:val="none"/>
          <w:lang w:eastAsia="zh-CN"/>
        </w:rPr>
        <w:t xml:space="preserve"> </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（4）</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《分项报价表》；</w:t>
      </w:r>
      <w:r/>
    </w:p>
    <w:p>
      <w:pPr>
        <w:ind w:firstLine="420"/>
        <w:spacing w:line="360" w:lineRule="auto"/>
        <w:rPr>
          <w:rFonts w:hint="eastAsia" w:ascii="宋体" w:hAnsi="宋体" w:cs="宋体"/>
          <w:sz w:val="24"/>
          <w:szCs w:val="24"/>
          <w:highlight w:val="none"/>
          <w:lang w:val="zh-CN" w:eastAsia="zh-CN"/>
        </w:rPr>
      </w:pPr>
      <w:r>
        <w:rPr>
          <w:rFonts w:hint="eastAsia" w:ascii="宋体" w:hAnsi="宋体"/>
          <w:sz w:val="24"/>
          <w:szCs w:val="24"/>
          <w:highlight w:val="none"/>
          <w:lang w:eastAsia="zh-CN"/>
        </w:rPr>
        <w:t xml:space="preserve">（5）</w:t>
      </w:r>
      <w:r>
        <w:rPr>
          <w:rFonts w:hint="eastAsia" w:ascii="宋体" w:hAnsi="宋体"/>
          <w:b/>
          <w:sz w:val="24"/>
          <w:szCs w:val="24"/>
          <w:highlight w:val="none"/>
          <w:lang w:eastAsia="zh-CN"/>
        </w:rPr>
        <w:t xml:space="preserve">★</w:t>
      </w:r>
      <w:r>
        <w:rPr>
          <w:rFonts w:hint="eastAsia" w:ascii="宋体" w:hAnsi="宋体" w:cs="宋体"/>
          <w:sz w:val="24"/>
          <w:szCs w:val="24"/>
          <w:highlight w:val="none"/>
          <w:lang w:val="zh-CN" w:eastAsia="zh-CN"/>
        </w:rPr>
        <w:t xml:space="preserve">南京市政府采购供应商信用记录表暨信用承诺书；</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（6）</w:t>
      </w:r>
      <w:r>
        <w:rPr>
          <w:rFonts w:hint="eastAsia" w:ascii="宋体" w:hAnsi="宋体"/>
          <w:b/>
          <w:sz w:val="24"/>
          <w:szCs w:val="24"/>
          <w:highlight w:val="none"/>
          <w:lang w:eastAsia="zh-CN"/>
        </w:rPr>
        <w:t xml:space="preserve">★</w:t>
      </w:r>
      <w:r>
        <w:rPr>
          <w:rFonts w:hint="eastAsia" w:ascii="宋体" w:hAnsi="宋体" w:cs="宋体"/>
          <w:sz w:val="24"/>
          <w:szCs w:val="24"/>
          <w:highlight w:val="none"/>
          <w:lang w:val="zh-CN" w:eastAsia="zh-CN"/>
        </w:rPr>
        <w:t xml:space="preserve">《商务条款响应表》</w:t>
      </w:r>
      <w:r>
        <w:rPr>
          <w:rFonts w:hint="eastAsia" w:cs="宋体"/>
          <w:sz w:val="24"/>
          <w:szCs w:val="24"/>
          <w:highlight w:val="none"/>
          <w:lang w:val="zh-CN" w:eastAsia="zh-CN"/>
        </w:rPr>
        <w:t xml:space="preserve">；</w:t>
      </w:r>
      <w:r/>
    </w:p>
    <w:p>
      <w:pPr>
        <w:ind w:firstLine="420"/>
        <w:spacing w:line="360" w:lineRule="auto"/>
        <w:rPr>
          <w:rFonts w:hint="eastAsia" w:cs="宋体"/>
          <w:sz w:val="24"/>
          <w:szCs w:val="24"/>
          <w:highlight w:val="none"/>
          <w:lang w:val="en-US" w:eastAsia="zh-CN"/>
        </w:rPr>
      </w:pPr>
      <w:r>
        <w:rPr>
          <w:rFonts w:hint="eastAsia" w:cs="宋体"/>
          <w:sz w:val="24"/>
          <w:szCs w:val="24"/>
          <w:highlight w:val="none"/>
          <w:lang w:val="zh-CN" w:eastAsia="zh-CN"/>
        </w:rPr>
        <w:t xml:space="preserve">（</w:t>
      </w:r>
      <w:r>
        <w:rPr>
          <w:rFonts w:hint="eastAsia" w:cs="宋体"/>
          <w:sz w:val="24"/>
          <w:szCs w:val="24"/>
          <w:highlight w:val="none"/>
          <w:lang w:val="en-US" w:eastAsia="zh-CN"/>
        </w:rPr>
        <w:t xml:space="preserve">7）</w:t>
      </w:r>
      <w:r>
        <w:rPr>
          <w:rFonts w:hint="eastAsia" w:ascii="宋体" w:hAnsi="宋体"/>
          <w:b/>
          <w:sz w:val="24"/>
          <w:szCs w:val="24"/>
          <w:highlight w:val="none"/>
          <w:lang w:eastAsia="zh-CN"/>
        </w:rPr>
        <w:t xml:space="preserve">★</w:t>
      </w:r>
      <w:r>
        <w:rPr>
          <w:rFonts w:hint="eastAsia" w:cs="宋体"/>
          <w:sz w:val="24"/>
          <w:szCs w:val="24"/>
          <w:highlight w:val="none"/>
          <w:lang w:val="en-US" w:eastAsia="zh-CN"/>
        </w:rPr>
        <w:t xml:space="preserve">拒绝下述供应商参加本次采购活动（提供承诺书）；</w:t>
      </w:r>
      <w:r/>
    </w:p>
    <w:p>
      <w:pPr>
        <w:ind w:firstLine="420"/>
        <w:spacing w:line="360" w:lineRule="auto"/>
        <w:rPr>
          <w:rFonts w:hint="eastAsia" w:cs="宋体"/>
          <w:sz w:val="24"/>
          <w:szCs w:val="24"/>
          <w:highlight w:val="none"/>
          <w:lang w:val="en-US" w:eastAsia="zh-CN"/>
        </w:rPr>
      </w:pPr>
      <w:r>
        <w:rPr>
          <w:rFonts w:hint="eastAsia" w:cs="宋体"/>
          <w:sz w:val="24"/>
          <w:szCs w:val="24"/>
          <w:highlight w:val="none"/>
          <w:lang w:val="en-US" w:eastAsia="zh-CN"/>
        </w:rPr>
        <w:t xml:space="preserve">（1）是否接受联合体投标：不接受。</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（2）供应商单位负责人为同一人或者存在直接控股、管理关系的不同供应商，不得参加同一合同项下的政府采购活动。</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（3）凡为采购项目提供整体设计、规范编制或者项目管理、监理、检测等服务的供应商，不得再参加本项目的采购活动。</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（4）供应商被“信用中国”网站、“中国政府采购网”列入失信被执行人、重大税收违法案件当事人名单、政府采购严重违法失信行为记录名单。</w:t>
      </w:r>
      <w:r/>
    </w:p>
    <w:p>
      <w:pPr>
        <w:ind w:firstLine="420"/>
        <w:spacing w:line="360" w:lineRule="auto"/>
        <w:rPr>
          <w:rFonts w:hint="eastAsia" w:ascii="宋体" w:hAnsi="宋体" w:cs="宋体"/>
          <w:sz w:val="22"/>
          <w:szCs w:val="22"/>
          <w:highlight w:val="none"/>
          <w:lang w:val="zh-CN" w:eastAsia="zh-CN"/>
        </w:rPr>
      </w:pPr>
      <w:r>
        <w:rPr>
          <w:rFonts w:hint="eastAsia" w:cs="宋体"/>
          <w:sz w:val="22"/>
          <w:szCs w:val="22"/>
          <w:highlight w:val="none"/>
          <w:lang w:val="zh-CN" w:eastAsia="zh-CN"/>
        </w:rPr>
        <w:t xml:space="preserve">（</w:t>
      </w:r>
      <w:r>
        <w:rPr>
          <w:rFonts w:hint="eastAsia" w:cs="宋体"/>
          <w:sz w:val="22"/>
          <w:szCs w:val="22"/>
          <w:highlight w:val="none"/>
          <w:lang w:val="en-US" w:eastAsia="zh-CN"/>
        </w:rPr>
        <w:t xml:space="preserve">8</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响应供应商认为需要提供的其他证明文件和商务资料。</w:t>
      </w:r>
      <w:r/>
    </w:p>
    <w:p>
      <w:pPr>
        <w:ind w:firstLine="440"/>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注：响应货物如果属于节能产品和环境标志产品，应在响应文件中予以明确标注，并提供相应证书的复印件。否则，磋商评审时不予认可。</w:t>
      </w:r>
      <w:r/>
    </w:p>
    <w:p>
      <w:pPr>
        <w:ind w:firstLine="422"/>
        <w:spacing w:line="360" w:lineRule="auto"/>
        <w:rPr>
          <w:rFonts w:hint="eastAsia" w:ascii="宋体" w:hAnsi="宋体" w:cs="宋体"/>
          <w:sz w:val="22"/>
          <w:szCs w:val="22"/>
          <w:highlight w:val="none"/>
          <w:lang w:val="zh-CN" w:eastAsia="zh-CN"/>
        </w:rPr>
      </w:pPr>
      <w:r>
        <w:rPr>
          <w:rFonts w:hint="eastAsia" w:ascii="宋体" w:hAnsi="宋体"/>
          <w:b/>
          <w:sz w:val="22"/>
          <w:szCs w:val="22"/>
          <w:highlight w:val="none"/>
          <w:lang w:eastAsia="zh-CN"/>
        </w:rPr>
        <w:t xml:space="preserve">10.3响应性文件的技术部分：</w:t>
      </w:r>
      <w:r>
        <w:rPr>
          <w:rFonts w:hint="eastAsia" w:ascii="宋体" w:hAnsi="宋体"/>
          <w:sz w:val="22"/>
          <w:szCs w:val="22"/>
          <w:highlight w:val="none"/>
          <w:lang w:eastAsia="zh-CN"/>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（1）★项目实施方案</w:t>
      </w:r>
      <w:r>
        <w:rPr>
          <w:rFonts w:ascii="宋体" w:hAnsi="宋体"/>
          <w:sz w:val="22"/>
          <w:szCs w:val="22"/>
          <w:highlight w:val="none"/>
          <w:lang w:eastAsia="zh-CN"/>
        </w:rPr>
        <w:t xml:space="preserve">（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（2）★《技术条款偏离表》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3</w:t>
      </w:r>
      <w:r>
        <w:rPr>
          <w:rFonts w:hint="eastAsia" w:ascii="宋体" w:hAnsi="宋体"/>
          <w:sz w:val="22"/>
          <w:szCs w:val="22"/>
          <w:highlight w:val="none"/>
          <w:lang w:eastAsia="zh-CN"/>
        </w:rPr>
        <w:t xml:space="preserve">）★项目组成员一览表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4）</w:t>
      </w:r>
      <w:r>
        <w:rPr>
          <w:rFonts w:hint="eastAsia" w:ascii="宋体" w:hAnsi="宋体"/>
          <w:sz w:val="22"/>
          <w:szCs w:val="22"/>
          <w:highlight w:val="none"/>
          <w:lang w:eastAsia="zh-CN"/>
        </w:rPr>
        <w:t xml:space="preserve">★质量保证，履约承诺（详见项目需求）及服务承诺</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5</w:t>
      </w:r>
      <w:r>
        <w:rPr>
          <w:rFonts w:hint="eastAsia" w:ascii="宋体" w:hAnsi="宋体"/>
          <w:sz w:val="22"/>
          <w:szCs w:val="22"/>
          <w:highlight w:val="none"/>
          <w:lang w:eastAsia="zh-CN"/>
        </w:rPr>
        <w:t xml:space="preserve">）★供应商认为需要提供的其他技术资料。</w:t>
      </w:r>
      <w:r/>
    </w:p>
    <w:p>
      <w:pPr>
        <w:ind w:firstLine="422"/>
        <w:spacing w:line="360" w:lineRule="auto"/>
        <w:rPr>
          <w:rFonts w:hint="eastAsia" w:ascii="宋体" w:hAnsi="宋体" w:cs="宋体"/>
          <w:sz w:val="22"/>
          <w:szCs w:val="22"/>
          <w:highlight w:val="none"/>
          <w:lang w:val="zh-CN" w:eastAsia="zh-CN"/>
        </w:rPr>
      </w:pPr>
      <w:r>
        <w:rPr>
          <w:rFonts w:hint="eastAsia" w:ascii="宋体" w:hAnsi="宋体"/>
          <w:b/>
          <w:sz w:val="22"/>
          <w:szCs w:val="22"/>
          <w:highlight w:val="none"/>
          <w:lang w:eastAsia="zh-CN"/>
        </w:rPr>
        <w:t xml:space="preserve">10.4. 响应性文件的报价部分</w:t>
      </w:r>
      <w:r/>
    </w:p>
    <w:p>
      <w:pPr>
        <w:ind w:firstLine="420"/>
        <w:spacing w:line="360" w:lineRule="auto"/>
        <w:rPr>
          <w:rFonts w:hint="eastAsia" w:ascii="宋体" w:hAnsi="宋体" w:cs="宋体"/>
          <w:sz w:val="22"/>
          <w:szCs w:val="22"/>
          <w:highlight w:val="none"/>
          <w:lang w:val="zh-CN" w:eastAsia="zh-CN"/>
        </w:rPr>
      </w:pPr>
      <w:r>
        <w:rPr>
          <w:rFonts w:hint="eastAsia" w:ascii="宋体" w:hAnsi="宋体"/>
          <w:sz w:val="22"/>
          <w:szCs w:val="22"/>
          <w:highlight w:val="none"/>
          <w:lang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（4）经磋商后，如果成交价高于或低于供应商在响应文件首次报价的，分项报价同比例调整。</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（5）政府采购提倡公平竞争，反对盲目压价参与磋商，任何盲目压价和低于成本报价将会被拒绝。</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sz w:val="21"/>
          <w:szCs w:val="21"/>
          <w:highlight w:val="none"/>
          <w:lang w:eastAsia="zh-CN"/>
        </w:rPr>
      </w:pPr>
      <w:r>
        <w:rPr>
          <w:rFonts w:hint="eastAsia" w:ascii="宋体" w:hAnsi="宋体"/>
          <w:sz w:val="22"/>
          <w:szCs w:val="22"/>
          <w:highlight w:val="none"/>
          <w:lang w:eastAsia="zh-CN"/>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highlight w:val="none"/>
          <w:lang w:val="zh-CN" w:eastAsia="zh-CN"/>
        </w:rPr>
      </w:pPr>
      <w:r>
        <w:rPr>
          <w:rFonts w:hint="eastAsia" w:ascii="宋体" w:hAnsi="宋体"/>
          <w:sz w:val="21"/>
          <w:szCs w:val="21"/>
          <w:highlight w:val="none"/>
          <w:lang w:eastAsia="zh-CN"/>
        </w:rPr>
        <w:t xml:space="preserve">（8）</w:t>
      </w:r>
      <w:r>
        <w:rPr>
          <w:rFonts w:hint="eastAsia" w:ascii="宋体" w:hAnsi="宋体"/>
          <w:highlight w:val="none"/>
          <w:lang w:val="zh-CN" w:eastAsia="zh-CN"/>
        </w:rPr>
        <w:t xml:space="preserve">投标报价应根据下列依据编制：</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（1）《建设工程工程量清单计价规范》（GB50500-2013）;</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2）《江苏省建筑与装饰工程计价定额》（2014版）、《江苏省安装工程计价定额》（2014版）、《江苏省市政工程计价定额》（2014年）、《江苏省仿古建筑与园林工程计价表》（2007年）、《江苏省建设工程费用定额》（2014年）及《省住房城乡建设厅关于调整建设工程计价增值税税率的通知》（苏建函价〔2019〕178号）文件；</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（3）材料价格：参考投标截止日前28天当月(或最近一期)区建工局发布的江宁区地方材料及部分安装工程材料的预算指导价和南京市同期工程建设材料预算指导价；</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（4）人工工资：苏建函价〔2024〕</w:t>
      </w:r>
      <w:r>
        <w:rPr>
          <w:rFonts w:hint="eastAsia"/>
          <w:highlight w:val="none"/>
          <w:lang w:val="en-US" w:eastAsia="zh-CN"/>
        </w:rPr>
        <w:t xml:space="preserve">348</w:t>
      </w:r>
      <w:r>
        <w:rPr>
          <w:rFonts w:hint="eastAsia" w:ascii="宋体" w:hAnsi="宋体"/>
          <w:highlight w:val="none"/>
          <w:lang w:val="zh-CN" w:eastAsia="zh-CN"/>
        </w:rPr>
        <w:t xml:space="preserve">号文件。</w:t>
      </w:r>
      <w:r/>
    </w:p>
    <w:p>
      <w:pPr>
        <w:ind w:firstLine="420"/>
        <w:spacing w:line="360" w:lineRule="auto"/>
        <w:rPr>
          <w:rFonts w:hint="eastAsia" w:ascii="宋体" w:hAnsi="宋体"/>
          <w:highlight w:val="none"/>
          <w:lang w:val="zh-CN" w:eastAsia="zh-CN"/>
        </w:rPr>
      </w:pPr>
      <w:r>
        <w:rPr>
          <w:rFonts w:ascii="宋体" w:hAnsi="宋体"/>
          <w:highlight w:val="none"/>
          <w:lang w:val="zh-CN" w:eastAsia="zh-CN"/>
        </w:rPr>
        <w:t xml:space="preserve">备注</w:t>
      </w:r>
      <w:r>
        <w:rPr>
          <w:rFonts w:hint="eastAsia" w:ascii="宋体" w:hAnsi="宋体"/>
          <w:highlight w:val="none"/>
          <w:lang w:val="zh-CN" w:eastAsia="zh-CN"/>
        </w:rPr>
        <w:t xml:space="preserve">：</w:t>
      </w:r>
      <w:r>
        <w:rPr>
          <w:rFonts w:ascii="宋体" w:hAnsi="宋体"/>
          <w:highlight w:val="none"/>
          <w:lang w:val="zh-CN" w:eastAsia="zh-CN"/>
        </w:rPr>
        <w:t xml:space="preserve">以上依据文件以最新的为准</w:t>
      </w:r>
      <w:r>
        <w:rPr>
          <w:rFonts w:hint="eastAsia" w:ascii="宋体" w:hAnsi="宋体"/>
          <w:highlight w:val="none"/>
          <w:lang w:val="zh-CN" w:eastAsia="zh-CN"/>
        </w:rPr>
        <w:t xml:space="preserve">。</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（9）投标报价编制要求</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b/>
          <w:bCs/>
          <w:highlight w:val="none"/>
          <w:lang w:val="zh-CN" w:eastAsia="zh-CN"/>
        </w:rPr>
      </w:pPr>
      <w:r>
        <w:rPr>
          <w:rFonts w:hint="eastAsia" w:ascii="宋体" w:hAnsi="宋体"/>
          <w:b/>
          <w:bCs/>
          <w:highlight w:val="none"/>
          <w:lang w:val="zh-CN" w:eastAsia="zh-CN"/>
        </w:rPr>
        <w:t xml:space="preserve">5）投标报价表应由</w:t>
      </w:r>
      <w:r>
        <w:rPr>
          <w:rFonts w:hint="eastAsia"/>
          <w:b/>
          <w:bCs/>
          <w:highlight w:val="none"/>
          <w:lang w:val="en-US" w:eastAsia="zh-CN"/>
        </w:rPr>
        <w:t xml:space="preserve">本专业</w:t>
      </w:r>
      <w:r>
        <w:rPr>
          <w:rFonts w:hint="eastAsia" w:ascii="宋体" w:hAnsi="宋体"/>
          <w:b/>
          <w:bCs/>
          <w:highlight w:val="none"/>
          <w:lang w:val="zh-CN" w:eastAsia="zh-CN"/>
        </w:rPr>
        <w:t xml:space="preserve">造价工程师或具备相应资格的造价编审人员签字并加盖执业资格专用章；</w:t>
      </w:r>
      <w:r/>
    </w:p>
    <w:p>
      <w:pPr>
        <w:ind w:firstLine="420"/>
        <w:spacing w:line="360" w:lineRule="auto"/>
        <w:rPr>
          <w:rFonts w:hint="eastAsia" w:ascii="宋体" w:hAnsi="宋体"/>
          <w:sz w:val="21"/>
          <w:szCs w:val="21"/>
          <w:highlight w:val="none"/>
          <w:lang w:eastAsia="zh-CN"/>
        </w:rPr>
      </w:pPr>
      <w:r>
        <w:rPr>
          <w:rFonts w:hint="eastAsia" w:ascii="宋体" w:hAnsi="宋体"/>
          <w:highlight w:val="none"/>
          <w:lang w:val="zh-CN" w:eastAsia="zh-CN"/>
        </w:rPr>
        <w:t xml:space="preserve">6）其他的相关资料。</w:t>
      </w:r>
      <w:r/>
    </w:p>
    <w:p>
      <w:pPr>
        <w:ind w:firstLine="422"/>
        <w:spacing w:line="360" w:lineRule="auto"/>
        <w:rPr>
          <w:rFonts w:hint="eastAsia" w:ascii="宋体" w:hAnsi="宋体"/>
          <w:szCs w:val="21"/>
          <w:highlight w:val="none"/>
          <w:lang w:eastAsia="zh-CN"/>
        </w:rPr>
      </w:pPr>
      <w:r>
        <w:rPr>
          <w:rFonts w:hint="eastAsia" w:ascii="宋体" w:hAnsi="宋体"/>
          <w:b/>
          <w:sz w:val="21"/>
          <w:szCs w:val="21"/>
          <w:highlight w:val="none"/>
          <w:lang w:eastAsia="zh-CN"/>
        </w:rPr>
        <w:t xml:space="preserve">10.5响应文件的其他部分。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其他部分由供应商根据编制响应文件需要提供的其他相关文件。</w:t>
      </w:r>
      <w:r/>
    </w:p>
    <w:p>
      <w:pPr>
        <w:ind w:firstLine="422"/>
        <w:spacing w:line="360" w:lineRule="auto"/>
        <w:rPr>
          <w:rFonts w:hint="eastAsia" w:ascii="宋体" w:hAnsi="宋体"/>
          <w:b/>
          <w:sz w:val="21"/>
          <w:szCs w:val="21"/>
          <w:highlight w:val="none"/>
          <w:lang w:eastAsia="zh-CN"/>
        </w:rPr>
        <w:outlineLvl w:val="1"/>
      </w:pPr>
      <w:r/>
      <w:bookmarkStart w:id="18" w:name="_Toc7114"/>
      <w:r/>
      <w:bookmarkStart w:id="19" w:name="_Toc9308"/>
      <w:r/>
      <w:bookmarkStart w:id="20" w:name="_Toc25408"/>
      <w:r/>
      <w:bookmarkStart w:id="21" w:name="_Toc28198"/>
      <w:r/>
      <w:bookmarkStart w:id="22" w:name="_Toc503338389"/>
      <w:r/>
      <w:bookmarkStart w:id="23" w:name="_Toc3868"/>
      <w:r/>
      <w:bookmarkStart w:id="24" w:name="_Toc3276"/>
      <w:r/>
      <w:bookmarkStart w:id="25" w:name="_Toc30540"/>
      <w:r/>
      <w:bookmarkStart w:id="26" w:name="_Toc9610"/>
      <w:r/>
      <w:bookmarkStart w:id="27" w:name="_Toc14815"/>
      <w:r/>
      <w:bookmarkStart w:id="28" w:name="_Toc2828"/>
      <w:r/>
      <w:bookmarkStart w:id="29" w:name="_Toc29556"/>
      <w:r/>
      <w:bookmarkStart w:id="30" w:name="_Toc1018"/>
      <w:r>
        <w:rPr>
          <w:rFonts w:hint="eastAsia" w:ascii="宋体" w:hAnsi="宋体"/>
          <w:b/>
          <w:sz w:val="21"/>
          <w:szCs w:val="21"/>
          <w:highlight w:val="none"/>
          <w:lang w:eastAsia="zh-CN"/>
        </w:rPr>
        <w:t xml:space="preserve">三、响应性文件递交</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11. 响应性文件应于规定时间内在“苏采云”政府采购交易系统网上开标大厅递交。</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12.投标截止时间后递交文件的将被拒绝。</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val="zh-CN" w:eastAsia="zh-CN"/>
        </w:rPr>
        <w:t xml:space="preserve">.</w:t>
      </w:r>
      <w:r>
        <w:rPr>
          <w:rFonts w:hint="eastAsia" w:ascii="宋体" w:hAnsi="宋体"/>
          <w:b/>
          <w:bCs/>
          <w:sz w:val="22"/>
          <w:szCs w:val="22"/>
          <w:highlight w:val="none"/>
          <w:lang w:val="zh-CN" w:eastAsia="zh-CN"/>
        </w:rPr>
        <w:t xml:space="preserve"> 诚实信用</w:t>
      </w:r>
      <w:bookmarkStart w:id="31" w:name="_Toc28875"/>
      <w:r/>
      <w:bookmarkStart w:id="32" w:name="_Toc18310"/>
      <w:r/>
      <w:bookmarkStart w:id="33" w:name="_Toc860"/>
      <w:r/>
      <w:bookmarkStart w:id="34" w:name="_Toc18423"/>
      <w:r/>
      <w:bookmarkStart w:id="35" w:name="_Toc503338390"/>
      <w:r/>
      <w:bookmarkStart w:id="36" w:name="_Toc5353"/>
      <w:r/>
      <w:bookmarkStart w:id="37" w:name="_Toc16994"/>
      <w:r/>
      <w:bookmarkStart w:id="38" w:name="_Toc12808"/>
      <w:r/>
      <w:bookmarkStart w:id="39" w:name="_Toc18191"/>
      <w:r/>
      <w:bookmarkStart w:id="40" w:name="_Toc9921"/>
      <w:r/>
      <w:bookmarkStart w:id="41" w:name="_Toc14571"/>
      <w:r/>
      <w:bookmarkStart w:id="42" w:name="_Toc739"/>
      <w:r/>
      <w:bookmarkStart w:id="43" w:name="_Toc15072"/>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.4 供应商不得虚假承诺，否则，按照提供虚假材料谋取中标成交处理。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.6违反信用承诺的法律责任</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eastAsia" w:ascii="宋体" w:hAnsi="宋体"/>
          <w:b/>
          <w:sz w:val="22"/>
          <w:szCs w:val="22"/>
          <w:highlight w:val="none"/>
          <w:lang w:eastAsia="zh-CN"/>
        </w:rPr>
        <w:outlineLvl w:val="1"/>
      </w:pPr>
      <w:r>
        <w:rPr>
          <w:rFonts w:hint="eastAsia" w:ascii="宋体" w:hAnsi="宋体"/>
          <w:b/>
          <w:sz w:val="22"/>
          <w:szCs w:val="22"/>
          <w:highlight w:val="none"/>
          <w:lang w:eastAsia="zh-CN"/>
        </w:rPr>
        <w:t xml:space="preserve">四、</w:t>
      </w:r>
      <w:bookmarkEnd w:id="31"/>
      <w:r/>
      <w:bookmarkEnd w:id="32"/>
      <w:r/>
      <w:bookmarkEnd w:id="33"/>
      <w:r/>
      <w:bookmarkEnd w:id="34"/>
      <w:r/>
      <w:bookmarkEnd w:id="35"/>
      <w:r/>
      <w:bookmarkEnd w:id="36"/>
      <w:r/>
      <w:bookmarkEnd w:id="37"/>
      <w:r>
        <w:rPr>
          <w:rFonts w:hint="eastAsia" w:ascii="宋体" w:hAnsi="宋体"/>
          <w:b/>
          <w:sz w:val="22"/>
          <w:szCs w:val="22"/>
          <w:highlight w:val="none"/>
          <w:lang w:eastAsia="zh-CN"/>
        </w:rPr>
        <w:t xml:space="preserve">磋商</w:t>
      </w:r>
      <w:bookmarkEnd w:id="38"/>
      <w:r/>
      <w:bookmarkEnd w:id="39"/>
      <w:r/>
      <w:bookmarkEnd w:id="40"/>
      <w:r/>
      <w:bookmarkEnd w:id="41"/>
      <w:r/>
      <w:bookmarkEnd w:id="42"/>
      <w:r/>
      <w:bookmarkEnd w:id="43"/>
      <w:r>
        <w:rPr>
          <w:rFonts w:hint="eastAsia" w:ascii="宋体" w:hAnsi="宋体"/>
          <w:b/>
          <w:sz w:val="22"/>
          <w:szCs w:val="22"/>
          <w:highlight w:val="none"/>
          <w:lang w:eastAsia="zh-CN"/>
        </w:rPr>
        <w:t xml:space="preserve">组织</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4</w:t>
      </w:r>
      <w:r>
        <w:rPr>
          <w:rFonts w:hint="eastAsia" w:ascii="宋体" w:hAnsi="宋体"/>
          <w:sz w:val="22"/>
          <w:szCs w:val="22"/>
          <w:highlight w:val="none"/>
          <w:lang w:eastAsia="zh-CN"/>
        </w:rPr>
        <w:t xml:space="preserve">.1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4</w:t>
      </w:r>
      <w:r>
        <w:rPr>
          <w:rFonts w:hint="eastAsia" w:ascii="宋体" w:hAnsi="宋体"/>
          <w:sz w:val="22"/>
          <w:szCs w:val="22"/>
          <w:highlight w:val="none"/>
          <w:lang w:eastAsia="zh-CN"/>
        </w:rPr>
        <w:t xml:space="preserve">. 2磋商工作由代理机构负责组织，具体磋商事务由依法组建的磋商小组负责。</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w:t>
      </w:r>
      <w:r>
        <w:rPr>
          <w:rFonts w:hint="eastAsia"/>
          <w:b/>
          <w:sz w:val="22"/>
          <w:szCs w:val="22"/>
          <w:highlight w:val="none"/>
          <w:lang w:val="en-US" w:eastAsia="zh-CN"/>
        </w:rPr>
        <w:t xml:space="preserve">5</w:t>
      </w:r>
      <w:r>
        <w:rPr>
          <w:rFonts w:hint="eastAsia" w:ascii="宋体" w:hAnsi="宋体"/>
          <w:b/>
          <w:sz w:val="22"/>
          <w:szCs w:val="22"/>
          <w:highlight w:val="none"/>
          <w:lang w:eastAsia="zh-CN"/>
        </w:rPr>
        <w:t xml:space="preserve">.磋商程序</w:t>
      </w:r>
      <w:r/>
    </w:p>
    <w:p>
      <w:pPr>
        <w:ind w:firstLine="422"/>
        <w:spacing w:line="360" w:lineRule="auto"/>
        <w:rPr>
          <w:rFonts w:hint="default" w:ascii="宋体" w:hAnsi="宋体"/>
          <w:b/>
          <w:sz w:val="22"/>
          <w:szCs w:val="22"/>
          <w:highlight w:val="none"/>
          <w:lang w:val="en-US" w:eastAsia="zh-CN"/>
        </w:rPr>
      </w:pPr>
      <w:r>
        <w:rPr>
          <w:rFonts w:hint="eastAsia"/>
          <w:b/>
          <w:sz w:val="22"/>
          <w:szCs w:val="22"/>
          <w:highlight w:val="none"/>
          <w:lang w:val="en-US" w:eastAsia="zh-CN"/>
        </w:rPr>
        <w:t xml:space="preserve">在规定的时间内对磋商文件进行解密。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16.1响应性文件初审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sz w:val="22"/>
          <w:szCs w:val="22"/>
          <w:highlight w:val="none"/>
          <w:lang w:eastAsia="zh-CN"/>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42"/>
        <w:spacing w:line="360" w:lineRule="auto"/>
        <w:rPr>
          <w:rFonts w:hint="eastAsia" w:ascii="宋体" w:hAnsi="宋体"/>
          <w:b/>
          <w:sz w:val="22"/>
          <w:szCs w:val="22"/>
          <w:highlight w:val="none"/>
          <w:lang w:eastAsia="zh-CN"/>
        </w:rPr>
      </w:pPr>
      <w:r>
        <w:rPr>
          <w:b/>
          <w:sz w:val="22"/>
          <w:szCs w:val="22"/>
          <w:highlight w:val="none"/>
          <w:lang w:eastAsia="zh-CN"/>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16</w:t>
      </w:r>
      <w:r>
        <w:rPr>
          <w:rFonts w:hint="eastAsia" w:ascii="宋体" w:hAnsi="宋体"/>
          <w:sz w:val="22"/>
          <w:szCs w:val="22"/>
          <w:highlight w:val="none"/>
          <w:lang w:eastAsia="zh-CN"/>
        </w:rPr>
        <w:t xml:space="preserve">.3</w:t>
      </w:r>
      <w:r>
        <w:rPr>
          <w:rFonts w:ascii="宋体" w:hAnsi="宋体"/>
          <w:sz w:val="22"/>
          <w:szCs w:val="22"/>
          <w:highlight w:val="none"/>
          <w:lang w:val="zh-CN" w:eastAsia="zh-CN"/>
        </w:rPr>
        <w:t xml:space="preserve"> 磋商小组所有成员集中与单一供应商分别就竞争性磋商采购项目的技术、商务和价格进行磋商，磋商的轮次由磋商小组决定。</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16</w:t>
      </w:r>
      <w:r>
        <w:rPr>
          <w:rFonts w:ascii="宋体" w:hAnsi="宋体"/>
          <w:sz w:val="22"/>
          <w:szCs w:val="22"/>
          <w:highlight w:val="none"/>
          <w:lang w:val="zh-CN" w:eastAsia="zh-CN"/>
        </w:rPr>
        <w:t xml:space="preserve">.4 磋商小组制定一个符合采购人要求的最优方案，或直接根据响应性文件要求所有供应商在规定时间内作最后报价。</w:t>
      </w:r>
      <w:r>
        <w:rPr>
          <w:rFonts w:hint="eastAsia" w:ascii="宋体" w:hAnsi="宋体"/>
          <w:sz w:val="22"/>
          <w:szCs w:val="22"/>
          <w:highlight w:val="none"/>
          <w:lang w:val="zh-CN" w:eastAsia="zh-CN"/>
        </w:rPr>
        <w:t xml:space="preserve">最后报价是供应商响应文件的有效组成部分。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16.5 已提交响应文件的供应商，在提交最后报价之前，可以根据磋商情况退出磋商。</w:t>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16.6 出现下列情形之一的磋商响应文件按照无效处理：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（1）不具备竞争性磋商文件中规定资格条件的；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（2）未实质性响应采购文件要求的；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（3）报价低于完成本项目发生的所有含税费用、支付给员工的工资（不得低于供应商所在地最低工资标准）和国家强制缴纳的各种社会保障资金、公积金，以及供应商认为需要的其他费用等；磋商小组</w:t>
      </w:r>
      <w:r>
        <w:rPr>
          <w:rFonts w:hint="eastAsia" w:ascii="宋体" w:hAnsi="宋体"/>
          <w:sz w:val="22"/>
          <w:szCs w:val="22"/>
          <w:highlight w:val="none"/>
          <w:lang w:eastAsia="zh-CN"/>
        </w:rPr>
        <w:t xml:space="preserve">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（4）不符合法律、法规和竞争性磋商文件规定的其他实质性要求的。</w:t>
      </w:r>
      <w:bookmarkStart w:id="44" w:name="_Toc450643042"/>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16.7出现下列情形之一的磋商终止，无成交供应商：</w:t>
      </w:r>
      <w:bookmarkEnd w:id="44"/>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（1）因情况变化，不再符合规定的竞争性磋商采购方式适用情形的；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（2）所有供应商的响应文件被磋商小组认定为无效的；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（3）出现影响采购公正的违法、违规行为的；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（4）因重大变故，采购任务取消的；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（5）采购人需求发生重大变化暂时不能确定或供应商提供的货物和服务不能满足需求等。</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（6）预留份额的采购项目或采购包，通过发布公告方式邀请供应商后，符合资格条件的中小企业数量不足 3 家的。</w:t>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17</w:t>
      </w:r>
      <w:r>
        <w:rPr>
          <w:rFonts w:ascii="宋体" w:hAnsi="宋体"/>
          <w:b/>
          <w:sz w:val="22"/>
          <w:szCs w:val="22"/>
          <w:highlight w:val="none"/>
          <w:lang w:val="zh-CN" w:eastAsia="zh-CN"/>
        </w:rPr>
        <w:t xml:space="preserve">、</w:t>
      </w:r>
      <w:r>
        <w:rPr>
          <w:rFonts w:ascii="宋体" w:hAnsi="宋体"/>
          <w:b/>
          <w:bCs/>
          <w:sz w:val="22"/>
          <w:szCs w:val="22"/>
          <w:highlight w:val="none"/>
          <w:lang w:val="zh-CN" w:eastAsia="zh-CN"/>
        </w:rPr>
        <w:t xml:space="preserve">评分方法和标准。</w:t>
      </w:r>
      <w:r/>
    </w:p>
    <w:p>
      <w:pPr>
        <w:ind w:firstLine="420"/>
        <w:spacing w:line="360" w:lineRule="auto"/>
        <w:widowControl w:val="off"/>
        <w:rPr>
          <w:rFonts w:hint="eastAsia" w:ascii="宋体" w:hAnsi="宋体"/>
          <w:sz w:val="22"/>
          <w:szCs w:val="22"/>
          <w:highlight w:val="none"/>
          <w:lang w:val="zh-CN" w:eastAsia="zh-CN"/>
        </w:rPr>
      </w:pPr>
      <w:r>
        <w:rPr>
          <w:rFonts w:hint="eastAsia" w:ascii="宋体" w:hAnsi="宋体"/>
          <w:bCs/>
          <w:sz w:val="22"/>
          <w:szCs w:val="22"/>
          <w:highlight w:val="none"/>
          <w:lang w:val="zh-CN" w:eastAsia="zh-CN"/>
        </w:rPr>
        <w:t xml:space="preserve">17</w:t>
      </w:r>
      <w:r>
        <w:rPr>
          <w:rFonts w:ascii="宋体" w:hAnsi="宋体"/>
          <w:bCs/>
          <w:sz w:val="22"/>
          <w:szCs w:val="22"/>
          <w:highlight w:val="none"/>
          <w:lang w:val="zh-CN" w:eastAsia="zh-CN"/>
        </w:rPr>
        <w:t xml:space="preserve">.1 </w:t>
      </w:r>
      <w:r>
        <w:rPr>
          <w:rFonts w:ascii="宋体" w:hAnsi="宋体"/>
          <w:sz w:val="22"/>
          <w:szCs w:val="22"/>
          <w:highlight w:val="none"/>
          <w:lang w:val="zh-CN" w:eastAsia="zh-CN"/>
        </w:rPr>
        <w:t xml:space="preserve">采用综合评分法。</w:t>
      </w:r>
      <w:r>
        <w:rPr>
          <w:rFonts w:hint="eastAsia" w:ascii="宋体" w:hAnsi="宋体"/>
          <w:sz w:val="22"/>
          <w:szCs w:val="22"/>
          <w:highlight w:val="none"/>
          <w:lang w:val="zh-CN" w:eastAsia="zh-CN"/>
        </w:rPr>
        <w:t xml:space="preserve">即在最大限度地满足竞争性磋商文件实质性要求前提下，按照磋商文件中规定的各项因素及诚信记录进行综合评审后，以评审总得分最高的供应商作为成交候选供应商或者成交供应商的评审方法。</w:t>
      </w:r>
      <w:r/>
    </w:p>
    <w:p>
      <w:pPr>
        <w:ind w:firstLine="420"/>
        <w:spacing w:line="360" w:lineRule="auto"/>
        <w:rPr>
          <w:rFonts w:hint="eastAsia" w:ascii="宋体" w:hAnsi="宋体"/>
          <w:sz w:val="22"/>
          <w:szCs w:val="22"/>
          <w:highlight w:val="none"/>
          <w:lang w:val="zh-CN" w:eastAsia="zh-CN"/>
        </w:rPr>
      </w:pPr>
      <w:r>
        <w:rPr>
          <w:rFonts w:hint="eastAsia" w:ascii="宋体" w:hAnsi="宋体"/>
          <w:bCs/>
          <w:sz w:val="22"/>
          <w:szCs w:val="22"/>
          <w:highlight w:val="none"/>
          <w:lang w:val="zh-CN" w:eastAsia="zh-CN"/>
        </w:rPr>
        <w:t xml:space="preserve">17</w:t>
      </w:r>
      <w:r>
        <w:rPr>
          <w:rFonts w:ascii="宋体" w:hAnsi="宋体"/>
          <w:bCs/>
          <w:sz w:val="22"/>
          <w:szCs w:val="22"/>
          <w:highlight w:val="none"/>
          <w:lang w:val="zh-CN" w:eastAsia="zh-CN"/>
        </w:rPr>
        <w:t xml:space="preserve">.2 </w:t>
      </w:r>
      <w:r>
        <w:rPr>
          <w:rFonts w:ascii="宋体" w:hAnsi="宋体"/>
          <w:sz w:val="22"/>
          <w:szCs w:val="22"/>
          <w:highlight w:val="none"/>
          <w:lang w:val="zh-CN" w:eastAsia="zh-CN"/>
        </w:rPr>
        <w:t xml:space="preserve">综合评分的主要因素是：</w:t>
      </w:r>
      <w:r>
        <w:rPr>
          <w:rFonts w:hint="eastAsia" w:ascii="宋体" w:hAnsi="宋体"/>
          <w:sz w:val="22"/>
          <w:szCs w:val="22"/>
          <w:highlight w:val="none"/>
          <w:lang w:val="zh-CN" w:eastAsia="zh-CN"/>
        </w:rPr>
        <w:t xml:space="preserve">价格、业绩、</w:t>
      </w:r>
      <w:r>
        <w:rPr>
          <w:rFonts w:hint="eastAsia"/>
          <w:sz w:val="22"/>
          <w:szCs w:val="22"/>
          <w:highlight w:val="none"/>
          <w:lang w:val="en-US" w:eastAsia="zh-CN"/>
        </w:rPr>
        <w:t xml:space="preserve">综合实力</w:t>
      </w:r>
      <w:r>
        <w:rPr>
          <w:rFonts w:hint="eastAsia" w:ascii="宋体" w:hAnsi="宋体"/>
          <w:sz w:val="22"/>
          <w:szCs w:val="22"/>
          <w:highlight w:val="none"/>
          <w:lang w:val="zh-CN" w:eastAsia="zh-CN"/>
        </w:rPr>
        <w:t xml:space="preserve">等，具体详见</w:t>
      </w:r>
      <w:r>
        <w:rPr>
          <w:rFonts w:ascii="宋体" w:hAnsi="宋体"/>
          <w:b/>
          <w:sz w:val="22"/>
          <w:szCs w:val="22"/>
          <w:highlight w:val="none"/>
          <w:lang w:eastAsia="zh-CN"/>
        </w:rPr>
        <w:t xml:space="preserve">评分标准</w:t>
      </w:r>
      <w:r>
        <w:rPr>
          <w:rFonts w:hint="eastAsia" w:ascii="宋体" w:hAnsi="宋体"/>
          <w:sz w:val="22"/>
          <w:szCs w:val="22"/>
          <w:highlight w:val="none"/>
          <w:lang w:val="zh-CN" w:eastAsia="zh-CN"/>
        </w:rPr>
        <w:t xml:space="preserve">。</w:t>
      </w:r>
      <w:r/>
    </w:p>
    <w:p>
      <w:pPr>
        <w:ind w:firstLine="422"/>
        <w:spacing w:line="360" w:lineRule="auto"/>
        <w:rPr>
          <w:rFonts w:hint="eastAsia" w:ascii="宋体" w:hAnsi="宋体"/>
          <w:b/>
          <w:sz w:val="22"/>
          <w:szCs w:val="22"/>
          <w:highlight w:val="none"/>
          <w:lang w:eastAsia="zh-CN"/>
        </w:rPr>
        <w:outlineLvl w:val="1"/>
      </w:pPr>
      <w:r/>
      <w:bookmarkStart w:id="45" w:name="_Toc1911"/>
      <w:r/>
      <w:bookmarkStart w:id="46" w:name="_Toc31192"/>
      <w:r/>
      <w:bookmarkStart w:id="47" w:name="_Toc639"/>
      <w:r/>
      <w:bookmarkStart w:id="48" w:name="_Toc13872"/>
      <w:r/>
      <w:bookmarkStart w:id="49" w:name="_Toc32339"/>
      <w:r/>
      <w:bookmarkStart w:id="50" w:name="_Toc6256"/>
      <w:r/>
      <w:bookmarkStart w:id="51" w:name="_Toc1898"/>
      <w:r/>
      <w:bookmarkStart w:id="52" w:name="_Toc1346"/>
      <w:r/>
      <w:bookmarkStart w:id="53" w:name="_Toc31659"/>
      <w:r/>
      <w:bookmarkStart w:id="54" w:name="_Toc30851"/>
      <w:r/>
      <w:bookmarkStart w:id="55" w:name="_Toc18780"/>
      <w:r/>
      <w:bookmarkStart w:id="56" w:name="_Toc26445"/>
      <w:r/>
      <w:bookmarkStart w:id="57" w:name="_Toc503338391"/>
      <w:r>
        <w:rPr>
          <w:rFonts w:hint="eastAsia" w:ascii="宋体" w:hAnsi="宋体"/>
          <w:b/>
          <w:sz w:val="22"/>
          <w:szCs w:val="22"/>
          <w:highlight w:val="none"/>
          <w:lang w:eastAsia="zh-CN"/>
        </w:rPr>
        <w:t xml:space="preserve">五、无效磋商响应文件</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18.出现下列情形之一的供应商磋商响应文件按照无效处理：</w:t>
      </w:r>
      <w:r/>
    </w:p>
    <w:p>
      <w:pPr>
        <w:ind w:firstLine="420"/>
        <w:spacing w:line="360" w:lineRule="auto"/>
        <w:rPr>
          <w:rFonts w:hint="eastAsia" w:ascii="宋体" w:hAnsi="宋体"/>
          <w:sz w:val="22"/>
          <w:szCs w:val="22"/>
          <w:highlight w:val="none"/>
          <w:lang w:val="zh-CN" w:eastAsia="zh-CN"/>
        </w:rPr>
      </w:pPr>
      <w:r/>
      <w:bookmarkStart w:id="58" w:name="_Toc12421"/>
      <w:r/>
      <w:bookmarkStart w:id="59" w:name="_Toc30663"/>
      <w:r/>
      <w:bookmarkStart w:id="60" w:name="_Toc20997"/>
      <w:r/>
      <w:bookmarkStart w:id="61" w:name="_Toc503338392"/>
      <w:r/>
      <w:bookmarkStart w:id="62" w:name="_Toc26095"/>
      <w:r/>
      <w:bookmarkStart w:id="63" w:name="_Toc3994"/>
      <w:r/>
      <w:bookmarkStart w:id="64" w:name="_Toc17634"/>
      <w:r/>
      <w:bookmarkStart w:id="65" w:name="_Toc32100"/>
      <w:r/>
      <w:bookmarkStart w:id="66" w:name="_Toc8320"/>
      <w:r/>
      <w:bookmarkStart w:id="67" w:name="_Toc27412"/>
      <w:r/>
      <w:bookmarkStart w:id="68" w:name="_Toc10792"/>
      <w:r/>
      <w:bookmarkStart w:id="69" w:name="_Toc9400"/>
      <w:r/>
      <w:bookmarkStart w:id="70" w:name="_Toc693"/>
      <w:r>
        <w:rPr>
          <w:rFonts w:hint="eastAsia" w:ascii="宋体" w:hAnsi="宋体"/>
          <w:sz w:val="22"/>
          <w:szCs w:val="22"/>
          <w:highlight w:val="none"/>
          <w:lang w:val="zh-CN" w:eastAsia="zh-CN"/>
        </w:rPr>
        <w:t xml:space="preserve">（1）未按磋商文件规定签署、盖章的；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（2）不具备磋商文件规定资格条件的；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（4）未实质性响应磋商文件要求的；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（5）未提交《南京市政府采购供应商信用记录表暨信用承诺书》；</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（6）属于磋商文件中拒绝参加本次采购活动供应商的；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（7）没有详细阐述实施方案，而是直接拷贝磋商文件需求的；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（9）供应商第一次报价、或最终报价超过采购预算限价的；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（10）投标文件中已标价工程量清单与招标文件规定的暂估价、暂列金额及甲供材料价格不一致的；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（13）投标文件载明的招标项目完成期限超过招标文件规定的期限的；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（14）施工组织设计(施工方案)未按采购文件要求编制、或者存在明显技术方案错误、或者明显不符合技术规范、技术标准的要求的；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（15）投标文件关键内容模糊、无法辨认的；</w:t>
      </w:r>
      <w:r/>
    </w:p>
    <w:p>
      <w:pPr>
        <w:ind w:firstLine="420"/>
        <w:spacing w:line="360" w:lineRule="auto"/>
        <w:rPr>
          <w:rFonts w:hint="eastAsia" w:ascii="宋体" w:hAnsi="宋体"/>
          <w:sz w:val="22"/>
          <w:szCs w:val="22"/>
          <w:highlight w:val="none"/>
          <w:lang w:val="zh-CN" w:eastAsia="zh-CN"/>
        </w:rPr>
      </w:pPr>
      <w:r/>
      <w:bookmarkStart w:id="71" w:name="_Toc109031934"/>
      <w:r>
        <w:rPr>
          <w:rFonts w:hint="eastAsia" w:ascii="宋体" w:hAnsi="宋体"/>
          <w:sz w:val="22"/>
          <w:szCs w:val="22"/>
          <w:highlight w:val="none"/>
          <w:lang w:val="zh-CN" w:eastAsia="zh-CN"/>
        </w:rPr>
        <w:t xml:space="preserve">（16）</w:t>
      </w:r>
      <w:r>
        <w:rPr>
          <w:rFonts w:ascii="宋体" w:hAnsi="宋体"/>
          <w:sz w:val="22"/>
          <w:szCs w:val="22"/>
          <w:highlight w:val="none"/>
          <w:lang w:val="zh-CN" w:eastAsia="zh-CN"/>
        </w:rPr>
        <w:t xml:space="preserve">不同供应商的磋商响应文件出现了不应当雷同的情况的；</w:t>
      </w:r>
      <w:bookmarkEnd w:id="71"/>
      <w:r/>
      <w:r/>
    </w:p>
    <w:p>
      <w:pPr>
        <w:ind w:firstLine="420"/>
        <w:spacing w:line="360" w:lineRule="auto"/>
        <w:rPr>
          <w:rFonts w:hint="eastAsia" w:ascii="宋体" w:hAnsi="宋体"/>
          <w:sz w:val="22"/>
          <w:szCs w:val="22"/>
          <w:highlight w:val="none"/>
          <w:lang w:val="zh-CN" w:eastAsia="zh-CN"/>
        </w:rPr>
      </w:pPr>
      <w:r/>
      <w:bookmarkStart w:id="72" w:name="_Toc109031935"/>
      <w:r>
        <w:rPr>
          <w:rFonts w:hint="eastAsia" w:ascii="宋体" w:hAnsi="宋体"/>
          <w:sz w:val="22"/>
          <w:szCs w:val="22"/>
          <w:highlight w:val="none"/>
          <w:lang w:val="zh-CN" w:eastAsia="zh-CN"/>
        </w:rPr>
        <w:t xml:space="preserve">（17）</w:t>
      </w:r>
      <w:r>
        <w:rPr>
          <w:rFonts w:ascii="宋体" w:hAnsi="宋体"/>
          <w:sz w:val="22"/>
          <w:szCs w:val="22"/>
          <w:highlight w:val="none"/>
          <w:lang w:val="zh-CN" w:eastAsia="zh-CN"/>
        </w:rPr>
        <w:t xml:space="preserve">以他人的名义投标、串通投标、以行贿手段谋取中标或者以其他弄虚作假方式投标的；</w:t>
      </w:r>
      <w:bookmarkEnd w:id="72"/>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（18）电子版响应文件不符合磋商文件规定的。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（19）不符合法律、法规和磋商文件规定的其他实质性要求的。</w:t>
      </w:r>
      <w:r/>
    </w:p>
    <w:p>
      <w:pPr>
        <w:ind w:firstLine="422"/>
        <w:spacing w:line="360" w:lineRule="auto"/>
        <w:rPr>
          <w:rFonts w:hint="eastAsia" w:ascii="宋体" w:hAnsi="宋体"/>
          <w:b/>
          <w:sz w:val="22"/>
          <w:szCs w:val="22"/>
          <w:highlight w:val="none"/>
          <w:lang w:eastAsia="zh-CN"/>
        </w:rPr>
        <w:outlineLvl w:val="1"/>
      </w:pPr>
      <w:r>
        <w:rPr>
          <w:rFonts w:hint="eastAsia" w:ascii="宋体" w:hAnsi="宋体"/>
          <w:b/>
          <w:sz w:val="22"/>
          <w:szCs w:val="22"/>
          <w:highlight w:val="none"/>
          <w:lang w:eastAsia="zh-CN"/>
        </w:rPr>
        <w:t xml:space="preserve">六、成交及合同授予</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ind w:firstLine="422"/>
        <w:spacing w:line="360" w:lineRule="auto"/>
        <w:rPr>
          <w:rFonts w:hint="eastAsia" w:ascii="宋体" w:hAnsi="宋体"/>
          <w:b/>
          <w:sz w:val="22"/>
          <w:szCs w:val="22"/>
          <w:highlight w:val="none"/>
          <w:lang w:eastAsia="zh-CN"/>
        </w:rPr>
        <w:outlineLvl w:val="1"/>
      </w:pPr>
      <w:r>
        <w:rPr>
          <w:rFonts w:hint="eastAsia" w:ascii="宋体" w:hAnsi="宋体"/>
          <w:b/>
          <w:bCs/>
          <w:sz w:val="22"/>
          <w:szCs w:val="22"/>
          <w:highlight w:val="none"/>
          <w:lang w:val="zh-CN" w:eastAsia="zh-CN"/>
        </w:rPr>
        <w:t xml:space="preserve">19</w:t>
      </w:r>
      <w:r>
        <w:rPr>
          <w:rFonts w:ascii="宋体" w:hAnsi="宋体"/>
          <w:b/>
          <w:bCs/>
          <w:sz w:val="22"/>
          <w:szCs w:val="22"/>
          <w:highlight w:val="none"/>
          <w:lang w:val="zh-CN" w:eastAsia="zh-CN"/>
        </w:rPr>
        <w:t xml:space="preserve">、确定成交供应商</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.1综合比较与评价后按照得分高低顺序对供应商进行排列。</w:t>
      </w:r>
      <w:r>
        <w:rPr>
          <w:rFonts w:ascii="宋体" w:hAnsi="宋体"/>
          <w:sz w:val="22"/>
          <w:szCs w:val="22"/>
          <w:highlight w:val="none"/>
          <w:lang w:eastAsia="zh-CN"/>
        </w:rPr>
        <w:t xml:space="preserve">得分相同的，按磋商报价由低到高顺序排列。得分且磋商报价相同的，按技术指标优劣顺序排列。</w:t>
      </w:r>
      <w:r>
        <w:rPr>
          <w:rFonts w:hint="eastAsia" w:ascii="宋体" w:hAnsi="宋体"/>
          <w:b/>
          <w:sz w:val="22"/>
          <w:szCs w:val="22"/>
          <w:highlight w:val="none"/>
          <w:lang w:val="zh-CN" w:eastAsia="zh-CN"/>
        </w:rPr>
        <w:t xml:space="preserve">磋商小组直接确定排名第一的成交候选人为成交供应商</w:t>
      </w:r>
      <w:r>
        <w:rPr>
          <w:rFonts w:ascii="宋体" w:hAnsi="宋体"/>
          <w:b/>
          <w:sz w:val="22"/>
          <w:szCs w:val="22"/>
          <w:highlight w:val="none"/>
          <w:lang w:val="zh-CN" w:eastAsia="zh-CN"/>
        </w:rPr>
        <w:t xml:space="preserve">。</w:t>
      </w:r>
      <w:r>
        <w:rPr>
          <w:rFonts w:ascii="宋体" w:hAnsi="宋体"/>
          <w:sz w:val="22"/>
          <w:szCs w:val="22"/>
          <w:highlight w:val="none"/>
          <w:lang w:eastAsia="zh-CN"/>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.2 成交供应商确定后，将在原采购公告发布媒体上发布公告，向成交供应商发出成交通知书。</w:t>
      </w:r>
      <w:r>
        <w:rPr>
          <w:rFonts w:ascii="宋体" w:hAnsi="宋体"/>
          <w:sz w:val="22"/>
          <w:szCs w:val="22"/>
          <w:highlight w:val="none"/>
          <w:lang w:eastAsia="zh-CN"/>
        </w:rPr>
        <w:t xml:space="preserve">成交供应商应按成交通知书规定的时间、地点与采购单位签订政府采购合同。</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.3 成交通知书对采购人和成交供应商具有同等法律效力。</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.4 </w:t>
      </w:r>
      <w:r>
        <w:rPr>
          <w:rFonts w:ascii="宋体" w:hAnsi="宋体"/>
          <w:sz w:val="22"/>
          <w:szCs w:val="22"/>
          <w:highlight w:val="none"/>
          <w:lang w:eastAsia="zh-CN"/>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.5 </w:t>
      </w:r>
      <w:r>
        <w:rPr>
          <w:rFonts w:ascii="宋体" w:hAnsi="宋体"/>
          <w:b/>
          <w:sz w:val="22"/>
          <w:szCs w:val="22"/>
          <w:highlight w:val="none"/>
          <w:lang w:eastAsia="zh-CN"/>
        </w:rPr>
        <w:t xml:space="preserve">成交通知书发出后，成交供应商除发生法律规定的不能预见、不能避免并不能克服的客观情况外不得放弃或拒绝签订合同的。放弃或拒绝签订合同的</w:t>
      </w:r>
      <w:r>
        <w:rPr>
          <w:rFonts w:hint="eastAsia" w:ascii="宋体" w:hAnsi="宋体"/>
          <w:b/>
          <w:sz w:val="22"/>
          <w:szCs w:val="22"/>
          <w:highlight w:val="none"/>
          <w:lang w:eastAsia="zh-CN"/>
        </w:rPr>
        <w:t xml:space="preserve">，</w:t>
      </w:r>
      <w:r>
        <w:rPr>
          <w:rFonts w:ascii="宋体" w:hAnsi="宋体"/>
          <w:b/>
          <w:sz w:val="22"/>
          <w:szCs w:val="22"/>
          <w:highlight w:val="none"/>
          <w:lang w:eastAsia="zh-CN"/>
        </w:rPr>
        <w:t xml:space="preserve">情节严重的财政部门将其列入不良行为名单，在一至三年内不得参加政府采购活动。</w:t>
      </w:r>
      <w:r>
        <w:rPr>
          <w:rFonts w:hint="eastAsia" w:ascii="宋体" w:hAnsi="宋体"/>
          <w:b/>
          <w:sz w:val="22"/>
          <w:szCs w:val="22"/>
          <w:highlight w:val="none"/>
          <w:lang w:eastAsia="zh-CN"/>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.6 </w:t>
      </w:r>
      <w:r>
        <w:rPr>
          <w:rFonts w:hint="eastAsia" w:ascii="宋体" w:hAnsi="宋体"/>
          <w:sz w:val="22"/>
          <w:szCs w:val="22"/>
          <w:highlight w:val="none"/>
          <w:lang w:eastAsia="zh-CN"/>
        </w:rPr>
        <w:t xml:space="preserve">代理机构</w:t>
      </w:r>
      <w:r>
        <w:rPr>
          <w:rFonts w:ascii="宋体" w:hAnsi="宋体"/>
          <w:sz w:val="22"/>
          <w:szCs w:val="22"/>
          <w:highlight w:val="none"/>
          <w:lang w:eastAsia="zh-CN"/>
        </w:rPr>
        <w:t xml:space="preserve">对未成交的供应商不作未成交原因的解释。</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.7 所有磋商响应文件都将作为档案保存，不论成交与否，均不退回。</w:t>
      </w:r>
      <w:r/>
    </w:p>
    <w:p>
      <w:pPr>
        <w:ind w:firstLine="413"/>
        <w:spacing w:line="360" w:lineRule="auto"/>
        <w:rPr>
          <w:rFonts w:hint="eastAsia" w:ascii="宋体" w:hAnsi="宋体"/>
          <w:b/>
          <w:sz w:val="22"/>
          <w:szCs w:val="22"/>
          <w:highlight w:val="none"/>
          <w:lang w:eastAsia="zh-CN"/>
        </w:rPr>
      </w:pPr>
      <w:r>
        <w:rPr>
          <w:rFonts w:hint="eastAsia" w:ascii="宋体" w:hAnsi="宋体"/>
          <w:b/>
          <w:sz w:val="22"/>
          <w:szCs w:val="22"/>
          <w:highlight w:val="none"/>
          <w:lang w:val="zh-CN" w:eastAsia="zh-CN"/>
        </w:rPr>
        <w:t xml:space="preserve">20</w:t>
      </w:r>
      <w:r>
        <w:rPr>
          <w:rFonts w:ascii="宋体" w:hAnsi="宋体"/>
          <w:b/>
          <w:bCs/>
          <w:sz w:val="22"/>
          <w:szCs w:val="22"/>
          <w:highlight w:val="none"/>
          <w:lang w:val="zh-CN" w:eastAsia="zh-CN"/>
        </w:rPr>
        <w:t xml:space="preserve">、</w:t>
      </w:r>
      <w:r>
        <w:rPr>
          <w:rFonts w:ascii="宋体" w:hAnsi="宋体"/>
          <w:b/>
          <w:sz w:val="22"/>
          <w:szCs w:val="22"/>
          <w:highlight w:val="none"/>
          <w:lang w:eastAsia="zh-CN"/>
        </w:rPr>
        <w:t xml:space="preserve">编写磋商（评审）报告</w:t>
      </w:r>
      <w:r/>
    </w:p>
    <w:p>
      <w:pPr>
        <w:ind w:firstLine="412"/>
        <w:spacing w:line="360" w:lineRule="auto"/>
        <w:rPr>
          <w:rFonts w:hint="eastAsia" w:ascii="宋体" w:hAnsi="宋体"/>
          <w:b/>
          <w:sz w:val="22"/>
          <w:szCs w:val="22"/>
          <w:highlight w:val="none"/>
          <w:lang w:eastAsia="zh-CN"/>
        </w:rPr>
      </w:pPr>
      <w:r>
        <w:rPr>
          <w:rFonts w:ascii="宋体" w:hAnsi="宋体"/>
          <w:sz w:val="22"/>
          <w:szCs w:val="22"/>
          <w:highlight w:val="none"/>
          <w:lang w:eastAsia="zh-CN"/>
        </w:rPr>
        <w:t xml:space="preserve">磋商小组根据磋商过程和结果编写磋商（评审）报告。</w:t>
      </w:r>
      <w:bookmarkStart w:id="73" w:name="_Toc504141741"/>
      <w:r/>
      <w:bookmarkStart w:id="74" w:name="_Toc4206"/>
      <w:r/>
      <w:r/>
    </w:p>
    <w:p>
      <w:pPr>
        <w:ind w:firstLine="413"/>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21</w:t>
      </w:r>
      <w:r>
        <w:rPr>
          <w:rFonts w:ascii="宋体" w:hAnsi="宋体"/>
          <w:b/>
          <w:sz w:val="22"/>
          <w:szCs w:val="22"/>
          <w:highlight w:val="none"/>
          <w:lang w:val="zh-CN" w:eastAsia="zh-CN"/>
        </w:rPr>
        <w:t xml:space="preserve">、</w:t>
      </w:r>
      <w:r>
        <w:rPr>
          <w:rFonts w:ascii="宋体" w:hAnsi="宋体"/>
          <w:b/>
          <w:bCs/>
          <w:sz w:val="22"/>
          <w:szCs w:val="22"/>
          <w:highlight w:val="none"/>
          <w:lang w:val="zh-CN" w:eastAsia="zh-CN"/>
        </w:rPr>
        <w:t xml:space="preserve">签订合同</w:t>
      </w:r>
      <w:bookmarkEnd w:id="73"/>
      <w:r/>
      <w:bookmarkEnd w:id="74"/>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21</w:t>
      </w:r>
      <w:r>
        <w:rPr>
          <w:rFonts w:ascii="宋体" w:hAnsi="宋体"/>
          <w:sz w:val="22"/>
          <w:szCs w:val="22"/>
          <w:highlight w:val="none"/>
          <w:lang w:val="zh-CN" w:eastAsia="zh-CN"/>
        </w:rPr>
        <w:t xml:space="preserve">.</w:t>
      </w:r>
      <w:r>
        <w:rPr>
          <w:rFonts w:ascii="宋体" w:hAnsi="宋体"/>
          <w:sz w:val="22"/>
          <w:szCs w:val="22"/>
          <w:highlight w:val="none"/>
          <w:lang w:eastAsia="zh-CN"/>
        </w:rPr>
        <w:t xml:space="preserve">1 </w:t>
      </w:r>
      <w:r>
        <w:rPr>
          <w:rFonts w:hint="eastAsia" w:ascii="宋体" w:hAnsi="宋体"/>
          <w:sz w:val="22"/>
          <w:szCs w:val="22"/>
          <w:highlight w:val="none"/>
          <w:lang w:eastAsia="zh-CN"/>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sz w:val="22"/>
          <w:szCs w:val="22"/>
          <w:highlight w:val="none"/>
          <w:lang w:eastAsia="zh-CN"/>
        </w:rPr>
      </w:pPr>
      <w:r>
        <w:rPr>
          <w:rFonts w:ascii="宋体" w:hAnsi="宋体"/>
          <w:sz w:val="22"/>
          <w:szCs w:val="22"/>
          <w:highlight w:val="none"/>
          <w:lang w:eastAsia="zh-CN"/>
        </w:rPr>
        <w:t xml:space="preserve">2</w:t>
      </w:r>
      <w:r>
        <w:rPr>
          <w:rFonts w:hint="eastAsia" w:ascii="宋体" w:hAnsi="宋体"/>
          <w:sz w:val="22"/>
          <w:szCs w:val="22"/>
          <w:highlight w:val="none"/>
          <w:lang w:eastAsia="zh-CN"/>
        </w:rPr>
        <w:t xml:space="preserve">1</w:t>
      </w:r>
      <w:r>
        <w:rPr>
          <w:rFonts w:ascii="宋体" w:hAnsi="宋体"/>
          <w:sz w:val="22"/>
          <w:szCs w:val="22"/>
          <w:highlight w:val="none"/>
          <w:lang w:val="zh-CN" w:eastAsia="zh-CN"/>
        </w:rPr>
        <w:t xml:space="preserve">.2 </w:t>
      </w:r>
      <w:r>
        <w:rPr>
          <w:rFonts w:hint="eastAsia" w:ascii="宋体" w:hAnsi="宋体"/>
          <w:sz w:val="22"/>
          <w:szCs w:val="22"/>
          <w:highlight w:val="none"/>
          <w:lang w:eastAsia="zh-CN"/>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sz w:val="22"/>
          <w:szCs w:val="22"/>
          <w:highlight w:val="none"/>
          <w:lang w:eastAsia="zh-CN"/>
        </w:rPr>
        <w:outlineLvl w:val="1"/>
      </w:pPr>
      <w:r/>
      <w:bookmarkStart w:id="75" w:name="_Toc10909"/>
      <w:r/>
      <w:bookmarkStart w:id="76" w:name="_Toc5975"/>
      <w:r/>
      <w:bookmarkStart w:id="77" w:name="_Toc4854"/>
      <w:r/>
      <w:bookmarkStart w:id="78" w:name="_Toc27456"/>
      <w:r/>
      <w:bookmarkStart w:id="79" w:name="_Toc22879"/>
      <w:r/>
      <w:bookmarkStart w:id="80" w:name="_Toc503338394"/>
      <w:r/>
      <w:bookmarkStart w:id="81" w:name="_Toc24532"/>
      <w:r/>
      <w:bookmarkStart w:id="82" w:name="_Toc28938"/>
      <w:r/>
      <w:bookmarkStart w:id="83" w:name="_Toc32425"/>
      <w:r/>
      <w:bookmarkStart w:id="84" w:name="_Toc16598"/>
      <w:r/>
      <w:bookmarkStart w:id="85" w:name="_Toc19419"/>
      <w:r/>
      <w:bookmarkStart w:id="86" w:name="_Toc22528"/>
      <w:r/>
      <w:bookmarkStart w:id="87" w:name="_Toc31335"/>
      <w:r>
        <w:rPr>
          <w:rFonts w:hint="eastAsia" w:ascii="宋体" w:hAnsi="宋体"/>
          <w:b/>
          <w:sz w:val="22"/>
          <w:szCs w:val="22"/>
          <w:highlight w:val="none"/>
          <w:lang w:eastAsia="zh-CN"/>
        </w:rPr>
        <w:t xml:space="preserve">七、</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b/>
          <w:sz w:val="22"/>
          <w:szCs w:val="22"/>
          <w:highlight w:val="none"/>
          <w:lang w:eastAsia="zh-CN"/>
        </w:rPr>
        <w:t xml:space="preserve">询问、质疑、投诉和诚实信用</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22、询问</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23、质疑</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23.1 供应商认为采购文件、采购过程和成交结果使自己的合法权益受到损害的，可以在知道或者应当知道其权益受到损害之日起七个工作日内，向采购人或采购代理机构提出询问，并</w:t>
      </w:r>
      <w:r>
        <w:rPr>
          <w:rFonts w:hint="eastAsia" w:ascii="宋体" w:hAnsi="宋体"/>
          <w:sz w:val="22"/>
          <w:szCs w:val="22"/>
          <w:highlight w:val="none"/>
          <w:lang w:eastAsia="zh-CN"/>
        </w:rPr>
        <w:t xml:space="preserve">将质疑文件原件送达</w:t>
      </w:r>
      <w:r>
        <w:rPr>
          <w:rFonts w:hint="eastAsia" w:ascii="宋体" w:hAnsi="宋体"/>
          <w:sz w:val="22"/>
          <w:szCs w:val="22"/>
          <w:highlight w:val="none"/>
          <w:lang w:val="zh-CN" w:eastAsia="zh-CN"/>
        </w:rPr>
        <w:t xml:space="preserve">采购人或采购代理机构。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23.3 上述应知其权益受到损害之日是指：</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（1）对采购文件提出质疑的，为采购文件公告期限届满之日起计算；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（2）对采购过程提出质疑的，自采购程序环节结束之日起计算；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（3）对采购结果提出质疑的，自采购结果公告期限届满之日起计算。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23.4 质疑供应商在法定质疑期内应当一次性提出针对同一采购环节的质疑事项。</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24、投诉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25、诚实信用</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25.2 供应商不得以向采购人、采购代理机构、磋商小组成员行贿或者采取其他不正当手段谋取成交。经查实供应商有此行为的，政府采购管理部门将供应商列入不良行为记录名单，按照《政府采购法》有关规定处理。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25.4 供应商不得虚假承诺，否则，按照提供虚假材料谋取成交处理。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25.5 供应商应自觉遵守磋商、评审纪律，扰乱磋商、评审现场秩序的，属于失信行为，根据《江苏省政府采购供应商监督管理暂行办法》，失信行为将被记入供应商诚信档案。</w:t>
      </w:r>
      <w:bookmarkStart w:id="88" w:name="_Toc5995"/>
      <w:r/>
      <w:bookmarkStart w:id="89" w:name="_Toc20825"/>
      <w:r/>
      <w:bookmarkStart w:id="90" w:name="_Toc15219"/>
      <w:r/>
      <w:r/>
    </w:p>
    <w:p>
      <w:pPr>
        <w:jc w:val="center"/>
        <w:spacing w:before="156" w:after="156" w:line="460" w:lineRule="exact"/>
        <w:rPr>
          <w:rFonts w:hint="eastAsia" w:ascii="宋体" w:hAnsi="宋体"/>
          <w:b/>
          <w:sz w:val="36"/>
          <w:szCs w:val="30"/>
          <w:highlight w:val="none"/>
          <w:lang w:eastAsia="zh-CN"/>
        </w:rPr>
        <w:outlineLvl w:val="0"/>
      </w:pPr>
      <w:r>
        <w:rPr>
          <w:rFonts w:ascii="宋体" w:hAnsi="宋体"/>
          <w:szCs w:val="21"/>
          <w:highlight w:val="none"/>
          <w:lang w:val="zh-CN" w:eastAsia="zh-CN"/>
        </w:rPr>
        <w:br w:type="page" w:clear="all"/>
      </w:r>
      <w:r>
        <w:rPr>
          <w:rFonts w:hint="eastAsia" w:ascii="宋体" w:hAnsi="宋体"/>
          <w:b/>
          <w:sz w:val="36"/>
          <w:szCs w:val="30"/>
          <w:highlight w:val="none"/>
          <w:lang w:eastAsia="zh-CN"/>
        </w:rPr>
        <w:t xml:space="preserve">第三章  磋商项目需求</w:t>
      </w:r>
      <w:bookmarkEnd w:id="88"/>
      <w:r/>
      <w:bookmarkEnd w:id="89"/>
      <w:r/>
      <w:bookmarkEnd w:id="90"/>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1、项目名称：</w:t>
      </w:r>
      <w:r>
        <w:rPr>
          <w:rFonts w:hint="eastAsia" w:cs="宋体"/>
          <w:highlight w:val="none"/>
          <w:lang w:eastAsia="zh-CN"/>
        </w:rPr>
        <w:t xml:space="preserve">秣陵街道社区卫生服务中心体检科改造工程</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2、工期：</w:t>
      </w:r>
      <w:r>
        <w:rPr>
          <w:rFonts w:hint="eastAsia" w:cs="宋体"/>
          <w:highlight w:val="none"/>
          <w:lang w:eastAsia="zh-CN"/>
        </w:rPr>
        <w:t xml:space="preserve">60日历天</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3、本项目按工程量清单计价模式进行计价。供应商按照采购文件附件《工程量清单》要求报价。   </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控制价为</w:t>
      </w:r>
      <w:r>
        <w:rPr>
          <w:rFonts w:hint="eastAsia" w:cs="宋体"/>
          <w:highlight w:val="none"/>
          <w:lang w:eastAsia="zh-CN"/>
        </w:rPr>
        <w:t xml:space="preserve">68.293774万元</w:t>
      </w:r>
      <w:r>
        <w:rPr>
          <w:rFonts w:hint="eastAsia" w:ascii="宋体" w:hAnsi="宋体" w:cs="宋体"/>
          <w:highlight w:val="none"/>
          <w:lang w:eastAsia="zh-CN"/>
        </w:rPr>
        <w:t xml:space="preserve">，投标人报价超过控制价作无效标处理。投标人也不得恶意竞争报低价(为保证报价合理性，当供应商报价低于控制价70%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4、付款说明：</w:t>
      </w:r>
      <w:r>
        <w:rPr>
          <w:rFonts w:hint="eastAsia" w:cs="宋体"/>
          <w:highlight w:val="none"/>
          <w:lang w:eastAsia="zh-CN"/>
        </w:rPr>
        <w:t xml:space="preserve">完成工程量的100%支付合同价款的50%，竣工验收合格并经审计部门审计结束，按照要求提交所有竣工资料后，付至工程结算审定价款（扣除全部应扣的相关费用后）的75%，留25%尾款（包括20%保证金和5%质保金，审计完成半年后支付20%保证金，1年后支付5%质保金）。</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竣工结算审减额超过承包方报审额15%以上的，所有结算审计费用由施工方承担。</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建设工程报结算审计时，结算送审价不得超过合同总价的10%，超过10%的工程项目不予审计。</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5</w:t>
      </w:r>
      <w:r>
        <w:rPr>
          <w:rFonts w:hint="eastAsia" w:ascii="宋体" w:hAnsi="宋体" w:cs="宋体"/>
          <w:highlight w:val="none"/>
          <w:lang w:eastAsia="zh-CN"/>
        </w:rPr>
        <w:t xml:space="preserve">、</w:t>
      </w:r>
      <w:r>
        <w:rPr>
          <w:rFonts w:ascii="宋体" w:hAnsi="宋体" w:cs="宋体"/>
          <w:highlight w:val="none"/>
          <w:lang w:eastAsia="zh-CN"/>
        </w:rPr>
        <w:t xml:space="preserve">质量要求：</w:t>
      </w:r>
      <w:r>
        <w:rPr>
          <w:rFonts w:hint="eastAsia" w:ascii="宋体" w:hAnsi="宋体" w:cs="宋体"/>
          <w:highlight w:val="none"/>
          <w:lang w:eastAsia="zh-CN"/>
        </w:rPr>
        <w:t xml:space="preserve">符合国家质量验收标准；</w:t>
      </w:r>
      <w:r/>
    </w:p>
    <w:p>
      <w:pPr>
        <w:ind w:firstLine="480"/>
        <w:spacing w:line="360" w:lineRule="auto"/>
        <w:rPr>
          <w:rFonts w:hint="eastAsia" w:ascii="宋体" w:hAnsi="宋体" w:cs="宋体"/>
          <w:highlight w:val="none"/>
          <w:lang w:eastAsia="zh-CN"/>
        </w:rPr>
      </w:pPr>
      <w:r>
        <w:rPr>
          <w:rFonts w:hint="eastAsia" w:ascii="宋体" w:hAnsi="宋体"/>
          <w:sz w:val="21"/>
          <w:szCs w:val="21"/>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、项目经理无在建工程，须满足以下条件之一：（提供承诺书原件）</w:t>
      </w:r>
      <w:r>
        <w:rPr>
          <w:rFonts w:hint="eastAsia" w:ascii="宋体" w:hAnsi="宋体" w:cs="宋体"/>
          <w:highlight w:val="none"/>
          <w:lang w:eastAsia="zh-CN"/>
        </w:rPr>
        <w:br/>
      </w:r>
      <w:r>
        <w:rPr>
          <w:rFonts w:hint="eastAsia" w:ascii="宋体" w:hAnsi="宋体" w:cs="宋体"/>
          <w:highlight w:val="none"/>
          <w:lang w:eastAsia="zh-CN"/>
        </w:rPr>
        <w:t xml:space="preserve">     a、项目经理未变更的，以合同工程通过完工验收或竣工验收为准；</w:t>
      </w:r>
      <w:r>
        <w:rPr>
          <w:rFonts w:hint="eastAsia" w:ascii="宋体" w:hAnsi="宋体" w:cs="宋体"/>
          <w:highlight w:val="none"/>
          <w:lang w:eastAsia="zh-CN"/>
        </w:rPr>
        <w:br/>
      </w:r>
      <w:r>
        <w:rPr>
          <w:rFonts w:hint="eastAsia" w:ascii="宋体" w:hAnsi="宋体" w:cs="宋体"/>
          <w:highlight w:val="none"/>
          <w:lang w:eastAsia="zh-CN"/>
        </w:rPr>
        <w:t xml:space="preserve">     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7</w:t>
      </w:r>
      <w:r>
        <w:rPr>
          <w:rFonts w:hint="eastAsia" w:ascii="宋体" w:hAnsi="宋体" w:cs="宋体"/>
          <w:highlight w:val="none"/>
          <w:lang w:eastAsia="zh-CN"/>
        </w:rPr>
        <w:t xml:space="preserve">、技术规范：执行国家和行业最新规范。</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8</w:t>
      </w:r>
      <w:r>
        <w:rPr>
          <w:rFonts w:hint="eastAsia" w:ascii="宋体" w:hAnsi="宋体" w:cs="宋体"/>
          <w:highlight w:val="none"/>
          <w:lang w:eastAsia="zh-CN"/>
        </w:rPr>
        <w:t xml:space="preserve">、安全要求：遵守国家、地方现行工程建设安全生产有关管理规定，严格按安全标准实行文明施工管理，并随时接受行政监督机构及其安全检查人员依法实施的监督检查。具体详见合同条款。</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9</w:t>
      </w:r>
      <w:r>
        <w:rPr>
          <w:rFonts w:hint="eastAsia" w:ascii="宋体" w:hAnsi="宋体" w:cs="宋体"/>
          <w:highlight w:val="none"/>
          <w:lang w:eastAsia="zh-CN"/>
        </w:rPr>
        <w:t xml:space="preserve">、维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10</w:t>
      </w:r>
      <w:r>
        <w:rPr>
          <w:rFonts w:hint="eastAsia" w:ascii="宋体" w:hAnsi="宋体" w:cs="宋体"/>
          <w:highlight w:val="none"/>
          <w:lang w:eastAsia="zh-CN"/>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ascii="宋体" w:hAnsi="宋体" w:cs="宋体"/>
          <w:highlight w:val="none"/>
          <w:lang w:eastAsia="zh-CN"/>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1</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、付款、结算方式等详见合同条款。</w:t>
      </w:r>
      <w:r/>
    </w:p>
    <w:p>
      <w:pPr>
        <w:ind w:firstLine="48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1</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、项目负责人具有承担过类似工程的经验。</w:t>
      </w:r>
      <w:r/>
    </w:p>
    <w:p>
      <w:pPr>
        <w:ind w:firstLine="48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1</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项目经理每月在施工现场的时间要求：每天不少于8小时，每周不少于5天。项目经理未经批准，擅自离开施工现场的违约责任：发包人每发现1次处违约金1000元/天，可从工程款中扣抵，并保留解除合同的权利；发包人发现项目经理未经批准，擅自离开施工现场超过5次，发包人有权直接解除合同。</w:t>
      </w:r>
      <w:r/>
    </w:p>
    <w:p>
      <w:pPr>
        <w:ind w:firstLine="48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14</w:t>
      </w:r>
      <w:r>
        <w:rPr>
          <w:rFonts w:hint="eastAsia" w:ascii="宋体" w:hAnsi="宋体" w:cs="宋体"/>
          <w:highlight w:val="none"/>
          <w:lang w:eastAsia="zh-CN"/>
        </w:rPr>
        <w:t xml:space="preserve">、其他需求详见工程量清单。</w:t>
      </w:r>
      <w:r/>
    </w:p>
    <w:p>
      <w:pPr>
        <w:ind w:firstLine="480"/>
        <w:spacing w:line="360" w:lineRule="auto"/>
        <w:rPr>
          <w:sz w:val="22"/>
          <w:szCs w:val="22"/>
          <w:highlight w:val="none"/>
          <w:lang w:eastAsia="zh-CN"/>
        </w:rPr>
      </w:pPr>
      <w:r>
        <w:rPr>
          <w:rFonts w:hint="eastAsia" w:ascii="宋体" w:hAnsi="宋体"/>
          <w:sz w:val="21"/>
          <w:szCs w:val="21"/>
          <w:highlight w:val="none"/>
          <w:lang w:eastAsia="zh-CN"/>
        </w:rPr>
        <w:t xml:space="preserve">★</w:t>
      </w:r>
      <w:r>
        <w:rPr>
          <w:rFonts w:hint="eastAsia" w:ascii="宋体" w:hAnsi="宋体"/>
          <w:sz w:val="22"/>
          <w:szCs w:val="22"/>
          <w:highlight w:val="none"/>
          <w:lang w:eastAsia="zh-CN"/>
        </w:rPr>
        <w:t xml:space="preserve">1</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、响应文件中须提交</w:t>
      </w:r>
      <w:r>
        <w:rPr>
          <w:rFonts w:hint="eastAsia" w:ascii="宋体" w:hAnsi="宋体"/>
          <w:sz w:val="22"/>
          <w:szCs w:val="22"/>
          <w:highlight w:val="none"/>
          <w:lang w:eastAsia="zh-CN"/>
        </w:rPr>
        <w:t xml:space="preserve">项目实施方案，</w:t>
      </w:r>
      <w:r>
        <w:rPr>
          <w:rFonts w:ascii="宋体" w:hAnsi="宋体"/>
          <w:sz w:val="22"/>
          <w:szCs w:val="22"/>
          <w:highlight w:val="none"/>
          <w:lang w:eastAsia="zh-CN"/>
        </w:rPr>
        <w:t xml:space="preserve">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b/>
          <w:sz w:val="22"/>
          <w:szCs w:val="22"/>
          <w:highlight w:val="none"/>
          <w:lang w:eastAsia="zh-CN"/>
        </w:rPr>
        <w:t xml:space="preserve">以上内容供应商须在响应文件中进行逐项应答，</w:t>
      </w:r>
      <w:r>
        <w:rPr>
          <w:b/>
          <w:sz w:val="22"/>
          <w:szCs w:val="22"/>
          <w:highlight w:val="none"/>
          <w:lang w:eastAsia="zh-CN"/>
        </w:rPr>
        <w:t xml:space="preserve">未响应或内容缺失、</w:t>
      </w:r>
      <w:r>
        <w:rPr>
          <w:rFonts w:hint="eastAsia"/>
          <w:b/>
          <w:sz w:val="22"/>
          <w:szCs w:val="22"/>
          <w:highlight w:val="none"/>
          <w:lang w:eastAsia="zh-CN"/>
        </w:rPr>
        <w:t xml:space="preserve">内容较差，无针对性和可操作性的视为负偏离，视为未响应，</w:t>
      </w:r>
      <w:r>
        <w:rPr>
          <w:b/>
          <w:sz w:val="22"/>
          <w:szCs w:val="22"/>
          <w:highlight w:val="none"/>
          <w:lang w:eastAsia="zh-CN"/>
        </w:rPr>
        <w:t xml:space="preserve">作无效标处理。</w:t>
      </w:r>
      <w:r/>
    </w:p>
    <w:p>
      <w:pPr>
        <w:ind w:firstLine="48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ascii="宋体" w:hAnsi="宋体"/>
          <w:sz w:val="22"/>
          <w:szCs w:val="22"/>
          <w:highlight w:val="none"/>
          <w:lang w:val="en-US" w:eastAsia="zh-CN"/>
        </w:rPr>
        <w:t xml:space="preserve">6</w:t>
      </w:r>
      <w:r>
        <w:rPr>
          <w:rFonts w:hint="eastAsia" w:ascii="宋体" w:hAnsi="宋体"/>
          <w:sz w:val="22"/>
          <w:szCs w:val="22"/>
          <w:highlight w:val="none"/>
          <w:lang w:eastAsia="zh-CN"/>
        </w:rPr>
        <w:t xml:space="preserve">、为避免供应商非理性报价、防范恶意低价谋取成交影响项目实施，</w:t>
      </w:r>
      <w:r>
        <w:rPr>
          <w:rFonts w:ascii="宋体" w:hAnsi="宋体"/>
          <w:sz w:val="22"/>
          <w:szCs w:val="22"/>
          <w:highlight w:val="none"/>
          <w:lang w:eastAsia="zh-CN"/>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8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80"/>
        <w:spacing w:line="360" w:lineRule="auto"/>
        <w:rPr>
          <w:rFonts w:hint="eastAsia" w:ascii="宋体" w:hAnsi="宋体" w:cs="宋体"/>
          <w:sz w:val="22"/>
          <w:szCs w:val="22"/>
          <w:highlight w:val="none"/>
          <w:lang w:eastAsia="zh-CN"/>
        </w:rPr>
      </w:pPr>
      <w:r>
        <w:rPr>
          <w:rFonts w:hint="eastAsia" w:ascii="宋体" w:hAnsi="宋体"/>
          <w:b/>
          <w:bCs/>
          <w:sz w:val="22"/>
          <w:szCs w:val="22"/>
          <w:highlight w:val="none"/>
          <w:lang w:eastAsia="zh-CN"/>
        </w:rPr>
        <w:t xml:space="preserve">特别说明：本章所有内容均为实质性要求，不接受负偏离（负偏离作无效标处理）</w:t>
      </w:r>
      <w:r/>
    </w:p>
    <w:p>
      <w:pPr>
        <w:pStyle w:val="1130"/>
        <w:ind w:left="323" w:right="312" w:firstLine="420"/>
        <w:spacing w:before="42" w:line="278" w:lineRule="auto"/>
        <w:rPr>
          <w:rFonts w:ascii="黑体" w:hAnsi="黑体" w:eastAsia="黑体" w:cs="黑体"/>
          <w:sz w:val="36"/>
          <w:highlight w:val="none"/>
        </w:rPr>
      </w:pPr>
      <w:r>
        <w:rPr>
          <w:rFonts w:ascii="黑体" w:hAnsi="黑体" w:eastAsia="黑体" w:cs="黑体"/>
          <w:sz w:val="36"/>
          <w:highlight w:val="none"/>
        </w:rPr>
        <w:br w:type="page" w:clear="all"/>
      </w:r>
      <w:r/>
    </w:p>
    <w:p>
      <w:pPr>
        <w:widowControl/>
        <w:rPr>
          <w:rFonts w:ascii="黑体" w:hAnsi="黑体" w:eastAsia="黑体" w:cs="黑体"/>
          <w:sz w:val="36"/>
          <w:highlight w:val="none"/>
        </w:rPr>
      </w:pPr>
      <w:r>
        <w:rPr>
          <w:rFonts w:ascii="黑体" w:hAnsi="黑体" w:eastAsia="黑体" w:cs="黑体"/>
          <w:sz w:val="36"/>
          <w:highlight w:val="none"/>
        </w:rPr>
      </w:r>
      <w:r/>
    </w:p>
    <w:p>
      <w:pPr>
        <w:ind w:left="8"/>
        <w:jc w:val="center"/>
        <w:spacing w:before="50"/>
        <w:rPr>
          <w:rFonts w:ascii="黑体" w:hAnsi="黑体" w:eastAsia="黑体" w:cs="黑体"/>
          <w:sz w:val="36"/>
          <w:highlight w:val="none"/>
        </w:rPr>
        <w:outlineLvl w:val="0"/>
      </w:pPr>
      <w:r/>
      <w:bookmarkStart w:id="91" w:name="_bookmark10"/>
      <w:r/>
      <w:bookmarkEnd w:id="91"/>
      <w:r>
        <w:rPr>
          <w:rFonts w:hint="eastAsia" w:ascii="黑体" w:hAnsi="黑体" w:eastAsia="黑体" w:cs="黑体"/>
          <w:sz w:val="36"/>
          <w:highlight w:val="none"/>
          <w:lang w:val="en-US"/>
        </w:rPr>
        <w:t xml:space="preserve">第四章 </w:t>
      </w:r>
      <w:r>
        <w:rPr>
          <w:rFonts w:hint="eastAsia" w:ascii="黑体" w:hAnsi="黑体" w:eastAsia="黑体" w:cs="黑体"/>
          <w:sz w:val="36"/>
          <w:highlight w:val="none"/>
        </w:rPr>
        <w:t xml:space="preserve">评分标准</w:t>
      </w:r>
      <w:r/>
    </w:p>
    <w:p>
      <w:pPr>
        <w:ind w:firstLine="480"/>
        <w:rPr>
          <w:sz w:val="21"/>
          <w:szCs w:val="21"/>
          <w:highlight w:val="none"/>
        </w:rPr>
      </w:pPr>
      <w:r/>
      <w:bookmarkStart w:id="92" w:name="_Toc7431"/>
      <w:r>
        <w:rPr>
          <w:rFonts w:hint="eastAsia"/>
          <w:sz w:val="21"/>
          <w:szCs w:val="21"/>
          <w:highlight w:val="none"/>
        </w:rPr>
        <w:t xml:space="preserve">本项目采用</w:t>
      </w:r>
      <w:r>
        <w:rPr>
          <w:rFonts w:hint="eastAsia"/>
          <w:b/>
          <w:bCs/>
          <w:sz w:val="21"/>
          <w:szCs w:val="21"/>
          <w:highlight w:val="none"/>
        </w:rPr>
        <w:t xml:space="preserve">综合评分法</w:t>
      </w:r>
      <w:r>
        <w:rPr>
          <w:rFonts w:hint="eastAsia"/>
          <w:sz w:val="21"/>
          <w:szCs w:val="21"/>
          <w:highlight w:val="none"/>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92"/>
      <w:r/>
      <w:r/>
    </w:p>
    <w:tbl>
      <w:tblPr>
        <w:tblStyle w:val="1127"/>
        <w:tblpPr w:horzAnchor="page" w:tblpX="1549" w:vertAnchor="text" w:tblpY="1074" w:leftFromText="180" w:topFromText="0" w:rightFromText="180" w:bottomFromText="0"/>
        <w:tblW w:w="9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55"/>
        <w:gridCol w:w="6222"/>
        <w:gridCol w:w="1015"/>
      </w:tblGrid>
      <w:tr>
        <w:trPr>
          <w:trHeight w:val="270"/>
        </w:trPr>
        <w:tc>
          <w:tcPr>
            <w:tcW w:w="670" w:type="dxa"/>
            <w:vAlign w:val="center"/>
            <w:textDirection w:val="lrTb"/>
            <w:noWrap w:val="false"/>
          </w:tcPr>
          <w:p>
            <w:pPr>
              <w:pStyle w:val="1138"/>
              <w:jc w:val="center"/>
              <w:spacing w:before="0" w:beforeAutospacing="0" w:after="0" w:afterAutospacing="0"/>
              <w:rPr>
                <w:rFonts w:hint="eastAsia" w:hAnsi="宋体"/>
                <w:b/>
                <w:sz w:val="21"/>
                <w:szCs w:val="21"/>
                <w:highlight w:val="none"/>
              </w:rPr>
            </w:pPr>
            <w:r>
              <w:rPr>
                <w:sz w:val="36"/>
                <w:highlight w:val="none"/>
                <w:lang w:val="zh-CN"/>
              </w:rPr>
              <w:tab/>
            </w:r>
            <w:r>
              <w:rPr>
                <w:rFonts w:hint="eastAsia" w:hAnsi="宋体"/>
                <w:b/>
                <w:sz w:val="21"/>
                <w:szCs w:val="21"/>
                <w:highlight w:val="none"/>
              </w:rPr>
              <w:t xml:space="preserve">序号</w:t>
            </w:r>
            <w:r/>
          </w:p>
        </w:tc>
        <w:tc>
          <w:tcPr>
            <w:tcW w:w="1255" w:type="dxa"/>
            <w:vAlign w:val="center"/>
            <w:textDirection w:val="lrTb"/>
            <w:noWrap w:val="false"/>
          </w:tcPr>
          <w:p>
            <w:pPr>
              <w:pStyle w:val="1138"/>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评分因素</w:t>
            </w:r>
            <w:r/>
          </w:p>
        </w:tc>
        <w:tc>
          <w:tcPr>
            <w:tcW w:w="6222" w:type="dxa"/>
            <w:vAlign w:val="center"/>
            <w:textDirection w:val="lrTb"/>
            <w:noWrap w:val="false"/>
          </w:tcPr>
          <w:p>
            <w:pPr>
              <w:pStyle w:val="1138"/>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评审规则</w:t>
            </w:r>
            <w:r/>
          </w:p>
        </w:tc>
        <w:tc>
          <w:tcPr>
            <w:tcW w:w="1015" w:type="dxa"/>
            <w:vAlign w:val="center"/>
            <w:textDirection w:val="lrTb"/>
            <w:noWrap w:val="false"/>
          </w:tcPr>
          <w:p>
            <w:pPr>
              <w:pStyle w:val="1138"/>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分值</w:t>
            </w:r>
            <w:r/>
          </w:p>
        </w:tc>
      </w:tr>
      <w:tr>
        <w:trPr>
          <w:trHeight w:val="1318"/>
        </w:trPr>
        <w:tc>
          <w:tcPr>
            <w:tcW w:w="670" w:type="dxa"/>
            <w:vAlign w:val="center"/>
            <w:textDirection w:val="lrTb"/>
            <w:noWrap w:val="false"/>
          </w:tcPr>
          <w:p>
            <w:pPr>
              <w:pStyle w:val="1138"/>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1</w:t>
            </w:r>
            <w:r/>
          </w:p>
        </w:tc>
        <w:tc>
          <w:tcPr>
            <w:tcW w:w="1255" w:type="dxa"/>
            <w:vAlign w:val="center"/>
            <w:textDirection w:val="lrTb"/>
            <w:noWrap w:val="false"/>
          </w:tcPr>
          <w:p>
            <w:pPr>
              <w:pStyle w:val="1138"/>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价格</w:t>
            </w:r>
            <w:r/>
          </w:p>
        </w:tc>
        <w:tc>
          <w:tcPr>
            <w:tcW w:w="6222" w:type="dxa"/>
            <w:vAlign w:val="center"/>
            <w:textDirection w:val="lrTb"/>
            <w:noWrap w:val="false"/>
          </w:tcPr>
          <w:p>
            <w:pPr>
              <w:ind w:firstLine="420"/>
              <w:rPr>
                <w:rFonts w:hint="eastAsia" w:ascii="宋体" w:hAnsi="宋体" w:cs="宋体"/>
                <w:szCs w:val="21"/>
                <w:highlight w:val="none"/>
              </w:rPr>
            </w:pPr>
            <w:r>
              <w:rPr>
                <w:rFonts w:hint="eastAsia" w:ascii="宋体" w:hAnsi="宋体" w:cs="宋体"/>
                <w:szCs w:val="21"/>
                <w:highlight w:val="none"/>
              </w:rPr>
              <w:t xml:space="preserve">采用低价优先法计算，即满足竞争性磋商文件要求且最后报价最低的供应商价格为基准价，其价格分为满分。其他供应商的价格分统一按照下列公式计算（小数点后保留二位）：磋商报价得分=（磋商基准价/最后磋商报价）×70(为保证报价合理性，当供应商报价低于控制价70%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p>
        </w:tc>
        <w:tc>
          <w:tcPr>
            <w:tcW w:w="1015" w:type="dxa"/>
            <w:vAlign w:val="center"/>
            <w:textDirection w:val="lrTb"/>
            <w:noWrap w:val="false"/>
          </w:tcPr>
          <w:p>
            <w:pPr>
              <w:pStyle w:val="1138"/>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70分</w:t>
            </w:r>
            <w:r/>
          </w:p>
        </w:tc>
      </w:tr>
      <w:tr>
        <w:trPr>
          <w:trHeight w:val="1604"/>
        </w:trPr>
        <w:tc>
          <w:tcPr>
            <w:tcW w:w="670" w:type="dxa"/>
            <w:vAlign w:val="center"/>
            <w:textDirection w:val="lrTb"/>
            <w:noWrap w:val="false"/>
          </w:tcPr>
          <w:p>
            <w:pPr>
              <w:pStyle w:val="1138"/>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2</w:t>
            </w:r>
            <w:r/>
          </w:p>
        </w:tc>
        <w:tc>
          <w:tcPr>
            <w:tcW w:w="1255" w:type="dxa"/>
            <w:vAlign w:val="center"/>
            <w:textDirection w:val="lrTb"/>
            <w:noWrap w:val="false"/>
          </w:tcPr>
          <w:p>
            <w:pPr>
              <w:pStyle w:val="1146"/>
              <w:ind w:right="114"/>
              <w:jc w:val="center"/>
              <w:spacing w:before="104"/>
              <w:rPr>
                <w:rFonts w:hint="eastAsia" w:ascii="宋体" w:hAnsi="宋体" w:cs="宋体"/>
                <w:sz w:val="21"/>
                <w:szCs w:val="21"/>
                <w:highlight w:val="none"/>
                <w:lang w:bidi="zh-CN"/>
              </w:rPr>
            </w:pPr>
            <w:r>
              <w:rPr>
                <w:rFonts w:hint="eastAsia" w:ascii="宋体" w:hAnsi="宋体" w:cs="宋体"/>
                <w:sz w:val="21"/>
                <w:szCs w:val="21"/>
                <w:highlight w:val="none"/>
              </w:rPr>
              <w:t xml:space="preserve">业绩</w:t>
            </w:r>
            <w:r/>
          </w:p>
        </w:tc>
        <w:tc>
          <w:tcPr>
            <w:tcW w:w="6222" w:type="dxa"/>
            <w:vAlign w:val="center"/>
            <w:textDirection w:val="lrTb"/>
            <w:noWrap w:val="false"/>
          </w:tcPr>
          <w:p>
            <w:pPr>
              <w:rPr>
                <w:rFonts w:hint="eastAsia"/>
                <w:highlight w:val="none"/>
              </w:rPr>
            </w:pPr>
            <w:r>
              <w:rPr>
                <w:rFonts w:hint="eastAsia"/>
                <w:highlight w:val="none"/>
              </w:rPr>
              <w:t xml:space="preserve">项目经理业绩：项目经理自2022年</w:t>
            </w:r>
            <w:r>
              <w:rPr>
                <w:rFonts w:hint="eastAsia"/>
                <w:highlight w:val="none"/>
                <w:lang w:val="en-US" w:eastAsia="zh-CN"/>
              </w:rPr>
              <w:t xml:space="preserve">1</w:t>
            </w:r>
            <w:r>
              <w:rPr>
                <w:rFonts w:hint="eastAsia"/>
                <w:highlight w:val="none"/>
              </w:rPr>
              <w:t xml:space="preserve">月1日（含）以来承接过类似施工业绩，有一个得5分，最高得</w:t>
            </w:r>
            <w:r>
              <w:rPr>
                <w:rFonts w:hint="eastAsia"/>
                <w:highlight w:val="none"/>
                <w:lang w:val="en-US" w:eastAsia="zh-CN"/>
              </w:rPr>
              <w:t xml:space="preserve">1</w:t>
            </w:r>
            <w:r>
              <w:rPr>
                <w:rFonts w:hint="eastAsia"/>
                <w:highlight w:val="none"/>
              </w:rPr>
              <w:t xml:space="preserve">0分。</w:t>
            </w:r>
            <w:r/>
          </w:p>
          <w:p>
            <w:pPr>
              <w:pStyle w:val="1128"/>
              <w:ind w:left="0" w:firstLine="0"/>
              <w:rPr>
                <w:rFonts w:hint="default" w:eastAsia="宋体"/>
                <w:lang w:val="en-US" w:eastAsia="zh-CN"/>
              </w:rPr>
            </w:pPr>
            <w:r>
              <w:rPr>
                <w:rFonts w:hint="eastAsia"/>
                <w:highlight w:val="none"/>
                <w:lang w:val="en-US" w:eastAsia="zh-CN"/>
              </w:rPr>
              <w:t xml:space="preserve">单位业绩：</w:t>
            </w:r>
            <w:r>
              <w:rPr>
                <w:rFonts w:hint="eastAsia"/>
                <w:highlight w:val="none"/>
              </w:rPr>
              <w:t xml:space="preserve">自2022年</w:t>
            </w:r>
            <w:r>
              <w:rPr>
                <w:rFonts w:hint="eastAsia"/>
                <w:highlight w:val="none"/>
                <w:lang w:val="en-US" w:eastAsia="zh-CN"/>
              </w:rPr>
              <w:t xml:space="preserve">1</w:t>
            </w:r>
            <w:r>
              <w:rPr>
                <w:rFonts w:hint="eastAsia"/>
                <w:highlight w:val="none"/>
              </w:rPr>
              <w:t xml:space="preserve">月1日（含）以来承接过类似施工业绩，有一个得5分，最高得</w:t>
            </w:r>
            <w:r>
              <w:rPr>
                <w:rFonts w:hint="eastAsia"/>
                <w:highlight w:val="none"/>
                <w:lang w:val="en-US" w:eastAsia="zh-CN"/>
              </w:rPr>
              <w:t xml:space="preserve">1</w:t>
            </w:r>
            <w:r>
              <w:rPr>
                <w:rFonts w:hint="eastAsia"/>
                <w:highlight w:val="none"/>
              </w:rPr>
              <w:t xml:space="preserve">0分。</w:t>
            </w:r>
            <w:r/>
          </w:p>
          <w:p>
            <w:pPr>
              <w:rPr>
                <w:rFonts w:hint="eastAsia"/>
                <w:highlight w:val="none"/>
              </w:rPr>
            </w:pPr>
            <w:r>
              <w:rPr>
                <w:rFonts w:hint="eastAsia"/>
                <w:highlight w:val="none"/>
              </w:rPr>
              <w:t xml:space="preserve">（需提供中标通知书、施工合同、</w:t>
            </w:r>
            <w:r>
              <w:rPr>
                <w:rFonts w:hint="eastAsia"/>
                <w:highlight w:val="none"/>
                <w:lang w:val="en-US" w:eastAsia="zh-CN"/>
              </w:rPr>
              <w:t xml:space="preserve">公示截图、</w:t>
            </w:r>
            <w:r>
              <w:rPr>
                <w:rFonts w:hint="eastAsia"/>
                <w:highlight w:val="none"/>
              </w:rPr>
              <w:t xml:space="preserve">竣工验收证明、审计报告、该项目的任意一次工程款支付凭证（对应合同的发票及银行收款进账凭证（收款金额不低于签约合同价的50%）），缺一不可。竣工验收证明上验收单位</w:t>
            </w:r>
            <w:r>
              <w:rPr>
                <w:rFonts w:hint="eastAsia"/>
                <w:highlight w:val="none"/>
              </w:rPr>
              <w:t xml:space="preserve">必须有建设单位、施工企业等参建单位的验收意见及盖章，原件备查，未按要求提供的不予得分；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r/>
          </w:p>
          <w:p>
            <w:pPr>
              <w:pStyle w:val="1128"/>
              <w:rPr>
                <w:rFonts w:hint="default"/>
                <w:highlight w:val="none"/>
                <w:lang w:val="en-US" w:eastAsia="zh-CN"/>
              </w:rPr>
            </w:pPr>
            <w:r>
              <w:rPr>
                <w:rFonts w:hint="eastAsia"/>
                <w:highlight w:val="none"/>
                <w:lang w:val="en-US" w:eastAsia="zh-CN"/>
              </w:rPr>
              <w:t xml:space="preserve">同一项目不可同时作为项目经理业绩和单位业绩</w:t>
            </w:r>
            <w:r/>
          </w:p>
        </w:tc>
        <w:tc>
          <w:tcPr>
            <w:tcW w:w="1015" w:type="dxa"/>
            <w:vAlign w:val="center"/>
            <w:textDirection w:val="lrTb"/>
            <w:noWrap w:val="false"/>
          </w:tcPr>
          <w:p>
            <w:pPr>
              <w:contextualSpacing/>
              <w:jc w:val="center"/>
              <w:rPr>
                <w:rFonts w:hint="eastAsia" w:ascii="宋体" w:hAnsi="宋体" w:cs="宋体"/>
                <w:szCs w:val="21"/>
                <w:highlight w:val="none"/>
              </w:rPr>
            </w:pPr>
            <w:r>
              <w:rPr>
                <w:rFonts w:hint="eastAsia" w:ascii="宋体" w:hAnsi="宋体" w:cs="宋体"/>
                <w:szCs w:val="21"/>
                <w:highlight w:val="none"/>
              </w:rPr>
              <w:t xml:space="preserve">20分</w:t>
            </w:r>
            <w:r/>
          </w:p>
        </w:tc>
      </w:tr>
      <w:tr>
        <w:trPr>
          <w:trHeight w:val="964"/>
        </w:trPr>
        <w:tc>
          <w:tcPr>
            <w:tcW w:w="6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255" w:type="dxa"/>
            <w:vAlign w:val="center"/>
            <w:textDirection w:val="lrTb"/>
            <w:noWrap w:val="false"/>
          </w:tcPr>
          <w:p>
            <w:pPr>
              <w:rPr>
                <w:rFonts w:hint="eastAsia" w:ascii="宋体" w:hAnsi="宋体" w:cs="宋体"/>
                <w:szCs w:val="21"/>
                <w:highlight w:val="none"/>
              </w:rPr>
            </w:pPr>
            <w:r>
              <w:rPr>
                <w:rFonts w:hint="eastAsia" w:ascii="宋体" w:hAnsi="宋体" w:cs="宋体"/>
                <w:highlight w:val="none"/>
                <w:lang w:val="zh-CN"/>
              </w:rPr>
              <w:t xml:space="preserve">项目管理机构</w:t>
            </w:r>
            <w:r/>
          </w:p>
        </w:tc>
        <w:tc>
          <w:tcPr>
            <w:tcW w:w="6222" w:type="dxa"/>
            <w:vAlign w:val="center"/>
            <w:textDirection w:val="lrTb"/>
            <w:noWrap w:val="false"/>
          </w:tcPr>
          <w:p>
            <w:pPr>
              <w:rPr>
                <w:highlight w:val="none"/>
              </w:rPr>
            </w:pPr>
            <w:r>
              <w:rPr>
                <w:rFonts w:hint="eastAsia"/>
                <w:highlight w:val="none"/>
              </w:rPr>
              <w:t xml:space="preserve">1、项目经理具有建设工程类中级及以上职称，同时技术负责人具有建设工程类高级及以上职称，全部满足得2分。（须提供职称证书，相关证书原件扫描上传至电子磋商响应文件，未提供不得分）</w:t>
            </w:r>
            <w:r/>
          </w:p>
          <w:p>
            <w:pPr>
              <w:rPr>
                <w:highlight w:val="none"/>
              </w:rPr>
            </w:pPr>
            <w:r>
              <w:rPr>
                <w:rFonts w:hint="eastAsia"/>
                <w:highlight w:val="none"/>
              </w:rPr>
              <w:t xml:space="preserve">2、项目管理班组人员（除项目经理和技术负责人以外）中完整配备施工员（提供相应岗位资格证书）、质量员（提供相应岗位资格证书）、材料员（提供相应岗位资格证书）、资料员（提供相应岗位资格证书）、造价</w:t>
            </w:r>
            <w:r>
              <w:rPr>
                <w:rFonts w:hint="eastAsia"/>
                <w:highlight w:val="none"/>
                <w:lang w:val="en-US" w:eastAsia="zh-CN"/>
              </w:rPr>
              <w:t xml:space="preserve">员</w:t>
            </w:r>
            <w:r>
              <w:rPr>
                <w:rFonts w:hint="eastAsia"/>
                <w:highlight w:val="none"/>
              </w:rPr>
              <w:t xml:space="preserve">(提供相应主管部门颁发的资格证)、安全员（提供相应主管部门颁发的安全生产考核合格证）同时具有建设工程类中级及以上职称的得4分，本项满分4分。</w:t>
            </w:r>
            <w:r/>
          </w:p>
          <w:p>
            <w:pPr>
              <w:spacing w:line="276" w:lineRule="auto"/>
              <w:rPr>
                <w:rFonts w:hint="eastAsia" w:ascii="宋体" w:hAnsi="宋体" w:cs="宋体"/>
                <w:szCs w:val="21"/>
                <w:highlight w:val="none"/>
              </w:rPr>
            </w:pPr>
            <w:r>
              <w:rPr>
                <w:rFonts w:hint="eastAsia"/>
                <w:highlight w:val="none"/>
              </w:rPr>
              <w:t xml:space="preserve">注：①以上人员必须为本单位人员，同一人不得重复计分，缺员、缺岗的不得分。②以上人员均须提供近半年任意一个月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6分</w:t>
            </w:r>
            <w:r/>
          </w:p>
        </w:tc>
      </w:tr>
      <w:tr>
        <w:trPr>
          <w:trHeight w:val="421"/>
        </w:trPr>
        <w:tc>
          <w:tcPr>
            <w:tcW w:w="670" w:type="dxa"/>
            <w:vAlign w:val="center"/>
            <w:textDirection w:val="lrTb"/>
            <w:noWrap w:val="false"/>
          </w:tcPr>
          <w:p>
            <w:pPr>
              <w:ind w:firstLine="210"/>
              <w:rPr>
                <w:rFonts w:hint="eastAsia" w:ascii="宋体" w:hAnsi="宋体" w:cs="宋体"/>
                <w:szCs w:val="21"/>
                <w:highlight w:val="none"/>
              </w:rPr>
            </w:pPr>
            <w:r>
              <w:rPr>
                <w:rFonts w:hint="eastAsia" w:ascii="宋体" w:hAnsi="宋体" w:cs="宋体"/>
                <w:szCs w:val="21"/>
                <w:highlight w:val="none"/>
              </w:rPr>
              <w:t xml:space="preserve">4</w:t>
            </w:r>
            <w:r/>
          </w:p>
        </w:tc>
        <w:tc>
          <w:tcPr>
            <w:tcW w:w="1255" w:type="dxa"/>
            <w:vAlign w:val="center"/>
            <w:textDirection w:val="lrTb"/>
            <w:noWrap w:val="false"/>
          </w:tcPr>
          <w:p>
            <w:pPr>
              <w:rPr>
                <w:rFonts w:hint="eastAsia" w:ascii="宋体" w:hAnsi="宋体" w:cs="宋体"/>
                <w:szCs w:val="21"/>
                <w:highlight w:val="none"/>
              </w:rPr>
            </w:pPr>
            <w:r>
              <w:rPr>
                <w:rFonts w:hint="eastAsia"/>
                <w:highlight w:val="none"/>
              </w:rPr>
              <w:t xml:space="preserve">设备（4分）</w:t>
            </w:r>
            <w:r/>
          </w:p>
        </w:tc>
        <w:tc>
          <w:tcPr>
            <w:tcW w:w="6222" w:type="dxa"/>
            <w:vAlign w:val="center"/>
            <w:textDirection w:val="lrTb"/>
            <w:noWrap w:val="false"/>
          </w:tcPr>
          <w:p>
            <w:pPr>
              <w:rPr>
                <w:rFonts w:hint="eastAsia" w:ascii="宋体" w:hAnsi="宋体" w:cs="宋体"/>
                <w:szCs w:val="21"/>
                <w:highlight w:val="none"/>
              </w:rPr>
            </w:pPr>
            <w:r>
              <w:rPr>
                <w:rFonts w:hint="eastAsia"/>
                <w:highlight w:val="none"/>
              </w:rPr>
              <w:t xml:space="preserve">提供水准仪、大地测量仪GPS（GNSS）、电镐、电焊机、发电机、水泵、载货汽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highlight w:val="none"/>
              </w:rPr>
            </w:pPr>
            <w:r>
              <w:rPr>
                <w:rFonts w:hint="eastAsia"/>
                <w:highlight w:val="none"/>
              </w:rPr>
              <w:t xml:space="preserve">4分</w:t>
            </w:r>
            <w:r/>
          </w:p>
        </w:tc>
      </w:tr>
      <w:tr>
        <w:trPr>
          <w:trHeight w:val="421"/>
        </w:trPr>
        <w:tc>
          <w:tcPr>
            <w:gridSpan w:val="3"/>
            <w:tcW w:w="8147" w:type="dxa"/>
            <w:vAlign w:val="center"/>
            <w:textDirection w:val="lrTb"/>
            <w:noWrap w:val="false"/>
          </w:tcPr>
          <w:p>
            <w:pPr>
              <w:jc w:val="right"/>
              <w:rPr>
                <w:rFonts w:hint="eastAsia" w:ascii="宋体" w:hAnsi="宋体" w:cs="宋体"/>
                <w:szCs w:val="21"/>
                <w:highlight w:val="none"/>
              </w:rPr>
            </w:pPr>
            <w:r>
              <w:rPr>
                <w:rFonts w:hint="eastAsia" w:ascii="宋体" w:hAnsi="宋体" w:cs="宋体"/>
                <w:szCs w:val="21"/>
                <w:highlight w:val="none"/>
              </w:rPr>
              <w:t xml:space="preserve">合计：</w:t>
            </w:r>
            <w:r/>
          </w:p>
        </w:tc>
        <w:tc>
          <w:tcPr>
            <w:tcW w:w="1015" w:type="dxa"/>
            <w:vAlign w:val="center"/>
            <w:textDirection w:val="lrTb"/>
            <w:noWrap w:val="false"/>
          </w:tcPr>
          <w:p>
            <w:pPr>
              <w:contextualSpacing/>
              <w:jc w:val="center"/>
              <w:rPr>
                <w:rFonts w:hint="eastAsia" w:ascii="宋体" w:hAnsi="宋体" w:cs="宋体"/>
                <w:szCs w:val="21"/>
                <w:highlight w:val="none"/>
              </w:rPr>
            </w:pPr>
            <w:r>
              <w:rPr>
                <w:rFonts w:hint="eastAsia" w:ascii="宋体" w:hAnsi="宋体" w:cs="宋体"/>
                <w:szCs w:val="21"/>
                <w:highlight w:val="none"/>
              </w:rPr>
              <w:t xml:space="preserve">100分</w:t>
            </w:r>
            <w:r/>
          </w:p>
        </w:tc>
      </w:tr>
    </w:tbl>
    <w:p>
      <w:pPr>
        <w:spacing w:line="360" w:lineRule="auto"/>
        <w:rPr>
          <w:rFonts w:hint="eastAsia"/>
          <w:b/>
          <w:bCs/>
          <w:sz w:val="21"/>
          <w:szCs w:val="21"/>
          <w:highlight w:val="none"/>
        </w:rPr>
      </w:pPr>
      <w:r>
        <w:rPr>
          <w:rFonts w:hint="eastAsia"/>
          <w:b/>
          <w:bCs/>
          <w:sz w:val="21"/>
          <w:szCs w:val="21"/>
          <w:highlight w:val="none"/>
        </w:rPr>
      </w:r>
      <w:r/>
    </w:p>
    <w:p>
      <w:pPr>
        <w:spacing w:line="360" w:lineRule="auto"/>
        <w:rPr>
          <w:b/>
          <w:sz w:val="21"/>
          <w:szCs w:val="21"/>
          <w:highlight w:val="none"/>
        </w:rPr>
      </w:pPr>
      <w:r/>
      <w:bookmarkStart w:id="677" w:name="_GoBack"/>
      <w:r/>
      <w:bookmarkEnd w:id="677"/>
      <w:r>
        <w:rPr>
          <w:rFonts w:hint="eastAsia"/>
          <w:b/>
          <w:bCs/>
          <w:sz w:val="21"/>
          <w:szCs w:val="21"/>
          <w:highlight w:val="none"/>
        </w:rPr>
        <w:t xml:space="preserve">评分</w:t>
      </w:r>
      <w:r>
        <w:rPr>
          <w:rFonts w:hint="eastAsia"/>
          <w:b/>
          <w:sz w:val="21"/>
          <w:szCs w:val="21"/>
          <w:highlight w:val="none"/>
        </w:rPr>
        <w:t xml:space="preserve">说明：</w:t>
      </w:r>
      <w:r/>
    </w:p>
    <w:p>
      <w:pPr>
        <w:spacing w:line="360" w:lineRule="auto"/>
        <w:rPr>
          <w:b/>
          <w:sz w:val="21"/>
          <w:szCs w:val="21"/>
          <w:highlight w:val="none"/>
        </w:rPr>
      </w:pPr>
      <w:r>
        <w:rPr>
          <w:b/>
          <w:sz w:val="21"/>
          <w:szCs w:val="21"/>
          <w:highlight w:val="none"/>
        </w:rPr>
      </w:r>
      <w:r/>
    </w:p>
    <w:p>
      <w:pPr>
        <w:spacing w:line="360" w:lineRule="auto"/>
        <w:rPr>
          <w:sz w:val="21"/>
          <w:szCs w:val="21"/>
          <w:highlight w:val="none"/>
        </w:rPr>
      </w:pPr>
      <w:r>
        <w:rPr>
          <w:rFonts w:hint="eastAsia"/>
          <w:sz w:val="21"/>
          <w:szCs w:val="21"/>
          <w:highlight w:val="none"/>
        </w:rPr>
        <w:t xml:space="preserve">1.对国家认定的节能产品和环保产品分别给予投标价的 5%、5%价扣除，用扣除后的价格参与评审（特别说明：节能、环保产品必须纳入“中国政府采购网 </w:t>
      </w:r>
      <w:r>
        <w:rPr>
          <w:highlight w:val="none"/>
        </w:rPr>
        <w:fldChar w:fldCharType="begin"/>
      </w:r>
      <w:r>
        <w:rPr>
          <w:highlight w:val="none"/>
        </w:rPr>
        <w:instrText xml:space="preserve"> HYPERLINK "http://www.ccgp.gov.cn/" \h </w:instrText>
      </w:r>
      <w:r>
        <w:rPr>
          <w:highlight w:val="none"/>
        </w:rPr>
        <w:fldChar w:fldCharType="separate"/>
      </w:r>
      <w:r>
        <w:rPr>
          <w:rFonts w:hint="eastAsia"/>
          <w:sz w:val="21"/>
          <w:szCs w:val="21"/>
          <w:highlight w:val="none"/>
        </w:rPr>
        <w:t xml:space="preserve">”</w:t>
      </w:r>
      <w:r>
        <w:rPr>
          <w:rFonts w:hint="eastAsia"/>
          <w:sz w:val="21"/>
          <w:szCs w:val="21"/>
          <w:highlight w:val="none"/>
        </w:rPr>
        <w:fldChar w:fldCharType="end"/>
      </w:r>
      <w:r>
        <w:rPr>
          <w:rFonts w:hint="eastAsia"/>
          <w:sz w:val="21"/>
          <w:szCs w:val="21"/>
          <w:highlight w:val="none"/>
        </w:rPr>
        <w:t xml:space="preserve">等官方网站“节能、环保产品查询系统”，且以提供的证书复印件为准）。</w:t>
      </w:r>
      <w:r/>
    </w:p>
    <w:p>
      <w:pPr>
        <w:spacing w:line="360" w:lineRule="auto"/>
        <w:rPr>
          <w:sz w:val="21"/>
          <w:szCs w:val="21"/>
          <w:highlight w:val="none"/>
        </w:rPr>
      </w:pPr>
      <w:r>
        <w:rPr>
          <w:rFonts w:hint="eastAsia"/>
          <w:sz w:val="21"/>
          <w:szCs w:val="21"/>
          <w:highlight w:val="none"/>
        </w:rPr>
        <w:t xml:space="preserve">2、根据《政府采购促进中小企业发展暂行办法》的相关规定，本项目对小型和微型企业产品的价格给予</w:t>
      </w:r>
      <w:r>
        <w:rPr>
          <w:rFonts w:hint="eastAsia"/>
          <w:sz w:val="21"/>
          <w:szCs w:val="21"/>
          <w:highlight w:val="none"/>
          <w:lang w:val="en-US"/>
        </w:rPr>
        <w:t xml:space="preserve">5</w:t>
      </w:r>
      <w:r>
        <w:rPr>
          <w:rFonts w:hint="eastAsia"/>
          <w:sz w:val="21"/>
          <w:szCs w:val="21"/>
          <w:highlight w:val="none"/>
        </w:rPr>
        <w:t xml:space="preserve">%的扣除，对联合投标企业产品的价格给予2%的扣除（联合协议中约定，小型、微型企业的协议合同金额占到联合体协议合同总金额30%以上的，可给予联合体2%的价格扣除），以扣除后的价格作为评审价格。</w:t>
      </w:r>
      <w:r/>
    </w:p>
    <w:p>
      <w:pPr>
        <w:spacing w:line="360" w:lineRule="auto"/>
        <w:rPr>
          <w:sz w:val="21"/>
          <w:szCs w:val="21"/>
          <w:highlight w:val="none"/>
        </w:rPr>
      </w:pPr>
      <w:r>
        <w:rPr>
          <w:rFonts w:hint="eastAsia"/>
          <w:sz w:val="21"/>
          <w:szCs w:val="21"/>
          <w:highlight w:val="none"/>
        </w:rPr>
        <w:t xml:space="preserve">3、大中型企业和自然人、法人或者其他组织与小型、微型企业组成联合体共同参与投标，如果联合体协议中约定，小型、微型企业的协议合同金额占到联合体协议合同总金额的 30%以上的，给予联合体 2% 的的价格扣除。联合体各方均为小型、微型企业的，连合同视同为小型、微型企业享受</w:t>
      </w:r>
      <w:r>
        <w:rPr>
          <w:rFonts w:hint="eastAsia"/>
          <w:sz w:val="21"/>
          <w:szCs w:val="21"/>
          <w:highlight w:val="none"/>
          <w:lang w:val="en-US"/>
        </w:rPr>
        <w:t xml:space="preserve">5</w:t>
      </w:r>
      <w:r>
        <w:rPr>
          <w:rFonts w:hint="eastAsia"/>
          <w:sz w:val="21"/>
          <w:szCs w:val="21"/>
          <w:highlight w:val="none"/>
        </w:rPr>
        <w:t xml:space="preserve">%的价格扣除，用扣除后的价格参与评审。</w:t>
      </w:r>
      <w:r/>
    </w:p>
    <w:p>
      <w:pPr>
        <w:spacing w:line="360" w:lineRule="auto"/>
        <w:rPr>
          <w:sz w:val="21"/>
          <w:szCs w:val="21"/>
          <w:highlight w:val="none"/>
        </w:rPr>
      </w:pPr>
      <w:r>
        <w:rPr>
          <w:rFonts w:hint="eastAsia"/>
          <w:sz w:val="21"/>
          <w:szCs w:val="21"/>
          <w:highlight w:val="none"/>
        </w:rPr>
        <w:t xml:space="preserve">小企业（含小型、微型企业）应当同时符合以下条件：</w:t>
      </w:r>
      <w:r/>
    </w:p>
    <w:p>
      <w:pPr>
        <w:spacing w:line="360" w:lineRule="auto"/>
        <w:rPr>
          <w:sz w:val="21"/>
          <w:szCs w:val="21"/>
          <w:highlight w:val="none"/>
        </w:rPr>
      </w:pPr>
      <w:r>
        <w:rPr>
          <w:rFonts w:hint="eastAsia"/>
          <w:sz w:val="21"/>
          <w:szCs w:val="21"/>
          <w:highlight w:val="none"/>
        </w:rPr>
        <w:t xml:space="preserve">（1）供应商为小企业，且符合中小企业划分标准；</w:t>
      </w:r>
      <w:r/>
    </w:p>
    <w:p>
      <w:pPr>
        <w:spacing w:line="360" w:lineRule="auto"/>
        <w:rPr>
          <w:sz w:val="21"/>
          <w:szCs w:val="21"/>
          <w:highlight w:val="none"/>
        </w:rPr>
      </w:pPr>
      <w:r>
        <w:rPr>
          <w:rFonts w:hint="eastAsia"/>
          <w:sz w:val="21"/>
          <w:szCs w:val="21"/>
          <w:highlight w:val="none"/>
        </w:rPr>
        <w:t xml:space="preserve">（2）提供本企业制造的货物、承担的工程或者服务，或者提供其他小企业制造的货物。如果提供的货物为大中型企业注册商标的货物，视同大中型企业。</w:t>
      </w:r>
      <w:r/>
    </w:p>
    <w:p>
      <w:pPr>
        <w:spacing w:line="360" w:lineRule="auto"/>
        <w:rPr>
          <w:sz w:val="21"/>
          <w:szCs w:val="21"/>
          <w:highlight w:val="none"/>
        </w:rPr>
      </w:pPr>
      <w:r>
        <w:rPr>
          <w:rFonts w:hint="eastAsia"/>
          <w:sz w:val="21"/>
          <w:szCs w:val="21"/>
          <w:highlight w:val="none"/>
        </w:rPr>
        <w:t xml:space="preserve">4、监狱和戒毒企业的价格扣除：</w:t>
      </w:r>
      <w:r/>
    </w:p>
    <w:p>
      <w:pPr>
        <w:spacing w:line="360" w:lineRule="auto"/>
        <w:rPr>
          <w:sz w:val="21"/>
          <w:szCs w:val="21"/>
          <w:highlight w:val="none"/>
        </w:rPr>
      </w:pPr>
      <w:r>
        <w:rPr>
          <w:rFonts w:hint="eastAsia"/>
          <w:sz w:val="21"/>
          <w:szCs w:val="21"/>
          <w:highlight w:val="none"/>
        </w:rPr>
        <w:t xml:space="preserve">1.本项目对监狱和戒毒企业（简称监狱企业），给予</w:t>
      </w:r>
      <w:r>
        <w:rPr>
          <w:rFonts w:hint="eastAsia"/>
          <w:sz w:val="21"/>
          <w:szCs w:val="21"/>
          <w:highlight w:val="none"/>
          <w:lang w:val="en-US"/>
        </w:rPr>
        <w:t xml:space="preserve">10</w:t>
      </w:r>
      <w:r>
        <w:rPr>
          <w:rFonts w:hint="eastAsia"/>
          <w:sz w:val="21"/>
          <w:szCs w:val="21"/>
          <w:highlight w:val="none"/>
        </w:rPr>
        <w:t xml:space="preserve">%的价格扣除，用扣除后的价格参与评审。</w:t>
      </w:r>
      <w:r/>
    </w:p>
    <w:p>
      <w:pPr>
        <w:spacing w:line="360" w:lineRule="auto"/>
        <w:rPr>
          <w:sz w:val="21"/>
          <w:szCs w:val="21"/>
          <w:highlight w:val="none"/>
        </w:rPr>
      </w:pPr>
      <w:r>
        <w:rPr>
          <w:rFonts w:hint="eastAsia"/>
          <w:sz w:val="21"/>
          <w:szCs w:val="21"/>
          <w:highlight w:val="none"/>
        </w:rPr>
        <w:t xml:space="preserve">2.监狱企业需提供由省级以上监狱管理局、戒毒管理局（含新疆生产建设兵团）出具的属于监狱企业的证明文件。</w:t>
      </w:r>
      <w:r/>
    </w:p>
    <w:p>
      <w:pPr>
        <w:spacing w:line="360" w:lineRule="auto"/>
        <w:rPr>
          <w:sz w:val="21"/>
          <w:szCs w:val="21"/>
          <w:highlight w:val="none"/>
        </w:rPr>
      </w:pPr>
      <w:r>
        <w:rPr>
          <w:rFonts w:hint="eastAsia"/>
          <w:sz w:val="21"/>
          <w:szCs w:val="21"/>
          <w:highlight w:val="none"/>
        </w:rPr>
        <w:t xml:space="preserve">3.监狱企业标准请参照《关于政府采购支持监狱企业发展有关问题的通知》（财库〔201</w:t>
      </w:r>
      <w:r>
        <w:rPr>
          <w:rFonts w:hint="eastAsia"/>
          <w:sz w:val="21"/>
          <w:szCs w:val="21"/>
          <w:highlight w:val="none"/>
          <w:lang w:val="en-US"/>
        </w:rPr>
        <w:t xml:space="preserve">4</w:t>
      </w:r>
      <w:r>
        <w:rPr>
          <w:rFonts w:hint="eastAsia"/>
          <w:sz w:val="21"/>
          <w:szCs w:val="21"/>
          <w:highlight w:val="none"/>
        </w:rPr>
        <w:t xml:space="preserve">〕68 号）</w:t>
      </w:r>
      <w:r/>
    </w:p>
    <w:p>
      <w:pPr>
        <w:spacing w:line="360" w:lineRule="auto"/>
        <w:rPr>
          <w:sz w:val="21"/>
          <w:szCs w:val="21"/>
          <w:highlight w:val="none"/>
        </w:rPr>
      </w:pPr>
      <w:r>
        <w:rPr>
          <w:rFonts w:hint="eastAsia"/>
          <w:sz w:val="21"/>
          <w:szCs w:val="21"/>
          <w:highlight w:val="none"/>
        </w:rPr>
        <w:t xml:space="preserve">5、残疾人福利性单位的价格扣除</w:t>
      </w:r>
      <w:r/>
    </w:p>
    <w:p>
      <w:pPr>
        <w:spacing w:line="360" w:lineRule="auto"/>
        <w:rPr>
          <w:sz w:val="21"/>
          <w:szCs w:val="21"/>
          <w:highlight w:val="none"/>
        </w:rPr>
      </w:pPr>
      <w:r>
        <w:rPr>
          <w:rFonts w:hint="eastAsia"/>
          <w:sz w:val="21"/>
          <w:szCs w:val="21"/>
          <w:highlight w:val="none"/>
        </w:rPr>
        <w:t xml:space="preserve">1.本项目对残疾人福利单位，给予</w:t>
      </w:r>
      <w:r>
        <w:rPr>
          <w:rFonts w:hint="eastAsia"/>
          <w:sz w:val="21"/>
          <w:szCs w:val="21"/>
          <w:highlight w:val="none"/>
          <w:lang w:val="en-US"/>
        </w:rPr>
        <w:t xml:space="preserve">10</w:t>
      </w:r>
      <w:r>
        <w:rPr>
          <w:rFonts w:hint="eastAsia"/>
          <w:sz w:val="21"/>
          <w:szCs w:val="21"/>
          <w:highlight w:val="none"/>
        </w:rPr>
        <w:t xml:space="preserve">%的价格扣除，用扣除后的价格参与评审。</w:t>
      </w:r>
      <w:r/>
    </w:p>
    <w:p>
      <w:pPr>
        <w:spacing w:line="360" w:lineRule="auto"/>
        <w:rPr>
          <w:sz w:val="21"/>
          <w:szCs w:val="21"/>
          <w:highlight w:val="none"/>
        </w:rPr>
      </w:pPr>
      <w:r>
        <w:rPr>
          <w:rFonts w:hint="eastAsia"/>
          <w:sz w:val="21"/>
          <w:szCs w:val="21"/>
          <w:highlight w:val="none"/>
        </w:rPr>
        <w:t xml:space="preserve">2.残疾人福利单位需按照采购文件要求提供《残疾人福利单位申明函》</w:t>
      </w:r>
      <w:r/>
    </w:p>
    <w:p>
      <w:pPr>
        <w:spacing w:line="360" w:lineRule="auto"/>
        <w:rPr>
          <w:sz w:val="21"/>
          <w:szCs w:val="21"/>
          <w:highlight w:val="none"/>
        </w:rPr>
      </w:pPr>
      <w:r>
        <w:rPr>
          <w:rFonts w:hint="eastAsia"/>
          <w:sz w:val="21"/>
          <w:szCs w:val="21"/>
          <w:highlight w:val="none"/>
        </w:rPr>
        <w:t xml:space="preserve">3.残疾人福利单位标准请参照《关于促进残疾人就业政府采购政策的通知》（财库〔201</w:t>
      </w:r>
      <w:r>
        <w:rPr>
          <w:rFonts w:hint="eastAsia"/>
          <w:sz w:val="21"/>
          <w:szCs w:val="21"/>
          <w:highlight w:val="none"/>
          <w:lang w:val="en-US"/>
        </w:rPr>
        <w:t xml:space="preserve">7</w:t>
      </w:r>
      <w:r>
        <w:rPr>
          <w:rFonts w:hint="eastAsia"/>
          <w:sz w:val="21"/>
          <w:szCs w:val="21"/>
          <w:highlight w:val="none"/>
        </w:rPr>
        <w:t xml:space="preserve">〕141 号） </w:t>
      </w:r>
      <w:r/>
    </w:p>
    <w:p>
      <w:pPr>
        <w:spacing w:line="360" w:lineRule="auto"/>
        <w:rPr>
          <w:sz w:val="21"/>
          <w:szCs w:val="21"/>
          <w:highlight w:val="none"/>
        </w:rPr>
      </w:pPr>
      <w:r>
        <w:rPr>
          <w:rFonts w:hint="eastAsia"/>
          <w:sz w:val="21"/>
          <w:szCs w:val="21"/>
          <w:highlight w:val="none"/>
          <w:lang w:val="en-US"/>
        </w:rPr>
        <w:t xml:space="preserve">4</w:t>
      </w:r>
      <w:r>
        <w:rPr>
          <w:rFonts w:hint="eastAsia"/>
          <w:sz w:val="21"/>
          <w:szCs w:val="21"/>
          <w:highlight w:val="none"/>
        </w:rPr>
        <w:t xml:space="preserve">、监狱企业、残疾人福利单位属于小型、微型且的，不重复享受政策。</w:t>
      </w:r>
      <w:r/>
    </w:p>
    <w:p>
      <w:pPr>
        <w:spacing w:line="360" w:lineRule="auto"/>
        <w:rPr>
          <w:rFonts w:ascii="黑体" w:hAnsi="黑体" w:eastAsia="黑体" w:cs="黑体"/>
          <w:sz w:val="36"/>
          <w:szCs w:val="36"/>
          <w:highlight w:val="none"/>
        </w:rPr>
      </w:pPr>
      <w:r>
        <w:rPr>
          <w:rFonts w:hint="eastAsia"/>
          <w:sz w:val="21"/>
          <w:szCs w:val="21"/>
          <w:highlight w:val="none"/>
          <w:lang w:val="en-US"/>
        </w:rPr>
        <w:t xml:space="preserve">5</w:t>
      </w:r>
      <w:r>
        <w:rPr>
          <w:rFonts w:hint="eastAsia"/>
          <w:sz w:val="21"/>
          <w:szCs w:val="21"/>
          <w:highlight w:val="none"/>
        </w:rPr>
        <w:t xml:space="preserve">、所有认证、证明和业绩均以有效的复印件加盖公章，原件备查，评分标准中所含的主观分部分由各评委独立评分，计分时取各评委评分的平均值为某个投标人的本项得分（保留2位小数）。评标结果保留两位小数。</w:t>
      </w:r>
      <w:r>
        <w:rPr>
          <w:rFonts w:hint="eastAsia" w:ascii="黑体" w:hAnsi="黑体" w:eastAsia="黑体" w:cs="黑体"/>
          <w:sz w:val="36"/>
          <w:szCs w:val="36"/>
          <w:highlight w:val="none"/>
        </w:rPr>
        <w:br w:type="page" w:clear="all"/>
      </w:r>
      <w:r/>
    </w:p>
    <w:p>
      <w:pPr>
        <w:jc w:val="center"/>
        <w:spacing w:line="360" w:lineRule="auto"/>
        <w:rPr>
          <w:rFonts w:ascii="黑体" w:hAnsi="黑体" w:eastAsia="黑体" w:cs="黑体"/>
          <w:sz w:val="36"/>
          <w:szCs w:val="36"/>
          <w:highlight w:val="none"/>
        </w:rPr>
      </w:pPr>
      <w:r>
        <w:rPr>
          <w:rFonts w:hint="eastAsia" w:ascii="黑体" w:hAnsi="黑体" w:eastAsia="黑体" w:cs="黑体"/>
          <w:sz w:val="36"/>
          <w:szCs w:val="36"/>
          <w:highlight w:val="none"/>
        </w:rPr>
        <w:t xml:space="preserve">第五章 采购合同格式</w:t>
      </w:r>
      <w:r/>
    </w:p>
    <w:p>
      <w:pPr>
        <w:jc w:val="center"/>
        <w:rPr>
          <w:rFonts w:ascii="黑体" w:hAnsi="黑体" w:eastAsia="黑体" w:cs="黑体"/>
          <w:sz w:val="52"/>
          <w:highlight w:val="none"/>
        </w:rPr>
      </w:pPr>
      <w:r>
        <w:rPr>
          <w:rFonts w:hint="eastAsia" w:ascii="黑体" w:hAnsi="黑体" w:eastAsia="黑体" w:cs="黑体"/>
          <w:sz w:val="52"/>
          <w:highlight w:val="none"/>
        </w:rPr>
        <w:t xml:space="preserve">政府采购合同</w:t>
      </w:r>
      <w:r/>
    </w:p>
    <w:p>
      <w:pPr>
        <w:ind w:firstLine="315"/>
        <w:jc w:val="center"/>
        <w:rPr>
          <w:rFonts w:ascii="黑体" w:hAnsi="黑体" w:eastAsia="黑体" w:cs="黑体"/>
          <w:sz w:val="32"/>
          <w:highlight w:val="none"/>
        </w:rPr>
      </w:pPr>
      <w:r>
        <w:rPr>
          <w:rFonts w:hint="eastAsia" w:ascii="黑体" w:hAnsi="黑体" w:eastAsia="黑体" w:cs="黑体"/>
          <w:sz w:val="32"/>
          <w:highlight w:val="none"/>
        </w:rPr>
        <w:t xml:space="preserve">（仅供参考）</w:t>
      </w:r>
      <w:r/>
    </w:p>
    <w:p>
      <w:pPr>
        <w:ind w:firstLine="1600"/>
        <w:rPr>
          <w:rFonts w:ascii="黑体" w:hAnsi="黑体" w:eastAsia="黑体" w:cs="黑体"/>
          <w:sz w:val="32"/>
          <w:highlight w:val="none"/>
        </w:rPr>
      </w:pPr>
      <w:r>
        <w:rPr>
          <w:rFonts w:ascii="黑体" w:hAnsi="黑体" w:eastAsia="黑体" w:cs="黑体"/>
          <w:sz w:val="32"/>
          <w:highlight w:val="none"/>
        </w:rPr>
      </w:r>
      <w:r/>
    </w:p>
    <w:p>
      <w:pPr>
        <w:rPr>
          <w:rFonts w:ascii="黑体" w:hAnsi="黑体" w:eastAsia="黑体" w:cs="黑体"/>
          <w:sz w:val="32"/>
          <w:highlight w:val="none"/>
        </w:rPr>
      </w:pPr>
      <w:r>
        <w:rPr>
          <w:rFonts w:ascii="黑体" w:hAnsi="黑体" w:eastAsia="黑体" w:cs="黑体"/>
          <w:sz w:val="32"/>
          <w:highlight w:val="none"/>
        </w:rPr>
      </w:r>
      <w:r/>
    </w:p>
    <w:p>
      <w:pPr>
        <w:rPr>
          <w:rFonts w:ascii="黑体" w:hAnsi="黑体" w:eastAsia="黑体" w:cs="黑体"/>
          <w:sz w:val="36"/>
          <w:highlight w:val="none"/>
        </w:rPr>
      </w:pPr>
      <w:r>
        <w:rPr>
          <w:rFonts w:ascii="黑体" w:hAnsi="黑体" w:eastAsia="黑体" w:cs="黑体"/>
          <w:sz w:val="36"/>
          <w:highlight w:val="none"/>
        </w:rPr>
      </w:r>
      <w:r/>
    </w:p>
    <w:p>
      <w:pPr>
        <w:rPr>
          <w:rFonts w:ascii="黑体" w:hAnsi="黑体" w:eastAsia="黑体" w:cs="黑体"/>
          <w:sz w:val="36"/>
          <w:highlight w:val="none"/>
        </w:rPr>
      </w:pPr>
      <w:r>
        <w:rPr>
          <w:rFonts w:ascii="黑体" w:hAnsi="黑体" w:eastAsia="黑体" w:cs="黑体"/>
          <w:sz w:val="36"/>
          <w:highlight w:val="none"/>
        </w:rPr>
      </w:r>
      <w:r/>
    </w:p>
    <w:p>
      <w:pPr>
        <w:ind w:firstLine="1440"/>
        <w:rPr>
          <w:rFonts w:ascii="黑体" w:hAnsi="黑体" w:eastAsia="黑体" w:cs="黑体"/>
          <w:sz w:val="36"/>
          <w:highlight w:val="none"/>
          <w:u w:val="single"/>
        </w:rPr>
      </w:pPr>
      <w:r>
        <w:rPr>
          <w:rFonts w:hint="eastAsia" w:ascii="黑体" w:hAnsi="黑体" w:eastAsia="黑体" w:cs="黑体"/>
          <w:sz w:val="36"/>
          <w:highlight w:val="none"/>
        </w:rPr>
        <w:t xml:space="preserve">项目编号 ：</w:t>
      </w:r>
      <w:r/>
    </w:p>
    <w:p>
      <w:pPr>
        <w:ind w:firstLine="1440"/>
        <w:rPr>
          <w:rFonts w:ascii="黑体" w:hAnsi="黑体" w:eastAsia="黑体" w:cs="黑体"/>
          <w:sz w:val="28"/>
          <w:szCs w:val="28"/>
          <w:highlight w:val="none"/>
          <w:u w:val="single"/>
        </w:rPr>
      </w:pPr>
      <w:r>
        <w:rPr>
          <w:rFonts w:hint="eastAsia" w:ascii="黑体" w:hAnsi="黑体" w:eastAsia="黑体" w:cs="黑体"/>
          <w:sz w:val="36"/>
          <w:highlight w:val="none"/>
        </w:rPr>
        <w:t xml:space="preserve">项目名称 ：</w:t>
      </w:r>
      <w:r/>
    </w:p>
    <w:p>
      <w:pPr>
        <w:ind w:firstLine="1440"/>
        <w:rPr>
          <w:rFonts w:ascii="黑体" w:hAnsi="黑体" w:eastAsia="黑体" w:cs="黑体"/>
          <w:sz w:val="28"/>
          <w:szCs w:val="28"/>
          <w:highlight w:val="none"/>
          <w:u w:val="single"/>
        </w:rPr>
      </w:pPr>
      <w:r>
        <w:rPr>
          <w:rFonts w:hint="eastAsia" w:ascii="黑体" w:hAnsi="黑体" w:eastAsia="黑体" w:cs="黑体"/>
          <w:sz w:val="36"/>
          <w:highlight w:val="none"/>
        </w:rPr>
        <w:t xml:space="preserve">使用单位 ：</w:t>
      </w:r>
      <w:r/>
    </w:p>
    <w:p>
      <w:pPr>
        <w:ind w:firstLine="1440"/>
        <w:rPr>
          <w:rFonts w:ascii="黑体" w:hAnsi="黑体" w:eastAsia="黑体" w:cs="黑体"/>
          <w:sz w:val="36"/>
          <w:highlight w:val="none"/>
        </w:rPr>
      </w:pPr>
      <w:r>
        <w:rPr>
          <w:rFonts w:hint="eastAsia" w:ascii="黑体" w:hAnsi="黑体" w:eastAsia="黑体" w:cs="黑体"/>
          <w:sz w:val="36"/>
          <w:highlight w:val="none"/>
        </w:rPr>
        <w:t xml:space="preserve">供货单位 ：</w:t>
      </w:r>
      <w:r/>
    </w:p>
    <w:p>
      <w:pPr>
        <w:ind w:firstLine="1440"/>
        <w:rPr>
          <w:rFonts w:ascii="黑体" w:hAnsi="黑体" w:eastAsia="黑体" w:cs="黑体"/>
          <w:sz w:val="36"/>
          <w:highlight w:val="none"/>
        </w:rPr>
      </w:pPr>
      <w:r>
        <w:rPr>
          <w:rFonts w:hint="eastAsia" w:ascii="黑体" w:hAnsi="黑体" w:eastAsia="黑体" w:cs="黑体"/>
          <w:sz w:val="36"/>
          <w:highlight w:val="none"/>
        </w:rPr>
        <w:t xml:space="preserve">签订日期 ：</w:t>
      </w:r>
      <w:r/>
    </w:p>
    <w:p>
      <w:pPr>
        <w:rPr>
          <w:rFonts w:ascii="黑体" w:hAnsi="黑体" w:eastAsia="黑体" w:cs="黑体"/>
          <w:szCs w:val="21"/>
          <w:highlight w:val="none"/>
        </w:rPr>
      </w:pPr>
      <w:r>
        <w:rPr>
          <w:rFonts w:ascii="黑体" w:hAnsi="黑体" w:eastAsia="黑体" w:cs="黑体"/>
          <w:szCs w:val="21"/>
          <w:highlight w:val="none"/>
        </w:rPr>
        <w:br w:type="page" w:clear="all"/>
      </w:r>
      <w:r/>
    </w:p>
    <w:p>
      <w:pPr>
        <w:pStyle w:val="1147"/>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第一部分 合同协议书</w:t>
      </w:r>
      <w:r/>
    </w:p>
    <w:p>
      <w:pPr>
        <w:spacing w:line="360" w:lineRule="auto"/>
        <w:rPr>
          <w:rFonts w:hint="default" w:asciiTheme="majorEastAsia" w:hAnsiTheme="majorEastAsia" w:eastAsiaTheme="majorEastAsia" w:cstheme="majorEastAsia"/>
          <w:b w:val="0"/>
          <w:bCs w:val="0"/>
          <w:sz w:val="24"/>
          <w:szCs w:val="24"/>
          <w:highlight w:val="none"/>
          <w:u w:val="single"/>
          <w:lang w:val="en-US" w:eastAsia="zh-CN" w:bidi="zh-CN"/>
        </w:rPr>
      </w:pPr>
      <w:r>
        <w:rPr>
          <w:rFonts w:hint="eastAsia" w:asciiTheme="majorEastAsia" w:hAnsiTheme="majorEastAsia" w:eastAsiaTheme="majorEastAsia" w:cstheme="majorEastAsia"/>
          <w:sz w:val="24"/>
          <w:szCs w:val="24"/>
          <w:highlight w:val="none"/>
        </w:rPr>
        <w:t xml:space="preserve">发包人（全称）：</w:t>
      </w:r>
      <w:r>
        <w:rPr>
          <w:rFonts w:hint="eastAsia" w:asciiTheme="majorEastAsia" w:hAnsiTheme="majorEastAsia" w:eastAsiaTheme="majorEastAsia" w:cstheme="majorEastAsia"/>
          <w:sz w:val="24"/>
          <w:szCs w:val="24"/>
          <w:highlight w:val="none"/>
          <w:u w:val="single"/>
        </w:rPr>
        <w:t xml:space="preserve">南京市江宁区人民政府秣陵街道办事处</w:t>
      </w:r>
      <w:r>
        <w:rPr>
          <w:rFonts w:hint="eastAsia" w:asciiTheme="majorEastAsia" w:hAnsiTheme="majorEastAsia" w:eastAsiaTheme="majorEastAsia" w:cstheme="majorEastAsia"/>
          <w:sz w:val="24"/>
          <w:szCs w:val="24"/>
          <w:highlight w:val="none"/>
          <w:u w:val="single"/>
          <w:lang w:eastAsia="zh-CN"/>
        </w:rPr>
        <w:t xml:space="preserve">；</w:t>
      </w:r>
      <w:r/>
    </w:p>
    <w:p>
      <w:pPr>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承包人（全称）：</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根据</w:t>
      </w:r>
      <w:r>
        <w:rPr>
          <w:rFonts w:hint="eastAsia" w:asciiTheme="majorEastAsia" w:hAnsiTheme="majorEastAsia" w:eastAsiaTheme="majorEastAsia" w:cstheme="majorEastAsia"/>
          <w:sz w:val="24"/>
          <w:szCs w:val="24"/>
          <w:highlight w:val="none"/>
          <w:lang w:eastAsia="zh-CN"/>
        </w:rPr>
        <w:t xml:space="preserve">《中华人民共和国民法典》</w:t>
      </w:r>
      <w:r>
        <w:rPr>
          <w:rFonts w:hint="eastAsia" w:asciiTheme="majorEastAsia" w:hAnsiTheme="majorEastAsia" w:eastAsiaTheme="majorEastAsia" w:cstheme="majorEastAsia"/>
          <w:sz w:val="24"/>
          <w:szCs w:val="24"/>
          <w:highlight w:val="none"/>
        </w:rPr>
        <w:t xml:space="preserve">及有关法律规定，遵循平等、自愿、公平和诚实信用的原则，双方就 </w:t>
      </w:r>
      <w:r>
        <w:rPr>
          <w:rFonts w:hint="eastAsia" w:asciiTheme="majorEastAsia" w:hAnsiTheme="majorEastAsia" w:eastAsiaTheme="majorEastAsia" w:cstheme="majorEastAsia"/>
          <w:sz w:val="24"/>
          <w:szCs w:val="24"/>
          <w:highlight w:val="none"/>
          <w:u w:val="single"/>
          <w:lang w:eastAsia="zh-CN"/>
        </w:rPr>
        <w:t xml:space="preserve">秣陵街道社区卫生服务中心体检科改造工程</w:t>
      </w:r>
      <w:r>
        <w:rPr>
          <w:rFonts w:hint="eastAsia" w:asciiTheme="majorEastAsia" w:hAnsiTheme="majorEastAsia" w:eastAsiaTheme="majorEastAsia" w:cstheme="majorEastAsia"/>
          <w:sz w:val="24"/>
          <w:szCs w:val="24"/>
          <w:highlight w:val="none"/>
        </w:rPr>
        <w:t xml:space="preserve">施工及有关事项协商一致，共同达成如下协议：</w:t>
      </w:r>
      <w:r/>
    </w:p>
    <w:p>
      <w:pPr>
        <w:ind w:firstLine="470"/>
        <w:spacing w:line="360" w:lineRule="auto"/>
        <w:rPr>
          <w:rFonts w:asciiTheme="majorEastAsia" w:hAnsiTheme="majorEastAsia" w:eastAsiaTheme="majorEastAsia" w:cstheme="majorEastAsia"/>
          <w:sz w:val="24"/>
          <w:szCs w:val="24"/>
          <w:highlight w:val="none"/>
        </w:rPr>
      </w:pPr>
      <w:r/>
      <w:bookmarkStart w:id="93" w:name="_Toc351203481"/>
      <w:r>
        <w:rPr>
          <w:rFonts w:hint="eastAsia" w:asciiTheme="majorEastAsia" w:hAnsiTheme="majorEastAsia" w:eastAsiaTheme="majorEastAsia" w:cstheme="majorEastAsia"/>
          <w:sz w:val="24"/>
          <w:szCs w:val="24"/>
          <w:highlight w:val="none"/>
        </w:rPr>
        <w:t xml:space="preserve">一、工程概况</w:t>
      </w:r>
      <w:bookmarkEnd w:id="93"/>
      <w:r/>
      <w:r/>
    </w:p>
    <w:p>
      <w:pPr>
        <w:ind w:firstLine="470"/>
        <w:spacing w:line="360" w:lineRule="auto"/>
        <w:rPr>
          <w:rFonts w:hint="default" w:asciiTheme="majorEastAsia" w:hAnsiTheme="majorEastAsia" w:eastAsiaTheme="majorEastAsia" w:cstheme="majorEastAsia"/>
          <w:sz w:val="24"/>
          <w:szCs w:val="24"/>
          <w:highlight w:val="none"/>
          <w:u w:val="single"/>
          <w:lang w:eastAsia="zh-CN"/>
        </w:rPr>
      </w:pPr>
      <w:r>
        <w:rPr>
          <w:rFonts w:hint="eastAsia" w:asciiTheme="majorEastAsia" w:hAnsiTheme="majorEastAsia" w:eastAsiaTheme="majorEastAsia" w:cstheme="majorEastAsia"/>
          <w:sz w:val="24"/>
          <w:szCs w:val="24"/>
          <w:highlight w:val="none"/>
        </w:rPr>
        <w:t xml:space="preserve">1.工程名称：</w:t>
      </w:r>
      <w:r>
        <w:rPr>
          <w:rFonts w:hint="eastAsia" w:asciiTheme="majorEastAsia" w:hAnsiTheme="majorEastAsia" w:eastAsiaTheme="majorEastAsia" w:cstheme="majorEastAsia"/>
          <w:sz w:val="24"/>
          <w:szCs w:val="24"/>
          <w:highlight w:val="none"/>
          <w:u w:val="single"/>
          <w:lang w:eastAsia="zh-CN"/>
        </w:rPr>
        <w:t xml:space="preserve">秣陵街道社区卫生服务中心体检科改造工程</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2.工程地点：</w:t>
      </w:r>
      <w:r>
        <w:rPr>
          <w:rFonts w:hint="eastAsia" w:asciiTheme="majorEastAsia" w:hAnsiTheme="majorEastAsia" w:eastAsiaTheme="majorEastAsia" w:cstheme="majorEastAsia"/>
          <w:sz w:val="24"/>
          <w:szCs w:val="24"/>
          <w:highlight w:val="none"/>
          <w:u w:val="single"/>
        </w:rPr>
        <w:t xml:space="preserve">   南京市江宁区秣陵街道</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3.资金来源：。</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4.工程内容：</w:t>
      </w:r>
      <w:r>
        <w:rPr>
          <w:rFonts w:hint="eastAsia" w:asciiTheme="majorEastAsia" w:hAnsiTheme="majorEastAsia" w:eastAsiaTheme="majorEastAsia" w:cstheme="majorEastAsia"/>
          <w:sz w:val="24"/>
          <w:szCs w:val="24"/>
          <w:highlight w:val="none"/>
          <w:u w:val="single"/>
          <w:lang w:eastAsia="zh-CN"/>
        </w:rPr>
        <w:t xml:space="preserve">秣陵街道社区卫生服务中心体检科改造工程</w:t>
      </w:r>
      <w:r>
        <w:rPr>
          <w:rFonts w:hint="eastAsia" w:asciiTheme="majorEastAsia" w:hAnsiTheme="majorEastAsia" w:eastAsiaTheme="majorEastAsia" w:cstheme="majorEastAsia"/>
          <w:sz w:val="24"/>
          <w:szCs w:val="24"/>
          <w:highlight w:val="none"/>
          <w:u w:val="single"/>
        </w:rPr>
        <w:t xml:space="preserve">。</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群体工程应附《承包人承揽工程项目一览表》（附件1）。</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5.工程承包范围：</w:t>
      </w:r>
      <w:r>
        <w:rPr>
          <w:rFonts w:hint="eastAsia" w:asciiTheme="majorEastAsia" w:hAnsiTheme="majorEastAsia" w:eastAsiaTheme="majorEastAsia" w:cstheme="majorEastAsia"/>
          <w:sz w:val="24"/>
          <w:szCs w:val="24"/>
          <w:highlight w:val="none"/>
          <w:u w:val="single"/>
          <w:lang w:eastAsia="zh-CN"/>
        </w:rPr>
        <w:t xml:space="preserve">秣陵街道社区卫生服务中心体检科改造工程</w:t>
      </w:r>
      <w:r>
        <w:rPr>
          <w:rFonts w:hint="eastAsia" w:asciiTheme="majorEastAsia" w:hAnsiTheme="majorEastAsia" w:eastAsiaTheme="majorEastAsia" w:cstheme="majorEastAsia"/>
          <w:sz w:val="24"/>
          <w:szCs w:val="24"/>
          <w:highlight w:val="none"/>
          <w:u w:val="single"/>
        </w:rPr>
        <w:t xml:space="preserve">。</w:t>
      </w:r>
      <w:r/>
    </w:p>
    <w:p>
      <w:pPr>
        <w:ind w:firstLine="352"/>
        <w:spacing w:line="360" w:lineRule="auto"/>
        <w:rPr>
          <w:rFonts w:asciiTheme="majorEastAsia" w:hAnsiTheme="majorEastAsia" w:eastAsiaTheme="majorEastAsia" w:cstheme="majorEastAsia"/>
          <w:sz w:val="24"/>
          <w:szCs w:val="24"/>
          <w:highlight w:val="none"/>
        </w:rPr>
      </w:pPr>
      <w:r/>
      <w:bookmarkStart w:id="94" w:name="_Toc351203482"/>
      <w:r>
        <w:rPr>
          <w:rFonts w:hint="eastAsia" w:asciiTheme="majorEastAsia" w:hAnsiTheme="majorEastAsia" w:eastAsiaTheme="majorEastAsia" w:cstheme="majorEastAsia"/>
          <w:sz w:val="24"/>
          <w:szCs w:val="24"/>
          <w:highlight w:val="none"/>
        </w:rPr>
        <w:t xml:space="preserve">二、合同工期</w:t>
      </w:r>
      <w:bookmarkEnd w:id="94"/>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计划开工日期：年月日。</w:t>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计划竣工日期：年月日。</w:t>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工期总日历天数：天。工期总日历天数与根据前述计划开竣工日期计算的工期天数不一致的，以工期总日历天数为准。</w:t>
      </w:r>
      <w:r/>
    </w:p>
    <w:p>
      <w:pPr>
        <w:ind w:firstLine="470"/>
        <w:spacing w:line="360" w:lineRule="auto"/>
        <w:rPr>
          <w:rFonts w:asciiTheme="majorEastAsia" w:hAnsiTheme="majorEastAsia" w:eastAsiaTheme="majorEastAsia" w:cstheme="majorEastAsia"/>
          <w:sz w:val="24"/>
          <w:szCs w:val="24"/>
          <w:highlight w:val="none"/>
        </w:rPr>
      </w:pPr>
      <w:r/>
      <w:bookmarkStart w:id="95" w:name="_Toc351203483"/>
      <w:r>
        <w:rPr>
          <w:rFonts w:hint="eastAsia" w:asciiTheme="majorEastAsia" w:hAnsiTheme="majorEastAsia" w:eastAsiaTheme="majorEastAsia" w:cstheme="majorEastAsia"/>
          <w:sz w:val="24"/>
          <w:szCs w:val="24"/>
          <w:highlight w:val="none"/>
        </w:rPr>
        <w:t xml:space="preserve">三、质量标准</w:t>
      </w:r>
      <w:bookmarkEnd w:id="95"/>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工程质量符合</w:t>
      </w:r>
      <w:r>
        <w:rPr>
          <w:rFonts w:hint="eastAsia" w:asciiTheme="majorEastAsia" w:hAnsiTheme="majorEastAsia" w:eastAsiaTheme="majorEastAsia" w:cstheme="majorEastAsia"/>
          <w:spacing w:val="10"/>
          <w:sz w:val="24"/>
          <w:szCs w:val="24"/>
          <w:highlight w:val="none"/>
          <w:u w:val="single"/>
        </w:rPr>
        <w:t xml:space="preserve">合格。</w:t>
      </w:r>
      <w:r/>
    </w:p>
    <w:p>
      <w:pPr>
        <w:ind w:firstLine="470"/>
        <w:spacing w:line="360" w:lineRule="auto"/>
        <w:rPr>
          <w:rFonts w:asciiTheme="majorEastAsia" w:hAnsiTheme="majorEastAsia" w:eastAsiaTheme="majorEastAsia" w:cstheme="majorEastAsia"/>
          <w:sz w:val="24"/>
          <w:szCs w:val="24"/>
          <w:highlight w:val="none"/>
        </w:rPr>
      </w:pPr>
      <w:r/>
      <w:bookmarkStart w:id="96" w:name="_Toc351203484"/>
      <w:r/>
      <w:bookmarkStart w:id="97" w:name="_Toc351203485"/>
      <w:r>
        <w:rPr>
          <w:rFonts w:hint="eastAsia" w:asciiTheme="majorEastAsia" w:hAnsiTheme="majorEastAsia" w:eastAsiaTheme="majorEastAsia" w:cstheme="majorEastAsia"/>
          <w:sz w:val="24"/>
          <w:szCs w:val="24"/>
          <w:highlight w:val="none"/>
        </w:rPr>
        <w:t xml:space="preserve">四、签约合同价与合同价格形式</w:t>
      </w:r>
      <w:bookmarkEnd w:id="96"/>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1.签约合同价为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w:t>
      </w:r>
      <w:r>
        <w:rPr>
          <w:rFonts w:hint="eastAsia" w:asciiTheme="majorEastAsia" w:hAnsiTheme="majorEastAsia" w:eastAsiaTheme="majorEastAsia" w:cstheme="majorEastAsia"/>
          <w:sz w:val="24"/>
          <w:szCs w:val="24"/>
          <w:highlight w:val="none"/>
          <w:u w:val="single"/>
        </w:rPr>
        <w:t xml:space="preserve">                                (¥                   元)；</w:t>
      </w:r>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其中：</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（）安全文明施工费：</w:t>
      </w:r>
      <w:r>
        <w:rPr>
          <w:rFonts w:hint="eastAsia" w:asciiTheme="majorEastAsia" w:hAnsiTheme="majorEastAsia" w:eastAsiaTheme="majorEastAsia" w:cstheme="majorEastAsia"/>
          <w:sz w:val="24"/>
          <w:szCs w:val="24"/>
          <w:highlight w:val="none"/>
          <w:u w:val="single"/>
        </w:rPr>
        <w:t xml:space="preserve">                          (¥                   元)；</w:t>
      </w:r>
      <w:r/>
    </w:p>
    <w:p>
      <w:pPr>
        <w:ind w:firstLine="10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（2）材料和工程设备暂估价金额：</w:t>
      </w:r>
      <w:r/>
    </w:p>
    <w:p>
      <w:pPr>
        <w:ind w:firstLine="10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 (¥元)；</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（3）专业工程暂估价金额：</w:t>
      </w:r>
      <w:r/>
    </w:p>
    <w:p>
      <w:pPr>
        <w:ind w:firstLine="10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 (¥元)；</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（4）暂列金额：</w:t>
      </w:r>
      <w:r/>
    </w:p>
    <w:p>
      <w:pPr>
        <w:ind w:firstLine="10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 (¥元)。</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2.合同价格形式：</w:t>
      </w:r>
      <w:r>
        <w:rPr>
          <w:rFonts w:hint="eastAsia" w:asciiTheme="majorEastAsia" w:hAnsiTheme="majorEastAsia" w:eastAsiaTheme="majorEastAsia" w:cstheme="majorEastAsia"/>
          <w:sz w:val="24"/>
          <w:szCs w:val="24"/>
          <w:highlight w:val="none"/>
          <w:u w:val="single"/>
        </w:rPr>
        <w:t xml:space="preserve">固定单价 </w:t>
      </w:r>
      <w:r>
        <w:rPr>
          <w:rFonts w:hint="eastAsia" w:asciiTheme="majorEastAsia" w:hAnsiTheme="majorEastAsia" w:eastAsiaTheme="majorEastAsia" w:cstheme="majorEastAsia"/>
          <w:sz w:val="24"/>
          <w:szCs w:val="24"/>
          <w:highlight w:val="none"/>
        </w:rPr>
        <w:t xml:space="preserve">。</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w:t>
      </w:r>
      <w:bookmarkEnd w:id="97"/>
      <w:r>
        <w:rPr>
          <w:rFonts w:hint="eastAsia" w:asciiTheme="majorEastAsia" w:hAnsiTheme="majorEastAsia" w:eastAsiaTheme="majorEastAsia" w:cstheme="majorEastAsia"/>
          <w:sz w:val="24"/>
          <w:szCs w:val="24"/>
          <w:highlight w:val="none"/>
        </w:rPr>
        <w:t xml:space="preserve">项目经理</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承包人项目经理：。</w:t>
      </w:r>
      <w:r/>
    </w:p>
    <w:p>
      <w:pPr>
        <w:ind w:firstLine="470"/>
        <w:spacing w:line="360" w:lineRule="auto"/>
        <w:rPr>
          <w:rFonts w:asciiTheme="majorEastAsia" w:hAnsiTheme="majorEastAsia" w:eastAsiaTheme="majorEastAsia" w:cstheme="majorEastAsia"/>
          <w:sz w:val="24"/>
          <w:szCs w:val="24"/>
          <w:highlight w:val="none"/>
        </w:rPr>
      </w:pPr>
      <w:r/>
      <w:bookmarkStart w:id="98" w:name="_Toc351203486"/>
      <w:r>
        <w:rPr>
          <w:rFonts w:hint="eastAsia" w:asciiTheme="majorEastAsia" w:hAnsiTheme="majorEastAsia" w:eastAsiaTheme="majorEastAsia" w:cstheme="majorEastAsia"/>
          <w:sz w:val="24"/>
          <w:szCs w:val="24"/>
          <w:highlight w:val="none"/>
        </w:rPr>
        <w:t xml:space="preserve">六、合同文件构成</w:t>
      </w:r>
      <w:bookmarkEnd w:id="98"/>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本协议书与下列文件一起构成合同文件：</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（1）中标通知书（如果有）；</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（2）投标函及其附录（如果有）；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（3）专用合同条款及其附件；</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（4）通用合同条款；</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（5）技术标准和要求；</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（6）图纸；</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（7）已标价工程量清单或预算书；</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（8）其他合同文件。</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在合同订立及履行过程中形成的与合同有关的文件均构成合同文件组成部分。</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0"/>
        <w:spacing w:line="360" w:lineRule="auto"/>
        <w:rPr>
          <w:rFonts w:asciiTheme="majorEastAsia" w:hAnsiTheme="majorEastAsia" w:eastAsiaTheme="majorEastAsia" w:cstheme="majorEastAsia"/>
          <w:sz w:val="24"/>
          <w:szCs w:val="24"/>
          <w:highlight w:val="none"/>
        </w:rPr>
      </w:pPr>
      <w:r/>
      <w:bookmarkStart w:id="99" w:name="_Toc351203487"/>
      <w:r>
        <w:rPr>
          <w:rFonts w:hint="eastAsia" w:asciiTheme="majorEastAsia" w:hAnsiTheme="majorEastAsia" w:eastAsiaTheme="majorEastAsia" w:cstheme="majorEastAsia"/>
          <w:sz w:val="24"/>
          <w:szCs w:val="24"/>
          <w:highlight w:val="none"/>
        </w:rPr>
        <w:t xml:space="preserve">七、承诺</w:t>
      </w:r>
      <w:bookmarkEnd w:id="99"/>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3.发包人和承包人通过招投标形式签订合同的，双方理解并承诺不再就同一工程另行签订与合同实质性内容相背离的协议。</w:t>
      </w:r>
      <w:r/>
    </w:p>
    <w:p>
      <w:pPr>
        <w:ind w:firstLine="470"/>
        <w:spacing w:line="360" w:lineRule="auto"/>
        <w:rPr>
          <w:rFonts w:asciiTheme="majorEastAsia" w:hAnsiTheme="majorEastAsia" w:eastAsiaTheme="majorEastAsia" w:cstheme="majorEastAsia"/>
          <w:sz w:val="24"/>
          <w:szCs w:val="24"/>
          <w:highlight w:val="none"/>
        </w:rPr>
      </w:pPr>
      <w:r/>
      <w:bookmarkStart w:id="100" w:name="_Toc351203488"/>
      <w:r>
        <w:rPr>
          <w:rFonts w:hint="eastAsia" w:asciiTheme="majorEastAsia" w:hAnsiTheme="majorEastAsia" w:eastAsiaTheme="majorEastAsia" w:cstheme="majorEastAsia"/>
          <w:sz w:val="24"/>
          <w:szCs w:val="24"/>
          <w:highlight w:val="none"/>
        </w:rPr>
        <w:t xml:space="preserve">八、词语含义</w:t>
      </w:r>
      <w:bookmarkEnd w:id="100"/>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本协议书中词语含义与第二部分通用合同条款中赋予的含义相同。</w:t>
      </w:r>
      <w:r/>
    </w:p>
    <w:p>
      <w:pPr>
        <w:ind w:firstLine="470"/>
        <w:spacing w:line="360" w:lineRule="auto"/>
        <w:rPr>
          <w:rFonts w:asciiTheme="majorEastAsia" w:hAnsiTheme="majorEastAsia" w:eastAsiaTheme="majorEastAsia" w:cstheme="majorEastAsia"/>
          <w:sz w:val="24"/>
          <w:szCs w:val="24"/>
          <w:highlight w:val="none"/>
        </w:rPr>
      </w:pPr>
      <w:r/>
      <w:bookmarkStart w:id="101" w:name="_Toc351203489"/>
      <w:r>
        <w:rPr>
          <w:rFonts w:hint="eastAsia" w:asciiTheme="majorEastAsia" w:hAnsiTheme="majorEastAsia" w:eastAsiaTheme="majorEastAsia" w:cstheme="majorEastAsia"/>
          <w:sz w:val="24"/>
          <w:szCs w:val="24"/>
          <w:highlight w:val="none"/>
        </w:rPr>
        <w:t xml:space="preserve">九、签订时间</w:t>
      </w:r>
      <w:bookmarkEnd w:id="101"/>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本合同于年月日签订。</w:t>
      </w:r>
      <w:r/>
    </w:p>
    <w:p>
      <w:pPr>
        <w:ind w:firstLine="470"/>
        <w:spacing w:line="360" w:lineRule="auto"/>
        <w:rPr>
          <w:rFonts w:asciiTheme="majorEastAsia" w:hAnsiTheme="majorEastAsia" w:eastAsiaTheme="majorEastAsia" w:cstheme="majorEastAsia"/>
          <w:sz w:val="24"/>
          <w:szCs w:val="24"/>
          <w:highlight w:val="none"/>
        </w:rPr>
      </w:pPr>
      <w:r/>
      <w:bookmarkStart w:id="102" w:name="_Toc351203490"/>
      <w:r>
        <w:rPr>
          <w:rFonts w:hint="eastAsia" w:asciiTheme="majorEastAsia" w:hAnsiTheme="majorEastAsia" w:eastAsiaTheme="majorEastAsia" w:cstheme="majorEastAsia"/>
          <w:sz w:val="24"/>
          <w:szCs w:val="24"/>
          <w:highlight w:val="none"/>
        </w:rPr>
        <w:t xml:space="preserve">十、签订地点</w:t>
      </w:r>
      <w:bookmarkEnd w:id="102"/>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本合同在签订。</w:t>
      </w:r>
      <w:r/>
    </w:p>
    <w:p>
      <w:pPr>
        <w:ind w:firstLine="470"/>
        <w:spacing w:line="360" w:lineRule="auto"/>
        <w:rPr>
          <w:rFonts w:asciiTheme="majorEastAsia" w:hAnsiTheme="majorEastAsia" w:eastAsiaTheme="majorEastAsia" w:cstheme="majorEastAsia"/>
          <w:sz w:val="24"/>
          <w:szCs w:val="24"/>
          <w:highlight w:val="none"/>
        </w:rPr>
      </w:pPr>
      <w:r/>
      <w:bookmarkStart w:id="103" w:name="_Toc351203491"/>
      <w:r>
        <w:rPr>
          <w:rFonts w:hint="eastAsia" w:asciiTheme="majorEastAsia" w:hAnsiTheme="majorEastAsia" w:eastAsiaTheme="majorEastAsia" w:cstheme="majorEastAsia"/>
          <w:sz w:val="24"/>
          <w:szCs w:val="24"/>
          <w:highlight w:val="none"/>
        </w:rPr>
        <w:t xml:space="preserve">十一、补充协议</w:t>
      </w:r>
      <w:bookmarkEnd w:id="103"/>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合同未尽事宜，合同当事人另行签订补充协议，补充协议是合同的组成部分。</w:t>
      </w:r>
      <w:r/>
    </w:p>
    <w:p>
      <w:pPr>
        <w:ind w:firstLine="470"/>
        <w:spacing w:line="360" w:lineRule="auto"/>
        <w:rPr>
          <w:rFonts w:asciiTheme="majorEastAsia" w:hAnsiTheme="majorEastAsia" w:eastAsiaTheme="majorEastAsia" w:cstheme="majorEastAsia"/>
          <w:sz w:val="24"/>
          <w:szCs w:val="24"/>
          <w:highlight w:val="none"/>
        </w:rPr>
      </w:pPr>
      <w:r/>
      <w:bookmarkStart w:id="104" w:name="_Toc351203492"/>
      <w:r>
        <w:rPr>
          <w:rFonts w:hint="eastAsia" w:asciiTheme="majorEastAsia" w:hAnsiTheme="majorEastAsia" w:eastAsiaTheme="majorEastAsia" w:cstheme="majorEastAsia"/>
          <w:sz w:val="24"/>
          <w:szCs w:val="24"/>
          <w:highlight w:val="none"/>
        </w:rPr>
        <w:t xml:space="preserve">十二、合同生效</w:t>
      </w:r>
      <w:bookmarkEnd w:id="104"/>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本合同自生效。</w:t>
      </w:r>
      <w:r/>
    </w:p>
    <w:p>
      <w:pPr>
        <w:ind w:firstLine="470"/>
        <w:spacing w:line="360" w:lineRule="auto"/>
        <w:rPr>
          <w:rFonts w:asciiTheme="majorEastAsia" w:hAnsiTheme="majorEastAsia" w:eastAsiaTheme="majorEastAsia" w:cstheme="majorEastAsia"/>
          <w:sz w:val="24"/>
          <w:szCs w:val="24"/>
          <w:highlight w:val="none"/>
        </w:rPr>
      </w:pPr>
      <w:r/>
      <w:bookmarkStart w:id="105" w:name="_Toc351203493"/>
      <w:r>
        <w:rPr>
          <w:rFonts w:hint="eastAsia" w:asciiTheme="majorEastAsia" w:hAnsiTheme="majorEastAsia" w:eastAsiaTheme="majorEastAsia" w:cstheme="majorEastAsia"/>
          <w:sz w:val="24"/>
          <w:szCs w:val="24"/>
          <w:highlight w:val="none"/>
        </w:rPr>
        <w:t xml:space="preserve">十三、合同份数</w:t>
      </w:r>
      <w:bookmarkEnd w:id="105"/>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本合同一式份，均具有同等法律效力，发包人执份，承包人执份。</w:t>
      </w:r>
      <w:r/>
    </w:p>
    <w:p>
      <w:pPr>
        <w:spacing w:line="360" w:lineRule="auto"/>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  (公章)                            承包人：  (公章)</w:t>
      </w:r>
      <w:r/>
    </w:p>
    <w:p>
      <w:pPr>
        <w:spacing w:line="360" w:lineRule="auto"/>
        <w:rPr>
          <w:rFonts w:asciiTheme="majorEastAsia" w:hAnsiTheme="majorEastAsia" w:eastAsiaTheme="majorEastAsia" w:cstheme="majorEastAsia"/>
          <w:sz w:val="24"/>
          <w:szCs w:val="24"/>
          <w:highlight w:val="none"/>
          <w:u w:val="single"/>
        </w:rPr>
      </w:pPr>
      <w:r>
        <w:rPr>
          <w:rFonts w:asciiTheme="majorEastAsia" w:hAnsiTheme="majorEastAsia" w:eastAsiaTheme="majorEastAsia" w:cstheme="majorEastAsia"/>
          <w:sz w:val="24"/>
          <w:szCs w:val="24"/>
          <w:highlight w:val="none"/>
          <w:u w:val="single"/>
        </w:rPr>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法定代表人或其委托代理人：                 法定代表人或其委托代理人：</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（签字）                                   （签字）</w:t>
      </w:r>
      <w:r/>
    </w:p>
    <w:p>
      <w:pPr>
        <w:spacing w:line="360" w:lineRule="auto"/>
        <w:tabs>
          <w:tab w:val="left" w:pos="4410" w:leader="none"/>
        </w:tabs>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spacing w:line="360" w:lineRule="auto"/>
        <w:tabs>
          <w:tab w:val="left" w:pos="44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组织机构代码：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组织机构代码：</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地  址：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地  址：</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邮政编码：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邮政编码：</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法定代表人：</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委托代理人：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委托代理人：</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电  话：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电  话：</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  真：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传  真：</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电子信箱：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电子信箱：</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开户银行：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开户银行：</w:t>
      </w:r>
      <w:r/>
    </w:p>
    <w:p>
      <w:pPr>
        <w:ind w:firstLine="12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账  号：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账  号：</w:t>
      </w:r>
      <w:r>
        <w:rPr>
          <w:rFonts w:hint="eastAsia" w:asciiTheme="majorEastAsia" w:hAnsiTheme="majorEastAsia" w:eastAsiaTheme="majorEastAsia" w:cstheme="majorEastAsia"/>
          <w:sz w:val="24"/>
          <w:szCs w:val="24"/>
          <w:highlight w:val="none"/>
        </w:rPr>
        <w:br w:type="page" w:clear="all"/>
      </w:r>
      <w:bookmarkStart w:id="106" w:name="_Toc351203494"/>
      <w:r>
        <w:rPr>
          <w:rFonts w:hint="eastAsia" w:asciiTheme="majorEastAsia" w:hAnsiTheme="majorEastAsia" w:eastAsiaTheme="majorEastAsia" w:cstheme="majorEastAsia"/>
          <w:sz w:val="24"/>
          <w:szCs w:val="24"/>
          <w:highlight w:val="none"/>
        </w:rPr>
        <w:t xml:space="preserve">第二部分 通用合同条款</w:t>
      </w:r>
      <w:bookmarkEnd w:id="106"/>
      <w:r/>
      <w:bookmarkStart w:id="107" w:name="_Toc337558727"/>
      <w:r/>
      <w:r/>
    </w:p>
    <w:p>
      <w:pPr>
        <w:pStyle w:val="1131"/>
        <w:ind w:firstLine="56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此部分采用《建设工程施工合同》范本（GF-2013-0201）中《第二部分  通用条款》</w:t>
      </w:r>
      <w:bookmarkEnd w:id="107"/>
      <w:r/>
      <w:r/>
    </w:p>
    <w:p>
      <w:pPr>
        <w:pStyle w:val="1124"/>
        <w:spacing w:line="360" w:lineRule="auto"/>
        <w:rPr>
          <w:rFonts w:asciiTheme="majorEastAsia" w:hAnsiTheme="majorEastAsia" w:eastAsiaTheme="majorEastAsia" w:cstheme="majorEastAsia"/>
          <w:b w:val="0"/>
          <w:bCs w:val="0"/>
          <w:sz w:val="24"/>
          <w:szCs w:val="24"/>
          <w:highlight w:val="none"/>
        </w:rPr>
      </w:pPr>
      <w:r/>
      <w:bookmarkStart w:id="108" w:name="_Toc351203632"/>
      <w:r>
        <w:rPr>
          <w:rFonts w:hint="eastAsia" w:asciiTheme="majorEastAsia" w:hAnsiTheme="majorEastAsia" w:eastAsiaTheme="majorEastAsia" w:cstheme="majorEastAsia"/>
          <w:b w:val="0"/>
          <w:bCs w:val="0"/>
          <w:sz w:val="24"/>
          <w:szCs w:val="24"/>
          <w:highlight w:val="none"/>
        </w:rPr>
        <w:t xml:space="preserve">第三部分 专用合同条款</w:t>
      </w:r>
      <w:bookmarkEnd w:id="108"/>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109" w:name="_Toc351203633"/>
      <w:r>
        <w:rPr>
          <w:rFonts w:hint="eastAsia" w:asciiTheme="majorEastAsia" w:hAnsiTheme="majorEastAsia" w:eastAsiaTheme="majorEastAsia" w:cstheme="majorEastAsia"/>
          <w:b w:val="0"/>
          <w:bCs w:val="0"/>
          <w:sz w:val="24"/>
          <w:szCs w:val="24"/>
          <w:highlight w:val="none"/>
        </w:rPr>
        <w:t xml:space="preserve">1</w:t>
      </w:r>
      <w:bookmarkStart w:id="110" w:name="_Toc297048342"/>
      <w:r/>
      <w:bookmarkStart w:id="111" w:name="_Toc296347155"/>
      <w:r/>
      <w:bookmarkStart w:id="112" w:name="_Toc296503156"/>
      <w:r/>
      <w:bookmarkStart w:id="113" w:name="_Toc296891196"/>
      <w:r/>
      <w:bookmarkStart w:id="114" w:name="_Toc296890984"/>
      <w:r/>
      <w:bookmarkStart w:id="115" w:name="_Toc297120456"/>
      <w:r/>
      <w:bookmarkStart w:id="116" w:name="_Toc292559361"/>
      <w:r/>
      <w:bookmarkStart w:id="117" w:name="_Toc296346657"/>
      <w:r/>
      <w:bookmarkStart w:id="118" w:name="_Toc296944495"/>
      <w:r/>
      <w:bookmarkStart w:id="119" w:name="_Toc292559866"/>
      <w:r>
        <w:rPr>
          <w:rFonts w:hint="eastAsia" w:asciiTheme="majorEastAsia" w:hAnsiTheme="majorEastAsia" w:eastAsiaTheme="majorEastAsia" w:cstheme="majorEastAsia"/>
          <w:b w:val="0"/>
          <w:bCs w:val="0"/>
          <w:sz w:val="24"/>
          <w:szCs w:val="24"/>
          <w:highlight w:val="none"/>
        </w:rPr>
        <w:t xml:space="preserve">. 一般约定</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 词语定义</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1.1.1合同</w:t>
      </w:r>
      <w:r/>
    </w:p>
    <w:p>
      <w:pPr>
        <w:pStyle w:val="1131"/>
        <w:ind w:firstLine="357"/>
        <w:spacing w:line="480"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1.1.1.10其他合同文件包括：</w:t>
      </w:r>
      <w:r>
        <w:rPr>
          <w:rFonts w:hint="eastAsia" w:asciiTheme="majorEastAsia" w:hAnsiTheme="majorEastAsia" w:eastAsiaTheme="majorEastAsia" w:cstheme="majorEastAsia"/>
          <w:sz w:val="24"/>
          <w:szCs w:val="24"/>
          <w:highlight w:val="none"/>
          <w:u w:val="single"/>
        </w:rPr>
        <w:t xml:space="preserve">双方洽商的会议纪要或者补充协议</w:t>
      </w:r>
      <w:r>
        <w:rPr>
          <w:rFonts w:hint="eastAsia" w:asciiTheme="majorEastAsia" w:hAnsiTheme="majorEastAsia" w:eastAsiaTheme="majorEastAsia" w:cstheme="majorEastAsia"/>
          <w:sz w:val="24"/>
          <w:szCs w:val="24"/>
          <w:highlight w:val="none"/>
        </w:rPr>
        <w:t xml:space="preserve">。</w:t>
      </w:r>
      <w:r/>
    </w:p>
    <w:p>
      <w:pPr>
        <w:pStyle w:val="1131"/>
        <w:ind w:firstLine="357"/>
        <w:spacing w:line="480" w:lineRule="exact"/>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1.1.2 合同当事人及其他相关方</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1.1.2.4监理人：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    称：；</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资质类别和等级：；</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联系电话：；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电子信箱：；</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通信地址：。</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1.1.2.5 设计人：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    称：；</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资质类别和等级：；</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联系电话：；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电子信箱：；</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通信地址：。</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1.1.3 工程和设备</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1.1.3.7 作为施工现场组成部分的其他场所包括：</w:t>
      </w:r>
      <w:r>
        <w:rPr>
          <w:rFonts w:hint="eastAsia" w:asciiTheme="majorEastAsia" w:hAnsiTheme="majorEastAsia" w:eastAsiaTheme="majorEastAsia" w:cstheme="majorEastAsia"/>
          <w:sz w:val="24"/>
          <w:szCs w:val="24"/>
          <w:highlight w:val="none"/>
          <w:u w:val="single"/>
        </w:rPr>
        <w:t xml:space="preserve">   无</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1.1.3.9 永久占地包括：</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1.1.3.10 临时占地包括：</w:t>
      </w:r>
      <w:r>
        <w:rPr>
          <w:rFonts w:hint="eastAsia" w:asciiTheme="majorEastAsia" w:hAnsiTheme="majorEastAsia" w:eastAsiaTheme="majorEastAsia" w:cstheme="majorEastAsia"/>
          <w:sz w:val="24"/>
          <w:szCs w:val="24"/>
          <w:highlight w:val="none"/>
          <w:u w:val="single"/>
        </w:rPr>
        <w:t xml:space="preserve">      施工场地周围道路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1.3法律 </w:t>
      </w:r>
      <w:r/>
    </w:p>
    <w:p>
      <w:pPr>
        <w:ind w:left="62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适用于合同的其他规范性文件：</w:t>
      </w:r>
      <w:r>
        <w:rPr>
          <w:rFonts w:hint="eastAsia" w:asciiTheme="majorEastAsia" w:hAnsiTheme="majorEastAsia" w:eastAsiaTheme="majorEastAsia" w:cstheme="majorEastAsia"/>
          <w:spacing w:val="10"/>
          <w:sz w:val="24"/>
          <w:szCs w:val="24"/>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 标准和规范</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1.4.1适用于工程的标准规范包括：</w:t>
      </w:r>
      <w:r>
        <w:rPr>
          <w:rFonts w:hint="eastAsia" w:asciiTheme="majorEastAsia" w:hAnsiTheme="majorEastAsia" w:eastAsiaTheme="majorEastAsia" w:cstheme="majorEastAsia"/>
          <w:sz w:val="24"/>
          <w:szCs w:val="24"/>
          <w:highlight w:val="none"/>
          <w:u w:val="single"/>
        </w:rPr>
        <w:t xml:space="preserve">按招标文件和国家、省、市有关规定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1.4.2 发包人提供国外标准、规范的名称：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发包人提供国外标准、规范的份数：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发包人提供国外标准、规范的名称：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1.4.3发包人对工程的技术标准和功能要求的特殊要求：</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 合同文件的优先顺序</w:t>
      </w:r>
      <w:r/>
    </w:p>
    <w:p>
      <w:pPr>
        <w:pStyle w:val="1131"/>
        <w:ind w:firstLine="357"/>
        <w:spacing w:line="480"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合同文件组成及优先顺序为：</w:t>
      </w:r>
      <w:r>
        <w:rPr>
          <w:rStyle w:val="1140"/>
          <w:rFonts w:hint="eastAsia" w:asciiTheme="majorEastAsia" w:hAnsiTheme="majorEastAsia" w:eastAsiaTheme="majorEastAsia" w:cstheme="majorEastAsia"/>
          <w:b w:val="0"/>
          <w:bCs w:val="0"/>
          <w:sz w:val="24"/>
          <w:szCs w:val="24"/>
          <w:highlight w:val="none"/>
          <w:u w:val="single"/>
        </w:rPr>
        <w:t xml:space="preserve">（1</w:t>
      </w:r>
      <w:r>
        <w:rPr>
          <w:rFonts w:hint="eastAsia" w:asciiTheme="majorEastAsia" w:hAnsiTheme="majorEastAsia" w:eastAsiaTheme="majorEastAsia" w:cstheme="majorEastAsia"/>
          <w:spacing w:val="10"/>
          <w:sz w:val="24"/>
          <w:szCs w:val="24"/>
          <w:highlight w:val="none"/>
          <w:u w:val="single"/>
        </w:rPr>
        <w:t xml:space="preserve">）合同协议书；（2）中标通知书；（3）投标函；（4）专用条款；（5）通用条款（6）技术标准和要求；（7）图纸；（8）工程量清单及招标控制价；（9）其他文件</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 图纸和承包人文件</w:t>
      </w:r>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1.6.1 图纸的提供</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发包人向承包人提供图纸的期限：</w:t>
      </w:r>
      <w:r>
        <w:rPr>
          <w:rFonts w:hint="eastAsia" w:asciiTheme="majorEastAsia" w:hAnsiTheme="majorEastAsia" w:eastAsiaTheme="majorEastAsia" w:cstheme="majorEastAsia"/>
          <w:sz w:val="24"/>
          <w:szCs w:val="24"/>
          <w:highlight w:val="none"/>
          <w:u w:val="single"/>
        </w:rPr>
        <w:t xml:space="preserve">签订合同后7日内，叁套</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发包人向承包人提供图纸的数量：</w:t>
      </w:r>
      <w:r>
        <w:rPr>
          <w:rFonts w:hint="eastAsia" w:asciiTheme="majorEastAsia" w:hAnsiTheme="majorEastAsia" w:eastAsiaTheme="majorEastAsia" w:cstheme="majorEastAsia"/>
          <w:sz w:val="24"/>
          <w:szCs w:val="24"/>
          <w:highlight w:val="none"/>
          <w:u w:val="single"/>
        </w:rPr>
        <w:t xml:space="preserve">叁套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发包人向承包人提供图纸的内容：</w:t>
      </w:r>
      <w:r>
        <w:rPr>
          <w:rFonts w:hint="eastAsia" w:asciiTheme="majorEastAsia" w:hAnsiTheme="majorEastAsia" w:eastAsiaTheme="majorEastAsia" w:cstheme="majorEastAsia"/>
          <w:sz w:val="24"/>
          <w:szCs w:val="24"/>
          <w:highlight w:val="none"/>
          <w:u w:val="single"/>
        </w:rPr>
        <w:t xml:space="preserve">招标范围内各专业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1.6.4 承包人文件</w:t>
      </w:r>
      <w:r/>
    </w:p>
    <w:p>
      <w:pPr>
        <w:ind w:left="62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需要由承包人提供的文件，包括：</w:t>
      </w:r>
      <w:r>
        <w:rPr>
          <w:rFonts w:hint="eastAsia" w:asciiTheme="majorEastAsia" w:hAnsiTheme="majorEastAsia" w:eastAsiaTheme="majorEastAsia" w:cstheme="majorEastAsia"/>
          <w:sz w:val="24"/>
          <w:szCs w:val="24"/>
          <w:highlight w:val="none"/>
          <w:u w:val="single"/>
        </w:rPr>
        <w:t xml:space="preserve">施工组织方案</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承包人提供的文件的期限为：</w:t>
      </w:r>
      <w:r>
        <w:rPr>
          <w:rFonts w:hint="eastAsia" w:asciiTheme="majorEastAsia" w:hAnsiTheme="majorEastAsia" w:eastAsiaTheme="majorEastAsia" w:cstheme="majorEastAsia"/>
          <w:sz w:val="24"/>
          <w:szCs w:val="24"/>
          <w:highlight w:val="none"/>
          <w:u w:val="single"/>
        </w:rPr>
        <w:t xml:space="preserve">签订合同后7日内</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承包人提供的文件的数量为：</w:t>
      </w:r>
      <w:r>
        <w:rPr>
          <w:rFonts w:hint="eastAsia" w:asciiTheme="majorEastAsia" w:hAnsiTheme="majorEastAsia" w:eastAsiaTheme="majorEastAsia" w:cstheme="majorEastAsia"/>
          <w:sz w:val="24"/>
          <w:szCs w:val="24"/>
          <w:highlight w:val="none"/>
          <w:u w:val="single"/>
        </w:rPr>
        <w:t xml:space="preserve">贰份</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承包人提供的文件的形式为：</w:t>
      </w:r>
      <w:r>
        <w:rPr>
          <w:rFonts w:hint="eastAsia" w:asciiTheme="majorEastAsia" w:hAnsiTheme="majorEastAsia" w:eastAsiaTheme="majorEastAsia" w:cstheme="majorEastAsia"/>
          <w:sz w:val="24"/>
          <w:szCs w:val="24"/>
          <w:highlight w:val="none"/>
          <w:u w:val="single"/>
        </w:rPr>
        <w:t xml:space="preserve">书面</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发包人审批承包人文件的期限：</w:t>
      </w:r>
      <w:r>
        <w:rPr>
          <w:rFonts w:hint="eastAsia" w:asciiTheme="majorEastAsia" w:hAnsiTheme="majorEastAsia" w:eastAsiaTheme="majorEastAsia" w:cstheme="majorEastAsia"/>
          <w:sz w:val="24"/>
          <w:szCs w:val="24"/>
          <w:highlight w:val="none"/>
          <w:u w:val="single"/>
        </w:rPr>
        <w:t xml:space="preserve">自收到文件后5日内</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1.6.5 现场图纸准备</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关于现场图纸准备的约定：</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1.7 联络</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1.7.1发包人和承包人应当在</w:t>
      </w:r>
      <w:r>
        <w:rPr>
          <w:rFonts w:hint="eastAsia" w:asciiTheme="majorEastAsia" w:hAnsiTheme="majorEastAsia" w:eastAsiaTheme="majorEastAsia" w:cstheme="majorEastAsia"/>
          <w:sz w:val="24"/>
          <w:szCs w:val="24"/>
          <w:highlight w:val="none"/>
          <w:u w:val="single"/>
        </w:rPr>
        <w:t xml:space="preserve">3  </w:t>
      </w:r>
      <w:r>
        <w:rPr>
          <w:rFonts w:hint="eastAsia" w:asciiTheme="majorEastAsia" w:hAnsiTheme="majorEastAsia" w:eastAsiaTheme="majorEastAsia" w:cstheme="majorEastAsia"/>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1.7.2 发包人接收文件的地点：；</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发包人指定的接收人为：。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承包人接收文件的地点：</w:t>
      </w:r>
      <w:r>
        <w:rPr>
          <w:rFonts w:hint="eastAsia" w:asciiTheme="majorEastAsia" w:hAnsiTheme="majorEastAsia" w:eastAsiaTheme="majorEastAsia" w:cstheme="majorEastAsia"/>
          <w:sz w:val="24"/>
          <w:szCs w:val="24"/>
          <w:highlight w:val="none"/>
          <w:u w:val="single"/>
        </w:rPr>
        <w:t xml:space="preserve">项目现场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承包人指定的接收人为：</w:t>
      </w:r>
      <w:r>
        <w:rPr>
          <w:rFonts w:hint="eastAsia" w:asciiTheme="majorEastAsia" w:hAnsiTheme="majorEastAsia" w:eastAsiaTheme="majorEastAsia" w:cstheme="majorEastAsia"/>
          <w:sz w:val="24"/>
          <w:szCs w:val="24"/>
          <w:highlight w:val="none"/>
          <w:u w:val="single"/>
        </w:rPr>
        <w:t xml:space="preserve">项目负责人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监理人接收文件的地点：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监理人指定的接收人为：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1.10 交通运输</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Start w:id="120" w:name="_Toc318581155"/>
      <w:r/>
      <w:bookmarkStart w:id="121" w:name="_Toc304295521"/>
      <w:r/>
      <w:bookmarkStart w:id="122" w:name="_Toc312677986"/>
      <w:r/>
      <w:bookmarkStart w:id="123" w:name="_Toc300934943"/>
      <w:r/>
      <w:bookmarkStart w:id="124" w:name="_Toc303539100"/>
      <w:r>
        <w:rPr>
          <w:rFonts w:hint="eastAsia" w:asciiTheme="majorEastAsia" w:hAnsiTheme="majorEastAsia" w:eastAsiaTheme="majorEastAsia" w:cstheme="majorEastAsia"/>
          <w:sz w:val="24"/>
          <w:szCs w:val="24"/>
          <w:highlight w:val="none"/>
        </w:rPr>
        <w:t xml:space="preserve">.10.1 出入现场的权利</w:t>
      </w:r>
      <w:r/>
    </w:p>
    <w:p>
      <w:pPr>
        <w:ind w:left="62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关于出入现场的权利的约定：</w:t>
      </w:r>
      <w:r>
        <w:rPr>
          <w:rFonts w:hint="eastAsia" w:asciiTheme="majorEastAsia" w:hAnsiTheme="majorEastAsia" w:eastAsiaTheme="majorEastAsia" w:cstheme="majorEastAsia"/>
          <w:sz w:val="24"/>
          <w:szCs w:val="24"/>
          <w:highlight w:val="none"/>
          <w:u w:val="single"/>
        </w:rPr>
        <w:t xml:space="preserve">发包人项目负责人及主管领导、承包人项目组成员</w:t>
      </w:r>
      <w:r>
        <w:rPr>
          <w:rFonts w:hint="eastAsia" w:asciiTheme="majorEastAsia" w:hAnsiTheme="majorEastAsia" w:eastAsiaTheme="majorEastAsia" w:cstheme="majorEastAsia"/>
          <w:sz w:val="24"/>
          <w:szCs w:val="24"/>
          <w:highlight w:val="none"/>
        </w:rPr>
        <w:t xml:space="preserve">。</w:t>
      </w:r>
      <w:bookmarkEnd w:id="120"/>
      <w:r/>
      <w:bookmarkEnd w:id="121"/>
      <w:r/>
      <w:bookmarkEnd w:id="122"/>
      <w:r/>
      <w:bookmarkEnd w:id="123"/>
      <w:r/>
      <w:bookmarkEnd w:id="124"/>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Start w:id="125" w:name="_Toc300934944"/>
      <w:r/>
      <w:bookmarkStart w:id="126" w:name="_Toc304295522"/>
      <w:r/>
      <w:bookmarkStart w:id="127" w:name="_Toc303539101"/>
      <w:r/>
      <w:bookmarkStart w:id="128" w:name="_Toc312677987"/>
      <w:r/>
      <w:bookmarkStart w:id="129" w:name="_Toc318581156"/>
      <w:r>
        <w:rPr>
          <w:rFonts w:hint="eastAsia" w:asciiTheme="majorEastAsia" w:hAnsiTheme="majorEastAsia" w:eastAsiaTheme="majorEastAsia" w:cstheme="majorEastAsia"/>
          <w:sz w:val="24"/>
          <w:szCs w:val="24"/>
          <w:highlight w:val="none"/>
        </w:rPr>
        <w:t xml:space="preserve">.10.3 场内交通</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关于场外交通和场内交通的边界的约定：</w:t>
      </w:r>
      <w:r>
        <w:rPr>
          <w:rFonts w:hint="eastAsia" w:asciiTheme="majorEastAsia" w:hAnsiTheme="majorEastAsia" w:eastAsiaTheme="majorEastAsia" w:cstheme="majorEastAsia"/>
          <w:sz w:val="24"/>
          <w:szCs w:val="24"/>
          <w:highlight w:val="none"/>
          <w:u w:val="single"/>
        </w:rPr>
        <w:t xml:space="preserve">视项目现场情况另行约定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关于发包人向承包人免费提供满足工程施工需要的场内道路和交通设施的约定：</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bookmarkEnd w:id="125"/>
      <w:r/>
      <w:bookmarkEnd w:id="126"/>
      <w:r/>
      <w:bookmarkEnd w:id="127"/>
      <w:r/>
      <w:bookmarkEnd w:id="128"/>
      <w:r/>
      <w:bookmarkEnd w:id="129"/>
      <w:r/>
      <w:bookmarkStart w:id="130" w:name="_Toc318581157"/>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1.10.4超大件和超重件的运输</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运输超大件或超重件所需的道路和桥梁临时加固改造费用和其他有关费用由</w:t>
      </w:r>
      <w:r>
        <w:rPr>
          <w:rFonts w:hint="eastAsia" w:asciiTheme="majorEastAsia" w:hAnsiTheme="majorEastAsia" w:eastAsiaTheme="majorEastAsia" w:cstheme="majorEastAsia"/>
          <w:sz w:val="24"/>
          <w:szCs w:val="24"/>
          <w:highlight w:val="none"/>
          <w:u w:val="single"/>
        </w:rPr>
        <w:t xml:space="preserve"> 承包人 </w:t>
      </w:r>
      <w:r>
        <w:rPr>
          <w:rFonts w:hint="eastAsia" w:asciiTheme="majorEastAsia" w:hAnsiTheme="majorEastAsia" w:eastAsiaTheme="majorEastAsia" w:cstheme="majorEastAsia"/>
          <w:sz w:val="24"/>
          <w:szCs w:val="24"/>
          <w:highlight w:val="none"/>
        </w:rPr>
        <w:t xml:space="preserve">承担。</w:t>
      </w:r>
      <w:bookmarkEnd w:id="130"/>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 知识产权</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ajorEastAsia" w:hAnsiTheme="majorEastAsia" w:eastAsiaTheme="majorEastAsia" w:cstheme="majorEastAsia"/>
          <w:sz w:val="24"/>
          <w:szCs w:val="24"/>
          <w:highlight w:val="none"/>
          <w:u w:val="single"/>
        </w:rPr>
        <w:t xml:space="preserve">图纸属设计院、其他属发包人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关于发包人提供的上述文件的使用限制的要求：</w:t>
      </w:r>
      <w:r>
        <w:rPr>
          <w:rFonts w:hint="eastAsia" w:asciiTheme="majorEastAsia" w:hAnsiTheme="majorEastAsia" w:eastAsiaTheme="majorEastAsia" w:cstheme="majorEastAsia"/>
          <w:sz w:val="24"/>
          <w:szCs w:val="24"/>
          <w:highlight w:val="none"/>
          <w:u w:val="single"/>
        </w:rPr>
        <w:t xml:space="preserve">  仅限于此工程项目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1.11.2 关于承包人为实施工程所编制文件的著作权的归属：</w:t>
      </w:r>
      <w:r>
        <w:rPr>
          <w:rFonts w:hint="eastAsia" w:asciiTheme="majorEastAsia" w:hAnsiTheme="majorEastAsia" w:eastAsiaTheme="majorEastAsia" w:cstheme="majorEastAsia"/>
          <w:sz w:val="24"/>
          <w:szCs w:val="24"/>
          <w:highlight w:val="none"/>
          <w:u w:val="single"/>
        </w:rPr>
        <w:t xml:space="preserve"> 属承包人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关于承包人提供的上述文件的使用限制的要求：</w:t>
      </w:r>
      <w:r>
        <w:rPr>
          <w:rFonts w:hint="eastAsia" w:asciiTheme="majorEastAsia" w:hAnsiTheme="majorEastAsia" w:eastAsiaTheme="majorEastAsia" w:cstheme="majorEastAsia"/>
          <w:sz w:val="24"/>
          <w:szCs w:val="24"/>
          <w:highlight w:val="none"/>
          <w:u w:val="single"/>
        </w:rPr>
        <w:t xml:space="preserve">仅限于此工程项目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1.11.4 承包人在施工过程中所采用的专利、专有技术、技术秘密的使用费的承担方式：</w:t>
      </w:r>
      <w:r>
        <w:rPr>
          <w:rFonts w:hint="eastAsia" w:asciiTheme="majorEastAsia" w:hAnsiTheme="majorEastAsia" w:eastAsiaTheme="majorEastAsia" w:cstheme="majorEastAsia"/>
          <w:sz w:val="24"/>
          <w:szCs w:val="24"/>
          <w:highlight w:val="none"/>
          <w:u w:val="single"/>
        </w:rPr>
        <w:t xml:space="preserve">由承包人承担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1.13工程量清单错误的修正</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出现工程量清单错误时，是否调整合同价格：</w:t>
      </w:r>
      <w:r>
        <w:rPr>
          <w:rFonts w:hint="eastAsia" w:asciiTheme="majorEastAsia" w:hAnsiTheme="majorEastAsia" w:eastAsiaTheme="majorEastAsia" w:cstheme="majorEastAsia"/>
          <w:sz w:val="24"/>
          <w:szCs w:val="24"/>
          <w:highlight w:val="none"/>
          <w:u w:val="single"/>
        </w:rPr>
        <w:t xml:space="preserve">  数量错误调整数量，综合单价不调整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允许调整合同价格的工程量偏差范围：</w:t>
      </w:r>
      <w:r>
        <w:rPr>
          <w:rFonts w:hint="eastAsia" w:asciiTheme="majorEastAsia" w:hAnsiTheme="majorEastAsia" w:eastAsiaTheme="majorEastAsia" w:cstheme="majorEastAsia"/>
          <w:sz w:val="24"/>
          <w:szCs w:val="24"/>
          <w:highlight w:val="none"/>
          <w:u w:val="single"/>
        </w:rPr>
        <w:t xml:space="preserve">±2%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131" w:name="_Toc351203634"/>
      <w:r>
        <w:rPr>
          <w:rFonts w:hint="eastAsia" w:asciiTheme="majorEastAsia" w:hAnsiTheme="majorEastAsia" w:eastAsiaTheme="majorEastAsia" w:cstheme="majorEastAsia"/>
          <w:b w:val="0"/>
          <w:bCs w:val="0"/>
          <w:sz w:val="24"/>
          <w:szCs w:val="24"/>
          <w:highlight w:val="none"/>
        </w:rPr>
        <w:t xml:space="preserve">2</w:t>
      </w:r>
      <w:bookmarkStart w:id="132" w:name="_Toc296890985"/>
      <w:r/>
      <w:bookmarkStart w:id="133" w:name="_Toc292559362"/>
      <w:r/>
      <w:bookmarkStart w:id="134" w:name="_Toc297048343"/>
      <w:r/>
      <w:bookmarkStart w:id="135" w:name="_Toc296944496"/>
      <w:r/>
      <w:bookmarkStart w:id="136" w:name="_Toc296503157"/>
      <w:r/>
      <w:bookmarkStart w:id="137" w:name="_Toc296891197"/>
      <w:r/>
      <w:bookmarkStart w:id="138" w:name="_Toc292559867"/>
      <w:r/>
      <w:bookmarkStart w:id="139" w:name="_Toc296347156"/>
      <w:r/>
      <w:bookmarkStart w:id="140" w:name="_Toc297120457"/>
      <w:r/>
      <w:bookmarkStart w:id="141" w:name="_Toc296346658"/>
      <w:r>
        <w:rPr>
          <w:rFonts w:hint="eastAsia" w:asciiTheme="majorEastAsia" w:hAnsiTheme="majorEastAsia" w:eastAsiaTheme="majorEastAsia" w:cstheme="majorEastAsia"/>
          <w:b w:val="0"/>
          <w:bCs w:val="0"/>
          <w:sz w:val="24"/>
          <w:szCs w:val="24"/>
          <w:highlight w:val="none"/>
        </w:rPr>
        <w:t xml:space="preserve">. 发包人</w:t>
      </w:r>
      <w:bookmarkEnd w:id="131"/>
      <w:r/>
      <w:bookmarkEnd w:id="132"/>
      <w:r/>
      <w:bookmarkEnd w:id="133"/>
      <w:r/>
      <w:bookmarkEnd w:id="134"/>
      <w:r/>
      <w:bookmarkEnd w:id="135"/>
      <w:r/>
      <w:bookmarkEnd w:id="136"/>
      <w:r/>
      <w:bookmarkEnd w:id="137"/>
      <w:r/>
      <w:bookmarkEnd w:id="138"/>
      <w:r/>
      <w:bookmarkEnd w:id="139"/>
      <w:r/>
      <w:bookmarkEnd w:id="140"/>
      <w:r/>
      <w:bookmarkEnd w:id="141"/>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2.2 发包人代表</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发包人代表：</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    名：；</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身份证号：；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    务：；</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联系电话：；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通信地址：。</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发包人对发包人代表的授权范围如下：</w:t>
      </w:r>
      <w:r>
        <w:rPr>
          <w:rFonts w:hint="eastAsia" w:asciiTheme="majorEastAsia" w:hAnsiTheme="majorEastAsia" w:eastAsiaTheme="majorEastAsia" w:cstheme="majorEastAsia"/>
          <w:sz w:val="24"/>
          <w:szCs w:val="24"/>
          <w:highlight w:val="none"/>
          <w:u w:val="single"/>
        </w:rPr>
        <w:t xml:space="preserve">代表发包人行使职权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2.4 施工现场、施工条件和基础资料的提供</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2.4.1 提供施工现场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关于发包人移交施工现场的期限要求：</w:t>
      </w:r>
      <w:r>
        <w:rPr>
          <w:rFonts w:hint="eastAsia" w:asciiTheme="majorEastAsia" w:hAnsiTheme="majorEastAsia" w:eastAsiaTheme="majorEastAsia" w:cstheme="majorEastAsia"/>
          <w:sz w:val="24"/>
          <w:szCs w:val="24"/>
          <w:highlight w:val="none"/>
          <w:u w:val="single"/>
        </w:rPr>
        <w:t xml:space="preserve">签订合同，签署开工令后3日内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2.4.2 提供施工条件</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关于发包人应负责提供施工所需要的条件，包括：</w:t>
      </w:r>
      <w:r>
        <w:rPr>
          <w:rFonts w:hint="eastAsia" w:asciiTheme="majorEastAsia" w:hAnsiTheme="majorEastAsia" w:eastAsiaTheme="majorEastAsia" w:cstheme="majorEastAsia"/>
          <w:sz w:val="24"/>
          <w:szCs w:val="24"/>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2.5 资金来源证明及支付担保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发包人提供资金来源证明的期限要求：</w:t>
      </w:r>
      <w:r>
        <w:rPr>
          <w:rFonts w:hint="eastAsia" w:asciiTheme="majorEastAsia" w:hAnsiTheme="majorEastAsia" w:eastAsiaTheme="majorEastAsia" w:cstheme="majorEastAsia"/>
          <w:sz w:val="24"/>
          <w:szCs w:val="24"/>
          <w:highlight w:val="none"/>
          <w:u w:val="single"/>
        </w:rPr>
        <w:t xml:space="preserve">签订合同后7日内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发包人是否提供支付担保：</w:t>
      </w:r>
      <w:r>
        <w:rPr>
          <w:rFonts w:hint="eastAsia" w:asciiTheme="majorEastAsia" w:hAnsiTheme="majorEastAsia" w:eastAsiaTheme="majorEastAsia" w:cstheme="majorEastAsia"/>
          <w:sz w:val="24"/>
          <w:szCs w:val="24"/>
          <w:highlight w:val="none"/>
          <w:u w:val="single"/>
        </w:rPr>
        <w:t xml:space="preserve"> 否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发包人提供支付担保的形式：</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142" w:name="_Toc351203635"/>
      <w:r>
        <w:rPr>
          <w:rFonts w:hint="eastAsia" w:asciiTheme="majorEastAsia" w:hAnsiTheme="majorEastAsia" w:eastAsiaTheme="majorEastAsia" w:cstheme="majorEastAsia"/>
          <w:b w:val="0"/>
          <w:bCs w:val="0"/>
          <w:sz w:val="24"/>
          <w:szCs w:val="24"/>
          <w:highlight w:val="none"/>
        </w:rPr>
        <w:t xml:space="preserve">3</w:t>
      </w:r>
      <w:bookmarkStart w:id="143" w:name="_Toc296890986"/>
      <w:r/>
      <w:bookmarkStart w:id="144" w:name="_Toc297048344"/>
      <w:r/>
      <w:bookmarkStart w:id="145" w:name="_Toc296503158"/>
      <w:r/>
      <w:bookmarkStart w:id="146" w:name="_Toc297120458"/>
      <w:r/>
      <w:bookmarkStart w:id="147" w:name="_Toc292559868"/>
      <w:r/>
      <w:bookmarkStart w:id="148" w:name="_Toc296944497"/>
      <w:r/>
      <w:bookmarkStart w:id="149" w:name="_Toc296891198"/>
      <w:r/>
      <w:bookmarkStart w:id="150" w:name="_Toc292559363"/>
      <w:r/>
      <w:bookmarkStart w:id="151" w:name="_Toc296346659"/>
      <w:r/>
      <w:bookmarkStart w:id="152" w:name="_Toc296347157"/>
      <w:r>
        <w:rPr>
          <w:rFonts w:hint="eastAsia" w:asciiTheme="majorEastAsia" w:hAnsiTheme="majorEastAsia" w:eastAsiaTheme="majorEastAsia" w:cstheme="majorEastAsia"/>
          <w:b w:val="0"/>
          <w:bCs w:val="0"/>
          <w:sz w:val="24"/>
          <w:szCs w:val="24"/>
          <w:highlight w:val="none"/>
        </w:rPr>
        <w:t xml:space="preserve">. 承包人</w:t>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3.1 承包人的一般义务</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（5）承包人提交的竣工资料的内容：</w:t>
      </w:r>
      <w:r>
        <w:rPr>
          <w:rFonts w:hint="eastAsia" w:asciiTheme="majorEastAsia" w:hAnsiTheme="majorEastAsia" w:eastAsiaTheme="majorEastAsia" w:cstheme="majorEastAsia"/>
          <w:sz w:val="24"/>
          <w:szCs w:val="24"/>
          <w:highlight w:val="none"/>
          <w:u w:val="single"/>
        </w:rPr>
        <w:t xml:space="preserve">  竣工图、竣工结算资料、设计变更、签证等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承包人需要提交的竣工资料套数：</w:t>
      </w:r>
      <w:r>
        <w:rPr>
          <w:rFonts w:hint="eastAsia" w:asciiTheme="majorEastAsia" w:hAnsiTheme="majorEastAsia" w:eastAsiaTheme="majorEastAsia" w:cstheme="majorEastAsia"/>
          <w:sz w:val="24"/>
          <w:szCs w:val="24"/>
          <w:highlight w:val="none"/>
          <w:u w:val="single"/>
        </w:rPr>
        <w:t xml:space="preserve">   肆套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承包人提交的竣工资料的费用承担：</w:t>
      </w:r>
      <w:r>
        <w:rPr>
          <w:rFonts w:hint="eastAsia" w:asciiTheme="majorEastAsia" w:hAnsiTheme="majorEastAsia" w:eastAsiaTheme="majorEastAsia" w:cstheme="majorEastAsia"/>
          <w:sz w:val="24"/>
          <w:szCs w:val="24"/>
          <w:highlight w:val="none"/>
          <w:u w:val="single"/>
        </w:rPr>
        <w:t xml:space="preserve">   自行承担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承包人提交的竣工资料移交时间：</w:t>
      </w:r>
      <w:r>
        <w:rPr>
          <w:rFonts w:hint="eastAsia" w:asciiTheme="majorEastAsia" w:hAnsiTheme="majorEastAsia" w:eastAsiaTheme="majorEastAsia" w:cstheme="majorEastAsia"/>
          <w:sz w:val="24"/>
          <w:szCs w:val="24"/>
          <w:highlight w:val="none"/>
          <w:u w:val="single"/>
        </w:rPr>
        <w:t xml:space="preserve">    工程竣工一个月后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承包人提交的竣工资料形式要求：</w:t>
      </w:r>
      <w:r>
        <w:rPr>
          <w:rFonts w:hint="eastAsia" w:asciiTheme="majorEastAsia" w:hAnsiTheme="majorEastAsia" w:eastAsiaTheme="majorEastAsia" w:cstheme="majorEastAsia"/>
          <w:sz w:val="24"/>
          <w:szCs w:val="24"/>
          <w:highlight w:val="none"/>
          <w:u w:val="single"/>
        </w:rPr>
        <w:t xml:space="preserve">   书面、电子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（6）承包人应履行的其他义务：</w:t>
      </w:r>
      <w:r>
        <w:rPr>
          <w:rFonts w:hint="eastAsia" w:asciiTheme="majorEastAsia" w:hAnsiTheme="majorEastAsia" w:eastAsiaTheme="majorEastAsia" w:cstheme="majorEastAsia"/>
          <w:sz w:val="24"/>
          <w:szCs w:val="24"/>
          <w:highlight w:val="none"/>
          <w:u w:val="single"/>
        </w:rPr>
        <w:t xml:space="preserve">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3.2 项目经理</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3.2.1 项目经理：</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    名：；</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身份证号：；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建造师执业资格等级：；</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建造师注册证书号：；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建造师执业印章号：；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安全生产考核合格证书号：；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联系电话：；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电子信箱：；</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通信地址：；</w:t>
      </w:r>
      <w:r/>
    </w:p>
    <w:p>
      <w:pPr>
        <w:pStyle w:val="1131"/>
        <w:ind w:firstLine="480"/>
        <w:spacing w:line="460"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承包人对项目经理的授权范围如下：</w:t>
      </w:r>
      <w:r>
        <w:rPr>
          <w:rFonts w:hint="eastAsia" w:asciiTheme="majorEastAsia" w:hAnsiTheme="majorEastAsia" w:eastAsiaTheme="majorEastAsia" w:cstheme="majorEastAsia"/>
          <w:sz w:val="24"/>
          <w:szCs w:val="24"/>
          <w:highlight w:val="none"/>
          <w:u w:val="single"/>
        </w:rPr>
        <w:t xml:space="preserve">代表承包人行使合同约定的乙方权利和义务，履行合同约定的乙方职责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关于项目经理每月在施工现场的时间要求：</w:t>
      </w:r>
      <w:r>
        <w:rPr>
          <w:rFonts w:hint="eastAsia" w:asciiTheme="majorEastAsia" w:hAnsiTheme="majorEastAsia" w:eastAsiaTheme="majorEastAsia" w:cstheme="majorEastAsia"/>
          <w:sz w:val="24"/>
          <w:szCs w:val="24"/>
          <w:highlight w:val="none"/>
          <w:u w:val="single"/>
        </w:rPr>
        <w:t xml:space="preserve">一周不少于六天，每天不少于8小时</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承包人未提交劳动合同，以及没有为项目经理缴纳社会保险证明的违约责任：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项目经理未经批准，擅自离开施工现场的违约责任：</w:t>
      </w:r>
      <w:r>
        <w:rPr>
          <w:rFonts w:hint="eastAsia" w:asciiTheme="majorEastAsia" w:hAnsiTheme="majorEastAsia" w:eastAsiaTheme="majorEastAsia" w:cstheme="majorEastAsia"/>
          <w:sz w:val="24"/>
          <w:szCs w:val="24"/>
          <w:highlight w:val="none"/>
          <w:u w:val="single"/>
        </w:rPr>
        <w:t xml:space="preserve">  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3.2.3 承包人擅自更换项目经理的违约责任：</w:t>
      </w:r>
      <w:r>
        <w:rPr>
          <w:rFonts w:hint="eastAsia" w:asciiTheme="majorEastAsia" w:hAnsiTheme="majorEastAsia" w:eastAsiaTheme="majorEastAsia" w:cstheme="majorEastAsia"/>
          <w:sz w:val="24"/>
          <w:szCs w:val="24"/>
          <w:highlight w:val="none"/>
          <w:u w:val="single"/>
        </w:rPr>
        <w:t xml:space="preserve"> 解除合同、追究违约责任，并报主管局备案</w:t>
      </w:r>
      <w:r>
        <w:rPr>
          <w:rFonts w:hint="eastAsia" w:asciiTheme="majorEastAsia" w:hAnsiTheme="majorEastAsia" w:eastAsiaTheme="majorEastAsia" w:cstheme="majorEastAsia"/>
          <w:sz w:val="24"/>
          <w:szCs w:val="24"/>
          <w:highlight w:val="none"/>
        </w:rPr>
        <w:t xml:space="preserve">。</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3.2.4 承包人无正当理由拒绝更换项目经理的违约责任：</w:t>
      </w:r>
      <w:r>
        <w:rPr>
          <w:rFonts w:hint="eastAsia" w:asciiTheme="majorEastAsia" w:hAnsiTheme="majorEastAsia" w:eastAsiaTheme="majorEastAsia" w:cstheme="majorEastAsia"/>
          <w:sz w:val="24"/>
          <w:szCs w:val="24"/>
          <w:highlight w:val="none"/>
          <w:u w:val="single"/>
        </w:rPr>
        <w:t xml:space="preserve"> 如出现以上情况或其他违约，发包人有权要求承包人撤换调整其认为不称职的项目经理及项目部成员，承包人拒绝的，发包人有权解除合同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3.3 承包人人员</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3.3.1 承包人提交项目管理机构及施工现场管理人员安排报告的期限：</w:t>
      </w:r>
      <w:r>
        <w:rPr>
          <w:rFonts w:hint="eastAsia" w:asciiTheme="majorEastAsia" w:hAnsiTheme="majorEastAsia" w:eastAsiaTheme="majorEastAsia" w:cstheme="majorEastAsia"/>
          <w:sz w:val="24"/>
          <w:szCs w:val="24"/>
          <w:highlight w:val="none"/>
          <w:u w:val="single"/>
        </w:rPr>
        <w:t xml:space="preserve">  开工前一周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3.3.3 承包人无正当理由拒绝撤换主要施工管理人员的违约责任：</w:t>
      </w:r>
      <w:r>
        <w:rPr>
          <w:rFonts w:hint="eastAsia" w:asciiTheme="majorEastAsia" w:hAnsiTheme="majorEastAsia" w:eastAsiaTheme="majorEastAsia" w:cstheme="majorEastAsia"/>
          <w:sz w:val="24"/>
          <w:szCs w:val="24"/>
          <w:highlight w:val="none"/>
          <w:u w:val="single"/>
        </w:rPr>
        <w:t xml:space="preserve">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3.3.4 承包人主要施工管理人员离开施工现场的批准要求：</w:t>
      </w:r>
      <w:r>
        <w:rPr>
          <w:rFonts w:hint="eastAsia" w:asciiTheme="majorEastAsia" w:hAnsiTheme="majorEastAsia" w:eastAsiaTheme="majorEastAsia" w:cstheme="majorEastAsia"/>
          <w:sz w:val="24"/>
          <w:szCs w:val="24"/>
          <w:highlight w:val="none"/>
          <w:u w:val="single"/>
        </w:rPr>
        <w:t xml:space="preserve">经发包人书面批准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3.3.5承包人擅自更换主要施工管理人员的违约责任：</w:t>
      </w:r>
      <w:r>
        <w:rPr>
          <w:rFonts w:hint="eastAsia" w:asciiTheme="majorEastAsia" w:hAnsiTheme="majorEastAsia" w:eastAsiaTheme="majorEastAsia" w:cstheme="majorEastAsia"/>
          <w:sz w:val="24"/>
          <w:szCs w:val="24"/>
          <w:highlight w:val="none"/>
          <w:u w:val="single"/>
        </w:rPr>
        <w:t xml:space="preserve">投标文件中及合同中明确的项目经理和各专业人员不得擅自变更，开工时或施工过程中若有擅自变更，发包人有权解除合同，并追究由此带来的发包人一切损失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承包人主要施工管理人员擅自离开施工现场的违约责任：</w:t>
      </w:r>
      <w:r>
        <w:rPr>
          <w:rFonts w:hint="eastAsia" w:asciiTheme="majorEastAsia" w:hAnsiTheme="majorEastAsia" w:eastAsiaTheme="majorEastAsia" w:cstheme="majorEastAsia"/>
          <w:sz w:val="24"/>
          <w:szCs w:val="24"/>
          <w:highlight w:val="none"/>
          <w:u w:val="single"/>
        </w:rPr>
        <w:t xml:space="preserve"> 主要人员必须常驻现场，若出现未经发包人书面批准的主要人员更换的情况，则视为违约。如承包人违约，发包人将处罚承包人2000元/次的违约金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w:t>
      </w:r>
      <w:bookmarkStart w:id="153" w:name="_Toc296890987"/>
      <w:r/>
      <w:bookmarkStart w:id="154" w:name="_Toc312677988"/>
      <w:r/>
      <w:bookmarkStart w:id="155" w:name="_Toc296346660"/>
      <w:r/>
      <w:bookmarkStart w:id="156" w:name="_Toc297216151"/>
      <w:r/>
      <w:bookmarkStart w:id="157" w:name="_Toc292559869"/>
      <w:r/>
      <w:bookmarkStart w:id="158" w:name="_Toc297120459"/>
      <w:r/>
      <w:bookmarkStart w:id="159" w:name="_Toc304295523"/>
      <w:r/>
      <w:bookmarkStart w:id="160" w:name="_Toc292559364"/>
      <w:r/>
      <w:bookmarkStart w:id="161" w:name="_Toc297048345"/>
      <w:r/>
      <w:bookmarkStart w:id="162" w:name="_Toc303539102"/>
      <w:r/>
      <w:bookmarkStart w:id="163" w:name="_Toc297123492"/>
      <w:r/>
      <w:bookmarkStart w:id="164" w:name="_Toc296503159"/>
      <w:r/>
      <w:bookmarkStart w:id="165" w:name="_Toc296347158"/>
      <w:r/>
      <w:bookmarkStart w:id="166" w:name="_Toc296891199"/>
      <w:r/>
      <w:bookmarkStart w:id="167" w:name="_Toc300934945"/>
      <w:r/>
      <w:bookmarkStart w:id="168" w:name="_Toc296944498"/>
      <w:r>
        <w:rPr>
          <w:rFonts w:hint="eastAsia" w:asciiTheme="majorEastAsia" w:hAnsiTheme="majorEastAsia" w:eastAsiaTheme="majorEastAsia" w:cstheme="majorEastAsia"/>
          <w:sz w:val="24"/>
          <w:szCs w:val="24"/>
          <w:highlight w:val="none"/>
        </w:rPr>
        <w:t xml:space="preserve">.5 分包</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w:t>
      </w:r>
      <w:bookmarkStart w:id="169" w:name="_Toc296346661"/>
      <w:r/>
      <w:bookmarkStart w:id="170" w:name="_Toc292559365"/>
      <w:r/>
      <w:bookmarkStart w:id="171" w:name="_Toc303539103"/>
      <w:r/>
      <w:bookmarkStart w:id="172" w:name="_Toc300934946"/>
      <w:r/>
      <w:bookmarkStart w:id="173" w:name="_Toc296944499"/>
      <w:r/>
      <w:bookmarkStart w:id="174" w:name="_Toc292559870"/>
      <w:r/>
      <w:bookmarkStart w:id="175" w:name="_Toc297216152"/>
      <w:r/>
      <w:bookmarkStart w:id="176" w:name="_Toc297120460"/>
      <w:r/>
      <w:bookmarkStart w:id="177" w:name="_Toc296503160"/>
      <w:r/>
      <w:bookmarkStart w:id="178" w:name="_Toc296891200"/>
      <w:r/>
      <w:bookmarkStart w:id="179" w:name="_Toc297048346"/>
      <w:r/>
      <w:bookmarkStart w:id="180" w:name="_Toc296890988"/>
      <w:r/>
      <w:bookmarkStart w:id="181" w:name="_Toc296347159"/>
      <w:r/>
      <w:bookmarkStart w:id="182" w:name="_Toc297123493"/>
      <w:r/>
      <w:bookmarkStart w:id="183" w:name="_Toc304295524"/>
      <w:r/>
      <w:bookmarkStart w:id="184" w:name="_Toc318581158"/>
      <w:r/>
      <w:bookmarkStart w:id="185" w:name="_Toc312677989"/>
      <w:r>
        <w:rPr>
          <w:rFonts w:hint="eastAsia" w:asciiTheme="majorEastAsia" w:hAnsiTheme="majorEastAsia" w:eastAsiaTheme="majorEastAsia" w:cstheme="majorEastAsia"/>
          <w:sz w:val="24"/>
          <w:szCs w:val="24"/>
          <w:highlight w:val="none"/>
        </w:rPr>
        <w:t xml:space="preserve">.5.1 分包的一般约定</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禁止分包的工程包括：</w:t>
      </w:r>
      <w:r>
        <w:rPr>
          <w:rFonts w:hint="eastAsia" w:asciiTheme="majorEastAsia" w:hAnsiTheme="majorEastAsia" w:eastAsiaTheme="majorEastAsia" w:cstheme="majorEastAsia"/>
          <w:sz w:val="24"/>
          <w:szCs w:val="24"/>
          <w:highlight w:val="none"/>
          <w:u w:val="single"/>
        </w:rPr>
        <w:t xml:space="preserve">主体、关键性工作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主体结构、关键性工作的范围：</w:t>
      </w:r>
      <w:r>
        <w:rPr>
          <w:rFonts w:hint="eastAsia" w:asciiTheme="majorEastAsia" w:hAnsiTheme="majorEastAsia" w:eastAsiaTheme="majorEastAsia" w:cstheme="majorEastAsia"/>
          <w:sz w:val="24"/>
          <w:szCs w:val="24"/>
          <w:highlight w:val="none"/>
          <w:u w:val="single"/>
        </w:rPr>
        <w:t xml:space="preserve"> 本协议约定的所有施工内容 </w:t>
      </w:r>
      <w:r>
        <w:rPr>
          <w:rFonts w:hint="eastAsia" w:asciiTheme="majorEastAsia" w:hAnsiTheme="majorEastAsia" w:eastAsiaTheme="majorEastAsia" w:cstheme="majorEastAsia"/>
          <w:sz w:val="24"/>
          <w:szCs w:val="24"/>
          <w:highlight w:val="none"/>
        </w:rPr>
        <w:t xml:space="preserve">。</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186" w:name="_Toc297216153"/>
      <w:r/>
      <w:bookmarkStart w:id="187" w:name="_Toc296347160"/>
      <w:r/>
      <w:bookmarkStart w:id="188" w:name="_Toc297120461"/>
      <w:r/>
      <w:bookmarkStart w:id="189" w:name="_Toc296890989"/>
      <w:r/>
      <w:bookmarkStart w:id="190" w:name="_Toc304295525"/>
      <w:r/>
      <w:bookmarkStart w:id="191" w:name="_Toc296891201"/>
      <w:r/>
      <w:bookmarkStart w:id="192" w:name="_Toc300934947"/>
      <w:r/>
      <w:bookmarkStart w:id="193" w:name="_Toc296944500"/>
      <w:r/>
      <w:bookmarkStart w:id="194" w:name="_Toc297123494"/>
      <w:r/>
      <w:bookmarkStart w:id="195" w:name="_Toc296346662"/>
      <w:r/>
      <w:bookmarkStart w:id="196" w:name="_Toc303539104"/>
      <w:r/>
      <w:bookmarkStart w:id="197" w:name="_Toc297048347"/>
      <w:r/>
      <w:bookmarkStart w:id="198" w:name="_Toc296503161"/>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3</w:t>
      </w:r>
      <w:bookmarkStart w:id="199" w:name="_Toc312677990"/>
      <w:r/>
      <w:bookmarkStart w:id="200" w:name="_Toc318581159"/>
      <w:r>
        <w:rPr>
          <w:rFonts w:hint="eastAsia" w:asciiTheme="majorEastAsia" w:hAnsiTheme="majorEastAsia" w:eastAsiaTheme="majorEastAsia" w:cstheme="majorEastAsia"/>
          <w:sz w:val="24"/>
          <w:szCs w:val="24"/>
          <w:highlight w:val="none"/>
        </w:rPr>
        <w:t xml:space="preserve">.5.2分包的确定</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允许分包的专业工程包括：</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其他关于分包的约定：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3.5.4 分包合同价款</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关于分包合同价款支付的约定：</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bookmarkEnd w:id="199"/>
      <w:r/>
      <w:bookmarkEnd w:id="200"/>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3.6 工程照管与成品、半成品保护</w:t>
      </w:r>
      <w:r/>
    </w:p>
    <w:p>
      <w:pPr>
        <w:ind w:firstLine="480"/>
        <w:spacing w:before="120" w:after="120"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承包人负责照管工程及工程相关的材料、工程设备的起始时间：</w:t>
      </w:r>
      <w:r>
        <w:rPr>
          <w:rFonts w:hint="eastAsia" w:asciiTheme="majorEastAsia" w:hAnsiTheme="majorEastAsia" w:eastAsiaTheme="majorEastAsia" w:cstheme="majorEastAsia"/>
          <w:sz w:val="24"/>
          <w:szCs w:val="24"/>
          <w:highlight w:val="none"/>
          <w:u w:val="single"/>
        </w:rPr>
        <w:t xml:space="preserve">  从开工日至竣工日结束后30天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3.7 履约担保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承包人是否提供履约担保：</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承包人提供履约担保的形式、金额及期限的：</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 。       </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201" w:name="_Toc351203636"/>
      <w:r>
        <w:rPr>
          <w:rFonts w:hint="eastAsia" w:asciiTheme="majorEastAsia" w:hAnsiTheme="majorEastAsia" w:eastAsiaTheme="majorEastAsia" w:cstheme="majorEastAsia"/>
          <w:b w:val="0"/>
          <w:bCs w:val="0"/>
          <w:sz w:val="24"/>
          <w:szCs w:val="24"/>
          <w:highlight w:val="none"/>
        </w:rPr>
        <w:t xml:space="preserve">4</w:t>
      </w:r>
      <w:bookmarkStart w:id="202" w:name="_Toc296891202"/>
      <w:r/>
      <w:bookmarkStart w:id="203" w:name="_Toc297120462"/>
      <w:r/>
      <w:bookmarkStart w:id="204" w:name="_Toc267251413"/>
      <w:r/>
      <w:bookmarkStart w:id="205" w:name="_Toc296503162"/>
      <w:r/>
      <w:bookmarkStart w:id="206" w:name="_Toc292559366"/>
      <w:r/>
      <w:bookmarkStart w:id="207" w:name="_Toc296346663"/>
      <w:r/>
      <w:bookmarkStart w:id="208" w:name="_Toc297048348"/>
      <w:r/>
      <w:bookmarkStart w:id="209" w:name="_Toc296944501"/>
      <w:r/>
      <w:bookmarkStart w:id="210" w:name="_Toc292559871"/>
      <w:r/>
      <w:bookmarkStart w:id="211" w:name="_Toc296890990"/>
      <w:r/>
      <w:bookmarkStart w:id="212" w:name="_Toc296347161"/>
      <w:r>
        <w:rPr>
          <w:rFonts w:hint="eastAsia" w:asciiTheme="majorEastAsia" w:hAnsiTheme="majorEastAsia" w:eastAsiaTheme="majorEastAsia" w:cstheme="majorEastAsia"/>
          <w:b w:val="0"/>
          <w:bCs w:val="0"/>
          <w:sz w:val="24"/>
          <w:szCs w:val="24"/>
          <w:highlight w:val="none"/>
        </w:rPr>
        <w:t xml:space="preserve">. 监</w:t>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Theme="majorEastAsia" w:hAnsiTheme="majorEastAsia" w:eastAsiaTheme="majorEastAsia" w:cstheme="majorEastAsia"/>
          <w:b w:val="0"/>
          <w:bCs w:val="0"/>
          <w:sz w:val="24"/>
          <w:szCs w:val="24"/>
          <w:highlight w:val="none"/>
        </w:rPr>
        <w:t xml:space="preserve">理人</w:t>
      </w:r>
      <w:bookmarkEnd w:id="201"/>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4.1监理人的一般规定</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关于监理人的监理内容：</w:t>
      </w:r>
      <w:r>
        <w:rPr>
          <w:rFonts w:hint="eastAsia" w:asciiTheme="majorEastAsia" w:hAnsiTheme="majorEastAsia" w:eastAsiaTheme="majorEastAsia" w:cstheme="majorEastAsia"/>
          <w:sz w:val="24"/>
          <w:szCs w:val="24"/>
          <w:highlight w:val="none"/>
          <w:u w:val="single"/>
        </w:rPr>
        <w:t xml:space="preserve">  工程质量控制、进度控制、造价控制、信息管理、合同管理、安全监督、现场协调</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关于监理人的监理权限：</w:t>
      </w:r>
      <w:r>
        <w:rPr>
          <w:rFonts w:hint="eastAsia" w:asciiTheme="majorEastAsia" w:hAnsiTheme="majorEastAsia" w:eastAsiaTheme="majorEastAsia" w:cstheme="majorEastAsia"/>
          <w:sz w:val="24"/>
          <w:szCs w:val="24"/>
          <w:highlight w:val="none"/>
          <w:u w:val="single"/>
        </w:rPr>
        <w:t xml:space="preserve">  施工阶段的质量、造价、进度、安全进行控制，以及合同、信息管理和现场组织管理，协调各单位之间的关系等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关于监理人在施工现场的办公场所、生活场所的提供和费用承担的约定：</w:t>
      </w:r>
      <w:r>
        <w:rPr>
          <w:rFonts w:hint="eastAsia" w:asciiTheme="majorEastAsia" w:hAnsiTheme="majorEastAsia" w:eastAsiaTheme="majorEastAsia" w:cstheme="majorEastAsia"/>
          <w:sz w:val="24"/>
          <w:szCs w:val="24"/>
          <w:highlight w:val="none"/>
          <w:u w:val="single"/>
        </w:rPr>
        <w:t xml:space="preserve"> 由承包人提供，费用计入总合同价中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4.2 监理人员</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总监理工程师：</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u w:val="single"/>
        </w:rPr>
        <w:t xml:space="preserve">______________________</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    务：；</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监理工程师执业资格证书号：；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联系电话：；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电子信箱：；</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通信地址：；</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关于监理人的其他约定：。</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4.3 商定或确定</w:t>
      </w:r>
      <w:r/>
    </w:p>
    <w:p>
      <w:pPr>
        <w:ind w:firstLine="480"/>
        <w:spacing w:line="360" w:lineRule="auto"/>
        <w:rPr>
          <w:rFonts w:asciiTheme="majorEastAsia" w:hAnsiTheme="majorEastAsia" w:eastAsiaTheme="majorEastAsia" w:cstheme="majorEastAsia"/>
          <w:sz w:val="24"/>
          <w:szCs w:val="24"/>
          <w:highlight w:val="none"/>
        </w:rPr>
      </w:pPr>
      <w:r/>
      <w:bookmarkStart w:id="213" w:name="_Toc267251418"/>
      <w:r>
        <w:rPr>
          <w:rFonts w:hint="eastAsia" w:asciiTheme="majorEastAsia" w:hAnsiTheme="majorEastAsia" w:eastAsiaTheme="majorEastAsia" w:cstheme="majorEastAsia"/>
          <w:sz w:val="24"/>
          <w:szCs w:val="24"/>
          <w:highlight w:val="none"/>
        </w:rPr>
        <w:t xml:space="preserve">在发包人和承包人不能通过协商达成一致意见时，发包人授权监理人对以下事项进行确定：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214" w:name="_Toc351203637"/>
      <w:r>
        <w:rPr>
          <w:rFonts w:hint="eastAsia" w:asciiTheme="majorEastAsia" w:hAnsiTheme="majorEastAsia" w:eastAsiaTheme="majorEastAsia" w:cstheme="majorEastAsia"/>
          <w:b w:val="0"/>
          <w:bCs w:val="0"/>
          <w:sz w:val="24"/>
          <w:szCs w:val="24"/>
          <w:highlight w:val="none"/>
        </w:rPr>
        <w:t xml:space="preserve">5</w:t>
      </w:r>
      <w:bookmarkEnd w:id="213"/>
      <w:r/>
      <w:bookmarkStart w:id="215" w:name="_Toc296944502"/>
      <w:r/>
      <w:bookmarkStart w:id="216" w:name="_Toc292559367"/>
      <w:r/>
      <w:bookmarkStart w:id="217" w:name="_Toc296347162"/>
      <w:r/>
      <w:bookmarkStart w:id="218" w:name="_Toc297048349"/>
      <w:r/>
      <w:bookmarkStart w:id="219" w:name="_Toc297120463"/>
      <w:r/>
      <w:bookmarkStart w:id="220" w:name="_Toc296891203"/>
      <w:r/>
      <w:bookmarkStart w:id="221" w:name="_Toc296890991"/>
      <w:r/>
      <w:bookmarkStart w:id="222" w:name="_Toc296503163"/>
      <w:r/>
      <w:bookmarkStart w:id="223" w:name="_Toc292559872"/>
      <w:r/>
      <w:bookmarkStart w:id="224" w:name="_Toc296346664"/>
      <w:r>
        <w:rPr>
          <w:rFonts w:hint="eastAsia" w:asciiTheme="majorEastAsia" w:hAnsiTheme="majorEastAsia" w:eastAsiaTheme="majorEastAsia" w:cstheme="majorEastAsia"/>
          <w:b w:val="0"/>
          <w:bCs w:val="0"/>
          <w:sz w:val="24"/>
          <w:szCs w:val="24"/>
          <w:highlight w:val="none"/>
        </w:rPr>
        <w:t xml:space="preserve">. 工程质量</w:t>
      </w:r>
      <w:bookmarkEnd w:id="214"/>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5.1 质量要求</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w:t>
      </w:r>
      <w:bookmarkStart w:id="225" w:name="_Toc312677997"/>
      <w:r/>
      <w:bookmarkStart w:id="226" w:name="_Toc318581164"/>
      <w:r/>
      <w:bookmarkStart w:id="227" w:name="_Toc297216155"/>
      <w:r/>
      <w:bookmarkStart w:id="228" w:name="_Toc304295527"/>
      <w:r/>
      <w:bookmarkStart w:id="229" w:name="_Toc297123496"/>
      <w:r/>
      <w:bookmarkStart w:id="230" w:name="_Toc300934949"/>
      <w:r/>
      <w:bookmarkStart w:id="231" w:name="_Toc303539106"/>
      <w:r>
        <w:rPr>
          <w:rFonts w:hint="eastAsia" w:asciiTheme="majorEastAsia" w:hAnsiTheme="majorEastAsia" w:eastAsiaTheme="majorEastAsia" w:cstheme="majorEastAsia"/>
          <w:sz w:val="24"/>
          <w:szCs w:val="24"/>
          <w:highlight w:val="none"/>
        </w:rPr>
        <w:t xml:space="preserve">.1.1 特殊质量标准和要求：</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关于工程奖项的约定：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5.3 隐蔽工程检查</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5.3.2承包人提前通知监理人隐蔽工程检查的期限的约定：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监理人不能按时进行检查时，应提前</w:t>
      </w:r>
      <w:r>
        <w:rPr>
          <w:rFonts w:hint="eastAsia" w:asciiTheme="majorEastAsia" w:hAnsiTheme="majorEastAsia" w:eastAsiaTheme="majorEastAsia" w:cstheme="majorEastAsia"/>
          <w:sz w:val="24"/>
          <w:szCs w:val="24"/>
          <w:highlight w:val="none"/>
          <w:u w:val="single"/>
        </w:rPr>
        <w:t xml:space="preserve">  8  </w:t>
      </w:r>
      <w:r>
        <w:rPr>
          <w:rFonts w:hint="eastAsia" w:asciiTheme="majorEastAsia" w:hAnsiTheme="majorEastAsia" w:eastAsiaTheme="majorEastAsia" w:cstheme="majorEastAsia"/>
          <w:sz w:val="24"/>
          <w:szCs w:val="24"/>
          <w:highlight w:val="none"/>
        </w:rPr>
        <w:t xml:space="preserve">小时提交书面延期要求。</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关于延期最长不得超过：</w:t>
      </w:r>
      <w:r>
        <w:rPr>
          <w:rFonts w:hint="eastAsia" w:asciiTheme="majorEastAsia" w:hAnsiTheme="majorEastAsia" w:eastAsiaTheme="majorEastAsia" w:cstheme="majorEastAsia"/>
          <w:sz w:val="24"/>
          <w:szCs w:val="24"/>
          <w:highlight w:val="none"/>
          <w:u w:val="single"/>
        </w:rPr>
        <w:t xml:space="preserve">   24  </w:t>
      </w:r>
      <w:r>
        <w:rPr>
          <w:rFonts w:hint="eastAsia" w:asciiTheme="majorEastAsia" w:hAnsiTheme="majorEastAsia" w:eastAsiaTheme="majorEastAsia" w:cstheme="majorEastAsia"/>
          <w:sz w:val="24"/>
          <w:szCs w:val="24"/>
          <w:highlight w:val="none"/>
        </w:rPr>
        <w:t xml:space="preserve">小时。</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232" w:name="_Toc351203638"/>
      <w:r>
        <w:rPr>
          <w:rFonts w:hint="eastAsia" w:asciiTheme="majorEastAsia" w:hAnsiTheme="majorEastAsia" w:eastAsiaTheme="majorEastAsia" w:cstheme="majorEastAsia"/>
          <w:b w:val="0"/>
          <w:bCs w:val="0"/>
          <w:sz w:val="24"/>
          <w:szCs w:val="24"/>
          <w:highlight w:val="none"/>
        </w:rPr>
        <w:t xml:space="preserve">6. 安全文明施工与环境保护</w:t>
      </w:r>
      <w:bookmarkEnd w:id="232"/>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6.1安全文明施工</w:t>
      </w:r>
      <w:r/>
    </w:p>
    <w:p>
      <w:pPr>
        <w:pStyle w:val="1131"/>
        <w:ind w:firstLine="561"/>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6.1.1 项目安全生产的达标目标及相应事项的约定：（1）</w:t>
      </w:r>
      <w:r>
        <w:rPr>
          <w:rFonts w:hint="eastAsia" w:asciiTheme="majorEastAsia" w:hAnsiTheme="majorEastAsia" w:eastAsiaTheme="majorEastAsia" w:cstheme="majorEastAsia"/>
          <w:spacing w:val="10"/>
          <w:sz w:val="24"/>
          <w:szCs w:val="24"/>
          <w:highlight w:val="none"/>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Theme="majorEastAsia" w:hAnsiTheme="majorEastAsia" w:eastAsiaTheme="majorEastAsia" w:cstheme="majorEastAsia"/>
          <w:sz w:val="24"/>
          <w:szCs w:val="24"/>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u w:val="single"/>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6.1.4 关于治安保卫的特别约定：</w:t>
      </w:r>
      <w:r>
        <w:rPr>
          <w:rFonts w:hint="eastAsia" w:asciiTheme="majorEastAsia" w:hAnsiTheme="majorEastAsia" w:eastAsiaTheme="majorEastAsia" w:cstheme="majorEastAsia"/>
          <w:spacing w:val="10"/>
          <w:sz w:val="24"/>
          <w:szCs w:val="24"/>
          <w:highlight w:val="none"/>
          <w:u w:val="single"/>
        </w:rPr>
        <w:t xml:space="preserve">按照江宁政办发（2007）157号文规定，其他按通用条款</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关于编制施工场地治安管理计划的约定：</w:t>
      </w:r>
      <w:r>
        <w:rPr>
          <w:rFonts w:hint="eastAsia" w:asciiTheme="majorEastAsia" w:hAnsiTheme="majorEastAsia" w:eastAsiaTheme="majorEastAsia" w:cstheme="majorEastAsia"/>
          <w:sz w:val="24"/>
          <w:szCs w:val="24"/>
          <w:highlight w:val="none"/>
          <w:u w:val="single"/>
        </w:rPr>
        <w:t xml:space="preserve">  在开工前提交的施工组织设计中必须要有此部分内容</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6.1.5 文明施工</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合同当事人对文明施工的要求：</w:t>
      </w:r>
      <w:r>
        <w:rPr>
          <w:rFonts w:hint="eastAsia" w:asciiTheme="majorEastAsia" w:hAnsiTheme="majorEastAsia" w:eastAsiaTheme="majorEastAsia" w:cstheme="majorEastAsia"/>
          <w:sz w:val="24"/>
          <w:szCs w:val="24"/>
          <w:highlight w:val="none"/>
          <w:u w:val="single"/>
        </w:rPr>
        <w:t xml:space="preserve"> 施工现场卫生按标准化现场要求管理，材料和设备堆放整齐，施工区和居住区保持整洁卫生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6.1.6 关于安全文明施工费支付比例和支付期限的约定：</w:t>
      </w:r>
      <w:r>
        <w:rPr>
          <w:rFonts w:hint="eastAsia" w:asciiTheme="majorEastAsia" w:hAnsiTheme="majorEastAsia" w:eastAsiaTheme="majorEastAsia" w:cstheme="majorEastAsia"/>
          <w:sz w:val="24"/>
          <w:szCs w:val="24"/>
          <w:highlight w:val="none"/>
          <w:u w:val="single"/>
        </w:rPr>
        <w:t xml:space="preserve"> 工程开工前，建设单位应向施工单位预付现场安全文明施工措施费不少于基本费的60%，其余40%于工程竣工前付清。</w:t>
      </w:r>
      <w:bookmarkEnd w:id="225"/>
      <w:r/>
      <w:bookmarkEnd w:id="226"/>
      <w:r/>
      <w:bookmarkEnd w:id="227"/>
      <w:r/>
      <w:bookmarkEnd w:id="228"/>
      <w:r/>
      <w:bookmarkEnd w:id="229"/>
      <w:r/>
      <w:bookmarkEnd w:id="230"/>
      <w:r/>
      <w:bookmarkEnd w:id="231"/>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233" w:name="_Toc351203639"/>
      <w:r>
        <w:rPr>
          <w:rFonts w:hint="eastAsia" w:asciiTheme="majorEastAsia" w:hAnsiTheme="majorEastAsia" w:eastAsiaTheme="majorEastAsia" w:cstheme="majorEastAsia"/>
          <w:b w:val="0"/>
          <w:bCs w:val="0"/>
          <w:sz w:val="24"/>
          <w:szCs w:val="24"/>
          <w:highlight w:val="none"/>
        </w:rPr>
        <w:t xml:space="preserve">7. 工期和进度</w:t>
      </w:r>
      <w:bookmarkEnd w:id="233"/>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7.1 施工组织设计</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7.1.1 合同当事人约定的施工组织设计应包括的其他内容：</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7.1.2 施工组织设计的提交和修改</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承包人提交详细施工组织设计的期限的约定：</w:t>
      </w:r>
      <w:r>
        <w:rPr>
          <w:rFonts w:hint="eastAsia" w:asciiTheme="majorEastAsia" w:hAnsiTheme="majorEastAsia" w:eastAsiaTheme="majorEastAsia" w:cstheme="majorEastAsia"/>
          <w:sz w:val="24"/>
          <w:szCs w:val="24"/>
          <w:highlight w:val="none"/>
          <w:u w:val="single"/>
        </w:rPr>
        <w:t xml:space="preserve">  合同签订后7日内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发包人和监理人在收到详细的施工组织设计后确认或提出修改意见的期限：</w:t>
      </w:r>
      <w:r>
        <w:rPr>
          <w:rFonts w:hint="eastAsia" w:asciiTheme="majorEastAsia" w:hAnsiTheme="majorEastAsia" w:eastAsiaTheme="majorEastAsia" w:cstheme="majorEastAsia"/>
          <w:sz w:val="24"/>
          <w:szCs w:val="24"/>
          <w:highlight w:val="none"/>
          <w:u w:val="single"/>
        </w:rPr>
        <w:t xml:space="preserve">5日</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w:t>
      </w:r>
      <w:bookmarkStart w:id="234" w:name="_Toc312677479"/>
      <w:r/>
      <w:bookmarkStart w:id="235" w:name="_Toc297216173"/>
      <w:r/>
      <w:bookmarkStart w:id="236" w:name="_Toc304295541"/>
      <w:r/>
      <w:bookmarkStart w:id="237" w:name="_Toc300934966"/>
      <w:r/>
      <w:bookmarkStart w:id="238" w:name="_Toc303539123"/>
      <w:r/>
      <w:bookmarkStart w:id="239" w:name="_Toc297123514"/>
      <w:r/>
      <w:bookmarkStart w:id="240" w:name="_Toc312678005"/>
      <w:r>
        <w:rPr>
          <w:rFonts w:hint="eastAsia" w:asciiTheme="majorEastAsia" w:hAnsiTheme="majorEastAsia" w:eastAsiaTheme="majorEastAsia" w:cstheme="majorEastAsia"/>
          <w:sz w:val="24"/>
          <w:szCs w:val="24"/>
          <w:highlight w:val="none"/>
        </w:rPr>
        <w:t xml:space="preserve">.2 施工进度计划</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7.2.2 施工进度计划的修订</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发包人和监理人在收到修订的施工进度计划后确认或提出修改意见的期限：</w:t>
      </w:r>
      <w:r>
        <w:rPr>
          <w:rFonts w:hint="eastAsia" w:asciiTheme="majorEastAsia" w:hAnsiTheme="majorEastAsia" w:eastAsiaTheme="majorEastAsia" w:cstheme="majorEastAsia"/>
          <w:sz w:val="24"/>
          <w:szCs w:val="24"/>
          <w:highlight w:val="none"/>
          <w:u w:val="single"/>
        </w:rPr>
        <w:t xml:space="preserve">5日</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7.3 开工</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7.3.1 开工准备</w:t>
      </w:r>
      <w:r/>
    </w:p>
    <w:p>
      <w:pPr>
        <w:ind w:firstLine="645"/>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关于承包人提交工程开工报审表的期限：</w:t>
      </w:r>
      <w:r>
        <w:rPr>
          <w:rFonts w:hint="eastAsia" w:asciiTheme="majorEastAsia" w:hAnsiTheme="majorEastAsia" w:eastAsiaTheme="majorEastAsia" w:cstheme="majorEastAsia"/>
          <w:sz w:val="24"/>
          <w:szCs w:val="24"/>
          <w:highlight w:val="none"/>
          <w:u w:val="single"/>
        </w:rPr>
        <w:t xml:space="preserve">  合同签订后10日  </w:t>
      </w:r>
      <w:r>
        <w:rPr>
          <w:rFonts w:hint="eastAsia" w:asciiTheme="majorEastAsia" w:hAnsiTheme="majorEastAsia" w:eastAsiaTheme="majorEastAsia" w:cstheme="majorEastAsia"/>
          <w:sz w:val="24"/>
          <w:szCs w:val="24"/>
          <w:highlight w:val="none"/>
        </w:rPr>
        <w:t xml:space="preserve">。</w:t>
      </w:r>
      <w:r/>
    </w:p>
    <w:p>
      <w:pPr>
        <w:ind w:firstLine="64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关于发包人应完成的其他开工准备工作及期限：</w:t>
      </w:r>
      <w:r>
        <w:rPr>
          <w:rFonts w:hint="eastAsia" w:asciiTheme="majorEastAsia" w:hAnsiTheme="majorEastAsia" w:eastAsiaTheme="majorEastAsia" w:cstheme="majorEastAsia"/>
          <w:sz w:val="24"/>
          <w:szCs w:val="24"/>
          <w:highlight w:val="none"/>
          <w:u w:val="single"/>
        </w:rPr>
        <w:t xml:space="preserve"> 临时设施搭建、材料、设备、人员等，合同签订后10日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关于承包人应完成的其他开工准备工作及期限：</w:t>
      </w:r>
      <w:r>
        <w:rPr>
          <w:rFonts w:hint="eastAsia" w:asciiTheme="majorEastAsia" w:hAnsiTheme="majorEastAsia" w:eastAsiaTheme="majorEastAsia" w:cstheme="majorEastAsia"/>
          <w:sz w:val="24"/>
          <w:szCs w:val="24"/>
          <w:highlight w:val="none"/>
          <w:u w:val="single"/>
        </w:rPr>
        <w:t xml:space="preserve"> 暂无，如有另行协商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7.3.2开工通知</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因发包人原因造成监理人未能在计划开工日期之日起</w:t>
      </w:r>
      <w:r>
        <w:rPr>
          <w:rFonts w:hint="eastAsia" w:asciiTheme="majorEastAsia" w:hAnsiTheme="majorEastAsia" w:eastAsiaTheme="majorEastAsia" w:cstheme="majorEastAsia"/>
          <w:sz w:val="24"/>
          <w:szCs w:val="24"/>
          <w:highlight w:val="none"/>
          <w:u w:val="single"/>
        </w:rPr>
        <w:t xml:space="preserve"> 7 </w:t>
      </w:r>
      <w:r>
        <w:rPr>
          <w:rFonts w:hint="eastAsia" w:asciiTheme="majorEastAsia" w:hAnsiTheme="majorEastAsia" w:eastAsiaTheme="majorEastAsia" w:cstheme="majorEastAsia"/>
          <w:sz w:val="24"/>
          <w:szCs w:val="24"/>
          <w:highlight w:val="none"/>
        </w:rPr>
        <w:t xml:space="preserve">天内发出开工通知的，承包人有权提出价格调整要求，或者解除合同。</w:t>
      </w:r>
      <w:bookmarkEnd w:id="234"/>
      <w:r/>
      <w:bookmarkEnd w:id="235"/>
      <w:r/>
      <w:bookmarkEnd w:id="236"/>
      <w:r/>
      <w:bookmarkEnd w:id="237"/>
      <w:r/>
      <w:bookmarkEnd w:id="238"/>
      <w:r/>
      <w:bookmarkEnd w:id="239"/>
      <w:r/>
      <w:bookmarkEnd w:id="240"/>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7.4 测量放线</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7.4.1发包人通过监理人向承包人提供测量基准点、基准线和水准点及其书面资料的期限：</w:t>
      </w:r>
      <w:r>
        <w:rPr>
          <w:rFonts w:hint="eastAsia" w:asciiTheme="majorEastAsia" w:hAnsiTheme="majorEastAsia" w:eastAsiaTheme="majorEastAsia" w:cstheme="majorEastAsia"/>
          <w:spacing w:val="10"/>
          <w:sz w:val="24"/>
          <w:szCs w:val="24"/>
          <w:highlight w:val="none"/>
          <w:u w:val="single"/>
        </w:rPr>
        <w:t xml:space="preserve">开工前提供水准点与坐标管制点，按施工图要求由发包人、承包人现场交验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w:t>
      </w:r>
      <w:bookmarkStart w:id="241" w:name="_Toc312678010"/>
      <w:r/>
      <w:bookmarkStart w:id="242" w:name="_Toc312677484"/>
      <w:r/>
      <w:bookmarkStart w:id="243" w:name="_Toc303539125"/>
      <w:r/>
      <w:bookmarkStart w:id="244" w:name="_Toc300934968"/>
      <w:r/>
      <w:bookmarkStart w:id="245" w:name="_Toc297216175"/>
      <w:r/>
      <w:bookmarkStart w:id="246" w:name="_Toc304295546"/>
      <w:r/>
      <w:bookmarkStart w:id="247" w:name="_Toc297123516"/>
      <w:r>
        <w:rPr>
          <w:rFonts w:hint="eastAsia" w:asciiTheme="majorEastAsia" w:hAnsiTheme="majorEastAsia" w:eastAsiaTheme="majorEastAsia" w:cstheme="majorEastAsia"/>
          <w:sz w:val="24"/>
          <w:szCs w:val="24"/>
          <w:highlight w:val="none"/>
        </w:rPr>
        <w:t xml:space="preserve">.5 工期延误</w:t>
      </w:r>
      <w:bookmarkEnd w:id="241"/>
      <w:r/>
      <w:bookmarkEnd w:id="242"/>
      <w:r/>
      <w:bookmarkEnd w:id="243"/>
      <w:r/>
      <w:bookmarkEnd w:id="244"/>
      <w:r/>
      <w:bookmarkEnd w:id="245"/>
      <w:r/>
      <w:bookmarkEnd w:id="246"/>
      <w:r/>
      <w:bookmarkEnd w:id="247"/>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7.5.1 因发包人原因导致工期延误</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（7）因发包人原因导致工期延误的其他情形：</w:t>
      </w:r>
      <w:r>
        <w:rPr>
          <w:rFonts w:hint="eastAsia" w:asciiTheme="majorEastAsia" w:hAnsiTheme="majorEastAsia" w:eastAsiaTheme="majorEastAsia" w:cstheme="majorEastAsia"/>
          <w:sz w:val="24"/>
          <w:szCs w:val="24"/>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w:t>
      </w:r>
      <w:bookmarkStart w:id="248" w:name="_Toc312678012"/>
      <w:r/>
      <w:bookmarkStart w:id="249" w:name="_Toc318581169"/>
      <w:r/>
      <w:bookmarkStart w:id="250" w:name="_Toc312677486"/>
      <w:r/>
      <w:bookmarkStart w:id="251" w:name="_Toc300934970"/>
      <w:r/>
      <w:bookmarkStart w:id="252" w:name="_Toc297216177"/>
      <w:r/>
      <w:bookmarkStart w:id="253" w:name="_Toc303539127"/>
      <w:r/>
      <w:bookmarkStart w:id="254" w:name="_Toc304295548"/>
      <w:r/>
      <w:bookmarkStart w:id="255" w:name="_Toc297123518"/>
      <w:r>
        <w:rPr>
          <w:rFonts w:hint="eastAsia" w:asciiTheme="majorEastAsia" w:hAnsiTheme="majorEastAsia" w:eastAsiaTheme="majorEastAsia" w:cstheme="majorEastAsia"/>
          <w:sz w:val="24"/>
          <w:szCs w:val="24"/>
          <w:highlight w:val="none"/>
        </w:rPr>
        <w:t xml:space="preserve">.5.2 因承包人原因导致工期延误</w:t>
      </w:r>
      <w:bookmarkEnd w:id="248"/>
      <w:r/>
      <w:bookmarkEnd w:id="249"/>
      <w:r/>
      <w:bookmarkEnd w:id="250"/>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因</w:t>
      </w:r>
      <w:bookmarkStart w:id="256" w:name="_Toc312677487"/>
      <w:r/>
      <w:bookmarkStart w:id="257" w:name="_Toc312678013"/>
      <w:r/>
      <w:bookmarkStart w:id="258" w:name="_Toc318581170"/>
      <w:r>
        <w:rPr>
          <w:rFonts w:hint="eastAsia" w:asciiTheme="majorEastAsia" w:hAnsiTheme="majorEastAsia" w:eastAsiaTheme="majorEastAsia" w:cstheme="majorEastAsia"/>
          <w:sz w:val="24"/>
          <w:szCs w:val="24"/>
          <w:highlight w:val="none"/>
        </w:rPr>
        <w:t xml:space="preserve">承包人原因造成工期延误，逾期竣工违约金的计算方法为：</w:t>
      </w:r>
      <w:r/>
    </w:p>
    <w:p>
      <w:pPr>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0"/>
          <w:sz w:val="24"/>
          <w:szCs w:val="24"/>
          <w:highlight w:val="none"/>
          <w:u w:val="single"/>
        </w:rPr>
        <w:t xml:space="preserve">如因承包人原因，导致竣工工期滞后于合同工期，按每滞后一天赔偿2000元违约金</w:t>
      </w:r>
      <w:r>
        <w:rPr>
          <w:rFonts w:hint="eastAsia" w:asciiTheme="majorEastAsia" w:hAnsiTheme="majorEastAsia" w:eastAsiaTheme="majorEastAsia" w:cstheme="majorEastAsia"/>
          <w:sz w:val="24"/>
          <w:szCs w:val="24"/>
          <w:highlight w:val="none"/>
        </w:rPr>
        <w:t xml:space="preserve">。</w:t>
      </w:r>
      <w:bookmarkEnd w:id="251"/>
      <w:r/>
      <w:bookmarkEnd w:id="252"/>
      <w:r/>
      <w:bookmarkEnd w:id="253"/>
      <w:r/>
      <w:bookmarkEnd w:id="254"/>
      <w:r/>
      <w:bookmarkEnd w:id="255"/>
      <w:r/>
      <w:bookmarkEnd w:id="256"/>
      <w:r/>
      <w:bookmarkEnd w:id="257"/>
      <w:r/>
      <w:bookmarkEnd w:id="258"/>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因承包人原因造成工期延误，逾</w:t>
      </w:r>
      <w:bookmarkStart w:id="259" w:name="_Toc312678014"/>
      <w:r/>
      <w:bookmarkStart w:id="260" w:name="_Toc318581171"/>
      <w:r>
        <w:rPr>
          <w:rFonts w:hint="eastAsia" w:asciiTheme="majorEastAsia" w:hAnsiTheme="majorEastAsia" w:eastAsiaTheme="majorEastAsia" w:cstheme="majorEastAsia"/>
          <w:sz w:val="24"/>
          <w:szCs w:val="24"/>
          <w:highlight w:val="none"/>
        </w:rPr>
        <w:t xml:space="preserve">期竣工违约金的上限：</w:t>
      </w:r>
      <w:r>
        <w:rPr>
          <w:rFonts w:hint="eastAsia" w:asciiTheme="majorEastAsia" w:hAnsiTheme="majorEastAsia" w:eastAsiaTheme="majorEastAsia" w:cstheme="majorEastAsia"/>
          <w:spacing w:val="10"/>
          <w:sz w:val="24"/>
          <w:szCs w:val="24"/>
          <w:highlight w:val="none"/>
          <w:u w:val="single"/>
        </w:rPr>
        <w:t xml:space="preserve">合同价款的百分之二</w:t>
      </w:r>
      <w:r>
        <w:rPr>
          <w:rFonts w:hint="eastAsia" w:asciiTheme="majorEastAsia" w:hAnsiTheme="majorEastAsia" w:eastAsiaTheme="majorEastAsia" w:cstheme="majorEastAsia"/>
          <w:sz w:val="24"/>
          <w:szCs w:val="24"/>
          <w:highlight w:val="none"/>
        </w:rPr>
        <w:t xml:space="preserve">。</w:t>
      </w:r>
      <w:bookmarkEnd w:id="259"/>
      <w:r/>
      <w:bookmarkEnd w:id="260"/>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w:t>
      </w:r>
      <w:bookmarkStart w:id="261" w:name="_Toc303539128"/>
      <w:r/>
      <w:bookmarkStart w:id="262" w:name="_Toc297216178"/>
      <w:r/>
      <w:bookmarkStart w:id="263" w:name="_Toc300934971"/>
      <w:r/>
      <w:bookmarkStart w:id="264" w:name="_Toc304295549"/>
      <w:r/>
      <w:bookmarkStart w:id="265" w:name="_Toc312678015"/>
      <w:r/>
      <w:bookmarkStart w:id="266" w:name="_Toc297123519"/>
      <w:r>
        <w:rPr>
          <w:rFonts w:hint="eastAsia" w:asciiTheme="majorEastAsia" w:hAnsiTheme="majorEastAsia" w:eastAsiaTheme="majorEastAsia" w:cstheme="majorEastAsia"/>
          <w:sz w:val="24"/>
          <w:szCs w:val="24"/>
          <w:highlight w:val="none"/>
        </w:rPr>
        <w:t xml:space="preserve">.6 不</w:t>
      </w:r>
      <w:bookmarkEnd w:id="261"/>
      <w:r/>
      <w:bookmarkEnd w:id="262"/>
      <w:r/>
      <w:bookmarkEnd w:id="263"/>
      <w:r/>
      <w:bookmarkEnd w:id="264"/>
      <w:r/>
      <w:bookmarkEnd w:id="265"/>
      <w:r/>
      <w:bookmarkEnd w:id="266"/>
      <w:r>
        <w:rPr>
          <w:rFonts w:hint="eastAsia" w:asciiTheme="majorEastAsia" w:hAnsiTheme="majorEastAsia" w:eastAsiaTheme="majorEastAsia" w:cstheme="majorEastAsia"/>
          <w:sz w:val="24"/>
          <w:szCs w:val="24"/>
          <w:highlight w:val="none"/>
        </w:rPr>
        <w:t xml:space="preserve">利物质条件</w:t>
      </w:r>
      <w:r/>
    </w:p>
    <w:p>
      <w:pPr>
        <w:ind w:firstLine="480"/>
        <w:spacing w:line="360" w:lineRule="auto"/>
        <w:rPr>
          <w:rFonts w:asciiTheme="majorEastAsia" w:hAnsiTheme="majorEastAsia" w:eastAsiaTheme="majorEastAsia" w:cstheme="majorEastAsia"/>
          <w:sz w:val="24"/>
          <w:szCs w:val="24"/>
          <w:highlight w:val="none"/>
        </w:rPr>
      </w:pPr>
      <w:r/>
      <w:bookmarkStart w:id="267" w:name="_Toc318581172"/>
      <w:r/>
      <w:bookmarkStart w:id="268" w:name="_Toc300934972"/>
      <w:r/>
      <w:bookmarkStart w:id="269" w:name="_Toc304295550"/>
      <w:r/>
      <w:bookmarkStart w:id="270" w:name="_Toc312678016"/>
      <w:r/>
      <w:bookmarkStart w:id="271" w:name="_Toc297216179"/>
      <w:r/>
      <w:bookmarkStart w:id="272" w:name="_Toc303539129"/>
      <w:r/>
      <w:bookmarkStart w:id="273" w:name="_Toc297123520"/>
      <w:r>
        <w:rPr>
          <w:rFonts w:hint="eastAsia" w:asciiTheme="majorEastAsia" w:hAnsiTheme="majorEastAsia" w:eastAsiaTheme="majorEastAsia" w:cstheme="majorEastAsia"/>
          <w:sz w:val="24"/>
          <w:szCs w:val="24"/>
          <w:highlight w:val="none"/>
        </w:rPr>
        <w:t xml:space="preserve">不利物质条件的其他情形和有关约定：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267"/>
      <w:r/>
      <w:bookmarkEnd w:id="268"/>
      <w:r/>
      <w:bookmarkEnd w:id="269"/>
      <w:r/>
      <w:bookmarkEnd w:id="270"/>
      <w:r/>
      <w:bookmarkEnd w:id="271"/>
      <w:r/>
      <w:bookmarkEnd w:id="272"/>
      <w:r/>
      <w:bookmarkEnd w:id="273"/>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w:t>
      </w:r>
      <w:bookmarkStart w:id="274" w:name="_Toc300934973"/>
      <w:r/>
      <w:bookmarkStart w:id="275" w:name="_Toc312678017"/>
      <w:r/>
      <w:bookmarkStart w:id="276" w:name="_Toc303539130"/>
      <w:r/>
      <w:bookmarkStart w:id="277" w:name="_Toc297123521"/>
      <w:r/>
      <w:bookmarkStart w:id="278" w:name="_Toc304295551"/>
      <w:r/>
      <w:bookmarkStart w:id="279" w:name="_Toc297216180"/>
      <w:r>
        <w:rPr>
          <w:rFonts w:hint="eastAsia" w:asciiTheme="majorEastAsia" w:hAnsiTheme="majorEastAsia" w:eastAsiaTheme="majorEastAsia" w:cstheme="majorEastAsia"/>
          <w:sz w:val="24"/>
          <w:szCs w:val="24"/>
          <w:highlight w:val="none"/>
        </w:rPr>
        <w:t xml:space="preserve">.7异常恶劣的气候条件</w:t>
      </w:r>
      <w:bookmarkEnd w:id="274"/>
      <w:r/>
      <w:bookmarkEnd w:id="275"/>
      <w:r/>
      <w:bookmarkEnd w:id="276"/>
      <w:r/>
      <w:bookmarkEnd w:id="277"/>
      <w:r/>
      <w:bookmarkEnd w:id="278"/>
      <w:r/>
      <w:bookmarkEnd w:id="279"/>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发包人和承包人同意以下情形视为异常恶劣的气候条件：</w:t>
      </w:r>
      <w:r>
        <w:rPr>
          <w:rFonts w:hint="eastAsia" w:asciiTheme="majorEastAsia" w:hAnsiTheme="majorEastAsia" w:eastAsiaTheme="majorEastAsia" w:cstheme="majorEastAsia"/>
          <w:sz w:val="24"/>
          <w:szCs w:val="24"/>
          <w:highlight w:val="none"/>
          <w:u w:val="single"/>
        </w:rPr>
        <w:t xml:space="preserve">按通用条款</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7.9 提前竣工的奖励</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7.9.2提前竣工的奖励：</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280" w:name="_Toc351203640"/>
      <w:r>
        <w:rPr>
          <w:rFonts w:hint="eastAsia" w:asciiTheme="majorEastAsia" w:hAnsiTheme="majorEastAsia" w:eastAsiaTheme="majorEastAsia" w:cstheme="majorEastAsia"/>
          <w:b w:val="0"/>
          <w:bCs w:val="0"/>
          <w:sz w:val="24"/>
          <w:szCs w:val="24"/>
          <w:highlight w:val="none"/>
        </w:rPr>
        <w:t xml:space="preserve">8. 材料与设备</w:t>
      </w:r>
      <w:bookmarkEnd w:id="280"/>
      <w:r/>
      <w:bookmarkEnd w:id="215"/>
      <w:r/>
      <w:bookmarkEnd w:id="216"/>
      <w:r/>
      <w:bookmarkEnd w:id="217"/>
      <w:r/>
      <w:bookmarkEnd w:id="218"/>
      <w:r/>
      <w:bookmarkEnd w:id="219"/>
      <w:r/>
      <w:bookmarkEnd w:id="220"/>
      <w:r/>
      <w:bookmarkEnd w:id="221"/>
      <w:r/>
      <w:bookmarkEnd w:id="222"/>
      <w:r/>
      <w:bookmarkEnd w:id="223"/>
      <w:r/>
      <w:bookmarkEnd w:id="224"/>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w:t>
      </w:r>
      <w:bookmarkStart w:id="281" w:name="_Toc312677493"/>
      <w:r/>
      <w:bookmarkStart w:id="282" w:name="_Toc292559877"/>
      <w:r/>
      <w:bookmarkStart w:id="283" w:name="_Toc312678019"/>
      <w:r/>
      <w:bookmarkStart w:id="284" w:name="_Toc280868654"/>
      <w:r/>
      <w:bookmarkStart w:id="285" w:name="_Toc304295556"/>
      <w:r/>
      <w:bookmarkStart w:id="286" w:name="_Toc297216186"/>
      <w:r/>
      <w:bookmarkStart w:id="287" w:name="_Toc303539136"/>
      <w:r/>
      <w:bookmarkStart w:id="288" w:name="_Toc292559372"/>
      <w:r/>
      <w:bookmarkStart w:id="289" w:name="_Toc300934979"/>
      <w:r/>
      <w:bookmarkStart w:id="290" w:name="_Toc296503167"/>
      <w:r/>
      <w:bookmarkStart w:id="291" w:name="_Toc296891207"/>
      <w:r/>
      <w:bookmarkStart w:id="292" w:name="_Toc296944506"/>
      <w:r/>
      <w:bookmarkStart w:id="293" w:name="_Toc296347166"/>
      <w:r/>
      <w:bookmarkStart w:id="294" w:name="_Toc297120467"/>
      <w:r/>
      <w:bookmarkStart w:id="295" w:name="_Toc297123527"/>
      <w:r/>
      <w:bookmarkStart w:id="296" w:name="_Toc296346668"/>
      <w:r/>
      <w:bookmarkStart w:id="297" w:name="_Toc297048353"/>
      <w:r/>
      <w:bookmarkStart w:id="298" w:name="_Toc296890995"/>
      <w:r/>
      <w:bookmarkStart w:id="299" w:name="_Toc280868656"/>
      <w:r/>
      <w:bookmarkStart w:id="300" w:name="_Toc280868655"/>
      <w:r/>
      <w:bookmarkStart w:id="301" w:name="_Toc267251424"/>
      <w:r>
        <w:rPr>
          <w:rFonts w:hint="eastAsia" w:asciiTheme="majorEastAsia" w:hAnsiTheme="majorEastAsia" w:eastAsiaTheme="majorEastAsia" w:cstheme="majorEastAsia"/>
          <w:sz w:val="24"/>
          <w:szCs w:val="24"/>
          <w:highlight w:val="none"/>
        </w:rPr>
        <w:t xml:space="preserve">.4  材料与工程设备的保管与使用</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w:t>
      </w:r>
      <w:bookmarkStart w:id="302" w:name="_Toc292559373"/>
      <w:r/>
      <w:bookmarkStart w:id="303" w:name="_Toc292559878"/>
      <w:r/>
      <w:bookmarkStart w:id="304" w:name="_Toc296346669"/>
      <w:r/>
      <w:bookmarkStart w:id="305" w:name="_Toc304295557"/>
      <w:r/>
      <w:bookmarkStart w:id="306" w:name="_Toc296503168"/>
      <w:r/>
      <w:bookmarkStart w:id="307" w:name="_Toc297120468"/>
      <w:r/>
      <w:bookmarkStart w:id="308" w:name="_Toc303539137"/>
      <w:r/>
      <w:bookmarkStart w:id="309" w:name="_Toc312677494"/>
      <w:r/>
      <w:bookmarkStart w:id="310" w:name="_Toc296944507"/>
      <w:r/>
      <w:bookmarkStart w:id="311" w:name="_Toc312678020"/>
      <w:r/>
      <w:bookmarkStart w:id="312" w:name="_Toc296347167"/>
      <w:r/>
      <w:bookmarkStart w:id="313" w:name="_Toc297216187"/>
      <w:r/>
      <w:bookmarkStart w:id="314" w:name="_Toc318581173"/>
      <w:r/>
      <w:bookmarkStart w:id="315" w:name="_Toc300934980"/>
      <w:r/>
      <w:bookmarkStart w:id="316" w:name="_Toc297123528"/>
      <w:r/>
      <w:bookmarkStart w:id="317" w:name="_Toc297048354"/>
      <w:r/>
      <w:bookmarkStart w:id="318" w:name="_Toc296891208"/>
      <w:r/>
      <w:bookmarkStart w:id="319" w:name="_Toc296890996"/>
      <w:r>
        <w:rPr>
          <w:rFonts w:hint="eastAsia" w:asciiTheme="majorEastAsia" w:hAnsiTheme="majorEastAsia" w:eastAsiaTheme="majorEastAsia" w:cstheme="majorEastAsia"/>
          <w:sz w:val="24"/>
          <w:szCs w:val="24"/>
          <w:highlight w:val="none"/>
        </w:rPr>
        <w:t xml:space="preserve">.4.1发包人供应的材料设备的保管费用的承担：</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302"/>
      <w:r/>
      <w:bookmarkEnd w:id="303"/>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8.6 样品</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8.6.1  样品的报送与封存</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需要承包人报送样品的材料或工程设备，样品的种类、名称、规格、数量要求：</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8.8 施工设备和临时设施</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8.8.1 承包人提供的施工设备和临时设施</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关于修建临时设施费用承担的约定：</w:t>
      </w:r>
      <w:r>
        <w:rPr>
          <w:rFonts w:hint="eastAsia" w:asciiTheme="majorEastAsia" w:hAnsiTheme="majorEastAsia" w:eastAsiaTheme="majorEastAsia" w:cstheme="majorEastAsia"/>
          <w:sz w:val="24"/>
          <w:szCs w:val="24"/>
          <w:highlight w:val="none"/>
          <w:u w:val="single"/>
        </w:rPr>
        <w:t xml:space="preserve">  计入投标报价中  </w:t>
      </w:r>
      <w:r>
        <w:rPr>
          <w:rFonts w:hint="eastAsia" w:asciiTheme="majorEastAsia" w:hAnsiTheme="majorEastAsia" w:eastAsiaTheme="majorEastAsia" w:cstheme="majorEastAsia"/>
          <w:sz w:val="24"/>
          <w:szCs w:val="24"/>
          <w:highlight w:val="none"/>
        </w:rPr>
        <w:t xml:space="preserve">。</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320" w:name="_Toc351203641"/>
      <w:r>
        <w:rPr>
          <w:rFonts w:hint="eastAsia" w:asciiTheme="majorEastAsia" w:hAnsiTheme="majorEastAsia" w:eastAsiaTheme="majorEastAsia" w:cstheme="majorEastAsia"/>
          <w:b w:val="0"/>
          <w:bCs w:val="0"/>
          <w:sz w:val="24"/>
          <w:szCs w:val="24"/>
          <w:highlight w:val="none"/>
        </w:rPr>
        <w:t xml:space="preserve">9</w:t>
      </w:r>
      <w:bookmarkEnd w:id="299"/>
      <w:r/>
      <w:bookmarkEnd w:id="300"/>
      <w:r/>
      <w:bookmarkEnd w:id="301"/>
      <w:r/>
      <w:bookmarkStart w:id="321" w:name="_Toc304295559"/>
      <w:r/>
      <w:bookmarkStart w:id="322" w:name="_Toc300934982"/>
      <w:r/>
      <w:bookmarkStart w:id="323" w:name="_Toc297123533"/>
      <w:r/>
      <w:bookmarkStart w:id="324" w:name="_Toc312677495"/>
      <w:r/>
      <w:bookmarkStart w:id="325" w:name="_Toc312678021"/>
      <w:r/>
      <w:bookmarkStart w:id="326" w:name="_Toc297216192"/>
      <w:r/>
      <w:bookmarkStart w:id="327" w:name="_Toc303539139"/>
      <w:r/>
      <w:bookmarkStart w:id="328" w:name="_Toc297048359"/>
      <w:r/>
      <w:bookmarkStart w:id="329" w:name="_Toc292559378"/>
      <w:r/>
      <w:bookmarkStart w:id="330" w:name="_Toc296891213"/>
      <w:r/>
      <w:bookmarkStart w:id="331" w:name="_Toc296944512"/>
      <w:r/>
      <w:bookmarkStart w:id="332" w:name="_Toc296347172"/>
      <w:r/>
      <w:bookmarkStart w:id="333" w:name="_Toc297120473"/>
      <w:r/>
      <w:bookmarkStart w:id="334" w:name="_Toc292559883"/>
      <w:r/>
      <w:bookmarkStart w:id="335" w:name="_Toc296503173"/>
      <w:r/>
      <w:bookmarkStart w:id="336" w:name="_Toc296891001"/>
      <w:r/>
      <w:bookmarkStart w:id="337" w:name="_Toc296346674"/>
      <w:r/>
      <w:bookmarkStart w:id="338" w:name="_Toc267251428"/>
      <w:r/>
      <w:bookmarkStart w:id="339" w:name="_Toc267251427"/>
      <w:r>
        <w:rPr>
          <w:rFonts w:hint="eastAsia" w:asciiTheme="majorEastAsia" w:hAnsiTheme="majorEastAsia" w:eastAsiaTheme="majorEastAsia" w:cstheme="majorEastAsia"/>
          <w:b w:val="0"/>
          <w:bCs w:val="0"/>
          <w:sz w:val="24"/>
          <w:szCs w:val="24"/>
          <w:highlight w:val="none"/>
        </w:rPr>
        <w:t xml:space="preserve">. 试验与检验</w:t>
      </w:r>
      <w:bookmarkEnd w:id="320"/>
      <w:r/>
      <w:bookmarkEnd w:id="321"/>
      <w:r/>
      <w:bookmarkEnd w:id="322"/>
      <w:r/>
      <w:bookmarkEnd w:id="323"/>
      <w:r/>
      <w:bookmarkEnd w:id="324"/>
      <w:r/>
      <w:bookmarkEnd w:id="325"/>
      <w:r/>
      <w:bookmarkEnd w:id="326"/>
      <w:r/>
      <w:bookmarkEnd w:id="327"/>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9</w:t>
      </w:r>
      <w:bookmarkStart w:id="340" w:name="_Toc297216193"/>
      <w:r/>
      <w:bookmarkStart w:id="341" w:name="_Toc300934983"/>
      <w:r/>
      <w:bookmarkStart w:id="342" w:name="_Toc312678022"/>
      <w:r/>
      <w:bookmarkStart w:id="343" w:name="_Toc297123534"/>
      <w:r/>
      <w:bookmarkStart w:id="344" w:name="_Toc303539140"/>
      <w:r/>
      <w:bookmarkStart w:id="345" w:name="_Toc304295560"/>
      <w:r/>
      <w:bookmarkStart w:id="346" w:name="_Toc312677496"/>
      <w:r>
        <w:rPr>
          <w:rFonts w:hint="eastAsia" w:asciiTheme="majorEastAsia" w:hAnsiTheme="majorEastAsia" w:eastAsiaTheme="majorEastAsia" w:cstheme="majorEastAsia"/>
          <w:sz w:val="24"/>
          <w:szCs w:val="24"/>
          <w:highlight w:val="none"/>
        </w:rPr>
        <w:t xml:space="preserve">.1试验设备与试验人员</w:t>
      </w:r>
      <w:bookmarkEnd w:id="340"/>
      <w:r/>
      <w:bookmarkEnd w:id="341"/>
      <w:r/>
      <w:bookmarkEnd w:id="342"/>
      <w:r/>
      <w:bookmarkEnd w:id="343"/>
      <w:r/>
      <w:bookmarkEnd w:id="344"/>
      <w:r/>
      <w:bookmarkEnd w:id="345"/>
      <w:r/>
      <w:bookmarkEnd w:id="346"/>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9</w:t>
      </w:r>
      <w:bookmarkStart w:id="347" w:name="_Toc300934984"/>
      <w:r/>
      <w:bookmarkStart w:id="348" w:name="_Toc297123535"/>
      <w:r/>
      <w:bookmarkStart w:id="349" w:name="_Toc312678023"/>
      <w:r/>
      <w:bookmarkStart w:id="350" w:name="_Toc297216194"/>
      <w:r/>
      <w:bookmarkStart w:id="351" w:name="_Toc304295561"/>
      <w:r/>
      <w:bookmarkStart w:id="352" w:name="_Toc303539141"/>
      <w:r/>
      <w:bookmarkStart w:id="353" w:name="_Toc312677497"/>
      <w:r/>
      <w:bookmarkStart w:id="354" w:name="_Toc318581174"/>
      <w:r>
        <w:rPr>
          <w:rFonts w:hint="eastAsia" w:asciiTheme="majorEastAsia" w:hAnsiTheme="majorEastAsia" w:eastAsiaTheme="majorEastAsia" w:cstheme="majorEastAsia"/>
          <w:sz w:val="24"/>
          <w:szCs w:val="24"/>
          <w:highlight w:val="none"/>
        </w:rPr>
        <w:t xml:space="preserve">.1.2 试验设备</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施工现场需要配置的试验场所：</w:t>
      </w:r>
      <w:bookmarkEnd w:id="347"/>
      <w:r/>
      <w:bookmarkEnd w:id="348"/>
      <w:r/>
      <w:bookmarkEnd w:id="349"/>
      <w:r/>
      <w:bookmarkEnd w:id="350"/>
      <w:r/>
      <w:bookmarkEnd w:id="351"/>
      <w:r/>
      <w:bookmarkEnd w:id="352"/>
      <w:r/>
      <w:bookmarkEnd w:id="353"/>
      <w:r/>
      <w:bookmarkStart w:id="355" w:name="_Toc300934985"/>
      <w:r/>
      <w:bookmarkStart w:id="356" w:name="_Toc297216195"/>
      <w:r/>
      <w:bookmarkStart w:id="357" w:name="_Toc312677498"/>
      <w:r/>
      <w:bookmarkStart w:id="358" w:name="_Toc297123536"/>
      <w:r/>
      <w:bookmarkStart w:id="359" w:name="_Toc303539142"/>
      <w:r/>
      <w:bookmarkStart w:id="360" w:name="_Toc304295562"/>
      <w:r/>
      <w:bookmarkStart w:id="361" w:name="_Toc312678024"/>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施工现场需要配备的试验设备：</w:t>
      </w:r>
      <w:r>
        <w:rPr>
          <w:rFonts w:hint="eastAsia" w:asciiTheme="majorEastAsia" w:hAnsiTheme="majorEastAsia" w:eastAsiaTheme="majorEastAsia" w:cstheme="majorEastAsia"/>
          <w:sz w:val="24"/>
          <w:szCs w:val="24"/>
          <w:highlight w:val="none"/>
          <w:u w:val="single"/>
        </w:rPr>
        <w:t xml:space="preserve">  水准仪、测量仪等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施工现场需要具备的其他试验条件：</w:t>
      </w:r>
      <w:r>
        <w:rPr>
          <w:rFonts w:hint="eastAsia" w:asciiTheme="majorEastAsia" w:hAnsiTheme="majorEastAsia" w:eastAsiaTheme="majorEastAsia" w:cstheme="majorEastAsia"/>
          <w:sz w:val="24"/>
          <w:szCs w:val="24"/>
          <w:highlight w:val="none"/>
          <w:u w:val="single"/>
        </w:rPr>
        <w:t xml:space="preserve">  暂无，其他按通用条款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9.4 现场工艺试验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现场工艺试验的有关约定：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354"/>
      <w:r/>
      <w:bookmarkEnd w:id="355"/>
      <w:r/>
      <w:bookmarkEnd w:id="356"/>
      <w:r/>
      <w:bookmarkEnd w:id="357"/>
      <w:r/>
      <w:bookmarkEnd w:id="358"/>
      <w:r/>
      <w:bookmarkEnd w:id="359"/>
      <w:r/>
      <w:bookmarkEnd w:id="360"/>
      <w:r/>
      <w:bookmarkEnd w:id="361"/>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362" w:name="_Toc351203642"/>
      <w:r>
        <w:rPr>
          <w:rFonts w:hint="eastAsia" w:asciiTheme="majorEastAsia" w:hAnsiTheme="majorEastAsia" w:eastAsiaTheme="majorEastAsia" w:cstheme="majorEastAsia"/>
          <w:b w:val="0"/>
          <w:bCs w:val="0"/>
          <w:sz w:val="24"/>
          <w:szCs w:val="24"/>
          <w:highlight w:val="none"/>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63" w:name="_Toc296347192"/>
      <w:r/>
      <w:bookmarkStart w:id="364" w:name="_Toc297120493"/>
      <w:r/>
      <w:bookmarkStart w:id="365" w:name="_Toc297216199"/>
      <w:r/>
      <w:bookmarkStart w:id="366" w:name="_Toc296891233"/>
      <w:r/>
      <w:bookmarkStart w:id="367" w:name="_Toc292559903"/>
      <w:r/>
      <w:bookmarkStart w:id="368" w:name="_Toc292559398"/>
      <w:r/>
      <w:bookmarkStart w:id="369" w:name="_Toc304295566"/>
      <w:r/>
      <w:bookmarkStart w:id="370" w:name="_Toc296891021"/>
      <w:r/>
      <w:bookmarkStart w:id="371" w:name="_Toc297123540"/>
      <w:r/>
      <w:bookmarkStart w:id="372" w:name="_Toc296944532"/>
      <w:r/>
      <w:bookmarkStart w:id="373" w:name="_Toc303539146"/>
      <w:r/>
      <w:bookmarkStart w:id="374" w:name="_Toc296503193"/>
      <w:r/>
      <w:bookmarkStart w:id="375" w:name="_Toc300934989"/>
      <w:r/>
      <w:bookmarkStart w:id="376" w:name="_Toc297048379"/>
      <w:r/>
      <w:bookmarkStart w:id="377" w:name="_Toc296346694"/>
      <w:r/>
      <w:bookmarkStart w:id="378" w:name="_Toc312677499"/>
      <w:r/>
      <w:bookmarkStart w:id="379" w:name="_Toc312678025"/>
      <w:r/>
      <w:bookmarkStart w:id="380" w:name="_Toc267251441"/>
      <w:r/>
      <w:bookmarkStart w:id="381" w:name="_Toc267251433"/>
      <w:r/>
      <w:bookmarkStart w:id="382" w:name="_Toc267251440"/>
      <w:r/>
      <w:bookmarkStart w:id="383" w:name="_Toc267251435"/>
      <w:r/>
      <w:bookmarkStart w:id="384" w:name="_Toc267251437"/>
      <w:r/>
      <w:bookmarkStart w:id="385" w:name="_Toc267251439"/>
      <w:r/>
      <w:bookmarkStart w:id="386" w:name="_Toc267251442"/>
      <w:r>
        <w:rPr>
          <w:rFonts w:hint="eastAsia" w:asciiTheme="majorEastAsia" w:hAnsiTheme="majorEastAsia" w:eastAsiaTheme="majorEastAsia" w:cstheme="majorEastAsia"/>
          <w:b w:val="0"/>
          <w:bCs w:val="0"/>
          <w:sz w:val="24"/>
          <w:szCs w:val="24"/>
          <w:highlight w:val="none"/>
        </w:rPr>
        <w:t xml:space="preserve">0. 变更</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Start w:id="387" w:name="_Toc312678026"/>
      <w:r/>
      <w:bookmarkStart w:id="388" w:name="_Toc303539147"/>
      <w:r/>
      <w:bookmarkStart w:id="389" w:name="_Toc296346695"/>
      <w:r/>
      <w:bookmarkStart w:id="390" w:name="_Toc297048380"/>
      <w:r/>
      <w:bookmarkStart w:id="391" w:name="_Toc304295567"/>
      <w:r/>
      <w:bookmarkStart w:id="392" w:name="_Toc297216200"/>
      <w:r/>
      <w:bookmarkStart w:id="393" w:name="_Toc296944533"/>
      <w:r/>
      <w:bookmarkStart w:id="394" w:name="_Toc292559399"/>
      <w:r/>
      <w:bookmarkStart w:id="395" w:name="_Toc312677500"/>
      <w:r/>
      <w:bookmarkStart w:id="396" w:name="_Toc296891022"/>
      <w:r/>
      <w:bookmarkStart w:id="397" w:name="_Toc300934990"/>
      <w:r/>
      <w:bookmarkStart w:id="398" w:name="_Toc292559904"/>
      <w:r/>
      <w:bookmarkStart w:id="399" w:name="_Toc297123541"/>
      <w:r/>
      <w:bookmarkStart w:id="400" w:name="_Toc296503194"/>
      <w:r/>
      <w:bookmarkStart w:id="401" w:name="_Toc297120494"/>
      <w:r/>
      <w:bookmarkStart w:id="402" w:name="_Toc296347193"/>
      <w:r/>
      <w:bookmarkStart w:id="403" w:name="_Toc296891234"/>
      <w:r>
        <w:rPr>
          <w:rFonts w:hint="eastAsia" w:asciiTheme="majorEastAsia" w:hAnsiTheme="majorEastAsia" w:eastAsiaTheme="majorEastAsia" w:cstheme="majorEastAsia"/>
          <w:sz w:val="24"/>
          <w:szCs w:val="24"/>
          <w:highlight w:val="none"/>
        </w:rPr>
        <w:t xml:space="preserve">0.1变更的范围</w:t>
      </w:r>
      <w:r/>
    </w:p>
    <w:p>
      <w:pPr>
        <w:ind w:firstLine="60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关于变更的范围的约定：</w:t>
      </w:r>
      <w:r>
        <w:rPr>
          <w:rFonts w:hint="eastAsia" w:asciiTheme="majorEastAsia" w:hAnsiTheme="majorEastAsia" w:eastAsiaTheme="majorEastAsia" w:cstheme="majorEastAsia"/>
          <w:sz w:val="24"/>
          <w:szCs w:val="24"/>
          <w:highlight w:val="none"/>
          <w:u w:val="single"/>
        </w:rPr>
        <w:t xml:space="preserve">  根据现场施工条件，材料数量需要增加，工程量调整，综合单价不调整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10.4 变更估价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10.4.1 变更估价原则</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关于变更估价的约定: </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Start w:id="404" w:name="_Toc296891025"/>
      <w:r/>
      <w:bookmarkStart w:id="405" w:name="_Toc296346698"/>
      <w:r/>
      <w:bookmarkStart w:id="406" w:name="_Toc297123544"/>
      <w:r/>
      <w:bookmarkStart w:id="407" w:name="_Toc296347196"/>
      <w:r/>
      <w:bookmarkStart w:id="408" w:name="_Toc296503197"/>
      <w:r/>
      <w:bookmarkStart w:id="409" w:name="_Toc300934993"/>
      <w:r/>
      <w:bookmarkStart w:id="410" w:name="_Toc297120497"/>
      <w:r/>
      <w:bookmarkStart w:id="411" w:name="_Toc296944536"/>
      <w:r/>
      <w:bookmarkStart w:id="412" w:name="_Toc303539150"/>
      <w:r/>
      <w:bookmarkStart w:id="413" w:name="_Toc296891237"/>
      <w:r/>
      <w:bookmarkStart w:id="414" w:name="_Toc292559907"/>
      <w:r/>
      <w:bookmarkStart w:id="415" w:name="_Toc297216203"/>
      <w:r/>
      <w:bookmarkStart w:id="416" w:name="_Toc297048383"/>
      <w:r/>
      <w:bookmarkStart w:id="417" w:name="_Toc292559402"/>
      <w:r/>
      <w:bookmarkStart w:id="418" w:name="_Toc304295570"/>
      <w:r/>
      <w:bookmarkStart w:id="419" w:name="_Toc312678029"/>
      <w:r/>
      <w:bookmarkStart w:id="420" w:name="_Toc312677503"/>
      <w:r>
        <w:rPr>
          <w:rFonts w:hint="eastAsia" w:asciiTheme="majorEastAsia" w:hAnsiTheme="majorEastAsia" w:eastAsiaTheme="majorEastAsia" w:cstheme="majorEastAsia"/>
          <w:sz w:val="24"/>
          <w:szCs w:val="24"/>
          <w:highlight w:val="none"/>
        </w:rPr>
        <w:t xml:space="preserve">0.5承</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Start w:id="421" w:name="_Toc296346704"/>
      <w:r/>
      <w:bookmarkStart w:id="422" w:name="_Toc296503203"/>
      <w:r/>
      <w:bookmarkStart w:id="423" w:name="_Toc292559913"/>
      <w:r/>
      <w:bookmarkStart w:id="424" w:name="_Toc296891243"/>
      <w:r/>
      <w:bookmarkStart w:id="425" w:name="_Toc297048389"/>
      <w:r/>
      <w:bookmarkStart w:id="426" w:name="_Toc297216204"/>
      <w:r/>
      <w:bookmarkStart w:id="427" w:name="_Toc303539151"/>
      <w:r/>
      <w:bookmarkStart w:id="428" w:name="_Toc296347202"/>
      <w:r/>
      <w:bookmarkStart w:id="429" w:name="_Toc297120503"/>
      <w:r/>
      <w:bookmarkStart w:id="430" w:name="_Toc296891031"/>
      <w:r/>
      <w:bookmarkStart w:id="431" w:name="_Toc297123545"/>
      <w:r/>
      <w:bookmarkStart w:id="432" w:name="_Toc296944542"/>
      <w:r/>
      <w:bookmarkStart w:id="433" w:name="_Toc292559408"/>
      <w:r/>
      <w:bookmarkStart w:id="434" w:name="_Toc300934994"/>
      <w:r>
        <w:rPr>
          <w:rFonts w:hint="eastAsia" w:asciiTheme="majorEastAsia" w:hAnsiTheme="majorEastAsia" w:eastAsiaTheme="majorEastAsia" w:cstheme="majorEastAsia"/>
          <w:sz w:val="24"/>
          <w:szCs w:val="24"/>
          <w:highlight w:val="none"/>
        </w:rPr>
        <w:t xml:space="preserve">包人的合理化建议</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监理人审查承包人合理化建议的期限：</w:t>
      </w:r>
      <w:r>
        <w:rPr>
          <w:rFonts w:hint="eastAsia" w:asciiTheme="majorEastAsia" w:hAnsiTheme="majorEastAsia" w:eastAsiaTheme="majorEastAsia" w:cstheme="majorEastAsia"/>
          <w:sz w:val="24"/>
          <w:szCs w:val="24"/>
          <w:highlight w:val="none"/>
          <w:u w:val="single"/>
        </w:rPr>
        <w:t xml:space="preserve">  2日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发包人审批承包人合理化建议的期限：</w:t>
      </w:r>
      <w:r>
        <w:rPr>
          <w:rFonts w:hint="eastAsia" w:asciiTheme="majorEastAsia" w:hAnsiTheme="majorEastAsia" w:eastAsiaTheme="majorEastAsia" w:cstheme="majorEastAsia"/>
          <w:sz w:val="24"/>
          <w:szCs w:val="24"/>
          <w:highlight w:val="none"/>
          <w:u w:val="single"/>
        </w:rPr>
        <w:t xml:space="preserve">  2日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承</w:t>
      </w:r>
      <w:bookmarkStart w:id="435" w:name="_Toc296891244"/>
      <w:r/>
      <w:bookmarkStart w:id="436" w:name="_Toc297216205"/>
      <w:r/>
      <w:bookmarkStart w:id="437" w:name="_Toc312678030"/>
      <w:r/>
      <w:bookmarkStart w:id="438" w:name="_Toc300934995"/>
      <w:r/>
      <w:bookmarkStart w:id="439" w:name="_Toc296346705"/>
      <w:r/>
      <w:bookmarkStart w:id="440" w:name="_Toc312677504"/>
      <w:r/>
      <w:bookmarkStart w:id="441" w:name="_Toc296891032"/>
      <w:r/>
      <w:bookmarkStart w:id="442" w:name="_Toc297048390"/>
      <w:r/>
      <w:bookmarkStart w:id="443" w:name="_Toc292559914"/>
      <w:r/>
      <w:bookmarkStart w:id="444" w:name="_Toc304295571"/>
      <w:r/>
      <w:bookmarkStart w:id="445" w:name="_Toc318581175"/>
      <w:r/>
      <w:bookmarkStart w:id="446" w:name="_Toc296347203"/>
      <w:r/>
      <w:bookmarkStart w:id="447" w:name="_Toc297123546"/>
      <w:r/>
      <w:bookmarkStart w:id="448" w:name="_Toc296503204"/>
      <w:r/>
      <w:bookmarkStart w:id="449" w:name="_Toc292559409"/>
      <w:r/>
      <w:bookmarkStart w:id="450" w:name="_Toc296944543"/>
      <w:r/>
      <w:bookmarkStart w:id="451" w:name="_Toc297120504"/>
      <w:r/>
      <w:bookmarkStart w:id="452" w:name="_Toc303539152"/>
      <w:r>
        <w:rPr>
          <w:rFonts w:hint="eastAsia" w:asciiTheme="majorEastAsia" w:hAnsiTheme="majorEastAsia" w:eastAsiaTheme="majorEastAsia" w:cstheme="majorEastAsia"/>
          <w:sz w:val="24"/>
          <w:szCs w:val="24"/>
          <w:highlight w:val="none"/>
        </w:rPr>
        <w:t xml:space="preserve">包人提出的合理化建议降低了合同价格或者提高了工程经济效益的奖励的方法和金额为：</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Start w:id="453" w:name="_Toc296346700"/>
      <w:r/>
      <w:bookmarkStart w:id="454" w:name="_Toc304295574"/>
      <w:r/>
      <w:bookmarkStart w:id="455" w:name="_Toc297216207"/>
      <w:r/>
      <w:bookmarkStart w:id="456" w:name="_Toc296347198"/>
      <w:r/>
      <w:bookmarkStart w:id="457" w:name="_Toc312678033"/>
      <w:r/>
      <w:bookmarkStart w:id="458" w:name="_Toc312677507"/>
      <w:r/>
      <w:bookmarkStart w:id="459" w:name="_Toc296503199"/>
      <w:r/>
      <w:bookmarkStart w:id="460" w:name="_Toc297123548"/>
      <w:r/>
      <w:bookmarkStart w:id="461" w:name="_Toc296944538"/>
      <w:r/>
      <w:bookmarkStart w:id="462" w:name="_Toc292559909"/>
      <w:r/>
      <w:bookmarkStart w:id="463" w:name="_Toc297048385"/>
      <w:r/>
      <w:bookmarkStart w:id="464" w:name="_Toc303539154"/>
      <w:r/>
      <w:bookmarkStart w:id="465" w:name="_Toc292559404"/>
      <w:r/>
      <w:bookmarkStart w:id="466" w:name="_Toc296891027"/>
      <w:r/>
      <w:bookmarkStart w:id="467" w:name="_Toc296891239"/>
      <w:r/>
      <w:bookmarkStart w:id="468" w:name="_Toc300934997"/>
      <w:r/>
      <w:bookmarkStart w:id="469" w:name="_Toc297120499"/>
      <w:r>
        <w:rPr>
          <w:rFonts w:hint="eastAsia" w:asciiTheme="majorEastAsia" w:hAnsiTheme="majorEastAsia" w:eastAsiaTheme="majorEastAsia" w:cstheme="majorEastAsia"/>
          <w:sz w:val="24"/>
          <w:szCs w:val="24"/>
          <w:highlight w:val="none"/>
        </w:rPr>
        <w:t xml:space="preserve">0.7 暂估价</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暂</w:t>
      </w:r>
      <w:bookmarkStart w:id="470" w:name="_Toc312678034"/>
      <w:r/>
      <w:bookmarkStart w:id="471" w:name="_Toc312677508"/>
      <w:r/>
      <w:bookmarkStart w:id="472" w:name="_Toc318581176"/>
      <w:r>
        <w:rPr>
          <w:rFonts w:hint="eastAsia" w:asciiTheme="majorEastAsia" w:hAnsiTheme="majorEastAsia" w:eastAsiaTheme="majorEastAsia" w:cstheme="majorEastAsia"/>
          <w:sz w:val="24"/>
          <w:szCs w:val="24"/>
          <w:highlight w:val="none"/>
        </w:rPr>
        <w:t xml:space="preserve">估价材料和工程设备的明细详见附件11：《暂估价一览表》。</w:t>
      </w:r>
      <w:bookmarkEnd w:id="470"/>
      <w:r/>
      <w:bookmarkEnd w:id="471"/>
      <w:r/>
      <w:bookmarkEnd w:id="472"/>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Start w:id="473" w:name="_Toc312678035"/>
      <w:r/>
      <w:bookmarkStart w:id="474" w:name="_Toc312677509"/>
      <w:r/>
      <w:bookmarkStart w:id="475" w:name="_Toc318581177"/>
      <w:r>
        <w:rPr>
          <w:rFonts w:hint="eastAsia" w:asciiTheme="majorEastAsia" w:hAnsiTheme="majorEastAsia" w:eastAsiaTheme="majorEastAsia" w:cstheme="majorEastAsia"/>
          <w:sz w:val="24"/>
          <w:szCs w:val="24"/>
          <w:highlight w:val="none"/>
        </w:rPr>
        <w:t xml:space="preserve">0.7.1 依法必须招标的暂估价项目</w:t>
      </w:r>
      <w:bookmarkEnd w:id="473"/>
      <w:r/>
      <w:bookmarkEnd w:id="474"/>
      <w:r/>
      <w:bookmarkEnd w:id="475"/>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对于依法必须招标的暂估价项目的确认和批准采取第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种方式确定。</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10.7.2 不属于依法必须招标的暂估价项目</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对于不属于依法必须招标的暂估价项目的确认和批准采取第 种方式确定。</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第3种方式：承包人直接实施的暂估价项目</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承包人直接实施的暂估价项目的约定：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10.8 暂列金额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合同当事人关于暂列金额使用的约定：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476" w:name="_Toc351203643"/>
      <w:r>
        <w:rPr>
          <w:rFonts w:hint="eastAsia" w:asciiTheme="majorEastAsia" w:hAnsiTheme="majorEastAsia" w:eastAsiaTheme="majorEastAsia" w:cstheme="majorEastAsia"/>
          <w:b w:val="0"/>
          <w:bCs w:val="0"/>
          <w:sz w:val="24"/>
          <w:szCs w:val="24"/>
          <w:highlight w:val="none"/>
        </w:rPr>
        <w:t xml:space="preserve">11. 价格调整</w:t>
      </w:r>
      <w:bookmarkEnd w:id="476"/>
      <w:r/>
      <w:r/>
    </w:p>
    <w:p>
      <w:pPr>
        <w:ind w:firstLine="480"/>
        <w:spacing w:after="120" w:line="360" w:lineRule="auto"/>
        <w:rPr>
          <w:rFonts w:asciiTheme="majorEastAsia" w:hAnsiTheme="majorEastAsia" w:eastAsiaTheme="majorEastAsia" w:cstheme="majorEastAsia"/>
          <w:sz w:val="24"/>
          <w:szCs w:val="24"/>
          <w:highlight w:val="none"/>
        </w:rPr>
      </w:pPr>
      <w:r/>
      <w:bookmarkStart w:id="477" w:name="_Toc300935000"/>
      <w:r/>
      <w:bookmarkStart w:id="478" w:name="_Toc297120501"/>
      <w:r/>
      <w:bookmarkStart w:id="479" w:name="_Toc297123550"/>
      <w:r/>
      <w:bookmarkStart w:id="480" w:name="_Toc292559406"/>
      <w:r/>
      <w:bookmarkStart w:id="481" w:name="_Toc292559911"/>
      <w:r/>
      <w:bookmarkStart w:id="482" w:name="_Toc296503201"/>
      <w:r/>
      <w:bookmarkStart w:id="483" w:name="_Toc296944540"/>
      <w:r/>
      <w:bookmarkStart w:id="484" w:name="_Toc303539157"/>
      <w:r/>
      <w:bookmarkStart w:id="485" w:name="_Toc296346702"/>
      <w:r/>
      <w:bookmarkStart w:id="486" w:name="_Toc297216209"/>
      <w:r/>
      <w:bookmarkStart w:id="487" w:name="_Toc304295577"/>
      <w:r/>
      <w:bookmarkStart w:id="488" w:name="_Toc296891029"/>
      <w:r/>
      <w:bookmarkStart w:id="489" w:name="_Toc296891241"/>
      <w:r/>
      <w:bookmarkStart w:id="490" w:name="_Toc296347200"/>
      <w:r/>
      <w:bookmarkStart w:id="491" w:name="_Toc312678039"/>
      <w:r/>
      <w:bookmarkStart w:id="492" w:name="_Toc297048387"/>
      <w:r>
        <w:rPr>
          <w:rFonts w:hint="eastAsia" w:asciiTheme="majorEastAsia" w:hAnsiTheme="majorEastAsia" w:eastAsiaTheme="majorEastAsia" w:cstheme="majorEastAsia"/>
          <w:sz w:val="24"/>
          <w:szCs w:val="24"/>
          <w:highlight w:val="none"/>
        </w:rPr>
        <w:t xml:space="preserve">11.1 市场价格波动引起的调整</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市场价格波动是否调整合同价格的约定：</w:t>
      </w:r>
      <w:r>
        <w:rPr>
          <w:rFonts w:hint="eastAsia" w:asciiTheme="majorEastAsia" w:hAnsiTheme="majorEastAsia" w:eastAsiaTheme="majorEastAsia" w:cstheme="majorEastAsia"/>
          <w:sz w:val="24"/>
          <w:szCs w:val="24"/>
          <w:highlight w:val="none"/>
          <w:u w:val="single"/>
        </w:rPr>
        <w:t xml:space="preserve">执行《关于加强建筑材料价格风险控制的指导意见》苏建价[2008]67号文规定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因市场价格波动调整合同价格，采用以下第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种方式对合同价格进行调整：</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第1种方式：采用价格指数进行价格调整。</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关于各可调因子、定值和变值权重，以及基本价格指数及其来源的约定：；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第2种方式：采用造价信息进行价格调整。</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（2）关于基准价格的约定：</w:t>
      </w:r>
      <w:r>
        <w:rPr>
          <w:rFonts w:hint="eastAsia" w:asciiTheme="majorEastAsia" w:hAnsiTheme="majorEastAsia" w:eastAsiaTheme="majorEastAsia" w:cstheme="majorEastAsia"/>
          <w:sz w:val="24"/>
          <w:szCs w:val="24"/>
          <w:highlight w:val="none"/>
          <w:u w:val="single"/>
        </w:rPr>
        <w:t xml:space="preserve">  材料、工程设备价格变化的价款调整按照发包人提供的基准价格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%时，或材料单价跌幅以已标价工程量清单或预算书中载明材料单价为基础超过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%时，材料单价涨幅以已标价工程量清单或预算书中载明材料单价为基础超过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64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645"/>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第3种方式：其他价格调整方式：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bookmarkEnd w:id="380"/>
      <w:r/>
      <w:bookmarkEnd w:id="381"/>
      <w:r/>
      <w:bookmarkEnd w:id="382"/>
      <w:r/>
      <w:bookmarkEnd w:id="383"/>
      <w:r/>
      <w:bookmarkEnd w:id="384"/>
      <w:r/>
      <w:bookmarkEnd w:id="385"/>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493" w:name="_Toc296944544"/>
      <w:r/>
      <w:bookmarkStart w:id="494" w:name="_Toc292559915"/>
      <w:r/>
      <w:bookmarkStart w:id="495" w:name="_Toc297120505"/>
      <w:r/>
      <w:bookmarkStart w:id="496" w:name="_Toc296346706"/>
      <w:r/>
      <w:bookmarkStart w:id="497" w:name="_Toc292559410"/>
      <w:r/>
      <w:bookmarkStart w:id="498" w:name="_Toc297048391"/>
      <w:r/>
      <w:bookmarkStart w:id="499" w:name="_Toc296891245"/>
      <w:r/>
      <w:bookmarkStart w:id="500" w:name="_Toc296347204"/>
      <w:r/>
      <w:bookmarkStart w:id="501" w:name="_Toc296891033"/>
      <w:r/>
      <w:bookmarkStart w:id="502" w:name="_Toc296503205"/>
      <w:r/>
      <w:bookmarkStart w:id="503" w:name="_Toc351203644"/>
      <w:r/>
      <w:bookmarkStart w:id="504" w:name="_Toc300935002"/>
      <w:r/>
      <w:bookmarkStart w:id="505" w:name="_Toc303539159"/>
      <w:r/>
      <w:bookmarkStart w:id="506" w:name="_Toc304295579"/>
      <w:r/>
      <w:bookmarkStart w:id="507" w:name="_Toc297216211"/>
      <w:r/>
      <w:bookmarkStart w:id="508" w:name="_Toc297123552"/>
      <w:r/>
      <w:bookmarkStart w:id="509" w:name="_Toc312678040"/>
      <w:r>
        <w:rPr>
          <w:rFonts w:hint="eastAsia" w:asciiTheme="majorEastAsia" w:hAnsiTheme="majorEastAsia" w:eastAsiaTheme="majorEastAsia" w:cstheme="majorEastAsia"/>
          <w:b w:val="0"/>
          <w:bCs w:val="0"/>
          <w:sz w:val="24"/>
          <w:szCs w:val="24"/>
          <w:highlight w:val="none"/>
        </w:rPr>
        <w:t xml:space="preserve">12. </w:t>
      </w:r>
      <w:bookmarkEnd w:id="493"/>
      <w:r/>
      <w:bookmarkEnd w:id="494"/>
      <w:r/>
      <w:bookmarkEnd w:id="495"/>
      <w:r/>
      <w:bookmarkEnd w:id="496"/>
      <w:r/>
      <w:bookmarkEnd w:id="497"/>
      <w:r/>
      <w:bookmarkEnd w:id="498"/>
      <w:r/>
      <w:bookmarkEnd w:id="499"/>
      <w:r/>
      <w:bookmarkEnd w:id="500"/>
      <w:r/>
      <w:bookmarkEnd w:id="501"/>
      <w:r/>
      <w:bookmarkEnd w:id="502"/>
      <w:r>
        <w:rPr>
          <w:rFonts w:hint="eastAsia" w:asciiTheme="majorEastAsia" w:hAnsiTheme="majorEastAsia" w:eastAsiaTheme="majorEastAsia" w:cstheme="majorEastAsia"/>
          <w:b w:val="0"/>
          <w:bCs w:val="0"/>
          <w:sz w:val="24"/>
          <w:szCs w:val="24"/>
          <w:highlight w:val="none"/>
        </w:rPr>
        <w:t xml:space="preserve">合同价格、计量与支付</w:t>
      </w:r>
      <w:bookmarkEnd w:id="503"/>
      <w:r/>
      <w:bookmarkEnd w:id="504"/>
      <w:r/>
      <w:bookmarkEnd w:id="505"/>
      <w:r/>
      <w:bookmarkEnd w:id="506"/>
      <w:r/>
      <w:bookmarkEnd w:id="507"/>
      <w:r/>
      <w:bookmarkEnd w:id="508"/>
      <w:r/>
      <w:bookmarkEnd w:id="509"/>
      <w:r/>
      <w:r/>
    </w:p>
    <w:p>
      <w:pPr>
        <w:ind w:firstLine="480"/>
        <w:spacing w:after="120" w:line="360" w:lineRule="auto"/>
        <w:rPr>
          <w:rFonts w:asciiTheme="majorEastAsia" w:hAnsiTheme="majorEastAsia" w:eastAsiaTheme="majorEastAsia" w:cstheme="majorEastAsia"/>
          <w:sz w:val="24"/>
          <w:szCs w:val="24"/>
          <w:highlight w:val="none"/>
        </w:rPr>
      </w:pPr>
      <w:r/>
      <w:bookmarkStart w:id="510" w:name="_Toc267251461"/>
      <w:r/>
      <w:bookmarkStart w:id="511" w:name="_Toc292559916"/>
      <w:r/>
      <w:bookmarkStart w:id="512" w:name="_Toc292559411"/>
      <w:r/>
      <w:bookmarkStart w:id="513" w:name="_Toc297048392"/>
      <w:r/>
      <w:bookmarkStart w:id="514" w:name="_Toc297120506"/>
      <w:r/>
      <w:bookmarkStart w:id="515" w:name="_Toc296891246"/>
      <w:r/>
      <w:bookmarkStart w:id="516" w:name="_Toc296944545"/>
      <w:r/>
      <w:bookmarkStart w:id="517" w:name="_Toc296891034"/>
      <w:r/>
      <w:bookmarkStart w:id="518" w:name="_Toc296346707"/>
      <w:r/>
      <w:bookmarkStart w:id="519" w:name="_Toc296503206"/>
      <w:r/>
      <w:bookmarkStart w:id="520" w:name="_Toc296347205"/>
      <w:r/>
      <w:bookmarkStart w:id="521" w:name="_Toc297216212"/>
      <w:r/>
      <w:bookmarkStart w:id="522" w:name="_Toc297123553"/>
      <w:r/>
      <w:bookmarkStart w:id="523" w:name="_Toc304295580"/>
      <w:r/>
      <w:bookmarkStart w:id="524" w:name="_Toc300935003"/>
      <w:r/>
      <w:bookmarkStart w:id="525" w:name="_Toc303539160"/>
      <w:r/>
      <w:bookmarkStart w:id="526" w:name="_Toc312678041"/>
      <w:r>
        <w:rPr>
          <w:rFonts w:hint="eastAsia" w:asciiTheme="majorEastAsia" w:hAnsiTheme="majorEastAsia" w:eastAsiaTheme="majorEastAsia" w:cstheme="majorEastAsia"/>
          <w:sz w:val="24"/>
          <w:szCs w:val="24"/>
          <w:highlight w:val="none"/>
        </w:rPr>
        <w:t xml:space="preserve">12.1 合</w:t>
      </w:r>
      <w:bookmarkEnd w:id="510"/>
      <w:r/>
      <w:bookmarkEnd w:id="511"/>
      <w:r/>
      <w:bookmarkEnd w:id="512"/>
      <w:r>
        <w:rPr>
          <w:rFonts w:hint="eastAsia" w:asciiTheme="majorEastAsia" w:hAnsiTheme="majorEastAsia" w:eastAsiaTheme="majorEastAsia" w:cstheme="majorEastAsia"/>
          <w:sz w:val="24"/>
          <w:szCs w:val="24"/>
          <w:highlight w:val="none"/>
        </w:rPr>
        <w:t xml:space="preserve">同价</w:t>
      </w:r>
      <w:bookmarkEnd w:id="513"/>
      <w:r/>
      <w:bookmarkEnd w:id="514"/>
      <w:r/>
      <w:bookmarkEnd w:id="515"/>
      <w:r/>
      <w:bookmarkEnd w:id="516"/>
      <w:r/>
      <w:bookmarkEnd w:id="517"/>
      <w:r/>
      <w:bookmarkEnd w:id="518"/>
      <w:r/>
      <w:bookmarkEnd w:id="519"/>
      <w:r/>
      <w:bookmarkEnd w:id="520"/>
      <w:r>
        <w:rPr>
          <w:rFonts w:hint="eastAsia" w:asciiTheme="majorEastAsia" w:hAnsiTheme="majorEastAsia" w:eastAsiaTheme="majorEastAsia" w:cstheme="majorEastAsia"/>
          <w:sz w:val="24"/>
          <w:szCs w:val="24"/>
          <w:highlight w:val="none"/>
        </w:rPr>
        <w:t xml:space="preserve">格形式</w:t>
      </w:r>
      <w:bookmarkEnd w:id="521"/>
      <w:r/>
      <w:bookmarkEnd w:id="522"/>
      <w:r/>
      <w:bookmarkEnd w:id="523"/>
      <w:r/>
      <w:bookmarkEnd w:id="524"/>
      <w:r/>
      <w:bookmarkEnd w:id="525"/>
      <w:r/>
      <w:bookmarkEnd w:id="526"/>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1、单价合同。</w:t>
      </w:r>
      <w:r/>
    </w:p>
    <w:p>
      <w:pPr>
        <w:ind w:firstLine="480"/>
        <w:spacing w:before="100" w:after="10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综合单价包含的风险范围：</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（1.1）各类建材的市场价格风险；</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1.2）施工期间的各类政策性调整风险:以递交投标文件截止日期前28天为基准日，其后国家的法律、法规、规章和政策发生变化影响工程造价的，应按省级或行业建设主管部门或授权的工程造价管理机构发布的规定调整合同价款；</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（1.3）施工组织设计的技术、安全措施结算时不调整；</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（1.4）甲供设备/材料的保管费，结算时不调整；</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（1.5）作为有经验的承包商应该可以预见的风险，结算时不调整；</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（1.6）招标文件中明示和暗示的风险费用，结算时不调整；</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（1.7）法律、法规、条例中规定的其他风险。</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风险费用的计算方法：</w:t>
      </w:r>
      <w:r>
        <w:rPr>
          <w:rFonts w:hint="eastAsia" w:asciiTheme="majorEastAsia" w:hAnsiTheme="majorEastAsia" w:eastAsiaTheme="majorEastAsia" w:cstheme="majorEastAsia"/>
          <w:sz w:val="24"/>
          <w:szCs w:val="24"/>
          <w:highlight w:val="none"/>
          <w:u w:val="single"/>
        </w:rPr>
        <w:t xml:space="preserve">承包人根据风险范围，由承包人承担的风险计入合同单价中，结算时不调整</w:t>
      </w:r>
      <w:r>
        <w:rPr>
          <w:rFonts w:hint="eastAsia" w:asciiTheme="majorEastAsia" w:hAnsiTheme="majorEastAsia" w:eastAsiaTheme="majorEastAsia" w:cstheme="majorEastAsia"/>
          <w:sz w:val="24"/>
          <w:szCs w:val="24"/>
          <w:highlight w:val="none"/>
        </w:rPr>
        <w:t xml:space="preserve">。</w:t>
      </w:r>
      <w:r/>
    </w:p>
    <w:p>
      <w:pPr>
        <w:ind w:firstLine="480"/>
        <w:spacing w:before="100" w:after="10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风险范围以外合同价格的调整方法：</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（1）发包人、监理方、审计方认可的设计变更（变更依据：工程变更单）；</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（2）发包人和监理方、审计方均认可的签证，减少的分部分项工程项目按合同价报价表中相应计价程序扣除；</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（3）承包人每周四前报送符合本条款（1）、（2）范围的变更及签证预算；</w:t>
      </w:r>
      <w:r/>
    </w:p>
    <w:p>
      <w:pPr>
        <w:ind w:firstLine="480"/>
        <w:spacing w:before="100" w:after="10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（4）变更及签证完成工程量由发包人和监理及审计确认。变更的工程量中：投标报价中已有的子目按优惠后的投标报价计算;投标报价中没有的子目按本招标文件规定的定额及有关文件计算，取费优惠率按10%执行</w:t>
      </w:r>
      <w:r>
        <w:rPr>
          <w:rFonts w:hint="eastAsia" w:asciiTheme="majorEastAsia" w:hAnsiTheme="majorEastAsia" w:eastAsiaTheme="majorEastAsia" w:cstheme="majorEastAsia"/>
          <w:sz w:val="24"/>
          <w:szCs w:val="24"/>
          <w:highlight w:val="none"/>
          <w:u w:val="single"/>
          <w:lang w:eastAsia="zh-CN"/>
        </w:rPr>
        <w:t xml:space="preserve">。若投标下浮比例大于10%，按投标下浮比例执行</w:t>
      </w:r>
      <w:r>
        <w:rPr>
          <w:rFonts w:hint="eastAsia" w:asciiTheme="majorEastAsia" w:hAnsiTheme="majorEastAsia" w:eastAsiaTheme="majorEastAsia" w:cstheme="majorEastAsia"/>
          <w:sz w:val="24"/>
          <w:szCs w:val="24"/>
          <w:highlight w:val="none"/>
          <w:u w:val="single"/>
        </w:rPr>
        <w:t xml:space="preserve">。</w:t>
      </w:r>
      <w:r/>
    </w:p>
    <w:p>
      <w:pPr>
        <w:ind w:firstLine="48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（5）零时用工单价按省市文件规定执行，措施费不予调整。</w:t>
      </w:r>
      <w:r/>
    </w:p>
    <w:p>
      <w:pPr>
        <w:ind w:firstLine="480"/>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u w:val="single"/>
        </w:rPr>
        <w:t xml:space="preserve">（6）本合同在合同履行及竣工结算时根据江苏省住房城乡建设厅苏建价（2016）154号《关于建筑业实施营改增后江苏省建设工程计价依据调整的通知》文件规定执行。 </w:t>
      </w:r>
      <w:r/>
    </w:p>
    <w:p>
      <w:pPr>
        <w:ind w:firstLine="480"/>
        <w:spacing w:before="100" w:after="100"/>
        <w:rPr>
          <w:rFonts w:asciiTheme="majorEastAsia" w:hAnsiTheme="majorEastAsia" w:eastAsiaTheme="majorEastAsia" w:cstheme="majorEastAsia"/>
          <w:sz w:val="24"/>
          <w:szCs w:val="24"/>
          <w:highlight w:val="none"/>
          <w:u w:val="single"/>
        </w:rPr>
      </w:pPr>
      <w:r>
        <w:rPr>
          <w:rFonts w:asciiTheme="majorEastAsia" w:hAnsiTheme="majorEastAsia" w:eastAsiaTheme="majorEastAsia" w:cstheme="majorEastAsia"/>
          <w:sz w:val="24"/>
          <w:szCs w:val="24"/>
          <w:highlight w:val="none"/>
          <w:u w:val="single"/>
        </w:rPr>
      </w:r>
      <w:r/>
    </w:p>
    <w:p>
      <w:pPr>
        <w:ind w:firstLine="480"/>
        <w:spacing w:after="120" w:line="360" w:lineRule="auto"/>
        <w:rPr>
          <w:rFonts w:asciiTheme="majorEastAsia" w:hAnsiTheme="majorEastAsia" w:eastAsiaTheme="majorEastAsia" w:cstheme="majorEastAsia"/>
          <w:sz w:val="24"/>
          <w:szCs w:val="24"/>
          <w:highlight w:val="none"/>
        </w:rPr>
      </w:pPr>
      <w:r/>
      <w:bookmarkStart w:id="527" w:name="_Toc300935004"/>
      <w:r/>
      <w:bookmarkStart w:id="528" w:name="_Toc312678042"/>
      <w:r/>
      <w:bookmarkStart w:id="529" w:name="_Toc303539161"/>
      <w:r/>
      <w:bookmarkStart w:id="530" w:name="_Toc297123554"/>
      <w:r/>
      <w:bookmarkStart w:id="531" w:name="_Toc297216213"/>
      <w:r/>
      <w:bookmarkStart w:id="532" w:name="_Toc304295581"/>
      <w:r/>
      <w:bookmarkStart w:id="533" w:name="_Toc296891247"/>
      <w:r/>
      <w:bookmarkStart w:id="534" w:name="_Toc297120507"/>
      <w:r/>
      <w:bookmarkStart w:id="535" w:name="_Toc296944546"/>
      <w:r/>
      <w:bookmarkStart w:id="536" w:name="_Toc296346708"/>
      <w:r/>
      <w:bookmarkStart w:id="537" w:name="_Toc297048393"/>
      <w:r/>
      <w:bookmarkStart w:id="538" w:name="_Toc296503207"/>
      <w:r/>
      <w:bookmarkStart w:id="539" w:name="_Toc296347206"/>
      <w:r/>
      <w:bookmarkStart w:id="540" w:name="_Toc292559412"/>
      <w:r/>
      <w:bookmarkStart w:id="541" w:name="_Toc296891035"/>
      <w:r/>
      <w:bookmarkStart w:id="542" w:name="_Toc292559917"/>
      <w:r>
        <w:rPr>
          <w:rFonts w:hint="eastAsia" w:asciiTheme="majorEastAsia" w:hAnsiTheme="majorEastAsia" w:eastAsiaTheme="majorEastAsia" w:cstheme="majorEastAsia"/>
          <w:sz w:val="24"/>
          <w:szCs w:val="24"/>
          <w:highlight w:val="none"/>
        </w:rPr>
        <w:t xml:space="preserve">12.2 预付款</w:t>
      </w:r>
      <w:bookmarkEnd w:id="527"/>
      <w:r/>
      <w:bookmarkEnd w:id="528"/>
      <w:r/>
      <w:bookmarkEnd w:id="529"/>
      <w:r/>
      <w:bookmarkEnd w:id="530"/>
      <w:r/>
      <w:bookmarkEnd w:id="531"/>
      <w:r/>
      <w:bookmarkEnd w:id="532"/>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12.2.1 预付款的支付</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预付款支付比例或金额：</w:t>
      </w:r>
      <w:r>
        <w:rPr>
          <w:rFonts w:hint="eastAsia" w:asciiTheme="majorEastAsia" w:hAnsiTheme="majorEastAsia" w:eastAsiaTheme="majorEastAsia" w:cstheme="majorEastAsia"/>
          <w:spacing w:val="10"/>
          <w:sz w:val="24"/>
          <w:szCs w:val="24"/>
          <w:highlight w:val="none"/>
          <w:u w:val="single"/>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预付款支付期限：</w:t>
      </w:r>
      <w:r>
        <w:rPr>
          <w:rFonts w:hint="eastAsia" w:asciiTheme="majorEastAsia" w:hAnsiTheme="majorEastAsia" w:eastAsiaTheme="majorEastAsia" w:cstheme="majorEastAsia"/>
          <w:spacing w:val="10"/>
          <w:sz w:val="24"/>
          <w:szCs w:val="24"/>
          <w:highlight w:val="none"/>
          <w:u w:val="single"/>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预付款扣回的方式：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12.2.2 预付款担保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承包人提交预付款担保的期限：</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预付款担保的形式为：</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533"/>
      <w:r/>
      <w:bookmarkEnd w:id="534"/>
      <w:r/>
      <w:bookmarkEnd w:id="535"/>
      <w:r/>
      <w:bookmarkEnd w:id="536"/>
      <w:r/>
      <w:bookmarkEnd w:id="537"/>
      <w:r/>
      <w:bookmarkEnd w:id="538"/>
      <w:r/>
      <w:bookmarkEnd w:id="539"/>
      <w:r/>
      <w:bookmarkEnd w:id="540"/>
      <w:r/>
      <w:bookmarkEnd w:id="541"/>
      <w:r/>
      <w:bookmarkEnd w:id="542"/>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 计量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12.3.1 计量原则</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工程量计算规则：</w:t>
      </w:r>
      <w:r>
        <w:rPr>
          <w:rFonts w:hint="eastAsia" w:asciiTheme="majorEastAsia" w:hAnsiTheme="majorEastAsia" w:eastAsiaTheme="majorEastAsia" w:cstheme="majorEastAsia"/>
          <w:sz w:val="24"/>
          <w:szCs w:val="24"/>
          <w:highlight w:val="none"/>
          <w:u w:val="single"/>
        </w:rPr>
        <w:t xml:space="preserve">    按相关的国家标准、行业标准等为依据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12.3.2 计量周期</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关于计量周期的约定：</w:t>
      </w:r>
      <w:r>
        <w:rPr>
          <w:rFonts w:hint="eastAsia" w:asciiTheme="majorEastAsia" w:hAnsiTheme="majorEastAsia" w:eastAsiaTheme="majorEastAsia" w:cstheme="majorEastAsia"/>
          <w:sz w:val="24"/>
          <w:szCs w:val="24"/>
          <w:highlight w:val="none"/>
          <w:u w:val="single"/>
        </w:rPr>
        <w:t xml:space="preserve">   见12.4.1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12.3.3 单价合同的计量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关于单价合同计量的约定：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12.3.4 总价合同的计量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关于总价合同计量的约定：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12.3.5总价合同采用支付分解表计量支付的，是否适用第12.3.4 项〔总价合同的计量〕约定进行计量：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12.3.6 其他价格形式合同的计量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其他价格形式的计量方式和程序：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12.4 工程进度款支付</w:t>
      </w:r>
      <w:r/>
    </w:p>
    <w:p>
      <w:pPr>
        <w:ind w:firstLine="480"/>
        <w:spacing w:line="360" w:lineRule="auto"/>
        <w:rPr>
          <w:rFonts w:asciiTheme="majorEastAsia" w:hAnsiTheme="majorEastAsia" w:eastAsiaTheme="majorEastAsia" w:cstheme="majorEastAsia"/>
          <w:sz w:val="24"/>
          <w:szCs w:val="24"/>
          <w:highlight w:val="none"/>
        </w:rPr>
      </w:pPr>
      <w:r/>
      <w:bookmarkStart w:id="543" w:name="_Toc296891251"/>
      <w:r/>
      <w:bookmarkStart w:id="544" w:name="_Toc292559416"/>
      <w:r/>
      <w:bookmarkStart w:id="545" w:name="_Toc296346712"/>
      <w:r/>
      <w:bookmarkStart w:id="546" w:name="_Toc296891039"/>
      <w:r/>
      <w:bookmarkStart w:id="547" w:name="_Toc296347210"/>
      <w:r/>
      <w:bookmarkStart w:id="548" w:name="_Toc303539163"/>
      <w:r/>
      <w:bookmarkStart w:id="549" w:name="_Toc297120511"/>
      <w:r/>
      <w:bookmarkStart w:id="550" w:name="_Toc296944550"/>
      <w:r/>
      <w:bookmarkStart w:id="551" w:name="_Toc296503211"/>
      <w:r/>
      <w:bookmarkStart w:id="552" w:name="_Toc300935006"/>
      <w:r/>
      <w:bookmarkStart w:id="553" w:name="_Toc297048397"/>
      <w:r/>
      <w:bookmarkStart w:id="554" w:name="_Toc297216215"/>
      <w:r/>
      <w:bookmarkStart w:id="555" w:name="_Toc292559921"/>
      <w:r/>
      <w:bookmarkStart w:id="556" w:name="_Toc297123556"/>
      <w:r>
        <w:rPr>
          <w:rFonts w:hint="eastAsia" w:asciiTheme="majorEastAsia" w:hAnsiTheme="majorEastAsia" w:eastAsiaTheme="majorEastAsia" w:cstheme="majorEastAsia"/>
          <w:sz w:val="24"/>
          <w:szCs w:val="24"/>
          <w:highlight w:val="none"/>
        </w:rPr>
        <w:t xml:space="preserve">12.4.1 付款周期</w:t>
      </w:r>
      <w:r/>
    </w:p>
    <w:p>
      <w:pPr>
        <w:spacing w:line="360" w:lineRule="auto"/>
        <w:rPr>
          <w:rFonts w:asciiTheme="majorEastAsia" w:hAnsiTheme="majorEastAsia" w:eastAsiaTheme="majorEastAsia" w:cstheme="majorEastAsia"/>
          <w:spacing w:val="10"/>
          <w:sz w:val="24"/>
          <w:szCs w:val="24"/>
          <w:highlight w:val="none"/>
          <w:u w:val="single"/>
        </w:rPr>
      </w:pPr>
      <w:r>
        <w:rPr>
          <w:rFonts w:hint="eastAsia" w:asciiTheme="majorEastAsia" w:hAnsiTheme="majorEastAsia" w:eastAsiaTheme="majorEastAsia" w:cstheme="majorEastAsia"/>
          <w:sz w:val="24"/>
          <w:szCs w:val="24"/>
          <w:highlight w:val="none"/>
        </w:rPr>
        <w:t xml:space="preserve">关于付款周期的约定：</w:t>
      </w:r>
      <w:r/>
    </w:p>
    <w:p>
      <w:pPr>
        <w:ind w:firstLine="480"/>
        <w:spacing w:line="360" w:lineRule="auto"/>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lang w:eastAsia="zh-CN"/>
        </w:rPr>
        <w:t xml:space="preserve">完成工程量的100%支付合同价款的50%，竣工验收合格并经审计部门审计结束，按照要求提交所有竣工资料后，付至工程结算审定价款（扣除全部应扣的相关费用后）的75%，留25%尾款（包括20%保证金和5%质保金，审计完成半年后支付20%保证金，1年后支付5%质保金）。</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竣工结算审减额超过承包方报审额15%以上的，所有结算审计费用由施工方承担。</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建设工程报结算审计时，结算送审价不得超过合同总价的10%，超过10%的工程项目不予审计。12.4.2 进度付款申请单的编制</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关于进度付款申请单编制的约定：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rFonts w:hint="eastAsia" w:asciiTheme="majorEastAsia" w:hAnsiTheme="majorEastAsia" w:eastAsiaTheme="majorEastAsia" w:cstheme="majorEastAsia"/>
          <w:sz w:val="24"/>
          <w:szCs w:val="24"/>
          <w:highlight w:val="none"/>
        </w:rPr>
        <w:t xml:space="preserve">2.4.3 进度付款申请单的提交</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（1）单价合同进度付款申请单提交的约定：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（2）总价合同进度付款申请单提交的约定：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（3）其他价格形式合同进度付款申请单提交的约定：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12.4.4 进度款审核和支付</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（1）监理人审查并报送发包人的期限：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发包人完成审批并签发进度款支付证书的期限：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（2）发包人支付进度款的期限：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60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发包人逾期支付进度款的违约金的计算方式：</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60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12.4.6 支付分解表的编制</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2、总价合同支付分解表的编制与审批：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3、单价合同的总价项目支付分解表的编制与审批：</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bookmarkEnd w:id="386"/>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557" w:name="_Toc351203645"/>
      <w:r/>
      <w:bookmarkStart w:id="558" w:name="_Toc292559929"/>
      <w:r/>
      <w:bookmarkStart w:id="559" w:name="_Toc292559424"/>
      <w:r/>
      <w:bookmarkStart w:id="560" w:name="_Toc297048405"/>
      <w:r/>
      <w:bookmarkStart w:id="561" w:name="_Toc296891259"/>
      <w:r/>
      <w:bookmarkStart w:id="562" w:name="_Toc297216223"/>
      <w:r/>
      <w:bookmarkStart w:id="563" w:name="_Toc296346720"/>
      <w:r/>
      <w:bookmarkStart w:id="564" w:name="_Toc296944558"/>
      <w:r/>
      <w:bookmarkStart w:id="565" w:name="_Toc303539172"/>
      <w:r/>
      <w:bookmarkStart w:id="566" w:name="_Toc300935015"/>
      <w:r/>
      <w:bookmarkStart w:id="567" w:name="_Toc296503219"/>
      <w:r/>
      <w:bookmarkStart w:id="568" w:name="_Toc297123564"/>
      <w:r/>
      <w:bookmarkStart w:id="569" w:name="_Toc296891047"/>
      <w:r/>
      <w:bookmarkStart w:id="570" w:name="_Toc304295593"/>
      <w:r/>
      <w:bookmarkStart w:id="571" w:name="_Toc296347218"/>
      <w:r/>
      <w:bookmarkStart w:id="572" w:name="_Toc312678053"/>
      <w:r/>
      <w:bookmarkStart w:id="573" w:name="_Toc297120519"/>
      <w:r>
        <w:rPr>
          <w:rFonts w:hint="eastAsia" w:asciiTheme="majorEastAsia" w:hAnsiTheme="majorEastAsia" w:eastAsiaTheme="majorEastAsia" w:cstheme="majorEastAsia"/>
          <w:b w:val="0"/>
          <w:bCs w:val="0"/>
          <w:sz w:val="24"/>
          <w:szCs w:val="24"/>
          <w:highlight w:val="none"/>
        </w:rPr>
        <w:t xml:space="preserve">13. 验收和工程试车</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13.1 分部分项工程验收</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13.1.2监理人不能按时进行验收时，应提前</w:t>
      </w:r>
      <w:r>
        <w:rPr>
          <w:rFonts w:hint="eastAsia" w:asciiTheme="majorEastAsia" w:hAnsiTheme="majorEastAsia" w:eastAsiaTheme="majorEastAsia" w:cstheme="majorEastAsia"/>
          <w:sz w:val="24"/>
          <w:szCs w:val="24"/>
          <w:highlight w:val="none"/>
          <w:u w:val="single"/>
        </w:rPr>
        <w:t xml:space="preserve">  24  </w:t>
      </w:r>
      <w:r>
        <w:rPr>
          <w:rFonts w:hint="eastAsia" w:asciiTheme="majorEastAsia" w:hAnsiTheme="majorEastAsia" w:eastAsiaTheme="majorEastAsia" w:cstheme="majorEastAsia"/>
          <w:sz w:val="24"/>
          <w:szCs w:val="24"/>
          <w:highlight w:val="none"/>
        </w:rPr>
        <w:t xml:space="preserve">小时提交书面延期要求。</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关于延期最长不得超过：</w:t>
      </w:r>
      <w:r>
        <w:rPr>
          <w:rFonts w:hint="eastAsia" w:asciiTheme="majorEastAsia" w:hAnsiTheme="majorEastAsia" w:eastAsiaTheme="majorEastAsia" w:cstheme="majorEastAsia"/>
          <w:sz w:val="24"/>
          <w:szCs w:val="24"/>
          <w:highlight w:val="none"/>
          <w:u w:val="single"/>
        </w:rPr>
        <w:t xml:space="preserve">  48  </w:t>
      </w:r>
      <w:r>
        <w:rPr>
          <w:rFonts w:hint="eastAsia" w:asciiTheme="majorEastAsia" w:hAnsiTheme="majorEastAsia" w:eastAsiaTheme="majorEastAsia" w:cstheme="majorEastAsia"/>
          <w:sz w:val="24"/>
          <w:szCs w:val="24"/>
          <w:highlight w:val="none"/>
        </w:rPr>
        <w:t xml:space="preserve">小时。</w:t>
      </w:r>
      <w:r/>
    </w:p>
    <w:p>
      <w:pPr>
        <w:ind w:firstLine="480"/>
        <w:spacing w:after="120" w:line="360" w:lineRule="auto"/>
        <w:rPr>
          <w:rFonts w:asciiTheme="majorEastAsia" w:hAnsiTheme="majorEastAsia" w:eastAsiaTheme="majorEastAsia" w:cstheme="majorEastAsia"/>
          <w:sz w:val="24"/>
          <w:szCs w:val="24"/>
          <w:highlight w:val="none"/>
        </w:rPr>
      </w:pPr>
      <w:r/>
      <w:bookmarkStart w:id="574" w:name="_Toc296503223"/>
      <w:r/>
      <w:bookmarkStart w:id="575" w:name="_Toc297216224"/>
      <w:r/>
      <w:bookmarkStart w:id="576" w:name="_Toc292559428"/>
      <w:r/>
      <w:bookmarkStart w:id="577" w:name="_Toc312678056"/>
      <w:r/>
      <w:bookmarkStart w:id="578" w:name="_Toc297120523"/>
      <w:r/>
      <w:bookmarkStart w:id="579" w:name="_Toc297048409"/>
      <w:r/>
      <w:bookmarkStart w:id="580" w:name="_Toc296944562"/>
      <w:r/>
      <w:bookmarkStart w:id="581" w:name="_Toc303539173"/>
      <w:r/>
      <w:bookmarkStart w:id="582" w:name="_Toc296346724"/>
      <w:r/>
      <w:bookmarkStart w:id="583" w:name="_Toc296347222"/>
      <w:r/>
      <w:bookmarkStart w:id="584" w:name="_Toc296891263"/>
      <w:r/>
      <w:bookmarkStart w:id="585" w:name="_Toc297123565"/>
      <w:r/>
      <w:bookmarkStart w:id="586" w:name="_Toc292559933"/>
      <w:r/>
      <w:bookmarkStart w:id="587" w:name="_Toc300935016"/>
      <w:r/>
      <w:bookmarkStart w:id="588" w:name="_Toc304295596"/>
      <w:r/>
      <w:bookmarkStart w:id="589" w:name="_Toc296891051"/>
      <w:r/>
      <w:bookmarkStart w:id="590" w:name="_Toc267251475"/>
      <w:r/>
      <w:bookmarkStart w:id="591" w:name="_Toc267251476"/>
      <w:r/>
      <w:bookmarkStart w:id="592" w:name="_Toc267251470"/>
      <w:r/>
      <w:bookmarkStart w:id="593" w:name="_Toc267251474"/>
      <w:r/>
      <w:bookmarkStart w:id="594" w:name="_Toc267251473"/>
      <w:r/>
      <w:bookmarkStart w:id="595" w:name="_Toc267251472"/>
      <w:r/>
      <w:bookmarkStart w:id="596" w:name="_Toc267251471"/>
      <w:r>
        <w:rPr>
          <w:rFonts w:hint="eastAsia" w:asciiTheme="majorEastAsia" w:hAnsiTheme="majorEastAsia" w:eastAsiaTheme="majorEastAsia" w:cstheme="majorEastAsia"/>
          <w:sz w:val="24"/>
          <w:szCs w:val="24"/>
          <w:highlight w:val="none"/>
        </w:rPr>
        <w:t xml:space="preserve">13.2 竣工验收</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ind w:firstLine="480"/>
        <w:spacing w:line="360" w:lineRule="auto"/>
        <w:rPr>
          <w:rFonts w:asciiTheme="majorEastAsia" w:hAnsiTheme="majorEastAsia" w:eastAsiaTheme="majorEastAsia" w:cstheme="majorEastAsia"/>
          <w:sz w:val="24"/>
          <w:szCs w:val="24"/>
          <w:highlight w:val="none"/>
        </w:rPr>
      </w:pPr>
      <w:r/>
      <w:bookmarkStart w:id="597" w:name="_Toc280868704"/>
      <w:r/>
      <w:bookmarkStart w:id="598" w:name="_Toc280868705"/>
      <w:r/>
      <w:bookmarkStart w:id="599" w:name="_Toc280868706"/>
      <w:r/>
      <w:bookmarkStart w:id="600" w:name="_Toc280868707"/>
      <w:r/>
      <w:bookmarkStart w:id="601" w:name="_Toc280868708"/>
      <w:r/>
      <w:bookmarkStart w:id="602" w:name="_Toc280868709"/>
      <w:r>
        <w:rPr>
          <w:rFonts w:hint="eastAsia" w:asciiTheme="majorEastAsia" w:hAnsiTheme="majorEastAsia" w:eastAsiaTheme="majorEastAsia" w:cstheme="majorEastAsia"/>
          <w:sz w:val="24"/>
          <w:szCs w:val="24"/>
          <w:highlight w:val="none"/>
        </w:rPr>
        <w:t xml:space="preserve">13.2.2竣工验收程序</w:t>
      </w:r>
      <w:bookmarkEnd w:id="597"/>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关于竣工验收程序的约定：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发包人不按照本项约定组织竣工验收、颁发工程接收证书的违约金的计算方法：</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bookmarkEnd w:id="598"/>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13.2.5移交、接收全部与部分工程</w:t>
      </w:r>
      <w:bookmarkEnd w:id="599"/>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承包人向发包人移交工程的期限：</w:t>
      </w:r>
      <w:r>
        <w:rPr>
          <w:rFonts w:hint="eastAsia" w:asciiTheme="majorEastAsia" w:hAnsiTheme="majorEastAsia" w:eastAsiaTheme="majorEastAsia" w:cstheme="majorEastAsia"/>
          <w:sz w:val="24"/>
          <w:szCs w:val="24"/>
          <w:highlight w:val="none"/>
          <w:u w:val="single"/>
        </w:rPr>
        <w:t xml:space="preserve">   按照合同约定工期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发包人未按本合同约定接收全部或部分工程的，违约金的计算方法为：</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bookmarkEnd w:id="600"/>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承包人未按时移交工程的，违约金的计算方法为：</w:t>
      </w:r>
      <w:r>
        <w:rPr>
          <w:rFonts w:hint="eastAsia" w:asciiTheme="majorEastAsia" w:hAnsiTheme="majorEastAsia" w:eastAsiaTheme="majorEastAsia" w:cstheme="majorEastAsia"/>
          <w:spacing w:val="10"/>
          <w:sz w:val="24"/>
          <w:szCs w:val="24"/>
          <w:highlight w:val="none"/>
          <w:u w:val="single"/>
        </w:rPr>
        <w:t xml:space="preserve">按每滞后一天赔偿2000元违约金</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13.3 工程试车</w:t>
      </w:r>
      <w:bookmarkEnd w:id="601"/>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13.3.1 试车程序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工程试车内容：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（1）单机无负荷试车费用由</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承担；</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（2）无负荷联动试车费用由</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承担。</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13.3.3 投料试车</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关于投料试车相关事项的约定：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13.6 竣工退场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13.6.1 竣工退场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承包人完成竣工退场的期限：</w:t>
      </w:r>
      <w:r>
        <w:rPr>
          <w:rFonts w:hint="eastAsia" w:asciiTheme="majorEastAsia" w:hAnsiTheme="majorEastAsia" w:eastAsiaTheme="majorEastAsia" w:cstheme="majorEastAsia"/>
          <w:sz w:val="24"/>
          <w:szCs w:val="24"/>
          <w:highlight w:val="none"/>
          <w:u w:val="single"/>
        </w:rPr>
        <w:t xml:space="preserve">   竣工验收合同20日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603" w:name="_Toc351203646"/>
      <w:r>
        <w:rPr>
          <w:rFonts w:hint="eastAsia" w:asciiTheme="majorEastAsia" w:hAnsiTheme="majorEastAsia" w:eastAsiaTheme="majorEastAsia" w:cstheme="majorEastAsia"/>
          <w:b w:val="0"/>
          <w:bCs w:val="0"/>
          <w:sz w:val="24"/>
          <w:szCs w:val="24"/>
          <w:highlight w:val="none"/>
        </w:rPr>
        <w:t xml:space="preserve">14. 竣工结算</w:t>
      </w:r>
      <w:bookmarkEnd w:id="603"/>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14.1 竣工付款申请</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承包人提交竣工付款申请单的期限：</w:t>
      </w:r>
      <w:r>
        <w:rPr>
          <w:rFonts w:hint="eastAsia" w:asciiTheme="majorEastAsia" w:hAnsiTheme="majorEastAsia" w:eastAsiaTheme="majorEastAsia" w:cstheme="majorEastAsia"/>
          <w:sz w:val="24"/>
          <w:szCs w:val="24"/>
          <w:highlight w:val="none"/>
          <w:u w:val="single"/>
        </w:rPr>
        <w:t xml:space="preserve">  竣工验收合格28天内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竣工付款申请单应包括的内容：</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14.2 竣工结算审核</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发包人审批竣工付款申请单的期限：</w:t>
      </w:r>
      <w:r>
        <w:rPr>
          <w:rFonts w:hint="eastAsia" w:asciiTheme="majorEastAsia" w:hAnsiTheme="majorEastAsia" w:eastAsiaTheme="majorEastAsia" w:cstheme="majorEastAsia"/>
          <w:sz w:val="24"/>
          <w:szCs w:val="24"/>
          <w:highlight w:val="none"/>
          <w:u w:val="single"/>
        </w:rPr>
        <w:t xml:space="preserve">   收到竣工结算申请单后15天内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发包人完成竣工付款的期限：</w:t>
      </w:r>
      <w:r>
        <w:rPr>
          <w:rFonts w:hint="eastAsia" w:asciiTheme="majorEastAsia" w:hAnsiTheme="majorEastAsia" w:eastAsiaTheme="majorEastAsia" w:cstheme="majorEastAsia"/>
          <w:sz w:val="24"/>
          <w:szCs w:val="24"/>
          <w:highlight w:val="none"/>
          <w:u w:val="single"/>
        </w:rPr>
        <w:t xml:space="preserve">  15天内完成审批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关于竣工付款证书异议部分复核的方式和程序：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14.4 最终结清</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14.4.1 最终结清申请单</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承包人提交最终结清申请单的份数：</w:t>
      </w:r>
      <w:r>
        <w:rPr>
          <w:rFonts w:hint="eastAsia" w:asciiTheme="majorEastAsia" w:hAnsiTheme="majorEastAsia" w:eastAsiaTheme="majorEastAsia" w:cstheme="majorEastAsia"/>
          <w:sz w:val="24"/>
          <w:szCs w:val="24"/>
          <w:highlight w:val="none"/>
          <w:u w:val="single"/>
        </w:rPr>
        <w:t xml:space="preserve">   叁份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承包人提交最终结算申请单的期限：</w:t>
      </w:r>
      <w:r>
        <w:rPr>
          <w:rFonts w:hint="eastAsia" w:asciiTheme="majorEastAsia" w:hAnsiTheme="majorEastAsia" w:eastAsiaTheme="majorEastAsia" w:cstheme="majorEastAsia"/>
          <w:sz w:val="24"/>
          <w:szCs w:val="24"/>
          <w:highlight w:val="none"/>
          <w:u w:val="single"/>
        </w:rPr>
        <w:t xml:space="preserve">   根据进度款支付周期节点时间15日内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14.4.2 最终结清证书和支付</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（1）发包人完成最终结清申请单的审批并颁发最终结清证书的期限：</w:t>
      </w:r>
      <w:r>
        <w:rPr>
          <w:rFonts w:hint="eastAsia" w:asciiTheme="majorEastAsia" w:hAnsiTheme="majorEastAsia" w:eastAsiaTheme="majorEastAsia" w:cstheme="majorEastAsia"/>
          <w:sz w:val="24"/>
          <w:szCs w:val="24"/>
          <w:highlight w:val="none"/>
          <w:u w:val="single"/>
        </w:rPr>
        <w:t xml:space="preserve"> 在缺陷责任期终止证书颁发后15天内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（2）发包人完成支付的期限：</w:t>
      </w:r>
      <w:r>
        <w:rPr>
          <w:rFonts w:hint="eastAsia" w:asciiTheme="majorEastAsia" w:hAnsiTheme="majorEastAsia" w:eastAsiaTheme="majorEastAsia" w:cstheme="majorEastAsia"/>
          <w:sz w:val="24"/>
          <w:szCs w:val="24"/>
          <w:highlight w:val="none"/>
          <w:u w:val="single"/>
        </w:rPr>
        <w:t xml:space="preserve">  按进度款支付约定      </w:t>
      </w:r>
      <w:r>
        <w:rPr>
          <w:rFonts w:hint="eastAsia" w:asciiTheme="majorEastAsia" w:hAnsiTheme="majorEastAsia" w:eastAsiaTheme="majorEastAsia" w:cstheme="majorEastAsia"/>
          <w:sz w:val="24"/>
          <w:szCs w:val="24"/>
          <w:highlight w:val="none"/>
        </w:rPr>
        <w:t xml:space="preserve">。</w:t>
      </w:r>
      <w:bookmarkEnd w:id="590"/>
      <w:r/>
      <w:bookmarkEnd w:id="591"/>
      <w:r/>
      <w:bookmarkEnd w:id="592"/>
      <w:r/>
      <w:bookmarkEnd w:id="593"/>
      <w:r/>
      <w:bookmarkEnd w:id="594"/>
      <w:r/>
      <w:bookmarkEnd w:id="595"/>
      <w:r/>
      <w:bookmarkEnd w:id="596"/>
      <w:r/>
      <w:bookmarkEnd w:id="602"/>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604" w:name="_Toc351203647"/>
      <w:r/>
      <w:bookmarkStart w:id="605" w:name="_Toc267251483"/>
      <w:r/>
      <w:bookmarkStart w:id="606" w:name="_Toc267251482"/>
      <w:r/>
      <w:bookmarkStart w:id="607" w:name="_Toc267251484"/>
      <w:r/>
      <w:bookmarkStart w:id="608" w:name="_Toc267251485"/>
      <w:r/>
      <w:bookmarkStart w:id="609" w:name="_Toc267251486"/>
      <w:r/>
      <w:bookmarkStart w:id="610" w:name="_Toc267251488"/>
      <w:r/>
      <w:bookmarkStart w:id="611" w:name="_Toc267251489"/>
      <w:r/>
      <w:bookmarkStart w:id="612" w:name="_Toc267251490"/>
      <w:r/>
      <w:bookmarkStart w:id="613" w:name="_Toc267251501"/>
      <w:r/>
      <w:bookmarkStart w:id="614" w:name="_Toc267251503"/>
      <w:r/>
      <w:bookmarkStart w:id="615" w:name="_Toc267251492"/>
      <w:r/>
      <w:bookmarkStart w:id="616" w:name="_Toc267251495"/>
      <w:r/>
      <w:bookmarkStart w:id="617" w:name="_Toc267251497"/>
      <w:r/>
      <w:bookmarkStart w:id="618" w:name="_Toc267251502"/>
      <w:r/>
      <w:bookmarkStart w:id="619" w:name="_Toc267251494"/>
      <w:r/>
      <w:bookmarkStart w:id="620" w:name="_Toc267251498"/>
      <w:r/>
      <w:bookmarkStart w:id="621" w:name="_Toc267251491"/>
      <w:r/>
      <w:bookmarkStart w:id="622" w:name="_Toc267251499"/>
      <w:r/>
      <w:bookmarkStart w:id="623" w:name="_Toc267251493"/>
      <w:r/>
      <w:bookmarkStart w:id="624" w:name="_Toc267251496"/>
      <w:r/>
      <w:bookmarkStart w:id="625" w:name="_Toc267251506"/>
      <w:r/>
      <w:bookmarkStart w:id="626" w:name="_Toc267251504"/>
      <w:r/>
      <w:bookmarkStart w:id="627" w:name="_Toc267251507"/>
      <w:r/>
      <w:bookmarkStart w:id="628" w:name="_Toc267251508"/>
      <w:r/>
      <w:bookmarkStart w:id="629" w:name="_Toc267251515"/>
      <w:r/>
      <w:bookmarkStart w:id="630" w:name="_Toc267251509"/>
      <w:r/>
      <w:bookmarkStart w:id="631" w:name="_Toc267251513"/>
      <w:r/>
      <w:bookmarkStart w:id="632" w:name="_Toc267251511"/>
      <w:r/>
      <w:bookmarkStart w:id="633" w:name="_Toc267251510"/>
      <w:r/>
      <w:bookmarkStart w:id="634" w:name="_Toc267251514"/>
      <w:r>
        <w:rPr>
          <w:rFonts w:hint="eastAsia" w:asciiTheme="majorEastAsia" w:hAnsiTheme="majorEastAsia" w:eastAsiaTheme="majorEastAsia" w:cstheme="majorEastAsia"/>
          <w:b w:val="0"/>
          <w:bCs w:val="0"/>
          <w:sz w:val="24"/>
          <w:szCs w:val="24"/>
          <w:highlight w:val="none"/>
        </w:rPr>
        <w:t xml:space="preserve">15. 缺陷责任期与保修</w:t>
      </w:r>
      <w:bookmarkEnd w:id="604"/>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15.2缺陷责任期</w:t>
      </w:r>
      <w:bookmarkEnd w:id="605"/>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缺陷责任期的具体期限：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15.3 质量保证金</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关于是否扣留质量保证金的约定：</w:t>
      </w:r>
      <w:r>
        <w:rPr>
          <w:rFonts w:hint="eastAsia" w:asciiTheme="majorEastAsia" w:hAnsiTheme="majorEastAsia" w:eastAsiaTheme="majorEastAsia" w:cstheme="majorEastAsia"/>
          <w:sz w:val="24"/>
          <w:szCs w:val="24"/>
          <w:highlight w:val="none"/>
          <w:u w:val="single"/>
        </w:rPr>
        <w:t xml:space="preserve">  是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15.3.1 承包人提供质量保证金的方式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质量保证金采用以下第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（1）质量保证金保函，保证金额为：；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%的工程款；</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（3）其他方式:。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15.3.2 质量保证金的扣留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质量保证金的扣留采取以下第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（2）工程竣工结算时一次性扣留质量保证金；</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（3）其他扣留方式:。</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关于质量保证金的补充约定：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bookmarkEnd w:id="606"/>
      <w:r/>
      <w:bookmarkEnd w:id="607"/>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15.4保修</w:t>
      </w:r>
      <w:bookmarkEnd w:id="608"/>
      <w:r/>
      <w:r/>
    </w:p>
    <w:p>
      <w:pPr>
        <w:ind w:firstLine="468"/>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15.4.1 保修责任</w:t>
      </w:r>
      <w:r/>
    </w:p>
    <w:p>
      <w:pPr>
        <w:ind w:firstLine="468"/>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工程保修期为：</w:t>
      </w:r>
      <w:r>
        <w:rPr>
          <w:rFonts w:hint="eastAsia" w:asciiTheme="majorEastAsia" w:hAnsiTheme="majorEastAsia" w:eastAsiaTheme="majorEastAsia" w:cstheme="majorEastAsia"/>
          <w:sz w:val="24"/>
          <w:szCs w:val="24"/>
          <w:highlight w:val="none"/>
          <w:u w:val="single"/>
        </w:rPr>
        <w:t xml:space="preserve">  见附件   </w:t>
      </w:r>
      <w:r>
        <w:rPr>
          <w:rFonts w:hint="eastAsia" w:asciiTheme="majorEastAsia" w:hAnsiTheme="majorEastAsia" w:eastAsiaTheme="majorEastAsia" w:cstheme="majorEastAsia"/>
          <w:sz w:val="24"/>
          <w:szCs w:val="24"/>
          <w:highlight w:val="none"/>
        </w:rPr>
        <w:t xml:space="preserve">。</w:t>
      </w:r>
      <w:r/>
    </w:p>
    <w:p>
      <w:pPr>
        <w:ind w:firstLine="468"/>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15.4.3 修复通知</w:t>
      </w:r>
      <w:r/>
    </w:p>
    <w:p>
      <w:pPr>
        <w:ind w:firstLine="468"/>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承包人收到保修通知并到达工程现场的合理时间：</w:t>
      </w:r>
      <w:r>
        <w:rPr>
          <w:rFonts w:hint="eastAsia" w:asciiTheme="majorEastAsia" w:hAnsiTheme="majorEastAsia" w:eastAsiaTheme="majorEastAsia" w:cstheme="majorEastAsia"/>
          <w:sz w:val="24"/>
          <w:szCs w:val="24"/>
          <w:highlight w:val="none"/>
          <w:u w:val="single"/>
        </w:rPr>
        <w:t xml:space="preserve">  按通用条款</w:t>
      </w:r>
      <w:r>
        <w:rPr>
          <w:rFonts w:hint="eastAsia" w:asciiTheme="majorEastAsia" w:hAnsiTheme="majorEastAsia" w:eastAsiaTheme="majorEastAsia" w:cstheme="majorEastAsia"/>
          <w:sz w:val="24"/>
          <w:szCs w:val="24"/>
          <w:highlight w:val="none"/>
        </w:rPr>
        <w:t xml:space="preserve">。</w:t>
      </w:r>
      <w:bookmarkEnd w:id="609"/>
      <w:r/>
      <w:bookmarkEnd w:id="610"/>
      <w:r/>
      <w:bookmarkEnd w:id="611"/>
      <w:r/>
      <w:bookmarkEnd w:id="612"/>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635" w:name="_Toc351203648"/>
      <w:r/>
      <w:bookmarkStart w:id="636" w:name="_Toc280868717"/>
      <w:r/>
      <w:bookmarkStart w:id="637" w:name="_Toc280868718"/>
      <w:r>
        <w:rPr>
          <w:rFonts w:hint="eastAsia" w:asciiTheme="majorEastAsia" w:hAnsiTheme="majorEastAsia" w:eastAsiaTheme="majorEastAsia" w:cstheme="majorEastAsia"/>
          <w:b w:val="0"/>
          <w:bCs w:val="0"/>
          <w:sz w:val="24"/>
          <w:szCs w:val="24"/>
          <w:highlight w:val="none"/>
        </w:rPr>
        <w:t xml:space="preserve">16. 违约</w:t>
      </w:r>
      <w:bookmarkEnd w:id="635"/>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16.1 发包人违约</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16.1.1发包人违约的情形</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发包人违约的其他情形：</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left="1200" w:hanging="120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16.1.2 发包人违约的责任</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发包人违约责任的承担方式和计算方法：</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（1）因发包人原因未能在计划开工日期前7天内下达开工通知的违约责任：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（2）因发包人原因未能按合同约定支付合同价款的违约责任：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（3）发包人违反第10.1款〔变更的范围〕第（2）项约定，自行实施被取消的工作或转由他人实施的违约责任：</w:t>
      </w:r>
      <w:r>
        <w:rPr>
          <w:rFonts w:hint="eastAsia" w:asciiTheme="majorEastAsia" w:hAnsiTheme="majorEastAsia" w:eastAsiaTheme="majorEastAsia" w:cstheme="majorEastAsia"/>
          <w:sz w:val="24"/>
          <w:szCs w:val="24"/>
          <w:highlight w:val="none"/>
          <w:u w:val="single"/>
        </w:rPr>
        <w:t xml:space="preserve">  无 。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（5）因发包人违反合同约定造成暂停施工的违约责任：</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（6）其他：</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16.1.3 因发包人违约解除合同</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承包人按16.1.1项〔发包人违约的情形〕约定暂停施工满天后发包人仍不纠正其违约行为并致使合同目的不能实现的，承包人有权解除合同。</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16.2 承包人违约</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16.2.1 承包人违约的情形</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承包人违约的其他情形：</w:t>
      </w:r>
      <w:r>
        <w:rPr>
          <w:rFonts w:hint="eastAsia" w:asciiTheme="majorEastAsia" w:hAnsiTheme="majorEastAsia" w:eastAsiaTheme="majorEastAsia" w:cstheme="majorEastAsia"/>
          <w:sz w:val="24"/>
          <w:szCs w:val="24"/>
          <w:highlight w:val="none"/>
          <w:u w:val="single"/>
        </w:rPr>
        <w:t xml:space="preserve"> 工期延误、质量问题、技术文件未按约定时间提交、承包人擅自停要或单方面终止合同等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16.2.2承包人违约的责任</w:t>
      </w:r>
      <w:r/>
    </w:p>
    <w:p>
      <w:pPr>
        <w:pStyle w:val="1131"/>
        <w:ind w:firstLine="477"/>
        <w:spacing w:line="480" w:lineRule="exact"/>
        <w:tabs>
          <w:tab w:val="left" w:pos="905" w:leader="none"/>
        </w:tabs>
        <w:rPr>
          <w:rFonts w:asciiTheme="majorEastAsia" w:hAnsiTheme="majorEastAsia" w:eastAsiaTheme="majorEastAsia" w:cstheme="majorEastAsia"/>
          <w:spacing w:val="10"/>
          <w:sz w:val="24"/>
          <w:szCs w:val="24"/>
          <w:highlight w:val="none"/>
          <w:u w:val="single"/>
        </w:rPr>
      </w:pPr>
      <w:r>
        <w:rPr>
          <w:rFonts w:hint="eastAsia" w:asciiTheme="majorEastAsia" w:hAnsiTheme="majorEastAsia" w:eastAsiaTheme="majorEastAsia" w:cstheme="majorEastAsia"/>
          <w:sz w:val="24"/>
          <w:szCs w:val="24"/>
          <w:highlight w:val="none"/>
        </w:rPr>
        <w:t xml:space="preserve">承包人违约责任的承担方式和计算方法：</w:t>
      </w:r>
      <w:r>
        <w:rPr>
          <w:rFonts w:hint="eastAsia" w:asciiTheme="majorEastAsia" w:hAnsiTheme="majorEastAsia" w:eastAsiaTheme="majorEastAsia" w:cstheme="majorEastAsia"/>
          <w:spacing w:val="10"/>
          <w:sz w:val="24"/>
          <w:szCs w:val="24"/>
          <w:highlight w:val="none"/>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1131"/>
        <w:ind w:firstLine="517"/>
        <w:spacing w:line="480" w:lineRule="exact"/>
        <w:tabs>
          <w:tab w:val="left" w:pos="905" w:leader="none"/>
        </w:tabs>
        <w:rPr>
          <w:rFonts w:asciiTheme="majorEastAsia" w:hAnsiTheme="majorEastAsia" w:eastAsiaTheme="majorEastAsia" w:cstheme="majorEastAsia"/>
          <w:spacing w:val="10"/>
          <w:sz w:val="24"/>
          <w:szCs w:val="24"/>
          <w:highlight w:val="none"/>
          <w:u w:val="single"/>
        </w:rPr>
      </w:pPr>
      <w:r>
        <w:rPr>
          <w:rFonts w:hint="eastAsia" w:asciiTheme="majorEastAsia" w:hAnsiTheme="majorEastAsia" w:eastAsiaTheme="majorEastAsia" w:cstheme="majorEastAsia"/>
          <w:spacing w:val="10"/>
          <w:sz w:val="24"/>
          <w:szCs w:val="24"/>
          <w:highlight w:val="none"/>
          <w:u w:val="single"/>
        </w:rPr>
        <w:t xml:space="preserve">B、质量问题：工程质量应符合国家验收规范，若质量未达到要求，承包人应进行整改，返工合格后，发包人有权在承包人工程结算款中扣除由此而发给发包人而造成的经济损失。</w:t>
      </w:r>
      <w:r/>
    </w:p>
    <w:p>
      <w:pPr>
        <w:pStyle w:val="1131"/>
        <w:ind w:firstLine="517"/>
        <w:spacing w:line="480" w:lineRule="exact"/>
        <w:tabs>
          <w:tab w:val="left" w:pos="905" w:leader="none"/>
        </w:tabs>
        <w:rPr>
          <w:rFonts w:asciiTheme="majorEastAsia" w:hAnsiTheme="majorEastAsia" w:eastAsiaTheme="majorEastAsia" w:cstheme="majorEastAsia"/>
          <w:spacing w:val="10"/>
          <w:sz w:val="24"/>
          <w:szCs w:val="24"/>
          <w:highlight w:val="none"/>
          <w:u w:val="single"/>
        </w:rPr>
      </w:pPr>
      <w:r>
        <w:rPr>
          <w:rFonts w:hint="eastAsia" w:asciiTheme="majorEastAsia" w:hAnsiTheme="majorEastAsia" w:eastAsiaTheme="majorEastAsia" w:cstheme="majorEastAsia"/>
          <w:spacing w:val="10"/>
          <w:sz w:val="24"/>
          <w:szCs w:val="24"/>
          <w:highlight w:val="none"/>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ind w:firstLine="52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pacing w:val="10"/>
          <w:sz w:val="24"/>
          <w:szCs w:val="24"/>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16.2.3 因承包人违约解除合同</w:t>
      </w:r>
      <w:r/>
    </w:p>
    <w:p>
      <w:pPr>
        <w:ind w:firstLine="480"/>
        <w:spacing w:before="120"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关于承包人违约解除合同的特别约定：</w:t>
      </w:r>
      <w:r>
        <w:rPr>
          <w:rFonts w:hint="eastAsia" w:asciiTheme="majorEastAsia" w:hAnsiTheme="majorEastAsia" w:eastAsiaTheme="majorEastAsia" w:cstheme="majorEastAsia"/>
          <w:spacing w:val="10"/>
          <w:sz w:val="24"/>
          <w:szCs w:val="24"/>
          <w:highlight w:val="none"/>
          <w:u w:val="single"/>
        </w:rPr>
        <w:t xml:space="preserve">在本合同解除后，承包人必须在5天内无条件退场。发包人将按承包人已完成工程量的70%给予结算，承包人并承担由此而给发包方造成的一切损失。</w:t>
      </w:r>
      <w:r/>
    </w:p>
    <w:p>
      <w:pPr>
        <w:ind w:firstLine="480"/>
        <w:spacing w:before="120"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发包人继续使用承包人在施工现场的材料、设备、临时工程、承包人文件和由承包人或以其名义编制的其他文件的费用承担方式：</w:t>
      </w:r>
      <w:r>
        <w:rPr>
          <w:rFonts w:hint="eastAsia" w:asciiTheme="majorEastAsia" w:hAnsiTheme="majorEastAsia" w:eastAsiaTheme="majorEastAsia" w:cstheme="majorEastAsia"/>
          <w:sz w:val="24"/>
          <w:szCs w:val="24"/>
          <w:highlight w:val="none"/>
          <w:u w:val="single"/>
        </w:rPr>
        <w:t xml:space="preserve">  根据监理、审计出具的报告结算给承包人  </w:t>
      </w:r>
      <w:r>
        <w:rPr>
          <w:rFonts w:hint="eastAsia" w:asciiTheme="majorEastAsia" w:hAnsiTheme="majorEastAsia" w:eastAsiaTheme="majorEastAsia" w:cstheme="majorEastAsia"/>
          <w:sz w:val="24"/>
          <w:szCs w:val="24"/>
          <w:highlight w:val="none"/>
        </w:rPr>
        <w:t xml:space="preserve">。</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638" w:name="_Toc351203649"/>
      <w:r>
        <w:rPr>
          <w:rFonts w:hint="eastAsia" w:asciiTheme="majorEastAsia" w:hAnsiTheme="majorEastAsia" w:eastAsiaTheme="majorEastAsia" w:cstheme="majorEastAsia"/>
          <w:b w:val="0"/>
          <w:bCs w:val="0"/>
          <w:sz w:val="24"/>
          <w:szCs w:val="24"/>
          <w:highlight w:val="none"/>
        </w:rPr>
        <w:t xml:space="preserve">17. 不可抗力</w:t>
      </w:r>
      <w:bookmarkEnd w:id="636"/>
      <w:r/>
      <w:bookmarkEnd w:id="638"/>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17.1 不可抗力的确认</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除通用合同条款约定的不可抗力事件之外，视为不可抗力的其他情形： </w:t>
      </w:r>
      <w:r>
        <w:rPr>
          <w:rFonts w:hint="eastAsia" w:asciiTheme="majorEastAsia" w:hAnsiTheme="majorEastAsia" w:eastAsiaTheme="majorEastAsia" w:cstheme="majorEastAsia"/>
          <w:spacing w:val="10"/>
          <w:sz w:val="24"/>
          <w:szCs w:val="24"/>
          <w:highlight w:val="none"/>
          <w:u w:val="single"/>
        </w:rPr>
        <w:t xml:space="preserve">按省级有关部门的规定执行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17.4 因不可抗力解除合同</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合同解除后，发包人应在商定或确定发包人应支付款项后</w:t>
      </w:r>
      <w:r>
        <w:rPr>
          <w:rFonts w:hint="eastAsia" w:asciiTheme="majorEastAsia" w:hAnsiTheme="majorEastAsia" w:eastAsiaTheme="majorEastAsia" w:cstheme="majorEastAsia"/>
          <w:sz w:val="24"/>
          <w:szCs w:val="24"/>
          <w:highlight w:val="none"/>
          <w:u w:val="single"/>
        </w:rPr>
        <w:t xml:space="preserve"> 28   </w:t>
      </w:r>
      <w:r>
        <w:rPr>
          <w:rFonts w:hint="eastAsia" w:asciiTheme="majorEastAsia" w:hAnsiTheme="majorEastAsia" w:eastAsiaTheme="majorEastAsia" w:cstheme="majorEastAsia"/>
          <w:sz w:val="24"/>
          <w:szCs w:val="24"/>
          <w:highlight w:val="none"/>
        </w:rPr>
        <w:t xml:space="preserve">天内完成款项的支付。</w:t>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639" w:name="_Toc351203650"/>
      <w:r>
        <w:rPr>
          <w:rFonts w:hint="eastAsia" w:asciiTheme="majorEastAsia" w:hAnsiTheme="majorEastAsia" w:eastAsiaTheme="majorEastAsia" w:cstheme="majorEastAsia"/>
          <w:b w:val="0"/>
          <w:bCs w:val="0"/>
          <w:sz w:val="24"/>
          <w:szCs w:val="24"/>
          <w:highlight w:val="none"/>
        </w:rPr>
        <w:t xml:space="preserve">18. 保险</w:t>
      </w:r>
      <w:bookmarkEnd w:id="639"/>
      <w:r/>
      <w:bookmarkEnd w:id="637"/>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18.1 工程保险</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关于工程保险的特别约定：</w:t>
      </w:r>
      <w:r>
        <w:rPr>
          <w:rFonts w:hint="eastAsia" w:asciiTheme="majorEastAsia" w:hAnsiTheme="majorEastAsia" w:eastAsiaTheme="majorEastAsia" w:cstheme="majorEastAsia"/>
          <w:spacing w:val="10"/>
          <w:sz w:val="24"/>
          <w:szCs w:val="24"/>
          <w:highlight w:val="none"/>
          <w:u w:val="single"/>
        </w:rPr>
        <w:t xml:space="preserve">承包人必须按国家或地方相关规定为从事危险作业的职工办理意外伤害保险，并为施工场地内自有人员生命财产和施工机械设备办理保险，承担保险责任。</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18.3 其他保险</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关于其他保险的约定：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承包人是否应为其施工设备等办理财产保险：</w:t>
      </w:r>
      <w:r>
        <w:rPr>
          <w:rFonts w:hint="eastAsia" w:asciiTheme="majorEastAsia" w:hAnsiTheme="majorEastAsia" w:eastAsiaTheme="majorEastAsia" w:cstheme="majorEastAsia"/>
          <w:sz w:val="24"/>
          <w:szCs w:val="24"/>
          <w:highlight w:val="none"/>
          <w:u w:val="single"/>
        </w:rPr>
        <w:t xml:space="preserve">  由承包自行考虑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18.7 通知义务</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关于变更保险合同时的通知义务的约定：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pStyle w:val="1125"/>
        <w:spacing w:before="120" w:after="120" w:line="360" w:lineRule="auto"/>
        <w:rPr>
          <w:rFonts w:asciiTheme="majorEastAsia" w:hAnsiTheme="majorEastAsia" w:eastAsiaTheme="majorEastAsia" w:cstheme="majorEastAsia"/>
          <w:b w:val="0"/>
          <w:bCs w:val="0"/>
          <w:sz w:val="24"/>
          <w:szCs w:val="24"/>
          <w:highlight w:val="none"/>
        </w:rPr>
      </w:pPr>
      <w:r/>
      <w:bookmarkStart w:id="640" w:name="_Toc351203651"/>
      <w:r>
        <w:rPr>
          <w:rFonts w:hint="eastAsia" w:asciiTheme="majorEastAsia" w:hAnsiTheme="majorEastAsia" w:eastAsiaTheme="majorEastAsia" w:cstheme="majorEastAsia"/>
          <w:b w:val="0"/>
          <w:bCs w:val="0"/>
          <w:sz w:val="24"/>
          <w:szCs w:val="24"/>
          <w:highlight w:val="none"/>
        </w:rPr>
        <w:t xml:space="preserve">20. 争议解决</w:t>
      </w:r>
      <w:bookmarkEnd w:id="640"/>
      <w:r/>
      <w:bookmarkEnd w:id="625"/>
      <w:r/>
      <w:bookmarkEnd w:id="626"/>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20.3 争</w:t>
      </w:r>
      <w:bookmarkEnd w:id="627"/>
      <w:r>
        <w:rPr>
          <w:rFonts w:hint="eastAsia" w:asciiTheme="majorEastAsia" w:hAnsiTheme="majorEastAsia" w:eastAsiaTheme="majorEastAsia" w:cstheme="majorEastAsia"/>
          <w:sz w:val="24"/>
          <w:szCs w:val="24"/>
          <w:highlight w:val="none"/>
        </w:rPr>
        <w:t xml:space="preserve">议评审</w:t>
      </w:r>
      <w:r/>
    </w:p>
    <w:p>
      <w:pPr>
        <w:ind w:left="156" w:firstLine="36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合同当事人是否同意将工程争议提交争议评审小组决定：</w:t>
      </w:r>
      <w:r>
        <w:rPr>
          <w:rFonts w:hint="eastAsia" w:asciiTheme="majorEastAsia" w:hAnsiTheme="majorEastAsia" w:eastAsiaTheme="majorEastAsia" w:cstheme="majorEastAsia"/>
          <w:sz w:val="24"/>
          <w:szCs w:val="24"/>
          <w:highlight w:val="none"/>
          <w:u w:val="single"/>
        </w:rPr>
        <w:t xml:space="preserve"> 不同意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20.3.1 争议评审小组的确定</w:t>
      </w:r>
      <w:r/>
    </w:p>
    <w:p>
      <w:pPr>
        <w:ind w:firstLine="48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争议评审小组成员的确定：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选定争议评审员的期限：</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争议评审小组成员的报酬承担方式：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其他事项的约定：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20.3.2 争议评审小组的决定</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合同当事人关于本项的约定：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20.4仲裁或诉讼</w:t>
      </w:r>
      <w:bookmarkEnd w:id="628"/>
      <w:r/>
      <w:r/>
    </w:p>
    <w:p>
      <w:pPr>
        <w:ind w:firstLine="480"/>
        <w:spacing w:after="120"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因合同及合同有关事项发生的争议，按下列第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种方式解决：</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（1）向仲裁委员会申请仲裁；</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（2）向</w:t>
      </w:r>
      <w:r>
        <w:rPr>
          <w:rFonts w:hint="eastAsia" w:asciiTheme="majorEastAsia" w:hAnsiTheme="majorEastAsia" w:eastAsiaTheme="majorEastAsia" w:cstheme="majorEastAsia"/>
          <w:sz w:val="24"/>
          <w:szCs w:val="24"/>
          <w:highlight w:val="none"/>
          <w:u w:val="single"/>
        </w:rPr>
        <w:t xml:space="preserve">    工程所在地  </w:t>
      </w:r>
      <w:r>
        <w:rPr>
          <w:rFonts w:hint="eastAsia" w:asciiTheme="majorEastAsia" w:hAnsiTheme="majorEastAsia" w:eastAsiaTheme="majorEastAsia" w:cstheme="majorEastAsia"/>
          <w:sz w:val="24"/>
          <w:szCs w:val="24"/>
          <w:highlight w:val="none"/>
        </w:rPr>
        <w:t xml:space="preserve">人民法院起诉。</w:t>
      </w:r>
      <w:bookmarkEnd w:id="629"/>
      <w:r/>
      <w:bookmarkEnd w:id="630"/>
      <w:r/>
      <w:bookmarkEnd w:id="631"/>
      <w:r/>
      <w:bookmarkEnd w:id="632"/>
      <w:r/>
      <w:bookmarkEnd w:id="633"/>
      <w:r/>
      <w:bookmarkEnd w:id="634"/>
      <w:r/>
      <w:r/>
    </w:p>
    <w:p>
      <w:pPr>
        <w:ind w:left="551"/>
        <w:spacing w:before="72"/>
        <w:rPr>
          <w:rFonts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 xml:space="preserve">附件</w:t>
      </w:r>
      <w:r/>
    </w:p>
    <w:p>
      <w:pPr>
        <w:ind w:left="551"/>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协议书附件：</w:t>
      </w:r>
      <w:r/>
    </w:p>
    <w:p>
      <w:pPr>
        <w:ind w:left="551" w:right="5705"/>
        <w:spacing w:before="161"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1：承包人承揽工程项目一览表专用合同条款附件：</w:t>
      </w:r>
      <w:r/>
    </w:p>
    <w:p>
      <w:pPr>
        <w:ind w:left="551" w:right="5705"/>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2：发包人供应材料设备一览表附件 3：工程质量保修书</w:t>
      </w:r>
      <w:r/>
    </w:p>
    <w:p>
      <w:pPr>
        <w:ind w:left="551"/>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4：主要建设工程文件目录</w:t>
      </w:r>
      <w:r/>
    </w:p>
    <w:p>
      <w:pPr>
        <w:ind w:left="551" w:right="4745"/>
        <w:spacing w:before="159"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5：承包人用于本工程施工的机械设备表附件 6：承包人主要施工管理人员表</w:t>
      </w:r>
      <w:r/>
    </w:p>
    <w:p>
      <w:pPr>
        <w:ind w:left="551" w:right="5705"/>
        <w:spacing w:before="5"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7：分包人主要施工管理人员表附件 8：履约担保格式</w:t>
      </w:r>
      <w:r/>
    </w:p>
    <w:p>
      <w:pPr>
        <w:ind w:left="551" w:right="7025"/>
        <w:spacing w:before="5"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9：支付担保格式附件 10：暂估价一览表</w:t>
      </w:r>
      <w:r/>
    </w:p>
    <w:p>
      <w:pPr>
        <w:spacing w:line="362" w:lineRule="auto"/>
        <w:rPr>
          <w:rFonts w:asciiTheme="majorEastAsia" w:hAnsiTheme="majorEastAsia" w:eastAsiaTheme="majorEastAsia" w:cstheme="majorEastAsia"/>
          <w:sz w:val="24"/>
          <w:szCs w:val="24"/>
          <w:highlight w:val="none"/>
        </w:rPr>
        <w:sectPr>
          <w:footerReference w:type="default" r:id="rId14"/>
          <w:footnotePr/>
          <w:endnotePr/>
          <w:type w:val="nextPage"/>
          <w:pgSz w:w="11910" w:h="16840" w:orient="portrait"/>
          <w:pgMar w:top="1340" w:right="820" w:bottom="1380" w:left="98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56"/>
        <w:spacing w:before="77"/>
        <w:tabs>
          <w:tab w:val="left" w:pos="571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附件1：</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承包人承揽工程项目一览表</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14816"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128"/>
        <w:gridCol w:w="1698"/>
        <w:gridCol w:w="1500"/>
        <w:gridCol w:w="1500"/>
        <w:gridCol w:w="1500"/>
        <w:gridCol w:w="709"/>
        <w:gridCol w:w="1691"/>
        <w:gridCol w:w="1400"/>
        <w:gridCol w:w="1400"/>
        <w:gridCol w:w="1290"/>
      </w:tblGrid>
      <w:tr>
        <w:trPr>
          <w:trHeight w:val="863"/>
        </w:trPr>
        <w:tc>
          <w:tcPr>
            <w:tcBorders>
              <w:bottom w:val="single" w:color="000000" w:sz="2" w:space="0"/>
              <w:right w:val="single" w:color="000000" w:sz="6" w:space="0"/>
            </w:tcBorders>
            <w:tcW w:w="2128" w:type="dxa"/>
            <w:textDirection w:val="lrTb"/>
            <w:noWrap w:val="false"/>
          </w:tcPr>
          <w:p>
            <w:pPr>
              <w:pStyle w:val="1146"/>
              <w:ind w:left="99" w:right="81"/>
              <w:jc w:val="center"/>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p>
            <w:pPr>
              <w:pStyle w:val="1146"/>
              <w:ind w:left="99" w:right="81"/>
              <w:jc w:val="center"/>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工程名称</w:t>
            </w:r>
            <w:r/>
          </w:p>
        </w:tc>
        <w:tc>
          <w:tcPr>
            <w:tcBorders>
              <w:left w:val="single" w:color="000000" w:sz="6" w:space="0"/>
              <w:bottom w:val="single" w:color="000000" w:sz="2" w:space="0"/>
              <w:right w:val="single" w:color="000000" w:sz="6" w:space="0"/>
            </w:tcBorders>
            <w:tcW w:w="1698" w:type="dxa"/>
            <w:textDirection w:val="lrTb"/>
            <w:noWrap w:val="false"/>
          </w:tcPr>
          <w:p>
            <w:pPr>
              <w:pStyle w:val="1146"/>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37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建设规模</w:t>
            </w:r>
            <w:r/>
          </w:p>
        </w:tc>
        <w:tc>
          <w:tcPr>
            <w:tcBorders>
              <w:left w:val="single" w:color="000000" w:sz="6" w:space="0"/>
              <w:bottom w:val="single" w:color="000000" w:sz="2" w:space="0"/>
              <w:right w:val="single" w:color="000000" w:sz="6" w:space="0"/>
            </w:tcBorders>
            <w:tcW w:w="1500" w:type="dxa"/>
            <w:textDirection w:val="lrTb"/>
            <w:noWrap w:val="false"/>
          </w:tcPr>
          <w:p>
            <w:pPr>
              <w:pStyle w:val="1146"/>
              <w:ind w:left="277"/>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建筑面积</w:t>
            </w:r>
            <w:r/>
          </w:p>
          <w:p>
            <w:pPr>
              <w:pStyle w:val="1146"/>
              <w:ind w:left="325"/>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
                <w:sz w:val="24"/>
                <w:szCs w:val="24"/>
                <w:highlight w:val="none"/>
              </w:rPr>
              <w:t xml:space="preserve">(</w:t>
            </w:r>
            <w:r>
              <w:rPr>
                <w:rFonts w:hint="eastAsia" w:asciiTheme="majorEastAsia" w:hAnsiTheme="majorEastAsia" w:eastAsiaTheme="majorEastAsia" w:cstheme="majorEastAsia"/>
                <w:sz w:val="24"/>
                <w:szCs w:val="24"/>
                <w:highlight w:val="none"/>
              </w:rPr>
              <w:t xml:space="preserve">平方米)</w:t>
            </w:r>
            <w:r/>
          </w:p>
        </w:tc>
        <w:tc>
          <w:tcPr>
            <w:tcBorders>
              <w:left w:val="single" w:color="000000" w:sz="6" w:space="0"/>
              <w:bottom w:val="single" w:color="000000" w:sz="2" w:space="0"/>
              <w:right w:val="single" w:color="000000" w:sz="6" w:space="0"/>
            </w:tcBorders>
            <w:tcW w:w="1500" w:type="dxa"/>
            <w:textDirection w:val="lrTb"/>
            <w:noWrap w:val="false"/>
          </w:tcPr>
          <w:p>
            <w:pPr>
              <w:pStyle w:val="1146"/>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27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结构形式</w:t>
            </w:r>
            <w:r/>
          </w:p>
        </w:tc>
        <w:tc>
          <w:tcPr>
            <w:tcBorders>
              <w:left w:val="single" w:color="000000" w:sz="6" w:space="0"/>
              <w:bottom w:val="single" w:color="000000" w:sz="2" w:space="0"/>
              <w:right w:val="single" w:color="000000" w:sz="6" w:space="0"/>
            </w:tcBorders>
            <w:tcW w:w="1500" w:type="dxa"/>
            <w:textDirection w:val="lrTb"/>
            <w:noWrap w:val="false"/>
          </w:tcPr>
          <w:p>
            <w:pPr>
              <w:pStyle w:val="1146"/>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51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层数</w:t>
            </w:r>
            <w:r/>
          </w:p>
        </w:tc>
        <w:tc>
          <w:tcPr>
            <w:tcBorders>
              <w:left w:val="single" w:color="000000" w:sz="6" w:space="0"/>
              <w:bottom w:val="single" w:color="000000" w:sz="2" w:space="0"/>
              <w:right w:val="single" w:color="000000" w:sz="6" w:space="0"/>
            </w:tcBorders>
            <w:tcW w:w="709" w:type="dxa"/>
            <w:textDirection w:val="lrTb"/>
            <w:noWrap w:val="false"/>
          </w:tcPr>
          <w:p>
            <w:pPr>
              <w:pStyle w:val="1146"/>
              <w:ind w:left="121" w:right="90"/>
              <w:spacing w:before="64"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生产能力</w:t>
            </w:r>
            <w:r/>
          </w:p>
        </w:tc>
        <w:tc>
          <w:tcPr>
            <w:tcBorders>
              <w:left w:val="single" w:color="000000" w:sz="6" w:space="0"/>
              <w:bottom w:val="single" w:color="000000" w:sz="2" w:space="0"/>
              <w:right w:val="single" w:color="000000" w:sz="6" w:space="0"/>
            </w:tcBorders>
            <w:tcW w:w="1691" w:type="dxa"/>
            <w:textDirection w:val="lrTb"/>
            <w:noWrap w:val="false"/>
          </w:tcPr>
          <w:p>
            <w:pPr>
              <w:pStyle w:val="1146"/>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13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设备安装内容</w:t>
            </w:r>
            <w:r/>
          </w:p>
        </w:tc>
        <w:tc>
          <w:tcPr>
            <w:tcBorders>
              <w:left w:val="single" w:color="000000" w:sz="6" w:space="0"/>
              <w:bottom w:val="single" w:color="000000" w:sz="2" w:space="0"/>
              <w:right w:val="single" w:color="000000" w:sz="6" w:space="0"/>
            </w:tcBorders>
            <w:tcW w:w="1400" w:type="dxa"/>
            <w:textDirection w:val="lrTb"/>
            <w:noWrap w:val="false"/>
          </w:tcPr>
          <w:p>
            <w:pPr>
              <w:pStyle w:val="1146"/>
              <w:ind w:left="226"/>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合同价格</w:t>
            </w:r>
            <w:r/>
          </w:p>
          <w:p>
            <w:pPr>
              <w:pStyle w:val="1146"/>
              <w:ind w:left="346"/>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1400" w:type="dxa"/>
            <w:textDirection w:val="lrTb"/>
            <w:noWrap w:val="false"/>
          </w:tcPr>
          <w:p>
            <w:pPr>
              <w:pStyle w:val="1146"/>
              <w:ind w:left="466"/>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w:t>
            </w:r>
            <w:r/>
          </w:p>
          <w:p>
            <w:pPr>
              <w:pStyle w:val="1146"/>
              <w:ind w:left="466"/>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日期</w:t>
            </w:r>
            <w:r/>
          </w:p>
        </w:tc>
        <w:tc>
          <w:tcPr>
            <w:tcBorders>
              <w:left w:val="single" w:color="000000" w:sz="6" w:space="0"/>
              <w:bottom w:val="single" w:color="000000" w:sz="2" w:space="0"/>
            </w:tcBorders>
            <w:tcW w:w="1290" w:type="dxa"/>
            <w:textDirection w:val="lrTb"/>
            <w:noWrap w:val="false"/>
          </w:tcPr>
          <w:p>
            <w:pPr>
              <w:pStyle w:val="1146"/>
              <w:ind w:left="412"/>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竣工</w:t>
            </w:r>
            <w:r/>
          </w:p>
          <w:p>
            <w:pPr>
              <w:pStyle w:val="1146"/>
              <w:ind w:left="412"/>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日期</w:t>
            </w:r>
            <w:r/>
          </w:p>
        </w:tc>
      </w:tr>
      <w:tr>
        <w:trPr>
          <w:trHeight w:val="1056"/>
        </w:trPr>
        <w:tc>
          <w:tcPr>
            <w:tcBorders>
              <w:top w:val="single" w:color="000000" w:sz="2" w:space="0"/>
              <w:bottom w:val="single" w:color="000000" w:sz="6" w:space="0"/>
              <w:right w:val="single" w:color="000000" w:sz="6" w:space="0"/>
            </w:tcBorders>
            <w:tcW w:w="2128" w:type="dxa"/>
            <w:textDirection w:val="lrTb"/>
            <w:noWrap w:val="false"/>
          </w:tcPr>
          <w:p>
            <w:pPr>
              <w:pStyle w:val="1146"/>
              <w:ind w:left="102" w:right="81"/>
              <w:jc w:val="center"/>
              <w:spacing w:before="3" w:line="242" w:lineRule="auto"/>
              <w:rPr>
                <w:rFonts w:hint="default"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pacing w:val="-3"/>
                <w:sz w:val="24"/>
                <w:szCs w:val="24"/>
                <w:highlight w:val="none"/>
                <w:u w:val="single"/>
                <w:lang w:eastAsia="zh-CN"/>
              </w:rPr>
              <w:t xml:space="preserve">秣陵街道社区卫生服务中心体检科改造工程</w:t>
            </w:r>
            <w:r/>
          </w:p>
        </w:tc>
        <w:tc>
          <w:tcPr>
            <w:tcBorders>
              <w:top w:val="single" w:color="000000" w:sz="2"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212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9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709"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9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0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29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ind w:left="7036" w:right="7794"/>
        <w:jc w:val="center"/>
        <w:spacing w:before="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41</w:t>
      </w:r>
      <w:r/>
    </w:p>
    <w:p>
      <w:pPr>
        <w:jc w:val="center"/>
        <w:rPr>
          <w:rFonts w:asciiTheme="majorEastAsia" w:hAnsiTheme="majorEastAsia" w:eastAsiaTheme="majorEastAsia" w:cstheme="majorEastAsia"/>
          <w:sz w:val="24"/>
          <w:szCs w:val="24"/>
          <w:highlight w:val="none"/>
        </w:rPr>
        <w:sectPr>
          <w:headerReference w:type="default" r:id="rId10"/>
          <w:footerReference w:type="default" r:id="rId15"/>
          <w:footnotePr/>
          <w:endnotePr/>
          <w:type w:val="nextPage"/>
          <w:pgSz w:w="16840" w:h="11910" w:orient="landscape"/>
          <w:pgMar w:top="1100" w:right="500" w:bottom="280" w:left="1260" w:header="0" w:footer="0"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2：</w:t>
      </w:r>
      <w:r/>
    </w:p>
    <w:p>
      <w:pPr>
        <w:pStyle w:val="1130"/>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发包人供应材料设备一览表</w:t>
      </w:r>
      <w:r/>
    </w:p>
    <w:p>
      <w:pPr>
        <w:pStyle w:val="1130"/>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10702"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rHeight w:val="1173"/>
        </w:trPr>
        <w:tc>
          <w:tcPr>
            <w:tcBorders>
              <w:bottom w:val="single" w:color="000000" w:sz="2"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276" w:type="dxa"/>
            <w:textDirection w:val="lrTb"/>
            <w:noWrap w:val="false"/>
          </w:tcPr>
          <w:p>
            <w:pPr>
              <w:pStyle w:val="1146"/>
              <w:ind w:right="200"/>
              <w:jc w:val="righ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w:t>
            </w:r>
            <w:r/>
          </w:p>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right="265"/>
              <w:jc w:val="right"/>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设备品种</w:t>
            </w:r>
            <w:r/>
          </w:p>
        </w:tc>
        <w:tc>
          <w:tcPr>
            <w:tcBorders>
              <w:left w:val="single" w:color="000000" w:sz="6" w:space="0"/>
              <w:bottom w:val="single" w:color="000000" w:sz="2"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6"/>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规格型号</w:t>
            </w:r>
            <w:r/>
          </w:p>
        </w:tc>
        <w:tc>
          <w:tcPr>
            <w:tcBorders>
              <w:left w:val="single" w:color="000000" w:sz="6" w:space="0"/>
              <w:bottom w:val="single" w:color="000000" w:sz="2"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8"/>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044" w:type="dxa"/>
            <w:textDirection w:val="lrTb"/>
            <w:noWrap w:val="false"/>
          </w:tcPr>
          <w:p>
            <w:pPr>
              <w:pStyle w:val="1146"/>
              <w:ind w:left="96"/>
              <w:spacing w:before="60"/>
              <w:tabs>
                <w:tab w:val="left" w:pos="71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价</w:t>
            </w:r>
            <w:r/>
          </w:p>
          <w:p>
            <w:pPr>
              <w:pStyle w:val="1146"/>
              <w:ind w:left="96"/>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992" w:type="dxa"/>
            <w:textDirection w:val="lrTb"/>
            <w:noWrap w:val="false"/>
          </w:tcPr>
          <w:p>
            <w:pPr>
              <w:pStyle w:val="1146"/>
              <w:ind w:left="96" w:right="69"/>
              <w:spacing w:before="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质量等级</w:t>
            </w:r>
            <w:r/>
          </w:p>
        </w:tc>
        <w:tc>
          <w:tcPr>
            <w:tcBorders>
              <w:left w:val="single" w:color="000000" w:sz="6" w:space="0"/>
              <w:bottom w:val="single" w:color="000000" w:sz="2" w:space="0"/>
              <w:right w:val="single" w:color="000000" w:sz="6" w:space="0"/>
            </w:tcBorders>
            <w:tcW w:w="851" w:type="dxa"/>
            <w:textDirection w:val="lrTb"/>
            <w:noWrap w:val="false"/>
          </w:tcPr>
          <w:p>
            <w:pPr>
              <w:pStyle w:val="1146"/>
              <w:ind w:left="98" w:right="66"/>
              <w:spacing w:before="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供 应时间</w:t>
            </w:r>
            <w:r/>
          </w:p>
        </w:tc>
        <w:tc>
          <w:tcPr>
            <w:tcBorders>
              <w:left w:val="single" w:color="000000" w:sz="6" w:space="0"/>
              <w:bottom w:val="single" w:color="000000" w:sz="2"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6"/>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送达地点</w:t>
            </w:r>
            <w:r/>
          </w:p>
        </w:tc>
        <w:tc>
          <w:tcPr>
            <w:tcBorders>
              <w:left w:val="single" w:color="000000" w:sz="6" w:space="0"/>
              <w:bottom w:val="single" w:color="000000" w:sz="2"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86"/>
        </w:trPr>
        <w:tc>
          <w:tcPr>
            <w:tcBorders>
              <w:top w:val="single" w:color="000000" w:sz="2" w:space="0"/>
              <w:bottom w:val="single" w:color="000000" w:sz="6" w:space="0"/>
              <w:right w:val="single" w:color="000000" w:sz="6" w:space="0"/>
            </w:tcBorders>
            <w:tcW w:w="85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4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4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8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99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headerReference w:type="default" r:id="rId11"/>
          <w:footerReference w:type="default" r:id="rId16"/>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7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3：</w:t>
      </w:r>
      <w:r/>
    </w:p>
    <w:p>
      <w:pPr>
        <w:pStyle w:val="1130"/>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工程质量保修书</w:t>
      </w:r>
      <w:r/>
    </w:p>
    <w:p>
      <w:pPr>
        <w:ind w:left="1223" w:right="3740"/>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发包人（全称）：</w:t>
      </w:r>
      <w:r>
        <w:rPr>
          <w:rFonts w:hint="eastAsia" w:asciiTheme="majorEastAsia" w:hAnsiTheme="majorEastAsia" w:eastAsiaTheme="majorEastAsia" w:cstheme="majorEastAsia"/>
          <w:sz w:val="24"/>
          <w:szCs w:val="24"/>
          <w:highlight w:val="none"/>
          <w:u w:val="single"/>
        </w:rPr>
        <w:t xml:space="preserve">南京市江宁区人民政府秣陵街道办事处</w:t>
      </w:r>
      <w:r>
        <w:rPr>
          <w:rFonts w:hint="eastAsia" w:asciiTheme="majorEastAsia" w:hAnsiTheme="majorEastAsia" w:eastAsiaTheme="majorEastAsia" w:cstheme="majorEastAsia"/>
          <w:sz w:val="24"/>
          <w:szCs w:val="24"/>
          <w:highlight w:val="none"/>
        </w:rPr>
        <w:t xml:space="preserve">承包人（全称）：</w:t>
      </w:r>
      <w:r/>
    </w:p>
    <w:p>
      <w:pPr>
        <w:pStyle w:val="1130"/>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808" w:right="887" w:firstLine="420"/>
        <w:spacing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发包人和承包人根据《中华人民共和国建筑法》和《建设工程质量管理条例》，经协商一致就</w:t>
      </w:r>
      <w:r>
        <w:rPr>
          <w:rFonts w:hint="eastAsia" w:asciiTheme="majorEastAsia" w:hAnsiTheme="majorEastAsia" w:eastAsiaTheme="majorEastAsia" w:cstheme="majorEastAsia"/>
          <w:sz w:val="24"/>
          <w:szCs w:val="24"/>
          <w:highlight w:val="none"/>
          <w:u w:val="single"/>
          <w:lang w:eastAsia="zh-CN"/>
        </w:rPr>
        <w:t xml:space="preserve">秣陵街道社区卫生服务中心体检科改造工程</w:t>
      </w:r>
      <w:r>
        <w:rPr>
          <w:rFonts w:hint="eastAsia" w:asciiTheme="majorEastAsia" w:hAnsiTheme="majorEastAsia" w:eastAsiaTheme="majorEastAsia" w:cstheme="majorEastAsia"/>
          <w:sz w:val="24"/>
          <w:szCs w:val="24"/>
          <w:highlight w:val="none"/>
        </w:rPr>
        <w:t xml:space="preserve">工程全称）签订工程质量保修书。</w:t>
      </w:r>
      <w:r/>
    </w:p>
    <w:p>
      <w:pPr>
        <w:ind w:left="1223"/>
        <w:spacing w:before="12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一、工程质量保修范围和内容</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承包人在质量保修期内，按照有关法律规定和合同约定，承担工程质量保修责任。</w:t>
      </w:r>
      <w:r/>
    </w:p>
    <w:p>
      <w:pPr>
        <w:pStyle w:val="1130"/>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ajorEastAsia" w:hAnsiTheme="majorEastAsia" w:eastAsiaTheme="majorEastAsia" w:cstheme="majorEastAsia"/>
          <w:sz w:val="24"/>
          <w:szCs w:val="24"/>
          <w:highlight w:val="none"/>
          <w:u w:val="single"/>
          <w:lang w:eastAsia="zh-CN"/>
        </w:rPr>
        <w:t xml:space="preserve">秣陵街道社区卫生服务中心体检科改造工程</w:t>
      </w:r>
      <w:r>
        <w:rPr>
          <w:rFonts w:hint="eastAsia" w:asciiTheme="majorEastAsia" w:hAnsiTheme="majorEastAsia" w:eastAsiaTheme="majorEastAsia" w:cstheme="majorEastAsia"/>
          <w:sz w:val="24"/>
          <w:szCs w:val="24"/>
          <w:highlight w:val="none"/>
        </w:rPr>
        <w:t xml:space="preserve">。</w:t>
      </w:r>
      <w:r/>
    </w:p>
    <w:p>
      <w:pPr>
        <w:ind w:left="1225"/>
        <w:spacing w:before="2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二、质量保修期</w:t>
      </w:r>
      <w:r/>
    </w:p>
    <w:p>
      <w:pPr>
        <w:ind w:left="743" w:right="750" w:firstLine="561"/>
        <w:spacing w:before="161" w:line="30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质量保修期从工程实际竣工之日算起。分单项竣工验收的工程，按单项工程分别计算质量保修期。</w:t>
      </w:r>
      <w:r/>
    </w:p>
    <w:p>
      <w:pPr>
        <w:ind w:left="1304"/>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双方根据国家有关规定，结合具体工程约定质量保修期如下：</w:t>
      </w:r>
      <w:r/>
    </w:p>
    <w:p>
      <w:pPr>
        <w:pStyle w:val="1144"/>
        <w:numPr>
          <w:ilvl w:val="1"/>
          <w:numId w:val="1"/>
        </w:numPr>
        <w:spacing w:before="81"/>
        <w:tabs>
          <w:tab w:val="left" w:pos="146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2"/>
          <w:sz w:val="24"/>
          <w:szCs w:val="24"/>
          <w:highlight w:val="none"/>
        </w:rPr>
        <w:t xml:space="preserve">土建工程为设计文件规定的该工程的合理期限年，屋面防水工程为 </w:t>
      </w:r>
      <w:r>
        <w:rPr>
          <w:rFonts w:hint="eastAsia" w:asciiTheme="majorEastAsia" w:hAnsiTheme="majorEastAsia" w:eastAsiaTheme="majorEastAsia" w:cstheme="majorEastAsia"/>
          <w:sz w:val="24"/>
          <w:szCs w:val="24"/>
          <w:highlight w:val="none"/>
        </w:rPr>
        <w:t xml:space="preserve">5 年；装修工程</w:t>
      </w:r>
      <w:r/>
    </w:p>
    <w:p>
      <w:pPr>
        <w:ind w:left="74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为 2 年；</w:t>
      </w:r>
      <w:r/>
    </w:p>
    <w:p>
      <w:pPr>
        <w:pStyle w:val="1144"/>
        <w:numPr>
          <w:ilvl w:val="1"/>
          <w:numId w:val="1"/>
        </w:numPr>
        <w:ind w:left="1583" w:hanging="361"/>
        <w:spacing w:before="159"/>
        <w:tabs>
          <w:tab w:val="left" w:pos="158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3"/>
          <w:sz w:val="24"/>
          <w:szCs w:val="24"/>
          <w:highlight w:val="none"/>
        </w:rPr>
        <w:t xml:space="preserve">电气管线、给排水管道、设备安装和装修工程，为 </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pacing w:val="-20"/>
          <w:sz w:val="24"/>
          <w:szCs w:val="24"/>
          <w:highlight w:val="none"/>
        </w:rPr>
        <w:t xml:space="preserve"> 年；</w:t>
      </w:r>
      <w:r/>
    </w:p>
    <w:p>
      <w:pPr>
        <w:pStyle w:val="1144"/>
        <w:numPr>
          <w:ilvl w:val="1"/>
          <w:numId w:val="1"/>
        </w:numPr>
        <w:ind w:left="1223" w:right="7700" w:firstLine="0"/>
        <w:spacing w:before="160" w:line="362" w:lineRule="auto"/>
        <w:tabs>
          <w:tab w:val="left" w:pos="158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0"/>
          <w:sz w:val="24"/>
          <w:szCs w:val="24"/>
          <w:highlight w:val="none"/>
        </w:rPr>
        <w:t xml:space="preserve">市政工程为 </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pacing w:val="-39"/>
          <w:sz w:val="24"/>
          <w:szCs w:val="24"/>
          <w:highlight w:val="none"/>
        </w:rPr>
        <w:t xml:space="preserve"> 年</w:t>
      </w:r>
      <w:r>
        <w:rPr>
          <w:rFonts w:hint="eastAsia" w:asciiTheme="majorEastAsia" w:hAnsiTheme="majorEastAsia" w:eastAsiaTheme="majorEastAsia" w:cstheme="majorEastAsia"/>
          <w:sz w:val="24"/>
          <w:szCs w:val="24"/>
          <w:highlight w:val="none"/>
        </w:rPr>
        <w:t xml:space="preserve">4．其他约定；</w:t>
      </w:r>
      <w:r/>
    </w:p>
    <w:p>
      <w:pPr>
        <w:ind w:left="1223"/>
        <w:spacing w:before="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三、缺陷责任期</w:t>
      </w:r>
      <w:r/>
    </w:p>
    <w:p>
      <w:pPr>
        <w:ind w:left="743" w:right="752" w:firstLine="480"/>
        <w:spacing w:before="158" w:line="364" w:lineRule="auto"/>
        <w:tabs>
          <w:tab w:val="left" w:pos="374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工程缺陷责任期为</w:t>
      </w:r>
      <w:r>
        <w:rPr>
          <w:rFonts w:hint="eastAsia" w:asciiTheme="majorEastAsia" w:hAnsiTheme="majorEastAsia" w:eastAsiaTheme="majorEastAsia" w:cstheme="majorEastAsia"/>
          <w:sz w:val="24"/>
          <w:szCs w:val="24"/>
          <w:highlight w:val="none"/>
          <w:u w:val="single"/>
          <w:lang w:val="en-US"/>
        </w:rPr>
        <w:t xml:space="preserve">24</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个月</w:t>
      </w:r>
      <w:r>
        <w:rPr>
          <w:rFonts w:hint="eastAsia" w:asciiTheme="majorEastAsia" w:hAnsiTheme="majorEastAsia" w:eastAsiaTheme="majorEastAsia" w:cstheme="majorEastAsia"/>
          <w:spacing w:val="-5"/>
          <w:sz w:val="24"/>
          <w:szCs w:val="24"/>
          <w:highlight w:val="none"/>
        </w:rPr>
        <w:t xml:space="preserve">，</w:t>
      </w:r>
      <w:r>
        <w:rPr>
          <w:rFonts w:hint="eastAsia" w:asciiTheme="majorEastAsia" w:hAnsiTheme="majorEastAsia" w:eastAsiaTheme="majorEastAsia" w:cstheme="majorEastAsia"/>
          <w:sz w:val="24"/>
          <w:szCs w:val="24"/>
          <w:highlight w:val="none"/>
        </w:rPr>
        <w:t xml:space="preserve">缺陷责任期自工程竣工验收合格之日起计算</w:t>
      </w:r>
      <w:r>
        <w:rPr>
          <w:rFonts w:hint="eastAsia" w:asciiTheme="majorEastAsia" w:hAnsiTheme="majorEastAsia" w:eastAsiaTheme="majorEastAsia" w:cstheme="majorEastAsia"/>
          <w:spacing w:val="-8"/>
          <w:sz w:val="24"/>
          <w:szCs w:val="24"/>
          <w:highlight w:val="none"/>
        </w:rPr>
        <w:t xml:space="preserve">。</w:t>
      </w:r>
      <w:r>
        <w:rPr>
          <w:rFonts w:hint="eastAsia" w:asciiTheme="majorEastAsia" w:hAnsiTheme="majorEastAsia" w:eastAsiaTheme="majorEastAsia" w:cstheme="majorEastAsia"/>
          <w:sz w:val="24"/>
          <w:szCs w:val="24"/>
          <w:highlight w:val="none"/>
        </w:rPr>
        <w:t xml:space="preserve">单位工</w:t>
      </w:r>
      <w:r>
        <w:rPr>
          <w:rFonts w:hint="eastAsia" w:asciiTheme="majorEastAsia" w:hAnsiTheme="majorEastAsia" w:eastAsiaTheme="majorEastAsia" w:cstheme="majorEastAsia"/>
          <w:spacing w:val="-14"/>
          <w:sz w:val="24"/>
          <w:szCs w:val="24"/>
          <w:highlight w:val="none"/>
        </w:rPr>
        <w:t xml:space="preserve">程</w:t>
      </w:r>
      <w:r>
        <w:rPr>
          <w:rFonts w:hint="eastAsia" w:asciiTheme="majorEastAsia" w:hAnsiTheme="majorEastAsia" w:eastAsiaTheme="majorEastAsia" w:cstheme="majorEastAsia"/>
          <w:sz w:val="24"/>
          <w:szCs w:val="24"/>
          <w:highlight w:val="none"/>
        </w:rPr>
        <w:t xml:space="preserve">先于全部工程进行验收，单位工程缺陷责任期自单位工程验收合格之日起算。</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缺陷责任期终止后，发包人应退还剩余的质量保证金。</w:t>
      </w:r>
      <w:r/>
    </w:p>
    <w:p>
      <w:pPr>
        <w:ind w:left="1223"/>
        <w:spacing w:before="16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四、质量保修责任</w:t>
      </w:r>
      <w:r/>
    </w:p>
    <w:p>
      <w:pPr>
        <w:pStyle w:val="1144"/>
        <w:numPr>
          <w:ilvl w:val="2"/>
          <w:numId w:val="1"/>
        </w:numPr>
        <w:ind w:right="632" w:firstLine="492"/>
        <w:spacing w:before="160" w:line="362" w:lineRule="auto"/>
        <w:tabs>
          <w:tab w:val="left" w:pos="170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4"/>
          <w:sz w:val="24"/>
          <w:szCs w:val="24"/>
          <w:highlight w:val="none"/>
        </w:rPr>
        <w:t xml:space="preserve">属于保修范围、内容的项目，承包人应当在接到保修通知之日起 </w:t>
      </w:r>
      <w:r>
        <w:rPr>
          <w:rFonts w:hint="eastAsia" w:asciiTheme="majorEastAsia" w:hAnsiTheme="majorEastAsia" w:eastAsiaTheme="majorEastAsia" w:cstheme="majorEastAsia"/>
          <w:sz w:val="24"/>
          <w:szCs w:val="24"/>
          <w:highlight w:val="none"/>
        </w:rPr>
        <w:t xml:space="preserve">7 </w:t>
      </w:r>
      <w:r>
        <w:rPr>
          <w:rFonts w:hint="eastAsia" w:asciiTheme="majorEastAsia" w:hAnsiTheme="majorEastAsia" w:eastAsiaTheme="majorEastAsia" w:cstheme="majorEastAsia"/>
          <w:spacing w:val="-3"/>
          <w:sz w:val="24"/>
          <w:szCs w:val="24"/>
          <w:highlight w:val="none"/>
        </w:rPr>
        <w:t xml:space="preserve">天内派人保修。</w:t>
      </w:r>
      <w:r>
        <w:rPr>
          <w:rFonts w:hint="eastAsia" w:asciiTheme="majorEastAsia" w:hAnsiTheme="majorEastAsia" w:eastAsiaTheme="majorEastAsia" w:cstheme="majorEastAsia"/>
          <w:sz w:val="24"/>
          <w:szCs w:val="24"/>
          <w:highlight w:val="none"/>
        </w:rPr>
        <w:t xml:space="preserve">承包人不在约定期限内派人保修的，发包人可以委托他人修理。</w:t>
      </w:r>
      <w:r/>
    </w:p>
    <w:p>
      <w:pPr>
        <w:spacing w:line="362" w:lineRule="auto"/>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1144"/>
        <w:numPr>
          <w:ilvl w:val="2"/>
          <w:numId w:val="1"/>
        </w:numPr>
        <w:ind w:left="1701" w:hanging="362"/>
        <w:spacing w:before="64"/>
        <w:tabs>
          <w:tab w:val="left" w:pos="170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2"/>
          <w:sz w:val="24"/>
          <w:szCs w:val="24"/>
          <w:highlight w:val="none"/>
        </w:rPr>
        <w:t xml:space="preserve">发生紧急事故需抢修的，承包人在接到事故通知后，应当立即到达事故现场抢修。</w:t>
      </w:r>
      <w:r/>
    </w:p>
    <w:p>
      <w:pPr>
        <w:pStyle w:val="1144"/>
        <w:numPr>
          <w:ilvl w:val="2"/>
          <w:numId w:val="1"/>
        </w:numPr>
        <w:ind w:right="750" w:firstLine="492"/>
        <w:jc w:val="both"/>
        <w:spacing w:before="158" w:line="364" w:lineRule="auto"/>
        <w:tabs>
          <w:tab w:val="left" w:pos="170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对于涉及结构安全的质量问题，应当按照《建设工程质量管理条例》的规定，立</w:t>
      </w:r>
      <w:r>
        <w:rPr>
          <w:rFonts w:hint="eastAsia" w:asciiTheme="majorEastAsia" w:hAnsiTheme="majorEastAsia" w:eastAsiaTheme="majorEastAsia" w:cstheme="majorEastAsia"/>
          <w:spacing w:val="-1"/>
          <w:sz w:val="24"/>
          <w:szCs w:val="24"/>
          <w:highlight w:val="none"/>
        </w:rPr>
        <w:t xml:space="preserve">即向当地建设行政主管部门和有关部门报告，采取安全防范措施，并由原设计人或者具有</w:t>
      </w:r>
      <w:r>
        <w:rPr>
          <w:rFonts w:hint="eastAsia" w:asciiTheme="majorEastAsia" w:hAnsiTheme="majorEastAsia" w:eastAsiaTheme="majorEastAsia" w:cstheme="majorEastAsia"/>
          <w:sz w:val="24"/>
          <w:szCs w:val="24"/>
          <w:highlight w:val="none"/>
        </w:rPr>
        <w:t xml:space="preserve">相应资质等级的设计人提出保修方案，承包人实施保修。</w:t>
      </w:r>
      <w:r/>
    </w:p>
    <w:p>
      <w:pPr>
        <w:pStyle w:val="1144"/>
        <w:numPr>
          <w:ilvl w:val="2"/>
          <w:numId w:val="1"/>
        </w:numPr>
        <w:ind w:left="1644" w:hanging="362"/>
        <w:spacing w:line="307" w:lineRule="exact"/>
        <w:tabs>
          <w:tab w:val="left" w:pos="1645"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质量保修完成后，由发包人组织验收。</w:t>
      </w:r>
      <w:r/>
    </w:p>
    <w:p>
      <w:pPr>
        <w:ind w:left="122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五、保修费用</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保修费用由造成质量缺陷的责任方承担。</w:t>
      </w:r>
      <w:r/>
    </w:p>
    <w:p>
      <w:pPr>
        <w:ind w:left="1343"/>
        <w:spacing w:before="161"/>
        <w:tabs>
          <w:tab w:val="left" w:pos="6023" w:leader="none"/>
          <w:tab w:val="left" w:pos="656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六</w:t>
      </w:r>
      <w:r>
        <w:rPr>
          <w:rFonts w:hint="eastAsia" w:asciiTheme="majorEastAsia" w:hAnsiTheme="majorEastAsia" w:eastAsiaTheme="majorEastAsia" w:cstheme="majorEastAsia"/>
          <w:sz w:val="24"/>
          <w:szCs w:val="24"/>
          <w:highlight w:val="none"/>
        </w:rPr>
        <w:t xml:space="preserve">、双方约定的其他工程质量保修事项：</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ind w:left="743" w:right="752" w:firstLine="456"/>
        <w:spacing w:before="158"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8"/>
          <w:sz w:val="24"/>
          <w:szCs w:val="24"/>
          <w:highlight w:val="none"/>
        </w:rPr>
        <w:t xml:space="preserve">工程质量保修书由发包人、承包人在工程竣工验收前共同签署，作为施工合同附件，其</w:t>
      </w:r>
      <w:r>
        <w:rPr>
          <w:rFonts w:hint="eastAsia" w:asciiTheme="majorEastAsia" w:hAnsiTheme="majorEastAsia" w:eastAsiaTheme="majorEastAsia" w:cstheme="majorEastAsia"/>
          <w:sz w:val="24"/>
          <w:szCs w:val="24"/>
          <w:highlight w:val="none"/>
        </w:rPr>
        <w:t xml:space="preserve">有效期限至保修期满。</w:t>
      </w:r>
      <w:r/>
    </w:p>
    <w:p>
      <w:pPr>
        <w:pStyle w:val="1130"/>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3542"/>
        <w:spacing w:line="362" w:lineRule="auto"/>
        <w:tabs>
          <w:tab w:val="left" w:pos="1223" w:leader="none"/>
          <w:tab w:val="left" w:pos="4023" w:leader="none"/>
          <w:tab w:val="left" w:pos="4583" w:leader="none"/>
          <w:tab w:val="left" w:pos="6862" w:leader="none"/>
          <w:tab w:val="left" w:pos="742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发包人(公章)：</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承包</w:t>
      </w:r>
      <w:r>
        <w:rPr>
          <w:rFonts w:hint="eastAsia" w:asciiTheme="majorEastAsia" w:hAnsiTheme="majorEastAsia" w:eastAsiaTheme="majorEastAsia" w:cstheme="majorEastAsia"/>
          <w:spacing w:val="-1"/>
          <w:sz w:val="24"/>
          <w:szCs w:val="24"/>
          <w:highlight w:val="none"/>
        </w:rPr>
        <w:t xml:space="preserve">人(公</w:t>
      </w:r>
      <w:r>
        <w:rPr>
          <w:rFonts w:hint="eastAsia" w:asciiTheme="majorEastAsia" w:hAnsiTheme="majorEastAsia" w:eastAsiaTheme="majorEastAsia" w:cstheme="majorEastAsia"/>
          <w:sz w:val="24"/>
          <w:szCs w:val="24"/>
          <w:highlight w:val="none"/>
        </w:rPr>
        <w:t xml:space="preserve">章)：</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址</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p>
    <w:p>
      <w:pPr>
        <w:ind w:left="743" w:right="3921"/>
        <w:spacing w:before="5" w:line="364" w:lineRule="auto"/>
        <w:tabs>
          <w:tab w:val="left" w:pos="1223" w:leader="none"/>
          <w:tab w:val="left" w:pos="4042" w:leader="none"/>
          <w:tab w:val="left" w:pos="4083" w:leader="none"/>
          <w:tab w:val="left" w:pos="4583" w:leader="none"/>
          <w:tab w:val="left" w:pos="6761" w:leader="none"/>
          <w:tab w:val="left" w:pos="704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法定代表人(签字)：</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pacing w:val="-1"/>
          <w:sz w:val="24"/>
          <w:szCs w:val="24"/>
          <w:highlight w:val="none"/>
        </w:rPr>
        <w:t xml:space="preserve">法定代</w:t>
      </w:r>
      <w:r>
        <w:rPr>
          <w:rFonts w:hint="eastAsia" w:asciiTheme="majorEastAsia" w:hAnsiTheme="majorEastAsia" w:eastAsiaTheme="majorEastAsia" w:cstheme="majorEastAsia"/>
          <w:sz w:val="24"/>
          <w:szCs w:val="24"/>
          <w:highlight w:val="none"/>
        </w:rPr>
        <w:t xml:space="preserve">表人(签字)：</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 委托代理人(签字)：</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pacing w:val="-1"/>
          <w:sz w:val="24"/>
          <w:szCs w:val="24"/>
          <w:highlight w:val="none"/>
        </w:rPr>
        <w:t xml:space="preserve">委托代</w:t>
      </w:r>
      <w:r>
        <w:rPr>
          <w:rFonts w:hint="eastAsia" w:asciiTheme="majorEastAsia" w:hAnsiTheme="majorEastAsia" w:eastAsiaTheme="majorEastAsia" w:cstheme="majorEastAsia"/>
          <w:sz w:val="24"/>
          <w:szCs w:val="24"/>
          <w:highlight w:val="none"/>
        </w:rPr>
        <w:t xml:space="preserve">理人(签字)：</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 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话：</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话</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p>
    <w:p>
      <w:pPr>
        <w:ind w:left="743" w:right="3681"/>
        <w:spacing w:line="364" w:lineRule="auto"/>
        <w:tabs>
          <w:tab w:val="left" w:pos="1223" w:leader="none"/>
          <w:tab w:val="left" w:pos="3982" w:leader="none"/>
          <w:tab w:val="left" w:pos="4042" w:leader="none"/>
          <w:tab w:val="left" w:pos="4583" w:leader="none"/>
          <w:tab w:val="left" w:pos="4643" w:leader="none"/>
          <w:tab w:val="left" w:pos="7102" w:leader="none"/>
          <w:tab w:val="left" w:pos="728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真：</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真</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开户银行：</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开户</w:t>
      </w:r>
      <w:r>
        <w:rPr>
          <w:rFonts w:hint="eastAsia" w:asciiTheme="majorEastAsia" w:hAnsiTheme="majorEastAsia" w:eastAsiaTheme="majorEastAsia" w:cstheme="majorEastAsia"/>
          <w:spacing w:val="-1"/>
          <w:sz w:val="24"/>
          <w:szCs w:val="24"/>
          <w:highlight w:val="none"/>
        </w:rPr>
        <w:t xml:space="preserve">银</w:t>
      </w:r>
      <w:r>
        <w:rPr>
          <w:rFonts w:hint="eastAsia" w:asciiTheme="majorEastAsia" w:hAnsiTheme="majorEastAsia" w:eastAsiaTheme="majorEastAsia" w:cstheme="majorEastAsia"/>
          <w:sz w:val="24"/>
          <w:szCs w:val="24"/>
          <w:highlight w:val="none"/>
        </w:rPr>
        <w:t xml:space="preserve">行：</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账</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号：</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账</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号</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邮政</w:t>
      </w:r>
      <w:r>
        <w:rPr>
          <w:rFonts w:hint="eastAsia" w:asciiTheme="majorEastAsia" w:hAnsiTheme="majorEastAsia" w:eastAsiaTheme="majorEastAsia" w:cstheme="majorEastAsia"/>
          <w:spacing w:val="-1"/>
          <w:sz w:val="24"/>
          <w:szCs w:val="24"/>
          <w:highlight w:val="none"/>
        </w:rPr>
        <w:t xml:space="preserve">编</w:t>
      </w:r>
      <w:r>
        <w:rPr>
          <w:rFonts w:hint="eastAsia" w:asciiTheme="majorEastAsia" w:hAnsiTheme="majorEastAsia" w:eastAsiaTheme="majorEastAsia" w:cstheme="majorEastAsia"/>
          <w:sz w:val="24"/>
          <w:szCs w:val="24"/>
          <w:highlight w:val="none"/>
        </w:rPr>
        <w:t xml:space="preserve">码：</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p>
    <w:p>
      <w:pPr>
        <w:spacing w:line="364" w:lineRule="auto"/>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4：</w:t>
      </w:r>
      <w:r/>
    </w:p>
    <w:p>
      <w:pPr>
        <w:pStyle w:val="1130"/>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主要建设工程文件目录</w:t>
      </w:r>
      <w:r/>
    </w:p>
    <w:p>
      <w:pPr>
        <w:pStyle w:val="1130"/>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039" w:type="dxa"/>
        <w:tblInd w:w="9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53"/>
        <w:gridCol w:w="1276"/>
        <w:gridCol w:w="1450"/>
        <w:gridCol w:w="1243"/>
        <w:gridCol w:w="1450"/>
        <w:gridCol w:w="1667"/>
      </w:tblGrid>
      <w:tr>
        <w:trPr>
          <w:trHeight w:val="443"/>
        </w:trPr>
        <w:tc>
          <w:tcPr>
            <w:tcBorders>
              <w:bottom w:val="single" w:color="000000" w:sz="2" w:space="0"/>
              <w:right w:val="single" w:color="000000" w:sz="6" w:space="0"/>
            </w:tcBorders>
            <w:tcW w:w="1953" w:type="dxa"/>
            <w:textDirection w:val="lrTb"/>
            <w:noWrap w:val="false"/>
          </w:tcPr>
          <w:p>
            <w:pPr>
              <w:pStyle w:val="1146"/>
              <w:ind w:left="89"/>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文件名称</w:t>
            </w:r>
            <w:r/>
          </w:p>
        </w:tc>
        <w:tc>
          <w:tcPr>
            <w:tcBorders>
              <w:left w:val="single" w:color="000000" w:sz="6" w:space="0"/>
              <w:bottom w:val="single" w:color="000000" w:sz="2" w:space="0"/>
              <w:right w:val="single" w:color="000000" w:sz="6" w:space="0"/>
            </w:tcBorders>
            <w:tcW w:w="1276" w:type="dxa"/>
            <w:textDirection w:val="lrTb"/>
            <w:noWrap w:val="false"/>
          </w:tcPr>
          <w:p>
            <w:pPr>
              <w:pStyle w:val="1146"/>
              <w:ind w:left="97"/>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套数</w:t>
            </w:r>
            <w:r/>
          </w:p>
        </w:tc>
        <w:tc>
          <w:tcPr>
            <w:tcBorders>
              <w:left w:val="single" w:color="000000" w:sz="6" w:space="0"/>
              <w:bottom w:val="single" w:color="000000" w:sz="2" w:space="0"/>
              <w:right w:val="single" w:color="000000" w:sz="6" w:space="0"/>
            </w:tcBorders>
            <w:tcW w:w="1450" w:type="dxa"/>
            <w:textDirection w:val="lrTb"/>
            <w:noWrap w:val="false"/>
          </w:tcPr>
          <w:p>
            <w:pPr>
              <w:pStyle w:val="1146"/>
              <w:ind w:left="98"/>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费用（元）</w:t>
            </w:r>
            <w:r/>
          </w:p>
        </w:tc>
        <w:tc>
          <w:tcPr>
            <w:tcBorders>
              <w:left w:val="single" w:color="000000" w:sz="6" w:space="0"/>
              <w:bottom w:val="single" w:color="000000" w:sz="2" w:space="0"/>
              <w:right w:val="single" w:color="000000" w:sz="6" w:space="0"/>
            </w:tcBorders>
            <w:tcW w:w="1243" w:type="dxa"/>
            <w:textDirection w:val="lrTb"/>
            <w:noWrap w:val="false"/>
          </w:tcPr>
          <w:p>
            <w:pPr>
              <w:pStyle w:val="1146"/>
              <w:ind w:left="97"/>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w:t>
            </w:r>
            <w:r/>
          </w:p>
        </w:tc>
        <w:tc>
          <w:tcPr>
            <w:tcBorders>
              <w:left w:val="single" w:color="000000" w:sz="6" w:space="0"/>
              <w:bottom w:val="single" w:color="000000" w:sz="2" w:space="0"/>
              <w:right w:val="single" w:color="000000" w:sz="6" w:space="0"/>
            </w:tcBorders>
            <w:tcW w:w="1450" w:type="dxa"/>
            <w:textDirection w:val="lrTb"/>
            <w:noWrap w:val="false"/>
          </w:tcPr>
          <w:p>
            <w:pPr>
              <w:pStyle w:val="1146"/>
              <w:ind w:left="25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移交时间</w:t>
            </w:r>
            <w:r/>
          </w:p>
        </w:tc>
        <w:tc>
          <w:tcPr>
            <w:tcBorders>
              <w:left w:val="single" w:color="000000" w:sz="6" w:space="0"/>
              <w:bottom w:val="single" w:color="000000" w:sz="2" w:space="0"/>
            </w:tcBorders>
            <w:tcW w:w="1667" w:type="dxa"/>
            <w:textDirection w:val="lrTb"/>
            <w:noWrap w:val="false"/>
          </w:tcPr>
          <w:p>
            <w:pPr>
              <w:pStyle w:val="1146"/>
              <w:ind w:left="479"/>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责任人</w:t>
            </w:r>
            <w:r/>
          </w:p>
        </w:tc>
      </w:tr>
      <w:tr>
        <w:trPr>
          <w:trHeight w:val="567"/>
        </w:trPr>
        <w:tc>
          <w:tcPr>
            <w:tcBorders>
              <w:top w:val="single" w:color="000000" w:sz="2" w:space="0"/>
              <w:bottom w:val="single" w:color="000000" w:sz="6" w:space="0"/>
              <w:right w:val="single" w:color="000000" w:sz="6" w:space="0"/>
            </w:tcBorders>
            <w:tcW w:w="1953" w:type="dxa"/>
            <w:textDirection w:val="lrTb"/>
            <w:noWrap w:val="false"/>
          </w:tcPr>
          <w:p>
            <w:pPr>
              <w:pStyle w:val="1146"/>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项目批文</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1146"/>
              <w:ind w:left="97"/>
              <w:spacing w:before="7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1146"/>
              <w:ind w:left="98"/>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开工前</w:t>
            </w:r>
            <w:r/>
          </w:p>
        </w:tc>
        <w:tc>
          <w:tcPr>
            <w:tcBorders>
              <w:top w:val="single" w:color="000000" w:sz="2" w:space="0"/>
              <w:left w:val="single" w:color="000000" w:sz="6" w:space="0"/>
              <w:bottom w:val="single" w:color="000000" w:sz="6" w:space="0"/>
            </w:tcBorders>
            <w:tcW w:w="1667" w:type="dxa"/>
            <w:textDirection w:val="lrTb"/>
            <w:noWrap w:val="false"/>
          </w:tcPr>
          <w:p>
            <w:pPr>
              <w:pStyle w:val="1146"/>
              <w:ind w:left="97"/>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p>
        </w:tc>
      </w:tr>
      <w:tr>
        <w:trPr>
          <w:trHeight w:val="742"/>
        </w:trPr>
        <w:tc>
          <w:tcPr>
            <w:tcBorders>
              <w:top w:val="single" w:color="000000" w:sz="6" w:space="0"/>
              <w:bottom w:val="single" w:color="000000" w:sz="6" w:space="0"/>
              <w:right w:val="single" w:color="000000" w:sz="6" w:space="0"/>
            </w:tcBorders>
            <w:tcW w:w="1953" w:type="dxa"/>
            <w:textDirection w:val="lrTb"/>
            <w:noWrap w:val="false"/>
          </w:tcPr>
          <w:p>
            <w:pPr>
              <w:pStyle w:val="1146"/>
              <w:ind w:left="89"/>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图纸</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ind w:left="97"/>
              <w:spacing w:before="1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ind w:left="97" w:right="67"/>
              <w:spacing w:before="2"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符合使用要求</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ind w:left="98"/>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开工前</w:t>
            </w:r>
            <w:r/>
          </w:p>
        </w:tc>
        <w:tc>
          <w:tcPr>
            <w:tcBorders>
              <w:top w:val="single" w:color="000000" w:sz="6" w:space="0"/>
              <w:left w:val="single" w:color="000000" w:sz="6" w:space="0"/>
              <w:bottom w:val="single" w:color="000000" w:sz="6" w:space="0"/>
            </w:tcBorders>
            <w:tcW w:w="1667" w:type="dxa"/>
            <w:textDirection w:val="lrTb"/>
            <w:noWrap w:val="false"/>
          </w:tcPr>
          <w:p>
            <w:pPr>
              <w:pStyle w:val="1146"/>
              <w:ind w:left="97"/>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技术文件</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ind w:left="89"/>
              <w:spacing w:before="69"/>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6"/>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195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76"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4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66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5：</w:t>
      </w:r>
      <w:r/>
    </w:p>
    <w:p>
      <w:pPr>
        <w:pStyle w:val="1130"/>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承包人用于本工程施工的机械设备表</w:t>
      </w:r>
      <w:r/>
    </w:p>
    <w:p>
      <w:pPr>
        <w:pStyle w:val="1130"/>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rHeight w:val="1053"/>
        </w:trPr>
        <w:tc>
          <w:tcPr>
            <w:tcBorders>
              <w:bottom w:val="single" w:color="000000" w:sz="2" w:space="0"/>
              <w:right w:val="single" w:color="000000" w:sz="6" w:space="0"/>
            </w:tcBorders>
            <w:tcW w:w="1162" w:type="dxa"/>
            <w:textDirection w:val="lrTb"/>
            <w:noWrap w:val="false"/>
          </w:tcPr>
          <w:p>
            <w:pPr>
              <w:pStyle w:val="1146"/>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418" w:type="dxa"/>
            <w:textDirection w:val="lrTb"/>
            <w:noWrap w:val="false"/>
          </w:tcPr>
          <w:p>
            <w:pPr>
              <w:pStyle w:val="1146"/>
              <w:ind w:left="97" w:right="67"/>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机械或设备名称</w:t>
            </w:r>
            <w:r/>
          </w:p>
        </w:tc>
        <w:tc>
          <w:tcPr>
            <w:tcBorders>
              <w:left w:val="single" w:color="000000" w:sz="6" w:space="0"/>
              <w:bottom w:val="single" w:color="000000" w:sz="2" w:space="0"/>
              <w:right w:val="single" w:color="000000" w:sz="6" w:space="0"/>
            </w:tcBorders>
            <w:tcW w:w="850" w:type="dxa"/>
            <w:textDirection w:val="lrTb"/>
            <w:noWrap w:val="false"/>
          </w:tcPr>
          <w:p>
            <w:pPr>
              <w:pStyle w:val="1146"/>
              <w:ind w:left="97" w:right="67"/>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规 格型号</w:t>
            </w:r>
            <w:r/>
          </w:p>
        </w:tc>
        <w:tc>
          <w:tcPr>
            <w:tcBorders>
              <w:left w:val="single" w:color="000000" w:sz="6" w:space="0"/>
              <w:bottom w:val="single" w:color="000000" w:sz="2" w:space="0"/>
              <w:right w:val="single" w:color="000000" w:sz="6" w:space="0"/>
            </w:tcBorders>
            <w:tcW w:w="1058" w:type="dxa"/>
            <w:textDirection w:val="lrTb"/>
            <w:noWrap w:val="false"/>
          </w:tcPr>
          <w:p>
            <w:pPr>
              <w:pStyle w:val="1146"/>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880" w:type="dxa"/>
            <w:textDirection w:val="lrTb"/>
            <w:noWrap w:val="false"/>
          </w:tcPr>
          <w:p>
            <w:pPr>
              <w:pStyle w:val="1146"/>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产地</w:t>
            </w:r>
            <w:r/>
          </w:p>
        </w:tc>
        <w:tc>
          <w:tcPr>
            <w:tcBorders>
              <w:left w:val="single" w:color="000000" w:sz="6" w:space="0"/>
              <w:bottom w:val="single" w:color="000000" w:sz="2" w:space="0"/>
              <w:right w:val="single" w:color="000000" w:sz="6" w:space="0"/>
            </w:tcBorders>
            <w:tcW w:w="1020" w:type="dxa"/>
            <w:textDirection w:val="lrTb"/>
            <w:noWrap w:val="false"/>
          </w:tcPr>
          <w:p>
            <w:pPr>
              <w:pStyle w:val="1146"/>
              <w:ind w:left="98" w:right="66"/>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制 造年份</w:t>
            </w:r>
            <w:r/>
          </w:p>
        </w:tc>
        <w:tc>
          <w:tcPr>
            <w:tcBorders>
              <w:left w:val="single" w:color="000000" w:sz="6" w:space="0"/>
              <w:bottom w:val="single" w:color="000000" w:sz="2" w:space="0"/>
              <w:right w:val="single" w:color="000000" w:sz="6" w:space="0"/>
            </w:tcBorders>
            <w:tcW w:w="1480" w:type="dxa"/>
            <w:textDirection w:val="lrTb"/>
            <w:noWrap w:val="false"/>
          </w:tcPr>
          <w:p>
            <w:pPr>
              <w:pStyle w:val="1146"/>
              <w:ind w:left="98"/>
              <w:spacing w:before="1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额 定 功 率</w:t>
            </w:r>
            <w:r/>
          </w:p>
          <w:p>
            <w:pPr>
              <w:pStyle w:val="1146"/>
              <w:ind w:left="98"/>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(kW)</w:t>
            </w:r>
            <w:r/>
          </w:p>
        </w:tc>
        <w:tc>
          <w:tcPr>
            <w:tcBorders>
              <w:left w:val="single" w:color="000000" w:sz="6" w:space="0"/>
              <w:bottom w:val="single" w:color="000000" w:sz="2" w:space="0"/>
              <w:right w:val="single" w:color="000000" w:sz="6" w:space="0"/>
            </w:tcBorders>
            <w:tcW w:w="1020" w:type="dxa"/>
            <w:textDirection w:val="lrTb"/>
            <w:noWrap w:val="false"/>
          </w:tcPr>
          <w:p>
            <w:pPr>
              <w:pStyle w:val="1146"/>
              <w:ind w:left="97" w:right="68"/>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生 产能力</w:t>
            </w:r>
            <w:r/>
          </w:p>
        </w:tc>
        <w:tc>
          <w:tcPr>
            <w:tcBorders>
              <w:left w:val="single" w:color="000000" w:sz="6" w:space="0"/>
              <w:bottom w:val="single" w:color="000000" w:sz="2" w:space="0"/>
            </w:tcBorders>
            <w:tcW w:w="921" w:type="dxa"/>
            <w:textDirection w:val="lrTb"/>
            <w:noWrap w:val="false"/>
          </w:tcPr>
          <w:p>
            <w:pPr>
              <w:pStyle w:val="1146"/>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67"/>
        </w:trPr>
        <w:tc>
          <w:tcPr>
            <w:tcBorders>
              <w:top w:val="single" w:color="000000" w:sz="2"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116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5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8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20"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92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6：</w:t>
      </w:r>
      <w:r/>
    </w:p>
    <w:p>
      <w:pPr>
        <w:pStyle w:val="1130"/>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承包人主要施工管理人员表</w:t>
      </w:r>
      <w:r/>
    </w:p>
    <w:p>
      <w:pPr>
        <w:pStyle w:val="1130"/>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1146"/>
              <w:ind w:left="90"/>
              <w:tabs>
                <w:tab w:val="left" w:pos="8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1146"/>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1146"/>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1146"/>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职称</w:t>
            </w:r>
            <w:r/>
          </w:p>
        </w:tc>
        <w:tc>
          <w:tcPr>
            <w:tcBorders>
              <w:left w:val="single" w:color="000000" w:sz="6" w:space="0"/>
              <w:bottom w:val="single" w:color="000000" w:sz="2" w:space="0"/>
            </w:tcBorders>
            <w:tcW w:w="4252" w:type="dxa"/>
            <w:textDirection w:val="lrTb"/>
            <w:noWrap w:val="false"/>
          </w:tcPr>
          <w:p>
            <w:pPr>
              <w:pStyle w:val="1146"/>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0"/>
              <w:spacing w:before="19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7：</w:t>
      </w:r>
      <w:r/>
    </w:p>
    <w:p>
      <w:pPr>
        <w:pStyle w:val="1130"/>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分包人主要施工管理人员表</w:t>
      </w:r>
      <w:r/>
    </w:p>
    <w:p>
      <w:pPr>
        <w:pStyle w:val="1130"/>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1146"/>
              <w:ind w:left="90"/>
              <w:tabs>
                <w:tab w:val="left" w:pos="8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1146"/>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1146"/>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1146"/>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职称</w:t>
            </w:r>
            <w:r/>
          </w:p>
        </w:tc>
        <w:tc>
          <w:tcPr>
            <w:tcBorders>
              <w:left w:val="single" w:color="000000" w:sz="6" w:space="0"/>
              <w:bottom w:val="single" w:color="000000" w:sz="2" w:space="0"/>
            </w:tcBorders>
            <w:tcW w:w="4252" w:type="dxa"/>
            <w:textDirection w:val="lrTb"/>
            <w:noWrap w:val="false"/>
          </w:tcPr>
          <w:p>
            <w:pPr>
              <w:pStyle w:val="1146"/>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1146"/>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90"/>
              <w:spacing w:before="19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42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8：</w:t>
      </w:r>
      <w:r/>
    </w:p>
    <w:p>
      <w:pPr>
        <w:pStyle w:val="1130"/>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履约担保</w:t>
      </w:r>
      <w:r/>
    </w:p>
    <w:p>
      <w:pPr>
        <w:pStyle w:val="1130"/>
        <w:spacing w:before="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1223" w:right="3287" w:hanging="481"/>
        <w:spacing w:before="74" w:line="364" w:lineRule="auto"/>
        <w:tabs>
          <w:tab w:val="left" w:pos="3623" w:leader="none"/>
          <w:tab w:val="left" w:pos="5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（发包人名称）： 鉴于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（发包人名称，以下简称“发包人”）</w:t>
      </w:r>
      <w:r>
        <w:rPr>
          <w:rFonts w:hint="eastAsia" w:asciiTheme="majorEastAsia" w:hAnsiTheme="majorEastAsia" w:eastAsiaTheme="majorEastAsia" w:cstheme="majorEastAsia"/>
          <w:spacing w:val="-18"/>
          <w:sz w:val="24"/>
          <w:szCs w:val="24"/>
          <w:highlight w:val="none"/>
        </w:rPr>
        <w:t xml:space="preserve">与</w:t>
      </w:r>
      <w:r/>
    </w:p>
    <w:p>
      <w:pPr>
        <w:ind w:left="863"/>
        <w:spacing w:line="306" w:lineRule="exact"/>
        <w:tabs>
          <w:tab w:val="left" w:pos="4103" w:leader="none"/>
          <w:tab w:val="left" w:pos="8533" w:leader="none"/>
          <w:tab w:val="left" w:pos="9135" w:leader="none"/>
          <w:tab w:val="left" w:pos="9735"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（承包人名称</w:t>
      </w:r>
      <w:r>
        <w:rPr>
          <w:rFonts w:hint="eastAsia" w:asciiTheme="majorEastAsia" w:hAnsiTheme="majorEastAsia" w:eastAsiaTheme="majorEastAsia" w:cstheme="majorEastAsia"/>
          <w:spacing w:val="-34"/>
          <w:sz w:val="24"/>
          <w:szCs w:val="24"/>
          <w:highlight w:val="none"/>
        </w:rPr>
        <w:t xml:space="preserve">）（</w:t>
      </w:r>
      <w:r>
        <w:rPr>
          <w:rFonts w:hint="eastAsia" w:asciiTheme="majorEastAsia" w:hAnsiTheme="majorEastAsia" w:eastAsiaTheme="majorEastAsia" w:cstheme="majorEastAsia"/>
          <w:sz w:val="24"/>
          <w:szCs w:val="24"/>
          <w:highlight w:val="none"/>
        </w:rPr>
        <w:t xml:space="preserve">以下称“承包人</w:t>
      </w:r>
      <w:r>
        <w:rPr>
          <w:rFonts w:hint="eastAsia" w:asciiTheme="majorEastAsia" w:hAnsiTheme="majorEastAsia" w:eastAsiaTheme="majorEastAsia" w:cstheme="majorEastAsia"/>
          <w:spacing w:val="-18"/>
          <w:sz w:val="24"/>
          <w:szCs w:val="24"/>
          <w:highlight w:val="none"/>
        </w:rPr>
        <w:t xml:space="preserve">”）</w:t>
      </w:r>
      <w:r>
        <w:rPr>
          <w:rFonts w:hint="eastAsia" w:asciiTheme="majorEastAsia" w:hAnsiTheme="majorEastAsia" w:eastAsiaTheme="majorEastAsia" w:cstheme="majorEastAsia"/>
          <w:sz w:val="24"/>
          <w:szCs w:val="24"/>
          <w:highlight w:val="none"/>
        </w:rPr>
        <w:t xml:space="preserve">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日就</w:t>
      </w:r>
      <w:r/>
    </w:p>
    <w:p>
      <w:pPr>
        <w:ind w:left="743" w:right="753"/>
        <w:spacing w:before="161"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（工程名称）施工及有关事项协商一致共同签订《建设工程施工合同》。我方愿意无条件地、不可撤销地就承包人履行与你方签订的合同，向你方提供连带责任担保。</w:t>
      </w:r>
      <w:r/>
    </w:p>
    <w:p>
      <w:pPr>
        <w:pStyle w:val="1144"/>
        <w:numPr>
          <w:ilvl w:val="0"/>
          <w:numId w:val="2"/>
        </w:numPr>
        <w:ind w:hanging="301"/>
        <w:spacing w:before="5"/>
        <w:tabs>
          <w:tab w:val="left" w:pos="1524" w:leader="none"/>
          <w:tab w:val="left" w:pos="6203" w:leader="none"/>
          <w:tab w:val="left" w:pos="83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担保金额人民币（大写）</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元（¥</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pStyle w:val="1144"/>
        <w:numPr>
          <w:ilvl w:val="0"/>
          <w:numId w:val="2"/>
        </w:numPr>
        <w:ind w:left="743" w:right="752" w:firstLine="480"/>
        <w:spacing w:before="158"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担保有效期自你方与承包人签订的合同生效之日起至你方签发或应签发工程接收证书之日止。</w:t>
      </w:r>
      <w:r/>
    </w:p>
    <w:p>
      <w:pPr>
        <w:pStyle w:val="1144"/>
        <w:numPr>
          <w:ilvl w:val="0"/>
          <w:numId w:val="2"/>
        </w:numPr>
        <w:ind w:left="743"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在本担保有效期内，因承包人违反合同约定的义务给你方造成经济损失时，我方在</w:t>
      </w:r>
      <w:r>
        <w:rPr>
          <w:rFonts w:hint="eastAsia" w:asciiTheme="majorEastAsia" w:hAnsiTheme="majorEastAsia" w:eastAsiaTheme="majorEastAsia" w:cstheme="majorEastAsia"/>
          <w:spacing w:val="-3"/>
          <w:sz w:val="24"/>
          <w:szCs w:val="24"/>
          <w:highlight w:val="none"/>
        </w:rPr>
        <w:t xml:space="preserve">收到你方以书面形式提出的在担保金额内的赔偿要求后，在 </w:t>
      </w:r>
      <w:r>
        <w:rPr>
          <w:rFonts w:hint="eastAsia" w:asciiTheme="majorEastAsia" w:hAnsiTheme="majorEastAsia" w:eastAsiaTheme="majorEastAsia" w:cstheme="majorEastAsia"/>
          <w:sz w:val="24"/>
          <w:szCs w:val="24"/>
          <w:highlight w:val="none"/>
        </w:rPr>
        <w:t xml:space="preserve">7 天内无条件支付。</w:t>
      </w:r>
      <w:r/>
    </w:p>
    <w:p>
      <w:pPr>
        <w:pStyle w:val="1144"/>
        <w:numPr>
          <w:ilvl w:val="0"/>
          <w:numId w:val="2"/>
        </w:numPr>
        <w:ind w:hanging="301"/>
        <w:spacing w:line="306" w:lineRule="exact"/>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你方和承包人按合同约定变更合同时，我方承担本担保规定的义务不变。</w:t>
      </w:r>
      <w:r/>
    </w:p>
    <w:p>
      <w:pPr>
        <w:pStyle w:val="1144"/>
        <w:numPr>
          <w:ilvl w:val="0"/>
          <w:numId w:val="2"/>
        </w:numPr>
        <w:ind w:left="743" w:right="752" w:firstLine="480"/>
        <w:spacing w:before="159" w:line="364" w:lineRule="auto"/>
        <w:tabs>
          <w:tab w:val="left" w:pos="154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3"/>
          <w:sz w:val="24"/>
          <w:szCs w:val="24"/>
          <w:highlight w:val="none"/>
        </w:rPr>
        <w:t xml:space="preserve">因本保函发生的纠纷， 可由双方协商解决， 协商不成的， 任何一方均可提请</w:t>
      </w:r>
      <w:r>
        <w:rPr>
          <w:rFonts w:hint="eastAsia" w:asciiTheme="majorEastAsia" w:hAnsiTheme="majorEastAsia" w:eastAsiaTheme="majorEastAsia" w:cstheme="majorEastAsia"/>
          <w:sz w:val="24"/>
          <w:szCs w:val="24"/>
          <w:highlight w:val="none"/>
        </w:rPr>
        <w:t xml:space="preserve">仲裁委员会仲裁。</w:t>
      </w:r>
      <w:r/>
    </w:p>
    <w:p>
      <w:pPr>
        <w:pStyle w:val="1144"/>
        <w:numPr>
          <w:ilvl w:val="0"/>
          <w:numId w:val="2"/>
        </w:numPr>
        <w:ind w:left="743" w:right="1520" w:firstLine="480"/>
        <w:spacing w:line="364" w:lineRule="auto"/>
        <w:tabs>
          <w:tab w:val="left" w:pos="1524" w:leader="none"/>
          <w:tab w:val="left" w:pos="51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highlight w:val="none"/>
        </w:rPr>
        <w:t xml:space="preserve">。</w:t>
      </w:r>
      <w:r>
        <w:rPr>
          <w:rFonts w:hint="eastAsia" w:asciiTheme="majorEastAsia" w:hAnsiTheme="majorEastAsia" w:eastAsiaTheme="majorEastAsia" w:cstheme="majorEastAsia"/>
          <w:sz w:val="24"/>
          <w:szCs w:val="24"/>
          <w:highlight w:val="none"/>
        </w:rPr>
        <w:t xml:space="preserve">担 保人：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（盖单位章）</w:t>
      </w:r>
      <w:r/>
    </w:p>
    <w:p>
      <w:pPr>
        <w:ind w:left="743" w:right="4340"/>
        <w:spacing w:line="362" w:lineRule="auto"/>
        <w:tabs>
          <w:tab w:val="left" w:pos="1463" w:leader="none"/>
          <w:tab w:val="left" w:pos="56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法定代表人或其委托代理人：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p>
    <w:p>
      <w:pPr>
        <w:ind w:left="743" w:right="9020"/>
        <w:spacing w:before="3" w:line="364" w:lineRule="auto"/>
        <w:tabs>
          <w:tab w:val="left" w:pos="1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话</w:t>
      </w:r>
      <w:r>
        <w:rPr>
          <w:rFonts w:hint="eastAsia" w:asciiTheme="majorEastAsia" w:hAnsiTheme="majorEastAsia" w:eastAsiaTheme="majorEastAsia" w:cstheme="majorEastAsia"/>
          <w:spacing w:val="-17"/>
          <w:sz w:val="24"/>
          <w:szCs w:val="24"/>
          <w:highlight w:val="none"/>
        </w:rPr>
        <w:t xml:space="preserve">：</w:t>
      </w:r>
      <w:r/>
    </w:p>
    <w:p>
      <w:pPr>
        <w:ind w:left="743"/>
        <w:spacing w:line="306" w:lineRule="exact"/>
        <w:tabs>
          <w:tab w:val="left" w:pos="1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真：</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2543"/>
        <w:spacing w:before="66"/>
        <w:tabs>
          <w:tab w:val="left" w:pos="3863" w:leader="none"/>
          <w:tab w:val="left" w:pos="5063" w:leader="none"/>
          <w:tab w:val="left" w:pos="62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w:t>
      </w:r>
      <w:r/>
    </w:p>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9:</w:t>
      </w:r>
      <w:r/>
    </w:p>
    <w:p>
      <w:pPr>
        <w:pStyle w:val="1130"/>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支付担保</w:t>
      </w:r>
      <w:r/>
    </w:p>
    <w:p>
      <w:pPr>
        <w:pStyle w:val="1130"/>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597"/>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9"/>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620" w:firstLine="480"/>
        <w:spacing w:before="1" w:line="364" w:lineRule="auto"/>
        <w:tabs>
          <w:tab w:val="left" w:pos="1463" w:leader="none"/>
          <w:tab w:val="left" w:pos="3968" w:leader="none"/>
          <w:tab w:val="left" w:pos="5600" w:leader="none"/>
          <w:tab w:val="left" w:pos="997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鉴于你方作为承包人已经</w:t>
      </w:r>
      <w:r>
        <w:rPr>
          <w:rFonts w:hint="eastAsia" w:asciiTheme="majorEastAsia" w:hAnsiTheme="majorEastAsia" w:eastAsiaTheme="majorEastAsia" w:cstheme="majorEastAsia"/>
          <w:spacing w:val="-1"/>
          <w:sz w:val="24"/>
          <w:szCs w:val="24"/>
          <w:highlight w:val="none"/>
        </w:rPr>
        <w:t xml:space="preserve">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rPr>
        <w:t xml:space="preserve">发包人名称</w:t>
      </w:r>
      <w:r>
        <w:rPr>
          <w:rFonts w:hint="eastAsia" w:asciiTheme="majorEastAsia" w:hAnsiTheme="majorEastAsia" w:eastAsiaTheme="majorEastAsia" w:cstheme="majorEastAsia"/>
          <w:spacing w:val="-123"/>
          <w:sz w:val="24"/>
          <w:szCs w:val="24"/>
          <w:highlight w:val="none"/>
        </w:rPr>
        <w:t xml:space="preserve">）</w:t>
      </w:r>
      <w:r>
        <w:rPr>
          <w:rFonts w:hint="eastAsia" w:asciiTheme="majorEastAsia" w:hAnsiTheme="majorEastAsia" w:eastAsiaTheme="majorEastAsia" w:cstheme="majorEastAsia"/>
          <w:sz w:val="24"/>
          <w:szCs w:val="24"/>
          <w:highlight w:val="none"/>
        </w:rPr>
        <w:t xml:space="preserve">（以下</w:t>
      </w:r>
      <w:r>
        <w:rPr>
          <w:rFonts w:hint="eastAsia" w:asciiTheme="majorEastAsia" w:hAnsiTheme="majorEastAsia" w:eastAsiaTheme="majorEastAsia" w:cstheme="majorEastAsia"/>
          <w:spacing w:val="-63"/>
          <w:sz w:val="24"/>
          <w:szCs w:val="24"/>
          <w:highlight w:val="none"/>
        </w:rPr>
        <w:t xml:space="preserve">称</w:t>
      </w:r>
      <w:r>
        <w:rPr>
          <w:rFonts w:hint="eastAsia" w:asciiTheme="majorEastAsia" w:hAnsiTheme="majorEastAsia" w:eastAsiaTheme="majorEastAsia" w:cstheme="majorEastAsia"/>
          <w:sz w:val="24"/>
          <w:szCs w:val="24"/>
          <w:highlight w:val="none"/>
        </w:rPr>
        <w:t xml:space="preserve">“发包人</w:t>
      </w:r>
      <w:r>
        <w:rPr>
          <w:rFonts w:hint="eastAsia" w:asciiTheme="majorEastAsia" w:hAnsiTheme="majorEastAsia" w:eastAsiaTheme="majorEastAsia" w:cstheme="majorEastAsia"/>
          <w:spacing w:val="-63"/>
          <w:sz w:val="24"/>
          <w:szCs w:val="24"/>
          <w:highlight w:val="none"/>
        </w:rPr>
        <w:t xml:space="preserve">”）</w:t>
      </w:r>
      <w:r>
        <w:rPr>
          <w:rFonts w:hint="eastAsia" w:asciiTheme="majorEastAsia" w:hAnsiTheme="majorEastAsia" w:eastAsiaTheme="majorEastAsia" w:cstheme="majorEastAsia"/>
          <w:spacing w:val="-1"/>
          <w:sz w:val="24"/>
          <w:szCs w:val="24"/>
          <w:highlight w:val="none"/>
        </w:rPr>
        <w:t xml:space="preserve">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日签订了</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（工程名称</w:t>
      </w:r>
      <w:r>
        <w:rPr>
          <w:rFonts w:hint="eastAsia" w:asciiTheme="majorEastAsia" w:hAnsiTheme="majorEastAsia" w:eastAsiaTheme="majorEastAsia" w:cstheme="majorEastAsia"/>
          <w:spacing w:val="-29"/>
          <w:sz w:val="24"/>
          <w:szCs w:val="24"/>
          <w:highlight w:val="none"/>
        </w:rPr>
        <w:t xml:space="preserve">）</w:t>
      </w:r>
      <w:r>
        <w:rPr>
          <w:rFonts w:hint="eastAsia" w:asciiTheme="majorEastAsia" w:hAnsiTheme="majorEastAsia" w:eastAsiaTheme="majorEastAsia" w:cstheme="majorEastAsia"/>
          <w:sz w:val="24"/>
          <w:szCs w:val="24"/>
          <w:highlight w:val="none"/>
        </w:rPr>
        <w:t xml:space="preserve">《建设工程施工合同</w:t>
      </w:r>
      <w:r>
        <w:rPr>
          <w:rFonts w:hint="eastAsia" w:asciiTheme="majorEastAsia" w:hAnsiTheme="majorEastAsia" w:eastAsiaTheme="majorEastAsia" w:cstheme="majorEastAsia"/>
          <w:spacing w:val="-32"/>
          <w:sz w:val="24"/>
          <w:szCs w:val="24"/>
          <w:highlight w:val="none"/>
        </w:rPr>
        <w:t xml:space="preserve">》</w:t>
      </w:r>
      <w:r>
        <w:rPr>
          <w:rFonts w:hint="eastAsia" w:asciiTheme="majorEastAsia" w:hAnsiTheme="majorEastAsia" w:eastAsiaTheme="majorEastAsia" w:cstheme="majorEastAsia"/>
          <w:sz w:val="24"/>
          <w:szCs w:val="24"/>
          <w:highlight w:val="none"/>
        </w:rPr>
        <w:t xml:space="preserve">（以下</w:t>
      </w:r>
      <w:r>
        <w:rPr>
          <w:rFonts w:hint="eastAsia" w:asciiTheme="majorEastAsia" w:hAnsiTheme="majorEastAsia" w:eastAsiaTheme="majorEastAsia" w:cstheme="majorEastAsia"/>
          <w:spacing w:val="-15"/>
          <w:sz w:val="24"/>
          <w:szCs w:val="24"/>
          <w:highlight w:val="none"/>
        </w:rPr>
        <w:t xml:space="preserve">称</w:t>
      </w:r>
      <w:r>
        <w:rPr>
          <w:rFonts w:hint="eastAsia" w:asciiTheme="majorEastAsia" w:hAnsiTheme="majorEastAsia" w:eastAsiaTheme="majorEastAsia" w:cstheme="majorEastAsia"/>
          <w:sz w:val="24"/>
          <w:szCs w:val="24"/>
          <w:highlight w:val="none"/>
        </w:rPr>
        <w:t xml:space="preserve">“主合同</w:t>
      </w:r>
      <w:r>
        <w:rPr>
          <w:rFonts w:hint="eastAsia" w:asciiTheme="majorEastAsia" w:hAnsiTheme="majorEastAsia" w:eastAsiaTheme="majorEastAsia" w:cstheme="majorEastAsia"/>
          <w:spacing w:val="-16"/>
          <w:sz w:val="24"/>
          <w:szCs w:val="24"/>
          <w:highlight w:val="none"/>
        </w:rPr>
        <w:t xml:space="preserve">”）， </w:t>
      </w:r>
      <w:r>
        <w:rPr>
          <w:rFonts w:hint="eastAsia" w:asciiTheme="majorEastAsia" w:hAnsiTheme="majorEastAsia" w:eastAsiaTheme="majorEastAsia" w:cstheme="majorEastAsia"/>
          <w:sz w:val="24"/>
          <w:szCs w:val="24"/>
          <w:highlight w:val="none"/>
        </w:rPr>
        <w:t xml:space="preserve">应发</w:t>
      </w:r>
      <w:r>
        <w:rPr>
          <w:rFonts w:hint="eastAsia" w:asciiTheme="majorEastAsia" w:hAnsiTheme="majorEastAsia" w:eastAsiaTheme="majorEastAsia" w:cstheme="majorEastAsia"/>
          <w:spacing w:val="4"/>
          <w:sz w:val="24"/>
          <w:szCs w:val="24"/>
          <w:highlight w:val="none"/>
        </w:rPr>
        <w:t xml:space="preserve">包</w:t>
      </w:r>
      <w:r>
        <w:rPr>
          <w:rFonts w:hint="eastAsia" w:asciiTheme="majorEastAsia" w:hAnsiTheme="majorEastAsia" w:eastAsiaTheme="majorEastAsia" w:cstheme="majorEastAsia"/>
          <w:sz w:val="24"/>
          <w:szCs w:val="24"/>
          <w:highlight w:val="none"/>
        </w:rPr>
        <w:t xml:space="preserve">人的申请，</w:t>
      </w:r>
      <w:r>
        <w:rPr>
          <w:rFonts w:hint="eastAsia" w:asciiTheme="majorEastAsia" w:hAnsiTheme="majorEastAsia" w:eastAsiaTheme="majorEastAsia" w:cstheme="majorEastAsia"/>
          <w:spacing w:val="4"/>
          <w:sz w:val="24"/>
          <w:szCs w:val="24"/>
          <w:highlight w:val="none"/>
        </w:rPr>
        <w:t xml:space="preserve">我</w:t>
      </w:r>
      <w:r>
        <w:rPr>
          <w:rFonts w:hint="eastAsia" w:asciiTheme="majorEastAsia" w:hAnsiTheme="majorEastAsia" w:eastAsiaTheme="majorEastAsia" w:cstheme="majorEastAsia"/>
          <w:sz w:val="24"/>
          <w:szCs w:val="24"/>
          <w:highlight w:val="none"/>
        </w:rPr>
        <w:t xml:space="preserve">方愿就发</w:t>
      </w:r>
      <w:r>
        <w:rPr>
          <w:rFonts w:hint="eastAsia" w:asciiTheme="majorEastAsia" w:hAnsiTheme="majorEastAsia" w:eastAsiaTheme="majorEastAsia" w:cstheme="majorEastAsia"/>
          <w:spacing w:val="4"/>
          <w:sz w:val="24"/>
          <w:szCs w:val="24"/>
          <w:highlight w:val="none"/>
        </w:rPr>
        <w:t xml:space="preserve">包</w:t>
      </w:r>
      <w:r>
        <w:rPr>
          <w:rFonts w:hint="eastAsia" w:asciiTheme="majorEastAsia" w:hAnsiTheme="majorEastAsia" w:eastAsiaTheme="majorEastAsia" w:cstheme="majorEastAsia"/>
          <w:sz w:val="24"/>
          <w:szCs w:val="24"/>
          <w:highlight w:val="none"/>
        </w:rPr>
        <w:t xml:space="preserve">人履行主合</w:t>
      </w:r>
      <w:r>
        <w:rPr>
          <w:rFonts w:hint="eastAsia" w:asciiTheme="majorEastAsia" w:hAnsiTheme="majorEastAsia" w:eastAsiaTheme="majorEastAsia" w:cstheme="majorEastAsia"/>
          <w:spacing w:val="4"/>
          <w:sz w:val="24"/>
          <w:szCs w:val="24"/>
          <w:highlight w:val="none"/>
        </w:rPr>
        <w:t xml:space="preserve">同</w:t>
      </w:r>
      <w:r>
        <w:rPr>
          <w:rFonts w:hint="eastAsia" w:asciiTheme="majorEastAsia" w:hAnsiTheme="majorEastAsia" w:eastAsiaTheme="majorEastAsia" w:cstheme="majorEastAsia"/>
          <w:sz w:val="24"/>
          <w:szCs w:val="24"/>
          <w:highlight w:val="none"/>
        </w:rPr>
        <w:t xml:space="preserve">约定的工</w:t>
      </w:r>
      <w:r>
        <w:rPr>
          <w:rFonts w:hint="eastAsia" w:asciiTheme="majorEastAsia" w:hAnsiTheme="majorEastAsia" w:eastAsiaTheme="majorEastAsia" w:cstheme="majorEastAsia"/>
          <w:spacing w:val="4"/>
          <w:sz w:val="24"/>
          <w:szCs w:val="24"/>
          <w:highlight w:val="none"/>
        </w:rPr>
        <w:t xml:space="preserve">程</w:t>
      </w:r>
      <w:r>
        <w:rPr>
          <w:rFonts w:hint="eastAsia" w:asciiTheme="majorEastAsia" w:hAnsiTheme="majorEastAsia" w:eastAsiaTheme="majorEastAsia" w:cstheme="majorEastAsia"/>
          <w:sz w:val="24"/>
          <w:szCs w:val="24"/>
          <w:highlight w:val="none"/>
        </w:rPr>
        <w:t xml:space="preserve">款支付义</w:t>
      </w:r>
      <w:r>
        <w:rPr>
          <w:rFonts w:hint="eastAsia" w:asciiTheme="majorEastAsia" w:hAnsiTheme="majorEastAsia" w:eastAsiaTheme="majorEastAsia" w:cstheme="majorEastAsia"/>
          <w:spacing w:val="4"/>
          <w:sz w:val="24"/>
          <w:szCs w:val="24"/>
          <w:highlight w:val="none"/>
        </w:rPr>
        <w:t xml:space="preserve">务</w:t>
      </w:r>
      <w:r>
        <w:rPr>
          <w:rFonts w:hint="eastAsia" w:asciiTheme="majorEastAsia" w:hAnsiTheme="majorEastAsia" w:eastAsiaTheme="majorEastAsia" w:cstheme="majorEastAsia"/>
          <w:sz w:val="24"/>
          <w:szCs w:val="24"/>
          <w:highlight w:val="none"/>
        </w:rPr>
        <w:t xml:space="preserve">以保证的方</w:t>
      </w:r>
      <w:r>
        <w:rPr>
          <w:rFonts w:hint="eastAsia" w:asciiTheme="majorEastAsia" w:hAnsiTheme="majorEastAsia" w:eastAsiaTheme="majorEastAsia" w:cstheme="majorEastAsia"/>
          <w:spacing w:val="4"/>
          <w:sz w:val="24"/>
          <w:szCs w:val="24"/>
          <w:highlight w:val="none"/>
        </w:rPr>
        <w:t xml:space="preserve">式</w:t>
      </w:r>
      <w:r>
        <w:rPr>
          <w:rFonts w:hint="eastAsia" w:asciiTheme="majorEastAsia" w:hAnsiTheme="majorEastAsia" w:eastAsiaTheme="majorEastAsia" w:cstheme="majorEastAsia"/>
          <w:sz w:val="24"/>
          <w:szCs w:val="24"/>
          <w:highlight w:val="none"/>
        </w:rPr>
        <w:t xml:space="preserve">向你方提供如下担保：</w:t>
      </w:r>
      <w:r/>
    </w:p>
    <w:p>
      <w:pPr>
        <w:ind w:left="1223"/>
        <w:spacing w:line="305"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一、保证的范围及保证金额</w:t>
      </w:r>
      <w:r/>
    </w:p>
    <w:p>
      <w:pPr>
        <w:pStyle w:val="1144"/>
        <w:numPr>
          <w:ilvl w:val="0"/>
          <w:numId w:val="3"/>
        </w:numPr>
        <w:ind w:hanging="301"/>
        <w:spacing w:before="160"/>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我方的保证范围是主合同约定的工程款。</w:t>
      </w:r>
      <w:r/>
    </w:p>
    <w:p>
      <w:pPr>
        <w:pStyle w:val="1144"/>
        <w:numPr>
          <w:ilvl w:val="0"/>
          <w:numId w:val="3"/>
        </w:numPr>
        <w:ind w:left="743" w:right="752" w:firstLine="480"/>
        <w:spacing w:before="158"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本保函所称主合同约定的工程款是指主合同约定的除工程质量保证金以外的合同价款。</w:t>
      </w:r>
      <w:r/>
    </w:p>
    <w:p>
      <w:pPr>
        <w:pStyle w:val="1144"/>
        <w:numPr>
          <w:ilvl w:val="0"/>
          <w:numId w:val="3"/>
        </w:numPr>
        <w:ind w:left="743" w:right="752" w:firstLine="480"/>
        <w:spacing w:line="364" w:lineRule="auto"/>
        <w:tabs>
          <w:tab w:val="left" w:pos="1526" w:leader="none"/>
          <w:tab w:val="left" w:pos="2183" w:leader="none"/>
          <w:tab w:val="left" w:pos="662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我方保证的金额是主合同约定的工程款的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%，数额最高不超过人民币元（</w:t>
      </w:r>
      <w:r>
        <w:rPr>
          <w:rFonts w:hint="eastAsia" w:asciiTheme="majorEastAsia" w:hAnsiTheme="majorEastAsia" w:eastAsiaTheme="majorEastAsia" w:cstheme="majorEastAsia"/>
          <w:spacing w:val="-11"/>
          <w:sz w:val="24"/>
          <w:szCs w:val="24"/>
          <w:highlight w:val="none"/>
        </w:rPr>
        <w:t xml:space="preserve">大</w:t>
      </w:r>
      <w:r>
        <w:rPr>
          <w:rFonts w:hint="eastAsia" w:asciiTheme="majorEastAsia" w:hAnsiTheme="majorEastAsia" w:eastAsiaTheme="majorEastAsia" w:cstheme="majorEastAsia"/>
          <w:sz w:val="24"/>
          <w:szCs w:val="24"/>
          <w:highlight w:val="none"/>
        </w:rPr>
        <w:t xml:space="preserve">写：</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二、保证的方式及保证期间</w:t>
      </w:r>
      <w:r/>
    </w:p>
    <w:p>
      <w:pPr>
        <w:pStyle w:val="1144"/>
        <w:numPr>
          <w:ilvl w:val="0"/>
          <w:numId w:val="4"/>
        </w:numPr>
        <w:ind w:hanging="301"/>
        <w:spacing w:before="160"/>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我方保证的方式为：连带责任保证。</w:t>
      </w:r>
      <w:r/>
    </w:p>
    <w:p>
      <w:pPr>
        <w:pStyle w:val="1144"/>
        <w:numPr>
          <w:ilvl w:val="0"/>
          <w:numId w:val="4"/>
        </w:numPr>
        <w:ind w:left="743" w:right="750" w:firstLine="480"/>
        <w:spacing w:before="160" w:line="362" w:lineRule="auto"/>
        <w:tabs>
          <w:tab w:val="left" w:pos="153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6"/>
          <w:sz w:val="24"/>
          <w:szCs w:val="24"/>
          <w:highlight w:val="none"/>
        </w:rPr>
        <w:t xml:space="preserve">我方保证的期间为：自本合同生效之日起至主合同约定的工程款支付完毕之日后日内。</w:t>
      </w:r>
      <w:r/>
    </w:p>
    <w:p>
      <w:pPr>
        <w:pStyle w:val="1144"/>
        <w:numPr>
          <w:ilvl w:val="0"/>
          <w:numId w:val="4"/>
        </w:numPr>
        <w:ind w:left="743" w:right="752" w:firstLine="480"/>
        <w:spacing w:before="3"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你方与发包人协议变更工程款支付日期的，经我方书面同意后，保证期间按照变更后的支付日期做相应调整。</w:t>
      </w:r>
      <w:r/>
    </w:p>
    <w:p>
      <w:pPr>
        <w:ind w:left="1223"/>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三、承担保证责任的形式</w:t>
      </w:r>
      <w:r/>
    </w:p>
    <w:p>
      <w:pPr>
        <w:ind w:left="743" w:right="753" w:firstLine="480"/>
        <w:spacing w:before="158"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我方承担保证责任的形式是代为支付。发包人未按主合同约定向你方支付工程款的， 由我方在保证金额内代为支付。</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四、代偿的安排</w:t>
      </w:r>
      <w:r/>
    </w:p>
    <w:p>
      <w:pPr>
        <w:pStyle w:val="1144"/>
        <w:numPr>
          <w:ilvl w:val="0"/>
          <w:numId w:val="5"/>
        </w:numPr>
        <w:ind w:right="752" w:firstLine="480"/>
        <w:spacing w:before="160" w:line="362"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pStyle w:val="1144"/>
        <w:numPr>
          <w:ilvl w:val="0"/>
          <w:numId w:val="5"/>
        </w:numPr>
        <w:ind w:right="632" w:firstLine="480"/>
        <w:spacing w:before="5" w:line="364" w:lineRule="auto"/>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5"/>
          <w:sz w:val="24"/>
          <w:szCs w:val="24"/>
          <w:highlight w:val="none"/>
        </w:rPr>
        <w:t xml:space="preserve">在出现你方与发包人因工程质量发生争议，发包人拒绝向你方支付工程款的情形时， </w:t>
      </w:r>
      <w:r>
        <w:rPr>
          <w:rFonts w:hint="eastAsia" w:asciiTheme="majorEastAsia" w:hAnsiTheme="majorEastAsia" w:eastAsiaTheme="majorEastAsia" w:cstheme="majorEastAsia"/>
          <w:sz w:val="24"/>
          <w:szCs w:val="24"/>
          <w:highlight w:val="none"/>
        </w:rPr>
        <w:t xml:space="preserve">你方要求我方履行保证责任代为支付的，需提供符合相应条件要求的工程质量检测机构出具的质量说明材料。</w:t>
      </w:r>
      <w:r/>
    </w:p>
    <w:p>
      <w:pPr>
        <w:spacing w:line="364" w:lineRule="auto"/>
        <w:rPr>
          <w:rFonts w:asciiTheme="majorEastAsia" w:hAnsiTheme="majorEastAsia" w:eastAsiaTheme="majorEastAsia" w:cstheme="majorEastAsia"/>
          <w:sz w:val="24"/>
          <w:szCs w:val="24"/>
          <w:highlight w:val="none"/>
        </w:rPr>
        <w:sectPr>
          <w:footerReference w:type="default" r:id="rId17"/>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1144"/>
        <w:numPr>
          <w:ilvl w:val="0"/>
          <w:numId w:val="5"/>
        </w:numPr>
        <w:ind w:left="1523" w:hanging="301"/>
        <w:jc w:val="both"/>
        <w:spacing w:before="64"/>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我方收到你方的书面索赔通知及相应的证明材料后７天内无条件支付。</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五、保证责任的解除</w:t>
      </w:r>
      <w:r/>
    </w:p>
    <w:p>
      <w:pPr>
        <w:pStyle w:val="1144"/>
        <w:numPr>
          <w:ilvl w:val="0"/>
          <w:numId w:val="6"/>
        </w:numPr>
        <w:ind w:right="752" w:firstLine="480"/>
        <w:spacing w:before="160"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在本保函承诺的保证期间内，你方未书面向我方主张保证责任的，自保证期间届满次日起，我方保证责任解除。</w:t>
      </w:r>
      <w:r/>
    </w:p>
    <w:p>
      <w:pPr>
        <w:pStyle w:val="1144"/>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发包人按主合同约定履行了工程款的全部支付义务的，自本保函承诺的保证期间届满次日起，我方保证责任解除。</w:t>
      </w:r>
      <w:r/>
    </w:p>
    <w:p>
      <w:pPr>
        <w:pStyle w:val="1144"/>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我方按照本保函向你方履行保证责任所支付金额达到本保函保证金额时，自我方向你方支付（支付款项从我方账户划出）之日起，保证责任即解除。</w:t>
      </w:r>
      <w:r/>
    </w:p>
    <w:p>
      <w:pPr>
        <w:pStyle w:val="1144"/>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按照法律法规的规定或出现应解除我方保证责任的其他情形的，我方在本保函项下的保证责任亦解除。</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numPr>
          <w:ilvl w:val="0"/>
          <w:numId w:val="6"/>
        </w:numPr>
        <w:ind w:right="752" w:firstLine="480"/>
        <w:spacing w:before="1" w:line="362"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我方解除保证责任后，你方应自我方保证责任解除之日起 个工作日内，将本保函原件返还我方。</w:t>
      </w:r>
      <w:r/>
    </w:p>
    <w:p>
      <w:pPr>
        <w:ind w:left="1223"/>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六、免责条款</w:t>
      </w:r>
      <w:r/>
    </w:p>
    <w:p>
      <w:pPr>
        <w:pStyle w:val="1144"/>
        <w:numPr>
          <w:ilvl w:val="0"/>
          <w:numId w:val="7"/>
        </w:numPr>
        <w:ind w:hanging="301"/>
        <w:jc w:val="both"/>
        <w:spacing w:before="159"/>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因你方违约致使发包人不能履行义务的，我方不承担保证责任。</w:t>
      </w:r>
      <w:r/>
    </w:p>
    <w:p>
      <w:pPr>
        <w:pStyle w:val="1144"/>
        <w:numPr>
          <w:ilvl w:val="0"/>
          <w:numId w:val="7"/>
        </w:numPr>
        <w:ind w:left="743" w:right="752" w:firstLine="480"/>
        <w:jc w:val="both"/>
        <w:spacing w:before="160"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依照法律法规的规定或你方与发包人的另行约定，免除发包人部分或全部义务的， 我方亦免除其相应的保证责任。</w:t>
      </w:r>
      <w:r/>
    </w:p>
    <w:p>
      <w:pPr>
        <w:pStyle w:val="1144"/>
        <w:numPr>
          <w:ilvl w:val="0"/>
          <w:numId w:val="7"/>
        </w:numPr>
        <w:ind w:left="743" w:right="752" w:firstLine="480"/>
        <w:jc w:val="both"/>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你方与发包人协议变更主合同的，如加重发包人责任致使我方保证责任加重的，需</w:t>
      </w:r>
      <w:r>
        <w:rPr>
          <w:rFonts w:hint="eastAsia" w:asciiTheme="majorEastAsia" w:hAnsiTheme="majorEastAsia" w:eastAsiaTheme="majorEastAsia" w:cstheme="majorEastAsia"/>
          <w:spacing w:val="-4"/>
          <w:sz w:val="24"/>
          <w:szCs w:val="24"/>
          <w:highlight w:val="none"/>
        </w:rPr>
        <w:t xml:space="preserve">征得我方书面同意，否则我方不再承担因此而加重部分的保证责任，但主合同第 </w:t>
      </w:r>
      <w:r>
        <w:rPr>
          <w:rFonts w:hint="eastAsia" w:asciiTheme="majorEastAsia" w:hAnsiTheme="majorEastAsia" w:eastAsiaTheme="majorEastAsia" w:cstheme="majorEastAsia"/>
          <w:sz w:val="24"/>
          <w:szCs w:val="24"/>
          <w:highlight w:val="none"/>
        </w:rPr>
        <w:t xml:space="preserve">10 </w:t>
      </w:r>
      <w:r>
        <w:rPr>
          <w:rFonts w:hint="eastAsia" w:asciiTheme="majorEastAsia" w:hAnsiTheme="majorEastAsia" w:eastAsiaTheme="majorEastAsia" w:cstheme="majorEastAsia"/>
          <w:spacing w:val="-8"/>
          <w:sz w:val="24"/>
          <w:szCs w:val="24"/>
          <w:highlight w:val="none"/>
        </w:rPr>
        <w:t xml:space="preserve">条〔变</w:t>
      </w:r>
      <w:r>
        <w:rPr>
          <w:rFonts w:hint="eastAsia" w:asciiTheme="majorEastAsia" w:hAnsiTheme="majorEastAsia" w:eastAsiaTheme="majorEastAsia" w:cstheme="majorEastAsia"/>
          <w:sz w:val="24"/>
          <w:szCs w:val="24"/>
          <w:highlight w:val="none"/>
        </w:rPr>
        <w:t xml:space="preserve">更〕约定的变更不受本款限制。</w:t>
      </w:r>
      <w:r/>
    </w:p>
    <w:p>
      <w:pPr>
        <w:pStyle w:val="1144"/>
        <w:numPr>
          <w:ilvl w:val="0"/>
          <w:numId w:val="7"/>
        </w:numPr>
        <w:ind w:hanging="301"/>
        <w:jc w:val="both"/>
        <w:spacing w:line="307" w:lineRule="exact"/>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因不可抗力造成发包人不能履行义务的，我方不承担保证责任。</w:t>
      </w:r>
      <w:r/>
    </w:p>
    <w:p>
      <w:pPr>
        <w:ind w:left="1223"/>
        <w:spacing w:before="15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七、争议解决</w:t>
      </w:r>
      <w:r/>
    </w:p>
    <w:p>
      <w:pPr>
        <w:ind w:left="743" w:right="754" w:firstLine="480"/>
        <w:spacing w:before="1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因本保函或本保函相关事项发生的纠纷，可由双方协商解决，协商不成的，按下列第种方式解决：</w:t>
      </w:r>
      <w:r/>
    </w:p>
    <w:p>
      <w:pPr>
        <w:pStyle w:val="1144"/>
        <w:numPr>
          <w:ilvl w:val="0"/>
          <w:numId w:val="8"/>
        </w:numPr>
        <w:ind w:hanging="602"/>
        <w:spacing w:before="125"/>
        <w:tabs>
          <w:tab w:val="left" w:pos="1825" w:leader="none"/>
          <w:tab w:val="left" w:pos="45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向</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仲裁委员会申请仲裁；</w:t>
      </w:r>
      <w:r/>
    </w:p>
    <w:p>
      <w:pPr>
        <w:pStyle w:val="1144"/>
        <w:numPr>
          <w:ilvl w:val="0"/>
          <w:numId w:val="8"/>
        </w:numPr>
        <w:ind w:hanging="602"/>
        <w:spacing w:before="159"/>
        <w:tabs>
          <w:tab w:val="left" w:pos="1825" w:leader="none"/>
          <w:tab w:val="left" w:pos="45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向</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人民法院起诉。</w:t>
      </w:r>
      <w:r/>
    </w:p>
    <w:p>
      <w:pPr>
        <w:ind w:left="122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八、保函的生效</w:t>
      </w:r>
      <w:r/>
    </w:p>
    <w:p>
      <w:pP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br w:type="page" w:clear="all"/>
      </w:r>
      <w:r/>
    </w:p>
    <w:p>
      <w:pPr>
        <w:ind w:left="743" w:right="1820" w:firstLine="480"/>
        <w:spacing w:before="158" w:line="364" w:lineRule="auto"/>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highlight w:val="none"/>
        </w:rPr>
        <w:t xml:space="preserve">。</w:t>
      </w:r>
      <w:r>
        <w:rPr>
          <w:rFonts w:hint="eastAsia" w:asciiTheme="majorEastAsia" w:hAnsiTheme="majorEastAsia" w:eastAsiaTheme="majorEastAsia" w:cstheme="majorEastAsia"/>
          <w:sz w:val="24"/>
          <w:szCs w:val="24"/>
          <w:highlight w:val="none"/>
        </w:rPr>
        <w:t xml:space="preserve">担保人：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（盖章）</w:t>
      </w:r>
      <w:r/>
    </w:p>
    <w:p>
      <w:pPr>
        <w:ind w:left="743"/>
        <w:spacing w:line="306" w:lineRule="exact"/>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法定代表人或委托代理人：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（签字）</w:t>
      </w:r>
      <w:r/>
    </w:p>
    <w:p>
      <w:pPr>
        <w:ind w:left="743"/>
        <w:spacing w:line="306" w:lineRule="exact"/>
        <w:tabs>
          <w:tab w:val="left" w:pos="5903" w:leader="none"/>
        </w:tabs>
        <w:rPr>
          <w:rFonts w:asciiTheme="majorEastAsia" w:hAnsiTheme="majorEastAsia" w:eastAsiaTheme="majorEastAsia" w:cstheme="majorEastAsia"/>
          <w:spacing w:val="-17"/>
          <w:sz w:val="24"/>
          <w:szCs w:val="24"/>
          <w:highlight w:val="none"/>
          <w:lang w:val="en-US"/>
        </w:rPr>
      </w:pP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rPr>
          <w:rFonts w:hint="eastAsia" w:asciiTheme="majorEastAsia" w:hAnsiTheme="majorEastAsia" w:eastAsiaTheme="majorEastAsia" w:cstheme="majorEastAsia"/>
          <w:spacing w:val="-17"/>
          <w:sz w:val="24"/>
          <w:szCs w:val="24"/>
          <w:highlight w:val="none"/>
        </w:rPr>
        <w:t xml:space="preserve">：</w:t>
      </w:r>
      <w:r/>
    </w:p>
    <w:p>
      <w:pPr>
        <w:ind w:left="743"/>
        <w:spacing w:line="306" w:lineRule="exact"/>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pacing w:val="-17"/>
          <w:sz w:val="24"/>
          <w:szCs w:val="24"/>
          <w:highlight w:val="none"/>
        </w:rPr>
        <w:t xml:space="preserve">：</w:t>
      </w:r>
      <w:r/>
    </w:p>
    <w:p>
      <w:pPr>
        <w:ind w:left="743"/>
        <w:spacing w:before="5"/>
        <w:tabs>
          <w:tab w:val="left" w:pos="8353" w:leader="none"/>
          <w:tab w:val="left" w:pos="997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传真：</w:t>
      </w:r>
      <w:r/>
    </w:p>
    <w:p>
      <w:pPr>
        <w:ind w:left="743"/>
        <w:spacing w:before="160"/>
        <w:tabs>
          <w:tab w:val="left" w:pos="1943" w:leader="none"/>
          <w:tab w:val="left" w:pos="2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w:t>
      </w:r>
      <w:r/>
    </w:p>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10：</w:t>
      </w:r>
      <w:r/>
    </w:p>
    <w:p>
      <w:pPr>
        <w:pStyle w:val="1130"/>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7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11-1：材料暂估价表</w:t>
      </w:r>
      <w:r/>
    </w:p>
    <w:p>
      <w:pPr>
        <w:pStyle w:val="1130"/>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073" w:type="dxa"/>
        <w:tblInd w:w="9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61"/>
        </w:trPr>
        <w:tc>
          <w:tcPr>
            <w:tcBorders>
              <w:bottom w:val="single" w:color="000000" w:sz="2" w:space="0"/>
              <w:right w:val="single" w:color="000000" w:sz="6" w:space="0"/>
            </w:tcBorders>
            <w:tcW w:w="993" w:type="dxa"/>
            <w:textDirection w:val="lrTb"/>
            <w:noWrap w:val="false"/>
          </w:tcPr>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2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984" w:type="dxa"/>
            <w:textDirection w:val="lrTb"/>
            <w:noWrap w:val="false"/>
          </w:tcPr>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737" w:right="711"/>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851" w:type="dxa"/>
            <w:textDirection w:val="lrTb"/>
            <w:noWrap w:val="false"/>
          </w:tcPr>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19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774" w:type="dxa"/>
            <w:textDirection w:val="lrTb"/>
            <w:noWrap w:val="false"/>
          </w:tcPr>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15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352" w:type="dxa"/>
            <w:textDirection w:val="lrTb"/>
            <w:noWrap w:val="false"/>
          </w:tcPr>
          <w:p>
            <w:pPr>
              <w:pStyle w:val="1146"/>
              <w:ind w:left="44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w:t>
            </w:r>
            <w:r/>
          </w:p>
          <w:p>
            <w:pPr>
              <w:pStyle w:val="1146"/>
              <w:ind w:left="323"/>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1418" w:type="dxa"/>
            <w:textDirection w:val="lrTb"/>
            <w:noWrap w:val="false"/>
          </w:tcPr>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11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701" w:type="dxa"/>
            <w:textDirection w:val="lrTb"/>
            <w:noWrap w:val="false"/>
          </w:tcPr>
          <w:p>
            <w:pPr>
              <w:pStyle w:val="1146"/>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6"/>
              <w:ind w:left="596" w:right="562"/>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52"/>
        </w:trPr>
        <w:tc>
          <w:tcPr>
            <w:tcBorders>
              <w:top w:val="single" w:color="000000" w:sz="2" w:space="0"/>
              <w:bottom w:val="single" w:color="000000" w:sz="6" w:space="0"/>
              <w:right w:val="single" w:color="000000" w:sz="6" w:space="0"/>
            </w:tcBorders>
            <w:tcW w:w="99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984" w:type="dxa"/>
            <w:textDirection w:val="lrTb"/>
            <w:noWrap w:val="false"/>
          </w:tcPr>
          <w:p>
            <w:pPr>
              <w:pStyle w:val="1146"/>
              <w:ind w:left="26"/>
              <w:jc w:val="center"/>
              <w:spacing w:before="12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77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3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70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3"/>
        </w:trPr>
        <w:tc>
          <w:tcPr>
            <w:tcBorders>
              <w:top w:val="single" w:color="000000" w:sz="6" w:space="0"/>
              <w:bottom w:val="single" w:color="000000" w:sz="6" w:space="0"/>
              <w:right w:val="single" w:color="000000" w:sz="6" w:space="0"/>
            </w:tcBorders>
            <w:tcW w:w="99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993"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98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77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3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70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44"/>
        <w:numPr>
          <w:ilvl w:val="1"/>
          <w:numId w:val="9"/>
        </w:numPr>
        <w:ind w:right="7" w:hanging="4616"/>
        <w:tabs>
          <w:tab w:val="left" w:pos="461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：工程设备暂估价表</w:t>
      </w:r>
      <w:r/>
    </w:p>
    <w:p>
      <w:pPr>
        <w:pStyle w:val="1130"/>
        <w:spacing w:before="8"/>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639"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552"/>
        <w:gridCol w:w="1651"/>
        <w:gridCol w:w="1547"/>
      </w:tblGrid>
      <w:tr>
        <w:trPr>
          <w:trHeight w:val="430"/>
        </w:trPr>
        <w:tc>
          <w:tcPr>
            <w:tcBorders>
              <w:bottom w:val="single" w:color="000000" w:sz="2" w:space="0"/>
              <w:right w:val="single" w:color="000000" w:sz="6" w:space="0"/>
            </w:tcBorders>
            <w:tcW w:w="1055" w:type="dxa"/>
            <w:textDirection w:val="lrTb"/>
            <w:noWrap w:val="false"/>
          </w:tcPr>
          <w:p>
            <w:pPr>
              <w:pStyle w:val="1146"/>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1146"/>
              <w:ind w:left="801" w:right="772"/>
              <w:jc w:val="center"/>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1146"/>
              <w:ind w:left="21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1146"/>
              <w:ind w:left="17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552" w:type="dxa"/>
            <w:textDirection w:val="lrTb"/>
            <w:noWrap w:val="false"/>
          </w:tcPr>
          <w:p>
            <w:pPr>
              <w:pStyle w:val="1146"/>
              <w:ind w:left="183"/>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单价（元）</w:t>
            </w:r>
            <w:r/>
          </w:p>
        </w:tc>
        <w:tc>
          <w:tcPr>
            <w:tcBorders>
              <w:left w:val="single" w:color="000000" w:sz="6" w:space="0"/>
              <w:bottom w:val="single" w:color="000000" w:sz="2" w:space="0"/>
              <w:right w:val="single" w:color="000000" w:sz="6" w:space="0"/>
            </w:tcBorders>
            <w:tcW w:w="1651" w:type="dxa"/>
            <w:textDirection w:val="lrTb"/>
            <w:noWrap w:val="false"/>
          </w:tcPr>
          <w:p>
            <w:pPr>
              <w:pStyle w:val="1146"/>
              <w:ind w:left="232"/>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547" w:type="dxa"/>
            <w:textDirection w:val="lrTb"/>
            <w:noWrap w:val="false"/>
          </w:tcPr>
          <w:p>
            <w:pPr>
              <w:pStyle w:val="1146"/>
              <w:ind w:left="54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432"/>
        </w:trPr>
        <w:tc>
          <w:tcPr>
            <w:tcBorders>
              <w:top w:val="single" w:color="000000" w:sz="2"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1146"/>
              <w:ind w:left="29"/>
              <w:jc w:val="center"/>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6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54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3"/>
        </w:trPr>
        <w:tc>
          <w:tcPr>
            <w:tcBorders>
              <w:top w:val="single" w:color="000000" w:sz="6"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5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5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547"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1144"/>
        <w:numPr>
          <w:ilvl w:val="1"/>
          <w:numId w:val="9"/>
        </w:numPr>
        <w:ind w:right="7" w:hanging="4616"/>
        <w:spacing w:before="123"/>
        <w:tabs>
          <w:tab w:val="left" w:pos="461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：专业工程暂估价表</w:t>
      </w:r>
      <w:r/>
    </w:p>
    <w:p>
      <w:pPr>
        <w:pStyle w:val="1130"/>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1127"/>
        <w:tblW w:w="9640"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761"/>
        <w:gridCol w:w="1785"/>
        <w:gridCol w:w="1205"/>
      </w:tblGrid>
      <w:tr>
        <w:trPr>
          <w:trHeight w:val="431"/>
        </w:trPr>
        <w:tc>
          <w:tcPr>
            <w:tcBorders>
              <w:bottom w:val="single" w:color="000000" w:sz="2" w:space="0"/>
              <w:right w:val="single" w:color="000000" w:sz="6" w:space="0"/>
            </w:tcBorders>
            <w:tcW w:w="1055" w:type="dxa"/>
            <w:textDirection w:val="lrTb"/>
            <w:noWrap w:val="false"/>
          </w:tcPr>
          <w:p>
            <w:pPr>
              <w:pStyle w:val="1146"/>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1146"/>
              <w:ind w:left="801" w:right="772"/>
              <w:jc w:val="center"/>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1146"/>
              <w:ind w:left="21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1146"/>
              <w:ind w:left="17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761" w:type="dxa"/>
            <w:textDirection w:val="lrTb"/>
            <w:noWrap w:val="false"/>
          </w:tcPr>
          <w:p>
            <w:pPr>
              <w:pStyle w:val="1146"/>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单价（元）</w:t>
            </w:r>
            <w:r/>
          </w:p>
        </w:tc>
        <w:tc>
          <w:tcPr>
            <w:tcBorders>
              <w:left w:val="single" w:color="000000" w:sz="6" w:space="0"/>
              <w:bottom w:val="single" w:color="000000" w:sz="2" w:space="0"/>
              <w:right w:val="single" w:color="000000" w:sz="6" w:space="0"/>
            </w:tcBorders>
            <w:tcW w:w="1785" w:type="dxa"/>
            <w:textDirection w:val="lrTb"/>
            <w:noWrap w:val="false"/>
          </w:tcPr>
          <w:p>
            <w:pPr>
              <w:pStyle w:val="1146"/>
              <w:ind w:left="299"/>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205" w:type="dxa"/>
            <w:textDirection w:val="lrTb"/>
            <w:noWrap w:val="false"/>
          </w:tcPr>
          <w:p>
            <w:pPr>
              <w:pStyle w:val="1146"/>
              <w:ind w:left="369"/>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431"/>
        </w:trPr>
        <w:tc>
          <w:tcPr>
            <w:tcBorders>
              <w:top w:val="single" w:color="000000" w:sz="2"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1146"/>
              <w:ind w:left="29"/>
              <w:jc w:val="center"/>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76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78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20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0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0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105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2108"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04"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22"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761"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78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205" w:type="dxa"/>
            <w:textDirection w:val="lrTb"/>
            <w:noWrap w:val="false"/>
          </w:tcPr>
          <w:p>
            <w:pPr>
              <w:pStyle w:val="114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right="7"/>
        <w:jc w:val="center"/>
        <w:spacing w:before="64"/>
        <w:tabs>
          <w:tab w:val="left" w:pos="719" w:leader="none"/>
          <w:tab w:val="left" w:pos="143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诺</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书</w:t>
      </w:r>
      <w:r/>
    </w:p>
    <w:p>
      <w:pPr>
        <w:pStyle w:val="1130"/>
        <w:spacing w:before="9"/>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630" w:firstLine="516"/>
        <w:spacing w:line="364" w:lineRule="auto"/>
        <w:tabs>
          <w:tab w:val="left" w:pos="618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我单位建设的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项目</w:t>
      </w:r>
      <w:r>
        <w:rPr>
          <w:rFonts w:hint="eastAsia" w:asciiTheme="majorEastAsia" w:hAnsiTheme="majorEastAsia" w:eastAsiaTheme="majorEastAsia" w:cstheme="majorEastAsia"/>
          <w:spacing w:val="-58"/>
          <w:sz w:val="24"/>
          <w:szCs w:val="24"/>
          <w:highlight w:val="none"/>
        </w:rPr>
        <w:t xml:space="preserve">，</w:t>
      </w:r>
      <w:r>
        <w:rPr>
          <w:rFonts w:hint="eastAsia" w:asciiTheme="majorEastAsia" w:hAnsiTheme="majorEastAsia" w:eastAsiaTheme="majorEastAsia" w:cstheme="majorEastAsia"/>
          <w:sz w:val="24"/>
          <w:szCs w:val="24"/>
          <w:highlight w:val="none"/>
        </w:rPr>
        <w:t xml:space="preserve">根</w:t>
      </w:r>
      <w:r>
        <w:rPr>
          <w:rFonts w:hint="eastAsia" w:asciiTheme="majorEastAsia" w:hAnsiTheme="majorEastAsia" w:eastAsiaTheme="majorEastAsia" w:cstheme="majorEastAsia"/>
          <w:spacing w:val="-56"/>
          <w:sz w:val="24"/>
          <w:szCs w:val="24"/>
          <w:highlight w:val="none"/>
        </w:rPr>
        <w:t xml:space="preserve">据</w:t>
      </w:r>
      <w:r>
        <w:rPr>
          <w:rFonts w:hint="eastAsia" w:asciiTheme="majorEastAsia" w:hAnsiTheme="majorEastAsia" w:eastAsiaTheme="majorEastAsia" w:cstheme="majorEastAsia"/>
          <w:spacing w:val="-3"/>
          <w:sz w:val="24"/>
          <w:szCs w:val="24"/>
          <w:highlight w:val="none"/>
        </w:rPr>
        <w:t xml:space="preserve">《</w:t>
      </w:r>
      <w:r>
        <w:rPr>
          <w:rFonts w:hint="eastAsia" w:asciiTheme="majorEastAsia" w:hAnsiTheme="majorEastAsia" w:eastAsiaTheme="majorEastAsia" w:cstheme="majorEastAsia"/>
          <w:sz w:val="24"/>
          <w:szCs w:val="24"/>
          <w:highlight w:val="none"/>
        </w:rPr>
        <w:t xml:space="preserve">建筑法</w:t>
      </w:r>
      <w:r>
        <w:rPr>
          <w:rFonts w:hint="eastAsia" w:asciiTheme="majorEastAsia" w:hAnsiTheme="majorEastAsia" w:eastAsiaTheme="majorEastAsia" w:cstheme="majorEastAsia"/>
          <w:spacing w:val="-58"/>
          <w:sz w:val="24"/>
          <w:szCs w:val="24"/>
          <w:highlight w:val="none"/>
        </w:rPr>
        <w:t xml:space="preserve">》</w:t>
      </w:r>
      <w:r>
        <w:rPr>
          <w:rFonts w:hint="eastAsia" w:asciiTheme="majorEastAsia" w:hAnsiTheme="majorEastAsia" w:eastAsiaTheme="majorEastAsia" w:cstheme="majorEastAsia"/>
          <w:spacing w:val="-113"/>
          <w:sz w:val="24"/>
          <w:szCs w:val="24"/>
          <w:highlight w:val="none"/>
        </w:rPr>
        <w:t xml:space="preserve">、</w:t>
      </w:r>
      <w:r>
        <w:rPr>
          <w:rFonts w:hint="eastAsia" w:asciiTheme="majorEastAsia" w:hAnsiTheme="majorEastAsia" w:eastAsiaTheme="majorEastAsia" w:cstheme="majorEastAsia"/>
          <w:spacing w:val="-3"/>
          <w:sz w:val="24"/>
          <w:szCs w:val="24"/>
          <w:highlight w:val="none"/>
        </w:rPr>
        <w:t xml:space="preserve">《</w:t>
      </w:r>
      <w:r>
        <w:rPr>
          <w:rFonts w:hint="eastAsia" w:asciiTheme="majorEastAsia" w:hAnsiTheme="majorEastAsia" w:eastAsiaTheme="majorEastAsia" w:cstheme="majorEastAsia"/>
          <w:sz w:val="24"/>
          <w:szCs w:val="24"/>
          <w:highlight w:val="none"/>
        </w:rPr>
        <w:t xml:space="preserve">招标投标法</w:t>
      </w:r>
      <w:r>
        <w:rPr>
          <w:rFonts w:hint="eastAsia" w:asciiTheme="majorEastAsia" w:hAnsiTheme="majorEastAsia" w:eastAsiaTheme="majorEastAsia" w:cstheme="majorEastAsia"/>
          <w:spacing w:val="-120"/>
          <w:sz w:val="24"/>
          <w:szCs w:val="24"/>
          <w:highlight w:val="none"/>
        </w:rPr>
        <w:t xml:space="preserve">》</w:t>
      </w:r>
      <w:r>
        <w:rPr>
          <w:rFonts w:hint="eastAsia" w:asciiTheme="majorEastAsia" w:hAnsiTheme="majorEastAsia" w:eastAsiaTheme="majorEastAsia" w:cstheme="majorEastAsia"/>
          <w:spacing w:val="-14"/>
          <w:sz w:val="24"/>
          <w:szCs w:val="24"/>
          <w:highlight w:val="none"/>
        </w:rPr>
        <w:t xml:space="preserve">、</w:t>
      </w:r>
      <w:r>
        <w:rPr>
          <w:rFonts w:hint="eastAsia" w:asciiTheme="majorEastAsia" w:hAnsiTheme="majorEastAsia" w:eastAsiaTheme="majorEastAsia" w:cstheme="majorEastAsia"/>
          <w:sz w:val="24"/>
          <w:szCs w:val="24"/>
          <w:highlight w:val="none"/>
        </w:rPr>
        <w:t xml:space="preserve">相关税法及国务院关于“双清”工作的有关规定</w:t>
      </w:r>
      <w:r>
        <w:rPr>
          <w:rFonts w:hint="eastAsia" w:asciiTheme="majorEastAsia" w:hAnsiTheme="majorEastAsia" w:eastAsiaTheme="majorEastAsia" w:cstheme="majorEastAsia"/>
          <w:spacing w:val="-53"/>
          <w:sz w:val="24"/>
          <w:szCs w:val="24"/>
          <w:highlight w:val="none"/>
        </w:rPr>
        <w:t xml:space="preserve">，</w:t>
      </w:r>
      <w:r>
        <w:rPr>
          <w:rFonts w:hint="eastAsia" w:asciiTheme="majorEastAsia" w:hAnsiTheme="majorEastAsia" w:eastAsiaTheme="majorEastAsia" w:cstheme="majorEastAsia"/>
          <w:sz w:val="24"/>
          <w:szCs w:val="24"/>
          <w:highlight w:val="none"/>
        </w:rPr>
        <w:t xml:space="preserve">该项目工程建设资金已落实</w:t>
      </w:r>
      <w:r>
        <w:rPr>
          <w:rFonts w:hint="eastAsia" w:asciiTheme="majorEastAsia" w:hAnsiTheme="majorEastAsia" w:eastAsiaTheme="majorEastAsia" w:cstheme="majorEastAsia"/>
          <w:spacing w:val="-53"/>
          <w:sz w:val="24"/>
          <w:szCs w:val="24"/>
          <w:highlight w:val="none"/>
        </w:rPr>
        <w:t xml:space="preserve">，</w:t>
      </w:r>
      <w:r>
        <w:rPr>
          <w:rFonts w:hint="eastAsia" w:asciiTheme="majorEastAsia" w:hAnsiTheme="majorEastAsia" w:eastAsiaTheme="majorEastAsia" w:cstheme="majorEastAsia"/>
          <w:sz w:val="24"/>
          <w:szCs w:val="24"/>
          <w:highlight w:val="none"/>
        </w:rPr>
        <w:t xml:space="preserve">我单位将对照合同条款约定按时向施工单位支付工程款</w:t>
      </w:r>
      <w:r>
        <w:rPr>
          <w:rFonts w:hint="eastAsia" w:asciiTheme="majorEastAsia" w:hAnsiTheme="majorEastAsia" w:eastAsiaTheme="majorEastAsia" w:cstheme="majorEastAsia"/>
          <w:spacing w:val="-51"/>
          <w:sz w:val="24"/>
          <w:szCs w:val="24"/>
          <w:highlight w:val="none"/>
        </w:rPr>
        <w:t xml:space="preserve">，</w:t>
      </w:r>
      <w:r>
        <w:rPr>
          <w:rFonts w:hint="eastAsia" w:asciiTheme="majorEastAsia" w:hAnsiTheme="majorEastAsia" w:eastAsiaTheme="majorEastAsia" w:cstheme="majorEastAsia"/>
          <w:sz w:val="24"/>
          <w:szCs w:val="24"/>
          <w:highlight w:val="none"/>
        </w:rPr>
        <w:t xml:space="preserve">不另签订“黑白合同</w:t>
      </w:r>
      <w:r>
        <w:rPr>
          <w:rFonts w:hint="eastAsia" w:asciiTheme="majorEastAsia" w:hAnsiTheme="majorEastAsia" w:eastAsiaTheme="majorEastAsia" w:cstheme="majorEastAsia"/>
          <w:spacing w:val="-26"/>
          <w:sz w:val="24"/>
          <w:szCs w:val="24"/>
          <w:highlight w:val="none"/>
        </w:rPr>
        <w:t xml:space="preserve">”，</w:t>
      </w:r>
      <w:r>
        <w:rPr>
          <w:rFonts w:hint="eastAsia" w:asciiTheme="majorEastAsia" w:hAnsiTheme="majorEastAsia" w:eastAsiaTheme="majorEastAsia" w:cstheme="majorEastAsia"/>
          <w:sz w:val="24"/>
          <w:szCs w:val="24"/>
          <w:highlight w:val="none"/>
        </w:rPr>
        <w:t xml:space="preserve">并督促施工单位按照国家有关</w:t>
      </w:r>
      <w:r>
        <w:rPr>
          <w:rFonts w:hint="eastAsia" w:asciiTheme="majorEastAsia" w:hAnsiTheme="majorEastAsia" w:eastAsiaTheme="majorEastAsia" w:cstheme="majorEastAsia"/>
          <w:spacing w:val="4"/>
          <w:sz w:val="24"/>
          <w:szCs w:val="24"/>
          <w:highlight w:val="none"/>
        </w:rPr>
        <w:t xml:space="preserve">规</w:t>
      </w:r>
      <w:r>
        <w:rPr>
          <w:rFonts w:hint="eastAsia" w:asciiTheme="majorEastAsia" w:hAnsiTheme="majorEastAsia" w:eastAsiaTheme="majorEastAsia" w:cstheme="majorEastAsia"/>
          <w:sz w:val="24"/>
          <w:szCs w:val="24"/>
          <w:highlight w:val="none"/>
        </w:rPr>
        <w:t xml:space="preserve">定支付民工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资，若该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程项目出现</w:t>
      </w:r>
      <w:r>
        <w:rPr>
          <w:rFonts w:hint="eastAsia" w:asciiTheme="majorEastAsia" w:hAnsiTheme="majorEastAsia" w:eastAsiaTheme="majorEastAsia" w:cstheme="majorEastAsia"/>
          <w:spacing w:val="4"/>
          <w:sz w:val="24"/>
          <w:szCs w:val="24"/>
          <w:highlight w:val="none"/>
        </w:rPr>
        <w:t xml:space="preserve">拖</w:t>
      </w:r>
      <w:r>
        <w:rPr>
          <w:rFonts w:hint="eastAsia" w:asciiTheme="majorEastAsia" w:hAnsiTheme="majorEastAsia" w:eastAsiaTheme="majorEastAsia" w:cstheme="majorEastAsia"/>
          <w:sz w:val="24"/>
          <w:szCs w:val="24"/>
          <w:highlight w:val="none"/>
        </w:rPr>
        <w:t xml:space="preserve">欠工程款</w:t>
      </w:r>
      <w:r>
        <w:rPr>
          <w:rFonts w:hint="eastAsia" w:asciiTheme="majorEastAsia" w:hAnsiTheme="majorEastAsia" w:eastAsiaTheme="majorEastAsia" w:cstheme="majorEastAsia"/>
          <w:spacing w:val="4"/>
          <w:sz w:val="24"/>
          <w:szCs w:val="24"/>
          <w:highlight w:val="none"/>
        </w:rPr>
        <w:t xml:space="preserve">或</w:t>
      </w:r>
      <w:r>
        <w:rPr>
          <w:rFonts w:hint="eastAsia" w:asciiTheme="majorEastAsia" w:hAnsiTheme="majorEastAsia" w:eastAsiaTheme="majorEastAsia" w:cstheme="majorEastAsia"/>
          <w:sz w:val="24"/>
          <w:szCs w:val="24"/>
          <w:highlight w:val="none"/>
        </w:rPr>
        <w:t xml:space="preserve">拖欠民工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资由我单位</w:t>
      </w:r>
      <w:r>
        <w:rPr>
          <w:rFonts w:hint="eastAsia" w:asciiTheme="majorEastAsia" w:hAnsiTheme="majorEastAsia" w:eastAsiaTheme="majorEastAsia" w:cstheme="majorEastAsia"/>
          <w:spacing w:val="4"/>
          <w:sz w:val="24"/>
          <w:szCs w:val="24"/>
          <w:highlight w:val="none"/>
        </w:rPr>
        <w:t xml:space="preserve">负</w:t>
      </w:r>
      <w:r>
        <w:rPr>
          <w:rFonts w:hint="eastAsia" w:asciiTheme="majorEastAsia" w:hAnsiTheme="majorEastAsia" w:eastAsiaTheme="majorEastAsia" w:cstheme="majorEastAsia"/>
          <w:sz w:val="24"/>
          <w:szCs w:val="24"/>
          <w:highlight w:val="none"/>
        </w:rPr>
        <w:t xml:space="preserve">责协调解决</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同时我单位</w:t>
      </w:r>
      <w:r>
        <w:rPr>
          <w:rFonts w:hint="eastAsia" w:asciiTheme="majorEastAsia" w:hAnsiTheme="majorEastAsia" w:eastAsiaTheme="majorEastAsia" w:cstheme="majorEastAsia"/>
          <w:spacing w:val="4"/>
          <w:sz w:val="24"/>
          <w:szCs w:val="24"/>
          <w:highlight w:val="none"/>
        </w:rPr>
        <w:t xml:space="preserve">承</w:t>
      </w:r>
      <w:r>
        <w:rPr>
          <w:rFonts w:hint="eastAsia" w:asciiTheme="majorEastAsia" w:hAnsiTheme="majorEastAsia" w:eastAsiaTheme="majorEastAsia" w:cstheme="majorEastAsia"/>
          <w:sz w:val="24"/>
          <w:szCs w:val="24"/>
          <w:highlight w:val="none"/>
        </w:rPr>
        <w:t xml:space="preserve">诺将该工</w:t>
      </w:r>
      <w:r>
        <w:rPr>
          <w:rFonts w:hint="eastAsia" w:asciiTheme="majorEastAsia" w:hAnsiTheme="majorEastAsia" w:eastAsiaTheme="majorEastAsia" w:cstheme="majorEastAsia"/>
          <w:spacing w:val="4"/>
          <w:sz w:val="24"/>
          <w:szCs w:val="24"/>
          <w:highlight w:val="none"/>
        </w:rPr>
        <w:t xml:space="preserve">程</w:t>
      </w:r>
      <w:r>
        <w:rPr>
          <w:rFonts w:hint="eastAsia" w:asciiTheme="majorEastAsia" w:hAnsiTheme="majorEastAsia" w:eastAsiaTheme="majorEastAsia" w:cstheme="majorEastAsia"/>
          <w:sz w:val="24"/>
          <w:szCs w:val="24"/>
          <w:highlight w:val="none"/>
        </w:rPr>
        <w:t xml:space="preserve">的所有项目</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包括市政</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土建、装</w:t>
      </w:r>
      <w:r>
        <w:rPr>
          <w:rFonts w:hint="eastAsia" w:asciiTheme="majorEastAsia" w:hAnsiTheme="majorEastAsia" w:eastAsiaTheme="majorEastAsia" w:cstheme="majorEastAsia"/>
          <w:spacing w:val="4"/>
          <w:sz w:val="24"/>
          <w:szCs w:val="24"/>
          <w:highlight w:val="none"/>
        </w:rPr>
        <w:t xml:space="preserve">饰</w:t>
      </w:r>
      <w:r>
        <w:rPr>
          <w:rFonts w:hint="eastAsia" w:asciiTheme="majorEastAsia" w:hAnsiTheme="majorEastAsia" w:eastAsiaTheme="majorEastAsia" w:cstheme="majorEastAsia"/>
          <w:sz w:val="24"/>
          <w:szCs w:val="24"/>
          <w:highlight w:val="none"/>
        </w:rPr>
        <w:t xml:space="preserve">装潢、机电</w:t>
      </w:r>
      <w:r>
        <w:rPr>
          <w:rFonts w:hint="eastAsia" w:asciiTheme="majorEastAsia" w:hAnsiTheme="majorEastAsia" w:eastAsiaTheme="majorEastAsia" w:cstheme="majorEastAsia"/>
          <w:spacing w:val="4"/>
          <w:sz w:val="24"/>
          <w:szCs w:val="24"/>
          <w:highlight w:val="none"/>
        </w:rPr>
        <w:t xml:space="preserve">设</w:t>
      </w:r>
      <w:r>
        <w:rPr>
          <w:rFonts w:hint="eastAsia" w:asciiTheme="majorEastAsia" w:hAnsiTheme="majorEastAsia" w:eastAsiaTheme="majorEastAsia" w:cstheme="majorEastAsia"/>
          <w:sz w:val="24"/>
          <w:szCs w:val="24"/>
          <w:highlight w:val="none"/>
        </w:rPr>
        <w:t xml:space="preserve">备、场地道</w:t>
      </w:r>
      <w:r>
        <w:rPr>
          <w:rFonts w:hint="eastAsia" w:asciiTheme="majorEastAsia" w:hAnsiTheme="majorEastAsia" w:eastAsiaTheme="majorEastAsia" w:cstheme="majorEastAsia"/>
          <w:spacing w:val="4"/>
          <w:sz w:val="24"/>
          <w:szCs w:val="24"/>
          <w:highlight w:val="none"/>
        </w:rPr>
        <w:t xml:space="preserve">路</w:t>
      </w:r>
      <w:r>
        <w:rPr>
          <w:rFonts w:hint="eastAsia" w:asciiTheme="majorEastAsia" w:hAnsiTheme="majorEastAsia" w:eastAsiaTheme="majorEastAsia" w:cstheme="majorEastAsia"/>
          <w:sz w:val="24"/>
          <w:szCs w:val="24"/>
          <w:highlight w:val="none"/>
        </w:rPr>
        <w:t xml:space="preserve">、土石方、</w:t>
      </w:r>
      <w:r>
        <w:rPr>
          <w:rFonts w:hint="eastAsia" w:asciiTheme="majorEastAsia" w:hAnsiTheme="majorEastAsia" w:eastAsiaTheme="majorEastAsia" w:cstheme="majorEastAsia"/>
          <w:spacing w:val="4"/>
          <w:sz w:val="24"/>
          <w:szCs w:val="24"/>
          <w:highlight w:val="none"/>
        </w:rPr>
        <w:t xml:space="preserve">园</w:t>
      </w:r>
      <w:r>
        <w:rPr>
          <w:rFonts w:hint="eastAsia" w:asciiTheme="majorEastAsia" w:hAnsiTheme="majorEastAsia" w:eastAsiaTheme="majorEastAsia" w:cstheme="majorEastAsia"/>
          <w:sz w:val="24"/>
          <w:szCs w:val="24"/>
          <w:highlight w:val="none"/>
        </w:rPr>
        <w:t xml:space="preserve">林绿化等</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统一纳入招</w:t>
      </w:r>
      <w:r>
        <w:rPr>
          <w:rFonts w:hint="eastAsia" w:asciiTheme="majorEastAsia" w:hAnsiTheme="majorEastAsia" w:eastAsiaTheme="majorEastAsia" w:cstheme="majorEastAsia"/>
          <w:spacing w:val="4"/>
          <w:sz w:val="24"/>
          <w:szCs w:val="24"/>
          <w:highlight w:val="none"/>
        </w:rPr>
        <w:t xml:space="preserve">投</w:t>
      </w:r>
      <w:r>
        <w:rPr>
          <w:rFonts w:hint="eastAsia" w:asciiTheme="majorEastAsia" w:hAnsiTheme="majorEastAsia" w:eastAsiaTheme="majorEastAsia" w:cstheme="majorEastAsia"/>
          <w:sz w:val="24"/>
          <w:szCs w:val="24"/>
          <w:highlight w:val="none"/>
        </w:rPr>
        <w:t xml:space="preserve">标管理，</w:t>
      </w:r>
      <w:r>
        <w:rPr>
          <w:rFonts w:hint="eastAsia" w:asciiTheme="majorEastAsia" w:hAnsiTheme="majorEastAsia" w:eastAsiaTheme="majorEastAsia" w:cstheme="majorEastAsia"/>
          <w:spacing w:val="4"/>
          <w:sz w:val="24"/>
          <w:szCs w:val="24"/>
          <w:highlight w:val="none"/>
        </w:rPr>
        <w:t xml:space="preserve">在</w:t>
      </w:r>
      <w:r>
        <w:rPr>
          <w:rFonts w:hint="eastAsia" w:asciiTheme="majorEastAsia" w:hAnsiTheme="majorEastAsia" w:eastAsiaTheme="majorEastAsia" w:cstheme="majorEastAsia"/>
          <w:sz w:val="24"/>
          <w:szCs w:val="24"/>
          <w:highlight w:val="none"/>
        </w:rPr>
        <w:t xml:space="preserve">建设过程</w:t>
      </w:r>
      <w:r>
        <w:rPr>
          <w:rFonts w:hint="eastAsia" w:asciiTheme="majorEastAsia" w:hAnsiTheme="majorEastAsia" w:eastAsiaTheme="majorEastAsia" w:cstheme="majorEastAsia"/>
          <w:spacing w:val="4"/>
          <w:sz w:val="24"/>
          <w:szCs w:val="24"/>
          <w:highlight w:val="none"/>
        </w:rPr>
        <w:t xml:space="preserve">中</w:t>
      </w:r>
      <w:r>
        <w:rPr>
          <w:rFonts w:hint="eastAsia" w:asciiTheme="majorEastAsia" w:hAnsiTheme="majorEastAsia" w:eastAsiaTheme="majorEastAsia" w:cstheme="majorEastAsia"/>
          <w:sz w:val="24"/>
          <w:szCs w:val="24"/>
          <w:highlight w:val="none"/>
        </w:rPr>
        <w:t xml:space="preserve">不出现商业</w:t>
      </w:r>
      <w:r>
        <w:rPr>
          <w:rFonts w:hint="eastAsia" w:asciiTheme="majorEastAsia" w:hAnsiTheme="majorEastAsia" w:eastAsiaTheme="majorEastAsia" w:cstheme="majorEastAsia"/>
          <w:spacing w:val="4"/>
          <w:sz w:val="24"/>
          <w:szCs w:val="24"/>
          <w:highlight w:val="none"/>
        </w:rPr>
        <w:t xml:space="preserve">贿</w:t>
      </w:r>
      <w:r>
        <w:rPr>
          <w:rFonts w:hint="eastAsia" w:asciiTheme="majorEastAsia" w:hAnsiTheme="majorEastAsia" w:eastAsiaTheme="majorEastAsia" w:cstheme="majorEastAsia"/>
          <w:sz w:val="24"/>
          <w:szCs w:val="24"/>
          <w:highlight w:val="none"/>
        </w:rPr>
        <w:t xml:space="preserve">赂的行为，</w:t>
      </w:r>
      <w:r>
        <w:rPr>
          <w:rFonts w:hint="eastAsia" w:asciiTheme="majorEastAsia" w:hAnsiTheme="majorEastAsia" w:eastAsiaTheme="majorEastAsia" w:cstheme="majorEastAsia"/>
          <w:spacing w:val="4"/>
          <w:sz w:val="24"/>
          <w:szCs w:val="24"/>
          <w:highlight w:val="none"/>
        </w:rPr>
        <w:t xml:space="preserve">强</w:t>
      </w:r>
      <w:r>
        <w:rPr>
          <w:rFonts w:hint="eastAsia" w:asciiTheme="majorEastAsia" w:hAnsiTheme="majorEastAsia" w:eastAsiaTheme="majorEastAsia" w:cstheme="majorEastAsia"/>
          <w:sz w:val="24"/>
          <w:szCs w:val="24"/>
          <w:highlight w:val="none"/>
        </w:rPr>
        <w:t xml:space="preserve">化对监理单</w:t>
      </w:r>
      <w:r>
        <w:rPr>
          <w:rFonts w:hint="eastAsia" w:asciiTheme="majorEastAsia" w:hAnsiTheme="majorEastAsia" w:eastAsiaTheme="majorEastAsia" w:cstheme="majorEastAsia"/>
          <w:spacing w:val="4"/>
          <w:sz w:val="24"/>
          <w:szCs w:val="24"/>
          <w:highlight w:val="none"/>
        </w:rPr>
        <w:t xml:space="preserve">位</w:t>
      </w:r>
      <w:r>
        <w:rPr>
          <w:rFonts w:hint="eastAsia" w:asciiTheme="majorEastAsia" w:hAnsiTheme="majorEastAsia" w:eastAsiaTheme="majorEastAsia" w:cstheme="majorEastAsia"/>
          <w:sz w:val="24"/>
          <w:szCs w:val="24"/>
          <w:highlight w:val="none"/>
        </w:rPr>
        <w:t xml:space="preserve">的监督管</w:t>
      </w:r>
      <w:r>
        <w:rPr>
          <w:rFonts w:hint="eastAsia" w:asciiTheme="majorEastAsia" w:hAnsiTheme="majorEastAsia" w:eastAsiaTheme="majorEastAsia" w:cstheme="majorEastAsia"/>
          <w:spacing w:val="4"/>
          <w:sz w:val="24"/>
          <w:szCs w:val="24"/>
          <w:highlight w:val="none"/>
        </w:rPr>
        <w:t xml:space="preserve">理</w:t>
      </w:r>
      <w:r>
        <w:rPr>
          <w:rFonts w:hint="eastAsia" w:asciiTheme="majorEastAsia" w:hAnsiTheme="majorEastAsia" w:eastAsiaTheme="majorEastAsia" w:cstheme="majorEastAsia"/>
          <w:sz w:val="24"/>
          <w:szCs w:val="24"/>
          <w:highlight w:val="none"/>
        </w:rPr>
        <w:t xml:space="preserve">，督促施工</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监理单位</w:t>
      </w:r>
      <w:r>
        <w:rPr>
          <w:rFonts w:hint="eastAsia" w:asciiTheme="majorEastAsia" w:hAnsiTheme="majorEastAsia" w:eastAsiaTheme="majorEastAsia" w:cstheme="majorEastAsia"/>
          <w:spacing w:val="4"/>
          <w:sz w:val="24"/>
          <w:szCs w:val="24"/>
          <w:highlight w:val="none"/>
        </w:rPr>
        <w:t xml:space="preserve">抓</w:t>
      </w:r>
      <w:r>
        <w:rPr>
          <w:rFonts w:hint="eastAsia" w:asciiTheme="majorEastAsia" w:hAnsiTheme="majorEastAsia" w:eastAsiaTheme="majorEastAsia" w:cstheme="majorEastAsia"/>
          <w:sz w:val="24"/>
          <w:szCs w:val="24"/>
          <w:highlight w:val="none"/>
        </w:rPr>
        <w:t xml:space="preserve">好工程质</w:t>
      </w:r>
      <w:r>
        <w:rPr>
          <w:rFonts w:hint="eastAsia" w:asciiTheme="majorEastAsia" w:hAnsiTheme="majorEastAsia" w:eastAsiaTheme="majorEastAsia" w:cstheme="majorEastAsia"/>
          <w:spacing w:val="4"/>
          <w:sz w:val="24"/>
          <w:szCs w:val="24"/>
          <w:highlight w:val="none"/>
        </w:rPr>
        <w:t xml:space="preserve">量</w:t>
      </w:r>
      <w:r>
        <w:rPr>
          <w:rFonts w:hint="eastAsia" w:asciiTheme="majorEastAsia" w:hAnsiTheme="majorEastAsia" w:eastAsiaTheme="majorEastAsia" w:cstheme="majorEastAsia"/>
          <w:sz w:val="24"/>
          <w:szCs w:val="24"/>
          <w:highlight w:val="none"/>
        </w:rPr>
        <w:t xml:space="preserve">和安全生产</w:t>
      </w:r>
      <w:r>
        <w:rPr>
          <w:rFonts w:hint="eastAsia" w:asciiTheme="majorEastAsia" w:hAnsiTheme="majorEastAsia" w:eastAsiaTheme="majorEastAsia" w:cstheme="majorEastAsia"/>
          <w:spacing w:val="4"/>
          <w:sz w:val="24"/>
          <w:szCs w:val="24"/>
          <w:highlight w:val="none"/>
        </w:rPr>
        <w:t xml:space="preserve">管</w:t>
      </w:r>
      <w:r>
        <w:rPr>
          <w:rFonts w:hint="eastAsia" w:asciiTheme="majorEastAsia" w:hAnsiTheme="majorEastAsia" w:eastAsiaTheme="majorEastAsia" w:cstheme="majorEastAsia"/>
          <w:sz w:val="24"/>
          <w:szCs w:val="24"/>
          <w:highlight w:val="none"/>
        </w:rPr>
        <w:t xml:space="preserve">理，自觉接受监督管理。</w:t>
      </w:r>
      <w:r/>
    </w:p>
    <w:p>
      <w:pPr>
        <w:ind w:left="743" w:right="641" w:firstLine="460"/>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如不能履行上述承诺，在该工程竣工时，可不给予办理竣工验收备案，对续建（新建） 项目可暂缓办理发包手续。</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411" w:right="1712" w:firstLine="1200"/>
        <w:spacing w:line="686"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承诺单位（建设单位章</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承诺单位法定代表人（签字或盖章</w:t>
      </w:r>
      <w:r>
        <w:rPr>
          <w:rFonts w:hint="eastAsia" w:asciiTheme="majorEastAsia" w:hAnsiTheme="majorEastAsia" w:eastAsiaTheme="majorEastAsia" w:cstheme="majorEastAsia"/>
          <w:spacing w:val="-17"/>
          <w:sz w:val="24"/>
          <w:szCs w:val="24"/>
          <w:highlight w:val="none"/>
        </w:rPr>
        <w:t xml:space="preserve">）</w:t>
      </w:r>
      <w:r/>
    </w:p>
    <w:p>
      <w:pPr>
        <w:ind w:right="1712"/>
        <w:jc w:val="right"/>
        <w:spacing w:before="3"/>
        <w:tabs>
          <w:tab w:val="left" w:pos="839" w:leader="none"/>
          <w:tab w:val="left" w:pos="167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日</w:t>
      </w:r>
      <w:r/>
    </w:p>
    <w:p>
      <w:pPr>
        <w:jc w:val="right"/>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right="7"/>
        <w:jc w:val="center"/>
        <w:spacing w:before="50"/>
        <w:tabs>
          <w:tab w:val="left" w:pos="719" w:leader="none"/>
          <w:tab w:val="left" w:pos="143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诺</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书</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1259"/>
        <w:tabs>
          <w:tab w:val="left" w:pos="641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我单位承接的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项目我单位郑重承诺：</w:t>
      </w:r>
      <w:r/>
    </w:p>
    <w:p>
      <w:pPr>
        <w:ind w:left="743" w:right="752"/>
        <w:spacing w:before="161"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5"/>
          <w:sz w:val="24"/>
          <w:szCs w:val="24"/>
          <w:highlight w:val="none"/>
        </w:rPr>
        <w:t xml:space="preserve">自觉遵守国家及江苏省、南京市和南京市江宁区有关法律法规和政策规定，按照</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pacing w:val="-4"/>
          <w:sz w:val="24"/>
          <w:szCs w:val="24"/>
          <w:highlight w:val="none"/>
        </w:rPr>
        <w:t xml:space="preserve">诚实守信” </w:t>
      </w:r>
      <w:r>
        <w:rPr>
          <w:rFonts w:hint="eastAsia" w:asciiTheme="majorEastAsia" w:hAnsiTheme="majorEastAsia" w:eastAsiaTheme="majorEastAsia" w:cstheme="majorEastAsia"/>
          <w:sz w:val="24"/>
          <w:szCs w:val="24"/>
          <w:highlight w:val="none"/>
        </w:rPr>
        <w:t xml:space="preserve">的原则，从事建设领域的生产经营活动。在办理中标通知书前向南京市江宁区人民政府秣陵街道办事处</w:t>
      </w:r>
      <w:r/>
    </w:p>
    <w:p>
      <w:pPr>
        <w:ind w:left="743" w:right="632"/>
        <w:spacing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7"/>
          <w:sz w:val="24"/>
          <w:szCs w:val="24"/>
          <w:highlight w:val="none"/>
        </w:rPr>
        <w:t xml:space="preserve">交纳诚信金；否则，作自愿放弃该项中标工程；交纳诚信保证金的比例为工程造价的 </w:t>
      </w:r>
      <w:r>
        <w:rPr>
          <w:rFonts w:hint="eastAsia" w:asciiTheme="majorEastAsia" w:hAnsiTheme="majorEastAsia" w:eastAsiaTheme="majorEastAsia" w:cstheme="majorEastAsia"/>
          <w:spacing w:val="-5"/>
          <w:sz w:val="24"/>
          <w:szCs w:val="24"/>
          <w:highlight w:val="none"/>
        </w:rPr>
        <w:t xml:space="preserve">10%， </w:t>
      </w:r>
      <w:r>
        <w:rPr>
          <w:rFonts w:hint="eastAsia" w:asciiTheme="majorEastAsia" w:hAnsiTheme="majorEastAsia" w:eastAsiaTheme="majorEastAsia" w:cstheme="majorEastAsia"/>
          <w:spacing w:val="-8"/>
          <w:sz w:val="24"/>
          <w:szCs w:val="24"/>
          <w:highlight w:val="none"/>
        </w:rPr>
        <w:t xml:space="preserve">保证金额最高为 </w:t>
      </w:r>
      <w:r>
        <w:rPr>
          <w:rFonts w:hint="eastAsia" w:asciiTheme="majorEastAsia" w:hAnsiTheme="majorEastAsia" w:eastAsiaTheme="majorEastAsia" w:cstheme="majorEastAsia"/>
          <w:sz w:val="24"/>
          <w:szCs w:val="24"/>
          <w:highlight w:val="none"/>
        </w:rPr>
        <w:t xml:space="preserve">100 万元。诚信保证金的范围是：在工程建设过程中守法经营，严格履行合同约定的条款，不出现非法转包、违法分包、挂靠、私招乱雇、商业贿赂等违法违规行为；强化工程质量、安全生产管理，不发生工程质量、安全生产责任事故；不拖欠分包工</w:t>
      </w:r>
      <w:r>
        <w:rPr>
          <w:rFonts w:hint="eastAsia" w:asciiTheme="majorEastAsia" w:hAnsiTheme="majorEastAsia" w:eastAsiaTheme="majorEastAsia" w:cstheme="majorEastAsia"/>
          <w:spacing w:val="-3"/>
          <w:sz w:val="24"/>
          <w:szCs w:val="24"/>
          <w:highlight w:val="none"/>
        </w:rPr>
        <w:t xml:space="preserve">程款和民工工资；依法在南京市江宁区属地纳税，并在属地的税收代征窗口开具税收发票。如出现违反上述承诺的失信行为，我单位自愿退出南京市江宁区建设市场，接受相应处罚。</w:t>
      </w:r>
      <w:r>
        <w:rPr>
          <w:rFonts w:hint="eastAsia" w:asciiTheme="majorEastAsia" w:hAnsiTheme="majorEastAsia" w:eastAsiaTheme="majorEastAsia" w:cstheme="majorEastAsia"/>
          <w:sz w:val="24"/>
          <w:szCs w:val="24"/>
          <w:highlight w:val="none"/>
        </w:rPr>
        <w:t xml:space="preserve">若发生拖欠民工工资事件，南京市江宁区人民政府秣陵街道办事处可在我单位交纳的诚信保证金中直接支付民工工资。</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78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承诺单位（投标单位章）：</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1130"/>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承诺单位法定代表人（签字或盖章）</w:t>
      </w:r>
      <w:r/>
    </w:p>
    <w:p>
      <w:pPr>
        <w:pStyle w:val="113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52"/>
        <w:jc w:val="right"/>
        <w:spacing w:before="196"/>
        <w:tabs>
          <w:tab w:val="left" w:pos="839" w:leader="none"/>
          <w:tab w:val="left" w:pos="167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日</w:t>
      </w:r>
      <w:r/>
    </w:p>
    <w:p>
      <w:pPr>
        <w:jc w:val="right"/>
        <w:rPr>
          <w:rFonts w:ascii="黑体" w:hAnsi="黑体" w:eastAsia="黑体" w:cs="黑体"/>
          <w:sz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24"/>
          <w:highlight w:val="none"/>
        </w:rPr>
      </w:r>
      <w:r/>
    </w:p>
    <w:p>
      <w:pPr>
        <w:ind w:right="9"/>
        <w:jc w:val="center"/>
        <w:spacing w:before="58"/>
        <w:rPr>
          <w:rFonts w:ascii="黑体" w:hAnsi="黑体" w:eastAsia="黑体" w:cs="黑体"/>
          <w:b/>
          <w:sz w:val="30"/>
          <w:highlight w:val="none"/>
        </w:rPr>
      </w:pPr>
      <w:r/>
      <w:bookmarkStart w:id="641" w:name="评分索引表"/>
      <w:r/>
      <w:bookmarkEnd w:id="641"/>
      <w:r/>
      <w:bookmarkStart w:id="642" w:name="第六章、竞争性磋商文件格式及附件"/>
      <w:r/>
      <w:bookmarkEnd w:id="642"/>
      <w:r/>
      <w:bookmarkStart w:id="643" w:name="_bookmark12"/>
      <w:r/>
      <w:bookmarkEnd w:id="643"/>
      <w:r/>
      <w:r/>
    </w:p>
    <w:p>
      <w:pPr>
        <w:ind w:right="9"/>
        <w:jc w:val="center"/>
        <w:spacing w:before="58"/>
        <w:rPr>
          <w:rFonts w:ascii="黑体" w:hAnsi="黑体" w:eastAsia="黑体" w:cs="黑体"/>
          <w:b/>
          <w:sz w:val="30"/>
          <w:highlight w:val="none"/>
        </w:rPr>
      </w:pPr>
      <w:r>
        <w:rPr>
          <w:rFonts w:hint="eastAsia" w:ascii="黑体" w:hAnsi="黑体" w:eastAsia="黑体" w:cs="黑体"/>
          <w:b/>
          <w:sz w:val="30"/>
          <w:highlight w:val="none"/>
        </w:rPr>
        <w:t xml:space="preserve">第六章、竞争性磋商文件格式及附件</w:t>
      </w:r>
      <w:r/>
    </w:p>
    <w:p>
      <w:pPr>
        <w:pStyle w:val="1130"/>
        <w:rPr>
          <w:rFonts w:ascii="黑体" w:hAnsi="黑体" w:eastAsia="黑体" w:cs="黑体"/>
          <w:b/>
          <w:sz w:val="30"/>
          <w:highlight w:val="none"/>
        </w:rPr>
      </w:pPr>
      <w:r>
        <w:rPr>
          <w:rFonts w:ascii="黑体" w:hAnsi="黑体" w:eastAsia="黑体" w:cs="黑体"/>
          <w:b/>
          <w:sz w:val="30"/>
          <w:highlight w:val="none"/>
        </w:rPr>
      </w:r>
      <w:r/>
    </w:p>
    <w:p>
      <w:pPr>
        <w:pStyle w:val="1130"/>
        <w:rPr>
          <w:rFonts w:ascii="黑体" w:hAnsi="黑体" w:eastAsia="黑体" w:cs="黑体"/>
          <w:b/>
          <w:sz w:val="30"/>
          <w:highlight w:val="none"/>
        </w:rPr>
      </w:pPr>
      <w:r>
        <w:rPr>
          <w:rFonts w:ascii="黑体" w:hAnsi="黑体" w:eastAsia="黑体" w:cs="黑体"/>
          <w:b/>
          <w:sz w:val="30"/>
          <w:highlight w:val="none"/>
        </w:rPr>
      </w:r>
      <w:r/>
    </w:p>
    <w:p>
      <w:pPr>
        <w:pStyle w:val="1130"/>
        <w:rPr>
          <w:rFonts w:ascii="黑体" w:hAnsi="黑体" w:eastAsia="黑体" w:cs="黑体"/>
          <w:b/>
          <w:sz w:val="30"/>
          <w:highlight w:val="none"/>
        </w:rPr>
      </w:pPr>
      <w:r>
        <w:rPr>
          <w:rFonts w:ascii="黑体" w:hAnsi="黑体" w:eastAsia="黑体" w:cs="黑体"/>
          <w:b/>
          <w:sz w:val="30"/>
          <w:highlight w:val="none"/>
        </w:rPr>
      </w:r>
      <w:r/>
    </w:p>
    <w:p>
      <w:pPr>
        <w:pStyle w:val="1130"/>
        <w:rPr>
          <w:rFonts w:ascii="黑体" w:hAnsi="黑体" w:eastAsia="黑体" w:cs="黑体"/>
          <w:b/>
          <w:sz w:val="30"/>
          <w:highlight w:val="none"/>
        </w:rPr>
      </w:pPr>
      <w:r>
        <w:rPr>
          <w:rFonts w:ascii="黑体" w:hAnsi="黑体" w:eastAsia="黑体" w:cs="黑体"/>
          <w:b/>
          <w:sz w:val="30"/>
          <w:highlight w:val="none"/>
        </w:rPr>
      </w:r>
      <w:r/>
    </w:p>
    <w:p>
      <w:pPr>
        <w:pStyle w:val="1130"/>
        <w:rPr>
          <w:rFonts w:ascii="黑体" w:hAnsi="黑体" w:eastAsia="黑体" w:cs="黑体"/>
          <w:b/>
          <w:sz w:val="30"/>
          <w:highlight w:val="none"/>
        </w:rPr>
      </w:pPr>
      <w:r>
        <w:rPr>
          <w:rFonts w:ascii="黑体" w:hAnsi="黑体" w:eastAsia="黑体" w:cs="黑体"/>
          <w:b/>
          <w:sz w:val="30"/>
          <w:highlight w:val="none"/>
        </w:rPr>
      </w:r>
      <w:r/>
    </w:p>
    <w:p>
      <w:pPr>
        <w:pStyle w:val="1130"/>
        <w:rPr>
          <w:rFonts w:ascii="黑体" w:hAnsi="黑体" w:eastAsia="黑体" w:cs="黑体"/>
          <w:b/>
          <w:sz w:val="30"/>
          <w:highlight w:val="none"/>
        </w:rPr>
      </w:pPr>
      <w:r>
        <w:rPr>
          <w:rFonts w:ascii="黑体" w:hAnsi="黑体" w:eastAsia="黑体" w:cs="黑体"/>
          <w:b/>
          <w:sz w:val="30"/>
          <w:highlight w:val="none"/>
        </w:rPr>
      </w:r>
      <w:r/>
    </w:p>
    <w:p>
      <w:pPr>
        <w:pStyle w:val="1130"/>
        <w:spacing w:before="4"/>
        <w:rPr>
          <w:rFonts w:ascii="黑体" w:hAnsi="黑体" w:eastAsia="黑体" w:cs="黑体"/>
          <w:b/>
          <w:sz w:val="39"/>
          <w:highlight w:val="none"/>
        </w:rPr>
      </w:pPr>
      <w:r>
        <w:rPr>
          <w:rFonts w:ascii="黑体" w:hAnsi="黑体" w:eastAsia="黑体" w:cs="黑体"/>
          <w:b/>
          <w:sz w:val="39"/>
          <w:highlight w:val="none"/>
        </w:rPr>
      </w:r>
      <w:r/>
    </w:p>
    <w:p>
      <w:pPr>
        <w:ind w:right="4"/>
        <w:jc w:val="center"/>
        <w:rPr>
          <w:rFonts w:ascii="黑体" w:hAnsi="黑体" w:eastAsia="黑体" w:cs="黑体"/>
          <w:b/>
          <w:sz w:val="72"/>
          <w:highlight w:val="none"/>
        </w:rPr>
      </w:pPr>
      <w:r>
        <w:rPr>
          <w:rFonts w:hint="eastAsia" w:ascii="黑体" w:hAnsi="黑体" w:eastAsia="黑体" w:cs="黑体"/>
          <w:b/>
          <w:sz w:val="72"/>
          <w:highlight w:val="none"/>
        </w:rPr>
        <w:t xml:space="preserve">竞争性磋商响应文件</w:t>
      </w:r>
      <w:r/>
    </w:p>
    <w:p>
      <w:pPr>
        <w:pStyle w:val="1130"/>
        <w:rPr>
          <w:rFonts w:ascii="黑体" w:hAnsi="黑体" w:eastAsia="黑体" w:cs="黑体"/>
          <w:b/>
          <w:sz w:val="72"/>
          <w:highlight w:val="none"/>
        </w:rPr>
      </w:pPr>
      <w:r>
        <w:rPr>
          <w:rFonts w:ascii="黑体" w:hAnsi="黑体" w:eastAsia="黑体" w:cs="黑体"/>
          <w:b/>
          <w:sz w:val="72"/>
          <w:highlight w:val="none"/>
        </w:rPr>
      </w:r>
      <w:r/>
    </w:p>
    <w:p>
      <w:pPr>
        <w:pStyle w:val="1130"/>
        <w:rPr>
          <w:rFonts w:ascii="黑体" w:hAnsi="黑体" w:eastAsia="黑体" w:cs="黑体"/>
          <w:b/>
          <w:sz w:val="72"/>
          <w:highlight w:val="none"/>
        </w:rPr>
      </w:pPr>
      <w:r>
        <w:rPr>
          <w:rFonts w:ascii="黑体" w:hAnsi="黑体" w:eastAsia="黑体" w:cs="黑体"/>
          <w:b/>
          <w:sz w:val="72"/>
          <w:highlight w:val="none"/>
        </w:rPr>
      </w:r>
      <w:r/>
    </w:p>
    <w:p>
      <w:pPr>
        <w:pStyle w:val="1130"/>
        <w:rPr>
          <w:rFonts w:ascii="黑体" w:hAnsi="黑体" w:eastAsia="黑体" w:cs="黑体"/>
          <w:b/>
          <w:sz w:val="72"/>
          <w:highlight w:val="none"/>
        </w:rPr>
      </w:pPr>
      <w:r>
        <w:rPr>
          <w:rFonts w:ascii="黑体" w:hAnsi="黑体" w:eastAsia="黑体" w:cs="黑体"/>
          <w:b/>
          <w:sz w:val="72"/>
          <w:highlight w:val="none"/>
        </w:rPr>
      </w:r>
      <w:r/>
    </w:p>
    <w:p>
      <w:pPr>
        <w:ind w:left="1823" w:right="6788"/>
        <w:jc w:val="both"/>
        <w:spacing w:before="505" w:line="364" w:lineRule="auto"/>
        <w:rPr>
          <w:rFonts w:ascii="黑体" w:hAnsi="黑体" w:eastAsia="黑体" w:cs="黑体"/>
          <w:b/>
          <w:sz w:val="36"/>
          <w:highlight w:val="none"/>
        </w:rPr>
      </w:pPr>
      <w:r>
        <w:rPr>
          <w:rFonts w:hint="eastAsia" w:ascii="黑体" w:hAnsi="黑体" w:eastAsia="黑体" w:cs="黑体"/>
          <w:b/>
          <w:spacing w:val="-3"/>
          <w:sz w:val="36"/>
          <w:highlight w:val="none"/>
        </w:rPr>
        <w:t xml:space="preserve">项 目 编 号： 项 目 名 称： </w:t>
      </w:r>
      <w:r>
        <w:rPr>
          <w:rFonts w:hint="eastAsia" w:ascii="黑体" w:hAnsi="黑体" w:eastAsia="黑体" w:cs="黑体"/>
          <w:b/>
          <w:spacing w:val="-2"/>
          <w:sz w:val="36"/>
          <w:highlight w:val="none"/>
        </w:rPr>
        <w:t xml:space="preserve">供 应 商 ： </w:t>
      </w:r>
      <w:r>
        <w:rPr>
          <w:rFonts w:hint="eastAsia" w:ascii="黑体" w:hAnsi="黑体" w:eastAsia="黑体" w:cs="黑体"/>
          <w:b/>
          <w:spacing w:val="-4"/>
          <w:sz w:val="36"/>
          <w:highlight w:val="none"/>
        </w:rPr>
        <w:t xml:space="preserve">日 期 ：</w:t>
      </w:r>
      <w:r/>
    </w:p>
    <w:p>
      <w:pPr>
        <w:jc w:val="both"/>
        <w:spacing w:line="364" w:lineRule="auto"/>
        <w:rPr>
          <w:rFonts w:ascii="黑体" w:hAnsi="黑体" w:eastAsia="黑体" w:cs="黑体"/>
          <w:sz w:val="36"/>
          <w:highlight w:val="none"/>
        </w:rPr>
        <w:sectPr>
          <w:headerReference w:type="default" r:id="rId12"/>
          <w:footerReference w:type="default" r:id="rId18"/>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36"/>
          <w:highlight w:val="none"/>
        </w:rPr>
      </w:r>
      <w:r/>
    </w:p>
    <w:p>
      <w:pPr>
        <w:ind w:right="9"/>
        <w:jc w:val="center"/>
        <w:spacing w:before="66"/>
        <w:rPr>
          <w:rFonts w:ascii="黑体" w:hAnsi="黑体" w:eastAsia="黑体" w:cs="黑体"/>
          <w:b/>
          <w:sz w:val="30"/>
          <w:highlight w:val="none"/>
        </w:rPr>
      </w:pPr>
      <w:r/>
      <w:bookmarkStart w:id="644" w:name="一、磋商申请及声明"/>
      <w:r/>
      <w:bookmarkEnd w:id="644"/>
      <w:r/>
      <w:bookmarkStart w:id="645" w:name="_bookmark13"/>
      <w:r/>
      <w:bookmarkEnd w:id="645"/>
      <w:r>
        <w:rPr>
          <w:rFonts w:hint="eastAsia" w:ascii="黑体" w:hAnsi="黑体" w:eastAsia="黑体" w:cs="黑体"/>
          <w:b/>
          <w:sz w:val="30"/>
          <w:highlight w:val="none"/>
        </w:rPr>
        <w:t xml:space="preserve">评分索引表</w:t>
      </w:r>
      <w:r/>
    </w:p>
    <w:tbl>
      <w:tblPr>
        <w:tblStyle w:val="1127"/>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1146"/>
              <w:ind w:left="2394" w:right="2385"/>
              <w:jc w:val="center"/>
              <w:spacing w:before="2" w:line="250" w:lineRule="exact"/>
              <w:rPr>
                <w:rFonts w:ascii="黑体" w:hAnsi="黑体" w:eastAsia="黑体" w:cs="黑体"/>
                <w:sz w:val="21"/>
                <w:highlight w:val="none"/>
              </w:rPr>
            </w:pPr>
            <w:r>
              <w:rPr>
                <w:rFonts w:hint="eastAsia" w:ascii="黑体" w:hAnsi="黑体" w:eastAsia="黑体" w:cs="黑体"/>
                <w:sz w:val="21"/>
                <w:highlight w:val="none"/>
              </w:rPr>
              <w:t xml:space="preserve">评分项目</w:t>
            </w:r>
            <w:r/>
          </w:p>
        </w:tc>
        <w:tc>
          <w:tcPr>
            <w:tcW w:w="3570" w:type="dxa"/>
            <w:textDirection w:val="lrTb"/>
            <w:noWrap w:val="false"/>
          </w:tcPr>
          <w:p>
            <w:pPr>
              <w:pStyle w:val="1146"/>
              <w:ind w:left="628"/>
              <w:spacing w:before="2" w:line="250" w:lineRule="exact"/>
              <w:rPr>
                <w:rFonts w:ascii="黑体" w:hAnsi="黑体" w:eastAsia="黑体" w:cs="黑体"/>
                <w:sz w:val="21"/>
                <w:highlight w:val="none"/>
              </w:rPr>
            </w:pPr>
            <w:r>
              <w:rPr>
                <w:rFonts w:hint="eastAsia" w:ascii="黑体" w:hAnsi="黑体" w:eastAsia="黑体" w:cs="黑体"/>
                <w:sz w:val="21"/>
                <w:highlight w:val="none"/>
              </w:rPr>
              <w:t xml:space="preserve">在投标文件中的页码位置</w:t>
            </w:r>
            <w:r/>
          </w:p>
        </w:tc>
      </w:tr>
      <w:tr>
        <w:trPr>
          <w:trHeight w:val="273"/>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1"/>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1146"/>
              <w:ind w:left="106"/>
              <w:spacing w:line="252" w:lineRule="exact"/>
              <w:rPr>
                <w:rFonts w:ascii="黑体" w:hAnsi="黑体" w:eastAsia="黑体" w:cs="黑体"/>
                <w:sz w:val="21"/>
                <w:highlight w:val="none"/>
              </w:rPr>
            </w:pPr>
            <w:r>
              <w:rPr>
                <w:rFonts w:hint="eastAsia" w:ascii="黑体" w:hAnsi="黑体" w:eastAsia="黑体" w:cs="黑体"/>
                <w:sz w:val="21"/>
                <w:highlight w:val="none"/>
              </w:rPr>
              <w:t xml:space="preserve">行数不够，自行添加</w:t>
            </w:r>
            <w:r/>
          </w:p>
        </w:tc>
        <w:tc>
          <w:tcPr>
            <w:tcW w:w="357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bl>
    <w:p>
      <w:pPr>
        <w:pStyle w:val="1130"/>
        <w:spacing w:before="8"/>
        <w:rPr>
          <w:rFonts w:ascii="黑体" w:hAnsi="黑体" w:eastAsia="黑体" w:cs="黑体"/>
          <w:b/>
          <w:sz w:val="28"/>
          <w:highlight w:val="none"/>
        </w:rPr>
      </w:pPr>
      <w:r>
        <w:rPr>
          <w:rFonts w:ascii="黑体" w:hAnsi="黑体" w:eastAsia="黑体" w:cs="黑体"/>
          <w:b/>
          <w:sz w:val="28"/>
          <w:highlight w:val="none"/>
        </w:rPr>
      </w:r>
      <w:r/>
    </w:p>
    <w:p>
      <w:pPr>
        <w:ind w:left="743" w:right="752"/>
        <w:spacing w:line="242" w:lineRule="auto"/>
        <w:rPr>
          <w:rFonts w:ascii="黑体" w:hAnsi="黑体" w:eastAsia="黑体" w:cs="黑体"/>
          <w:b/>
          <w:sz w:val="28"/>
          <w:highlight w:val="none"/>
        </w:rPr>
      </w:pPr>
      <w:r>
        <w:rPr>
          <w:rFonts w:hint="eastAsia" w:ascii="黑体" w:hAnsi="黑体" w:eastAsia="黑体" w:cs="黑体"/>
          <w:b/>
          <w:spacing w:val="-10"/>
          <w:sz w:val="28"/>
          <w:highlight w:val="none"/>
        </w:rPr>
        <w:t xml:space="preserve">注：建议投标供应商为《投标书》制作详细目录，并将该《评分索引表》放在  </w:t>
      </w:r>
      <w:r>
        <w:rPr>
          <w:rFonts w:hint="eastAsia" w:ascii="黑体" w:hAnsi="黑体" w:eastAsia="黑体" w:cs="黑体"/>
          <w:b/>
          <w:spacing w:val="-10"/>
          <w:sz w:val="28"/>
          <w:highlight w:val="none"/>
        </w:rPr>
        <w:t xml:space="preserve">投标书目录之前。</w:t>
      </w:r>
      <w:r/>
    </w:p>
    <w:p>
      <w:pPr>
        <w:spacing w:line="242" w:lineRule="auto"/>
        <w:rPr>
          <w:rFonts w:ascii="黑体" w:hAnsi="黑体" w:eastAsia="黑体" w:cs="黑体"/>
          <w:sz w:val="28"/>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28"/>
          <w:highlight w:val="none"/>
        </w:rPr>
      </w:r>
      <w:r/>
    </w:p>
    <w:p>
      <w:pPr>
        <w:pStyle w:val="1123"/>
        <w:ind w:left="743"/>
        <w:spacing w:before="62"/>
        <w:rPr>
          <w:rFonts w:ascii="黑体" w:hAnsi="黑体" w:eastAsia="黑体" w:cs="黑体"/>
          <w:highlight w:val="none"/>
        </w:rPr>
      </w:pPr>
      <w:r/>
      <w:bookmarkStart w:id="646" w:name="_bookmark14"/>
      <w:r/>
      <w:bookmarkEnd w:id="646"/>
      <w:r/>
      <w:bookmarkStart w:id="647" w:name="二、法定代表人授权委托书"/>
      <w:r/>
      <w:bookmarkEnd w:id="647"/>
      <w:r>
        <w:rPr>
          <w:rFonts w:hint="eastAsia" w:ascii="黑体" w:hAnsi="黑体" w:eastAsia="黑体" w:cs="黑体"/>
          <w:highlight w:val="none"/>
        </w:rPr>
        <w:t xml:space="preserve">一、磋商申请及声明</w:t>
      </w:r>
      <w:r/>
    </w:p>
    <w:p>
      <w:pPr>
        <w:ind w:left="743"/>
        <w:spacing w:before="336"/>
        <w:rPr>
          <w:rFonts w:ascii="黑体" w:hAnsi="黑体" w:eastAsia="黑体" w:cs="黑体"/>
          <w:b/>
          <w:sz w:val="44"/>
          <w:highlight w:val="none"/>
        </w:rPr>
      </w:pPr>
      <w:r>
        <w:rPr>
          <w:rFonts w:hint="eastAsia" w:ascii="黑体" w:hAnsi="黑体" w:eastAsia="黑体" w:cs="黑体"/>
          <w:highlight w:val="none"/>
        </w:rPr>
        <w:br w:type="column"/>
      </w:r>
      <w:r>
        <w:rPr>
          <w:rFonts w:hint="eastAsia" w:ascii="黑体" w:hAnsi="黑体" w:eastAsia="黑体" w:cs="黑体"/>
          <w:b/>
          <w:sz w:val="44"/>
          <w:highlight w:val="none"/>
        </w:rPr>
        <w:t xml:space="preserve">磋商申请及声明</w:t>
      </w:r>
      <w:r/>
    </w:p>
    <w:p>
      <w:pPr>
        <w:rPr>
          <w:rFonts w:ascii="黑体" w:hAnsi="黑体" w:eastAsia="黑体" w:cs="黑体"/>
          <w:sz w:val="44"/>
          <w:highlight w:val="none"/>
        </w:rPr>
        <w:sectPr>
          <w:footnotePr/>
          <w:endnotePr/>
          <w:type w:val="nextPage"/>
          <w:pgSz w:w="11910" w:h="16840" w:orient="portrait"/>
          <w:pgMar w:top="1340" w:right="380" w:bottom="1380" w:left="560" w:header="878" w:footer="1196" w:gutter="0"/>
          <w:cols w:num="2" w:sep="0" w:space="1701" w:equalWidth="0">
            <w:col w:w="2680" w:space="510"/>
            <w:col w:w="7780" w:space="0"/>
          </w:cols>
          <w:docGrid w:linePitch="360"/>
        </w:sectPr>
      </w:pPr>
      <w:r>
        <w:rPr>
          <w:rFonts w:ascii="黑体" w:hAnsi="黑体" w:eastAsia="黑体" w:cs="黑体"/>
          <w:sz w:val="44"/>
          <w:highlight w:val="none"/>
        </w:rPr>
      </w:r>
      <w:r/>
    </w:p>
    <w:p>
      <w:pPr>
        <w:pStyle w:val="1130"/>
        <w:ind w:left="743"/>
        <w:spacing w:before="5"/>
        <w:rPr>
          <w:rFonts w:ascii="黑体" w:hAnsi="黑体" w:eastAsia="黑体" w:cs="黑体"/>
          <w:highlight w:val="none"/>
        </w:rPr>
      </w:pPr>
      <w:r>
        <w:rPr>
          <w:rFonts w:hint="eastAsia" w:ascii="黑体" w:hAnsi="黑体" w:eastAsia="黑体" w:cs="黑体"/>
          <w:highlight w:val="none"/>
        </w:rPr>
        <w:t xml:space="preserve">致：南京市江宁区人民政府秣陵街道办事处</w:t>
      </w:r>
      <w:r/>
    </w:p>
    <w:p>
      <w:pPr>
        <w:pStyle w:val="1130"/>
        <w:ind w:left="743" w:right="745" w:firstLine="420"/>
        <w:spacing w:before="5" w:line="242" w:lineRule="auto"/>
        <w:tabs>
          <w:tab w:val="left" w:pos="4314" w:leader="none"/>
          <w:tab w:val="left" w:pos="9027" w:leader="none"/>
        </w:tabs>
        <w:rPr>
          <w:rFonts w:ascii="黑体" w:hAnsi="黑体" w:eastAsia="黑体" w:cs="黑体"/>
          <w:highlight w:val="none"/>
          <w:u w:val="single"/>
        </w:rPr>
      </w:pPr>
      <w:r>
        <w:rPr>
          <w:rFonts w:hint="eastAsia" w:ascii="黑体" w:hAnsi="黑体" w:eastAsia="黑体" w:cs="黑体"/>
          <w:highlight w:val="none"/>
        </w:rPr>
        <w:t xml:space="preserve">根据贵</w:t>
      </w:r>
      <w:r>
        <w:rPr>
          <w:rFonts w:hint="eastAsia" w:ascii="黑体" w:hAnsi="黑体" w:eastAsia="黑体" w:cs="黑体"/>
          <w:spacing w:val="28"/>
          <w:highlight w:val="none"/>
        </w:rPr>
        <w:t xml:space="preserve">方</w:t>
      </w:r>
      <w:r>
        <w:rPr>
          <w:rFonts w:hint="eastAsia" w:ascii="黑体" w:hAnsi="黑体" w:eastAsia="黑体" w:cs="黑体"/>
          <w:highlight w:val="none"/>
          <w:lang w:eastAsia="zh-CN"/>
        </w:rPr>
        <w:t xml:space="preserve">JSZC-320115-JSXN-C2025-0020</w:t>
      </w:r>
      <w:r>
        <w:rPr>
          <w:rFonts w:hint="eastAsia" w:ascii="黑体" w:hAnsi="黑体" w:eastAsia="黑体" w:cs="黑体"/>
          <w:highlight w:val="none"/>
        </w:rPr>
        <w:t xml:space="preserve">号采购文件</w:t>
      </w:r>
      <w:r>
        <w:rPr>
          <w:rFonts w:hint="eastAsia" w:ascii="黑体" w:hAnsi="黑体" w:eastAsia="黑体" w:cs="黑体"/>
          <w:spacing w:val="-104"/>
          <w:highlight w:val="none"/>
        </w:rPr>
        <w:t xml:space="preserve">，</w:t>
      </w:r>
      <w:r>
        <w:rPr>
          <w:rFonts w:hint="eastAsia" w:ascii="黑体" w:hAnsi="黑体" w:eastAsia="黑体" w:cs="黑体"/>
          <w:highlight w:val="none"/>
        </w:rPr>
        <w:t xml:space="preserve">正式授权下述签字人</w:t>
      </w:r>
      <w:r>
        <w:rPr>
          <w:rFonts w:hint="eastAsia" w:ascii="黑体" w:hAnsi="黑体" w:eastAsia="黑体" w:cs="黑体"/>
          <w:highlight w:val="none"/>
          <w:u w:val="single"/>
        </w:rPr>
        <w:tab/>
      </w:r>
      <w:r>
        <w:rPr>
          <w:rFonts w:hint="eastAsia" w:ascii="黑体" w:hAnsi="黑体" w:eastAsia="黑体" w:cs="黑体"/>
          <w:highlight w:val="none"/>
        </w:rPr>
        <w:t xml:space="preserve">(姓名和职务</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代表</w:t>
      </w:r>
      <w:r>
        <w:rPr>
          <w:rFonts w:hint="eastAsia" w:ascii="黑体" w:hAnsi="黑体" w:eastAsia="黑体" w:cs="黑体"/>
          <w:highlight w:val="none"/>
          <w:u w:val="single"/>
        </w:rPr>
        <w:tab/>
      </w:r>
      <w:r>
        <w:rPr>
          <w:rFonts w:hint="eastAsia" w:ascii="黑体" w:hAnsi="黑体" w:eastAsia="黑体" w:cs="黑体"/>
          <w:highlight w:val="none"/>
        </w:rPr>
        <w:t xml:space="preserve">（供应商名称），提交响应文件并参加磋商。</w:t>
      </w:r>
      <w:r/>
    </w:p>
    <w:p>
      <w:pPr>
        <w:pStyle w:val="1130"/>
        <w:ind w:left="1163"/>
        <w:spacing w:before="1"/>
        <w:rPr>
          <w:rFonts w:ascii="黑体" w:hAnsi="黑体" w:eastAsia="黑体" w:cs="黑体"/>
          <w:highlight w:val="none"/>
        </w:rPr>
      </w:pPr>
      <w:r>
        <w:rPr>
          <w:rFonts w:hint="eastAsia" w:ascii="黑体" w:hAnsi="黑体" w:eastAsia="黑体" w:cs="黑体"/>
          <w:highlight w:val="none"/>
        </w:rPr>
        <w:t xml:space="preserve">据此函，签字人兹宣布同意如下：</w:t>
      </w:r>
      <w:r/>
    </w:p>
    <w:p>
      <w:pPr>
        <w:pStyle w:val="1144"/>
        <w:numPr>
          <w:ilvl w:val="0"/>
          <w:numId w:val="10"/>
        </w:numPr>
        <w:ind w:right="648" w:firstLine="420"/>
        <w:spacing w:before="2" w:line="244" w:lineRule="auto"/>
        <w:tabs>
          <w:tab w:val="left" w:pos="1323" w:leader="none"/>
          <w:tab w:val="left" w:pos="2948" w:leader="none"/>
        </w:tabs>
        <w:rPr>
          <w:rFonts w:ascii="黑体" w:hAnsi="黑体" w:eastAsia="黑体" w:cs="黑体"/>
          <w:sz w:val="21"/>
          <w:highlight w:val="none"/>
        </w:rPr>
      </w:pPr>
      <w:r>
        <w:rPr>
          <w:rFonts w:hint="eastAsia" w:ascii="黑体" w:hAnsi="黑体" w:eastAsia="黑体" w:cs="黑体"/>
          <w:sz w:val="21"/>
          <w:highlight w:val="none"/>
        </w:rPr>
        <w:t xml:space="preserve">根据已收到的磋商文件</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遵照规定</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我单位经现场考察和认真研究上述磋商文件后</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愿</w:t>
      </w:r>
      <w:r>
        <w:rPr>
          <w:rFonts w:hint="eastAsia" w:ascii="黑体" w:hAnsi="黑体" w:eastAsia="黑体" w:cs="黑体"/>
          <w:spacing w:val="-8"/>
          <w:sz w:val="21"/>
          <w:highlight w:val="none"/>
        </w:rPr>
        <w:t xml:space="preserve">以</w:t>
      </w:r>
      <w:r>
        <w:rPr>
          <w:rFonts w:hint="eastAsia" w:ascii="黑体" w:hAnsi="黑体" w:eastAsia="黑体" w:cs="黑体"/>
          <w:sz w:val="21"/>
          <w:highlight w:val="none"/>
        </w:rPr>
        <w:t xml:space="preserve">（大写）   </w:t>
      </w:r>
      <w:r>
        <w:rPr>
          <w:rFonts w:hint="eastAsia" w:ascii="黑体" w:hAnsi="黑体" w:eastAsia="黑体" w:cs="黑体"/>
          <w:sz w:val="21"/>
          <w:highlight w:val="none"/>
          <w:u w:val="single"/>
        </w:rPr>
        <w:t xml:space="preserve">元</w:t>
      </w:r>
      <w:r>
        <w:rPr>
          <w:rFonts w:hint="eastAsia" w:ascii="黑体" w:hAnsi="黑体" w:eastAsia="黑体" w:cs="黑体"/>
          <w:sz w:val="21"/>
          <w:highlight w:val="none"/>
        </w:rPr>
        <w:t xml:space="preserve">人民币（￥</w:t>
      </w:r>
      <w:r>
        <w:rPr>
          <w:rFonts w:hint="eastAsia" w:ascii="黑体" w:hAnsi="黑体" w:eastAsia="黑体" w:cs="黑体"/>
          <w:sz w:val="21"/>
          <w:highlight w:val="none"/>
          <w:u w:val="single"/>
        </w:rPr>
        <w:tab/>
      </w:r>
      <w:r>
        <w:rPr>
          <w:rFonts w:hint="eastAsia" w:ascii="黑体" w:hAnsi="黑体" w:eastAsia="黑体" w:cs="黑体"/>
          <w:sz w:val="21"/>
          <w:highlight w:val="none"/>
          <w:u w:val="single"/>
        </w:rPr>
        <w:t xml:space="preserve">元</w:t>
      </w:r>
      <w:r>
        <w:rPr>
          <w:rFonts w:hint="eastAsia" w:ascii="黑体" w:hAnsi="黑体" w:eastAsia="黑体" w:cs="黑体"/>
          <w:sz w:val="21"/>
          <w:highlight w:val="none"/>
        </w:rPr>
        <w:t xml:space="preserve">）作为磋商报价，工期日历天，项目经理：。</w:t>
      </w:r>
      <w:r/>
    </w:p>
    <w:p>
      <w:pPr>
        <w:pStyle w:val="1144"/>
        <w:numPr>
          <w:ilvl w:val="0"/>
          <w:numId w:val="10"/>
        </w:numPr>
        <w:ind w:left="1322" w:hanging="160"/>
        <w:spacing w:line="265" w:lineRule="exact"/>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我们完全理解贵方不一定要接受最低报价的磋商或收到的任何磋商。</w:t>
      </w:r>
      <w:r/>
    </w:p>
    <w:p>
      <w:pPr>
        <w:pStyle w:val="1144"/>
        <w:numPr>
          <w:ilvl w:val="0"/>
          <w:numId w:val="10"/>
        </w:numPr>
        <w:ind w:right="752" w:firstLine="420"/>
        <w:jc w:val="both"/>
        <w:spacing w:before="5"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pStyle w:val="1144"/>
        <w:numPr>
          <w:ilvl w:val="0"/>
          <w:numId w:val="10"/>
        </w:numPr>
        <w:ind w:left="1322" w:hanging="160"/>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我们同意从规定的磋商日期起遵循本磋商文件，并在规定的磋商有效期期满之前均具有约束力。</w:t>
      </w:r>
      <w:r/>
    </w:p>
    <w:p>
      <w:pPr>
        <w:pStyle w:val="1144"/>
        <w:numPr>
          <w:ilvl w:val="0"/>
          <w:numId w:val="10"/>
        </w:numPr>
        <w:ind w:left="1322" w:hanging="160"/>
        <w:spacing w:before="5"/>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同意向贵方提供贵方可能要求的与磋商有关的任何证据或资料。</w:t>
      </w:r>
      <w:r/>
    </w:p>
    <w:p>
      <w:pPr>
        <w:pStyle w:val="1144"/>
        <w:numPr>
          <w:ilvl w:val="0"/>
          <w:numId w:val="10"/>
        </w:numPr>
        <w:ind w:right="753" w:firstLine="420"/>
        <w:spacing w:before="4"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一旦我方成交，我方将根据磋商文件的规定，严格履行合同，并保证于承诺的时间完成货物的启动、调试等服务，交付采购人验收、使用。</w:t>
      </w:r>
      <w:r/>
    </w:p>
    <w:p>
      <w:pPr>
        <w:pStyle w:val="1144"/>
        <w:numPr>
          <w:ilvl w:val="0"/>
          <w:numId w:val="10"/>
        </w:numPr>
        <w:ind w:right="752" w:firstLine="420"/>
        <w:jc w:val="both"/>
        <w:spacing w:before="2"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我方将严格遵守《中华人民共和国政府采购法》第七十七条规定，若有下列情形之一的，将被处</w:t>
      </w:r>
      <w:r>
        <w:rPr>
          <w:rFonts w:hint="eastAsia" w:ascii="黑体" w:hAnsi="黑体" w:eastAsia="黑体" w:cs="黑体"/>
          <w:spacing w:val="-9"/>
          <w:sz w:val="21"/>
          <w:highlight w:val="none"/>
        </w:rPr>
        <w:t xml:space="preserve">以采购金额 </w:t>
      </w:r>
      <w:r>
        <w:rPr>
          <w:rFonts w:hint="eastAsia" w:ascii="黑体" w:hAnsi="黑体" w:eastAsia="黑体" w:cs="黑体"/>
          <w:sz w:val="21"/>
          <w:highlight w:val="none"/>
        </w:rPr>
        <w:t xml:space="preserve">5‰</w:t>
      </w:r>
      <w:r>
        <w:rPr>
          <w:rFonts w:hint="eastAsia" w:ascii="黑体" w:hAnsi="黑体" w:eastAsia="黑体" w:cs="黑体"/>
          <w:spacing w:val="-18"/>
          <w:sz w:val="21"/>
          <w:highlight w:val="none"/>
        </w:rPr>
        <w:t xml:space="preserve">以上 </w:t>
      </w:r>
      <w:r>
        <w:rPr>
          <w:rFonts w:hint="eastAsia" w:ascii="黑体" w:hAnsi="黑体" w:eastAsia="黑体" w:cs="黑体"/>
          <w:sz w:val="21"/>
          <w:highlight w:val="none"/>
        </w:rPr>
        <w:t xml:space="preserve">10‰以下的罚款，列入不良行为记录名单，在一至三年内禁止参加政府采购活动； 有违法所得的，并处没收违法所得；情节严重的，由工商行政管理机关吊销营业执照；构成犯罪的，依法追究刑事责任：</w:t>
      </w:r>
      <w:r/>
    </w:p>
    <w:p>
      <w:pPr>
        <w:pStyle w:val="1144"/>
        <w:numPr>
          <w:ilvl w:val="0"/>
          <w:numId w:val="11"/>
        </w:numPr>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提供虚假材料谋取中标、成交的；</w:t>
      </w:r>
      <w:r/>
    </w:p>
    <w:p>
      <w:pPr>
        <w:pStyle w:val="1144"/>
        <w:numPr>
          <w:ilvl w:val="0"/>
          <w:numId w:val="11"/>
        </w:numPr>
        <w:spacing w:before="4"/>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采取不正当手段诋毁、排挤其他供应商的；</w:t>
      </w:r>
      <w:r/>
    </w:p>
    <w:p>
      <w:pPr>
        <w:pStyle w:val="1144"/>
        <w:numPr>
          <w:ilvl w:val="0"/>
          <w:numId w:val="11"/>
        </w:numPr>
        <w:spacing w:before="3"/>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与采购人、其它供应商或者采购代理机构恶意串通的；</w:t>
      </w:r>
      <w:r/>
    </w:p>
    <w:p>
      <w:pPr>
        <w:pStyle w:val="1144"/>
        <w:numPr>
          <w:ilvl w:val="0"/>
          <w:numId w:val="11"/>
        </w:numPr>
        <w:spacing w:before="4"/>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向采购人、采购代理机构行贿或者提供其他不正当利益的；</w:t>
      </w:r>
      <w:r/>
    </w:p>
    <w:p>
      <w:pPr>
        <w:pStyle w:val="1144"/>
        <w:numPr>
          <w:ilvl w:val="0"/>
          <w:numId w:val="11"/>
        </w:numPr>
        <w:spacing w:before="2"/>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在采购过程中与采购人进行协商磋商的；</w:t>
      </w:r>
      <w:r/>
    </w:p>
    <w:p>
      <w:pPr>
        <w:pStyle w:val="1144"/>
        <w:numPr>
          <w:ilvl w:val="0"/>
          <w:numId w:val="11"/>
        </w:numPr>
        <w:spacing w:before="5"/>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拒绝有关部门监督检查或提供虚假情况的。</w:t>
      </w:r>
      <w:r/>
    </w:p>
    <w:p>
      <w:pPr>
        <w:pStyle w:val="1144"/>
        <w:numPr>
          <w:ilvl w:val="0"/>
          <w:numId w:val="10"/>
        </w:numPr>
        <w:ind w:left="1268" w:right="6493" w:hanging="106"/>
        <w:spacing w:before="2" w:line="244" w:lineRule="auto"/>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与本磋商有关的正式通讯地址为： 供应商名称（盖章）：</w:t>
      </w:r>
      <w:r/>
    </w:p>
    <w:p>
      <w:pPr>
        <w:pStyle w:val="1130"/>
        <w:ind w:left="1268" w:right="8646"/>
        <w:spacing w:line="242" w:lineRule="auto"/>
        <w:tabs>
          <w:tab w:val="left" w:pos="1794" w:leader="none"/>
          <w:tab w:val="left" w:pos="1899" w:leader="none"/>
        </w:tabs>
        <w:rPr>
          <w:rFonts w:ascii="黑体" w:hAnsi="黑体" w:eastAsia="黑体" w:cs="黑体"/>
          <w:highlight w:val="none"/>
        </w:rPr>
      </w:pPr>
      <w:r>
        <w:rPr>
          <w:rFonts w:hint="eastAsia" w:ascii="黑体" w:hAnsi="黑体" w:eastAsia="黑体" w:cs="黑体"/>
          <w:highlight w:val="none"/>
        </w:rPr>
        <w:t xml:space="preserve">地</w:t>
      </w:r>
      <w:r>
        <w:rPr>
          <w:rFonts w:hint="eastAsia" w:ascii="黑体" w:hAnsi="黑体" w:eastAsia="黑体" w:cs="黑体"/>
          <w:highlight w:val="none"/>
        </w:rPr>
        <w:tab/>
      </w:r>
      <w:r>
        <w:rPr>
          <w:rFonts w:hint="eastAsia" w:ascii="黑体" w:hAnsi="黑体" w:eastAsia="黑体" w:cs="黑体"/>
          <w:highlight w:val="none"/>
        </w:rPr>
        <w:t xml:space="preserve">址 ： 联系电话</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传</w:t>
      </w:r>
      <w:r>
        <w:rPr>
          <w:rFonts w:hint="eastAsia" w:ascii="黑体" w:hAnsi="黑体" w:eastAsia="黑体" w:cs="黑体"/>
          <w:highlight w:val="none"/>
        </w:rPr>
        <w:tab/>
      </w:r>
      <w:r>
        <w:rPr>
          <w:rFonts w:hint="eastAsia" w:ascii="黑体" w:hAnsi="黑体" w:eastAsia="黑体" w:cs="黑体"/>
          <w:highlight w:val="none"/>
        </w:rPr>
        <w:t xml:space="preserve">真 ： 开户银行</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帐</w:t>
      </w:r>
      <w:r>
        <w:rPr>
          <w:rFonts w:hint="eastAsia" w:ascii="黑体" w:hAnsi="黑体" w:eastAsia="黑体" w:cs="黑体"/>
          <w:highlight w:val="none"/>
        </w:rPr>
        <w:tab/>
      </w:r>
      <w:r>
        <w:rPr>
          <w:rFonts w:hint="eastAsia" w:ascii="黑体" w:hAnsi="黑体" w:eastAsia="黑体" w:cs="黑体"/>
          <w:highlight w:val="none"/>
        </w:rPr>
        <w:tab/>
      </w:r>
      <w:r>
        <w:rPr>
          <w:rFonts w:hint="eastAsia" w:ascii="黑体" w:hAnsi="黑体" w:eastAsia="黑体" w:cs="黑体"/>
          <w:spacing w:val="-1"/>
          <w:highlight w:val="none"/>
        </w:rPr>
        <w:t xml:space="preserve">号</w:t>
      </w:r>
      <w:r>
        <w:rPr>
          <w:rFonts w:hint="eastAsia" w:ascii="黑体" w:hAnsi="黑体" w:eastAsia="黑体" w:cs="黑体"/>
          <w:spacing w:val="-16"/>
          <w:highlight w:val="none"/>
        </w:rPr>
        <w:t xml:space="preserve">：</w:t>
      </w:r>
      <w:r/>
    </w:p>
    <w:p>
      <w:pPr>
        <w:pStyle w:val="1130"/>
        <w:ind w:left="1268" w:right="6757"/>
        <w:spacing w:line="244" w:lineRule="auto"/>
        <w:rPr>
          <w:rFonts w:ascii="黑体" w:hAnsi="黑体" w:eastAsia="黑体" w:cs="黑体"/>
          <w:highlight w:val="none"/>
        </w:rPr>
      </w:pPr>
      <w:r>
        <w:rPr>
          <w:rFonts w:hint="eastAsia" w:ascii="黑体" w:hAnsi="黑体" w:eastAsia="黑体" w:cs="黑体"/>
          <w:highlight w:val="none"/>
        </w:rPr>
        <w:t xml:space="preserve">供应商授权代表姓名（签字</w:t>
      </w:r>
      <w:r>
        <w:rPr>
          <w:rFonts w:hint="eastAsia" w:ascii="黑体" w:hAnsi="黑体" w:eastAsia="黑体" w:cs="黑体"/>
          <w:spacing w:val="-6"/>
          <w:highlight w:val="none"/>
        </w:rPr>
        <w:t xml:space="preserve">）： </w:t>
      </w:r>
      <w:r>
        <w:rPr>
          <w:rFonts w:hint="eastAsia" w:ascii="黑体" w:hAnsi="黑体" w:eastAsia="黑体" w:cs="黑体"/>
          <w:highlight w:val="none"/>
        </w:rPr>
        <w:t xml:space="preserve">联系电话:</w:t>
      </w:r>
      <w:r/>
    </w:p>
    <w:p>
      <w:pPr>
        <w:pStyle w:val="1130"/>
        <w:ind w:left="1268"/>
        <w:spacing w:line="265" w:lineRule="exact"/>
        <w:tabs>
          <w:tab w:val="left" w:pos="1899" w:leader="none"/>
          <w:tab w:val="left" w:pos="2843" w:leader="none"/>
          <w:tab w:val="left" w:pos="3263" w:leader="none"/>
          <w:tab w:val="left" w:pos="3683"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23"/>
        <w:ind w:left="743"/>
        <w:spacing w:before="62"/>
        <w:rPr>
          <w:rFonts w:ascii="黑体" w:hAnsi="黑体" w:eastAsia="黑体" w:cs="黑体"/>
          <w:highlight w:val="none"/>
        </w:rPr>
      </w:pPr>
      <w:r/>
      <w:bookmarkStart w:id="648" w:name="_bookmark15"/>
      <w:r/>
      <w:bookmarkEnd w:id="648"/>
      <w:r/>
      <w:bookmarkStart w:id="649" w:name="四、磋商分项报价表"/>
      <w:r/>
      <w:bookmarkEnd w:id="649"/>
      <w:r>
        <w:rPr>
          <w:rFonts w:hint="eastAsia" w:ascii="黑体" w:hAnsi="黑体" w:eastAsia="黑体" w:cs="黑体"/>
          <w:highlight w:val="none"/>
        </w:rPr>
        <w:t xml:space="preserve">二、法定代表人授权委托书</w:t>
      </w:r>
      <w:r/>
    </w:p>
    <w:p>
      <w:pPr>
        <w:pStyle w:val="1130"/>
        <w:spacing w:before="3"/>
        <w:rPr>
          <w:rFonts w:ascii="黑体" w:hAnsi="黑体" w:eastAsia="黑体" w:cs="黑体"/>
          <w:b/>
          <w:sz w:val="26"/>
          <w:highlight w:val="none"/>
        </w:rPr>
      </w:pPr>
      <w:r>
        <w:rPr>
          <w:rFonts w:hint="eastAsia" w:ascii="黑体" w:hAnsi="黑体" w:eastAsia="黑体" w:cs="黑体"/>
          <w:highlight w:val="none"/>
        </w:rPr>
        <w:br w:type="column"/>
      </w:r>
      <w:r/>
    </w:p>
    <w:p>
      <w:pPr>
        <w:ind w:left="743"/>
        <w:rPr>
          <w:rFonts w:ascii="黑体" w:hAnsi="黑体" w:eastAsia="黑体" w:cs="黑体"/>
          <w:b/>
          <w:sz w:val="32"/>
          <w:highlight w:val="none"/>
        </w:rPr>
      </w:pPr>
      <w:r>
        <w:rPr>
          <w:rFonts w:hint="eastAsia" w:ascii="黑体" w:hAnsi="黑体" w:eastAsia="黑体" w:cs="黑体"/>
          <w:b/>
          <w:sz w:val="32"/>
          <w:highlight w:val="none"/>
        </w:rPr>
        <w:t xml:space="preserve">法定代表人授权委托书</w:t>
      </w:r>
      <w:r/>
    </w:p>
    <w:p>
      <w:pPr>
        <w:rPr>
          <w:rFonts w:ascii="黑体" w:hAnsi="黑体" w:eastAsia="黑体" w:cs="黑体"/>
          <w:sz w:val="32"/>
          <w:highlight w:val="none"/>
        </w:rPr>
        <w:sectPr>
          <w:footnotePr/>
          <w:endnotePr/>
          <w:type w:val="nextPage"/>
          <w:pgSz w:w="11910" w:h="16840" w:orient="portrait"/>
          <w:pgMar w:top="1340" w:right="380" w:bottom="1380" w:left="560" w:header="878" w:footer="1196" w:gutter="0"/>
          <w:cols w:num="2" w:sep="0" w:space="1701" w:equalWidth="0">
            <w:col w:w="3311" w:space="138"/>
            <w:col w:w="7521" w:space="0"/>
          </w:cols>
          <w:docGrid w:linePitch="360"/>
        </w:sectPr>
      </w:pPr>
      <w:r>
        <w:rPr>
          <w:rFonts w:ascii="黑体" w:hAnsi="黑体" w:eastAsia="黑体" w:cs="黑体"/>
          <w:sz w:val="32"/>
          <w:highlight w:val="none"/>
        </w:rPr>
      </w:r>
      <w:r/>
    </w:p>
    <w:p>
      <w:pPr>
        <w:pStyle w:val="1130"/>
        <w:spacing w:before="9"/>
        <w:rPr>
          <w:rFonts w:ascii="黑体" w:hAnsi="黑体" w:eastAsia="黑体" w:cs="黑体"/>
          <w:b/>
          <w:sz w:val="13"/>
          <w:highlight w:val="none"/>
        </w:rPr>
      </w:pPr>
      <w:r>
        <w:rPr>
          <w:rFonts w:ascii="黑体" w:hAnsi="黑体" w:eastAsia="黑体" w:cs="黑体"/>
          <w:b/>
          <w:sz w:val="13"/>
          <w:highlight w:val="none"/>
        </w:rPr>
      </w:r>
      <w:r/>
    </w:p>
    <w:p>
      <w:pPr>
        <w:pStyle w:val="1130"/>
        <w:ind w:left="743"/>
        <w:spacing w:before="69"/>
        <w:rPr>
          <w:rFonts w:ascii="黑体" w:hAnsi="黑体" w:eastAsia="黑体" w:cs="黑体"/>
          <w:highlight w:val="none"/>
        </w:rPr>
      </w:pPr>
      <w:r>
        <w:rPr>
          <w:rFonts w:hint="eastAsia" w:ascii="黑体" w:hAnsi="黑体" w:eastAsia="黑体" w:cs="黑体"/>
          <w:highlight w:val="none"/>
        </w:rPr>
        <w:t xml:space="preserve">南京市江宁区人民政府秣陵街道办事处：</w:t>
      </w:r>
      <w:r/>
    </w:p>
    <w:p>
      <w:pPr>
        <w:pStyle w:val="1130"/>
        <w:ind w:left="743" w:right="755" w:firstLine="420"/>
        <w:spacing w:before="5" w:line="242" w:lineRule="auto"/>
        <w:tabs>
          <w:tab w:val="left" w:pos="4539" w:leader="none"/>
          <w:tab w:val="left" w:pos="5583" w:leader="none"/>
          <w:tab w:val="left" w:pos="9159" w:leader="none"/>
        </w:tabs>
        <w:rPr>
          <w:rFonts w:ascii="黑体" w:hAnsi="黑体" w:eastAsia="黑体" w:cs="黑体"/>
          <w:highlight w:val="none"/>
        </w:rPr>
      </w:pPr>
      <w:r>
        <w:rPr>
          <w:rFonts w:hint="eastAsia" w:ascii="黑体" w:hAnsi="黑体" w:eastAsia="黑体" w:cs="黑体"/>
          <w:highlight w:val="none"/>
        </w:rPr>
        <w:t xml:space="preserve">本授权书声明：注册于</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rPr>
        <w:t xml:space="preserve">（供应商注册地址）的</w:t>
      </w:r>
      <w:r>
        <w:rPr>
          <w:rFonts w:hint="eastAsia" w:ascii="黑体" w:hAnsi="黑体" w:eastAsia="黑体" w:cs="黑体"/>
          <w:highlight w:val="none"/>
          <w:u w:val="single"/>
        </w:rPr>
        <w:tab/>
      </w:r>
      <w:r>
        <w:rPr>
          <w:rFonts w:hint="eastAsia" w:ascii="黑体" w:hAnsi="黑体" w:eastAsia="黑体" w:cs="黑体"/>
          <w:highlight w:val="none"/>
        </w:rPr>
        <w:t xml:space="preserve">（供应商</w:t>
      </w:r>
      <w:r>
        <w:rPr>
          <w:rFonts w:hint="eastAsia" w:ascii="黑体" w:hAnsi="黑体" w:eastAsia="黑体" w:cs="黑体"/>
          <w:spacing w:val="-15"/>
          <w:highlight w:val="none"/>
        </w:rPr>
        <w:t xml:space="preserve">名</w:t>
      </w:r>
      <w:r>
        <w:rPr>
          <w:rFonts w:hint="eastAsia" w:ascii="黑体" w:hAnsi="黑体" w:eastAsia="黑体" w:cs="黑体"/>
          <w:spacing w:val="19"/>
          <w:highlight w:val="none"/>
        </w:rPr>
        <w:t xml:space="preserve">称</w:t>
      </w:r>
      <w:r>
        <w:rPr>
          <w:rFonts w:hint="eastAsia" w:ascii="黑体" w:hAnsi="黑体" w:eastAsia="黑体" w:cs="黑体"/>
          <w:highlight w:val="none"/>
        </w:rPr>
        <w:t xml:space="preserve">）</w:t>
      </w:r>
      <w:r>
        <w:rPr>
          <w:rFonts w:hint="eastAsia" w:ascii="黑体" w:hAnsi="黑体" w:eastAsia="黑体" w:cs="黑体"/>
          <w:spacing w:val="16"/>
          <w:highlight w:val="none"/>
        </w:rPr>
        <w:t xml:space="preserve">法</w:t>
      </w:r>
      <w:r>
        <w:rPr>
          <w:rFonts w:hint="eastAsia" w:ascii="黑体" w:hAnsi="黑体" w:eastAsia="黑体" w:cs="黑体"/>
          <w:spacing w:val="19"/>
          <w:highlight w:val="none"/>
        </w:rPr>
        <w:t xml:space="preserve">定代表</w:t>
      </w:r>
      <w:r>
        <w:rPr>
          <w:rFonts w:hint="eastAsia" w:ascii="黑体" w:hAnsi="黑体" w:eastAsia="黑体" w:cs="黑体"/>
          <w:spacing w:val="18"/>
          <w:highlight w:val="none"/>
        </w:rPr>
        <w:t xml:space="preserve">人</w:t>
      </w:r>
      <w:r>
        <w:rPr>
          <w:rFonts w:hint="eastAsia" w:ascii="黑体" w:hAnsi="黑体" w:eastAsia="黑体" w:cs="黑体"/>
          <w:spacing w:val="18"/>
          <w:highlight w:val="none"/>
          <w:u w:val="single"/>
        </w:rPr>
        <w:tab/>
      </w:r>
      <w:r>
        <w:rPr>
          <w:rFonts w:hint="eastAsia" w:ascii="黑体" w:hAnsi="黑体" w:eastAsia="黑体" w:cs="黑体"/>
          <w:highlight w:val="none"/>
        </w:rPr>
        <w:t xml:space="preserve">（</w:t>
      </w:r>
      <w:r>
        <w:rPr>
          <w:rFonts w:hint="eastAsia" w:ascii="黑体" w:hAnsi="黑体" w:eastAsia="黑体" w:cs="黑体"/>
          <w:spacing w:val="19"/>
          <w:highlight w:val="none"/>
        </w:rPr>
        <w:t xml:space="preserve">法</w:t>
      </w:r>
      <w:r>
        <w:rPr>
          <w:rFonts w:hint="eastAsia" w:ascii="黑体" w:hAnsi="黑体" w:eastAsia="黑体" w:cs="黑体"/>
          <w:spacing w:val="16"/>
          <w:highlight w:val="none"/>
        </w:rPr>
        <w:t xml:space="preserve">定</w:t>
      </w:r>
      <w:r>
        <w:rPr>
          <w:rFonts w:hint="eastAsia" w:ascii="黑体" w:hAnsi="黑体" w:eastAsia="黑体" w:cs="黑体"/>
          <w:spacing w:val="19"/>
          <w:highlight w:val="none"/>
        </w:rPr>
        <w:t xml:space="preserve">代表人姓</w:t>
      </w:r>
      <w:r>
        <w:rPr>
          <w:rFonts w:hint="eastAsia" w:ascii="黑体" w:hAnsi="黑体" w:eastAsia="黑体" w:cs="黑体"/>
          <w:spacing w:val="16"/>
          <w:highlight w:val="none"/>
        </w:rPr>
        <w:t xml:space="preserve">名</w:t>
      </w:r>
      <w:r>
        <w:rPr>
          <w:rFonts w:hint="eastAsia" w:ascii="黑体" w:hAnsi="黑体" w:eastAsia="黑体" w:cs="黑体"/>
          <w:spacing w:val="19"/>
          <w:highlight w:val="none"/>
        </w:rPr>
        <w:t xml:space="preserve">、职务</w:t>
      </w:r>
      <w:r>
        <w:rPr>
          <w:rFonts w:hint="eastAsia" w:ascii="黑体" w:hAnsi="黑体" w:eastAsia="黑体" w:cs="黑体"/>
          <w:highlight w:val="none"/>
        </w:rPr>
        <w:t xml:space="preserve">）</w:t>
      </w:r>
      <w:r>
        <w:rPr>
          <w:rFonts w:hint="eastAsia" w:ascii="黑体" w:hAnsi="黑体" w:eastAsia="黑体" w:cs="黑体"/>
          <w:spacing w:val="16"/>
          <w:highlight w:val="none"/>
        </w:rPr>
        <w:t xml:space="preserve">代</w:t>
      </w:r>
      <w:r>
        <w:rPr>
          <w:rFonts w:hint="eastAsia" w:ascii="黑体" w:hAnsi="黑体" w:eastAsia="黑体" w:cs="黑体"/>
          <w:spacing w:val="19"/>
          <w:highlight w:val="none"/>
        </w:rPr>
        <w:t xml:space="preserve">表本公司</w:t>
      </w:r>
      <w:r>
        <w:rPr>
          <w:rFonts w:hint="eastAsia" w:ascii="黑体" w:hAnsi="黑体" w:eastAsia="黑体" w:cs="黑体"/>
          <w:spacing w:val="16"/>
          <w:highlight w:val="none"/>
        </w:rPr>
        <w:t xml:space="preserve">授</w:t>
      </w:r>
      <w:r>
        <w:rPr>
          <w:rFonts w:hint="eastAsia" w:ascii="黑体" w:hAnsi="黑体" w:eastAsia="黑体" w:cs="黑体"/>
          <w:spacing w:val="19"/>
          <w:highlight w:val="none"/>
        </w:rPr>
        <w:t xml:space="preserve">权在下面</w:t>
      </w:r>
      <w:r>
        <w:rPr>
          <w:rFonts w:hint="eastAsia" w:ascii="黑体" w:hAnsi="黑体" w:eastAsia="黑体" w:cs="黑体"/>
          <w:spacing w:val="16"/>
          <w:highlight w:val="none"/>
        </w:rPr>
        <w:t xml:space="preserve">签</w:t>
      </w:r>
      <w:r>
        <w:rPr>
          <w:rFonts w:hint="eastAsia" w:ascii="黑体" w:hAnsi="黑体" w:eastAsia="黑体" w:cs="黑体"/>
          <w:spacing w:val="19"/>
          <w:highlight w:val="none"/>
        </w:rPr>
        <w:t xml:space="preserve">字</w:t>
      </w:r>
      <w:r>
        <w:rPr>
          <w:rFonts w:hint="eastAsia" w:ascii="黑体" w:hAnsi="黑体" w:eastAsia="黑体" w:cs="黑体"/>
          <w:spacing w:val="-15"/>
          <w:highlight w:val="none"/>
        </w:rPr>
        <w:t xml:space="preserve">的</w:t>
      </w:r>
      <w:r/>
    </w:p>
    <w:p>
      <w:pPr>
        <w:pStyle w:val="1130"/>
        <w:ind w:left="743" w:right="747"/>
        <w:spacing w:line="244" w:lineRule="auto"/>
        <w:tabs>
          <w:tab w:val="left" w:pos="3788" w:leader="none"/>
        </w:tabs>
        <w:rPr>
          <w:rFonts w:ascii="黑体" w:hAnsi="黑体" w:eastAsia="黑体" w:cs="黑体"/>
          <w:highlight w:val="none"/>
        </w:rPr>
      </w:pPr>
      <w:r>
        <w:rPr>
          <w:rFonts w:hint="eastAsia" w:ascii="黑体" w:hAnsi="黑体" w:eastAsia="黑体" w:cs="黑体"/>
          <w:highlight w:val="none"/>
        </w:rPr>
        <w:t xml:space="preserve">（授权代表姓名、职务）为本公司的合法代理人，就贵方组织的项目编号：</w:t>
      </w:r>
      <w:r>
        <w:rPr>
          <w:rFonts w:hint="eastAsia" w:ascii="黑体" w:hAnsi="黑体" w:eastAsia="黑体" w:cs="黑体"/>
          <w:highlight w:val="none"/>
          <w:u w:val="single"/>
          <w:lang w:eastAsia="zh-CN"/>
        </w:rPr>
        <w:t xml:space="preserve">JSZC-320115-JSXN-C2025-0020</w:t>
      </w:r>
      <w:r>
        <w:rPr>
          <w:rFonts w:hint="eastAsia" w:ascii="黑体" w:hAnsi="黑体" w:eastAsia="黑体" w:cs="黑体"/>
          <w:highlight w:val="none"/>
          <w:u w:val="single"/>
        </w:rPr>
        <w:t xml:space="preserve">号</w:t>
      </w:r>
      <w:r>
        <w:rPr>
          <w:rFonts w:hint="eastAsia" w:ascii="黑体" w:hAnsi="黑体" w:eastAsia="黑体" w:cs="黑体"/>
          <w:highlight w:val="none"/>
        </w:rPr>
        <w:t xml:space="preserve">，项目名称</w:t>
      </w:r>
      <w:r>
        <w:rPr>
          <w:rFonts w:hint="eastAsia" w:ascii="黑体" w:hAnsi="黑体" w:eastAsia="黑体" w:cs="黑体"/>
          <w:highlight w:val="none"/>
          <w:u w:val="single"/>
        </w:rPr>
        <w:tab/>
      </w:r>
      <w:r>
        <w:rPr>
          <w:rFonts w:hint="eastAsia" w:ascii="黑体" w:hAnsi="黑体" w:eastAsia="黑体" w:cs="黑体"/>
          <w:highlight w:val="none"/>
        </w:rPr>
        <w:t xml:space="preserve">，以本公司名义处理一切与之有关的事务。</w:t>
      </w:r>
      <w:r/>
    </w:p>
    <w:p>
      <w:pPr>
        <w:pStyle w:val="1130"/>
        <w:ind w:left="1163"/>
        <w:spacing w:line="265" w:lineRule="exact"/>
        <w:tabs>
          <w:tab w:val="left" w:pos="3054" w:leader="none"/>
          <w:tab w:val="left" w:pos="3579" w:leader="none"/>
          <w:tab w:val="left" w:pos="4103" w:leader="none"/>
        </w:tabs>
        <w:rPr>
          <w:rFonts w:ascii="黑体" w:hAnsi="黑体" w:eastAsia="黑体" w:cs="黑体"/>
          <w:highlight w:val="none"/>
        </w:rPr>
      </w:pPr>
      <w:r>
        <w:rPr>
          <w:rFonts w:hint="eastAsia" w:ascii="黑体" w:hAnsi="黑体" w:eastAsia="黑体" w:cs="黑体"/>
          <w:highlight w:val="none"/>
        </w:rPr>
        <w:t xml:space="preserve">本授权书于</w:t>
      </w:r>
      <w:r>
        <w:rPr>
          <w:rFonts w:hint="eastAsia" w:ascii="黑体" w:hAnsi="黑体" w:eastAsia="黑体" w:cs="黑体"/>
          <w:highlight w:val="none"/>
          <w:u w:val="single"/>
        </w:rPr>
        <w:tab/>
      </w:r>
      <w:r>
        <w:rPr>
          <w:rFonts w:hint="eastAsia" w:ascii="黑体" w:hAnsi="黑体" w:eastAsia="黑体" w:cs="黑体"/>
          <w:highlight w:val="none"/>
        </w:rPr>
        <w:t xml:space="preserve">年</w:t>
      </w:r>
      <w:r>
        <w:rPr>
          <w:rFonts w:hint="eastAsia" w:ascii="黑体" w:hAnsi="黑体" w:eastAsia="黑体" w:cs="黑体"/>
          <w:highlight w:val="none"/>
          <w:u w:val="single"/>
        </w:rPr>
        <w:tab/>
      </w:r>
      <w:r>
        <w:rPr>
          <w:rFonts w:hint="eastAsia" w:ascii="黑体" w:hAnsi="黑体" w:eastAsia="黑体" w:cs="黑体"/>
          <w:highlight w:val="none"/>
        </w:rPr>
        <w:t xml:space="preserve">月</w:t>
      </w:r>
      <w:r>
        <w:rPr>
          <w:rFonts w:hint="eastAsia" w:ascii="黑体" w:hAnsi="黑体" w:eastAsia="黑体" w:cs="黑体"/>
          <w:highlight w:val="none"/>
          <w:u w:val="single"/>
        </w:rPr>
        <w:tab/>
      </w:r>
      <w:r>
        <w:rPr>
          <w:rFonts w:hint="eastAsia" w:ascii="黑体" w:hAnsi="黑体" w:eastAsia="黑体" w:cs="黑体"/>
          <w:highlight w:val="none"/>
        </w:rPr>
        <w:t xml:space="preserve">日签字生效，特此声明。</w:t>
      </w:r>
      <w:r/>
    </w:p>
    <w:p>
      <w:pPr>
        <w:pStyle w:val="1130"/>
        <w:spacing w:before="2"/>
        <w:rPr>
          <w:rFonts w:ascii="黑体" w:hAnsi="黑体" w:eastAsia="黑体" w:cs="黑体"/>
          <w:sz w:val="19"/>
          <w:highlight w:val="none"/>
        </w:rPr>
      </w:pPr>
      <w:r>
        <w:rPr>
          <w:rFonts w:ascii="黑体" w:hAnsi="黑体" w:eastAsia="黑体" w:cs="黑体"/>
          <w:sz w:val="19"/>
          <w:highlight w:val="none"/>
        </w:rPr>
      </w:r>
      <w:r/>
    </w:p>
    <w:p>
      <w:pPr>
        <w:pStyle w:val="1130"/>
        <w:ind w:left="6954" w:right="2329" w:firstLine="2"/>
        <w:spacing w:line="242" w:lineRule="auto"/>
        <w:rPr>
          <w:rFonts w:ascii="黑体" w:hAnsi="黑体" w:eastAsia="黑体" w:cs="黑体"/>
          <w:highlight w:val="none"/>
        </w:rPr>
      </w:pPr>
      <w:r>
        <w:rPr>
          <w:rFonts w:hint="eastAsia" w:ascii="黑体" w:hAnsi="黑体" w:eastAsia="黑体" w:cs="黑体"/>
          <w:spacing w:val="-2"/>
          <w:highlight w:val="none"/>
        </w:rPr>
        <w:t xml:space="preserve">法定代表人签字： </w:t>
      </w:r>
      <w:r>
        <w:rPr>
          <w:rFonts w:hint="eastAsia" w:ascii="黑体" w:hAnsi="黑体" w:eastAsia="黑体" w:cs="黑体"/>
          <w:highlight w:val="none"/>
        </w:rPr>
        <w:t xml:space="preserve">被授权人签字： 供应商（盖章</w:t>
      </w:r>
      <w:r>
        <w:rPr>
          <w:rFonts w:hint="eastAsia" w:ascii="黑体" w:hAnsi="黑体" w:eastAsia="黑体" w:cs="黑体"/>
          <w:spacing w:val="-6"/>
          <w:highlight w:val="none"/>
        </w:rPr>
        <w:t xml:space="preserve">）：</w:t>
      </w:r>
      <w:r/>
    </w:p>
    <w:p>
      <w:pPr>
        <w:pStyle w:val="1130"/>
        <w:ind w:left="6956"/>
        <w:spacing w:before="1"/>
        <w:tabs>
          <w:tab w:val="left" w:pos="7587" w:leader="none"/>
          <w:tab w:val="left" w:pos="8742" w:leader="none"/>
          <w:tab w:val="left" w:pos="9371"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pStyle w:val="1130"/>
        <w:rPr>
          <w:rFonts w:ascii="黑体" w:hAnsi="黑体" w:eastAsia="黑体" w:cs="黑体"/>
          <w:sz w:val="20"/>
          <w:highlight w:val="none"/>
        </w:rPr>
      </w:pPr>
      <w:r>
        <w:rPr>
          <w:rFonts w:ascii="黑体" w:hAnsi="黑体" w:eastAsia="黑体" w:cs="黑体"/>
          <w:sz w:val="20"/>
          <w:highlight w:val="none"/>
        </w:rPr>
      </w:r>
      <w:r/>
    </w:p>
    <w:p>
      <w:pPr>
        <w:rPr>
          <w:rFonts w:ascii="黑体" w:hAnsi="黑体" w:eastAsia="黑体" w:cs="黑体"/>
          <w:sz w:val="20"/>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0"/>
          <w:highlight w:val="none"/>
        </w:rPr>
      </w:r>
      <w:r/>
    </w:p>
    <w:p>
      <w:pPr>
        <w:pStyle w:val="1130"/>
        <w:rPr>
          <w:rFonts w:ascii="黑体" w:hAnsi="黑体" w:eastAsia="黑体" w:cs="黑体"/>
          <w:sz w:val="18"/>
          <w:highlight w:val="none"/>
        </w:rPr>
      </w:pPr>
      <w:r>
        <w:rPr>
          <w:rFonts w:ascii="黑体" w:hAnsi="黑体" w:eastAsia="黑体" w:cs="黑体"/>
          <w:sz w:val="18"/>
          <w:highlight w:val="none"/>
        </w:rPr>
      </w:r>
      <w:r/>
    </w:p>
    <w:p>
      <w:pPr>
        <w:rPr>
          <w:rFonts w:ascii="黑体" w:hAnsi="黑体" w:eastAsia="黑体" w:cs="黑体"/>
          <w:highlight w:val="none"/>
        </w:rPr>
      </w:pPr>
      <w:r/>
      <w:bookmarkStart w:id="650" w:name="_bookmark16"/>
      <w:r/>
      <w:bookmarkEnd w:id="650"/>
      <w:r/>
      <w:bookmarkStart w:id="651" w:name="三、磋商报价汇总表"/>
      <w:r/>
      <w:bookmarkEnd w:id="651"/>
      <w:r>
        <w:rPr>
          <w:rFonts w:hint="eastAsia" w:ascii="黑体" w:hAnsi="黑体" w:eastAsia="黑体" w:cs="黑体"/>
          <w:highlight w:val="none"/>
        </w:rPr>
        <w:br w:type="page" w:clear="all"/>
      </w:r>
      <w:r/>
    </w:p>
    <w:p>
      <w:pPr>
        <w:pStyle w:val="1123"/>
        <w:ind w:left="743"/>
        <w:rPr>
          <w:rFonts w:ascii="黑体" w:hAnsi="黑体" w:eastAsia="黑体" w:cs="黑体"/>
          <w:highlight w:val="none"/>
        </w:rPr>
      </w:pPr>
      <w:r>
        <w:rPr>
          <w:rFonts w:hint="eastAsia" w:ascii="黑体" w:hAnsi="黑体" w:eastAsia="黑体" w:cs="黑体"/>
          <w:highlight w:val="none"/>
        </w:rPr>
        <w:t xml:space="preserve">三、磋商报价汇总表</w:t>
      </w:r>
      <w:r/>
    </w:p>
    <w:p>
      <w:pPr>
        <w:pStyle w:val="1130"/>
        <w:spacing w:before="4"/>
        <w:rPr>
          <w:rFonts w:ascii="黑体" w:hAnsi="黑体" w:eastAsia="黑体" w:cs="黑体"/>
          <w:b/>
          <w:sz w:val="39"/>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磋商报价汇总表</w:t>
      </w:r>
      <w:r/>
    </w:p>
    <w:p>
      <w:pPr>
        <w:rPr>
          <w:rFonts w:ascii="黑体" w:hAnsi="黑体" w:eastAsia="黑体" w:cs="黑体"/>
          <w:sz w:val="28"/>
          <w:highlight w:val="none"/>
        </w:rPr>
        <w:sectPr>
          <w:footnotePr/>
          <w:endnotePr/>
          <w:type w:val="continuous"/>
          <w:pgSz w:w="11910" w:h="16840" w:orient="portrait"/>
          <w:pgMar w:top="1340" w:right="380" w:bottom="1180" w:left="560" w:header="720" w:footer="720" w:gutter="0"/>
          <w:cols w:num="2" w:sep="0" w:space="1701" w:equalWidth="0">
            <w:col w:w="2680" w:space="1211"/>
            <w:col w:w="7079" w:space="0"/>
          </w:cols>
          <w:docGrid w:linePitch="360"/>
        </w:sectPr>
      </w:pPr>
      <w:r>
        <w:rPr>
          <w:rFonts w:ascii="黑体" w:hAnsi="黑体" w:eastAsia="黑体" w:cs="黑体"/>
          <w:sz w:val="28"/>
          <w:highlight w:val="none"/>
        </w:rPr>
      </w:r>
      <w:r/>
    </w:p>
    <w:p>
      <w:pPr>
        <w:pStyle w:val="1130"/>
        <w:spacing w:before="5"/>
        <w:rPr>
          <w:rFonts w:ascii="黑体" w:hAnsi="黑体" w:eastAsia="黑体" w:cs="黑体"/>
          <w:b/>
          <w:sz w:val="8"/>
          <w:highlight w:val="none"/>
        </w:rPr>
      </w:pPr>
      <w:r>
        <w:rPr>
          <w:rFonts w:ascii="黑体" w:hAnsi="黑体" w:eastAsia="黑体" w:cs="黑体"/>
          <w:b/>
          <w:sz w:val="8"/>
          <w:highlight w:val="none"/>
        </w:rPr>
      </w:r>
      <w:r/>
    </w:p>
    <w:p>
      <w:pPr>
        <w:pStyle w:val="1130"/>
        <w:ind w:left="743"/>
        <w:spacing w:before="77"/>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JSZC-320115-JSXN-C2025-0020</w:t>
      </w:r>
      <w:r/>
    </w:p>
    <w:p>
      <w:pPr>
        <w:pStyle w:val="1130"/>
        <w:ind w:left="743"/>
        <w:spacing w:before="4" w:after="2"/>
        <w:rPr>
          <w:rFonts w:hint="default" w:ascii="黑体" w:hAnsi="黑体" w:eastAsia="黑体" w:cs="黑体"/>
          <w:highlight w:val="none"/>
          <w:lang w:eastAsia="zh-CN"/>
        </w:rPr>
      </w:pPr>
      <w:r>
        <w:rPr>
          <w:rFonts w:hint="eastAsia" w:ascii="黑体" w:hAnsi="黑体" w:eastAsia="黑体" w:cs="黑体"/>
          <w:highlight w:val="none"/>
        </w:rPr>
        <w:t xml:space="preserve">项目名称：</w:t>
      </w:r>
      <w:r>
        <w:rPr>
          <w:rFonts w:hint="eastAsia" w:ascii="黑体" w:hAnsi="黑体" w:eastAsia="黑体" w:cs="黑体"/>
          <w:highlight w:val="none"/>
          <w:lang w:eastAsia="zh-CN"/>
        </w:rPr>
        <w:t xml:space="preserve">秣陵街道社区卫生服务中心体检科改造工程</w:t>
      </w:r>
      <w:r/>
    </w:p>
    <w:tbl>
      <w:tblPr>
        <w:tblStyle w:val="1127"/>
        <w:tblW w:w="9135" w:type="dxa"/>
        <w:tblInd w:w="8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5781"/>
        <w:gridCol w:w="1680"/>
      </w:tblGrid>
      <w:tr>
        <w:trPr>
          <w:trHeight w:val="1586"/>
        </w:trPr>
        <w:tc>
          <w:tcPr>
            <w:tcW w:w="16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p>
            <w:pPr>
              <w:pStyle w:val="1146"/>
              <w:rPr>
                <w:rFonts w:ascii="黑体" w:hAnsi="黑体" w:eastAsia="黑体" w:cs="黑体"/>
                <w:sz w:val="20"/>
                <w:highlight w:val="none"/>
              </w:rPr>
            </w:pPr>
            <w:r>
              <w:rPr>
                <w:rFonts w:ascii="黑体" w:hAnsi="黑体" w:eastAsia="黑体" w:cs="黑体"/>
                <w:sz w:val="20"/>
                <w:highlight w:val="none"/>
              </w:rPr>
            </w:r>
            <w:r/>
          </w:p>
          <w:p>
            <w:pPr>
              <w:pStyle w:val="1146"/>
              <w:spacing w:before="10"/>
              <w:rPr>
                <w:rFonts w:ascii="黑体" w:hAnsi="黑体" w:eastAsia="黑体" w:cs="黑体"/>
                <w:sz w:val="23"/>
                <w:highlight w:val="none"/>
              </w:rPr>
            </w:pPr>
            <w:r>
              <w:rPr>
                <w:rFonts w:ascii="黑体" w:hAnsi="黑体" w:eastAsia="黑体" w:cs="黑体"/>
                <w:sz w:val="23"/>
                <w:highlight w:val="none"/>
              </w:rPr>
            </w:r>
            <w:r/>
          </w:p>
          <w:p>
            <w:pPr>
              <w:pStyle w:val="1146"/>
              <w:ind w:right="248"/>
              <w:jc w:val="right"/>
              <w:spacing w:before="1"/>
              <w:rPr>
                <w:rFonts w:ascii="黑体" w:hAnsi="黑体" w:eastAsia="黑体" w:cs="黑体"/>
                <w:sz w:val="21"/>
                <w:highlight w:val="none"/>
              </w:rPr>
            </w:pPr>
            <w:r>
              <w:rPr>
                <w:rFonts w:hint="eastAsia" w:ascii="黑体" w:hAnsi="黑体" w:eastAsia="黑体" w:cs="黑体"/>
                <w:sz w:val="21"/>
                <w:highlight w:val="none"/>
              </w:rPr>
              <w:t xml:space="preserve">磋商总报价</w:t>
            </w:r>
            <w:r/>
          </w:p>
        </w:tc>
        <w:tc>
          <w:tcPr>
            <w:tcW w:w="578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p>
            <w:pPr>
              <w:pStyle w:val="1146"/>
              <w:spacing w:before="10"/>
              <w:rPr>
                <w:rFonts w:ascii="黑体" w:hAnsi="黑体" w:eastAsia="黑体" w:cs="黑体"/>
                <w:sz w:val="23"/>
                <w:highlight w:val="none"/>
              </w:rPr>
            </w:pPr>
            <w:r>
              <w:rPr>
                <w:rFonts w:ascii="黑体" w:hAnsi="黑体" w:eastAsia="黑体" w:cs="黑体"/>
                <w:sz w:val="23"/>
                <w:highlight w:val="none"/>
              </w:rPr>
            </w:r>
            <w:r/>
          </w:p>
          <w:p>
            <w:pPr>
              <w:pStyle w:val="1146"/>
              <w:ind w:left="108"/>
              <w:rPr>
                <w:rFonts w:ascii="黑体" w:hAnsi="黑体" w:eastAsia="黑体" w:cs="黑体"/>
                <w:sz w:val="21"/>
                <w:highlight w:val="none"/>
              </w:rPr>
            </w:pPr>
            <w:r>
              <w:rPr>
                <w:rFonts w:hint="eastAsia" w:ascii="黑体" w:hAnsi="黑体" w:eastAsia="黑体" w:cs="黑体"/>
                <w:sz w:val="21"/>
                <w:highlight w:val="none"/>
              </w:rPr>
              <w:t xml:space="preserve">大写：人民币（元）</w:t>
            </w:r>
            <w:r/>
          </w:p>
          <w:p>
            <w:pPr>
              <w:pStyle w:val="1146"/>
              <w:ind w:left="108"/>
              <w:spacing w:before="122"/>
              <w:tabs>
                <w:tab w:val="left" w:pos="2731" w:leader="none"/>
              </w:tabs>
              <w:rPr>
                <w:rFonts w:ascii="黑体" w:hAnsi="黑体" w:eastAsia="黑体" w:cs="黑体"/>
                <w:sz w:val="21"/>
                <w:highlight w:val="none"/>
              </w:rPr>
            </w:pPr>
            <w:r>
              <w:rPr>
                <w:rFonts w:hint="eastAsia" w:ascii="黑体" w:hAnsi="黑体" w:eastAsia="黑体" w:cs="黑体"/>
                <w:sz w:val="21"/>
                <w:highlight w:val="none"/>
              </w:rPr>
              <w:t xml:space="preserve">小写：￥</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元</w:t>
            </w:r>
            <w:r/>
          </w:p>
        </w:tc>
        <w:tc>
          <w:tcPr>
            <w:tcW w:w="1680" w:type="dxa"/>
            <w:textDirection w:val="lrTb"/>
            <w:noWrap w:val="false"/>
          </w:tcPr>
          <w:p>
            <w:pPr>
              <w:pStyle w:val="1146"/>
              <w:ind w:left="526" w:right="298"/>
              <w:spacing w:before="2" w:line="270" w:lineRule="atLeast"/>
              <w:rPr>
                <w:rFonts w:ascii="黑体" w:hAnsi="黑体" w:eastAsia="黑体" w:cs="黑体"/>
                <w:b/>
                <w:sz w:val="21"/>
                <w:highlight w:val="none"/>
              </w:rPr>
            </w:pPr>
            <w:r>
              <w:rPr>
                <w:rFonts w:ascii="黑体" w:hAnsi="黑体" w:eastAsia="黑体" w:cs="黑体"/>
                <w:b/>
                <w:sz w:val="21"/>
                <w:highlight w:val="none"/>
              </w:rPr>
            </w:r>
            <w:r/>
          </w:p>
        </w:tc>
      </w:tr>
      <w:tr>
        <w:trPr>
          <w:trHeight w:val="519"/>
        </w:trPr>
        <w:tc>
          <w:tcPr>
            <w:tcW w:w="1674" w:type="dxa"/>
            <w:textDirection w:val="lrTb"/>
            <w:noWrap w:val="false"/>
          </w:tcPr>
          <w:p>
            <w:pPr>
              <w:pStyle w:val="1146"/>
              <w:ind w:right="198"/>
              <w:jc w:val="right"/>
              <w:spacing w:before="122"/>
              <w:rPr>
                <w:rFonts w:ascii="黑体" w:hAnsi="黑体" w:eastAsia="黑体" w:cs="黑体"/>
                <w:sz w:val="21"/>
                <w:highlight w:val="none"/>
              </w:rPr>
            </w:pPr>
            <w:r>
              <w:rPr>
                <w:rFonts w:hint="eastAsia" w:ascii="黑体" w:hAnsi="黑体" w:eastAsia="黑体" w:cs="黑体"/>
                <w:sz w:val="21"/>
                <w:highlight w:val="none"/>
              </w:rPr>
              <w:t xml:space="preserve">响应文件份数</w:t>
            </w:r>
            <w:r/>
          </w:p>
        </w:tc>
        <w:tc>
          <w:tcPr>
            <w:tcW w:w="5781" w:type="dxa"/>
            <w:textDirection w:val="lrTb"/>
            <w:noWrap w:val="false"/>
          </w:tcPr>
          <w:p>
            <w:pPr>
              <w:pStyle w:val="1146"/>
              <w:ind w:left="108"/>
              <w:spacing w:before="122"/>
              <w:tabs>
                <w:tab w:val="left" w:pos="1471" w:leader="none"/>
                <w:tab w:val="left" w:pos="3151" w:leader="none"/>
                <w:tab w:val="left" w:pos="4411" w:leader="none"/>
              </w:tabs>
              <w:rPr>
                <w:rFonts w:ascii="黑体" w:hAnsi="黑体" w:eastAsia="黑体" w:cs="黑体"/>
                <w:sz w:val="21"/>
                <w:highlight w:val="none"/>
              </w:rPr>
            </w:pPr>
            <w:r>
              <w:rPr>
                <w:rFonts w:hint="eastAsia" w:ascii="黑体" w:hAnsi="黑体" w:eastAsia="黑体" w:cs="黑体"/>
                <w:sz w:val="21"/>
                <w:highlight w:val="none"/>
              </w:rPr>
              <w:t xml:space="preserve">正本：</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份</w:t>
            </w:r>
            <w:r>
              <w:rPr>
                <w:rFonts w:hint="eastAsia" w:ascii="黑体" w:hAnsi="黑体" w:eastAsia="黑体" w:cs="黑体"/>
                <w:sz w:val="21"/>
                <w:highlight w:val="none"/>
              </w:rPr>
              <w:tab/>
            </w:r>
            <w:r>
              <w:rPr>
                <w:rFonts w:hint="eastAsia" w:ascii="黑体" w:hAnsi="黑体" w:eastAsia="黑体" w:cs="黑体"/>
                <w:sz w:val="21"/>
                <w:highlight w:val="none"/>
              </w:rPr>
              <w:t xml:space="preserve">副本：</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份</w:t>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597"/>
        </w:trPr>
        <w:tc>
          <w:tcPr>
            <w:tcW w:w="1674" w:type="dxa"/>
            <w:textDirection w:val="lrTb"/>
            <w:noWrap w:val="false"/>
          </w:tcPr>
          <w:p>
            <w:pPr>
              <w:pStyle w:val="1146"/>
              <w:ind w:left="604" w:right="599"/>
              <w:jc w:val="center"/>
              <w:spacing w:before="162"/>
              <w:rPr>
                <w:rFonts w:ascii="黑体" w:hAnsi="黑体" w:eastAsia="黑体" w:cs="黑体"/>
                <w:sz w:val="21"/>
                <w:highlight w:val="none"/>
              </w:rPr>
            </w:pPr>
            <w:r>
              <w:rPr>
                <w:rFonts w:hint="eastAsia" w:ascii="黑体" w:hAnsi="黑体" w:eastAsia="黑体" w:cs="黑体"/>
                <w:sz w:val="21"/>
                <w:highlight w:val="none"/>
              </w:rPr>
              <w:t xml:space="preserve">其它</w:t>
            </w:r>
            <w:r/>
          </w:p>
        </w:tc>
        <w:tc>
          <w:tcPr>
            <w:tcW w:w="5781" w:type="dxa"/>
            <w:textDirection w:val="lrTb"/>
            <w:noWrap w:val="false"/>
          </w:tcPr>
          <w:p>
            <w:pPr>
              <w:pStyle w:val="1146"/>
              <w:ind w:left="108"/>
              <w:spacing w:before="162"/>
              <w:rPr>
                <w:rFonts w:ascii="黑体" w:hAnsi="黑体" w:eastAsia="黑体" w:cs="黑体"/>
                <w:sz w:val="21"/>
                <w:highlight w:val="none"/>
              </w:rPr>
            </w:pPr>
            <w:r>
              <w:rPr>
                <w:rFonts w:hint="eastAsia" w:ascii="黑体" w:hAnsi="黑体" w:eastAsia="黑体" w:cs="黑体"/>
                <w:sz w:val="21"/>
                <w:highlight w:val="none"/>
              </w:rPr>
              <w:t xml:space="preserve">（如有优惠条件须在此注明）</w:t>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816"/>
        </w:trPr>
        <w:tc>
          <w:tcPr>
            <w:tcW w:w="1674" w:type="dxa"/>
            <w:textDirection w:val="lrTb"/>
            <w:noWrap w:val="false"/>
          </w:tcPr>
          <w:p>
            <w:pPr>
              <w:pStyle w:val="1146"/>
              <w:ind w:left="205"/>
              <w:spacing w:line="268" w:lineRule="exact"/>
              <w:rPr>
                <w:rFonts w:ascii="黑体" w:hAnsi="黑体" w:eastAsia="黑体" w:cs="黑体"/>
                <w:sz w:val="21"/>
                <w:highlight w:val="none"/>
              </w:rPr>
            </w:pPr>
            <w:r>
              <w:rPr>
                <w:rFonts w:hint="eastAsia" w:ascii="黑体" w:hAnsi="黑体" w:eastAsia="黑体" w:cs="黑体"/>
                <w:sz w:val="21"/>
                <w:highlight w:val="none"/>
              </w:rPr>
              <w:t xml:space="preserve">供应商是否属</w:t>
            </w:r>
            <w:r/>
          </w:p>
          <w:p>
            <w:pPr>
              <w:pStyle w:val="1146"/>
              <w:ind w:left="731" w:right="198" w:hanging="526"/>
              <w:spacing w:before="3" w:line="270" w:lineRule="atLeast"/>
              <w:rPr>
                <w:rFonts w:ascii="黑体" w:hAnsi="黑体" w:eastAsia="黑体" w:cs="黑体"/>
                <w:sz w:val="21"/>
                <w:highlight w:val="none"/>
              </w:rPr>
            </w:pPr>
            <w:r>
              <w:rPr>
                <w:rFonts w:hint="eastAsia" w:ascii="黑体" w:hAnsi="黑体" w:eastAsia="黑体" w:cs="黑体"/>
                <w:sz w:val="21"/>
                <w:highlight w:val="none"/>
              </w:rPr>
              <w:t xml:space="preserve">于中小微型企业</w:t>
            </w:r>
            <w:r/>
          </w:p>
        </w:tc>
        <w:tc>
          <w:tcPr>
            <w:tcW w:w="578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spacing w:before="3"/>
              <w:rPr>
                <w:rFonts w:ascii="黑体" w:hAnsi="黑体" w:eastAsia="黑体" w:cs="黑体"/>
                <w:sz w:val="21"/>
                <w:highlight w:val="none"/>
              </w:rPr>
            </w:pPr>
            <w:r>
              <w:rPr>
                <w:rFonts w:ascii="黑体" w:hAnsi="黑体" w:eastAsia="黑体" w:cs="黑体"/>
                <w:sz w:val="21"/>
                <w:highlight w:val="none"/>
              </w:rPr>
            </w:r>
            <w:r/>
          </w:p>
          <w:p>
            <w:pPr>
              <w:pStyle w:val="1146"/>
              <w:ind w:left="91" w:right="83"/>
              <w:jc w:val="center"/>
              <w:spacing w:before="1"/>
              <w:rPr>
                <w:rFonts w:ascii="黑体" w:hAnsi="黑体" w:eastAsia="黑体" w:cs="黑体"/>
                <w:sz w:val="21"/>
                <w:highlight w:val="none"/>
              </w:rPr>
            </w:pPr>
            <w:r>
              <w:rPr>
                <w:rFonts w:hint="eastAsia" w:ascii="黑体" w:hAnsi="黑体" w:eastAsia="黑体" w:cs="黑体"/>
                <w:spacing w:val="-28"/>
                <w:sz w:val="21"/>
                <w:highlight w:val="none"/>
              </w:rPr>
              <w:t xml:space="preserve">填写“是”或“否</w:t>
            </w:r>
            <w:r/>
          </w:p>
        </w:tc>
      </w:tr>
    </w:tbl>
    <w:p>
      <w:pPr>
        <w:jc w:val="center"/>
        <w:rPr>
          <w:rFonts w:ascii="黑体" w:hAnsi="黑体" w:eastAsia="黑体" w:cs="黑体"/>
          <w:sz w:val="21"/>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1"/>
          <w:highlight w:val="none"/>
        </w:rPr>
      </w:r>
      <w:r/>
    </w:p>
    <w:p>
      <w:pPr>
        <w:pStyle w:val="1130"/>
        <w:rPr>
          <w:rFonts w:ascii="黑体" w:hAnsi="黑体" w:eastAsia="黑体" w:cs="黑体"/>
          <w:sz w:val="22"/>
          <w:highlight w:val="none"/>
        </w:rPr>
      </w:pPr>
      <w:r>
        <w:rPr>
          <w:rFonts w:ascii="黑体" w:hAnsi="黑体" w:eastAsia="黑体" w:cs="黑体"/>
          <w:sz w:val="22"/>
          <w:highlight w:val="none"/>
        </w:rPr>
      </w:r>
      <w:r/>
    </w:p>
    <w:p>
      <w:pPr>
        <w:pStyle w:val="1130"/>
        <w:rPr>
          <w:rFonts w:ascii="黑体" w:hAnsi="黑体" w:eastAsia="黑体" w:cs="黑体"/>
          <w:sz w:val="22"/>
          <w:highlight w:val="none"/>
        </w:rPr>
      </w:pPr>
      <w:r>
        <w:rPr>
          <w:rFonts w:ascii="黑体" w:hAnsi="黑体" w:eastAsia="黑体" w:cs="黑体"/>
          <w:sz w:val="22"/>
          <w:highlight w:val="none"/>
        </w:rPr>
      </w:r>
      <w:r/>
    </w:p>
    <w:p>
      <w:pPr>
        <w:pStyle w:val="1130"/>
        <w:spacing w:before="9"/>
        <w:rPr>
          <w:rFonts w:ascii="黑体" w:hAnsi="黑体" w:eastAsia="黑体" w:cs="黑体"/>
          <w:sz w:val="19"/>
          <w:highlight w:val="none"/>
        </w:rPr>
      </w:pPr>
      <w:r>
        <w:rPr>
          <w:rFonts w:ascii="黑体" w:hAnsi="黑体" w:eastAsia="黑体" w:cs="黑体"/>
          <w:sz w:val="19"/>
          <w:highlight w:val="none"/>
        </w:rPr>
      </w:r>
      <w:r/>
    </w:p>
    <w:p>
      <w:pPr>
        <w:pStyle w:val="1130"/>
        <w:ind w:right="38"/>
        <w:jc w:val="right"/>
        <w:rPr>
          <w:rFonts w:ascii="黑体" w:hAnsi="黑体" w:eastAsia="黑体" w:cs="黑体"/>
          <w:highlight w:val="none"/>
        </w:rPr>
      </w:pPr>
      <w:r>
        <w:rPr>
          <w:rFonts w:hint="eastAsia" w:ascii="黑体" w:hAnsi="黑体" w:eastAsia="黑体" w:cs="黑体"/>
          <w:highlight w:val="none"/>
        </w:rPr>
        <w:t xml:space="preserve">说明:</w:t>
      </w:r>
      <w:r/>
    </w:p>
    <w:p>
      <w:pPr>
        <w:pStyle w:val="1130"/>
        <w:ind w:left="1268" w:right="2012" w:hanging="106"/>
        <w:spacing w:line="244"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w:t>
      </w:r>
      <w:r/>
    </w:p>
    <w:p>
      <w:pPr>
        <w:pStyle w:val="1130"/>
        <w:ind w:left="1268"/>
        <w:spacing w:line="265" w:lineRule="exact"/>
        <w:tabs>
          <w:tab w:val="left" w:pos="1899" w:leader="none"/>
          <w:tab w:val="left" w:pos="2739" w:leader="none"/>
          <w:tab w:val="left" w:pos="3368" w:leader="none"/>
          <w:tab w:val="left" w:pos="3894"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1682" w:space="4426"/>
            <w:col w:w="4862" w:space="0"/>
          </w:cols>
          <w:docGrid w:linePitch="360"/>
        </w:sectPr>
      </w:pPr>
      <w:r>
        <w:rPr>
          <w:rFonts w:ascii="黑体" w:hAnsi="黑体" w:eastAsia="黑体" w:cs="黑体"/>
          <w:highlight w:val="none"/>
        </w:rPr>
      </w:r>
      <w:r/>
    </w:p>
    <w:p>
      <w:pPr>
        <w:pStyle w:val="1130"/>
        <w:ind w:left="743" w:right="755" w:firstLine="420"/>
        <w:spacing w:before="5" w:line="242" w:lineRule="auto"/>
        <w:rPr>
          <w:rFonts w:ascii="黑体" w:hAnsi="黑体" w:eastAsia="黑体" w:cs="黑体"/>
          <w:highlight w:val="none"/>
        </w:rPr>
      </w:pPr>
      <w:r>
        <w:rPr>
          <w:rFonts w:hint="eastAsia" w:ascii="黑体" w:hAnsi="黑体" w:eastAsia="黑体" w:cs="黑体"/>
          <w:highlight w:val="none"/>
        </w:rPr>
        <w:t xml:space="preserve">1</w:t>
      </w:r>
      <w:r>
        <w:rPr>
          <w:rFonts w:hint="eastAsia" w:ascii="黑体" w:hAnsi="黑体" w:eastAsia="黑体" w:cs="黑体"/>
          <w:spacing w:val="-7"/>
          <w:highlight w:val="none"/>
        </w:rPr>
        <w:t xml:space="preserve">、代理机构对每一项货物和服务仅接受一个价格，</w:t>
      </w:r>
      <w:r>
        <w:rPr>
          <w:rFonts w:hint="eastAsia" w:ascii="黑体" w:hAnsi="黑体" w:eastAsia="黑体" w:cs="黑体"/>
          <w:highlight w:val="none"/>
          <w:shd w:val="clear" w:color="auto" w:fill="e4e4e4"/>
        </w:rPr>
        <w:t xml:space="preserve">不得填报有选择性报价方案</w:t>
      </w:r>
      <w:r>
        <w:rPr>
          <w:rFonts w:hint="eastAsia" w:ascii="黑体" w:hAnsi="黑体" w:eastAsia="黑体" w:cs="黑体"/>
          <w:spacing w:val="-6"/>
          <w:highlight w:val="none"/>
        </w:rPr>
        <w:t xml:space="preserve">。若有优惠条款须注   </w:t>
      </w:r>
      <w:r>
        <w:rPr>
          <w:rFonts w:hint="eastAsia" w:ascii="黑体" w:hAnsi="黑体" w:eastAsia="黑体" w:cs="黑体"/>
          <w:spacing w:val="-6"/>
          <w:highlight w:val="none"/>
        </w:rPr>
        <w:t xml:space="preserve">明，但不得影响报价，影响产品整体功能。</w:t>
      </w:r>
      <w:r/>
    </w:p>
    <w:p>
      <w:pPr>
        <w:spacing w:line="242" w:lineRule="auto"/>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23"/>
        <w:ind w:left="743"/>
        <w:spacing w:before="62"/>
        <w:rPr>
          <w:rFonts w:ascii="黑体" w:hAnsi="黑体" w:eastAsia="黑体" w:cs="黑体"/>
          <w:highlight w:val="none"/>
        </w:rPr>
      </w:pPr>
      <w:r/>
      <w:bookmarkStart w:id="652" w:name="七、商务条款响应表"/>
      <w:r/>
      <w:bookmarkEnd w:id="652"/>
      <w:r/>
      <w:bookmarkStart w:id="653" w:name="_bookmark17"/>
      <w:r/>
      <w:bookmarkEnd w:id="653"/>
      <w:r>
        <w:rPr>
          <w:rFonts w:hint="eastAsia" w:ascii="黑体" w:hAnsi="黑体" w:eastAsia="黑体" w:cs="黑体"/>
          <w:highlight w:val="none"/>
        </w:rPr>
        <w:t xml:space="preserve">四、磋商分项报价表</w:t>
      </w:r>
      <w:r/>
    </w:p>
    <w:p>
      <w:pPr>
        <w:pStyle w:val="1130"/>
        <w:spacing w:before="5"/>
        <w:rPr>
          <w:rFonts w:ascii="黑体" w:hAnsi="黑体" w:eastAsia="黑体" w:cs="黑体"/>
          <w:b/>
          <w:sz w:val="26"/>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磋商分项报价表</w:t>
      </w:r>
      <w:r/>
    </w:p>
    <w:p>
      <w:pPr>
        <w:rPr>
          <w:rFonts w:ascii="黑体" w:hAnsi="黑体" w:eastAsia="黑体" w:cs="黑体"/>
          <w:sz w:val="28"/>
          <w:highlight w:val="none"/>
        </w:rPr>
        <w:sectPr>
          <w:footerReference w:type="default" r:id="rId19"/>
          <w:footnotePr/>
          <w:endnotePr/>
          <w:type w:val="nextPage"/>
          <w:pgSz w:w="11910" w:h="16840" w:orient="portrait"/>
          <w:pgMar w:top="1340" w:right="380" w:bottom="1380" w:left="560" w:header="878" w:footer="1196" w:gutter="0"/>
          <w:cols w:num="2" w:sep="0" w:space="1701" w:equalWidth="0">
            <w:col w:w="2680" w:space="1211"/>
            <w:col w:w="7079" w:space="0"/>
          </w:cols>
          <w:docGrid w:linePitch="360"/>
        </w:sectPr>
      </w:pPr>
      <w:r>
        <w:rPr>
          <w:rFonts w:ascii="黑体" w:hAnsi="黑体" w:eastAsia="黑体" w:cs="黑体"/>
          <w:sz w:val="28"/>
          <w:highlight w:val="none"/>
        </w:rPr>
      </w:r>
      <w:r/>
    </w:p>
    <w:p>
      <w:pPr>
        <w:pStyle w:val="1130"/>
        <w:spacing w:before="5"/>
        <w:rPr>
          <w:rFonts w:ascii="黑体" w:hAnsi="黑体" w:eastAsia="黑体" w:cs="黑体"/>
          <w:b/>
          <w:sz w:val="8"/>
          <w:highlight w:val="none"/>
        </w:rPr>
      </w:pPr>
      <w:r>
        <w:rPr>
          <w:rFonts w:ascii="黑体" w:hAnsi="黑体" w:eastAsia="黑体" w:cs="黑体"/>
          <w:b/>
          <w:sz w:val="8"/>
          <w:highlight w:val="none"/>
        </w:rPr>
      </w:r>
      <w:r/>
    </w:p>
    <w:p>
      <w:pPr>
        <w:pStyle w:val="1130"/>
        <w:ind w:left="743"/>
        <w:spacing w:before="76"/>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JSZC-320115-JSXN-C2025-0020</w:t>
      </w:r>
      <w:r/>
    </w:p>
    <w:p>
      <w:pPr>
        <w:pStyle w:val="1130"/>
        <w:ind w:left="743"/>
        <w:spacing w:before="3"/>
        <w:rPr>
          <w:rFonts w:hint="default" w:ascii="黑体" w:hAnsi="黑体" w:eastAsia="黑体" w:cs="黑体"/>
          <w:highlight w:val="none"/>
          <w:lang w:eastAsia="zh-CN"/>
        </w:rPr>
      </w:pPr>
      <w:r>
        <w:rPr>
          <w:rFonts w:hint="eastAsia" w:ascii="黑体" w:hAnsi="黑体" w:eastAsia="黑体" w:cs="黑体"/>
          <w:highlight w:val="none"/>
        </w:rPr>
        <w:t xml:space="preserve">项目名称：</w:t>
      </w:r>
      <w:r>
        <w:rPr>
          <w:rFonts w:hint="eastAsia" w:ascii="黑体" w:hAnsi="黑体" w:eastAsia="黑体" w:cs="黑体"/>
          <w:highlight w:val="none"/>
          <w:lang w:eastAsia="zh-CN"/>
        </w:rPr>
        <w:t xml:space="preserve">秣陵街道社区卫生服务中心体检科改造工程</w:t>
      </w:r>
      <w:r/>
    </w:p>
    <w:p>
      <w:pPr>
        <w:pStyle w:val="1130"/>
        <w:rPr>
          <w:rFonts w:ascii="黑体" w:hAnsi="黑体" w:eastAsia="黑体" w:cs="黑体"/>
          <w:sz w:val="19"/>
          <w:highlight w:val="none"/>
        </w:rPr>
      </w:pPr>
      <w:r>
        <w:rPr>
          <w:rFonts w:ascii="黑体" w:hAnsi="黑体" w:eastAsia="黑体" w:cs="黑体"/>
          <w:sz w:val="19"/>
          <w:highlight w:val="none"/>
        </w:rPr>
      </w:r>
      <w:r/>
    </w:p>
    <w:p>
      <w:pPr>
        <w:pStyle w:val="1130"/>
        <w:ind w:right="9"/>
        <w:jc w:val="center"/>
        <w:spacing w:before="1"/>
        <w:rPr>
          <w:rFonts w:ascii="黑体" w:hAnsi="黑体" w:eastAsia="黑体" w:cs="黑体"/>
          <w:highlight w:val="none"/>
        </w:rPr>
      </w:pPr>
      <w:r>
        <w:rPr>
          <w:rFonts w:hint="eastAsia" w:ascii="黑体" w:hAnsi="黑体" w:eastAsia="黑体" w:cs="黑体"/>
          <w:highlight w:val="none"/>
        </w:rPr>
        <w:t xml:space="preserve">（按照采购文件附件《工程量清单》要求报价）</w:t>
      </w:r>
      <w:r/>
    </w:p>
    <w:p>
      <w:pPr>
        <w:pStyle w:val="1130"/>
        <w:spacing w:before="8"/>
        <w:rPr>
          <w:rFonts w:ascii="黑体" w:hAnsi="黑体" w:eastAsia="黑体" w:cs="黑体"/>
          <w:sz w:val="13"/>
          <w:highlight w:val="none"/>
        </w:rPr>
      </w:pPr>
      <w:r>
        <w:rPr>
          <w:rFonts w:ascii="黑体" w:hAnsi="黑体" w:eastAsia="黑体" w:cs="黑体"/>
          <w:sz w:val="13"/>
          <w:highlight w:val="none"/>
        </w:rPr>
      </w:r>
      <w:r/>
    </w:p>
    <w:p>
      <w:pPr>
        <w:rPr>
          <w:rFonts w:ascii="黑体" w:hAnsi="黑体" w:eastAsia="黑体" w:cs="黑体"/>
          <w:sz w:val="13"/>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13"/>
          <w:highlight w:val="none"/>
        </w:rPr>
      </w:r>
      <w:r/>
    </w:p>
    <w:p>
      <w:pPr>
        <w:pStyle w:val="1130"/>
        <w:rPr>
          <w:rFonts w:ascii="黑体" w:hAnsi="黑体" w:eastAsia="黑体" w:cs="黑体"/>
          <w:sz w:val="22"/>
          <w:highlight w:val="none"/>
        </w:rPr>
      </w:pPr>
      <w:r>
        <w:rPr>
          <w:rFonts w:ascii="黑体" w:hAnsi="黑体" w:eastAsia="黑体" w:cs="黑体"/>
          <w:sz w:val="22"/>
          <w:highlight w:val="none"/>
        </w:rPr>
      </w:r>
      <w:r/>
    </w:p>
    <w:p>
      <w:pPr>
        <w:pStyle w:val="1130"/>
        <w:rPr>
          <w:rFonts w:ascii="黑体" w:hAnsi="黑体" w:eastAsia="黑体" w:cs="黑体"/>
          <w:sz w:val="22"/>
          <w:highlight w:val="none"/>
        </w:rPr>
      </w:pPr>
      <w:r>
        <w:rPr>
          <w:rFonts w:ascii="黑体" w:hAnsi="黑体" w:eastAsia="黑体" w:cs="黑体"/>
          <w:sz w:val="22"/>
          <w:highlight w:val="none"/>
        </w:rPr>
      </w:r>
      <w:r/>
    </w:p>
    <w:p>
      <w:pPr>
        <w:pStyle w:val="1130"/>
        <w:spacing w:before="4"/>
        <w:rPr>
          <w:rFonts w:ascii="黑体" w:hAnsi="黑体" w:eastAsia="黑体" w:cs="黑体"/>
          <w:sz w:val="25"/>
          <w:highlight w:val="none"/>
        </w:rPr>
      </w:pPr>
      <w:r>
        <w:rPr>
          <w:rFonts w:ascii="黑体" w:hAnsi="黑体" w:eastAsia="黑体" w:cs="黑体"/>
          <w:sz w:val="25"/>
          <w:highlight w:val="none"/>
        </w:rPr>
      </w:r>
      <w:r/>
    </w:p>
    <w:p>
      <w:pPr>
        <w:pStyle w:val="1130"/>
        <w:ind w:right="38"/>
        <w:jc w:val="right"/>
        <w:rPr>
          <w:rFonts w:ascii="黑体" w:hAnsi="黑体" w:eastAsia="黑体" w:cs="黑体"/>
          <w:highlight w:val="none"/>
        </w:rPr>
      </w:pPr>
      <w:r>
        <w:rPr>
          <w:rFonts w:hint="eastAsia" w:ascii="黑体" w:hAnsi="黑体" w:eastAsia="黑体" w:cs="黑体"/>
          <w:highlight w:val="none"/>
        </w:rPr>
        <w:t xml:space="preserve">说明:</w:t>
      </w:r>
      <w:r/>
    </w:p>
    <w:p>
      <w:pPr>
        <w:pStyle w:val="1130"/>
        <w:ind w:left="1268" w:right="2012" w:hanging="106"/>
        <w:spacing w:before="70" w:line="244"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w:t>
      </w:r>
      <w:r/>
    </w:p>
    <w:p>
      <w:pPr>
        <w:pStyle w:val="1130"/>
        <w:ind w:left="1268"/>
        <w:spacing w:line="265" w:lineRule="exact"/>
        <w:tabs>
          <w:tab w:val="left" w:pos="1899" w:leader="none"/>
          <w:tab w:val="left" w:pos="2739" w:leader="none"/>
          <w:tab w:val="left" w:pos="3368" w:leader="none"/>
          <w:tab w:val="left" w:pos="3894"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1682" w:space="4426"/>
            <w:col w:w="4862" w:space="0"/>
          </w:cols>
          <w:docGrid w:linePitch="360"/>
        </w:sectPr>
      </w:pPr>
      <w:r>
        <w:rPr>
          <w:rFonts w:ascii="黑体" w:hAnsi="黑体" w:eastAsia="黑体" w:cs="黑体"/>
          <w:highlight w:val="none"/>
        </w:rPr>
      </w:r>
      <w:r/>
    </w:p>
    <w:p>
      <w:pPr>
        <w:pStyle w:val="1130"/>
        <w:ind w:left="743" w:right="755" w:firstLine="420"/>
        <w:spacing w:before="2" w:line="242" w:lineRule="auto"/>
        <w:rPr>
          <w:rFonts w:ascii="黑体" w:hAnsi="黑体" w:eastAsia="黑体" w:cs="黑体"/>
          <w:highlight w:val="none"/>
        </w:rPr>
      </w:pPr>
      <w:r>
        <w:rPr>
          <w:rFonts w:hint="eastAsia" w:ascii="黑体" w:hAnsi="黑体" w:eastAsia="黑体" w:cs="黑体"/>
          <w:highlight w:val="none"/>
        </w:rPr>
        <w:t xml:space="preserve">1</w:t>
      </w:r>
      <w:r>
        <w:rPr>
          <w:rFonts w:hint="eastAsia" w:ascii="黑体" w:hAnsi="黑体" w:eastAsia="黑体" w:cs="黑体"/>
          <w:spacing w:val="-7"/>
          <w:highlight w:val="none"/>
        </w:rPr>
        <w:t xml:space="preserve">、代理机构对每一项货物和服务仅接受一个价格，</w:t>
      </w:r>
      <w:r>
        <w:rPr>
          <w:rFonts w:hint="eastAsia" w:ascii="黑体" w:hAnsi="黑体" w:eastAsia="黑体" w:cs="黑体"/>
          <w:highlight w:val="none"/>
          <w:shd w:val="clear" w:color="auto" w:fill="e4e4e4"/>
        </w:rPr>
        <w:t xml:space="preserve">不得填报有选择性报价方案</w:t>
      </w:r>
      <w:r>
        <w:rPr>
          <w:rFonts w:hint="eastAsia" w:ascii="黑体" w:hAnsi="黑体" w:eastAsia="黑体" w:cs="黑体"/>
          <w:spacing w:val="-6"/>
          <w:highlight w:val="none"/>
        </w:rPr>
        <w:t xml:space="preserve">。若有优惠条款须注</w:t>
      </w:r>
      <w:r>
        <w:rPr>
          <w:rFonts w:hint="eastAsia" w:ascii="黑体" w:hAnsi="黑体" w:eastAsia="黑体" w:cs="黑体"/>
          <w:spacing w:val="-6"/>
          <w:highlight w:val="none"/>
        </w:rPr>
        <w:t xml:space="preserve">明，但不得影响报价，影响产品整体功能。</w:t>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spacing w:before="11"/>
        <w:rPr>
          <w:rFonts w:ascii="黑体" w:hAnsi="黑体" w:eastAsia="黑体" w:cs="黑体"/>
          <w:sz w:val="17"/>
          <w:highlight w:val="none"/>
        </w:rPr>
      </w:pPr>
      <w:r>
        <w:rPr>
          <w:rFonts w:ascii="黑体" w:hAnsi="黑体" w:eastAsia="黑体" w:cs="黑体"/>
          <w:sz w:val="17"/>
          <w:highlight w:val="none"/>
        </w:rPr>
      </w:r>
      <w:r/>
    </w:p>
    <w:p>
      <w:pPr>
        <w:pStyle w:val="1130"/>
        <w:rPr>
          <w:rFonts w:ascii="黑体" w:hAnsi="黑体" w:eastAsia="黑体" w:cs="黑体"/>
          <w:b/>
          <w:sz w:val="20"/>
          <w:highlight w:val="none"/>
        </w:rPr>
      </w:pPr>
      <w:r/>
      <w:bookmarkStart w:id="654" w:name="_bookmark18"/>
      <w:r/>
      <w:bookmarkEnd w:id="654"/>
      <w:r/>
      <w:bookmarkStart w:id="655" w:name="五、磋商保证金到账收据"/>
      <w:r/>
      <w:bookmarkEnd w:id="655"/>
      <w:r/>
      <w:r/>
    </w:p>
    <w:p>
      <w:pPr>
        <w:pStyle w:val="1130"/>
        <w:rPr>
          <w:rFonts w:ascii="黑体" w:hAnsi="黑体" w:eastAsia="黑体" w:cs="黑体"/>
          <w:b/>
          <w:sz w:val="20"/>
          <w:highlight w:val="none"/>
        </w:rPr>
      </w:pPr>
      <w:r>
        <w:rPr>
          <w:rFonts w:ascii="黑体" w:hAnsi="黑体" w:eastAsia="黑体" w:cs="黑体"/>
          <w:b/>
          <w:sz w:val="20"/>
          <w:highlight w:val="none"/>
        </w:rPr>
      </w:r>
      <w:r/>
    </w:p>
    <w:p>
      <w:pPr>
        <w:pStyle w:val="1130"/>
        <w:rPr>
          <w:rFonts w:ascii="黑体" w:hAnsi="黑体" w:eastAsia="黑体" w:cs="黑体"/>
          <w:b/>
          <w:sz w:val="20"/>
          <w:highlight w:val="none"/>
        </w:rPr>
      </w:pPr>
      <w:r>
        <w:rPr>
          <w:rFonts w:ascii="黑体" w:hAnsi="黑体" w:eastAsia="黑体" w:cs="黑体"/>
          <w:b/>
          <w:sz w:val="20"/>
          <w:highlight w:val="none"/>
        </w:rPr>
      </w:r>
      <w:r/>
    </w:p>
    <w:p>
      <w:pPr>
        <w:pStyle w:val="1130"/>
        <w:spacing w:before="7"/>
        <w:rPr>
          <w:rFonts w:ascii="黑体" w:hAnsi="黑体" w:eastAsia="黑体" w:cs="黑体"/>
          <w:b/>
          <w:sz w:val="24"/>
          <w:highlight w:val="none"/>
        </w:rPr>
      </w:pPr>
      <w:r>
        <w:rPr>
          <w:rFonts w:ascii="黑体" w:hAnsi="黑体" w:eastAsia="黑体" w:cs="黑体"/>
          <w:b/>
          <w:sz w:val="24"/>
          <w:highlight w:val="none"/>
        </w:rPr>
      </w:r>
      <w:r/>
    </w:p>
    <w:p>
      <w:pPr>
        <w:rPr>
          <w:rFonts w:ascii="黑体" w:hAnsi="黑体" w:eastAsia="黑体" w:cs="黑体"/>
          <w:b/>
          <w:sz w:val="24"/>
          <w:highlight w:val="none"/>
        </w:rPr>
      </w:pPr>
      <w:r/>
      <w:bookmarkStart w:id="656" w:name="_bookmark19"/>
      <w:r/>
      <w:bookmarkEnd w:id="656"/>
      <w:r/>
      <w:bookmarkStart w:id="657" w:name="六、资格证明"/>
      <w:r/>
      <w:bookmarkEnd w:id="657"/>
      <w:r>
        <w:rPr>
          <w:rFonts w:hint="eastAsia" w:ascii="黑体" w:hAnsi="黑体" w:eastAsia="黑体" w:cs="黑体"/>
          <w:b/>
          <w:sz w:val="24"/>
          <w:highlight w:val="none"/>
        </w:rPr>
        <w:br w:type="page" w:clear="all"/>
      </w:r>
      <w:r/>
    </w:p>
    <w:p>
      <w:pPr>
        <w:ind w:right="8032"/>
        <w:jc w:val="center"/>
        <w:spacing w:before="66"/>
        <w:rPr>
          <w:rFonts w:ascii="黑体" w:hAnsi="黑体" w:eastAsia="黑体" w:cs="黑体"/>
          <w:b/>
          <w:sz w:val="24"/>
          <w:highlight w:val="none"/>
        </w:rPr>
      </w:pPr>
      <w:r>
        <w:rPr>
          <w:rFonts w:hint="eastAsia" w:ascii="黑体" w:hAnsi="黑体" w:eastAsia="黑体" w:cs="黑体"/>
          <w:b/>
          <w:sz w:val="24"/>
          <w:highlight w:val="none"/>
        </w:rPr>
        <w:t xml:space="preserve">五、资格证明</w:t>
      </w:r>
      <w:r/>
    </w:p>
    <w:p>
      <w:pPr>
        <w:ind w:left="1767" w:right="1357"/>
        <w:jc w:val="center"/>
        <w:spacing w:before="2"/>
        <w:rPr>
          <w:rFonts w:ascii="黑体" w:hAnsi="黑体" w:eastAsia="黑体" w:cs="黑体"/>
          <w:b/>
          <w:sz w:val="24"/>
          <w:highlight w:val="none"/>
        </w:rPr>
      </w:pPr>
      <w:r>
        <w:rPr>
          <w:rFonts w:hint="eastAsia" w:ascii="黑体" w:hAnsi="黑体" w:eastAsia="黑体" w:cs="黑体"/>
          <w:b/>
          <w:sz w:val="24"/>
          <w:highlight w:val="none"/>
        </w:rPr>
        <w:t xml:space="preserve">资格证明</w:t>
      </w:r>
      <w:r/>
    </w:p>
    <w:p>
      <w:pPr>
        <w:pStyle w:val="1130"/>
        <w:rPr>
          <w:rFonts w:ascii="黑体" w:hAnsi="黑体" w:eastAsia="黑体" w:cs="黑体"/>
          <w:b/>
          <w:sz w:val="16"/>
          <w:highlight w:val="none"/>
        </w:rPr>
      </w:pPr>
      <w:r>
        <w:rPr>
          <w:rFonts w:ascii="黑体" w:hAnsi="黑体" w:eastAsia="黑体" w:cs="黑体"/>
          <w:b/>
          <w:sz w:val="16"/>
          <w:highlight w:val="none"/>
        </w:rPr>
      </w:r>
      <w:r/>
    </w:p>
    <w:p>
      <w:pPr>
        <w:ind w:left="743" w:right="752" w:firstLine="480"/>
        <w:jc w:val="both"/>
        <w:spacing w:before="66" w:line="343" w:lineRule="auto"/>
        <w:rPr>
          <w:rFonts w:ascii="黑体" w:hAnsi="黑体" w:eastAsia="黑体" w:cs="黑体"/>
          <w:sz w:val="24"/>
          <w:highlight w:val="none"/>
        </w:rPr>
      </w:pPr>
      <w:r>
        <w:rPr>
          <w:rFonts w:hint="eastAsia" w:ascii="黑体" w:hAnsi="黑体" w:eastAsia="黑体" w:cs="黑体"/>
          <w:sz w:val="24"/>
          <w:highlight w:val="none"/>
        </w:rPr>
        <w:t xml:space="preserve">（</w:t>
      </w:r>
      <w:r>
        <w:rPr>
          <w:rFonts w:hint="eastAsia" w:ascii="黑体" w:hAnsi="黑体" w:eastAsia="黑体" w:cs="黑体"/>
          <w:spacing w:val="-7"/>
          <w:sz w:val="24"/>
          <w:highlight w:val="none"/>
        </w:rPr>
        <w:t xml:space="preserve">格式由供应商自定，据实提交，含第二章</w:t>
      </w:r>
      <w:r>
        <w:rPr>
          <w:rFonts w:hint="eastAsia" w:ascii="黑体" w:hAnsi="黑体" w:eastAsia="黑体" w:cs="黑体"/>
          <w:spacing w:val="-3"/>
          <w:sz w:val="24"/>
          <w:highlight w:val="none"/>
        </w:rPr>
        <w:t xml:space="preserve">《中华人民共和国政府采购法》规定的</w:t>
      </w:r>
      <w:r>
        <w:rPr>
          <w:rFonts w:hint="eastAsia" w:ascii="黑体" w:hAnsi="黑体" w:eastAsia="黑体" w:cs="黑体"/>
          <w:spacing w:val="-1"/>
          <w:sz w:val="24"/>
          <w:highlight w:val="none"/>
        </w:rPr>
        <w:t xml:space="preserve">条件证明文件、</w:t>
      </w:r>
      <w:r>
        <w:rPr>
          <w:rFonts w:hint="eastAsia" w:ascii="黑体" w:hAnsi="黑体" w:eastAsia="黑体" w:cs="黑体"/>
          <w:spacing w:val="-8"/>
          <w:sz w:val="24"/>
          <w:highlight w:val="none"/>
        </w:rPr>
        <w:t xml:space="preserve">采购人根据采购项目的特殊要求提出的特定条件证明文件、南京市政府采购供应商信用记录表暨信用承诺书、</w:t>
      </w:r>
      <w:r>
        <w:rPr>
          <w:rFonts w:hint="eastAsia" w:ascii="黑体" w:hAnsi="黑体" w:eastAsia="黑体" w:cs="黑体"/>
          <w:sz w:val="24"/>
          <w:highlight w:val="none"/>
        </w:rPr>
        <w:t xml:space="preserve">供应商认为需要提供的其他资格证明文件等）</w:t>
      </w:r>
      <w:r/>
    </w:p>
    <w:p>
      <w:pPr>
        <w:jc w:val="both"/>
        <w:spacing w:line="343" w:lineRule="auto"/>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4"/>
          <w:highlight w:val="none"/>
        </w:rPr>
      </w:r>
      <w:r/>
    </w:p>
    <w:p>
      <w:pPr>
        <w:pStyle w:val="1130"/>
        <w:spacing w:before="9"/>
        <w:rPr>
          <w:rFonts w:ascii="黑体" w:hAnsi="黑体" w:eastAsia="黑体" w:cs="黑体"/>
          <w:sz w:val="9"/>
          <w:highlight w:val="none"/>
        </w:rPr>
      </w:pPr>
      <w:r>
        <w:rPr>
          <w:rFonts w:ascii="黑体" w:hAnsi="黑体" w:eastAsia="黑体" w:cs="黑体"/>
          <w:sz w:val="9"/>
          <w:highlight w:val="none"/>
        </w:rPr>
      </w:r>
      <w:r/>
    </w:p>
    <w:p>
      <w:pPr>
        <w:ind w:left="743"/>
        <w:spacing w:before="66"/>
        <w:rPr>
          <w:rFonts w:ascii="黑体" w:hAnsi="黑体" w:eastAsia="黑体" w:cs="黑体"/>
          <w:b/>
          <w:sz w:val="24"/>
          <w:highlight w:val="none"/>
        </w:rPr>
      </w:pPr>
      <w:r/>
      <w:bookmarkStart w:id="658" w:name="_bookmark20"/>
      <w:r/>
      <w:bookmarkEnd w:id="658"/>
      <w:r/>
      <w:bookmarkStart w:id="659" w:name="九、项目参与人员基本情况表"/>
      <w:r/>
      <w:bookmarkEnd w:id="659"/>
      <w:r>
        <w:rPr>
          <w:rFonts w:hint="eastAsia" w:ascii="黑体" w:hAnsi="黑体" w:eastAsia="黑体" w:cs="黑体"/>
          <w:b/>
          <w:sz w:val="24"/>
          <w:highlight w:val="none"/>
        </w:rPr>
        <w:t xml:space="preserve">六、商务条款响应表</w:t>
      </w:r>
      <w:r/>
    </w:p>
    <w:p>
      <w:pPr>
        <w:pStyle w:val="1130"/>
        <w:spacing w:before="1"/>
        <w:rPr>
          <w:rFonts w:ascii="黑体" w:hAnsi="黑体" w:eastAsia="黑体" w:cs="黑体"/>
          <w:b/>
          <w:sz w:val="18"/>
          <w:highlight w:val="none"/>
        </w:rPr>
      </w:pPr>
      <w:r>
        <w:rPr>
          <w:rFonts w:ascii="黑体" w:hAnsi="黑体" w:eastAsia="黑体" w:cs="黑体"/>
          <w:b/>
          <w:sz w:val="18"/>
          <w:highlight w:val="none"/>
        </w:rPr>
      </w:r>
      <w:r/>
    </w:p>
    <w:p>
      <w:pPr>
        <w:ind w:right="2"/>
        <w:jc w:val="center"/>
        <w:spacing w:before="66"/>
        <w:rPr>
          <w:rFonts w:ascii="黑体" w:hAnsi="黑体" w:eastAsia="黑体" w:cs="黑体"/>
          <w:b/>
          <w:sz w:val="24"/>
          <w:highlight w:val="none"/>
        </w:rPr>
      </w:pPr>
      <w:r>
        <w:rPr>
          <w:rFonts w:hint="eastAsia" w:ascii="黑体" w:hAnsi="黑体" w:eastAsia="黑体" w:cs="黑体"/>
          <w:b/>
          <w:sz w:val="24"/>
          <w:highlight w:val="none"/>
        </w:rPr>
        <w:t xml:space="preserve">商务条款响应表</w:t>
      </w:r>
      <w:r/>
    </w:p>
    <w:p>
      <w:pPr>
        <w:pStyle w:val="1130"/>
        <w:ind w:left="743"/>
        <w:spacing w:before="3"/>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JSZC-320115-JSXN-C2025-0020</w:t>
      </w:r>
      <w:r/>
    </w:p>
    <w:p>
      <w:pPr>
        <w:pStyle w:val="1130"/>
        <w:ind w:left="743"/>
        <w:spacing w:before="3" w:after="3"/>
        <w:rPr>
          <w:rFonts w:ascii="黑体" w:hAnsi="黑体" w:eastAsia="黑体" w:cs="黑体"/>
          <w:highlight w:val="none"/>
        </w:rPr>
      </w:pPr>
      <w:r>
        <w:rPr>
          <w:rFonts w:hint="eastAsia" w:ascii="黑体" w:hAnsi="黑体" w:eastAsia="黑体" w:cs="黑体"/>
          <w:highlight w:val="none"/>
        </w:rPr>
        <w:t xml:space="preserve">项目名称：</w:t>
      </w:r>
      <w:r/>
    </w:p>
    <w:tbl>
      <w:tblPr>
        <w:tblStyle w:val="1127"/>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textDirection w:val="lrTb"/>
            <w:noWrap w:val="false"/>
          </w:tcPr>
          <w:p>
            <w:pPr>
              <w:pStyle w:val="1146"/>
              <w:ind w:left="402"/>
              <w:spacing w:before="65"/>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tcW w:w="3291" w:type="dxa"/>
            <w:textDirection w:val="lrTb"/>
            <w:noWrap w:val="false"/>
          </w:tcPr>
          <w:p>
            <w:pPr>
              <w:pStyle w:val="1146"/>
              <w:ind w:left="699"/>
              <w:spacing w:before="65"/>
              <w:rPr>
                <w:rFonts w:ascii="黑体" w:hAnsi="黑体" w:eastAsia="黑体" w:cs="黑体"/>
                <w:b/>
                <w:sz w:val="21"/>
                <w:highlight w:val="none"/>
              </w:rPr>
            </w:pPr>
            <w:r>
              <w:rPr>
                <w:rFonts w:hint="eastAsia" w:ascii="黑体" w:hAnsi="黑体" w:eastAsia="黑体" w:cs="黑体"/>
                <w:b/>
                <w:sz w:val="21"/>
                <w:highlight w:val="none"/>
              </w:rPr>
              <w:t xml:space="preserve">采购文件的商务条款</w:t>
            </w:r>
            <w:r/>
          </w:p>
        </w:tc>
        <w:tc>
          <w:tcPr>
            <w:tcW w:w="3429" w:type="dxa"/>
            <w:textDirection w:val="lrTb"/>
            <w:noWrap w:val="false"/>
          </w:tcPr>
          <w:p>
            <w:pPr>
              <w:pStyle w:val="1146"/>
              <w:ind w:left="768"/>
              <w:spacing w:before="65"/>
              <w:rPr>
                <w:rFonts w:ascii="黑体" w:hAnsi="黑体" w:eastAsia="黑体" w:cs="黑体"/>
                <w:b/>
                <w:sz w:val="21"/>
                <w:highlight w:val="none"/>
              </w:rPr>
            </w:pPr>
            <w:r>
              <w:rPr>
                <w:rFonts w:hint="eastAsia" w:ascii="黑体" w:hAnsi="黑体" w:eastAsia="黑体" w:cs="黑体"/>
                <w:b/>
                <w:sz w:val="21"/>
                <w:highlight w:val="none"/>
              </w:rPr>
              <w:t xml:space="preserve">响应文件的商务条款</w:t>
            </w:r>
            <w:r/>
          </w:p>
        </w:tc>
        <w:tc>
          <w:tcPr>
            <w:tcW w:w="1265" w:type="dxa"/>
            <w:textDirection w:val="lrTb"/>
            <w:noWrap w:val="false"/>
          </w:tcPr>
          <w:p>
            <w:pPr>
              <w:pStyle w:val="1146"/>
              <w:ind w:left="420"/>
              <w:spacing w:before="65"/>
              <w:rPr>
                <w:rFonts w:ascii="黑体" w:hAnsi="黑体" w:eastAsia="黑体" w:cs="黑体"/>
                <w:b/>
                <w:sz w:val="21"/>
                <w:highlight w:val="none"/>
              </w:rPr>
            </w:pPr>
            <w:r>
              <w:rPr>
                <w:rFonts w:hint="eastAsia" w:ascii="黑体" w:hAnsi="黑体" w:eastAsia="黑体" w:cs="黑体"/>
                <w:b/>
                <w:sz w:val="21"/>
                <w:highlight w:val="none"/>
              </w:rPr>
              <w:t xml:space="preserve">说明</w:t>
            </w:r>
            <w:r/>
          </w:p>
        </w:tc>
      </w:tr>
      <w:tr>
        <w:trPr>
          <w:trHeight w:val="402"/>
        </w:trPr>
        <w:tc>
          <w:tcPr>
            <w:tcW w:w="1225" w:type="dxa"/>
            <w:textDirection w:val="lrTb"/>
            <w:noWrap w:val="false"/>
          </w:tcPr>
          <w:p>
            <w:pPr>
              <w:pStyle w:val="1146"/>
              <w:ind w:left="11"/>
              <w:jc w:val="center"/>
              <w:spacing w:before="66"/>
              <w:rPr>
                <w:rFonts w:ascii="黑体" w:hAnsi="黑体" w:eastAsia="黑体" w:cs="黑体"/>
                <w:sz w:val="21"/>
                <w:highlight w:val="none"/>
              </w:rPr>
            </w:pPr>
            <w:r>
              <w:rPr>
                <w:rFonts w:hint="eastAsia" w:ascii="黑体" w:hAnsi="黑体" w:eastAsia="黑体" w:cs="黑体"/>
                <w:sz w:val="21"/>
                <w:highlight w:val="none"/>
              </w:rPr>
              <w:t xml:space="preserve">1</w:t>
            </w:r>
            <w:r/>
          </w:p>
        </w:tc>
        <w:tc>
          <w:tcPr>
            <w:tcW w:w="3291" w:type="dxa"/>
            <w:textDirection w:val="lrTb"/>
            <w:noWrap w:val="false"/>
          </w:tcPr>
          <w:p>
            <w:pPr>
              <w:pStyle w:val="1146"/>
              <w:ind w:left="910"/>
              <w:spacing w:before="66"/>
              <w:rPr>
                <w:rFonts w:ascii="黑体" w:hAnsi="黑体" w:eastAsia="黑体" w:cs="黑体"/>
                <w:sz w:val="21"/>
                <w:highlight w:val="none"/>
              </w:rPr>
            </w:pPr>
            <w:r>
              <w:rPr>
                <w:rFonts w:hint="eastAsia" w:ascii="黑体" w:hAnsi="黑体" w:eastAsia="黑体" w:cs="黑体"/>
                <w:sz w:val="21"/>
                <w:highlight w:val="none"/>
              </w:rPr>
              <w:t xml:space="preserve">磋商申请及声明</w:t>
            </w:r>
            <w:r/>
          </w:p>
        </w:tc>
        <w:tc>
          <w:tcPr>
            <w:tcW w:w="342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402"/>
        </w:trPr>
        <w:tc>
          <w:tcPr>
            <w:tcW w:w="1225" w:type="dxa"/>
            <w:textDirection w:val="lrTb"/>
            <w:noWrap w:val="false"/>
          </w:tcPr>
          <w:p>
            <w:pPr>
              <w:pStyle w:val="1146"/>
              <w:ind w:left="11"/>
              <w:jc w:val="center"/>
              <w:spacing w:before="64"/>
              <w:rPr>
                <w:rFonts w:ascii="黑体" w:hAnsi="黑体" w:eastAsia="黑体" w:cs="黑体"/>
                <w:sz w:val="21"/>
                <w:highlight w:val="none"/>
              </w:rPr>
            </w:pPr>
            <w:r>
              <w:rPr>
                <w:rFonts w:hint="eastAsia" w:ascii="黑体" w:hAnsi="黑体" w:eastAsia="黑体" w:cs="黑体"/>
                <w:sz w:val="21"/>
                <w:highlight w:val="none"/>
              </w:rPr>
              <w:t xml:space="preserve">2</w:t>
            </w:r>
            <w:r/>
          </w:p>
        </w:tc>
        <w:tc>
          <w:tcPr>
            <w:tcW w:w="3291" w:type="dxa"/>
            <w:textDirection w:val="lrTb"/>
            <w:noWrap w:val="false"/>
          </w:tcPr>
          <w:p>
            <w:pPr>
              <w:pStyle w:val="1146"/>
              <w:ind w:left="593"/>
              <w:spacing w:before="64"/>
              <w:rPr>
                <w:rFonts w:ascii="黑体" w:hAnsi="黑体" w:eastAsia="黑体" w:cs="黑体"/>
                <w:sz w:val="21"/>
                <w:highlight w:val="none"/>
              </w:rPr>
            </w:pPr>
            <w:r>
              <w:rPr>
                <w:rFonts w:hint="eastAsia" w:ascii="黑体" w:hAnsi="黑体" w:eastAsia="黑体" w:cs="黑体"/>
                <w:sz w:val="21"/>
                <w:highlight w:val="none"/>
              </w:rPr>
              <w:t xml:space="preserve">法定代表人授权委托书</w:t>
            </w:r>
            <w:r/>
          </w:p>
        </w:tc>
        <w:tc>
          <w:tcPr>
            <w:tcW w:w="342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402"/>
        </w:trPr>
        <w:tc>
          <w:tcPr>
            <w:tcW w:w="1225" w:type="dxa"/>
            <w:textDirection w:val="lrTb"/>
            <w:noWrap w:val="false"/>
          </w:tcPr>
          <w:p>
            <w:pPr>
              <w:pStyle w:val="1146"/>
              <w:ind w:left="11"/>
              <w:jc w:val="center"/>
              <w:spacing w:before="65"/>
              <w:rPr>
                <w:rFonts w:ascii="黑体" w:hAnsi="黑体" w:eastAsia="黑体" w:cs="黑体"/>
                <w:sz w:val="21"/>
                <w:highlight w:val="none"/>
              </w:rPr>
            </w:pPr>
            <w:r>
              <w:rPr>
                <w:rFonts w:hint="eastAsia" w:ascii="黑体" w:hAnsi="黑体" w:eastAsia="黑体" w:cs="黑体"/>
                <w:sz w:val="21"/>
                <w:highlight w:val="none"/>
              </w:rPr>
              <w:t xml:space="preserve">3</w:t>
            </w:r>
            <w:r/>
          </w:p>
        </w:tc>
        <w:tc>
          <w:tcPr>
            <w:tcW w:w="3291" w:type="dxa"/>
            <w:textDirection w:val="lrTb"/>
            <w:noWrap w:val="false"/>
          </w:tcPr>
          <w:p>
            <w:pPr>
              <w:pStyle w:val="1146"/>
              <w:ind w:left="910"/>
              <w:spacing w:before="65"/>
              <w:rPr>
                <w:rFonts w:ascii="黑体" w:hAnsi="黑体" w:eastAsia="黑体" w:cs="黑体"/>
                <w:sz w:val="21"/>
                <w:highlight w:val="none"/>
              </w:rPr>
            </w:pPr>
            <w:r>
              <w:rPr>
                <w:rFonts w:hint="eastAsia" w:ascii="黑体" w:hAnsi="黑体" w:eastAsia="黑体" w:cs="黑体"/>
                <w:sz w:val="21"/>
                <w:highlight w:val="none"/>
              </w:rPr>
              <w:t xml:space="preserve">磋商报价汇总表</w:t>
            </w:r>
            <w:r/>
          </w:p>
        </w:tc>
        <w:tc>
          <w:tcPr>
            <w:tcW w:w="342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401"/>
        </w:trPr>
        <w:tc>
          <w:tcPr>
            <w:tcW w:w="1225" w:type="dxa"/>
            <w:textDirection w:val="lrTb"/>
            <w:noWrap w:val="false"/>
          </w:tcPr>
          <w:p>
            <w:pPr>
              <w:pStyle w:val="1146"/>
              <w:ind w:left="11"/>
              <w:jc w:val="center"/>
              <w:spacing w:before="65"/>
              <w:rPr>
                <w:rFonts w:ascii="黑体" w:hAnsi="黑体" w:eastAsia="黑体" w:cs="黑体"/>
                <w:sz w:val="21"/>
                <w:highlight w:val="none"/>
              </w:rPr>
            </w:pPr>
            <w:r>
              <w:rPr>
                <w:rFonts w:hint="eastAsia" w:ascii="黑体" w:hAnsi="黑体" w:eastAsia="黑体" w:cs="黑体"/>
                <w:sz w:val="21"/>
                <w:highlight w:val="none"/>
              </w:rPr>
              <w:t xml:space="preserve">4</w:t>
            </w:r>
            <w:r/>
          </w:p>
        </w:tc>
        <w:tc>
          <w:tcPr>
            <w:tcW w:w="329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42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3"/>
        </w:trPr>
        <w:tc>
          <w:tcPr>
            <w:tcW w:w="1225" w:type="dxa"/>
            <w:textDirection w:val="lrTb"/>
            <w:noWrap w:val="false"/>
          </w:tcPr>
          <w:p>
            <w:pPr>
              <w:pStyle w:val="1146"/>
              <w:ind w:left="429"/>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3291" w:type="dxa"/>
            <w:textDirection w:val="lrTb"/>
            <w:noWrap w:val="false"/>
          </w:tcPr>
          <w:p>
            <w:pPr>
              <w:pStyle w:val="1146"/>
              <w:ind w:left="434"/>
              <w:jc w:val="center"/>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3429" w:type="dxa"/>
            <w:textDirection w:val="lrTb"/>
            <w:noWrap w:val="false"/>
          </w:tcPr>
          <w:p>
            <w:pPr>
              <w:pStyle w:val="1146"/>
              <w:ind w:left="434"/>
              <w:jc w:val="center"/>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1265" w:type="dxa"/>
            <w:textDirection w:val="lrTb"/>
            <w:noWrap w:val="false"/>
          </w:tcPr>
          <w:p>
            <w:pPr>
              <w:pStyle w:val="1146"/>
              <w:ind w:left="737"/>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r>
      <w:tr>
        <w:trPr>
          <w:trHeight w:val="345"/>
        </w:trPr>
        <w:tc>
          <w:tcPr>
            <w:tcW w:w="122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291" w:type="dxa"/>
            <w:textDirection w:val="lrTb"/>
            <w:noWrap w:val="false"/>
          </w:tcPr>
          <w:p>
            <w:pPr>
              <w:pStyle w:val="1146"/>
              <w:ind w:left="699"/>
              <w:spacing w:before="37"/>
              <w:rPr>
                <w:rFonts w:ascii="黑体" w:hAnsi="黑体" w:eastAsia="黑体" w:cs="黑体"/>
                <w:sz w:val="21"/>
                <w:highlight w:val="none"/>
              </w:rPr>
            </w:pPr>
            <w:r>
              <w:rPr>
                <w:rFonts w:hint="eastAsia" w:ascii="黑体" w:hAnsi="黑体" w:eastAsia="黑体" w:cs="黑体"/>
                <w:sz w:val="21"/>
                <w:highlight w:val="none"/>
              </w:rPr>
              <w:t xml:space="preserve">（行数不够，自行添加）</w:t>
            </w:r>
            <w:r/>
          </w:p>
        </w:tc>
        <w:tc>
          <w:tcPr>
            <w:tcW w:w="342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bl>
    <w:p>
      <w:pPr>
        <w:pStyle w:val="1130"/>
        <w:ind w:left="8531" w:right="752" w:firstLine="211"/>
        <w:jc w:val="right"/>
        <w:spacing w:before="1" w:line="350" w:lineRule="auto"/>
        <w:rPr>
          <w:rFonts w:ascii="黑体" w:hAnsi="黑体" w:eastAsia="黑体" w:cs="黑体"/>
          <w:highlight w:val="none"/>
        </w:rPr>
      </w:pPr>
      <w:r>
        <w:rPr>
          <w:rFonts w:hint="eastAsia" w:ascii="黑体" w:hAnsi="黑体" w:eastAsia="黑体" w:cs="黑体"/>
          <w:highlight w:val="none"/>
        </w:rPr>
        <w:t xml:space="preserve">供应商（盖章） 授权代表（签字） 日期：年月日</w:t>
      </w:r>
      <w:r/>
    </w:p>
    <w:p>
      <w:pPr>
        <w:pStyle w:val="1130"/>
        <w:spacing w:before="8"/>
        <w:rPr>
          <w:rFonts w:ascii="黑体" w:hAnsi="黑体" w:eastAsia="黑体" w:cs="黑体"/>
          <w:sz w:val="13"/>
          <w:highlight w:val="none"/>
        </w:rPr>
      </w:pPr>
      <w:r>
        <w:rPr>
          <w:rFonts w:ascii="黑体" w:hAnsi="黑体" w:eastAsia="黑体" w:cs="黑体"/>
          <w:sz w:val="13"/>
          <w:highlight w:val="none"/>
        </w:rPr>
      </w:r>
      <w:r/>
    </w:p>
    <w:p>
      <w:pPr>
        <w:rPr>
          <w:rFonts w:ascii="黑体" w:hAnsi="黑体" w:eastAsia="黑体" w:cs="黑体"/>
          <w:sz w:val="13"/>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13"/>
          <w:highlight w:val="none"/>
        </w:rPr>
      </w:r>
      <w:r/>
    </w:p>
    <w:p>
      <w:pPr>
        <w:rPr>
          <w:rFonts w:ascii="黑体" w:hAnsi="黑体" w:eastAsia="黑体" w:cs="黑体"/>
          <w:b/>
          <w:sz w:val="24"/>
          <w:highlight w:val="none"/>
        </w:rPr>
      </w:pPr>
      <w:r/>
      <w:bookmarkStart w:id="660" w:name="八、项目实施方案"/>
      <w:r/>
      <w:bookmarkEnd w:id="660"/>
      <w:r/>
      <w:bookmarkStart w:id="661" w:name="_bookmark21"/>
      <w:r/>
      <w:bookmarkEnd w:id="661"/>
      <w:r>
        <w:rPr>
          <w:rFonts w:hint="eastAsia" w:ascii="黑体" w:hAnsi="黑体" w:eastAsia="黑体" w:cs="黑体"/>
          <w:b/>
          <w:sz w:val="24"/>
          <w:highlight w:val="none"/>
        </w:rPr>
        <w:br w:type="page" w:clear="all"/>
      </w:r>
      <w:r/>
    </w:p>
    <w:p>
      <w:pPr>
        <w:ind w:left="743"/>
        <w:spacing w:before="67"/>
        <w:rPr>
          <w:rFonts w:ascii="黑体" w:hAnsi="黑体" w:eastAsia="黑体" w:cs="黑体"/>
          <w:b/>
          <w:sz w:val="24"/>
          <w:highlight w:val="none"/>
        </w:rPr>
      </w:pPr>
      <w:r>
        <w:rPr>
          <w:rFonts w:hint="eastAsia" w:ascii="黑体" w:hAnsi="黑体" w:eastAsia="黑体" w:cs="黑体"/>
          <w:b/>
          <w:sz w:val="24"/>
          <w:highlight w:val="none"/>
        </w:rPr>
        <w:t xml:space="preserve">七、项目实施方案</w:t>
      </w:r>
      <w:r/>
    </w:p>
    <w:p>
      <w:pPr>
        <w:pStyle w:val="1130"/>
        <w:rPr>
          <w:rFonts w:ascii="黑体" w:hAnsi="黑体" w:eastAsia="黑体" w:cs="黑体"/>
          <w:b/>
          <w:sz w:val="24"/>
          <w:highlight w:val="none"/>
        </w:rPr>
      </w:pPr>
      <w:r>
        <w:rPr>
          <w:rFonts w:hint="eastAsia" w:ascii="黑体" w:hAnsi="黑体" w:eastAsia="黑体" w:cs="黑体"/>
          <w:highlight w:val="none"/>
        </w:rPr>
        <w:br w:type="column"/>
      </w:r>
      <w:r/>
    </w:p>
    <w:p>
      <w:pPr>
        <w:ind w:left="743"/>
        <w:spacing w:before="196"/>
        <w:rPr>
          <w:rFonts w:ascii="黑体" w:hAnsi="黑体" w:eastAsia="黑体" w:cs="黑体"/>
          <w:b/>
          <w:sz w:val="24"/>
          <w:highlight w:val="none"/>
        </w:rPr>
      </w:pPr>
      <w:r>
        <w:rPr>
          <w:rFonts w:hint="eastAsia" w:ascii="黑体" w:hAnsi="黑体" w:eastAsia="黑体" w:cs="黑体"/>
          <w:b/>
          <w:sz w:val="24"/>
          <w:highlight w:val="none"/>
        </w:rPr>
        <w:t xml:space="preserve">项目实施方案</w:t>
      </w:r>
      <w:r/>
    </w:p>
    <w:p>
      <w:pPr>
        <w:ind w:left="923"/>
        <w:spacing w:before="26"/>
        <w:rPr>
          <w:rFonts w:ascii="黑体" w:hAnsi="黑体" w:eastAsia="黑体" w:cs="黑体"/>
          <w:sz w:val="24"/>
          <w:highlight w:val="none"/>
        </w:rPr>
      </w:pPr>
      <w:r>
        <w:rPr>
          <w:rFonts w:hint="eastAsia" w:ascii="黑体" w:hAnsi="黑体" w:eastAsia="黑体" w:cs="黑体"/>
          <w:sz w:val="24"/>
          <w:highlight w:val="none"/>
        </w:rPr>
        <w:t xml:space="preserve">（格式自拟）</w:t>
      </w:r>
      <w:r/>
    </w:p>
    <w:p>
      <w:pPr>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2" w:sep="0" w:space="1701" w:equalWidth="0">
            <w:col w:w="2711" w:space="1304"/>
            <w:col w:w="6955" w:space="0"/>
          </w:cols>
          <w:docGrid w:linePitch="360"/>
        </w:sectPr>
      </w:pPr>
      <w:r>
        <w:rPr>
          <w:rFonts w:ascii="黑体" w:hAnsi="黑体" w:eastAsia="黑体" w:cs="黑体"/>
          <w:sz w:val="24"/>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spacing w:before="9"/>
        <w:rPr>
          <w:rFonts w:ascii="黑体" w:hAnsi="黑体" w:eastAsia="黑体" w:cs="黑体"/>
          <w:sz w:val="23"/>
          <w:highlight w:val="none"/>
        </w:rPr>
      </w:pPr>
      <w:r>
        <w:rPr>
          <w:rFonts w:ascii="黑体" w:hAnsi="黑体" w:eastAsia="黑体" w:cs="黑体"/>
          <w:sz w:val="23"/>
          <w:highlight w:val="none"/>
        </w:rPr>
      </w:r>
      <w:r/>
    </w:p>
    <w:p>
      <w:pPr>
        <w:ind w:left="6971" w:right="2192" w:hanging="120"/>
        <w:spacing w:before="66" w:line="242" w:lineRule="auto"/>
        <w:rPr>
          <w:rFonts w:ascii="黑体" w:hAnsi="黑体" w:eastAsia="黑体" w:cs="黑体"/>
          <w:sz w:val="24"/>
          <w:highlight w:val="none"/>
        </w:rPr>
      </w:pPr>
      <w:r>
        <w:rPr>
          <w:rFonts w:hint="eastAsia" w:ascii="黑体" w:hAnsi="黑体" w:eastAsia="黑体" w:cs="黑体"/>
          <w:sz w:val="24"/>
          <w:highlight w:val="none"/>
        </w:rPr>
        <w:t xml:space="preserve">供应商（盖章）： 授权代表签字：</w:t>
      </w:r>
      <w:r/>
    </w:p>
    <w:p>
      <w:pPr>
        <w:ind w:left="6971"/>
        <w:spacing w:before="1"/>
        <w:tabs>
          <w:tab w:val="left" w:pos="7691" w:leader="none"/>
          <w:tab w:val="left" w:pos="8651" w:leader="none"/>
          <w:tab w:val="left" w:pos="9371" w:leader="none"/>
          <w:tab w:val="left" w:pos="9971" w:leader="none"/>
        </w:tabs>
        <w:rPr>
          <w:rFonts w:ascii="黑体" w:hAnsi="黑体" w:eastAsia="黑体" w:cs="黑体"/>
          <w:sz w:val="24"/>
          <w:highlight w:val="none"/>
        </w:rPr>
      </w:pPr>
      <w:r>
        <w:rPr>
          <w:rFonts w:hint="eastAsia" w:ascii="黑体" w:hAnsi="黑体" w:eastAsia="黑体" w:cs="黑体"/>
          <w:sz w:val="24"/>
          <w:highlight w:val="none"/>
        </w:rPr>
        <w:t xml:space="preserve">日</w:t>
      </w:r>
      <w:r>
        <w:rPr>
          <w:rFonts w:hint="eastAsia" w:ascii="黑体" w:hAnsi="黑体" w:eastAsia="黑体" w:cs="黑体"/>
          <w:sz w:val="24"/>
          <w:highlight w:val="none"/>
        </w:rPr>
        <w:tab/>
      </w:r>
      <w:r>
        <w:rPr>
          <w:rFonts w:hint="eastAsia" w:ascii="黑体" w:hAnsi="黑体" w:eastAsia="黑体" w:cs="黑体"/>
          <w:sz w:val="24"/>
          <w:highlight w:val="none"/>
        </w:rPr>
        <w:t xml:space="preserve">期：</w:t>
      </w:r>
      <w:r>
        <w:rPr>
          <w:rFonts w:hint="eastAsia" w:ascii="黑体" w:hAnsi="黑体" w:eastAsia="黑体" w:cs="黑体"/>
          <w:sz w:val="24"/>
          <w:highlight w:val="none"/>
        </w:rPr>
        <w:tab/>
      </w:r>
      <w:r>
        <w:rPr>
          <w:rFonts w:hint="eastAsia" w:ascii="黑体" w:hAnsi="黑体" w:eastAsia="黑体" w:cs="黑体"/>
          <w:sz w:val="24"/>
          <w:highlight w:val="none"/>
        </w:rPr>
        <w:t xml:space="preserve">年</w:t>
      </w:r>
      <w:r>
        <w:rPr>
          <w:rFonts w:hint="eastAsia" w:ascii="黑体" w:hAnsi="黑体" w:eastAsia="黑体" w:cs="黑体"/>
          <w:sz w:val="24"/>
          <w:highlight w:val="none"/>
        </w:rPr>
        <w:tab/>
      </w:r>
      <w:r>
        <w:rPr>
          <w:rFonts w:hint="eastAsia" w:ascii="黑体" w:hAnsi="黑体" w:eastAsia="黑体" w:cs="黑体"/>
          <w:sz w:val="24"/>
          <w:highlight w:val="none"/>
        </w:rPr>
        <w:t xml:space="preserve">月</w:t>
      </w:r>
      <w:r>
        <w:rPr>
          <w:rFonts w:hint="eastAsia" w:ascii="黑体" w:hAnsi="黑体" w:eastAsia="黑体" w:cs="黑体"/>
          <w:sz w:val="24"/>
          <w:highlight w:val="none"/>
        </w:rPr>
        <w:tab/>
      </w:r>
      <w:r>
        <w:rPr>
          <w:rFonts w:hint="eastAsia" w:ascii="黑体" w:hAnsi="黑体" w:eastAsia="黑体" w:cs="黑体"/>
          <w:sz w:val="24"/>
          <w:highlight w:val="none"/>
        </w:rPr>
        <w:t xml:space="preserve">日</w:t>
      </w:r>
      <w:r/>
    </w:p>
    <w:p>
      <w:pPr>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4"/>
          <w:highlight w:val="none"/>
        </w:rPr>
      </w:r>
      <w:r/>
    </w:p>
    <w:p>
      <w:pPr>
        <w:pStyle w:val="1123"/>
        <w:ind w:left="743"/>
        <w:spacing w:before="62"/>
        <w:rPr>
          <w:rFonts w:ascii="黑体" w:hAnsi="黑体" w:eastAsia="黑体" w:cs="黑体"/>
          <w:highlight w:val="none"/>
        </w:rPr>
      </w:pPr>
      <w:r/>
      <w:bookmarkStart w:id="662" w:name="十、技术规格偏离表"/>
      <w:r/>
      <w:bookmarkEnd w:id="662"/>
      <w:r/>
      <w:bookmarkStart w:id="663" w:name="_bookmark22"/>
      <w:r/>
      <w:bookmarkEnd w:id="663"/>
      <w:r>
        <w:rPr>
          <w:rFonts w:hint="eastAsia" w:ascii="黑体" w:hAnsi="黑体" w:eastAsia="黑体" w:cs="黑体"/>
          <w:spacing w:val="-2"/>
          <w:highlight w:val="none"/>
        </w:rPr>
        <w:t xml:space="preserve">八、项目参与人员基本情况表</w:t>
      </w:r>
      <w:r/>
    </w:p>
    <w:p>
      <w:pPr>
        <w:pStyle w:val="1130"/>
        <w:spacing w:before="12"/>
        <w:rPr>
          <w:rFonts w:ascii="黑体" w:hAnsi="黑体" w:eastAsia="黑体" w:cs="黑体"/>
          <w:b/>
          <w:sz w:val="32"/>
          <w:highlight w:val="none"/>
        </w:rPr>
      </w:pPr>
      <w:r>
        <w:rPr>
          <w:rFonts w:hint="eastAsia" w:ascii="黑体" w:hAnsi="黑体" w:eastAsia="黑体" w:cs="黑体"/>
          <w:highlight w:val="none"/>
        </w:rPr>
        <w:br w:type="column"/>
      </w:r>
      <w:r/>
    </w:p>
    <w:p>
      <w:pPr>
        <w:ind w:left="411"/>
        <w:rPr>
          <w:rFonts w:ascii="黑体" w:hAnsi="黑体" w:eastAsia="黑体" w:cs="黑体"/>
          <w:b/>
          <w:sz w:val="28"/>
          <w:highlight w:val="none"/>
        </w:rPr>
      </w:pPr>
      <w:r>
        <w:rPr>
          <w:rFonts w:hint="eastAsia" w:ascii="黑体" w:hAnsi="黑体" w:eastAsia="黑体" w:cs="黑体"/>
          <w:b/>
          <w:sz w:val="28"/>
          <w:highlight w:val="none"/>
        </w:rPr>
        <w:t xml:space="preserve">项目参与人员基本情况表</w:t>
      </w:r>
      <w:r/>
    </w:p>
    <w:p>
      <w:pPr>
        <w:pStyle w:val="1144"/>
        <w:numPr>
          <w:ilvl w:val="1"/>
          <w:numId w:val="10"/>
        </w:numPr>
        <w:ind w:hanging="182"/>
        <w:jc w:val="left"/>
        <w:spacing w:before="15"/>
        <w:tabs>
          <w:tab w:val="left" w:pos="1447" w:leader="none"/>
        </w:tabs>
        <w:rPr>
          <w:rFonts w:ascii="黑体" w:hAnsi="黑体" w:eastAsia="黑体" w:cs="黑体"/>
          <w:highlight w:val="none"/>
        </w:rPr>
      </w:pPr>
      <w:r>
        <w:rPr>
          <w:rFonts w:hint="eastAsia" w:ascii="黑体" w:hAnsi="黑体" w:eastAsia="黑体" w:cs="黑体"/>
          <w:sz w:val="24"/>
          <w:highlight w:val="none"/>
        </w:rPr>
        <w:t xml:space="preserve">项目经理简历表</w:t>
      </w:r>
      <w:r/>
    </w:p>
    <w:p>
      <w:pPr>
        <w:rPr>
          <w:rFonts w:ascii="黑体" w:hAnsi="黑体" w:eastAsia="黑体" w:cs="黑体"/>
          <w:highlight w:val="none"/>
        </w:rPr>
        <w:sectPr>
          <w:footnotePr/>
          <w:endnotePr/>
          <w:type w:val="nextPage"/>
          <w:pgSz w:w="11910" w:h="16840" w:orient="portrait"/>
          <w:pgMar w:top="1340" w:right="380" w:bottom="1380" w:left="560" w:header="878" w:footer="1196" w:gutter="0"/>
          <w:cols w:num="2" w:sep="0" w:space="1701" w:equalWidth="0">
            <w:col w:w="3482" w:space="40"/>
            <w:col w:w="7448" w:space="0"/>
          </w:cols>
          <w:docGrid w:linePitch="360"/>
        </w:sectPr>
      </w:pPr>
      <w:r>
        <w:rPr>
          <w:rFonts w:ascii="黑体" w:hAnsi="黑体" w:eastAsia="黑体" w:cs="黑体"/>
          <w:highlight w:val="none"/>
        </w:rPr>
      </w:r>
      <w:r/>
    </w:p>
    <w:tbl>
      <w:tblPr>
        <w:tblStyle w:val="1127"/>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234"/>
        <w:gridCol w:w="209"/>
        <w:gridCol w:w="1582"/>
        <w:gridCol w:w="1753"/>
        <w:gridCol w:w="1753"/>
      </w:tblGrid>
      <w:tr>
        <w:trPr>
          <w:trHeight w:val="340"/>
        </w:trPr>
        <w:tc>
          <w:tcPr>
            <w:tcW w:w="1605" w:type="dxa"/>
            <w:textDirection w:val="lrTb"/>
            <w:noWrap w:val="false"/>
          </w:tcPr>
          <w:p>
            <w:pPr>
              <w:pStyle w:val="1146"/>
              <w:ind w:left="594"/>
              <w:spacing w:line="250" w:lineRule="exact"/>
              <w:rPr>
                <w:rFonts w:ascii="黑体" w:hAnsi="黑体" w:eastAsia="黑体" w:cs="黑体"/>
                <w:sz w:val="21"/>
                <w:highlight w:val="none"/>
              </w:rPr>
            </w:pPr>
            <w:r>
              <w:rPr>
                <w:rFonts w:hint="eastAsia" w:ascii="黑体" w:hAnsi="黑体" w:eastAsia="黑体" w:cs="黑体"/>
                <w:sz w:val="21"/>
                <w:highlight w:val="none"/>
              </w:rPr>
              <w:t xml:space="preserve">姓名</w:t>
            </w:r>
            <w:r/>
          </w:p>
        </w:tc>
        <w:tc>
          <w:tcPr>
            <w:gridSpan w:val="2"/>
            <w:tcW w:w="133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2"/>
            <w:tcW w:w="1443" w:type="dxa"/>
            <w:textDirection w:val="lrTb"/>
            <w:noWrap w:val="false"/>
          </w:tcPr>
          <w:p>
            <w:pPr>
              <w:pStyle w:val="1146"/>
              <w:ind w:left="507" w:right="46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性别</w:t>
            </w:r>
            <w:r/>
          </w:p>
        </w:tc>
        <w:tc>
          <w:tcPr>
            <w:tcW w:w="158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Borders>
              <w:right w:val="single" w:color="000000" w:sz="8" w:space="0"/>
            </w:tcBorders>
            <w:tcW w:w="1753" w:type="dxa"/>
            <w:textDirection w:val="lrTb"/>
            <w:noWrap w:val="false"/>
          </w:tcPr>
          <w:p>
            <w:pPr>
              <w:pStyle w:val="1146"/>
              <w:ind w:left="647" w:right="630"/>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年龄</w:t>
            </w:r>
            <w:r/>
          </w:p>
        </w:tc>
        <w:tc>
          <w:tcPr>
            <w:tcBorders>
              <w:left w:val="single" w:color="000000" w:sz="8" w:space="0"/>
            </w:tcBorders>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tcW w:w="1605" w:type="dxa"/>
            <w:textDirection w:val="lrTb"/>
            <w:noWrap w:val="false"/>
          </w:tcPr>
          <w:p>
            <w:pPr>
              <w:pStyle w:val="1146"/>
              <w:ind w:left="594"/>
              <w:spacing w:line="250" w:lineRule="exact"/>
              <w:rPr>
                <w:rFonts w:ascii="黑体" w:hAnsi="黑体" w:eastAsia="黑体" w:cs="黑体"/>
                <w:sz w:val="21"/>
                <w:highlight w:val="none"/>
              </w:rPr>
            </w:pPr>
            <w:r>
              <w:rPr>
                <w:rFonts w:hint="eastAsia" w:ascii="黑体" w:hAnsi="黑体" w:eastAsia="黑体" w:cs="黑体"/>
                <w:sz w:val="21"/>
                <w:highlight w:val="none"/>
              </w:rPr>
              <w:t xml:space="preserve">职务</w:t>
            </w:r>
            <w:r/>
          </w:p>
        </w:tc>
        <w:tc>
          <w:tcPr>
            <w:gridSpan w:val="2"/>
            <w:tcW w:w="133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2"/>
            <w:tcW w:w="1443" w:type="dxa"/>
            <w:textDirection w:val="lrTb"/>
            <w:noWrap w:val="false"/>
          </w:tcPr>
          <w:p>
            <w:pPr>
              <w:pStyle w:val="1146"/>
              <w:ind w:left="507" w:right="46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职称</w:t>
            </w:r>
            <w:r/>
          </w:p>
        </w:tc>
        <w:tc>
          <w:tcPr>
            <w:tcW w:w="158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Borders>
              <w:right w:val="single" w:color="000000" w:sz="8" w:space="0"/>
            </w:tcBorders>
            <w:tcW w:w="1753" w:type="dxa"/>
            <w:textDirection w:val="lrTb"/>
            <w:noWrap w:val="false"/>
          </w:tcPr>
          <w:p>
            <w:pPr>
              <w:pStyle w:val="1146"/>
              <w:ind w:left="647" w:right="630"/>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学历</w:t>
            </w:r>
            <w:r/>
          </w:p>
        </w:tc>
        <w:tc>
          <w:tcPr>
            <w:tcBorders>
              <w:left w:val="single" w:color="000000" w:sz="8" w:space="0"/>
            </w:tcBorders>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gridSpan w:val="2"/>
            <w:tcW w:w="2009" w:type="dxa"/>
            <w:textDirection w:val="lrTb"/>
            <w:noWrap w:val="false"/>
          </w:tcPr>
          <w:p>
            <w:pPr>
              <w:pStyle w:val="1146"/>
              <w:ind w:left="373"/>
              <w:spacing w:line="250" w:lineRule="exact"/>
              <w:rPr>
                <w:rFonts w:ascii="黑体" w:hAnsi="黑体" w:eastAsia="黑体" w:cs="黑体"/>
                <w:sz w:val="21"/>
                <w:highlight w:val="none"/>
              </w:rPr>
            </w:pPr>
            <w:r>
              <w:rPr>
                <w:rFonts w:hint="eastAsia" w:ascii="黑体" w:hAnsi="黑体" w:eastAsia="黑体" w:cs="黑体"/>
                <w:sz w:val="21"/>
                <w:highlight w:val="none"/>
              </w:rPr>
              <w:t xml:space="preserve">参加工作时间</w:t>
            </w:r>
            <w:r/>
          </w:p>
        </w:tc>
        <w:tc>
          <w:tcPr>
            <w:gridSpan w:val="2"/>
            <w:tcW w:w="216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3"/>
            <w:tcBorders>
              <w:right w:val="single" w:color="000000" w:sz="8" w:space="0"/>
            </w:tcBorders>
            <w:tcW w:w="3544" w:type="dxa"/>
            <w:textDirection w:val="lrTb"/>
            <w:noWrap w:val="false"/>
          </w:tcPr>
          <w:p>
            <w:pPr>
              <w:pStyle w:val="1146"/>
              <w:ind w:left="945"/>
              <w:spacing w:line="250" w:lineRule="exact"/>
              <w:rPr>
                <w:rFonts w:ascii="黑体" w:hAnsi="黑体" w:eastAsia="黑体" w:cs="黑体"/>
                <w:sz w:val="21"/>
                <w:highlight w:val="none"/>
              </w:rPr>
            </w:pPr>
            <w:r>
              <w:rPr>
                <w:rFonts w:hint="eastAsia" w:ascii="黑体" w:hAnsi="黑体" w:eastAsia="黑体" w:cs="黑体"/>
                <w:sz w:val="21"/>
                <w:highlight w:val="none"/>
              </w:rPr>
              <w:t xml:space="preserve">从事项目经理年限</w:t>
            </w:r>
            <w:r/>
          </w:p>
        </w:tc>
        <w:tc>
          <w:tcPr>
            <w:tcBorders>
              <w:left w:val="single" w:color="000000" w:sz="8" w:space="0"/>
            </w:tcBorders>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gridSpan w:val="8"/>
            <w:tcW w:w="9470" w:type="dxa"/>
            <w:textDirection w:val="lrTb"/>
            <w:noWrap w:val="false"/>
          </w:tcPr>
          <w:p>
            <w:pPr>
              <w:pStyle w:val="1146"/>
              <w:ind w:left="4096" w:right="4064"/>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项目经理业绩</w:t>
            </w:r>
            <w:r/>
          </w:p>
        </w:tc>
      </w:tr>
      <w:tr>
        <w:trPr>
          <w:trHeight w:val="340"/>
        </w:trPr>
        <w:tc>
          <w:tcPr>
            <w:gridSpan w:val="2"/>
            <w:tcW w:w="2009" w:type="dxa"/>
            <w:textDirection w:val="lrTb"/>
            <w:noWrap w:val="false"/>
          </w:tcPr>
          <w:p>
            <w:pPr>
              <w:pStyle w:val="1146"/>
              <w:ind w:left="582"/>
              <w:spacing w:line="250" w:lineRule="exact"/>
              <w:rPr>
                <w:rFonts w:ascii="黑体" w:hAnsi="黑体" w:eastAsia="黑体" w:cs="黑体"/>
                <w:sz w:val="21"/>
                <w:highlight w:val="none"/>
              </w:rPr>
            </w:pPr>
            <w:r>
              <w:rPr>
                <w:rFonts w:hint="eastAsia" w:ascii="黑体" w:hAnsi="黑体" w:eastAsia="黑体" w:cs="黑体"/>
                <w:sz w:val="21"/>
                <w:highlight w:val="none"/>
              </w:rPr>
              <w:t xml:space="preserve">项目名称</w:t>
            </w:r>
            <w:r/>
          </w:p>
        </w:tc>
        <w:tc>
          <w:tcPr>
            <w:gridSpan w:val="2"/>
            <w:tcW w:w="2164" w:type="dxa"/>
            <w:textDirection w:val="lrTb"/>
            <w:noWrap w:val="false"/>
          </w:tcPr>
          <w:p>
            <w:pPr>
              <w:pStyle w:val="1146"/>
              <w:ind w:left="678"/>
              <w:spacing w:line="250" w:lineRule="exact"/>
              <w:rPr>
                <w:rFonts w:ascii="黑体" w:hAnsi="黑体" w:eastAsia="黑体" w:cs="黑体"/>
                <w:sz w:val="21"/>
                <w:highlight w:val="none"/>
              </w:rPr>
            </w:pPr>
            <w:r>
              <w:rPr>
                <w:rFonts w:hint="eastAsia" w:ascii="黑体" w:hAnsi="黑体" w:eastAsia="黑体" w:cs="黑体"/>
                <w:sz w:val="21"/>
                <w:highlight w:val="none"/>
              </w:rPr>
              <w:t xml:space="preserve">建设规模</w:t>
            </w:r>
            <w:r/>
          </w:p>
        </w:tc>
        <w:tc>
          <w:tcPr>
            <w:gridSpan w:val="2"/>
            <w:tcW w:w="1791" w:type="dxa"/>
            <w:textDirection w:val="lrTb"/>
            <w:noWrap w:val="false"/>
          </w:tcPr>
          <w:p>
            <w:pPr>
              <w:pStyle w:val="1146"/>
              <w:ind w:left="158"/>
              <w:spacing w:line="250" w:lineRule="exact"/>
              <w:rPr>
                <w:rFonts w:ascii="黑体" w:hAnsi="黑体" w:eastAsia="黑体" w:cs="黑体"/>
                <w:sz w:val="21"/>
                <w:highlight w:val="none"/>
              </w:rPr>
            </w:pPr>
            <w:r>
              <w:rPr>
                <w:rFonts w:hint="eastAsia" w:ascii="黑体" w:hAnsi="黑体" w:eastAsia="黑体" w:cs="黑体"/>
                <w:sz w:val="21"/>
                <w:highlight w:val="none"/>
              </w:rPr>
              <w:t xml:space="preserve">开、竣工程日期</w:t>
            </w:r>
            <w:r/>
          </w:p>
        </w:tc>
        <w:tc>
          <w:tcPr>
            <w:tcW w:w="1753" w:type="dxa"/>
            <w:textDirection w:val="lrTb"/>
            <w:noWrap w:val="false"/>
          </w:tcPr>
          <w:p>
            <w:pPr>
              <w:pStyle w:val="1146"/>
              <w:ind w:left="536" w:right="53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合同价</w:t>
            </w:r>
            <w:r/>
          </w:p>
        </w:tc>
        <w:tc>
          <w:tcPr>
            <w:tcW w:w="1753" w:type="dxa"/>
            <w:textDirection w:val="lrTb"/>
            <w:noWrap w:val="false"/>
          </w:tcPr>
          <w:p>
            <w:pPr>
              <w:pStyle w:val="1146"/>
              <w:ind w:left="456"/>
              <w:spacing w:line="250" w:lineRule="exact"/>
              <w:rPr>
                <w:rFonts w:ascii="黑体" w:hAnsi="黑体" w:eastAsia="黑体" w:cs="黑体"/>
                <w:sz w:val="21"/>
                <w:highlight w:val="none"/>
              </w:rPr>
            </w:pPr>
            <w:r>
              <w:rPr>
                <w:rFonts w:hint="eastAsia" w:ascii="黑体" w:hAnsi="黑体" w:eastAsia="黑体" w:cs="黑体"/>
                <w:sz w:val="21"/>
                <w:highlight w:val="none"/>
              </w:rPr>
              <w:t xml:space="preserve">其它情况</w:t>
            </w:r>
            <w:r/>
          </w:p>
        </w:tc>
      </w:tr>
      <w:tr>
        <w:trPr>
          <w:trHeight w:val="340"/>
        </w:trPr>
        <w:tc>
          <w:tcPr>
            <w:gridSpan w:val="2"/>
            <w:tcW w:w="200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2"/>
            <w:tcW w:w="216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2"/>
            <w:tcW w:w="179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1"/>
        </w:trPr>
        <w:tc>
          <w:tcPr>
            <w:gridSpan w:val="2"/>
            <w:tcW w:w="200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2"/>
            <w:tcW w:w="216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gridSpan w:val="2"/>
            <w:tcW w:w="179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bl>
    <w:p>
      <w:pPr>
        <w:pStyle w:val="1130"/>
        <w:spacing w:before="10"/>
        <w:rPr>
          <w:rFonts w:ascii="黑体" w:hAnsi="黑体" w:eastAsia="黑体" w:cs="黑体"/>
          <w:sz w:val="26"/>
          <w:highlight w:val="none"/>
        </w:rPr>
      </w:pPr>
      <w:r>
        <w:rPr>
          <w:rFonts w:ascii="黑体" w:hAnsi="黑体" w:eastAsia="黑体" w:cs="黑体"/>
          <w:sz w:val="26"/>
          <w:highlight w:val="none"/>
        </w:rPr>
      </w:r>
      <w:r/>
    </w:p>
    <w:p>
      <w:pPr>
        <w:pStyle w:val="1144"/>
        <w:numPr>
          <w:ilvl w:val="1"/>
          <w:numId w:val="10"/>
        </w:numPr>
        <w:ind w:left="4640" w:right="2" w:hanging="4641"/>
        <w:jc w:val="left"/>
        <w:spacing w:before="70"/>
        <w:tabs>
          <w:tab w:val="left" w:pos="4641" w:leader="none"/>
        </w:tabs>
        <w:rPr>
          <w:rFonts w:ascii="黑体" w:hAnsi="黑体" w:eastAsia="黑体" w:cs="黑体"/>
          <w:b/>
          <w:sz w:val="19"/>
          <w:highlight w:val="none"/>
        </w:rPr>
      </w:pPr>
      <w:r>
        <w:rPr>
          <w:rFonts w:hint="eastAsia" w:ascii="黑体" w:hAnsi="黑体" w:eastAsia="黑体" w:cs="黑体"/>
          <w:b/>
          <w:sz w:val="21"/>
          <w:highlight w:val="none"/>
        </w:rPr>
        <w:t xml:space="preserve">主要施工管理人员表</w:t>
      </w:r>
      <w:r/>
    </w:p>
    <w:p>
      <w:pPr>
        <w:pStyle w:val="1130"/>
        <w:spacing w:before="10"/>
        <w:rPr>
          <w:rFonts w:ascii="黑体" w:hAnsi="黑体" w:eastAsia="黑体" w:cs="黑体"/>
          <w:b/>
          <w:sz w:val="10"/>
          <w:highlight w:val="none"/>
        </w:rPr>
      </w:pPr>
      <w:r>
        <w:rPr>
          <w:rFonts w:ascii="黑体" w:hAnsi="黑体" w:eastAsia="黑体" w:cs="黑体"/>
          <w:b/>
          <w:sz w:val="10"/>
          <w:highlight w:val="none"/>
        </w:rPr>
      </w:r>
      <w:r/>
    </w:p>
    <w:tbl>
      <w:tblPr>
        <w:tblStyle w:val="1127"/>
        <w:tblW w:w="940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9"/>
        <w:gridCol w:w="816"/>
        <w:gridCol w:w="816"/>
        <w:gridCol w:w="816"/>
        <w:gridCol w:w="5243"/>
      </w:tblGrid>
      <w:tr>
        <w:trPr>
          <w:trHeight w:val="340"/>
        </w:trPr>
        <w:tc>
          <w:tcPr>
            <w:tcW w:w="1709" w:type="dxa"/>
            <w:textDirection w:val="lrTb"/>
            <w:noWrap w:val="false"/>
          </w:tcPr>
          <w:p>
            <w:pPr>
              <w:pStyle w:val="1146"/>
              <w:ind w:left="623" w:right="615"/>
              <w:jc w:val="center"/>
              <w:spacing w:line="251" w:lineRule="exact"/>
              <w:rPr>
                <w:rFonts w:ascii="黑体" w:hAnsi="黑体" w:eastAsia="黑体" w:cs="黑体"/>
                <w:sz w:val="21"/>
                <w:highlight w:val="none"/>
              </w:rPr>
            </w:pPr>
            <w:r>
              <w:rPr>
                <w:rFonts w:hint="eastAsia" w:ascii="黑体" w:hAnsi="黑体" w:eastAsia="黑体" w:cs="黑体"/>
                <w:sz w:val="21"/>
                <w:highlight w:val="none"/>
              </w:rPr>
              <w:t xml:space="preserve">名称</w:t>
            </w:r>
            <w:r/>
          </w:p>
        </w:tc>
        <w:tc>
          <w:tcPr>
            <w:tcW w:w="816" w:type="dxa"/>
            <w:textDirection w:val="lrTb"/>
            <w:noWrap w:val="false"/>
          </w:tcPr>
          <w:p>
            <w:pPr>
              <w:pStyle w:val="1146"/>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姓名</w:t>
            </w:r>
            <w:r/>
          </w:p>
        </w:tc>
        <w:tc>
          <w:tcPr>
            <w:tcW w:w="816" w:type="dxa"/>
            <w:textDirection w:val="lrTb"/>
            <w:noWrap w:val="false"/>
          </w:tcPr>
          <w:p>
            <w:pPr>
              <w:pStyle w:val="1146"/>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职务</w:t>
            </w:r>
            <w:r/>
          </w:p>
        </w:tc>
        <w:tc>
          <w:tcPr>
            <w:tcW w:w="816" w:type="dxa"/>
            <w:textDirection w:val="lrTb"/>
            <w:noWrap w:val="false"/>
          </w:tcPr>
          <w:p>
            <w:pPr>
              <w:pStyle w:val="1146"/>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职称</w:t>
            </w:r>
            <w:r/>
          </w:p>
        </w:tc>
        <w:tc>
          <w:tcPr>
            <w:tcW w:w="5243" w:type="dxa"/>
            <w:textDirection w:val="lrTb"/>
            <w:noWrap w:val="false"/>
          </w:tcPr>
          <w:p>
            <w:pPr>
              <w:pStyle w:val="1146"/>
              <w:ind w:left="1150"/>
              <w:spacing w:line="251" w:lineRule="exact"/>
              <w:rPr>
                <w:rFonts w:ascii="黑体" w:hAnsi="黑体" w:eastAsia="黑体" w:cs="黑体"/>
                <w:sz w:val="21"/>
                <w:highlight w:val="none"/>
              </w:rPr>
            </w:pPr>
            <w:r>
              <w:rPr>
                <w:rFonts w:hint="eastAsia" w:ascii="黑体" w:hAnsi="黑体" w:eastAsia="黑体" w:cs="黑体"/>
                <w:sz w:val="21"/>
                <w:highlight w:val="none"/>
              </w:rPr>
              <w:t xml:space="preserve">主要资历、经验及承担过的项目</w:t>
            </w:r>
            <w:r/>
          </w:p>
        </w:tc>
      </w:tr>
      <w:tr>
        <w:trPr>
          <w:trHeight w:val="4086"/>
        </w:trPr>
        <w:tc>
          <w:tcPr>
            <w:tcW w:w="1709" w:type="dxa"/>
            <w:textDirection w:val="lrTb"/>
            <w:noWrap w:val="false"/>
          </w:tcPr>
          <w:p>
            <w:pPr>
              <w:pStyle w:val="1146"/>
              <w:ind w:left="107"/>
              <w:spacing w:line="251" w:lineRule="exact"/>
              <w:rPr>
                <w:rFonts w:ascii="黑体" w:hAnsi="黑体" w:eastAsia="黑体" w:cs="黑体"/>
                <w:sz w:val="21"/>
                <w:highlight w:val="none"/>
              </w:rPr>
            </w:pPr>
            <w:r>
              <w:rPr>
                <w:rFonts w:hint="eastAsia" w:ascii="黑体" w:hAnsi="黑体" w:eastAsia="黑体" w:cs="黑体"/>
                <w:sz w:val="21"/>
                <w:highlight w:val="none"/>
              </w:rPr>
              <w:t xml:space="preserve">一、总部</w:t>
            </w:r>
            <w:r/>
          </w:p>
          <w:p>
            <w:pPr>
              <w:pStyle w:val="1146"/>
              <w:numPr>
                <w:ilvl w:val="0"/>
                <w:numId w:val="12"/>
              </w:numPr>
              <w:ind w:hanging="213"/>
              <w:spacing w:before="5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项目主管</w:t>
            </w:r>
            <w:r/>
          </w:p>
          <w:p>
            <w:pPr>
              <w:pStyle w:val="1146"/>
              <w:numPr>
                <w:ilvl w:val="0"/>
                <w:numId w:val="12"/>
              </w:numPr>
              <w:ind w:hanging="213"/>
              <w:spacing w:before="7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其他人员</w:t>
            </w:r>
            <w:r/>
          </w:p>
          <w:p>
            <w:pPr>
              <w:pStyle w:val="1146"/>
              <w:ind w:left="107" w:right="752" w:firstLine="628"/>
              <w:spacing w:before="63" w:line="307" w:lineRule="auto"/>
              <w:rPr>
                <w:rFonts w:ascii="黑体" w:hAnsi="黑体" w:eastAsia="黑体" w:cs="黑体"/>
                <w:sz w:val="21"/>
                <w:highlight w:val="none"/>
              </w:rPr>
            </w:pPr>
            <w:r>
              <w:rPr>
                <w:rFonts w:hint="eastAsia" w:ascii="黑体" w:hAnsi="黑体" w:eastAsia="黑体" w:cs="黑体"/>
                <w:sz w:val="21"/>
                <w:highlight w:val="none"/>
              </w:rPr>
              <w:t xml:space="preserve">… 二、现场</w:t>
            </w:r>
            <w:r/>
          </w:p>
          <w:p>
            <w:pPr>
              <w:pStyle w:val="1146"/>
              <w:numPr>
                <w:ilvl w:val="0"/>
                <w:numId w:val="13"/>
              </w:numPr>
              <w:ind w:hanging="213"/>
              <w:spacing w:line="264" w:lineRule="exact"/>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项目经理</w:t>
            </w:r>
            <w:r/>
          </w:p>
          <w:p>
            <w:pPr>
              <w:pStyle w:val="1146"/>
              <w:numPr>
                <w:ilvl w:val="0"/>
                <w:numId w:val="13"/>
              </w:numPr>
              <w:ind w:hanging="213"/>
              <w:spacing w:before="71"/>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项目副经理</w:t>
            </w:r>
            <w:r/>
          </w:p>
          <w:p>
            <w:pPr>
              <w:pStyle w:val="1146"/>
              <w:numPr>
                <w:ilvl w:val="0"/>
                <w:numId w:val="13"/>
              </w:numPr>
              <w:ind w:hanging="213"/>
              <w:spacing w:before="7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质量管理</w:t>
            </w:r>
            <w:r/>
          </w:p>
          <w:p>
            <w:pPr>
              <w:pStyle w:val="1146"/>
              <w:numPr>
                <w:ilvl w:val="0"/>
                <w:numId w:val="13"/>
              </w:numPr>
              <w:ind w:hanging="213"/>
              <w:spacing w:before="7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设备管理</w:t>
            </w:r>
            <w:r/>
          </w:p>
          <w:p>
            <w:pPr>
              <w:pStyle w:val="1146"/>
              <w:numPr>
                <w:ilvl w:val="0"/>
                <w:numId w:val="13"/>
              </w:numPr>
              <w:ind w:hanging="213"/>
              <w:spacing w:before="7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计划管理</w:t>
            </w:r>
            <w:r/>
          </w:p>
          <w:p>
            <w:pPr>
              <w:pStyle w:val="1146"/>
              <w:numPr>
                <w:ilvl w:val="0"/>
                <w:numId w:val="13"/>
              </w:numPr>
              <w:ind w:hanging="213"/>
              <w:spacing w:before="6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安全管理</w:t>
            </w:r>
            <w:r/>
          </w:p>
          <w:p>
            <w:pPr>
              <w:pStyle w:val="1146"/>
              <w:ind w:left="735"/>
              <w:spacing w:before="72"/>
              <w:rPr>
                <w:rFonts w:ascii="黑体" w:hAnsi="黑体" w:eastAsia="黑体" w:cs="黑体"/>
                <w:sz w:val="21"/>
                <w:highlight w:val="none"/>
              </w:rPr>
            </w:pPr>
            <w:r>
              <w:rPr>
                <w:rFonts w:hint="eastAsia" w:ascii="黑体" w:hAnsi="黑体" w:eastAsia="黑体" w:cs="黑体"/>
                <w:sz w:val="21"/>
                <w:highlight w:val="none"/>
              </w:rPr>
              <w:t xml:space="preserve">…</w:t>
            </w:r>
            <w:r/>
          </w:p>
        </w:tc>
        <w:tc>
          <w:tcPr>
            <w:tcW w:w="81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1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1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524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bl>
    <w:p>
      <w:pPr>
        <w:pStyle w:val="1130"/>
        <w:rPr>
          <w:rFonts w:ascii="黑体" w:hAnsi="黑体" w:eastAsia="黑体" w:cs="黑体"/>
          <w:b/>
          <w:sz w:val="20"/>
          <w:highlight w:val="none"/>
        </w:rPr>
      </w:pPr>
      <w:r>
        <w:rPr>
          <w:rFonts w:ascii="黑体" w:hAnsi="黑体" w:eastAsia="黑体" w:cs="黑体"/>
          <w:b/>
          <w:sz w:val="20"/>
          <w:highlight w:val="none"/>
        </w:rPr>
      </w:r>
      <w:r/>
    </w:p>
    <w:p>
      <w:pPr>
        <w:pStyle w:val="1130"/>
        <w:rPr>
          <w:rFonts w:ascii="黑体" w:hAnsi="黑体" w:eastAsia="黑体" w:cs="黑体"/>
          <w:b/>
          <w:sz w:val="20"/>
          <w:highlight w:val="none"/>
        </w:rPr>
      </w:pPr>
      <w:r>
        <w:rPr>
          <w:rFonts w:ascii="黑体" w:hAnsi="黑体" w:eastAsia="黑体" w:cs="黑体"/>
          <w:b/>
          <w:sz w:val="20"/>
          <w:highlight w:val="none"/>
        </w:rPr>
      </w:r>
      <w:r/>
    </w:p>
    <w:p>
      <w:pPr>
        <w:pStyle w:val="1130"/>
        <w:spacing w:before="11"/>
        <w:rPr>
          <w:rFonts w:ascii="黑体" w:hAnsi="黑体" w:eastAsia="黑体" w:cs="黑体"/>
          <w:b/>
          <w:sz w:val="27"/>
          <w:highlight w:val="none"/>
        </w:rPr>
      </w:pPr>
      <w:r>
        <w:rPr>
          <w:rFonts w:ascii="黑体" w:hAnsi="黑体" w:eastAsia="黑体" w:cs="黑体"/>
          <w:b/>
          <w:sz w:val="27"/>
          <w:highlight w:val="none"/>
        </w:rPr>
      </w:r>
      <w:r/>
    </w:p>
    <w:p>
      <w:pPr>
        <w:pStyle w:val="1130"/>
        <w:ind w:left="7376" w:right="2012" w:hanging="106"/>
        <w:spacing w:line="242"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30"/>
        <w:ind w:left="7376"/>
        <w:spacing w:line="268"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8"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30"/>
        <w:spacing w:before="9"/>
        <w:rPr>
          <w:rFonts w:ascii="黑体" w:hAnsi="黑体" w:eastAsia="黑体" w:cs="黑体"/>
          <w:sz w:val="9"/>
          <w:highlight w:val="none"/>
        </w:rPr>
      </w:pPr>
      <w:r>
        <w:rPr>
          <w:rFonts w:ascii="黑体" w:hAnsi="黑体" w:eastAsia="黑体" w:cs="黑体"/>
          <w:sz w:val="9"/>
          <w:highlight w:val="none"/>
        </w:rPr>
      </w:r>
      <w:r/>
    </w:p>
    <w:p>
      <w:pPr>
        <w:rPr>
          <w:rFonts w:ascii="黑体" w:hAnsi="黑体" w:eastAsia="黑体" w:cs="黑体"/>
          <w:sz w:val="9"/>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9"/>
          <w:highlight w:val="none"/>
        </w:rPr>
      </w:r>
      <w:r/>
    </w:p>
    <w:p>
      <w:pPr>
        <w:ind w:left="743"/>
        <w:spacing w:before="66"/>
        <w:rPr>
          <w:rFonts w:ascii="黑体" w:hAnsi="黑体" w:eastAsia="黑体" w:cs="黑体"/>
          <w:b/>
          <w:sz w:val="24"/>
          <w:highlight w:val="none"/>
        </w:rPr>
      </w:pPr>
      <w:r/>
      <w:bookmarkStart w:id="664" w:name="附件一：具备履行合同所必需的设备和专业技术能力的书面声明"/>
      <w:r/>
      <w:bookmarkEnd w:id="664"/>
      <w:r/>
      <w:bookmarkStart w:id="665" w:name="_bookmark23"/>
      <w:r/>
      <w:bookmarkEnd w:id="665"/>
      <w:r>
        <w:rPr>
          <w:rFonts w:hint="eastAsia" w:ascii="黑体" w:hAnsi="黑体" w:eastAsia="黑体" w:cs="黑体"/>
          <w:b/>
          <w:sz w:val="24"/>
          <w:highlight w:val="none"/>
        </w:rPr>
        <w:t xml:space="preserve">九、技术规格偏离表</w:t>
      </w:r>
      <w:r/>
    </w:p>
    <w:p>
      <w:pPr>
        <w:pStyle w:val="1130"/>
        <w:rPr>
          <w:rFonts w:ascii="黑体" w:hAnsi="黑体" w:eastAsia="黑体" w:cs="黑体"/>
          <w:b/>
          <w:sz w:val="24"/>
          <w:highlight w:val="none"/>
        </w:rPr>
      </w:pPr>
      <w:r>
        <w:rPr>
          <w:rFonts w:ascii="黑体" w:hAnsi="黑体" w:eastAsia="黑体" w:cs="黑体"/>
          <w:b/>
          <w:sz w:val="24"/>
          <w:highlight w:val="none"/>
        </w:rPr>
      </w:r>
      <w:r/>
    </w:p>
    <w:p>
      <w:pPr>
        <w:pStyle w:val="1130"/>
        <w:spacing w:before="6"/>
        <w:rPr>
          <w:rFonts w:ascii="黑体" w:hAnsi="黑体" w:eastAsia="黑体" w:cs="黑体"/>
          <w:b/>
          <w:sz w:val="23"/>
          <w:highlight w:val="none"/>
        </w:rPr>
      </w:pPr>
      <w:r>
        <w:rPr>
          <w:rFonts w:ascii="黑体" w:hAnsi="黑体" w:eastAsia="黑体" w:cs="黑体"/>
          <w:b/>
          <w:sz w:val="23"/>
          <w:highlight w:val="none"/>
        </w:rPr>
      </w:r>
      <w:r/>
    </w:p>
    <w:p>
      <w:pPr>
        <w:pStyle w:val="1130"/>
        <w:ind w:left="743"/>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JSZC-320115-JSXN-C2025-0020</w:t>
      </w:r>
      <w:r/>
    </w:p>
    <w:p>
      <w:pPr>
        <w:pStyle w:val="1130"/>
        <w:ind w:left="743"/>
        <w:spacing w:before="3"/>
        <w:rPr>
          <w:rFonts w:ascii="黑体" w:hAnsi="黑体" w:eastAsia="黑体" w:cs="黑体"/>
          <w:highlight w:val="none"/>
        </w:rPr>
      </w:pPr>
      <w:r>
        <w:rPr>
          <w:rFonts w:hint="eastAsia" w:ascii="黑体" w:hAnsi="黑体" w:eastAsia="黑体" w:cs="黑体"/>
          <w:highlight w:val="none"/>
        </w:rPr>
        <w:t xml:space="preserve">项目名称：</w:t>
      </w:r>
      <w:r/>
    </w:p>
    <w:p>
      <w:pPr>
        <w:pStyle w:val="1130"/>
        <w:spacing w:before="3"/>
        <w:rPr>
          <w:rFonts w:ascii="黑体" w:hAnsi="黑体" w:eastAsia="黑体" w:cs="黑体"/>
          <w:sz w:val="31"/>
          <w:highlight w:val="none"/>
        </w:rPr>
      </w:pPr>
      <w:r>
        <w:rPr>
          <w:rFonts w:hint="eastAsia" w:ascii="黑体" w:hAnsi="黑体" w:eastAsia="黑体" w:cs="黑体"/>
          <w:highlight w:val="none"/>
        </w:rPr>
        <w:br w:type="column"/>
      </w:r>
      <w:r/>
    </w:p>
    <w:p>
      <w:pPr>
        <w:ind w:left="725" w:right="4411"/>
        <w:jc w:val="center"/>
        <w:rPr>
          <w:rFonts w:ascii="黑体" w:hAnsi="黑体" w:eastAsia="黑体" w:cs="黑体"/>
          <w:b/>
          <w:sz w:val="24"/>
          <w:highlight w:val="none"/>
        </w:rPr>
      </w:pPr>
      <w:r>
        <w:rPr>
          <w:rFonts w:hint="eastAsia" w:ascii="黑体" w:hAnsi="黑体" w:eastAsia="黑体" w:cs="黑体"/>
          <w:b/>
          <w:sz w:val="24"/>
          <w:highlight w:val="none"/>
        </w:rPr>
        <w:t xml:space="preserve">技术规格偏离表</w:t>
      </w:r>
      <w:r/>
    </w:p>
    <w:p>
      <w:pPr>
        <w:pStyle w:val="1130"/>
        <w:ind w:left="725" w:right="4420"/>
        <w:jc w:val="center"/>
        <w:spacing w:before="3"/>
        <w:rPr>
          <w:rFonts w:ascii="黑体" w:hAnsi="黑体" w:eastAsia="黑体" w:cs="黑体"/>
          <w:highlight w:val="none"/>
        </w:rPr>
      </w:pPr>
      <w:r>
        <w:rPr>
          <w:rFonts w:hint="eastAsia" w:ascii="黑体" w:hAnsi="黑体" w:eastAsia="黑体" w:cs="黑体"/>
          <w:highlight w:val="none"/>
        </w:rPr>
        <w:t xml:space="preserve">（由投标人据实提交）</w:t>
      </w:r>
      <w:r/>
    </w:p>
    <w:p>
      <w:pPr>
        <w:jc w:val="center"/>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3305" w:space="379"/>
            <w:col w:w="7286" w:space="0"/>
          </w:cols>
          <w:docGrid w:linePitch="360"/>
        </w:sectPr>
      </w:pPr>
      <w:r>
        <w:rPr>
          <w:rFonts w:ascii="黑体" w:hAnsi="黑体" w:eastAsia="黑体" w:cs="黑体"/>
          <w:highlight w:val="none"/>
        </w:rPr>
      </w:r>
      <w:r/>
    </w:p>
    <w:tbl>
      <w:tblPr>
        <w:tblStyle w:val="1127"/>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trHeight w:val="545"/>
        </w:trPr>
        <w:tc>
          <w:tcPr>
            <w:tcW w:w="1292" w:type="dxa"/>
            <w:textDirection w:val="lrTb"/>
            <w:noWrap w:val="false"/>
          </w:tcPr>
          <w:p>
            <w:pPr>
              <w:pStyle w:val="1146"/>
              <w:ind w:left="435"/>
              <w:spacing w:before="135"/>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tcW w:w="3326" w:type="dxa"/>
            <w:textDirection w:val="lrTb"/>
            <w:noWrap w:val="false"/>
          </w:tcPr>
          <w:p>
            <w:pPr>
              <w:pStyle w:val="1146"/>
              <w:ind w:left="516" w:right="500"/>
              <w:jc w:val="center"/>
              <w:spacing w:before="135"/>
              <w:rPr>
                <w:rFonts w:ascii="黑体" w:hAnsi="黑体" w:eastAsia="黑体" w:cs="黑体"/>
                <w:b/>
                <w:sz w:val="21"/>
                <w:highlight w:val="none"/>
              </w:rPr>
            </w:pPr>
            <w:r>
              <w:rPr>
                <w:rFonts w:hint="eastAsia" w:ascii="黑体" w:hAnsi="黑体" w:eastAsia="黑体" w:cs="黑体"/>
                <w:b/>
                <w:sz w:val="21"/>
                <w:highlight w:val="none"/>
              </w:rPr>
              <w:t xml:space="preserve">磋商文件的技术条款</w:t>
            </w:r>
            <w:r/>
          </w:p>
        </w:tc>
        <w:tc>
          <w:tcPr>
            <w:tcW w:w="1575" w:type="dxa"/>
            <w:textDirection w:val="lrTb"/>
            <w:noWrap w:val="false"/>
          </w:tcPr>
          <w:p>
            <w:pPr>
              <w:pStyle w:val="1146"/>
              <w:ind w:left="156"/>
              <w:spacing w:before="135"/>
              <w:rPr>
                <w:rFonts w:ascii="黑体" w:hAnsi="黑体" w:eastAsia="黑体" w:cs="黑体"/>
                <w:b/>
                <w:sz w:val="21"/>
                <w:highlight w:val="none"/>
              </w:rPr>
            </w:pPr>
            <w:r>
              <w:rPr>
                <w:rFonts w:hint="eastAsia" w:ascii="黑体" w:hAnsi="黑体" w:eastAsia="黑体" w:cs="黑体"/>
                <w:b/>
                <w:sz w:val="21"/>
                <w:highlight w:val="none"/>
              </w:rPr>
              <w:t xml:space="preserve">磋商实际响应</w:t>
            </w:r>
            <w:r/>
          </w:p>
        </w:tc>
        <w:tc>
          <w:tcPr>
            <w:tcW w:w="1995" w:type="dxa"/>
            <w:textDirection w:val="lrTb"/>
            <w:noWrap w:val="false"/>
          </w:tcPr>
          <w:p>
            <w:pPr>
              <w:pStyle w:val="1146"/>
              <w:ind w:left="134" w:right="122"/>
              <w:jc w:val="center"/>
              <w:rPr>
                <w:rFonts w:ascii="黑体" w:hAnsi="黑体" w:eastAsia="黑体" w:cs="黑体"/>
                <w:b/>
                <w:sz w:val="21"/>
                <w:highlight w:val="none"/>
              </w:rPr>
            </w:pPr>
            <w:r>
              <w:rPr>
                <w:rFonts w:hint="eastAsia" w:ascii="黑体" w:hAnsi="黑体" w:eastAsia="黑体" w:cs="黑体"/>
                <w:b/>
                <w:sz w:val="21"/>
                <w:highlight w:val="none"/>
              </w:rPr>
              <w:t xml:space="preserve">符合/正偏离/负偏</w:t>
            </w:r>
            <w:r/>
          </w:p>
          <w:p>
            <w:pPr>
              <w:pStyle w:val="1146"/>
              <w:ind w:left="5"/>
              <w:jc w:val="center"/>
              <w:spacing w:before="3" w:line="253" w:lineRule="exact"/>
              <w:rPr>
                <w:rFonts w:ascii="黑体" w:hAnsi="黑体" w:eastAsia="黑体" w:cs="黑体"/>
                <w:b/>
                <w:sz w:val="21"/>
                <w:highlight w:val="none"/>
              </w:rPr>
            </w:pPr>
            <w:r>
              <w:rPr>
                <w:rFonts w:hint="eastAsia" w:ascii="黑体" w:hAnsi="黑体" w:eastAsia="黑体" w:cs="黑体"/>
                <w:b/>
                <w:sz w:val="21"/>
                <w:highlight w:val="none"/>
              </w:rPr>
              <w:t xml:space="preserve">离</w:t>
            </w:r>
            <w:r/>
          </w:p>
        </w:tc>
        <w:tc>
          <w:tcPr>
            <w:tcW w:w="1680" w:type="dxa"/>
            <w:textDirection w:val="lrTb"/>
            <w:noWrap w:val="false"/>
          </w:tcPr>
          <w:p>
            <w:pPr>
              <w:pStyle w:val="1146"/>
              <w:ind w:left="91" w:right="80"/>
              <w:jc w:val="center"/>
              <w:spacing w:before="135"/>
              <w:rPr>
                <w:rFonts w:ascii="黑体" w:hAnsi="黑体" w:eastAsia="黑体" w:cs="黑体"/>
                <w:b/>
                <w:sz w:val="21"/>
                <w:highlight w:val="none"/>
              </w:rPr>
            </w:pPr>
            <w:r>
              <w:rPr>
                <w:rFonts w:hint="eastAsia" w:ascii="黑体" w:hAnsi="黑体" w:eastAsia="黑体" w:cs="黑体"/>
                <w:b/>
                <w:sz w:val="21"/>
                <w:highlight w:val="none"/>
              </w:rPr>
              <w:t xml:space="preserve">备注</w:t>
            </w:r>
            <w:r/>
          </w:p>
        </w:tc>
      </w:tr>
      <w:tr>
        <w:trPr>
          <w:trHeight w:val="272"/>
        </w:trPr>
        <w:tc>
          <w:tcPr>
            <w:tcW w:w="129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1146"/>
              <w:ind w:left="516" w:right="510"/>
              <w:jc w:val="center"/>
              <w:spacing w:line="252" w:lineRule="exact"/>
              <w:rPr>
                <w:rFonts w:ascii="黑体" w:hAnsi="黑体" w:eastAsia="黑体" w:cs="黑体"/>
                <w:sz w:val="21"/>
                <w:highlight w:val="none"/>
              </w:rPr>
            </w:pPr>
            <w:r>
              <w:rPr>
                <w:rFonts w:hint="eastAsia" w:ascii="黑体" w:hAnsi="黑体" w:eastAsia="黑体" w:cs="黑体"/>
                <w:sz w:val="15"/>
                <w:highlight w:val="none"/>
              </w:rPr>
              <w:t xml:space="preserve">（</w:t>
            </w:r>
            <w:r>
              <w:rPr>
                <w:rFonts w:hint="eastAsia" w:ascii="黑体" w:hAnsi="黑体" w:eastAsia="黑体" w:cs="黑体"/>
                <w:sz w:val="21"/>
                <w:highlight w:val="none"/>
              </w:rPr>
              <w:t xml:space="preserve">行数不够，自行添加）</w:t>
            </w:r>
            <w:r/>
          </w:p>
        </w:tc>
        <w:tc>
          <w:tcPr>
            <w:tcW w:w="157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bl>
    <w:p>
      <w:pPr>
        <w:rPr>
          <w:rFonts w:ascii="黑体" w:hAnsi="黑体" w:eastAsia="黑体" w:cs="黑体"/>
          <w:sz w:val="20"/>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0"/>
          <w:highlight w:val="none"/>
        </w:rPr>
      </w:r>
      <w:r/>
    </w:p>
    <w:p>
      <w:pPr>
        <w:pStyle w:val="1130"/>
        <w:rPr>
          <w:rFonts w:ascii="黑体" w:hAnsi="黑体" w:eastAsia="黑体" w:cs="黑体"/>
          <w:sz w:val="24"/>
          <w:highlight w:val="none"/>
        </w:rPr>
      </w:pPr>
      <w:r>
        <w:rPr>
          <w:rFonts w:ascii="黑体" w:hAnsi="黑体" w:eastAsia="黑体" w:cs="黑体"/>
          <w:sz w:val="24"/>
          <w:highlight w:val="none"/>
        </w:rPr>
      </w:r>
      <w:r/>
    </w:p>
    <w:p>
      <w:pPr>
        <w:pStyle w:val="1130"/>
        <w:rPr>
          <w:rFonts w:ascii="黑体" w:hAnsi="黑体" w:eastAsia="黑体" w:cs="黑体"/>
          <w:sz w:val="24"/>
          <w:highlight w:val="none"/>
        </w:rPr>
      </w:pPr>
      <w:r>
        <w:rPr>
          <w:rFonts w:ascii="黑体" w:hAnsi="黑体" w:eastAsia="黑体" w:cs="黑体"/>
          <w:sz w:val="24"/>
          <w:highlight w:val="none"/>
        </w:rPr>
      </w:r>
      <w:r/>
    </w:p>
    <w:p>
      <w:pPr>
        <w:pStyle w:val="1130"/>
        <w:rPr>
          <w:rFonts w:ascii="黑体" w:hAnsi="黑体" w:eastAsia="黑体" w:cs="黑体"/>
          <w:sz w:val="24"/>
          <w:highlight w:val="none"/>
        </w:rPr>
      </w:pPr>
      <w:r>
        <w:rPr>
          <w:rFonts w:ascii="黑体" w:hAnsi="黑体" w:eastAsia="黑体" w:cs="黑体"/>
          <w:sz w:val="24"/>
          <w:highlight w:val="none"/>
        </w:rPr>
      </w:r>
      <w:r/>
    </w:p>
    <w:p>
      <w:pPr>
        <w:pStyle w:val="1130"/>
        <w:spacing w:before="5"/>
        <w:rPr>
          <w:rFonts w:ascii="黑体" w:hAnsi="黑体" w:eastAsia="黑体" w:cs="黑体"/>
          <w:sz w:val="20"/>
          <w:highlight w:val="none"/>
        </w:rPr>
      </w:pPr>
      <w:r>
        <w:rPr>
          <w:rFonts w:ascii="黑体" w:hAnsi="黑体" w:eastAsia="黑体" w:cs="黑体"/>
          <w:sz w:val="20"/>
          <w:highlight w:val="none"/>
        </w:rPr>
      </w:r>
      <w:r/>
    </w:p>
    <w:p>
      <w:pPr>
        <w:pStyle w:val="1130"/>
        <w:ind w:right="38"/>
        <w:jc w:val="right"/>
        <w:rPr>
          <w:rFonts w:ascii="黑体" w:hAnsi="黑体" w:eastAsia="黑体" w:cs="黑体"/>
          <w:highlight w:val="none"/>
        </w:rPr>
      </w:pPr>
      <w:r>
        <w:rPr>
          <w:rFonts w:hint="eastAsia" w:ascii="黑体" w:hAnsi="黑体" w:eastAsia="黑体" w:cs="黑体"/>
          <w:sz w:val="24"/>
          <w:highlight w:val="none"/>
        </w:rPr>
        <w:t xml:space="preserve">注：</w:t>
      </w:r>
      <w:r>
        <w:rPr>
          <w:rFonts w:hint="eastAsia" w:ascii="黑体" w:hAnsi="黑体" w:eastAsia="黑体" w:cs="黑体"/>
          <w:highlight w:val="none"/>
        </w:rPr>
        <w:t xml:space="preserve">1.按照项目需求详细填列。</w:t>
      </w:r>
      <w:r/>
    </w:p>
    <w:p>
      <w:pPr>
        <w:pStyle w:val="1144"/>
        <w:numPr>
          <w:ilvl w:val="0"/>
          <w:numId w:val="14"/>
        </w:numPr>
        <w:ind w:right="76" w:hanging="1743"/>
        <w:jc w:val="right"/>
        <w:spacing w:before="1"/>
        <w:tabs>
          <w:tab w:val="left" w:pos="159" w:leader="none"/>
        </w:tabs>
        <w:rPr>
          <w:rFonts w:ascii="黑体" w:hAnsi="黑体" w:eastAsia="黑体" w:cs="黑体"/>
          <w:sz w:val="21"/>
          <w:highlight w:val="none"/>
        </w:rPr>
      </w:pPr>
      <w:r>
        <w:rPr>
          <w:rFonts w:hint="eastAsia" w:ascii="黑体" w:hAnsi="黑体" w:eastAsia="黑体" w:cs="黑体"/>
          <w:sz w:val="21"/>
          <w:highlight w:val="none"/>
        </w:rPr>
        <w:t xml:space="preserve">行数不够，可自行添加。</w:t>
      </w:r>
      <w:r/>
    </w:p>
    <w:p>
      <w:pPr>
        <w:pStyle w:val="1130"/>
        <w:ind w:left="1143" w:right="752" w:firstLine="211"/>
        <w:jc w:val="right"/>
        <w:spacing w:before="4" w:line="350"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 日期：年月日</w:t>
      </w:r>
      <w:r/>
    </w:p>
    <w:p>
      <w:pPr>
        <w:jc w:val="right"/>
        <w:spacing w:line="350" w:lineRule="auto"/>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4129" w:space="3258"/>
            <w:col w:w="3583" w:space="0"/>
          </w:cols>
          <w:docGrid w:linePitch="360"/>
        </w:sectPr>
      </w:pPr>
      <w:r>
        <w:rPr>
          <w:rFonts w:ascii="黑体" w:hAnsi="黑体" w:eastAsia="黑体" w:cs="黑体"/>
          <w:highlight w:val="none"/>
        </w:rPr>
      </w:r>
      <w:r/>
    </w:p>
    <w:p>
      <w:pPr>
        <w:pStyle w:val="1144"/>
        <w:numPr>
          <w:ilvl w:val="0"/>
          <w:numId w:val="14"/>
        </w:numPr>
        <w:ind w:hanging="160"/>
        <w:spacing w:before="4"/>
        <w:tabs>
          <w:tab w:val="left" w:pos="1743" w:leader="none"/>
        </w:tabs>
        <w:rPr>
          <w:rFonts w:ascii="黑体" w:hAnsi="黑体" w:eastAsia="黑体" w:cs="黑体"/>
          <w:b/>
          <w:sz w:val="21"/>
          <w:highlight w:val="none"/>
        </w:rPr>
      </w:pPr>
      <w:r>
        <w:rPr>
          <w:rFonts w:hint="eastAsia" w:ascii="黑体" w:hAnsi="黑体" w:eastAsia="黑体" w:cs="黑体"/>
          <w:b/>
          <w:sz w:val="21"/>
          <w:highlight w:val="none"/>
        </w:rPr>
        <w:t xml:space="preserve">请如实填写偏离表，如果虚假响应，将被暂停进入南京市江宁区政府采购活动。</w:t>
      </w:r>
      <w:r/>
    </w:p>
    <w:p>
      <w:pPr>
        <w:pStyle w:val="1144"/>
        <w:numPr>
          <w:ilvl w:val="0"/>
          <w:numId w:val="14"/>
        </w:numPr>
        <w:ind w:left="1163" w:right="719" w:firstLine="420"/>
        <w:spacing w:before="2" w:line="244" w:lineRule="auto"/>
        <w:tabs>
          <w:tab w:val="left" w:pos="1744" w:leader="none"/>
        </w:tabs>
        <w:rPr>
          <w:rFonts w:ascii="黑体" w:hAnsi="黑体" w:eastAsia="黑体" w:cs="黑体"/>
          <w:b/>
          <w:sz w:val="21"/>
          <w:highlight w:val="none"/>
        </w:rPr>
      </w:pPr>
      <w:r>
        <w:rPr>
          <w:rFonts w:hint="eastAsia" w:ascii="黑体" w:hAnsi="黑体" w:eastAsia="黑体" w:cs="黑体"/>
          <w:b/>
          <w:sz w:val="21"/>
          <w:highlight w:val="none"/>
        </w:rPr>
        <w:t xml:space="preserve">请供应商根据磋商实际情况填写，如果磋商实际响应与供应商提供的证明资料有实质性偏离  </w:t>
      </w:r>
      <w:r>
        <w:rPr>
          <w:rFonts w:hint="eastAsia" w:ascii="黑体" w:hAnsi="黑体" w:eastAsia="黑体" w:cs="黑体"/>
          <w:b/>
          <w:sz w:val="21"/>
          <w:highlight w:val="none"/>
        </w:rPr>
        <w:t xml:space="preserve">的，将作无效磋商处理。</w:t>
      </w:r>
      <w:r/>
    </w:p>
    <w:p>
      <w:pPr>
        <w:pStyle w:val="1130"/>
        <w:spacing w:before="2"/>
        <w:rPr>
          <w:rFonts w:ascii="黑体" w:hAnsi="黑体" w:eastAsia="黑体" w:cs="黑体"/>
          <w:b/>
          <w:sz w:val="13"/>
          <w:highlight w:val="none"/>
        </w:rPr>
      </w:pPr>
      <w:r>
        <w:rPr>
          <w:rFonts w:ascii="黑体" w:hAnsi="黑体" w:eastAsia="黑体" w:cs="黑体"/>
          <w:b/>
          <w:sz w:val="13"/>
          <w:highlight w:val="none"/>
        </w:rPr>
      </w:r>
      <w:r/>
    </w:p>
    <w:p>
      <w:pPr>
        <w:rPr>
          <w:rFonts w:ascii="黑体" w:hAnsi="黑体" w:eastAsia="黑体" w:cs="黑体"/>
          <w:sz w:val="13"/>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13"/>
          <w:highlight w:val="none"/>
        </w:rPr>
      </w:r>
      <w:r/>
    </w:p>
    <w:p>
      <w:pPr>
        <w:rPr>
          <w:rFonts w:ascii="黑体" w:hAnsi="黑体" w:eastAsia="黑体" w:cs="黑体"/>
          <w:highlight w:val="none"/>
        </w:rPr>
      </w:pPr>
      <w:r/>
      <w:bookmarkStart w:id="666" w:name="十一、质量保证及服务承诺"/>
      <w:r/>
      <w:bookmarkEnd w:id="666"/>
      <w:r/>
      <w:bookmarkStart w:id="667" w:name="_bookmark24"/>
      <w:r/>
      <w:bookmarkEnd w:id="667"/>
      <w:r>
        <w:rPr>
          <w:rFonts w:hint="eastAsia" w:ascii="黑体" w:hAnsi="黑体" w:eastAsia="黑体" w:cs="黑体"/>
          <w:highlight w:val="none"/>
        </w:rPr>
        <w:br w:type="page" w:clear="all"/>
      </w:r>
      <w:r/>
    </w:p>
    <w:p>
      <w:pPr>
        <w:pStyle w:val="1123"/>
        <w:ind w:left="743"/>
        <w:spacing w:before="70"/>
        <w:rPr>
          <w:rFonts w:ascii="黑体" w:hAnsi="黑体" w:eastAsia="黑体" w:cs="黑体"/>
          <w:highlight w:val="none"/>
        </w:rPr>
      </w:pPr>
      <w:r>
        <w:rPr>
          <w:rFonts w:hint="eastAsia" w:ascii="黑体" w:hAnsi="黑体" w:eastAsia="黑体" w:cs="黑体"/>
          <w:highlight w:val="none"/>
        </w:rPr>
        <w:t xml:space="preserve">十、质量保证及服务承诺</w:t>
      </w:r>
      <w:r/>
    </w:p>
    <w:p>
      <w:pPr>
        <w:pStyle w:val="1130"/>
        <w:spacing w:before="7"/>
        <w:rPr>
          <w:rFonts w:ascii="黑体" w:hAnsi="黑体" w:eastAsia="黑体" w:cs="黑体"/>
          <w:b/>
          <w:sz w:val="33"/>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质量保证及服务承诺</w:t>
      </w:r>
      <w:r/>
    </w:p>
    <w:p>
      <w:pPr>
        <w:rPr>
          <w:rFonts w:ascii="黑体" w:hAnsi="黑体" w:eastAsia="黑体" w:cs="黑体"/>
          <w:sz w:val="28"/>
          <w:highlight w:val="none"/>
        </w:rPr>
        <w:sectPr>
          <w:footnotePr/>
          <w:endnotePr/>
          <w:type w:val="continuous"/>
          <w:pgSz w:w="11910" w:h="16840" w:orient="portrait"/>
          <w:pgMar w:top="1340" w:right="380" w:bottom="1180" w:left="560" w:header="720" w:footer="720" w:gutter="0"/>
          <w:cols w:num="2" w:sep="0" w:space="1701" w:equalWidth="0">
            <w:col w:w="3313" w:space="157"/>
            <w:col w:w="7500" w:space="0"/>
          </w:cols>
          <w:docGrid w:linePitch="360"/>
        </w:sectPr>
      </w:pPr>
      <w:r>
        <w:rPr>
          <w:rFonts w:ascii="黑体" w:hAnsi="黑体" w:eastAsia="黑体" w:cs="黑体"/>
          <w:sz w:val="28"/>
          <w:highlight w:val="none"/>
        </w:rPr>
      </w:r>
      <w:r/>
    </w:p>
    <w:p>
      <w:pPr>
        <w:pStyle w:val="1130"/>
        <w:spacing w:before="10"/>
        <w:rPr>
          <w:rFonts w:ascii="黑体" w:hAnsi="黑体" w:eastAsia="黑体" w:cs="黑体"/>
          <w:b/>
          <w:sz w:val="13"/>
          <w:highlight w:val="none"/>
        </w:rPr>
      </w:pPr>
      <w:r>
        <w:rPr>
          <w:rFonts w:ascii="黑体" w:hAnsi="黑体" w:eastAsia="黑体" w:cs="黑体"/>
          <w:b/>
          <w:sz w:val="13"/>
          <w:highlight w:val="none"/>
        </w:rPr>
      </w:r>
      <w:r/>
    </w:p>
    <w:p>
      <w:pPr>
        <w:ind w:left="743" w:right="731"/>
        <w:spacing w:before="67"/>
        <w:rPr>
          <w:rFonts w:ascii="黑体" w:hAnsi="黑体" w:eastAsia="黑体" w:cs="黑体"/>
          <w:sz w:val="21"/>
          <w:highlight w:val="none"/>
        </w:rPr>
      </w:pPr>
      <w:r>
        <w:rPr>
          <w:rFonts w:hint="eastAsia" w:ascii="黑体" w:hAnsi="黑体" w:eastAsia="黑体" w:cs="黑体"/>
          <w:spacing w:val="2"/>
          <w:sz w:val="21"/>
          <w:highlight w:val="none"/>
        </w:rPr>
        <w:t xml:space="preserve">我公司就项目编号为</w:t>
      </w:r>
      <w:r>
        <w:rPr>
          <w:rFonts w:hint="eastAsia" w:ascii="黑体" w:hAnsi="黑体" w:eastAsia="黑体" w:cs="黑体"/>
          <w:sz w:val="21"/>
          <w:highlight w:val="none"/>
        </w:rPr>
        <w:t xml:space="preserve">“</w:t>
      </w:r>
      <w:r>
        <w:rPr>
          <w:rFonts w:hint="eastAsia" w:ascii="黑体" w:hAnsi="黑体" w:eastAsia="黑体" w:cs="黑体"/>
          <w:sz w:val="21"/>
          <w:highlight w:val="none"/>
          <w:lang w:eastAsia="zh-CN"/>
        </w:rPr>
        <w:t xml:space="preserve">JSZC-320115-JSXN-C2025-0020</w:t>
      </w:r>
      <w:r>
        <w:rPr>
          <w:rFonts w:hint="eastAsia" w:ascii="黑体" w:hAnsi="黑体" w:eastAsia="黑体" w:cs="黑体"/>
          <w:sz w:val="21"/>
          <w:highlight w:val="none"/>
        </w:rPr>
        <w:t xml:space="preserve">”</w:t>
      </w:r>
      <w:r>
        <w:rPr>
          <w:rFonts w:hint="eastAsia" w:ascii="黑体" w:hAnsi="黑体" w:eastAsia="黑体" w:cs="黑体"/>
          <w:spacing w:val="-5"/>
          <w:sz w:val="21"/>
          <w:highlight w:val="none"/>
        </w:rPr>
        <w:t xml:space="preserve">的</w:t>
      </w:r>
      <w:r>
        <w:rPr>
          <w:rFonts w:hint="eastAsia" w:ascii="黑体" w:hAnsi="黑体" w:eastAsia="黑体" w:cs="黑体"/>
          <w:spacing w:val="3"/>
          <w:sz w:val="21"/>
          <w:highlight w:val="none"/>
          <w:u w:val="single"/>
          <w:lang w:eastAsia="zh-CN"/>
        </w:rPr>
        <w:t xml:space="preserve">秣陵街道社区卫生服务中心体检科改造工程</w:t>
      </w:r>
      <w:r>
        <w:rPr>
          <w:rFonts w:hint="eastAsia" w:ascii="黑体" w:hAnsi="黑体" w:eastAsia="黑体" w:cs="黑体"/>
          <w:spacing w:val="3"/>
          <w:sz w:val="21"/>
          <w:highlight w:val="none"/>
        </w:rPr>
        <w:t xml:space="preserve">项目质量保证及服务承诺如下：</w:t>
      </w:r>
      <w:r/>
    </w:p>
    <w:p>
      <w:pPr>
        <w:pStyle w:val="1130"/>
        <w:spacing w:before="3"/>
        <w:rPr>
          <w:rFonts w:ascii="黑体" w:hAnsi="黑体" w:eastAsia="黑体" w:cs="黑体"/>
          <w:sz w:val="19"/>
          <w:highlight w:val="none"/>
        </w:rPr>
      </w:pPr>
      <w:r>
        <w:rPr>
          <w:rFonts w:ascii="黑体" w:hAnsi="黑体" w:eastAsia="黑体" w:cs="黑体"/>
          <w:sz w:val="19"/>
          <w:highlight w:val="none"/>
        </w:rPr>
      </w:r>
      <w:r/>
    </w:p>
    <w:p>
      <w:pPr>
        <w:pStyle w:val="1130"/>
        <w:ind w:left="1767" w:right="1417"/>
        <w:jc w:val="center"/>
        <w:rPr>
          <w:rFonts w:ascii="黑体" w:hAnsi="黑体" w:eastAsia="黑体" w:cs="黑体"/>
          <w:highlight w:val="none"/>
        </w:rPr>
      </w:pPr>
      <w:r>
        <w:rPr>
          <w:rFonts w:hint="eastAsia" w:ascii="黑体" w:hAnsi="黑体" w:eastAsia="黑体" w:cs="黑体"/>
          <w:highlight w:val="none"/>
        </w:rPr>
        <w:t xml:space="preserve">（供应商自拟）</w:t>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spacing w:before="4"/>
        <w:rPr>
          <w:rFonts w:ascii="黑体" w:hAnsi="黑体" w:eastAsia="黑体" w:cs="黑体"/>
          <w:sz w:val="14"/>
          <w:highlight w:val="none"/>
        </w:rPr>
      </w:pPr>
      <w:r>
        <w:rPr>
          <w:rFonts w:ascii="黑体" w:hAnsi="黑体" w:eastAsia="黑体" w:cs="黑体"/>
          <w:sz w:val="14"/>
          <w:highlight w:val="none"/>
        </w:rPr>
      </w:r>
      <w:r/>
    </w:p>
    <w:p>
      <w:pPr>
        <w:pStyle w:val="1130"/>
        <w:ind w:left="7376" w:right="2012" w:hanging="106"/>
        <w:spacing w:before="1" w:line="244"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30"/>
        <w:ind w:left="7376"/>
        <w:spacing w:line="265"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1130"/>
        <w:spacing w:before="9"/>
        <w:rPr>
          <w:rFonts w:ascii="黑体" w:hAnsi="黑体" w:eastAsia="黑体" w:cs="黑体"/>
          <w:sz w:val="9"/>
          <w:highlight w:val="none"/>
        </w:rPr>
      </w:pPr>
      <w:r>
        <w:rPr>
          <w:rFonts w:ascii="黑体" w:hAnsi="黑体" w:eastAsia="黑体" w:cs="黑体"/>
          <w:sz w:val="9"/>
          <w:highlight w:val="none"/>
        </w:rPr>
      </w:r>
      <w:r/>
    </w:p>
    <w:p>
      <w:pPr>
        <w:ind w:left="743"/>
        <w:spacing w:before="66"/>
        <w:rPr>
          <w:rFonts w:ascii="黑体" w:hAnsi="黑体" w:eastAsia="黑体" w:cs="黑体"/>
          <w:b/>
          <w:sz w:val="24"/>
          <w:highlight w:val="none"/>
        </w:rPr>
      </w:pPr>
      <w:r/>
      <w:bookmarkStart w:id="668" w:name="_bookmark25"/>
      <w:r/>
      <w:bookmarkEnd w:id="668"/>
      <w:r/>
      <w:bookmarkStart w:id="669" w:name="附件三：中小企业声明函格式、残疾人福利性单位声明函（如有）"/>
      <w:r/>
      <w:bookmarkEnd w:id="669"/>
      <w:r>
        <w:rPr>
          <w:rFonts w:hint="eastAsia" w:ascii="黑体" w:hAnsi="黑体" w:eastAsia="黑体" w:cs="黑体"/>
          <w:b/>
          <w:sz w:val="24"/>
          <w:highlight w:val="none"/>
        </w:rPr>
        <w:t xml:space="preserve">附件一：具备履行合同所必需的设备和专业技术能力的书面声明</w:t>
      </w:r>
      <w:r/>
    </w:p>
    <w:p>
      <w:pPr>
        <w:pStyle w:val="1130"/>
        <w:spacing w:before="4"/>
        <w:rPr>
          <w:rFonts w:ascii="黑体" w:hAnsi="黑体" w:eastAsia="黑体" w:cs="黑体"/>
          <w:b/>
          <w:sz w:val="33"/>
          <w:highlight w:val="none"/>
        </w:rPr>
      </w:pPr>
      <w:r>
        <w:rPr>
          <w:rFonts w:ascii="黑体" w:hAnsi="黑体" w:eastAsia="黑体" w:cs="黑体"/>
          <w:b/>
          <w:sz w:val="33"/>
          <w:highlight w:val="none"/>
        </w:rPr>
      </w:r>
      <w:r/>
    </w:p>
    <w:p>
      <w:pPr>
        <w:ind w:left="1765" w:right="1753"/>
        <w:jc w:val="center"/>
        <w:spacing w:before="1"/>
        <w:rPr>
          <w:rFonts w:ascii="黑体" w:hAnsi="黑体" w:eastAsia="黑体" w:cs="黑体"/>
          <w:b/>
          <w:sz w:val="24"/>
          <w:highlight w:val="none"/>
        </w:rPr>
      </w:pPr>
      <w:r>
        <w:rPr>
          <w:rFonts w:hint="eastAsia" w:ascii="黑体" w:hAnsi="黑体" w:eastAsia="黑体" w:cs="黑体"/>
          <w:b/>
          <w:sz w:val="24"/>
          <w:highlight w:val="none"/>
        </w:rPr>
        <w:t xml:space="preserve">具备履行合同所必需的设备和专业技术能力的书面声明</w:t>
      </w:r>
      <w:r/>
    </w:p>
    <w:p>
      <w:pPr>
        <w:pStyle w:val="1130"/>
        <w:spacing w:before="2"/>
        <w:rPr>
          <w:rFonts w:ascii="黑体" w:hAnsi="黑体" w:eastAsia="黑体" w:cs="黑体"/>
          <w:b/>
          <w:sz w:val="30"/>
          <w:highlight w:val="none"/>
        </w:rPr>
      </w:pPr>
      <w:r>
        <w:rPr>
          <w:rFonts w:ascii="黑体" w:hAnsi="黑体" w:eastAsia="黑体" w:cs="黑体"/>
          <w:b/>
          <w:sz w:val="30"/>
          <w:highlight w:val="none"/>
        </w:rPr>
      </w:r>
      <w:r/>
    </w:p>
    <w:p>
      <w:pPr>
        <w:pStyle w:val="1130"/>
        <w:ind w:left="743" w:right="767" w:firstLine="444"/>
        <w:spacing w:line="364" w:lineRule="auto"/>
        <w:rPr>
          <w:rFonts w:ascii="黑体" w:hAnsi="黑体" w:eastAsia="黑体" w:cs="黑体"/>
          <w:highlight w:val="none"/>
        </w:rPr>
      </w:pPr>
      <w:r>
        <w:rPr>
          <w:rFonts w:hint="eastAsia" w:ascii="黑体" w:hAnsi="黑体" w:eastAsia="黑体" w:cs="黑体"/>
          <w:highlight w:val="none"/>
        </w:rPr>
        <w:t xml:space="preserve">我单位郑重声明：我单位具备履行本项采购合同所必需的设备和专业技术能力，为履行本项采  </w:t>
      </w:r>
      <w:r>
        <w:rPr>
          <w:rFonts w:hint="eastAsia" w:ascii="黑体" w:hAnsi="黑体" w:eastAsia="黑体" w:cs="黑体"/>
          <w:highlight w:val="none"/>
        </w:rPr>
        <w:t xml:space="preserve">购合同我公司具备如下主要设备和主要专业技术能力：</w:t>
      </w:r>
      <w:r/>
    </w:p>
    <w:p>
      <w:pPr>
        <w:pStyle w:val="1130"/>
        <w:ind w:left="1187"/>
        <w:spacing w:before="1"/>
        <w:tabs>
          <w:tab w:val="left" w:pos="4040" w:leader="none"/>
        </w:tabs>
        <w:rPr>
          <w:rFonts w:ascii="黑体" w:hAnsi="黑体" w:eastAsia="黑体" w:cs="黑体"/>
          <w:highlight w:val="none"/>
        </w:rPr>
      </w:pPr>
      <w:r>
        <w:rPr>
          <w:rFonts w:hint="eastAsia" w:ascii="黑体" w:hAnsi="黑体" w:eastAsia="黑体" w:cs="黑体"/>
          <w:spacing w:val="11"/>
          <w:highlight w:val="none"/>
        </w:rPr>
        <w:t xml:space="preserve">主</w:t>
      </w:r>
      <w:r>
        <w:rPr>
          <w:rFonts w:hint="eastAsia" w:ascii="黑体" w:hAnsi="黑体" w:eastAsia="黑体" w:cs="黑体"/>
          <w:spacing w:val="14"/>
          <w:highlight w:val="none"/>
        </w:rPr>
        <w:t xml:space="preserve">要</w:t>
      </w:r>
      <w:r>
        <w:rPr>
          <w:rFonts w:hint="eastAsia" w:ascii="黑体" w:hAnsi="黑体" w:eastAsia="黑体" w:cs="黑体"/>
          <w:spacing w:val="11"/>
          <w:highlight w:val="none"/>
        </w:rPr>
        <w:t xml:space="preserve">设</w:t>
      </w:r>
      <w:r>
        <w:rPr>
          <w:rFonts w:hint="eastAsia" w:ascii="黑体" w:hAnsi="黑体" w:eastAsia="黑体" w:cs="黑体"/>
          <w:spacing w:val="14"/>
          <w:highlight w:val="none"/>
        </w:rPr>
        <w:t xml:space="preserve">备</w:t>
      </w:r>
      <w:r>
        <w:rPr>
          <w:rFonts w:hint="eastAsia" w:ascii="黑体" w:hAnsi="黑体" w:eastAsia="黑体" w:cs="黑体"/>
          <w:spacing w:val="11"/>
          <w:highlight w:val="none"/>
        </w:rPr>
        <w:t xml:space="preserve">有</w:t>
      </w:r>
      <w:r>
        <w:rPr>
          <w:rFonts w:hint="eastAsia" w:ascii="黑体" w:hAnsi="黑体" w:eastAsia="黑体" w:cs="黑体"/>
          <w:spacing w:val="14"/>
          <w:highlight w:val="none"/>
        </w:rPr>
        <w:t xml:space="preserve">：</w:t>
      </w:r>
      <w:r>
        <w:rPr>
          <w:rFonts w:hint="eastAsia" w:ascii="黑体" w:hAnsi="黑体" w:eastAsia="黑体" w:cs="黑体"/>
          <w:spacing w:val="14"/>
          <w:highlight w:val="none"/>
          <w:u w:val="single"/>
        </w:rPr>
        <w:tab/>
      </w:r>
      <w:r>
        <w:rPr>
          <w:rFonts w:hint="eastAsia" w:ascii="黑体" w:hAnsi="黑体" w:eastAsia="黑体" w:cs="黑体"/>
          <w:highlight w:val="none"/>
        </w:rPr>
        <w:t xml:space="preserve">。</w:t>
      </w:r>
      <w:r/>
    </w:p>
    <w:p>
      <w:pPr>
        <w:pStyle w:val="1130"/>
        <w:ind w:left="1187"/>
        <w:spacing w:before="139"/>
        <w:tabs>
          <w:tab w:val="left" w:pos="4928" w:leader="none"/>
        </w:tabs>
        <w:rPr>
          <w:rFonts w:ascii="黑体" w:hAnsi="黑体" w:eastAsia="黑体" w:cs="黑体"/>
          <w:highlight w:val="none"/>
        </w:rPr>
      </w:pPr>
      <w:r>
        <w:rPr>
          <w:rFonts w:hint="eastAsia" w:ascii="黑体" w:hAnsi="黑体" w:eastAsia="黑体" w:cs="黑体"/>
          <w:spacing w:val="11"/>
          <w:highlight w:val="none"/>
        </w:rPr>
        <w:t xml:space="preserve">主</w:t>
      </w:r>
      <w:r>
        <w:rPr>
          <w:rFonts w:hint="eastAsia" w:ascii="黑体" w:hAnsi="黑体" w:eastAsia="黑体" w:cs="黑体"/>
          <w:spacing w:val="14"/>
          <w:highlight w:val="none"/>
        </w:rPr>
        <w:t xml:space="preserve">要</w:t>
      </w:r>
      <w:r>
        <w:rPr>
          <w:rFonts w:hint="eastAsia" w:ascii="黑体" w:hAnsi="黑体" w:eastAsia="黑体" w:cs="黑体"/>
          <w:spacing w:val="11"/>
          <w:highlight w:val="none"/>
        </w:rPr>
        <w:t xml:space="preserve">专</w:t>
      </w:r>
      <w:r>
        <w:rPr>
          <w:rFonts w:hint="eastAsia" w:ascii="黑体" w:hAnsi="黑体" w:eastAsia="黑体" w:cs="黑体"/>
          <w:spacing w:val="14"/>
          <w:highlight w:val="none"/>
        </w:rPr>
        <w:t xml:space="preserve">业</w:t>
      </w:r>
      <w:r>
        <w:rPr>
          <w:rFonts w:hint="eastAsia" w:ascii="黑体" w:hAnsi="黑体" w:eastAsia="黑体" w:cs="黑体"/>
          <w:spacing w:val="11"/>
          <w:highlight w:val="none"/>
        </w:rPr>
        <w:t xml:space="preserve">技</w:t>
      </w:r>
      <w:r>
        <w:rPr>
          <w:rFonts w:hint="eastAsia" w:ascii="黑体" w:hAnsi="黑体" w:eastAsia="黑体" w:cs="黑体"/>
          <w:spacing w:val="14"/>
          <w:highlight w:val="none"/>
        </w:rPr>
        <w:t xml:space="preserve">术</w:t>
      </w:r>
      <w:r>
        <w:rPr>
          <w:rFonts w:hint="eastAsia" w:ascii="黑体" w:hAnsi="黑体" w:eastAsia="黑体" w:cs="黑体"/>
          <w:spacing w:val="11"/>
          <w:highlight w:val="none"/>
        </w:rPr>
        <w:t xml:space="preserve">能</w:t>
      </w:r>
      <w:r>
        <w:rPr>
          <w:rFonts w:hint="eastAsia" w:ascii="黑体" w:hAnsi="黑体" w:eastAsia="黑体" w:cs="黑体"/>
          <w:spacing w:val="14"/>
          <w:highlight w:val="none"/>
        </w:rPr>
        <w:t xml:space="preserve">力</w:t>
      </w:r>
      <w:r>
        <w:rPr>
          <w:rFonts w:hint="eastAsia" w:ascii="黑体" w:hAnsi="黑体" w:eastAsia="黑体" w:cs="黑体"/>
          <w:spacing w:val="11"/>
          <w:highlight w:val="none"/>
        </w:rPr>
        <w:t xml:space="preserve">有</w:t>
      </w:r>
      <w:r>
        <w:rPr>
          <w:rFonts w:hint="eastAsia" w:ascii="黑体" w:hAnsi="黑体" w:eastAsia="黑体" w:cs="黑体"/>
          <w:spacing w:val="14"/>
          <w:highlight w:val="none"/>
        </w:rPr>
        <w:t xml:space="preserve">：</w:t>
      </w:r>
      <w:r>
        <w:rPr>
          <w:rFonts w:hint="eastAsia" w:ascii="黑体" w:hAnsi="黑体" w:eastAsia="黑体" w:cs="黑体"/>
          <w:spacing w:val="14"/>
          <w:highlight w:val="none"/>
          <w:u w:val="single"/>
        </w:rPr>
        <w:tab/>
      </w:r>
      <w:r>
        <w:rPr>
          <w:rFonts w:hint="eastAsia" w:ascii="黑体" w:hAnsi="黑体" w:eastAsia="黑体" w:cs="黑体"/>
          <w:highlight w:val="none"/>
        </w:rPr>
        <w:t xml:space="preserve">。</w:t>
      </w:r>
      <w:r/>
    </w:p>
    <w:p>
      <w:pPr>
        <w:pStyle w:val="1130"/>
        <w:rPr>
          <w:rFonts w:ascii="黑体" w:hAnsi="黑体" w:eastAsia="黑体" w:cs="黑体"/>
          <w:sz w:val="22"/>
          <w:highlight w:val="none"/>
        </w:rPr>
      </w:pPr>
      <w:r>
        <w:rPr>
          <w:rFonts w:ascii="黑体" w:hAnsi="黑体" w:eastAsia="黑体" w:cs="黑体"/>
          <w:sz w:val="22"/>
          <w:highlight w:val="none"/>
        </w:rPr>
      </w:r>
      <w:r/>
    </w:p>
    <w:p>
      <w:pPr>
        <w:pStyle w:val="1130"/>
        <w:spacing w:before="10"/>
        <w:rPr>
          <w:rFonts w:ascii="黑体" w:hAnsi="黑体" w:eastAsia="黑体" w:cs="黑体"/>
          <w:sz w:val="24"/>
          <w:highlight w:val="none"/>
        </w:rPr>
      </w:pPr>
      <w:r>
        <w:rPr>
          <w:rFonts w:ascii="黑体" w:hAnsi="黑体" w:eastAsia="黑体" w:cs="黑体"/>
          <w:sz w:val="24"/>
          <w:highlight w:val="none"/>
        </w:rPr>
      </w:r>
      <w:r/>
    </w:p>
    <w:p>
      <w:pPr>
        <w:pStyle w:val="1130"/>
        <w:ind w:left="7367" w:right="1916"/>
        <w:spacing w:line="242"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30"/>
        <w:ind w:left="7367"/>
        <w:spacing w:before="2"/>
        <w:tabs>
          <w:tab w:val="left" w:pos="7998" w:leader="none"/>
          <w:tab w:val="left" w:pos="8838" w:leader="none"/>
          <w:tab w:val="left" w:pos="9467"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p>
    <w:p>
      <w:pPr>
        <w:pStyle w:val="1130"/>
        <w:rPr>
          <w:rFonts w:ascii="黑体" w:hAnsi="黑体" w:eastAsia="黑体" w:cs="黑体"/>
          <w:sz w:val="19"/>
          <w:highlight w:val="none"/>
        </w:rPr>
      </w:pPr>
      <w:r>
        <w:rPr>
          <w:rFonts w:ascii="黑体" w:hAnsi="黑体" w:eastAsia="黑体" w:cs="黑体"/>
          <w:sz w:val="19"/>
          <w:highlight w:val="none"/>
        </w:rPr>
      </w:r>
      <w:r/>
    </w:p>
    <w:p>
      <w:pPr>
        <w:ind w:right="2"/>
        <w:jc w:val="center"/>
        <w:spacing w:before="1"/>
        <w:rPr>
          <w:rFonts w:ascii="黑体" w:hAnsi="黑体" w:eastAsia="黑体" w:cs="黑体"/>
          <w:b/>
          <w:sz w:val="21"/>
          <w:highlight w:val="none"/>
        </w:rPr>
      </w:pPr>
      <w:r>
        <w:rPr>
          <w:rFonts w:hint="eastAsia" w:ascii="黑体" w:hAnsi="黑体" w:eastAsia="黑体" w:cs="黑体"/>
          <w:b/>
          <w:sz w:val="21"/>
          <w:highlight w:val="none"/>
        </w:rPr>
        <w:t xml:space="preserve">主要施工机械设备表</w:t>
      </w:r>
      <w:r/>
    </w:p>
    <w:p>
      <w:pPr>
        <w:pStyle w:val="1130"/>
        <w:spacing w:before="10"/>
        <w:rPr>
          <w:rFonts w:ascii="黑体" w:hAnsi="黑体" w:eastAsia="黑体" w:cs="黑体"/>
          <w:b/>
          <w:sz w:val="10"/>
          <w:highlight w:val="none"/>
        </w:rPr>
      </w:pPr>
      <w:r>
        <w:rPr>
          <w:rFonts w:ascii="黑体" w:hAnsi="黑体" w:eastAsia="黑体" w:cs="黑体"/>
          <w:b/>
          <w:sz w:val="10"/>
          <w:highlight w:val="none"/>
        </w:rPr>
      </w:r>
      <w:r/>
    </w:p>
    <w:tbl>
      <w:tblPr>
        <w:tblStyle w:val="1127"/>
        <w:tblW w:w="9747" w:type="dxa"/>
        <w:tblInd w:w="8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0"/>
        <w:gridCol w:w="1739"/>
        <w:gridCol w:w="1073"/>
        <w:gridCol w:w="779"/>
        <w:gridCol w:w="1074"/>
        <w:gridCol w:w="1074"/>
        <w:gridCol w:w="1433"/>
        <w:gridCol w:w="1074"/>
        <w:gridCol w:w="801"/>
      </w:tblGrid>
      <w:tr>
        <w:trPr>
          <w:trHeight w:val="340"/>
        </w:trPr>
        <w:tc>
          <w:tcPr>
            <w:tcW w:w="700" w:type="dxa"/>
            <w:textDirection w:val="lrTb"/>
            <w:noWrap w:val="false"/>
          </w:tcPr>
          <w:p>
            <w:pPr>
              <w:pStyle w:val="1146"/>
              <w:ind w:left="139"/>
              <w:spacing w:line="250" w:lineRule="exact"/>
              <w:rPr>
                <w:rFonts w:ascii="黑体" w:hAnsi="黑体" w:eastAsia="黑体" w:cs="黑体"/>
                <w:sz w:val="21"/>
                <w:highlight w:val="none"/>
              </w:rPr>
            </w:pPr>
            <w:r>
              <w:rPr>
                <w:rFonts w:hint="eastAsia" w:ascii="黑体" w:hAnsi="黑体" w:eastAsia="黑体" w:cs="黑体"/>
                <w:sz w:val="21"/>
                <w:highlight w:val="none"/>
              </w:rPr>
              <w:t xml:space="preserve">序号</w:t>
            </w:r>
            <w:r/>
          </w:p>
        </w:tc>
        <w:tc>
          <w:tcPr>
            <w:tcW w:w="1739" w:type="dxa"/>
            <w:textDirection w:val="lrTb"/>
            <w:noWrap w:val="false"/>
          </w:tcPr>
          <w:p>
            <w:pPr>
              <w:pStyle w:val="1146"/>
              <w:ind w:left="132"/>
              <w:spacing w:line="250" w:lineRule="exact"/>
              <w:rPr>
                <w:rFonts w:ascii="黑体" w:hAnsi="黑体" w:eastAsia="黑体" w:cs="黑体"/>
                <w:sz w:val="21"/>
                <w:highlight w:val="none"/>
              </w:rPr>
            </w:pPr>
            <w:r>
              <w:rPr>
                <w:rFonts w:hint="eastAsia" w:ascii="黑体" w:hAnsi="黑体" w:eastAsia="黑体" w:cs="黑体"/>
                <w:sz w:val="21"/>
                <w:highlight w:val="none"/>
              </w:rPr>
              <w:t xml:space="preserve">机械或设备名称</w:t>
            </w:r>
            <w:r/>
          </w:p>
        </w:tc>
        <w:tc>
          <w:tcPr>
            <w:tcW w:w="1073" w:type="dxa"/>
            <w:textDirection w:val="lrTb"/>
            <w:noWrap w:val="false"/>
          </w:tcPr>
          <w:p>
            <w:pPr>
              <w:pStyle w:val="1146"/>
              <w:ind w:left="114"/>
              <w:spacing w:line="250" w:lineRule="exact"/>
              <w:rPr>
                <w:rFonts w:ascii="黑体" w:hAnsi="黑体" w:eastAsia="黑体" w:cs="黑体"/>
                <w:sz w:val="21"/>
                <w:highlight w:val="none"/>
              </w:rPr>
            </w:pPr>
            <w:r>
              <w:rPr>
                <w:rFonts w:hint="eastAsia" w:ascii="黑体" w:hAnsi="黑体" w:eastAsia="黑体" w:cs="黑体"/>
                <w:sz w:val="21"/>
                <w:highlight w:val="none"/>
              </w:rPr>
              <w:t xml:space="preserve">型号规格</w:t>
            </w:r>
            <w:r/>
          </w:p>
        </w:tc>
        <w:tc>
          <w:tcPr>
            <w:tcW w:w="779" w:type="dxa"/>
            <w:textDirection w:val="lrTb"/>
            <w:noWrap w:val="false"/>
          </w:tcPr>
          <w:p>
            <w:pPr>
              <w:pStyle w:val="1146"/>
              <w:ind w:left="176"/>
              <w:spacing w:line="250" w:lineRule="exact"/>
              <w:rPr>
                <w:rFonts w:ascii="黑体" w:hAnsi="黑体" w:eastAsia="黑体" w:cs="黑体"/>
                <w:sz w:val="21"/>
                <w:highlight w:val="none"/>
              </w:rPr>
            </w:pPr>
            <w:r>
              <w:rPr>
                <w:rFonts w:hint="eastAsia" w:ascii="黑体" w:hAnsi="黑体" w:eastAsia="黑体" w:cs="黑体"/>
                <w:sz w:val="21"/>
                <w:highlight w:val="none"/>
              </w:rPr>
              <w:t xml:space="preserve">数量</w:t>
            </w:r>
            <w:r/>
          </w:p>
        </w:tc>
        <w:tc>
          <w:tcPr>
            <w:tcW w:w="1074" w:type="dxa"/>
            <w:textDirection w:val="lrTb"/>
            <w:noWrap w:val="false"/>
          </w:tcPr>
          <w:p>
            <w:pPr>
              <w:pStyle w:val="1146"/>
              <w:ind w:left="115"/>
              <w:spacing w:line="250" w:lineRule="exact"/>
              <w:rPr>
                <w:rFonts w:ascii="黑体" w:hAnsi="黑体" w:eastAsia="黑体" w:cs="黑体"/>
                <w:sz w:val="21"/>
                <w:highlight w:val="none"/>
              </w:rPr>
            </w:pPr>
            <w:r>
              <w:rPr>
                <w:rFonts w:hint="eastAsia" w:ascii="黑体" w:hAnsi="黑体" w:eastAsia="黑体" w:cs="黑体"/>
                <w:sz w:val="21"/>
                <w:highlight w:val="none"/>
              </w:rPr>
              <w:t xml:space="preserve">国别产地</w:t>
            </w:r>
            <w:r/>
          </w:p>
        </w:tc>
        <w:tc>
          <w:tcPr>
            <w:tcW w:w="1074" w:type="dxa"/>
            <w:textDirection w:val="lrTb"/>
            <w:noWrap w:val="false"/>
          </w:tcPr>
          <w:p>
            <w:pPr>
              <w:pStyle w:val="1146"/>
              <w:ind w:left="116"/>
              <w:spacing w:line="250" w:lineRule="exact"/>
              <w:rPr>
                <w:rFonts w:ascii="黑体" w:hAnsi="黑体" w:eastAsia="黑体" w:cs="黑体"/>
                <w:sz w:val="21"/>
                <w:highlight w:val="none"/>
              </w:rPr>
            </w:pPr>
            <w:r>
              <w:rPr>
                <w:rFonts w:hint="eastAsia" w:ascii="黑体" w:hAnsi="黑体" w:eastAsia="黑体" w:cs="黑体"/>
                <w:sz w:val="21"/>
                <w:highlight w:val="none"/>
              </w:rPr>
              <w:t xml:space="preserve">制造年份</w:t>
            </w:r>
            <w:r/>
          </w:p>
        </w:tc>
        <w:tc>
          <w:tcPr>
            <w:tcW w:w="1433" w:type="dxa"/>
            <w:textDirection w:val="lrTb"/>
            <w:noWrap w:val="false"/>
          </w:tcPr>
          <w:p>
            <w:pPr>
              <w:pStyle w:val="1146"/>
              <w:ind w:left="163"/>
              <w:spacing w:line="250" w:lineRule="exact"/>
              <w:rPr>
                <w:rFonts w:ascii="黑体" w:hAnsi="黑体" w:eastAsia="黑体" w:cs="黑体"/>
                <w:sz w:val="21"/>
                <w:highlight w:val="none"/>
              </w:rPr>
            </w:pPr>
            <w:r>
              <w:rPr>
                <w:rFonts w:hint="eastAsia" w:ascii="黑体" w:hAnsi="黑体" w:eastAsia="黑体" w:cs="黑体"/>
                <w:sz w:val="21"/>
                <w:highlight w:val="none"/>
              </w:rPr>
              <w:t xml:space="preserve">额定功率kW</w:t>
            </w:r>
            <w:r/>
          </w:p>
        </w:tc>
        <w:tc>
          <w:tcPr>
            <w:tcW w:w="1074" w:type="dxa"/>
            <w:textDirection w:val="lrTb"/>
            <w:noWrap w:val="false"/>
          </w:tcPr>
          <w:p>
            <w:pPr>
              <w:pStyle w:val="1146"/>
              <w:ind w:left="115"/>
              <w:spacing w:line="250" w:lineRule="exact"/>
              <w:rPr>
                <w:rFonts w:ascii="黑体" w:hAnsi="黑体" w:eastAsia="黑体" w:cs="黑体"/>
                <w:sz w:val="21"/>
                <w:highlight w:val="none"/>
              </w:rPr>
            </w:pPr>
            <w:r>
              <w:rPr>
                <w:rFonts w:hint="eastAsia" w:ascii="黑体" w:hAnsi="黑体" w:eastAsia="黑体" w:cs="黑体"/>
                <w:sz w:val="21"/>
                <w:highlight w:val="none"/>
              </w:rPr>
              <w:t xml:space="preserve">生产能力</w:t>
            </w:r>
            <w:r/>
          </w:p>
        </w:tc>
        <w:tc>
          <w:tcPr>
            <w:tcW w:w="801" w:type="dxa"/>
            <w:textDirection w:val="lrTb"/>
            <w:noWrap w:val="false"/>
          </w:tcPr>
          <w:p>
            <w:pPr>
              <w:pStyle w:val="1146"/>
              <w:ind w:left="188"/>
              <w:spacing w:line="250" w:lineRule="exact"/>
              <w:rPr>
                <w:rFonts w:ascii="黑体" w:hAnsi="黑体" w:eastAsia="黑体" w:cs="黑体"/>
                <w:sz w:val="21"/>
                <w:highlight w:val="none"/>
              </w:rPr>
            </w:pPr>
            <w:r>
              <w:rPr>
                <w:rFonts w:hint="eastAsia" w:ascii="黑体" w:hAnsi="黑体" w:eastAsia="黑体" w:cs="黑体"/>
                <w:sz w:val="21"/>
                <w:highlight w:val="none"/>
              </w:rPr>
              <w:t xml:space="preserve">备注</w:t>
            </w:r>
            <w:r/>
          </w:p>
        </w:tc>
      </w:tr>
      <w:tr>
        <w:trPr>
          <w:trHeight w:val="340"/>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1146"/>
              <w:rPr>
                <w:rFonts w:ascii="黑体" w:hAnsi="黑体" w:eastAsia="黑体" w:cs="黑体"/>
                <w:sz w:val="20"/>
                <w:highlight w:val="none"/>
              </w:rPr>
            </w:pPr>
            <w:r>
              <w:rPr>
                <w:rFonts w:ascii="黑体" w:hAnsi="黑体" w:eastAsia="黑体" w:cs="黑体"/>
                <w:sz w:val="20"/>
                <w:highlight w:val="none"/>
              </w:rPr>
            </w:r>
            <w:r/>
          </w:p>
        </w:tc>
      </w:tr>
    </w:tbl>
    <w:p>
      <w:pPr>
        <w:pStyle w:val="1130"/>
        <w:rPr>
          <w:rFonts w:ascii="黑体" w:hAnsi="黑体" w:eastAsia="黑体" w:cs="黑体"/>
          <w:b/>
          <w:sz w:val="19"/>
          <w:highlight w:val="none"/>
        </w:rPr>
      </w:pPr>
      <w:r>
        <w:rPr>
          <w:rFonts w:ascii="黑体" w:hAnsi="黑体" w:eastAsia="黑体" w:cs="黑体"/>
          <w:b/>
          <w:sz w:val="19"/>
          <w:highlight w:val="none"/>
        </w:rPr>
      </w:r>
      <w:r/>
    </w:p>
    <w:p>
      <w:pPr>
        <w:rPr>
          <w:rFonts w:ascii="黑体" w:hAnsi="黑体" w:eastAsia="黑体" w:cs="黑体"/>
          <w:b/>
          <w:sz w:val="24"/>
          <w:highlight w:val="none"/>
        </w:rPr>
      </w:pPr>
      <w:r/>
      <w:bookmarkStart w:id="670" w:name="_bookmark26"/>
      <w:r/>
      <w:bookmarkEnd w:id="670"/>
      <w:r/>
      <w:bookmarkStart w:id="671" w:name="附件二：无重大违法记录声明格式"/>
      <w:r/>
      <w:bookmarkEnd w:id="671"/>
      <w:r>
        <w:rPr>
          <w:rFonts w:hint="eastAsia" w:ascii="黑体" w:hAnsi="黑体" w:eastAsia="黑体" w:cs="黑体"/>
          <w:b/>
          <w:sz w:val="24"/>
          <w:highlight w:val="none"/>
        </w:rPr>
        <w:br w:type="page" w:clear="all"/>
      </w:r>
      <w:r/>
    </w:p>
    <w:p>
      <w:pPr>
        <w:ind w:left="743"/>
        <w:rPr>
          <w:rFonts w:ascii="黑体" w:hAnsi="黑体" w:eastAsia="黑体" w:cs="黑体"/>
          <w:b/>
          <w:sz w:val="24"/>
          <w:highlight w:val="none"/>
        </w:rPr>
      </w:pPr>
      <w:r>
        <w:rPr>
          <w:rFonts w:hint="eastAsia" w:ascii="黑体" w:hAnsi="黑体" w:eastAsia="黑体" w:cs="黑体"/>
          <w:b/>
          <w:sz w:val="24"/>
          <w:highlight w:val="none"/>
        </w:rPr>
        <w:t xml:space="preserve">附件二：无重大违法记录声明格式</w:t>
      </w:r>
      <w:r/>
    </w:p>
    <w:p>
      <w:pPr>
        <w:ind w:right="7"/>
        <w:jc w:val="center"/>
        <w:spacing w:before="5"/>
        <w:rPr>
          <w:rFonts w:ascii="黑体" w:hAnsi="黑体" w:eastAsia="黑体" w:cs="黑体"/>
          <w:b/>
          <w:sz w:val="28"/>
          <w:highlight w:val="none"/>
        </w:rPr>
      </w:pPr>
      <w:r>
        <w:rPr>
          <w:rFonts w:hint="eastAsia" w:ascii="黑体" w:hAnsi="黑体" w:eastAsia="黑体" w:cs="黑体"/>
          <w:b/>
          <w:sz w:val="28"/>
          <w:highlight w:val="none"/>
        </w:rPr>
        <w:t xml:space="preserve">无重大违法记录声明</w:t>
      </w:r>
      <w:r/>
    </w:p>
    <w:p>
      <w:pPr>
        <w:pStyle w:val="1130"/>
        <w:ind w:left="743"/>
        <w:spacing w:before="2"/>
        <w:rPr>
          <w:rFonts w:ascii="黑体" w:hAnsi="黑体" w:eastAsia="黑体" w:cs="黑体"/>
          <w:highlight w:val="none"/>
        </w:rPr>
      </w:pPr>
      <w:r>
        <w:rPr>
          <w:rFonts w:hint="eastAsia" w:ascii="黑体" w:hAnsi="黑体" w:eastAsia="黑体" w:cs="黑体"/>
          <w:highlight w:val="none"/>
        </w:rPr>
        <w:t xml:space="preserve">南京市江宁区人民政府秣陵街道办事处：</w:t>
      </w:r>
      <w:r/>
    </w:p>
    <w:p>
      <w:pPr>
        <w:pStyle w:val="1130"/>
        <w:ind w:left="1211"/>
        <w:spacing w:before="139"/>
        <w:tabs>
          <w:tab w:val="left" w:pos="6440" w:leader="none"/>
        </w:tabs>
        <w:rPr>
          <w:rFonts w:ascii="黑体" w:hAnsi="黑体" w:eastAsia="黑体" w:cs="黑体"/>
          <w:highlight w:val="none"/>
        </w:rPr>
      </w:pPr>
      <w:r>
        <w:rPr>
          <w:rFonts w:hint="eastAsia" w:ascii="黑体" w:hAnsi="黑体" w:eastAsia="黑体" w:cs="黑体"/>
          <w:spacing w:val="11"/>
          <w:highlight w:val="none"/>
        </w:rPr>
        <w:t xml:space="preserve">我</w:t>
      </w:r>
      <w:r>
        <w:rPr>
          <w:rFonts w:hint="eastAsia" w:ascii="黑体" w:hAnsi="黑体" w:eastAsia="黑体" w:cs="黑体"/>
          <w:spacing w:val="14"/>
          <w:highlight w:val="none"/>
        </w:rPr>
        <w:t xml:space="preserve">单</w:t>
      </w:r>
      <w:r>
        <w:rPr>
          <w:rFonts w:hint="eastAsia" w:ascii="黑体" w:hAnsi="黑体" w:eastAsia="黑体" w:cs="黑体"/>
          <w:spacing w:val="13"/>
          <w:highlight w:val="none"/>
        </w:rPr>
        <w:t xml:space="preserve">位</w:t>
      </w:r>
      <w:r>
        <w:rPr>
          <w:rFonts w:hint="eastAsia" w:ascii="黑体" w:hAnsi="黑体" w:eastAsia="黑体" w:cs="黑体"/>
          <w:spacing w:val="13"/>
          <w:highlight w:val="none"/>
          <w:u w:val="single"/>
        </w:rPr>
        <w:tab/>
      </w:r>
      <w:r>
        <w:rPr>
          <w:rFonts w:hint="eastAsia" w:ascii="黑体" w:hAnsi="黑体" w:eastAsia="黑体" w:cs="黑体"/>
          <w:spacing w:val="11"/>
          <w:highlight w:val="none"/>
        </w:rPr>
        <w:t xml:space="preserve">（</w:t>
      </w:r>
      <w:r>
        <w:rPr>
          <w:rFonts w:hint="eastAsia" w:ascii="黑体" w:hAnsi="黑体" w:eastAsia="黑体" w:cs="黑体"/>
          <w:spacing w:val="14"/>
          <w:highlight w:val="none"/>
        </w:rPr>
        <w:t xml:space="preserve">供</w:t>
      </w:r>
      <w:r>
        <w:rPr>
          <w:rFonts w:hint="eastAsia" w:ascii="黑体" w:hAnsi="黑体" w:eastAsia="黑体" w:cs="黑体"/>
          <w:spacing w:val="11"/>
          <w:highlight w:val="none"/>
        </w:rPr>
        <w:t xml:space="preserve">应</w:t>
      </w:r>
      <w:r>
        <w:rPr>
          <w:rFonts w:hint="eastAsia" w:ascii="黑体" w:hAnsi="黑体" w:eastAsia="黑体" w:cs="黑体"/>
          <w:spacing w:val="14"/>
          <w:highlight w:val="none"/>
        </w:rPr>
        <w:t xml:space="preserve">商</w:t>
      </w:r>
      <w:r>
        <w:rPr>
          <w:rFonts w:hint="eastAsia" w:ascii="黑体" w:hAnsi="黑体" w:eastAsia="黑体" w:cs="黑体"/>
          <w:spacing w:val="11"/>
          <w:highlight w:val="none"/>
        </w:rPr>
        <w:t xml:space="preserve">名</w:t>
      </w:r>
      <w:r>
        <w:rPr>
          <w:rFonts w:hint="eastAsia" w:ascii="黑体" w:hAnsi="黑体" w:eastAsia="黑体" w:cs="黑体"/>
          <w:spacing w:val="14"/>
          <w:highlight w:val="none"/>
        </w:rPr>
        <w:t xml:space="preserve">称</w:t>
      </w:r>
      <w:r>
        <w:rPr>
          <w:rFonts w:hint="eastAsia" w:ascii="黑体" w:hAnsi="黑体" w:eastAsia="黑体" w:cs="黑体"/>
          <w:spacing w:val="11"/>
          <w:highlight w:val="none"/>
        </w:rPr>
        <w:t xml:space="preserve">）</w:t>
      </w:r>
      <w:r>
        <w:rPr>
          <w:rFonts w:hint="eastAsia" w:ascii="黑体" w:hAnsi="黑体" w:eastAsia="黑体" w:cs="黑体"/>
          <w:spacing w:val="14"/>
          <w:highlight w:val="none"/>
        </w:rPr>
        <w:t xml:space="preserve">郑</w:t>
      </w:r>
      <w:r>
        <w:rPr>
          <w:rFonts w:hint="eastAsia" w:ascii="黑体" w:hAnsi="黑体" w:eastAsia="黑体" w:cs="黑体"/>
          <w:spacing w:val="11"/>
          <w:highlight w:val="none"/>
        </w:rPr>
        <w:t xml:space="preserve">重</w:t>
      </w:r>
      <w:r>
        <w:rPr>
          <w:rFonts w:hint="eastAsia" w:ascii="黑体" w:hAnsi="黑体" w:eastAsia="黑体" w:cs="黑体"/>
          <w:spacing w:val="14"/>
          <w:highlight w:val="none"/>
        </w:rPr>
        <w:t xml:space="preserve">声</w:t>
      </w:r>
      <w:r>
        <w:rPr>
          <w:rFonts w:hint="eastAsia" w:ascii="黑体" w:hAnsi="黑体" w:eastAsia="黑体" w:cs="黑体"/>
          <w:spacing w:val="11"/>
          <w:highlight w:val="none"/>
        </w:rPr>
        <w:t xml:space="preserve">明</w:t>
      </w:r>
      <w:r>
        <w:rPr>
          <w:rFonts w:hint="eastAsia" w:ascii="黑体" w:hAnsi="黑体" w:eastAsia="黑体" w:cs="黑体"/>
          <w:highlight w:val="none"/>
        </w:rPr>
        <w:t xml:space="preserve">：</w:t>
      </w:r>
      <w:r/>
    </w:p>
    <w:p>
      <w:pPr>
        <w:pStyle w:val="1130"/>
        <w:ind w:left="743" w:right="762" w:firstLine="468"/>
        <w:spacing w:before="141" w:line="364" w:lineRule="auto"/>
        <w:tabs>
          <w:tab w:val="left" w:pos="6188" w:leader="none"/>
        </w:tabs>
        <w:rPr>
          <w:rFonts w:ascii="黑体" w:hAnsi="黑体" w:eastAsia="黑体" w:cs="黑体"/>
          <w:highlight w:val="none"/>
        </w:rPr>
      </w:pPr>
      <w:r>
        <w:rPr>
          <w:rFonts w:hint="eastAsia" w:ascii="黑体" w:hAnsi="黑体" w:eastAsia="黑体" w:cs="黑体"/>
          <w:spacing w:val="14"/>
          <w:highlight w:val="none"/>
        </w:rPr>
        <w:t xml:space="preserve">参加</w:t>
      </w:r>
      <w:r>
        <w:rPr>
          <w:rFonts w:hint="eastAsia" w:ascii="黑体" w:hAnsi="黑体" w:eastAsia="黑体" w:cs="黑体"/>
          <w:spacing w:val="16"/>
          <w:highlight w:val="none"/>
        </w:rPr>
        <w:t xml:space="preserve">政</w:t>
      </w:r>
      <w:r>
        <w:rPr>
          <w:rFonts w:hint="eastAsia" w:ascii="黑体" w:hAnsi="黑体" w:eastAsia="黑体" w:cs="黑体"/>
          <w:spacing w:val="14"/>
          <w:highlight w:val="none"/>
        </w:rPr>
        <w:t xml:space="preserve">府采购活</w:t>
      </w:r>
      <w:r>
        <w:rPr>
          <w:rFonts w:hint="eastAsia" w:ascii="黑体" w:hAnsi="黑体" w:eastAsia="黑体" w:cs="黑体"/>
          <w:spacing w:val="16"/>
          <w:highlight w:val="none"/>
        </w:rPr>
        <w:t xml:space="preserve">动</w:t>
      </w:r>
      <w:r>
        <w:rPr>
          <w:rFonts w:hint="eastAsia" w:ascii="黑体" w:hAnsi="黑体" w:eastAsia="黑体" w:cs="黑体"/>
          <w:highlight w:val="none"/>
        </w:rPr>
        <w:t xml:space="preserve">前3</w:t>
      </w:r>
      <w:r>
        <w:rPr>
          <w:rFonts w:hint="eastAsia" w:ascii="黑体" w:hAnsi="黑体" w:eastAsia="黑体" w:cs="黑体"/>
          <w:spacing w:val="14"/>
          <w:highlight w:val="none"/>
        </w:rPr>
        <w:t xml:space="preserve">年内</w:t>
      </w:r>
      <w:r>
        <w:rPr>
          <w:rFonts w:hint="eastAsia" w:ascii="黑体" w:hAnsi="黑体" w:eastAsia="黑体" w:cs="黑体"/>
          <w:spacing w:val="16"/>
          <w:highlight w:val="none"/>
        </w:rPr>
        <w:t xml:space="preserve">在</w:t>
      </w:r>
      <w:r>
        <w:rPr>
          <w:rFonts w:hint="eastAsia" w:ascii="黑体" w:hAnsi="黑体" w:eastAsia="黑体" w:cs="黑体"/>
          <w:spacing w:val="14"/>
          <w:highlight w:val="none"/>
        </w:rPr>
        <w:t xml:space="preserve">经营活动</w:t>
      </w:r>
      <w:r>
        <w:rPr>
          <w:rFonts w:hint="eastAsia" w:ascii="黑体" w:hAnsi="黑体" w:eastAsia="黑体" w:cs="黑体"/>
          <w:spacing w:val="16"/>
          <w:highlight w:val="none"/>
        </w:rPr>
        <w:t xml:space="preserve">中</w:t>
      </w:r>
      <w:r>
        <w:rPr>
          <w:rFonts w:hint="eastAsia" w:ascii="黑体" w:hAnsi="黑体" w:eastAsia="黑体" w:cs="黑体"/>
          <w:spacing w:val="16"/>
          <w:highlight w:val="none"/>
          <w:u w:val="single"/>
        </w:rPr>
        <w:tab/>
      </w:r>
      <w:r>
        <w:rPr>
          <w:rFonts w:hint="eastAsia" w:ascii="黑体" w:hAnsi="黑体" w:eastAsia="黑体" w:cs="黑体"/>
          <w:spacing w:val="14"/>
          <w:highlight w:val="none"/>
        </w:rPr>
        <w:t xml:space="preserve">（在</w:t>
      </w:r>
      <w:r>
        <w:rPr>
          <w:rFonts w:hint="eastAsia" w:ascii="黑体" w:hAnsi="黑体" w:eastAsia="黑体" w:cs="黑体"/>
          <w:spacing w:val="16"/>
          <w:highlight w:val="none"/>
        </w:rPr>
        <w:t xml:space="preserve">下</w:t>
      </w:r>
      <w:r>
        <w:rPr>
          <w:rFonts w:hint="eastAsia" w:ascii="黑体" w:hAnsi="黑体" w:eastAsia="黑体" w:cs="黑体"/>
          <w:spacing w:val="14"/>
          <w:highlight w:val="none"/>
        </w:rPr>
        <w:t xml:space="preserve">划线上如</w:t>
      </w:r>
      <w:r>
        <w:rPr>
          <w:rFonts w:hint="eastAsia" w:ascii="黑体" w:hAnsi="黑体" w:eastAsia="黑体" w:cs="黑体"/>
          <w:spacing w:val="16"/>
          <w:highlight w:val="none"/>
        </w:rPr>
        <w:t xml:space="preserve">实</w:t>
      </w:r>
      <w:r>
        <w:rPr>
          <w:rFonts w:hint="eastAsia" w:ascii="黑体" w:hAnsi="黑体" w:eastAsia="黑体" w:cs="黑体"/>
          <w:spacing w:val="14"/>
          <w:highlight w:val="none"/>
        </w:rPr>
        <w:t xml:space="preserve">填写：有</w:t>
      </w:r>
      <w:r>
        <w:rPr>
          <w:rFonts w:hint="eastAsia" w:ascii="黑体" w:hAnsi="黑体" w:eastAsia="黑体" w:cs="黑体"/>
          <w:spacing w:val="16"/>
          <w:highlight w:val="none"/>
        </w:rPr>
        <w:t xml:space="preserve">或</w:t>
      </w:r>
      <w:r>
        <w:rPr>
          <w:rFonts w:hint="eastAsia" w:ascii="黑体" w:hAnsi="黑体" w:eastAsia="黑体" w:cs="黑体"/>
          <w:spacing w:val="14"/>
          <w:highlight w:val="none"/>
        </w:rPr>
        <w:t xml:space="preserve">没有）</w:t>
      </w:r>
      <w:r>
        <w:rPr>
          <w:rFonts w:hint="eastAsia" w:ascii="黑体" w:hAnsi="黑体" w:eastAsia="黑体" w:cs="黑体"/>
          <w:spacing w:val="16"/>
          <w:highlight w:val="none"/>
        </w:rPr>
        <w:t xml:space="preserve">重</w:t>
      </w:r>
      <w:r>
        <w:rPr>
          <w:rFonts w:hint="eastAsia" w:ascii="黑体" w:hAnsi="黑体" w:eastAsia="黑体" w:cs="黑体"/>
          <w:spacing w:val="-12"/>
          <w:highlight w:val="none"/>
        </w:rPr>
        <w:t xml:space="preserve">大</w:t>
      </w:r>
      <w:r>
        <w:rPr>
          <w:rFonts w:hint="eastAsia" w:ascii="黑体" w:hAnsi="黑体" w:eastAsia="黑体" w:cs="黑体"/>
          <w:spacing w:val="11"/>
          <w:highlight w:val="none"/>
        </w:rPr>
        <w:t xml:space="preserve">违</w:t>
      </w:r>
      <w:r>
        <w:rPr>
          <w:rFonts w:hint="eastAsia" w:ascii="黑体" w:hAnsi="黑体" w:eastAsia="黑体" w:cs="黑体"/>
          <w:spacing w:val="14"/>
          <w:highlight w:val="none"/>
        </w:rPr>
        <w:t xml:space="preserve">法</w:t>
      </w:r>
      <w:r>
        <w:rPr>
          <w:rFonts w:hint="eastAsia" w:ascii="黑体" w:hAnsi="黑体" w:eastAsia="黑体" w:cs="黑体"/>
          <w:spacing w:val="11"/>
          <w:highlight w:val="none"/>
        </w:rPr>
        <w:t xml:space="preserve">记</w:t>
      </w:r>
      <w:r>
        <w:rPr>
          <w:rFonts w:hint="eastAsia" w:ascii="黑体" w:hAnsi="黑体" w:eastAsia="黑体" w:cs="黑体"/>
          <w:spacing w:val="14"/>
          <w:highlight w:val="none"/>
        </w:rPr>
        <w:t xml:space="preserve">录</w:t>
      </w:r>
      <w:r>
        <w:rPr>
          <w:rFonts w:hint="eastAsia" w:ascii="黑体" w:hAnsi="黑体" w:eastAsia="黑体" w:cs="黑体"/>
          <w:highlight w:val="none"/>
        </w:rPr>
        <w:t xml:space="preserve">。</w:t>
      </w:r>
      <w:r/>
    </w:p>
    <w:p>
      <w:pPr>
        <w:pStyle w:val="1130"/>
        <w:ind w:left="743" w:right="767" w:firstLine="468"/>
        <w:spacing w:line="364" w:lineRule="auto"/>
        <w:rPr>
          <w:rFonts w:ascii="黑体" w:hAnsi="黑体" w:eastAsia="黑体" w:cs="黑体"/>
          <w:highlight w:val="none"/>
        </w:rPr>
      </w:pPr>
      <w:r>
        <w:rPr>
          <w:rFonts w:hint="eastAsia" w:ascii="黑体" w:hAnsi="黑体" w:eastAsia="黑体" w:cs="黑体"/>
          <w:highlight w:val="none"/>
        </w:rPr>
        <w:t xml:space="preserve">（说明：政府采购法第二十二条第一款第五项所称重大违法记录，是指供应商因违法经营受到  </w:t>
      </w:r>
      <w:r>
        <w:rPr>
          <w:rFonts w:hint="eastAsia" w:ascii="黑体" w:hAnsi="黑体" w:eastAsia="黑体" w:cs="黑体"/>
          <w:highlight w:val="none"/>
        </w:rPr>
        <w:t xml:space="preserve">刑事处罚或者责令停产停业、吊销许可证或者执照、较大数额罚款等行政处罚。）</w:t>
      </w:r>
      <w:r/>
    </w:p>
    <w:p>
      <w:pPr>
        <w:pStyle w:val="1130"/>
        <w:ind w:left="7376" w:right="2012" w:hanging="106"/>
        <w:spacing w:line="244"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1130"/>
        <w:ind w:left="7376"/>
        <w:spacing w:line="265"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highlight w:val="none"/>
        </w:rPr>
      </w:r>
      <w:r/>
    </w:p>
    <w:p>
      <w:pPr>
        <w:ind w:left="743"/>
        <w:spacing w:before="64"/>
        <w:rPr>
          <w:rFonts w:ascii="仿宋" w:hAnsi="仿宋" w:eastAsia="仿宋" w:cs="仿宋"/>
          <w:b/>
          <w:color w:val="000000" w:themeColor="text1"/>
          <w:sz w:val="24"/>
          <w:highlight w:val="none"/>
          <w14:textFill>
            <w14:solidFill>
              <w14:schemeClr w14:val="tx1"/>
            </w14:solidFill>
          </w14:textFill>
        </w:rPr>
      </w:pPr>
      <w:r/>
      <w:bookmarkStart w:id="672" w:name="附件四：南京市政府采购供应商信用记录表"/>
      <w:r/>
      <w:bookmarkEnd w:id="672"/>
      <w:r/>
      <w:bookmarkStart w:id="673" w:name="_bookmark27"/>
      <w:r/>
      <w:bookmarkEnd w:id="673"/>
      <w:r>
        <w:rPr>
          <w:rFonts w:hint="eastAsia" w:ascii="黑体" w:hAnsi="黑体" w:eastAsia="黑体" w:cs="黑体"/>
          <w:b/>
          <w:sz w:val="24"/>
          <w:highlight w:val="none"/>
        </w:rPr>
        <w:t xml:space="preserve">附件三：</w:t>
      </w:r>
      <w:r>
        <w:rPr>
          <w:rFonts w:hint="eastAsia" w:ascii="仿宋" w:hAnsi="仿宋" w:eastAsia="仿宋" w:cs="仿宋"/>
          <w:b/>
          <w:color w:val="000000" w:themeColor="text1"/>
          <w:sz w:val="24"/>
          <w:highlight w:val="none"/>
          <w14:textFill>
            <w14:solidFill>
              <w14:schemeClr w14:val="tx1"/>
            </w14:solidFill>
          </w14:textFill>
        </w:rPr>
        <w:t xml:space="preserve">中小企业声明函格式、残疾人福利性单位声明函</w:t>
      </w:r>
      <w:r/>
    </w:p>
    <w:p>
      <w:pPr>
        <w:ind w:right="7"/>
        <w:jc w:val="center"/>
        <w:spacing w:before="158"/>
        <w:rPr>
          <w:rFonts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中小企业声明函</w:t>
      </w:r>
      <w:r/>
    </w:p>
    <w:p>
      <w:pPr>
        <w:pStyle w:val="1160"/>
        <w:ind w:firstLine="440"/>
        <w:jc w:val="both"/>
        <w:spacing w:line="530" w:lineRule="exact"/>
        <w:rPr>
          <w:color w:val="000000"/>
          <w:highlight w:val="none"/>
        </w:rPr>
      </w:pPr>
      <w:r>
        <w:rPr>
          <w:color w:val="000000"/>
          <w:highlight w:val="none"/>
        </w:rPr>
        <w:t xml:space="preserve">本公司（联合体）郑重声明，根据《政府采购促进中小企业发展管理办法》（财库（2020）46号）的规定，本公司（联合体）参加</w:t>
      </w:r>
      <w:r>
        <w:rPr>
          <w:color w:val="000000"/>
          <w:highlight w:val="none"/>
          <w:u w:val="single"/>
        </w:rPr>
        <w:t xml:space="preserve">（单位名称）</w:t>
      </w:r>
      <w:r>
        <w:rPr>
          <w:color w:val="000000"/>
          <w:highlight w:val="none"/>
        </w:rPr>
        <w:t xml:space="preserve">的</w:t>
      </w:r>
      <w:r>
        <w:rPr>
          <w:color w:val="000000"/>
          <w:highlight w:val="none"/>
          <w:u w:val="single"/>
        </w:rPr>
        <w:t xml:space="preserve">（项目名称）</w:t>
      </w:r>
      <w:r>
        <w:rPr>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60"/>
        <w:jc w:val="both"/>
        <w:spacing w:line="530" w:lineRule="exact"/>
        <w:rPr>
          <w:color w:val="000000"/>
          <w:highlight w:val="none"/>
          <w:lang w:eastAsia="zh-CN"/>
        </w:rPr>
      </w:pPr>
      <w:r/>
      <w:bookmarkStart w:id="674" w:name="bookmark47"/>
      <w:r/>
      <w:bookmarkEnd w:id="674"/>
      <w:r>
        <w:rPr>
          <w:color w:val="000000"/>
          <w:highlight w:val="none"/>
          <w:u w:val="single"/>
        </w:rPr>
        <w:t xml:space="preserve">（标的名称）</w:t>
      </w:r>
      <w:r>
        <w:rPr>
          <w:color w:val="000000"/>
          <w:highlight w:val="none"/>
        </w:rPr>
        <w:t xml:space="preserve">,属于</w:t>
      </w:r>
      <w:r>
        <w:rPr>
          <w:color w:val="000000"/>
          <w:highlight w:val="none"/>
          <w:u w:val="single"/>
        </w:rPr>
        <w:t xml:space="preserve">（采购文件中明确的所属行业</w:t>
      </w:r>
      <w:r>
        <w:rPr>
          <w:rFonts w:hint="eastAsia"/>
          <w:color w:val="000000"/>
          <w:highlight w:val="none"/>
          <w:u w:val="single"/>
          <w:lang w:eastAsia="zh-CN"/>
        </w:rPr>
        <w:t xml:space="preserve">）</w:t>
      </w:r>
      <w:r>
        <w:rPr>
          <w:rFonts w:hint="eastAsia"/>
          <w:color w:val="000000"/>
          <w:highlight w:val="none"/>
          <w:u w:val="single"/>
          <w:lang w:val="en-US" w:eastAsia="zh-CN"/>
        </w:rPr>
        <w:t xml:space="preserve">；</w:t>
      </w:r>
      <w:r>
        <w:rPr>
          <w:color w:val="000000"/>
          <w:highlight w:val="none"/>
        </w:rPr>
        <w:t xml:space="preserve">承建（承接）企业为</w:t>
      </w:r>
      <w:r>
        <w:rPr>
          <w:color w:val="000000"/>
          <w:highlight w:val="none"/>
          <w:u w:val="single"/>
        </w:rPr>
        <w:t xml:space="preserve">（企业名称）</w:t>
      </w:r>
      <w:r>
        <w:rPr>
          <w:color w:val="000000"/>
          <w:highlight w:val="none"/>
        </w:rPr>
        <w:t xml:space="preserve">,从业人员</w:t>
      </w:r>
      <w:r>
        <w:rPr>
          <w:rFonts w:hint="eastAsia"/>
          <w:color w:val="000000"/>
          <w:highlight w:val="none"/>
          <w:u w:val="single"/>
          <w:lang w:val="en-US" w:eastAsia="zh-CN"/>
        </w:rPr>
        <w:t xml:space="preserve"> </w:t>
      </w:r>
      <w:r>
        <w:rPr>
          <w:color w:val="000000"/>
          <w:highlight w:val="none"/>
          <w:u w:val="single"/>
        </w:rPr>
        <w:tab/>
      </w:r>
      <w:r>
        <w:rPr>
          <w:color w:val="000000"/>
          <w:highlight w:val="none"/>
        </w:rPr>
        <w:t xml:space="preserve">人，营业收入为</w:t>
      </w:r>
      <w:r>
        <w:rPr>
          <w:rFonts w:hint="eastAsia"/>
          <w:color w:val="000000"/>
          <w:highlight w:val="none"/>
          <w:u w:val="single"/>
          <w:lang w:val="en-US" w:eastAsia="zh-CN"/>
        </w:rPr>
        <w:t xml:space="preserve">    </w:t>
      </w:r>
      <w:r>
        <w:rPr>
          <w:color w:val="000000"/>
          <w:highlight w:val="none"/>
        </w:rPr>
        <w:t xml:space="preserve">万元，资产总额为</w:t>
      </w:r>
      <w:r>
        <w:rPr>
          <w:color w:val="000000"/>
          <w:highlight w:val="none"/>
          <w:u w:val="single"/>
        </w:rPr>
        <w:t xml:space="preserve"> </w:t>
      </w:r>
      <w:r>
        <w:rPr>
          <w:color w:val="000000"/>
          <w:highlight w:val="none"/>
          <w:u w:val="single"/>
        </w:rPr>
        <w:tab/>
      </w:r>
      <w:r>
        <w:rPr>
          <w:color w:val="000000"/>
          <w:highlight w:val="none"/>
        </w:rPr>
        <w:t xml:space="preserve">万元</w:t>
      </w:r>
      <w:r>
        <w:rPr>
          <w:color w:val="000000"/>
          <w:highlight w:val="none"/>
          <w:lang w:val="en-US" w:eastAsia="zh-CN"/>
        </w:rPr>
        <w:t xml:space="preserve">，</w:t>
      </w:r>
      <w:r>
        <w:rPr>
          <w:color w:val="000000"/>
          <w:highlight w:val="none"/>
        </w:rPr>
        <w:t xml:space="preserve">属于</w:t>
      </w:r>
      <w:r>
        <w:rPr>
          <w:color w:val="000000"/>
          <w:highlight w:val="none"/>
          <w:u w:val="single"/>
        </w:rPr>
        <w:t xml:space="preserve">（中型企业、 小型企业、微型企业）</w:t>
      </w:r>
      <w:r>
        <w:rPr>
          <w:rFonts w:hint="eastAsia"/>
          <w:color w:val="000000"/>
          <w:highlight w:val="none"/>
          <w:lang w:val="en-US" w:eastAsia="zh-CN"/>
        </w:rPr>
        <w:t xml:space="preserve">；</w:t>
      </w:r>
      <w:r/>
    </w:p>
    <w:p>
      <w:pPr>
        <w:pStyle w:val="1160"/>
        <w:jc w:val="both"/>
        <w:spacing w:line="530" w:lineRule="exact"/>
        <w:rPr>
          <w:color w:val="000000"/>
          <w:highlight w:val="none"/>
        </w:rPr>
      </w:pPr>
      <w:r/>
      <w:bookmarkStart w:id="675" w:name="bookmark48"/>
      <w:r/>
      <w:bookmarkEnd w:id="675"/>
      <w:r>
        <w:rPr>
          <w:color w:val="000000"/>
          <w:highlight w:val="none"/>
        </w:rPr>
        <w:t xml:space="preserve">以上企业，不属于大企业的分支机构，不存在控股股东为大企业的情形，也不存在与大企业的负责人为同一人的情形。</w:t>
      </w:r>
      <w:r/>
    </w:p>
    <w:p>
      <w:pPr>
        <w:pStyle w:val="1160"/>
        <w:jc w:val="both"/>
        <w:spacing w:line="518" w:lineRule="exact"/>
        <w:rPr>
          <w:highlight w:val="none"/>
        </w:rPr>
      </w:pPr>
      <w:r>
        <w:rPr>
          <w:color w:val="000000"/>
          <w:highlight w:val="none"/>
        </w:rPr>
        <w:t xml:space="preserve">本企业对上述声明内容的真实性负责。如有虚假，将依法承担相应责任。</w:t>
      </w:r>
      <w:r/>
    </w:p>
    <w:p>
      <w:pPr>
        <w:pStyle w:val="1160"/>
        <w:ind w:left="3860" w:firstLine="100"/>
        <w:jc w:val="center"/>
        <w:spacing w:line="562" w:lineRule="exact"/>
        <w:rPr>
          <w:color w:val="000000"/>
          <w:highlight w:val="none"/>
        </w:rPr>
      </w:pPr>
      <w:r>
        <w:rPr>
          <w:color w:val="000000"/>
          <w:highlight w:val="none"/>
        </w:rPr>
      </w:r>
      <w:r/>
    </w:p>
    <w:p>
      <w:pPr>
        <w:pStyle w:val="1160"/>
        <w:ind w:left="3860" w:firstLine="100"/>
        <w:jc w:val="center"/>
        <w:spacing w:line="562" w:lineRule="exact"/>
        <w:rPr>
          <w:color w:val="000000"/>
          <w:highlight w:val="none"/>
        </w:rPr>
      </w:pPr>
      <w:r>
        <w:rPr>
          <w:color w:val="000000"/>
          <w:highlight w:val="none"/>
        </w:rPr>
        <w:t xml:space="preserve">企业名称（盖章）: </w:t>
      </w:r>
      <w:r/>
    </w:p>
    <w:p>
      <w:pPr>
        <w:pStyle w:val="1160"/>
        <w:ind w:left="3860" w:firstLine="100"/>
        <w:jc w:val="center"/>
        <w:spacing w:line="562" w:lineRule="exact"/>
        <w:rPr>
          <w:highlight w:val="none"/>
        </w:rPr>
      </w:pPr>
      <w:r>
        <w:rPr>
          <w:color w:val="000000"/>
          <w:highlight w:val="none"/>
        </w:rPr>
        <w:t xml:space="preserve">日期：</w:t>
      </w:r>
      <w:r/>
    </w:p>
    <w:p>
      <w:pPr>
        <w:pStyle w:val="1130"/>
        <w:rPr>
          <w:color w:val="000000"/>
          <w:sz w:val="18"/>
          <w:szCs w:val="18"/>
          <w:highlight w:val="none"/>
          <w:lang w:val="en-US"/>
        </w:rPr>
      </w:pPr>
      <w:r>
        <w:rPr>
          <w:color w:val="000000"/>
          <w:sz w:val="18"/>
          <w:szCs w:val="18"/>
          <w:highlight w:val="none"/>
          <w:lang w:val="en-US"/>
        </w:rPr>
      </w:r>
      <w:r/>
    </w:p>
    <w:p>
      <w:pPr>
        <w:pStyle w:val="1130"/>
        <w:rPr>
          <w:color w:val="000000"/>
          <w:sz w:val="18"/>
          <w:szCs w:val="18"/>
          <w:highlight w:val="none"/>
          <w:lang w:val="en-US"/>
        </w:rPr>
      </w:pPr>
      <w:r>
        <w:rPr>
          <w:color w:val="000000"/>
          <w:sz w:val="18"/>
          <w:szCs w:val="18"/>
          <w:highlight w:val="none"/>
          <w:lang w:val="en-US"/>
        </w:rPr>
      </w:r>
      <w:r/>
    </w:p>
    <w:p>
      <w:pPr>
        <w:pStyle w:val="1130"/>
        <w:rPr>
          <w:rFonts w:ascii="华文仿宋" w:hAnsi="华文仿宋" w:eastAsia="华文仿宋" w:cs="华文仿宋"/>
          <w:color w:val="000000" w:themeColor="text1"/>
          <w:sz w:val="18"/>
          <w:szCs w:val="18"/>
          <w:highlight w:val="none"/>
          <w14:textFill>
            <w14:solidFill>
              <w14:schemeClr w14:val="tx1"/>
            </w14:solidFill>
          </w14:textFill>
        </w:rPr>
      </w:pPr>
      <w:r>
        <w:rPr>
          <w:rFonts w:hint="eastAsia"/>
          <w:color w:val="000000"/>
          <w:sz w:val="18"/>
          <w:szCs w:val="18"/>
          <w:highlight w:val="none"/>
          <w:lang w:val="en-US"/>
        </w:rPr>
        <w:t xml:space="preserve">注：</w:t>
      </w:r>
      <w:r>
        <w:rPr>
          <w:color w:val="000000"/>
          <w:sz w:val="18"/>
          <w:szCs w:val="18"/>
          <w:highlight w:val="none"/>
        </w:rPr>
        <w:t xml:space="preserve">从业人员、营业收入、资产总额填报上一年度数据，无上一年度数据的新成立企业可不填报。</w:t>
      </w:r>
      <w:r/>
    </w:p>
    <w:p>
      <w:pPr>
        <w:pStyle w:val="1130"/>
        <w:ind w:left="4943" w:right="4131"/>
        <w:spacing w:line="364" w:lineRule="auto"/>
        <w:tabs>
          <w:tab w:val="left" w:pos="6414" w:leader="none"/>
        </w:tabs>
        <w:rPr>
          <w:rFonts w:ascii="黑体" w:hAnsi="黑体" w:eastAsia="黑体" w:cs="黑体"/>
          <w:highlight w:val="none"/>
        </w:rPr>
      </w:pPr>
      <w:r>
        <w:rPr>
          <w:rFonts w:ascii="黑体" w:hAnsi="黑体" w:eastAsia="黑体" w:cs="黑体"/>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spacing w:before="10"/>
        <w:rPr>
          <w:rFonts w:ascii="黑体" w:hAnsi="黑体" w:eastAsia="黑体" w:cs="黑体"/>
          <w:sz w:val="14"/>
          <w:highlight w:val="none"/>
        </w:rPr>
      </w:pPr>
      <w:r>
        <w:rPr>
          <w:rFonts w:ascii="黑体" w:hAnsi="黑体" w:eastAsia="黑体" w:cs="黑体"/>
          <w:sz w:val="14"/>
          <w:highlight w:val="none"/>
        </w:rPr>
      </w:r>
      <w:r/>
    </w:p>
    <w:p>
      <w:pPr>
        <w:ind w:right="7"/>
        <w:jc w:val="center"/>
        <w:rPr>
          <w:rFonts w:ascii="黑体" w:hAnsi="黑体" w:eastAsia="黑体" w:cs="黑体"/>
          <w:b/>
          <w:sz w:val="28"/>
          <w:highlight w:val="none"/>
        </w:rPr>
      </w:pPr>
      <w:r>
        <w:rPr>
          <w:rFonts w:hint="eastAsia" w:ascii="黑体" w:hAnsi="黑体" w:eastAsia="黑体" w:cs="黑体"/>
          <w:sz w:val="36"/>
          <w:highlight w:val="none"/>
        </w:rPr>
        <w:t xml:space="preserve">残疾人福利性单位声明函</w:t>
      </w:r>
      <w:r>
        <w:rPr>
          <w:rFonts w:hint="eastAsia" w:ascii="黑体" w:hAnsi="黑体" w:eastAsia="黑体" w:cs="黑体"/>
          <w:b/>
          <w:sz w:val="28"/>
          <w:highlight w:val="none"/>
        </w:rPr>
        <w:t xml:space="preserve">（如有）</w:t>
      </w:r>
      <w:r/>
    </w:p>
    <w:p>
      <w:pPr>
        <w:pStyle w:val="1130"/>
        <w:ind w:left="743" w:right="608" w:firstLine="420"/>
        <w:spacing w:before="239" w:line="364" w:lineRule="auto"/>
        <w:tabs>
          <w:tab w:val="left" w:pos="2634" w:leader="none"/>
          <w:tab w:val="left" w:pos="3894" w:leader="none"/>
          <w:tab w:val="left" w:pos="5967" w:leader="none"/>
          <w:tab w:val="left" w:pos="7798" w:leader="none"/>
        </w:tabs>
        <w:rPr>
          <w:rFonts w:ascii="黑体" w:hAnsi="黑体" w:eastAsia="黑体" w:cs="黑体"/>
          <w:highlight w:val="none"/>
        </w:rPr>
      </w:pPr>
      <w:r>
        <w:rPr>
          <w:rFonts w:hint="eastAsia" w:ascii="黑体" w:hAnsi="黑体" w:eastAsia="黑体" w:cs="黑体"/>
          <w:highlight w:val="none"/>
        </w:rPr>
        <w:t xml:space="preserve">本单位郑重声明，根据《财政部民政部中国残疾人联合会关于促进残疾人就业政府采购政策的通知</w:t>
      </w:r>
      <w:r>
        <w:rPr>
          <w:rFonts w:hint="eastAsia" w:ascii="黑体" w:hAnsi="黑体" w:eastAsia="黑体" w:cs="黑体"/>
          <w:spacing w:val="-22"/>
          <w:highlight w:val="none"/>
        </w:rPr>
        <w:t xml:space="preserve">》</w:t>
      </w:r>
      <w:r>
        <w:rPr>
          <w:rFonts w:hint="eastAsia" w:ascii="黑体" w:hAnsi="黑体" w:eastAsia="黑体" w:cs="黑体"/>
          <w:highlight w:val="none"/>
        </w:rPr>
        <w:t xml:space="preserve">（财</w:t>
      </w:r>
      <w:r>
        <w:rPr>
          <w:rFonts w:hint="eastAsia" w:ascii="黑体" w:hAnsi="黑体" w:eastAsia="黑体" w:cs="黑体"/>
          <w:spacing w:val="-10"/>
          <w:highlight w:val="none"/>
        </w:rPr>
        <w:t xml:space="preserve">库</w:t>
      </w:r>
      <w:r>
        <w:rPr>
          <w:rFonts w:hint="eastAsia" w:ascii="黑体" w:hAnsi="黑体" w:eastAsia="黑体" w:cs="黑体"/>
          <w:highlight w:val="none"/>
        </w:rPr>
        <w:t xml:space="preserve">〔2017〕141号</w:t>
      </w:r>
      <w:r>
        <w:rPr>
          <w:rFonts w:hint="eastAsia" w:ascii="黑体" w:hAnsi="黑体" w:eastAsia="黑体" w:cs="黑体"/>
          <w:spacing w:val="-10"/>
          <w:highlight w:val="none"/>
        </w:rPr>
        <w:t xml:space="preserve">）</w:t>
      </w:r>
      <w:r>
        <w:rPr>
          <w:rFonts w:hint="eastAsia" w:ascii="黑体" w:hAnsi="黑体" w:eastAsia="黑体" w:cs="黑体"/>
          <w:highlight w:val="none"/>
        </w:rPr>
        <w:t xml:space="preserve">的规定</w:t>
      </w:r>
      <w:r>
        <w:rPr>
          <w:rFonts w:hint="eastAsia" w:ascii="黑体" w:hAnsi="黑体" w:eastAsia="黑体" w:cs="黑体"/>
          <w:spacing w:val="-10"/>
          <w:highlight w:val="none"/>
        </w:rPr>
        <w:t xml:space="preserve">，</w:t>
      </w:r>
      <w:r>
        <w:rPr>
          <w:rFonts w:hint="eastAsia" w:ascii="黑体" w:hAnsi="黑体" w:eastAsia="黑体" w:cs="黑体"/>
          <w:highlight w:val="none"/>
        </w:rPr>
        <w:t xml:space="preserve">本单位</w:t>
      </w:r>
      <w:r>
        <w:rPr>
          <w:rFonts w:hint="eastAsia" w:ascii="黑体" w:hAnsi="黑体" w:eastAsia="黑体" w:cs="黑体"/>
          <w:highlight w:val="none"/>
          <w:u w:val="none"/>
        </w:rPr>
        <w:t xml:space="preserve">为</w:t>
      </w:r>
      <w:r>
        <w:rPr>
          <w:rFonts w:hint="eastAsia" w:ascii="黑体" w:hAnsi="黑体" w:eastAsia="黑体" w:cs="黑体"/>
          <w:highlight w:val="none"/>
          <w:u w:val="none"/>
          <w:lang w:val="en-US" w:eastAsia="zh-CN"/>
        </w:rPr>
        <w:t xml:space="preserve">符合</w:t>
      </w:r>
      <w:r>
        <w:rPr>
          <w:rFonts w:hint="eastAsia" w:ascii="黑体" w:hAnsi="黑体" w:eastAsia="黑体" w:cs="黑体"/>
          <w:highlight w:val="none"/>
          <w:u w:val="none"/>
        </w:rPr>
        <w:t xml:space="preserve">残疾</w:t>
      </w:r>
      <w:r>
        <w:rPr>
          <w:rFonts w:hint="eastAsia" w:ascii="黑体" w:hAnsi="黑体" w:eastAsia="黑体" w:cs="黑体"/>
          <w:highlight w:val="none"/>
        </w:rPr>
        <w:t xml:space="preserve">人福利性单位， 且本单位参加</w:t>
      </w:r>
      <w:r>
        <w:rPr>
          <w:rFonts w:hint="eastAsia" w:ascii="黑体" w:hAnsi="黑体" w:eastAsia="黑体" w:cs="黑体"/>
          <w:highlight w:val="none"/>
          <w:u w:val="single"/>
        </w:rPr>
        <w:tab/>
      </w:r>
      <w:r>
        <w:rPr>
          <w:rFonts w:hint="eastAsia" w:ascii="黑体" w:hAnsi="黑体" w:eastAsia="黑体" w:cs="黑体"/>
          <w:highlight w:val="none"/>
        </w:rPr>
        <w:t xml:space="preserve">单位的</w:t>
      </w:r>
      <w:r>
        <w:rPr>
          <w:rFonts w:hint="eastAsia" w:ascii="黑体" w:hAnsi="黑体" w:eastAsia="黑体" w:cs="黑体"/>
          <w:highlight w:val="none"/>
          <w:u w:val="single"/>
        </w:rPr>
        <w:tab/>
      </w:r>
      <w:r>
        <w:rPr>
          <w:rFonts w:hint="eastAsia" w:ascii="黑体" w:hAnsi="黑体" w:eastAsia="黑体" w:cs="黑体"/>
          <w:highlight w:val="none"/>
        </w:rPr>
        <w:t xml:space="preserve">项目采购活动提供本单位制造的货</w:t>
      </w:r>
      <w:r>
        <w:rPr>
          <w:rFonts w:hint="eastAsia" w:ascii="黑体" w:hAnsi="黑体" w:eastAsia="黑体" w:cs="黑体"/>
          <w:spacing w:val="-51"/>
          <w:highlight w:val="none"/>
        </w:rPr>
        <w:t xml:space="preserve">物</w:t>
      </w:r>
      <w:r>
        <w:rPr>
          <w:rFonts w:hint="eastAsia" w:ascii="黑体" w:hAnsi="黑体" w:eastAsia="黑体" w:cs="黑体"/>
          <w:highlight w:val="none"/>
        </w:rPr>
        <w:t xml:space="preserve">（由本单位承担工程/提供服务</w:t>
      </w:r>
      <w:r>
        <w:rPr>
          <w:rFonts w:hint="eastAsia" w:ascii="黑体" w:hAnsi="黑体" w:eastAsia="黑体" w:cs="黑体"/>
          <w:spacing w:val="-26"/>
          <w:highlight w:val="none"/>
        </w:rPr>
        <w:t xml:space="preserve">），  </w:t>
      </w:r>
      <w:r>
        <w:rPr>
          <w:rFonts w:hint="eastAsia" w:ascii="黑体" w:hAnsi="黑体" w:eastAsia="黑体" w:cs="黑体"/>
          <w:highlight w:val="none"/>
        </w:rPr>
        <w:t xml:space="preserve">或者提供其他残疾人福利性单位制造的货物（不包括使用非残疾人福利性单位注册商标的货物）。</w:t>
      </w:r>
      <w:r/>
    </w:p>
    <w:p>
      <w:pPr>
        <w:pStyle w:val="1130"/>
        <w:ind w:left="1163"/>
        <w:spacing w:line="265" w:lineRule="exact"/>
        <w:rPr>
          <w:rFonts w:ascii="黑体" w:hAnsi="黑体" w:eastAsia="黑体" w:cs="黑体"/>
          <w:highlight w:val="none"/>
        </w:rPr>
      </w:pPr>
      <w:r>
        <w:rPr>
          <w:rFonts w:hint="eastAsia" w:ascii="黑体" w:hAnsi="黑体" w:eastAsia="黑体" w:cs="黑体"/>
          <w:highlight w:val="none"/>
        </w:rPr>
        <w:t xml:space="preserve">本单位对上述声明的真实性负责。如有虚假，将依法承担相应责任。</w:t>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rPr>
          <w:rFonts w:ascii="黑体" w:hAnsi="黑体" w:eastAsia="黑体" w:cs="黑体"/>
          <w:sz w:val="20"/>
          <w:highlight w:val="none"/>
        </w:rPr>
      </w:pPr>
      <w:r>
        <w:rPr>
          <w:rFonts w:ascii="黑体" w:hAnsi="黑体" w:eastAsia="黑体" w:cs="黑体"/>
          <w:sz w:val="20"/>
          <w:highlight w:val="none"/>
        </w:rPr>
      </w:r>
      <w:r/>
    </w:p>
    <w:p>
      <w:pPr>
        <w:pStyle w:val="1130"/>
        <w:spacing w:before="7"/>
        <w:rPr>
          <w:rFonts w:ascii="黑体" w:hAnsi="黑体" w:eastAsia="黑体" w:cs="黑体"/>
          <w:sz w:val="27"/>
          <w:highlight w:val="none"/>
        </w:rPr>
      </w:pPr>
      <w:r>
        <w:rPr>
          <w:rFonts w:ascii="黑体" w:hAnsi="黑体" w:eastAsia="黑体" w:cs="黑体"/>
          <w:sz w:val="27"/>
          <w:highlight w:val="none"/>
        </w:rPr>
      </w:r>
      <w:r/>
    </w:p>
    <w:p>
      <w:pPr>
        <w:pStyle w:val="1130"/>
        <w:ind w:left="1163" w:right="8120"/>
        <w:spacing w:before="1" w:line="364" w:lineRule="auto"/>
        <w:tabs>
          <w:tab w:val="left" w:pos="1583" w:leader="none"/>
        </w:tabs>
        <w:rPr>
          <w:rFonts w:ascii="黑体" w:hAnsi="黑体" w:eastAsia="黑体" w:cs="黑体"/>
          <w:highlight w:val="none"/>
        </w:rPr>
      </w:pPr>
      <w:r>
        <w:rPr>
          <w:rFonts w:hint="eastAsia" w:ascii="黑体" w:hAnsi="黑体" w:eastAsia="黑体" w:cs="黑体"/>
          <w:highlight w:val="none"/>
        </w:rPr>
        <w:t xml:space="preserve">供应商（盖章</w:t>
      </w:r>
      <w:r>
        <w:rPr>
          <w:rFonts w:hint="eastAsia" w:ascii="黑体" w:hAnsi="黑体" w:eastAsia="黑体" w:cs="黑体"/>
          <w:spacing w:val="-6"/>
          <w:highlight w:val="none"/>
        </w:rPr>
        <w:t xml:space="preserve">）： </w:t>
      </w: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p>
    <w:p>
      <w:pPr>
        <w:spacing w:line="364" w:lineRule="auto"/>
        <w:rPr>
          <w:rFonts w:ascii="黑体" w:hAnsi="黑体" w:eastAsia="黑体" w:cs="黑体"/>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highlight w:val="none"/>
        </w:rPr>
      </w:r>
      <w:r/>
    </w:p>
    <w:p>
      <w:pPr>
        <w:pStyle w:val="1123"/>
        <w:ind w:left="743"/>
        <w:spacing w:before="62"/>
        <w:rPr>
          <w:rFonts w:ascii="黑体" w:hAnsi="黑体" w:eastAsia="黑体" w:cs="黑体"/>
          <w:highlight w:val="none"/>
        </w:rPr>
      </w:pPr>
      <w:r/>
      <w:bookmarkStart w:id="676" w:name="_bookmark28"/>
      <w:r/>
      <w:bookmarkEnd w:id="676"/>
      <w:r>
        <w:rPr>
          <w:rFonts w:hint="eastAsia" w:ascii="黑体" w:hAnsi="黑体" w:eastAsia="黑体" w:cs="黑体"/>
          <w:highlight w:val="none"/>
        </w:rPr>
        <w:t xml:space="preserve">附件</w:t>
      </w:r>
      <w:r/>
    </w:p>
    <w:p>
      <w:pPr>
        <w:pStyle w:val="1124"/>
        <w:jc w:val="center"/>
        <w:rPr>
          <w:highlight w:val="none"/>
        </w:rPr>
      </w:pPr>
      <w:r>
        <w:rPr>
          <w:rFonts w:hint="eastAsia"/>
          <w:highlight w:val="none"/>
        </w:rPr>
        <w:t xml:space="preserve">南京市政府采购供应商信用记录表暨信用承诺书</w:t>
      </w:r>
      <w:r/>
    </w:p>
    <w:tbl>
      <w:tblPr>
        <w:tblStyle w:val="1127"/>
        <w:tblW w:w="9229" w:type="dxa"/>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top w:w="0" w:type="dxa"/>
          <w:right w:w="0" w:type="dxa"/>
          <w:bottom w:w="0" w:type="dxa"/>
        </w:tblCellMar>
        <w:tblLook w:val="04A0" w:firstRow="1" w:lastRow="0" w:firstColumn="1" w:lastColumn="0" w:noHBand="0" w:noVBand="1"/>
      </w:tblPr>
      <w:tblGrid>
        <w:gridCol w:w="1871"/>
        <w:gridCol w:w="2275"/>
        <w:gridCol w:w="2610"/>
        <w:gridCol w:w="2473"/>
      </w:tblGrid>
      <w:tr>
        <w:trPr>
          <w:trHeight w:val="750"/>
        </w:trPr>
        <w:tc>
          <w:tcPr>
            <w:tcBorders>
              <w:bottom w:val="single" w:color="000000" w:sz="4" w:space="0"/>
              <w:right w:val="single" w:color="000000" w:sz="4" w:space="0"/>
            </w:tcBorders>
            <w:tcW w:w="1871" w:type="dxa"/>
            <w:textDirection w:val="lrTb"/>
            <w:noWrap w:val="false"/>
          </w:tcPr>
          <w:p>
            <w:pPr>
              <w:pStyle w:val="1146"/>
              <w:spacing w:before="3"/>
              <w:rPr>
                <w:sz w:val="18"/>
                <w:highlight w:val="none"/>
              </w:rPr>
            </w:pPr>
            <w:r>
              <w:rPr>
                <w:sz w:val="18"/>
                <w:highlight w:val="none"/>
              </w:rPr>
            </w:r>
            <w:r/>
          </w:p>
          <w:p>
            <w:pPr>
              <w:pStyle w:val="1146"/>
              <w:ind w:left="20"/>
              <w:spacing w:before="1"/>
              <w:rPr>
                <w:b/>
                <w:highlight w:val="none"/>
              </w:rPr>
            </w:pPr>
            <w:r>
              <w:rPr>
                <w:b/>
                <w:highlight w:val="none"/>
              </w:rPr>
              <w:t xml:space="preserve">单位名称</w:t>
            </w:r>
            <w:r/>
          </w:p>
        </w:tc>
        <w:tc>
          <w:tcPr>
            <w:tcBorders>
              <w:left w:val="single" w:color="000000" w:sz="4" w:space="0"/>
              <w:bottom w:val="single" w:color="000000" w:sz="4" w:space="0"/>
              <w:right w:val="single" w:color="000000" w:sz="4" w:space="0"/>
            </w:tcBorders>
            <w:tcW w:w="2275" w:type="dxa"/>
            <w:textDirection w:val="lrTb"/>
            <w:noWrap w:val="false"/>
          </w:tcPr>
          <w:p>
            <w:pPr>
              <w:pStyle w:val="1146"/>
              <w:rPr>
                <w:rFonts w:ascii="Times New Roman"/>
                <w:highlight w:val="none"/>
              </w:rPr>
            </w:pPr>
            <w:r>
              <w:rPr>
                <w:rFonts w:ascii="Times New Roman"/>
                <w:highlight w:val="none"/>
              </w:rPr>
            </w:r>
            <w:r/>
          </w:p>
        </w:tc>
        <w:tc>
          <w:tcPr>
            <w:tcBorders>
              <w:left w:val="single" w:color="000000" w:sz="4" w:space="0"/>
              <w:bottom w:val="single" w:color="000000" w:sz="4" w:space="0"/>
              <w:right w:val="single" w:color="000000" w:sz="4" w:space="0"/>
            </w:tcBorders>
            <w:tcW w:w="2610" w:type="dxa"/>
            <w:textDirection w:val="lrTb"/>
            <w:noWrap w:val="false"/>
          </w:tcPr>
          <w:p>
            <w:pPr>
              <w:pStyle w:val="1146"/>
              <w:spacing w:before="3"/>
              <w:rPr>
                <w:sz w:val="18"/>
                <w:highlight w:val="none"/>
              </w:rPr>
            </w:pPr>
            <w:r>
              <w:rPr>
                <w:sz w:val="18"/>
                <w:highlight w:val="none"/>
              </w:rPr>
            </w:r>
            <w:r/>
          </w:p>
          <w:p>
            <w:pPr>
              <w:pStyle w:val="1146"/>
              <w:ind w:left="32"/>
              <w:spacing w:before="1"/>
              <w:rPr>
                <w:b/>
                <w:highlight w:val="none"/>
              </w:rPr>
            </w:pPr>
            <w:r>
              <w:rPr>
                <w:b/>
                <w:highlight w:val="none"/>
              </w:rPr>
              <w:t xml:space="preserve">统一社会信用代码</w:t>
            </w:r>
            <w:r/>
          </w:p>
        </w:tc>
        <w:tc>
          <w:tcPr>
            <w:tcBorders>
              <w:left w:val="single" w:color="000000" w:sz="4" w:space="0"/>
              <w:bottom w:val="single" w:color="000000" w:sz="4" w:space="0"/>
            </w:tcBorders>
            <w:tcW w:w="2473" w:type="dxa"/>
            <w:textDirection w:val="lrTb"/>
            <w:noWrap w:val="false"/>
          </w:tcPr>
          <w:p>
            <w:pPr>
              <w:pStyle w:val="1146"/>
              <w:rPr>
                <w:rFonts w:ascii="Times New Roman"/>
                <w:highlight w:val="none"/>
              </w:rPr>
            </w:pPr>
            <w:r>
              <w:rPr>
                <w:rFonts w:ascii="Times New Roman"/>
                <w:highlight w:val="none"/>
              </w:rPr>
            </w:r>
            <w:r/>
          </w:p>
        </w:tc>
      </w:tr>
      <w:tr>
        <w:trPr>
          <w:trHeight w:val="705"/>
        </w:trPr>
        <w:tc>
          <w:tcPr>
            <w:tcBorders>
              <w:top w:val="single" w:color="000000" w:sz="4" w:space="0"/>
              <w:bottom w:val="single" w:color="000000" w:sz="4" w:space="0"/>
              <w:right w:val="single" w:color="000000" w:sz="4" w:space="0"/>
            </w:tcBorders>
            <w:tcW w:w="1871" w:type="dxa"/>
            <w:textDirection w:val="lrTb"/>
            <w:noWrap w:val="false"/>
          </w:tcPr>
          <w:p>
            <w:pPr>
              <w:pStyle w:val="1146"/>
              <w:spacing w:before="5"/>
              <w:rPr>
                <w:sz w:val="16"/>
                <w:highlight w:val="none"/>
              </w:rPr>
            </w:pPr>
            <w:r>
              <w:rPr>
                <w:sz w:val="16"/>
                <w:highlight w:val="none"/>
              </w:rPr>
            </w:r>
            <w:r/>
          </w:p>
          <w:p>
            <w:pPr>
              <w:pStyle w:val="1146"/>
              <w:ind w:left="20"/>
              <w:rPr>
                <w:b/>
                <w:highlight w:val="none"/>
              </w:rPr>
            </w:pPr>
            <w:r>
              <w:rPr>
                <w:b/>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1146"/>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1146"/>
              <w:spacing w:before="5"/>
              <w:rPr>
                <w:sz w:val="16"/>
                <w:highlight w:val="none"/>
              </w:rPr>
            </w:pPr>
            <w:r>
              <w:rPr>
                <w:sz w:val="16"/>
                <w:highlight w:val="none"/>
              </w:rPr>
            </w:r>
            <w:r/>
          </w:p>
          <w:p>
            <w:pPr>
              <w:pStyle w:val="1146"/>
              <w:ind w:left="32"/>
              <w:rPr>
                <w:b/>
                <w:highlight w:val="none"/>
              </w:rPr>
            </w:pPr>
            <w:r>
              <w:rPr>
                <w:b/>
                <w:highlight w:val="none"/>
              </w:rPr>
              <w:t xml:space="preserve">联系人</w:t>
            </w:r>
            <w:r/>
          </w:p>
        </w:tc>
        <w:tc>
          <w:tcPr>
            <w:tcBorders>
              <w:top w:val="single" w:color="000000" w:sz="4" w:space="0"/>
              <w:left w:val="single" w:color="000000" w:sz="4" w:space="0"/>
              <w:bottom w:val="single" w:color="000000" w:sz="4" w:space="0"/>
            </w:tcBorders>
            <w:tcW w:w="2473" w:type="dxa"/>
            <w:textDirection w:val="lrTb"/>
            <w:noWrap w:val="false"/>
          </w:tcPr>
          <w:p>
            <w:pPr>
              <w:pStyle w:val="1146"/>
              <w:rPr>
                <w:rFonts w:ascii="Times New Roman"/>
                <w:highlight w:val="none"/>
              </w:rPr>
            </w:pPr>
            <w:r>
              <w:rPr>
                <w:rFonts w:ascii="Times New Roman"/>
                <w:highlight w:val="none"/>
              </w:rPr>
            </w:r>
            <w:r/>
          </w:p>
        </w:tc>
      </w:tr>
      <w:tr>
        <w:trPr>
          <w:trHeight w:val="750"/>
        </w:trPr>
        <w:tc>
          <w:tcPr>
            <w:tcBorders>
              <w:top w:val="single" w:color="000000" w:sz="4" w:space="0"/>
              <w:bottom w:val="single" w:color="000000" w:sz="4" w:space="0"/>
              <w:right w:val="single" w:color="000000" w:sz="4" w:space="0"/>
            </w:tcBorders>
            <w:tcW w:w="1871" w:type="dxa"/>
            <w:textDirection w:val="lrTb"/>
            <w:noWrap w:val="false"/>
          </w:tcPr>
          <w:p>
            <w:pPr>
              <w:pStyle w:val="1146"/>
              <w:spacing w:before="4"/>
              <w:rPr>
                <w:sz w:val="18"/>
                <w:highlight w:val="none"/>
              </w:rPr>
            </w:pPr>
            <w:r>
              <w:rPr>
                <w:sz w:val="18"/>
                <w:highlight w:val="none"/>
              </w:rPr>
            </w:r>
            <w:r/>
          </w:p>
          <w:p>
            <w:pPr>
              <w:pStyle w:val="1146"/>
              <w:ind w:left="20"/>
              <w:rPr>
                <w:b/>
                <w:highlight w:val="none"/>
              </w:rPr>
            </w:pPr>
            <w:r>
              <w:rPr>
                <w:b/>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1146"/>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1146"/>
              <w:spacing w:before="4"/>
              <w:rPr>
                <w:sz w:val="18"/>
                <w:highlight w:val="none"/>
              </w:rPr>
            </w:pPr>
            <w:r>
              <w:rPr>
                <w:sz w:val="18"/>
                <w:highlight w:val="none"/>
              </w:rPr>
            </w:r>
            <w:r/>
          </w:p>
          <w:p>
            <w:pPr>
              <w:pStyle w:val="1146"/>
              <w:ind w:left="32"/>
              <w:rPr>
                <w:b/>
                <w:highlight w:val="none"/>
              </w:rPr>
            </w:pPr>
            <w:r>
              <w:rPr>
                <w:b/>
                <w:highlight w:val="none"/>
              </w:rPr>
              <w:t xml:space="preserve">联系电话</w:t>
            </w:r>
            <w:r/>
          </w:p>
        </w:tc>
        <w:tc>
          <w:tcPr>
            <w:tcBorders>
              <w:top w:val="single" w:color="000000" w:sz="4" w:space="0"/>
              <w:left w:val="single" w:color="000000" w:sz="4" w:space="0"/>
              <w:bottom w:val="single" w:color="000000" w:sz="4" w:space="0"/>
            </w:tcBorders>
            <w:tcW w:w="2473" w:type="dxa"/>
            <w:textDirection w:val="lrTb"/>
            <w:noWrap w:val="false"/>
          </w:tcPr>
          <w:p>
            <w:pPr>
              <w:pStyle w:val="1146"/>
              <w:rPr>
                <w:rFonts w:ascii="Times New Roman"/>
                <w:highlight w:val="none"/>
              </w:rPr>
            </w:pPr>
            <w:r>
              <w:rPr>
                <w:rFonts w:ascii="Times New Roman"/>
                <w:highlight w:val="none"/>
              </w:rPr>
            </w:r>
            <w:r/>
          </w:p>
        </w:tc>
      </w:tr>
      <w:tr>
        <w:trPr>
          <w:trHeight w:val="810"/>
        </w:trPr>
        <w:tc>
          <w:tcPr>
            <w:tcBorders>
              <w:top w:val="single" w:color="000000" w:sz="4" w:space="0"/>
              <w:bottom w:val="single" w:color="000000" w:sz="4" w:space="0"/>
              <w:right w:val="single" w:color="000000" w:sz="4" w:space="0"/>
            </w:tcBorders>
            <w:tcW w:w="1871" w:type="dxa"/>
            <w:textDirection w:val="lrTb"/>
            <w:noWrap w:val="false"/>
          </w:tcPr>
          <w:p>
            <w:pPr>
              <w:pStyle w:val="1146"/>
              <w:spacing w:before="8"/>
              <w:rPr>
                <w:sz w:val="20"/>
                <w:highlight w:val="none"/>
              </w:rPr>
            </w:pPr>
            <w:r>
              <w:rPr>
                <w:sz w:val="20"/>
                <w:highlight w:val="none"/>
              </w:rPr>
            </w:r>
            <w:r/>
          </w:p>
          <w:p>
            <w:pPr>
              <w:pStyle w:val="1146"/>
              <w:ind w:left="20"/>
              <w:rPr>
                <w:b/>
                <w:highlight w:val="none"/>
              </w:rPr>
            </w:pPr>
            <w:r>
              <w:rPr>
                <w:b/>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1146"/>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1146"/>
              <w:spacing w:before="8"/>
              <w:rPr>
                <w:sz w:val="20"/>
                <w:highlight w:val="none"/>
              </w:rPr>
            </w:pPr>
            <w:r>
              <w:rPr>
                <w:sz w:val="20"/>
                <w:highlight w:val="none"/>
              </w:rPr>
            </w:r>
            <w:r/>
          </w:p>
          <w:p>
            <w:pPr>
              <w:pStyle w:val="1146"/>
              <w:ind w:left="32"/>
              <w:rPr>
                <w:b/>
                <w:highlight w:val="none"/>
              </w:rPr>
            </w:pPr>
            <w:r>
              <w:rPr>
                <w:b/>
                <w:highlight w:val="none"/>
              </w:rPr>
              <w:t xml:space="preserve">星级</w:t>
            </w:r>
            <w:r/>
          </w:p>
        </w:tc>
        <w:tc>
          <w:tcPr>
            <w:tcBorders>
              <w:top w:val="single" w:color="000000" w:sz="4" w:space="0"/>
              <w:left w:val="single" w:color="000000" w:sz="4" w:space="0"/>
              <w:bottom w:val="single" w:color="000000" w:sz="4" w:space="0"/>
            </w:tcBorders>
            <w:tcW w:w="2473" w:type="dxa"/>
            <w:textDirection w:val="lrTb"/>
            <w:noWrap w:val="false"/>
          </w:tcPr>
          <w:p>
            <w:pPr>
              <w:pStyle w:val="1146"/>
              <w:rPr>
                <w:rFonts w:ascii="Times New Roman"/>
                <w:highlight w:val="none"/>
              </w:rPr>
            </w:pPr>
            <w:r>
              <w:rPr>
                <w:rFonts w:ascii="Times New Roman"/>
                <w:highlight w:val="none"/>
              </w:rPr>
            </w:r>
            <w:r/>
          </w:p>
        </w:tc>
      </w:tr>
      <w:tr>
        <w:trPr>
          <w:trHeight w:val="1586"/>
        </w:trPr>
        <w:tc>
          <w:tcPr>
            <w:tcBorders>
              <w:top w:val="single" w:color="000000" w:sz="4" w:space="0"/>
              <w:bottom w:val="single" w:color="000000" w:sz="4" w:space="0"/>
              <w:right w:val="single" w:color="000000" w:sz="4" w:space="0"/>
            </w:tcBorders>
            <w:tcW w:w="1871" w:type="dxa"/>
            <w:textDirection w:val="lrTb"/>
            <w:noWrap w:val="false"/>
          </w:tcPr>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spacing w:before="3"/>
              <w:rPr>
                <w:sz w:val="20"/>
                <w:highlight w:val="none"/>
              </w:rPr>
            </w:pPr>
            <w:r>
              <w:rPr>
                <w:sz w:val="20"/>
                <w:highlight w:val="none"/>
              </w:rPr>
            </w:r>
            <w:r/>
          </w:p>
          <w:p>
            <w:pPr>
              <w:pStyle w:val="1146"/>
              <w:ind w:left="20"/>
              <w:rPr>
                <w:b/>
                <w:highlight w:val="none"/>
              </w:rPr>
            </w:pPr>
            <w:r>
              <w:rPr>
                <w:b/>
                <w:highlight w:val="none"/>
              </w:rPr>
              <w:t xml:space="preserve">诚信档案记录情况</w:t>
            </w:r>
            <w:r/>
          </w:p>
        </w:tc>
        <w:tc>
          <w:tcPr>
            <w:gridSpan w:val="3"/>
            <w:tcBorders>
              <w:top w:val="single" w:color="000000" w:sz="4" w:space="0"/>
              <w:left w:val="single" w:color="000000" w:sz="4" w:space="0"/>
              <w:bottom w:val="single" w:color="000000" w:sz="4" w:space="0"/>
            </w:tcBorders>
            <w:tcW w:w="7358" w:type="dxa"/>
            <w:textDirection w:val="lrTb"/>
            <w:noWrap w:val="false"/>
          </w:tcPr>
          <w:p>
            <w:pPr>
              <w:pStyle w:val="1146"/>
              <w:rPr>
                <w:rFonts w:ascii="Times New Roman"/>
                <w:highlight w:val="none"/>
              </w:rPr>
            </w:pPr>
            <w:r>
              <w:rPr>
                <w:rFonts w:ascii="Times New Roman"/>
                <w:highlight w:val="none"/>
              </w:rPr>
            </w:r>
            <w:r/>
          </w:p>
        </w:tc>
      </w:tr>
      <w:tr>
        <w:trPr>
          <w:trHeight w:val="6269"/>
        </w:trPr>
        <w:tc>
          <w:tcPr>
            <w:tcBorders>
              <w:top w:val="single" w:color="000000" w:sz="4" w:space="0"/>
              <w:right w:val="single" w:color="000000" w:sz="4" w:space="0"/>
            </w:tcBorders>
            <w:tcW w:w="1871" w:type="dxa"/>
            <w:textDirection w:val="lrTb"/>
            <w:noWrap w:val="false"/>
          </w:tcPr>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rPr>
                <w:highlight w:val="none"/>
              </w:rPr>
            </w:pPr>
            <w:r>
              <w:rPr>
                <w:highlight w:val="none"/>
              </w:rPr>
            </w:r>
            <w:r/>
          </w:p>
          <w:p>
            <w:pPr>
              <w:pStyle w:val="1146"/>
              <w:ind w:left="20"/>
              <w:spacing w:before="175"/>
              <w:rPr>
                <w:b/>
                <w:highlight w:val="none"/>
              </w:rPr>
            </w:pPr>
            <w:r>
              <w:rPr>
                <w:b/>
                <w:highlight w:val="none"/>
              </w:rPr>
              <w:t xml:space="preserve">信用承诺</w:t>
            </w:r>
            <w:r/>
          </w:p>
        </w:tc>
        <w:tc>
          <w:tcPr>
            <w:gridSpan w:val="3"/>
            <w:tcBorders>
              <w:top w:val="single" w:color="000000" w:sz="4" w:space="0"/>
              <w:left w:val="single" w:color="000000" w:sz="4" w:space="0"/>
            </w:tcBorders>
            <w:tcW w:w="7358" w:type="dxa"/>
            <w:textDirection w:val="lrTb"/>
            <w:noWrap w:val="false"/>
          </w:tcPr>
          <w:p>
            <w:pPr>
              <w:pStyle w:val="1146"/>
              <w:rPr>
                <w:sz w:val="24"/>
                <w:highlight w:val="none"/>
              </w:rPr>
            </w:pPr>
            <w:r>
              <w:rPr>
                <w:sz w:val="24"/>
                <w:highlight w:val="none"/>
              </w:rPr>
            </w:r>
            <w:r/>
          </w:p>
          <w:p>
            <w:pPr>
              <w:pStyle w:val="1146"/>
              <w:rPr>
                <w:sz w:val="24"/>
                <w:highlight w:val="none"/>
              </w:rPr>
            </w:pPr>
            <w:r>
              <w:rPr>
                <w:sz w:val="24"/>
                <w:highlight w:val="none"/>
              </w:rPr>
            </w:r>
            <w:r/>
          </w:p>
          <w:p>
            <w:pPr>
              <w:pStyle w:val="1146"/>
              <w:spacing w:before="9"/>
              <w:rPr>
                <w:sz w:val="26"/>
                <w:highlight w:val="none"/>
              </w:rPr>
            </w:pPr>
            <w:r>
              <w:rPr>
                <w:sz w:val="26"/>
                <w:highlight w:val="none"/>
              </w:rPr>
            </w:r>
            <w:r/>
          </w:p>
          <w:p>
            <w:pPr>
              <w:pStyle w:val="1146"/>
              <w:ind w:left="32" w:right="-29" w:firstLine="480"/>
              <w:spacing w:line="242" w:lineRule="auto"/>
              <w:rPr>
                <w:sz w:val="24"/>
                <w:highlight w:val="none"/>
              </w:rPr>
            </w:pPr>
            <w:r>
              <w:rPr>
                <w:spacing w:val="-8"/>
                <w:sz w:val="24"/>
                <w:highlight w:val="none"/>
              </w:rPr>
              <w:t xml:space="preserve">我公司自愿参加</w:t>
            </w:r>
            <w:r>
              <w:rPr>
                <w:rFonts w:hint="eastAsia"/>
                <w:spacing w:val="-8"/>
                <w:sz w:val="24"/>
                <w:highlight w:val="none"/>
              </w:rPr>
              <w:t xml:space="preserve">贵中心（公司）组织的本次采购活动，严格遵守《中华人民政府采购法》及相</w:t>
            </w:r>
            <w:r>
              <w:rPr>
                <w:rFonts w:hint="eastAsia"/>
                <w:spacing w:val="-8"/>
                <w:sz w:val="24"/>
                <w:highlight w:val="none"/>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在经营活动中没有重大违法记录；符合法律、行政法规和采购文件规定的其他条件。如有弄虚作假或其他违法违规行为，愿承担一切法律责任，接受各级政府采购监管部门和有权机关的审查和处罚。</w:t>
            </w:r>
            <w:r/>
          </w:p>
          <w:p>
            <w:pPr>
              <w:pStyle w:val="1146"/>
              <w:rPr>
                <w:sz w:val="24"/>
                <w:highlight w:val="none"/>
              </w:rPr>
            </w:pPr>
            <w:r>
              <w:rPr>
                <w:sz w:val="24"/>
                <w:highlight w:val="none"/>
              </w:rPr>
            </w:r>
            <w:r/>
          </w:p>
          <w:p>
            <w:pPr>
              <w:pStyle w:val="1146"/>
              <w:rPr>
                <w:sz w:val="24"/>
                <w:highlight w:val="none"/>
              </w:rPr>
            </w:pPr>
            <w:r>
              <w:rPr>
                <w:sz w:val="24"/>
                <w:highlight w:val="none"/>
              </w:rPr>
            </w:r>
            <w:r/>
          </w:p>
          <w:p>
            <w:pPr>
              <w:pStyle w:val="1146"/>
              <w:rPr>
                <w:sz w:val="24"/>
                <w:highlight w:val="none"/>
              </w:rPr>
            </w:pPr>
            <w:r>
              <w:rPr>
                <w:sz w:val="24"/>
                <w:highlight w:val="none"/>
              </w:rPr>
            </w:r>
            <w:r/>
          </w:p>
          <w:p>
            <w:pPr>
              <w:pStyle w:val="1146"/>
              <w:spacing w:before="5"/>
              <w:rPr>
                <w:sz w:val="25"/>
                <w:highlight w:val="none"/>
              </w:rPr>
            </w:pPr>
            <w:r>
              <w:rPr>
                <w:sz w:val="25"/>
                <w:highlight w:val="none"/>
              </w:rPr>
            </w:r>
            <w:r/>
          </w:p>
          <w:p>
            <w:pPr>
              <w:pStyle w:val="1146"/>
              <w:ind w:left="2672" w:right="2256"/>
              <w:jc w:val="both"/>
              <w:spacing w:line="487" w:lineRule="auto"/>
              <w:rPr>
                <w:sz w:val="24"/>
                <w:highlight w:val="none"/>
              </w:rPr>
            </w:pPr>
            <w:r>
              <w:rPr>
                <w:sz w:val="24"/>
                <w:highlight w:val="none"/>
              </w:rPr>
              <w:t xml:space="preserve">供应商名称（盖章）： 法定代表人（签字）： 二 〇 年 月 日</w:t>
            </w:r>
            <w:r/>
          </w:p>
        </w:tc>
      </w:tr>
    </w:tbl>
    <w:p>
      <w:pPr>
        <w:rPr>
          <w:sz w:val="21"/>
          <w:szCs w:val="21"/>
          <w:highlight w:val="none"/>
        </w:rPr>
      </w:pPr>
      <w:r>
        <w:rPr>
          <w:sz w:val="21"/>
          <w:szCs w:val="21"/>
          <w:highlight w:val="none"/>
        </w:rPr>
      </w:r>
      <w:r/>
    </w:p>
    <w:sectPr>
      <w:footnotePr/>
      <w:endnotePr/>
      <w:type w:val="nextPage"/>
      <w:pgSz w:w="11910" w:h="16840" w:orient="portrait"/>
      <w:pgMar w:top="1440" w:right="1800" w:bottom="1440" w:left="180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楷体_GB2312">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华文仿宋">
    <w:panose1 w:val="02010600040101010101"/>
  </w:font>
  <w:font w:name="方正仿宋_GB18030">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87"/>
      <w:rPr/>
    </w:sdtPr>
    <w:sdtContent>
      <w:sdt>
        <w:sdtPr>
          <w15:appearance w15:val="boundingBox"/>
          <w:id w:val="171357217"/>
          <w:rPr/>
        </w:sdtPr>
        <w:sdtContent>
          <w:p>
            <w:pPr>
              <w:pStyle w:val="1134"/>
              <w:jc w:val="center"/>
            </w:pP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3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89"/>
      <w:rPr/>
    </w:sdtPr>
    <w:sdtContent>
      <w:sdt>
        <w:sdtPr>
          <w15:appearance w15:val="boundingBox"/>
          <w:id w:val="1504288"/>
          <w:rPr/>
        </w:sdtPr>
        <w:sdtContent>
          <w:p>
            <w:pPr>
              <w:pStyle w:val="1134"/>
              <w:jc w:val="center"/>
            </w:pPr>
            <w:r>
              <w:rPr>
                <w:b/>
                <w:sz w:val="24"/>
                <w:szCs w:val="24"/>
              </w:rPr>
              <w:fldChar w:fldCharType="begin"/>
            </w:r>
            <w:r>
              <w:rPr>
                <w:b/>
              </w:rPr>
              <w:instrText xml:space="preserve">PAGE</w:instrText>
            </w:r>
            <w:r>
              <w:rPr>
                <w:b/>
                <w:sz w:val="24"/>
                <w:szCs w:val="24"/>
              </w:rPr>
              <w:fldChar w:fldCharType="separate"/>
            </w:r>
            <w:r>
              <w:rPr>
                <w:b/>
              </w:rPr>
              <w:t xml:space="preserve">41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30"/>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spacing w:line="14" w:lineRule="auto"/>
      <w:rPr>
        <w:sz w:val="2"/>
      </w:rPr>
    </w:pPr>
    <w:r>
      <w:rPr>
        <w:sz w:val="2"/>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4"/>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4"/>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1"/>
      <w:rPr/>
    </w:sdtPr>
    <w:sdtContent>
      <w:sdt>
        <w:sdtPr>
          <w15:appearance w15:val="boundingBox"/>
          <w:id w:val="1504290"/>
          <w:rPr/>
        </w:sdtPr>
        <w:sdtContent>
          <w:p>
            <w:pPr>
              <w:pStyle w:val="1134"/>
              <w:jc w:val="center"/>
            </w:pPr>
            <w:r>
              <w:rPr>
                <w:b/>
                <w:sz w:val="24"/>
                <w:szCs w:val="24"/>
              </w:rPr>
              <w:fldChar w:fldCharType="begin"/>
            </w:r>
            <w:r>
              <w:rPr>
                <w:b/>
              </w:rPr>
              <w:instrText xml:space="preserve">PAGE</w:instrText>
            </w:r>
            <w:r>
              <w:rPr>
                <w:b/>
                <w:sz w:val="24"/>
                <w:szCs w:val="24"/>
              </w:rPr>
              <w:fldChar w:fldCharType="separate"/>
            </w:r>
            <w:r>
              <w:rPr>
                <w:b/>
              </w:rPr>
              <w:t xml:space="preserve">50</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30"/>
      <w:spacing w:line="14" w:lineRule="auto"/>
      <w:rPr>
        <w:sz w:val="20"/>
      </w:rPr>
    </w:pP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3"/>
      <w:rPr/>
    </w:sdtPr>
    <w:sdtContent>
      <w:sdt>
        <w:sdtPr>
          <w15:appearance w15:val="boundingBox"/>
          <w:id w:val="1504292"/>
          <w:rPr/>
        </w:sdtPr>
        <w:sdtContent>
          <w:p>
            <w:pPr>
              <w:pStyle w:val="1134"/>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30"/>
      <w:spacing w:line="14" w:lineRule="auto"/>
      <w:rPr>
        <w:sz w:val="20"/>
      </w:rPr>
    </w:pPr>
    <w:r>
      <w:rPr>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33353607"/>
      <w:rPr/>
    </w:sdtPr>
    <w:sdtContent>
      <w:sdt>
        <w:sdtPr>
          <w15:appearance w15:val="boundingBox"/>
          <w:id w:val="-1936581372"/>
          <w:rPr/>
        </w:sdtPr>
        <w:sdtContent>
          <w:p>
            <w:pPr>
              <w:pStyle w:val="1134"/>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30"/>
      <w:spacing w:line="14" w:lineRule="auto"/>
      <w:rPr>
        <w:sz w:val="20"/>
      </w:rPr>
    </w:pPr>
    <w:r>
      <w:rPr>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5"/>
      <w:rPr/>
    </w:sdtPr>
    <w:sdtContent>
      <w:sdt>
        <w:sdtPr>
          <w15:appearance w15:val="boundingBox"/>
          <w:id w:val="1504294"/>
          <w:rPr/>
        </w:sdtPr>
        <w:sdtContent>
          <w:p>
            <w:pPr>
              <w:pStyle w:val="1134"/>
              <w:jc w:val="center"/>
            </w:pPr>
            <w:r>
              <w:rPr>
                <w:b/>
                <w:sz w:val="24"/>
                <w:szCs w:val="24"/>
              </w:rPr>
              <w:fldChar w:fldCharType="begin"/>
            </w:r>
            <w:r>
              <w:rPr>
                <w:b/>
              </w:rPr>
              <w:instrText xml:space="preserve">PAGE</w:instrText>
            </w:r>
            <w:r>
              <w:rPr>
                <w:b/>
                <w:sz w:val="24"/>
                <w:szCs w:val="24"/>
              </w:rPr>
              <w:fldChar w:fldCharType="separate"/>
            </w:r>
            <w:r>
              <w:rPr>
                <w:b/>
              </w:rPr>
              <w:t xml:space="preserve">69</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113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spacing w:line="14" w:lineRule="auto"/>
      <w:rPr>
        <w:sz w:val="20"/>
      </w:rPr>
    </w:pPr>
    <w:r>
      <w:rPr>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824" w:hanging="601"/>
      </w:pPr>
      <w:rPr>
        <w:rFonts w:hint="default" w:ascii="仿宋" w:hAnsi="仿宋" w:eastAsia="仿宋" w:cs="仿宋"/>
        <w:sz w:val="22"/>
        <w:szCs w:val="22"/>
        <w:lang w:val="zh-CN" w:eastAsia="zh-CN" w:bidi="zh-CN"/>
      </w:rPr>
    </w:lvl>
    <w:lvl w:ilvl="1">
      <w:start w:val="0"/>
      <w:numFmt w:val="bullet"/>
      <w:isLgl w:val="false"/>
      <w:suff w:val="tab"/>
      <w:lvlText w:val="•"/>
      <w:lvlJc w:val="left"/>
      <w:pPr>
        <w:ind w:left="2734" w:hanging="601"/>
      </w:pPr>
      <w:rPr>
        <w:rFonts w:hint="default"/>
        <w:lang w:val="zh-CN" w:eastAsia="zh-CN" w:bidi="zh-CN"/>
      </w:rPr>
    </w:lvl>
    <w:lvl w:ilvl="2">
      <w:start w:val="0"/>
      <w:numFmt w:val="bullet"/>
      <w:isLgl w:val="false"/>
      <w:suff w:val="tab"/>
      <w:lvlText w:val="•"/>
      <w:lvlJc w:val="left"/>
      <w:pPr>
        <w:ind w:left="3649" w:hanging="601"/>
      </w:pPr>
      <w:rPr>
        <w:rFonts w:hint="default"/>
        <w:lang w:val="zh-CN" w:eastAsia="zh-CN" w:bidi="zh-CN"/>
      </w:rPr>
    </w:lvl>
    <w:lvl w:ilvl="3">
      <w:start w:val="0"/>
      <w:numFmt w:val="bullet"/>
      <w:isLgl w:val="false"/>
      <w:suff w:val="tab"/>
      <w:lvlText w:val="•"/>
      <w:lvlJc w:val="left"/>
      <w:pPr>
        <w:ind w:left="4563" w:hanging="601"/>
      </w:pPr>
      <w:rPr>
        <w:rFonts w:hint="default"/>
        <w:lang w:val="zh-CN" w:eastAsia="zh-CN" w:bidi="zh-CN"/>
      </w:rPr>
    </w:lvl>
    <w:lvl w:ilvl="4">
      <w:start w:val="0"/>
      <w:numFmt w:val="bullet"/>
      <w:isLgl w:val="false"/>
      <w:suff w:val="tab"/>
      <w:lvlText w:val="•"/>
      <w:lvlJc w:val="left"/>
      <w:pPr>
        <w:ind w:left="5478" w:hanging="601"/>
      </w:pPr>
      <w:rPr>
        <w:rFonts w:hint="default"/>
        <w:lang w:val="zh-CN" w:eastAsia="zh-CN" w:bidi="zh-CN"/>
      </w:rPr>
    </w:lvl>
    <w:lvl w:ilvl="5">
      <w:start w:val="0"/>
      <w:numFmt w:val="bullet"/>
      <w:isLgl w:val="false"/>
      <w:suff w:val="tab"/>
      <w:lvlText w:val="•"/>
      <w:lvlJc w:val="left"/>
      <w:pPr>
        <w:ind w:left="6393" w:hanging="601"/>
      </w:pPr>
      <w:rPr>
        <w:rFonts w:hint="default"/>
        <w:lang w:val="zh-CN" w:eastAsia="zh-CN" w:bidi="zh-CN"/>
      </w:rPr>
    </w:lvl>
    <w:lvl w:ilvl="6">
      <w:start w:val="0"/>
      <w:numFmt w:val="bullet"/>
      <w:isLgl w:val="false"/>
      <w:suff w:val="tab"/>
      <w:lvlText w:val="•"/>
      <w:lvlJc w:val="left"/>
      <w:pPr>
        <w:ind w:left="7307" w:hanging="601"/>
      </w:pPr>
      <w:rPr>
        <w:rFonts w:hint="default"/>
        <w:lang w:val="zh-CN" w:eastAsia="zh-CN" w:bidi="zh-CN"/>
      </w:rPr>
    </w:lvl>
    <w:lvl w:ilvl="7">
      <w:start w:val="0"/>
      <w:numFmt w:val="bullet"/>
      <w:isLgl w:val="false"/>
      <w:suff w:val="tab"/>
      <w:lvlText w:val="•"/>
      <w:lvlJc w:val="left"/>
      <w:pPr>
        <w:ind w:left="8222" w:hanging="601"/>
      </w:pPr>
      <w:rPr>
        <w:rFonts w:hint="default"/>
        <w:lang w:val="zh-CN" w:eastAsia="zh-CN" w:bidi="zh-CN"/>
      </w:rPr>
    </w:lvl>
    <w:lvl w:ilvl="8">
      <w:start w:val="0"/>
      <w:numFmt w:val="bullet"/>
      <w:isLgl w:val="false"/>
      <w:suff w:val="tab"/>
      <w:lvlText w:val="•"/>
      <w:lvlJc w:val="left"/>
      <w:pPr>
        <w:ind w:left="9136" w:hanging="601"/>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743" w:hanging="159"/>
      </w:pPr>
      <w:rPr>
        <w:rFonts w:hint="default" w:ascii="Times New Roman" w:hAnsi="Times New Roman" w:eastAsia="Times New Roman" w:cs="Times New Roman"/>
        <w:spacing w:val="0"/>
        <w:sz w:val="19"/>
        <w:szCs w:val="19"/>
        <w:lang w:val="zh-CN" w:eastAsia="zh-CN" w:bidi="zh-CN"/>
      </w:rPr>
    </w:lvl>
    <w:lvl w:ilvl="1">
      <w:start w:val="1"/>
      <w:numFmt w:val="decimal"/>
      <w:isLgl w:val="false"/>
      <w:suff w:val="tab"/>
      <w:lvlText w:val="%2."/>
      <w:lvlJc w:val="left"/>
      <w:pPr>
        <w:ind w:left="1446" w:hanging="181"/>
        <w:jc w:val="right"/>
      </w:pPr>
      <w:rPr>
        <w:rFonts w:hint="default"/>
        <w:lang w:val="zh-CN" w:eastAsia="zh-CN" w:bidi="zh-CN"/>
      </w:rPr>
    </w:lvl>
    <w:lvl w:ilvl="2">
      <w:start w:val="0"/>
      <w:numFmt w:val="bullet"/>
      <w:isLgl w:val="false"/>
      <w:suff w:val="tab"/>
      <w:lvlText w:val="•"/>
      <w:lvlJc w:val="left"/>
      <w:pPr>
        <w:ind w:left="2107" w:hanging="181"/>
      </w:pPr>
      <w:rPr>
        <w:rFonts w:hint="default"/>
        <w:lang w:val="zh-CN" w:eastAsia="zh-CN" w:bidi="zh-CN"/>
      </w:rPr>
    </w:lvl>
    <w:lvl w:ilvl="3">
      <w:start w:val="0"/>
      <w:numFmt w:val="bullet"/>
      <w:isLgl w:val="false"/>
      <w:suff w:val="tab"/>
      <w:lvlText w:val="•"/>
      <w:lvlJc w:val="left"/>
      <w:pPr>
        <w:ind w:left="2774" w:hanging="181"/>
      </w:pPr>
      <w:rPr>
        <w:rFonts w:hint="default"/>
        <w:lang w:val="zh-CN" w:eastAsia="zh-CN" w:bidi="zh-CN"/>
      </w:rPr>
    </w:lvl>
    <w:lvl w:ilvl="4">
      <w:start w:val="0"/>
      <w:numFmt w:val="bullet"/>
      <w:isLgl w:val="false"/>
      <w:suff w:val="tab"/>
      <w:lvlText w:val="•"/>
      <w:lvlJc w:val="left"/>
      <w:pPr>
        <w:ind w:left="3441" w:hanging="181"/>
      </w:pPr>
      <w:rPr>
        <w:rFonts w:hint="default"/>
        <w:lang w:val="zh-CN" w:eastAsia="zh-CN" w:bidi="zh-CN"/>
      </w:rPr>
    </w:lvl>
    <w:lvl w:ilvl="5">
      <w:start w:val="0"/>
      <w:numFmt w:val="bullet"/>
      <w:isLgl w:val="false"/>
      <w:suff w:val="tab"/>
      <w:lvlText w:val="•"/>
      <w:lvlJc w:val="left"/>
      <w:pPr>
        <w:ind w:left="4108" w:hanging="181"/>
      </w:pPr>
      <w:rPr>
        <w:rFonts w:hint="default"/>
        <w:lang w:val="zh-CN" w:eastAsia="zh-CN" w:bidi="zh-CN"/>
      </w:rPr>
    </w:lvl>
    <w:lvl w:ilvl="6">
      <w:start w:val="0"/>
      <w:numFmt w:val="bullet"/>
      <w:isLgl w:val="false"/>
      <w:suff w:val="tab"/>
      <w:lvlText w:val="•"/>
      <w:lvlJc w:val="left"/>
      <w:pPr>
        <w:ind w:left="4775" w:hanging="181"/>
      </w:pPr>
      <w:rPr>
        <w:rFonts w:hint="default"/>
        <w:lang w:val="zh-CN" w:eastAsia="zh-CN" w:bidi="zh-CN"/>
      </w:rPr>
    </w:lvl>
    <w:lvl w:ilvl="7">
      <w:start w:val="0"/>
      <w:numFmt w:val="bullet"/>
      <w:isLgl w:val="false"/>
      <w:suff w:val="tab"/>
      <w:lvlText w:val="•"/>
      <w:lvlJc w:val="left"/>
      <w:pPr>
        <w:ind w:left="5442" w:hanging="181"/>
      </w:pPr>
      <w:rPr>
        <w:rFonts w:hint="default"/>
        <w:lang w:val="zh-CN" w:eastAsia="zh-CN" w:bidi="zh-CN"/>
      </w:rPr>
    </w:lvl>
    <w:lvl w:ilvl="8">
      <w:start w:val="0"/>
      <w:numFmt w:val="bullet"/>
      <w:isLgl w:val="false"/>
      <w:suff w:val="tab"/>
      <w:lvlText w:val="•"/>
      <w:lvlJc w:val="left"/>
      <w:pPr>
        <w:ind w:left="6110" w:hanging="181"/>
      </w:pPr>
      <w:rPr>
        <w:rFonts w:hint="default"/>
        <w:lang w:val="zh-CN" w:eastAsia="zh-CN" w:bidi="zh-CN"/>
      </w:rPr>
    </w:lvl>
  </w:abstractNum>
  <w:abstractNum w:abstractNumId="3">
    <w:multiLevelType w:val="hybridMultilevel"/>
    <w:lvl w:ilvl="0">
      <w:start w:val="2"/>
      <w:numFmt w:val="decimal"/>
      <w:isLgl w:val="false"/>
      <w:suff w:val="tab"/>
      <w:lvlText w:val="%1."/>
      <w:lvlJc w:val="left"/>
      <w:pPr>
        <w:ind w:left="1742" w:hanging="159"/>
      </w:pPr>
      <w:rPr>
        <w:rFonts w:hint="default" w:ascii="Times New Roman" w:hAnsi="Times New Roman" w:eastAsia="Times New Roman" w:cs="Times New Roman"/>
        <w:spacing w:val="0"/>
        <w:sz w:val="19"/>
        <w:szCs w:val="19"/>
        <w:lang w:val="zh-CN" w:eastAsia="zh-CN" w:bidi="zh-CN"/>
      </w:rPr>
    </w:lvl>
    <w:lvl w:ilvl="1">
      <w:start w:val="0"/>
      <w:numFmt w:val="bullet"/>
      <w:isLgl w:val="false"/>
      <w:suff w:val="tab"/>
      <w:lvlText w:val="•"/>
      <w:lvlJc w:val="left"/>
      <w:pPr>
        <w:ind w:left="1978" w:hanging="159"/>
      </w:pPr>
      <w:rPr>
        <w:rFonts w:hint="default"/>
        <w:lang w:val="zh-CN" w:eastAsia="zh-CN" w:bidi="zh-CN"/>
      </w:rPr>
    </w:lvl>
    <w:lvl w:ilvl="2">
      <w:start w:val="0"/>
      <w:numFmt w:val="bullet"/>
      <w:isLgl w:val="false"/>
      <w:suff w:val="tab"/>
      <w:lvlText w:val="•"/>
      <w:lvlJc w:val="left"/>
      <w:pPr>
        <w:ind w:left="2217" w:hanging="159"/>
      </w:pPr>
      <w:rPr>
        <w:rFonts w:hint="default"/>
        <w:lang w:val="zh-CN" w:eastAsia="zh-CN" w:bidi="zh-CN"/>
      </w:rPr>
    </w:lvl>
    <w:lvl w:ilvl="3">
      <w:start w:val="0"/>
      <w:numFmt w:val="bullet"/>
      <w:isLgl w:val="false"/>
      <w:suff w:val="tab"/>
      <w:lvlText w:val="•"/>
      <w:lvlJc w:val="left"/>
      <w:pPr>
        <w:ind w:left="2456" w:hanging="159"/>
      </w:pPr>
      <w:rPr>
        <w:rFonts w:hint="default"/>
        <w:lang w:val="zh-CN" w:eastAsia="zh-CN" w:bidi="zh-CN"/>
      </w:rPr>
    </w:lvl>
    <w:lvl w:ilvl="4">
      <w:start w:val="0"/>
      <w:numFmt w:val="bullet"/>
      <w:isLgl w:val="false"/>
      <w:suff w:val="tab"/>
      <w:lvlText w:val="•"/>
      <w:lvlJc w:val="left"/>
      <w:pPr>
        <w:ind w:left="2695" w:hanging="159"/>
      </w:pPr>
      <w:rPr>
        <w:rFonts w:hint="default"/>
        <w:lang w:val="zh-CN" w:eastAsia="zh-CN" w:bidi="zh-CN"/>
      </w:rPr>
    </w:lvl>
    <w:lvl w:ilvl="5">
      <w:start w:val="0"/>
      <w:numFmt w:val="bullet"/>
      <w:isLgl w:val="false"/>
      <w:suff w:val="tab"/>
      <w:lvlText w:val="•"/>
      <w:lvlJc w:val="left"/>
      <w:pPr>
        <w:ind w:left="2934" w:hanging="159"/>
      </w:pPr>
      <w:rPr>
        <w:rFonts w:hint="default"/>
        <w:lang w:val="zh-CN" w:eastAsia="zh-CN" w:bidi="zh-CN"/>
      </w:rPr>
    </w:lvl>
    <w:lvl w:ilvl="6">
      <w:start w:val="0"/>
      <w:numFmt w:val="bullet"/>
      <w:isLgl w:val="false"/>
      <w:suff w:val="tab"/>
      <w:lvlText w:val="•"/>
      <w:lvlJc w:val="left"/>
      <w:pPr>
        <w:ind w:left="3173" w:hanging="159"/>
      </w:pPr>
      <w:rPr>
        <w:rFonts w:hint="default"/>
        <w:lang w:val="zh-CN" w:eastAsia="zh-CN" w:bidi="zh-CN"/>
      </w:rPr>
    </w:lvl>
    <w:lvl w:ilvl="7">
      <w:start w:val="0"/>
      <w:numFmt w:val="bullet"/>
      <w:isLgl w:val="false"/>
      <w:suff w:val="tab"/>
      <w:lvlText w:val="•"/>
      <w:lvlJc w:val="left"/>
      <w:pPr>
        <w:ind w:left="3412" w:hanging="159"/>
      </w:pPr>
      <w:rPr>
        <w:rFonts w:hint="default"/>
        <w:lang w:val="zh-CN" w:eastAsia="zh-CN" w:bidi="zh-CN"/>
      </w:rPr>
    </w:lvl>
    <w:lvl w:ilvl="8">
      <w:start w:val="0"/>
      <w:numFmt w:val="bullet"/>
      <w:isLgl w:val="false"/>
      <w:suff w:val="tab"/>
      <w:lvlText w:val="•"/>
      <w:lvlJc w:val="left"/>
      <w:pPr>
        <w:ind w:left="3651" w:hanging="159"/>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6">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632" w:hanging="601"/>
      </w:pPr>
      <w:rPr>
        <w:rFonts w:hint="default" w:ascii="仿宋" w:hAnsi="仿宋" w:eastAsia="仿宋" w:cs="仿宋"/>
        <w:sz w:val="22"/>
        <w:szCs w:val="22"/>
        <w:lang w:val="zh-CN" w:eastAsia="zh-CN" w:bidi="zh-CN"/>
      </w:rPr>
    </w:lvl>
    <w:lvl w:ilvl="1">
      <w:start w:val="1"/>
      <w:numFmt w:val="decimal"/>
      <w:isLgl w:val="false"/>
      <w:suff w:val="tab"/>
      <w:lvlText w:val="%2."/>
      <w:lvlJc w:val="left"/>
      <w:pPr>
        <w:ind w:left="1465" w:hanging="243"/>
      </w:pPr>
      <w:rPr>
        <w:rFonts w:hint="default" w:ascii="仿宋" w:hAnsi="仿宋" w:eastAsia="仿宋" w:cs="仿宋"/>
        <w:sz w:val="22"/>
        <w:szCs w:val="22"/>
        <w:lang w:val="zh-CN" w:eastAsia="zh-CN" w:bidi="zh-CN"/>
      </w:rPr>
    </w:lvl>
    <w:lvl w:ilvl="2">
      <w:start w:val="1"/>
      <w:numFmt w:val="decimal"/>
      <w:isLgl w:val="false"/>
      <w:suff w:val="tab"/>
      <w:lvlText w:val="%3."/>
      <w:lvlJc w:val="left"/>
      <w:pPr>
        <w:ind w:left="848" w:hanging="361"/>
      </w:pPr>
      <w:rPr>
        <w:rFonts w:hint="default" w:ascii="Times New Roman" w:hAnsi="Times New Roman" w:eastAsia="Times New Roman" w:cs="Times New Roman"/>
        <w:spacing w:val="-3"/>
        <w:sz w:val="22"/>
        <w:szCs w:val="22"/>
        <w:lang w:val="zh-CN" w:eastAsia="zh-CN" w:bidi="zh-CN"/>
      </w:rPr>
    </w:lvl>
    <w:lvl w:ilvl="3">
      <w:start w:val="0"/>
      <w:numFmt w:val="bullet"/>
      <w:isLgl w:val="false"/>
      <w:suff w:val="tab"/>
      <w:lvlText w:val="•"/>
      <w:lvlJc w:val="left"/>
      <w:pPr>
        <w:ind w:left="2698" w:hanging="361"/>
      </w:pPr>
      <w:rPr>
        <w:rFonts w:hint="default"/>
        <w:lang w:val="zh-CN" w:eastAsia="zh-CN" w:bidi="zh-CN"/>
      </w:rPr>
    </w:lvl>
    <w:lvl w:ilvl="4">
      <w:start w:val="0"/>
      <w:numFmt w:val="bullet"/>
      <w:isLgl w:val="false"/>
      <w:suff w:val="tab"/>
      <w:lvlText w:val="•"/>
      <w:lvlJc w:val="left"/>
      <w:pPr>
        <w:ind w:left="3756" w:hanging="361"/>
      </w:pPr>
      <w:rPr>
        <w:rFonts w:hint="default"/>
        <w:lang w:val="zh-CN" w:eastAsia="zh-CN" w:bidi="zh-CN"/>
      </w:rPr>
    </w:lvl>
    <w:lvl w:ilvl="5">
      <w:start w:val="0"/>
      <w:numFmt w:val="bullet"/>
      <w:isLgl w:val="false"/>
      <w:suff w:val="tab"/>
      <w:lvlText w:val="•"/>
      <w:lvlJc w:val="left"/>
      <w:pPr>
        <w:ind w:left="4814" w:hanging="361"/>
      </w:pPr>
      <w:rPr>
        <w:rFonts w:hint="default"/>
        <w:lang w:val="zh-CN" w:eastAsia="zh-CN" w:bidi="zh-CN"/>
      </w:rPr>
    </w:lvl>
    <w:lvl w:ilvl="6">
      <w:start w:val="0"/>
      <w:numFmt w:val="bullet"/>
      <w:isLgl w:val="false"/>
      <w:suff w:val="tab"/>
      <w:lvlText w:val="•"/>
      <w:lvlJc w:val="left"/>
      <w:pPr>
        <w:ind w:left="5873" w:hanging="361"/>
      </w:pPr>
      <w:rPr>
        <w:rFonts w:hint="default"/>
        <w:lang w:val="zh-CN" w:eastAsia="zh-CN" w:bidi="zh-CN"/>
      </w:rPr>
    </w:lvl>
    <w:lvl w:ilvl="7">
      <w:start w:val="0"/>
      <w:numFmt w:val="bullet"/>
      <w:isLgl w:val="false"/>
      <w:suff w:val="tab"/>
      <w:lvlText w:val="•"/>
      <w:lvlJc w:val="left"/>
      <w:pPr>
        <w:ind w:left="6931" w:hanging="361"/>
      </w:pPr>
      <w:rPr>
        <w:rFonts w:hint="default"/>
        <w:lang w:val="zh-CN" w:eastAsia="zh-CN" w:bidi="zh-CN"/>
      </w:rPr>
    </w:lvl>
    <w:lvl w:ilvl="8">
      <w:start w:val="0"/>
      <w:numFmt w:val="bullet"/>
      <w:isLgl w:val="false"/>
      <w:suff w:val="tab"/>
      <w:lvlText w:val="•"/>
      <w:lvlJc w:val="left"/>
      <w:pPr>
        <w:ind w:left="7989" w:hanging="361"/>
      </w:pPr>
      <w:rPr>
        <w:rFonts w:hint="default"/>
        <w:lang w:val="zh-CN" w:eastAsia="zh-CN" w:bidi="zh-CN"/>
      </w:rPr>
    </w:lvl>
  </w:abstractNum>
  <w:abstractNum w:abstractNumId="8">
    <w:multiLevelType w:val="hybridMultilevel"/>
    <w:lvl w:ilvl="0">
      <w:start w:val="11"/>
      <w:numFmt w:val="decimal"/>
      <w:isLgl w:val="false"/>
      <w:suff w:val="tab"/>
      <w:lvlText w:val="%1"/>
      <w:lvlJc w:val="left"/>
      <w:pPr>
        <w:ind w:left="4615" w:hanging="433"/>
      </w:pPr>
      <w:rPr>
        <w:rFonts w:hint="default"/>
        <w:lang w:val="zh-CN" w:eastAsia="zh-CN" w:bidi="zh-CN"/>
      </w:rPr>
    </w:lvl>
    <w:lvl w:ilvl="1">
      <w:start w:val="2"/>
      <w:numFmt w:val="decimal"/>
      <w:isLgl w:val="false"/>
      <w:suff w:val="tab"/>
      <w:lvlText w:val="%1-%2"/>
      <w:lvlJc w:val="left"/>
      <w:pPr>
        <w:ind w:left="4615" w:hanging="433"/>
      </w:pPr>
      <w:rPr>
        <w:rFonts w:hint="default" w:ascii="Times New Roman" w:hAnsi="Times New Roman" w:eastAsia="Times New Roman" w:cs="Times New Roman"/>
        <w:spacing w:val="-5"/>
        <w:sz w:val="22"/>
        <w:szCs w:val="22"/>
        <w:lang w:val="zh-CN" w:eastAsia="zh-CN" w:bidi="zh-CN"/>
      </w:rPr>
    </w:lvl>
    <w:lvl w:ilvl="2">
      <w:start w:val="0"/>
      <w:numFmt w:val="bullet"/>
      <w:isLgl w:val="false"/>
      <w:suff w:val="tab"/>
      <w:lvlText w:val="•"/>
      <w:lvlJc w:val="left"/>
      <w:pPr>
        <w:ind w:left="5889" w:hanging="433"/>
      </w:pPr>
      <w:rPr>
        <w:rFonts w:hint="default"/>
        <w:lang w:val="zh-CN" w:eastAsia="zh-CN" w:bidi="zh-CN"/>
      </w:rPr>
    </w:lvl>
    <w:lvl w:ilvl="3">
      <w:start w:val="0"/>
      <w:numFmt w:val="bullet"/>
      <w:isLgl w:val="false"/>
      <w:suff w:val="tab"/>
      <w:lvlText w:val="•"/>
      <w:lvlJc w:val="left"/>
      <w:pPr>
        <w:ind w:left="6523" w:hanging="433"/>
      </w:pPr>
      <w:rPr>
        <w:rFonts w:hint="default"/>
        <w:lang w:val="zh-CN" w:eastAsia="zh-CN" w:bidi="zh-CN"/>
      </w:rPr>
    </w:lvl>
    <w:lvl w:ilvl="4">
      <w:start w:val="0"/>
      <w:numFmt w:val="bullet"/>
      <w:isLgl w:val="false"/>
      <w:suff w:val="tab"/>
      <w:lvlText w:val="•"/>
      <w:lvlJc w:val="left"/>
      <w:pPr>
        <w:ind w:left="7158" w:hanging="433"/>
      </w:pPr>
      <w:rPr>
        <w:rFonts w:hint="default"/>
        <w:lang w:val="zh-CN" w:eastAsia="zh-CN" w:bidi="zh-CN"/>
      </w:rPr>
    </w:lvl>
    <w:lvl w:ilvl="5">
      <w:start w:val="0"/>
      <w:numFmt w:val="bullet"/>
      <w:isLgl w:val="false"/>
      <w:suff w:val="tab"/>
      <w:lvlText w:val="•"/>
      <w:lvlJc w:val="left"/>
      <w:pPr>
        <w:ind w:left="7793" w:hanging="433"/>
      </w:pPr>
      <w:rPr>
        <w:rFonts w:hint="default"/>
        <w:lang w:val="zh-CN" w:eastAsia="zh-CN" w:bidi="zh-CN"/>
      </w:rPr>
    </w:lvl>
    <w:lvl w:ilvl="6">
      <w:start w:val="0"/>
      <w:numFmt w:val="bullet"/>
      <w:isLgl w:val="false"/>
      <w:suff w:val="tab"/>
      <w:lvlText w:val="•"/>
      <w:lvlJc w:val="left"/>
      <w:pPr>
        <w:ind w:left="8427" w:hanging="433"/>
      </w:pPr>
      <w:rPr>
        <w:rFonts w:hint="default"/>
        <w:lang w:val="zh-CN" w:eastAsia="zh-CN" w:bidi="zh-CN"/>
      </w:rPr>
    </w:lvl>
    <w:lvl w:ilvl="7">
      <w:start w:val="0"/>
      <w:numFmt w:val="bullet"/>
      <w:isLgl w:val="false"/>
      <w:suff w:val="tab"/>
      <w:lvlText w:val="•"/>
      <w:lvlJc w:val="left"/>
      <w:pPr>
        <w:ind w:left="9062" w:hanging="433"/>
      </w:pPr>
      <w:rPr>
        <w:rFonts w:hint="default"/>
        <w:lang w:val="zh-CN" w:eastAsia="zh-CN" w:bidi="zh-CN"/>
      </w:rPr>
    </w:lvl>
    <w:lvl w:ilvl="8">
      <w:start w:val="0"/>
      <w:numFmt w:val="bullet"/>
      <w:isLgl w:val="false"/>
      <w:suff w:val="tab"/>
      <w:lvlText w:val="•"/>
      <w:lvlJc w:val="left"/>
      <w:pPr>
        <w:ind w:left="9696" w:hanging="433"/>
      </w:pPr>
      <w:rPr>
        <w:rFonts w:hint="default"/>
        <w:lang w:val="zh-CN" w:eastAsia="zh-CN" w:bidi="zh-CN"/>
      </w:rPr>
    </w:lvl>
  </w:abstractNum>
  <w:abstractNum w:abstractNumId="9">
    <w:multiLevelType w:val="hybridMultilevel"/>
    <w:lvl w:ilvl="0">
      <w:start w:val="1"/>
      <w:numFmt w:val="decimal"/>
      <w:isLgl w:val="false"/>
      <w:suff w:val="tab"/>
      <w:lvlText w:val="%1."/>
      <w:lvlJc w:val="left"/>
      <w:pPr>
        <w:ind w:left="527" w:hanging="212"/>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637" w:hanging="212"/>
      </w:pPr>
      <w:rPr>
        <w:rFonts w:hint="default"/>
        <w:lang w:val="zh-CN" w:eastAsia="zh-CN" w:bidi="zh-CN"/>
      </w:rPr>
    </w:lvl>
    <w:lvl w:ilvl="2">
      <w:start w:val="0"/>
      <w:numFmt w:val="bullet"/>
      <w:isLgl w:val="false"/>
      <w:suff w:val="tab"/>
      <w:lvlText w:val="•"/>
      <w:lvlJc w:val="left"/>
      <w:pPr>
        <w:ind w:left="755" w:hanging="212"/>
      </w:pPr>
      <w:rPr>
        <w:rFonts w:hint="default"/>
        <w:lang w:val="zh-CN" w:eastAsia="zh-CN" w:bidi="zh-CN"/>
      </w:rPr>
    </w:lvl>
    <w:lvl w:ilvl="3">
      <w:start w:val="0"/>
      <w:numFmt w:val="bullet"/>
      <w:isLgl w:val="false"/>
      <w:suff w:val="tab"/>
      <w:lvlText w:val="•"/>
      <w:lvlJc w:val="left"/>
      <w:pPr>
        <w:ind w:left="873" w:hanging="212"/>
      </w:pPr>
      <w:rPr>
        <w:rFonts w:hint="default"/>
        <w:lang w:val="zh-CN" w:eastAsia="zh-CN" w:bidi="zh-CN"/>
      </w:rPr>
    </w:lvl>
    <w:lvl w:ilvl="4">
      <w:start w:val="0"/>
      <w:numFmt w:val="bullet"/>
      <w:isLgl w:val="false"/>
      <w:suff w:val="tab"/>
      <w:lvlText w:val="•"/>
      <w:lvlJc w:val="left"/>
      <w:pPr>
        <w:ind w:left="991" w:hanging="212"/>
      </w:pPr>
      <w:rPr>
        <w:rFonts w:hint="default"/>
        <w:lang w:val="zh-CN" w:eastAsia="zh-CN" w:bidi="zh-CN"/>
      </w:rPr>
    </w:lvl>
    <w:lvl w:ilvl="5">
      <w:start w:val="0"/>
      <w:numFmt w:val="bullet"/>
      <w:isLgl w:val="false"/>
      <w:suff w:val="tab"/>
      <w:lvlText w:val="•"/>
      <w:lvlJc w:val="left"/>
      <w:pPr>
        <w:ind w:left="1109" w:hanging="212"/>
      </w:pPr>
      <w:rPr>
        <w:rFonts w:hint="default"/>
        <w:lang w:val="zh-CN" w:eastAsia="zh-CN" w:bidi="zh-CN"/>
      </w:rPr>
    </w:lvl>
    <w:lvl w:ilvl="6">
      <w:start w:val="0"/>
      <w:numFmt w:val="bullet"/>
      <w:isLgl w:val="false"/>
      <w:suff w:val="tab"/>
      <w:lvlText w:val="•"/>
      <w:lvlJc w:val="left"/>
      <w:pPr>
        <w:ind w:left="1227" w:hanging="212"/>
      </w:pPr>
      <w:rPr>
        <w:rFonts w:hint="default"/>
        <w:lang w:val="zh-CN" w:eastAsia="zh-CN" w:bidi="zh-CN"/>
      </w:rPr>
    </w:lvl>
    <w:lvl w:ilvl="7">
      <w:start w:val="0"/>
      <w:numFmt w:val="bullet"/>
      <w:isLgl w:val="false"/>
      <w:suff w:val="tab"/>
      <w:lvlText w:val="•"/>
      <w:lvlJc w:val="left"/>
      <w:pPr>
        <w:ind w:left="1345" w:hanging="212"/>
      </w:pPr>
      <w:rPr>
        <w:rFonts w:hint="default"/>
        <w:lang w:val="zh-CN" w:eastAsia="zh-CN" w:bidi="zh-CN"/>
      </w:rPr>
    </w:lvl>
    <w:lvl w:ilvl="8">
      <w:start w:val="0"/>
      <w:numFmt w:val="bullet"/>
      <w:isLgl w:val="false"/>
      <w:suff w:val="tab"/>
      <w:lvlText w:val="•"/>
      <w:lvlJc w:val="left"/>
      <w:pPr>
        <w:ind w:left="1463" w:hanging="212"/>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527" w:hanging="212"/>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637" w:hanging="212"/>
      </w:pPr>
      <w:rPr>
        <w:rFonts w:hint="default"/>
        <w:lang w:val="zh-CN" w:eastAsia="zh-CN" w:bidi="zh-CN"/>
      </w:rPr>
    </w:lvl>
    <w:lvl w:ilvl="2">
      <w:start w:val="0"/>
      <w:numFmt w:val="bullet"/>
      <w:isLgl w:val="false"/>
      <w:suff w:val="tab"/>
      <w:lvlText w:val="•"/>
      <w:lvlJc w:val="left"/>
      <w:pPr>
        <w:ind w:left="755" w:hanging="212"/>
      </w:pPr>
      <w:rPr>
        <w:rFonts w:hint="default"/>
        <w:lang w:val="zh-CN" w:eastAsia="zh-CN" w:bidi="zh-CN"/>
      </w:rPr>
    </w:lvl>
    <w:lvl w:ilvl="3">
      <w:start w:val="0"/>
      <w:numFmt w:val="bullet"/>
      <w:isLgl w:val="false"/>
      <w:suff w:val="tab"/>
      <w:lvlText w:val="•"/>
      <w:lvlJc w:val="left"/>
      <w:pPr>
        <w:ind w:left="873" w:hanging="212"/>
      </w:pPr>
      <w:rPr>
        <w:rFonts w:hint="default"/>
        <w:lang w:val="zh-CN" w:eastAsia="zh-CN" w:bidi="zh-CN"/>
      </w:rPr>
    </w:lvl>
    <w:lvl w:ilvl="4">
      <w:start w:val="0"/>
      <w:numFmt w:val="bullet"/>
      <w:isLgl w:val="false"/>
      <w:suff w:val="tab"/>
      <w:lvlText w:val="•"/>
      <w:lvlJc w:val="left"/>
      <w:pPr>
        <w:ind w:left="991" w:hanging="212"/>
      </w:pPr>
      <w:rPr>
        <w:rFonts w:hint="default"/>
        <w:lang w:val="zh-CN" w:eastAsia="zh-CN" w:bidi="zh-CN"/>
      </w:rPr>
    </w:lvl>
    <w:lvl w:ilvl="5">
      <w:start w:val="0"/>
      <w:numFmt w:val="bullet"/>
      <w:isLgl w:val="false"/>
      <w:suff w:val="tab"/>
      <w:lvlText w:val="•"/>
      <w:lvlJc w:val="left"/>
      <w:pPr>
        <w:ind w:left="1109" w:hanging="212"/>
      </w:pPr>
      <w:rPr>
        <w:rFonts w:hint="default"/>
        <w:lang w:val="zh-CN" w:eastAsia="zh-CN" w:bidi="zh-CN"/>
      </w:rPr>
    </w:lvl>
    <w:lvl w:ilvl="6">
      <w:start w:val="0"/>
      <w:numFmt w:val="bullet"/>
      <w:isLgl w:val="false"/>
      <w:suff w:val="tab"/>
      <w:lvlText w:val="•"/>
      <w:lvlJc w:val="left"/>
      <w:pPr>
        <w:ind w:left="1227" w:hanging="212"/>
      </w:pPr>
      <w:rPr>
        <w:rFonts w:hint="default"/>
        <w:lang w:val="zh-CN" w:eastAsia="zh-CN" w:bidi="zh-CN"/>
      </w:rPr>
    </w:lvl>
    <w:lvl w:ilvl="7">
      <w:start w:val="0"/>
      <w:numFmt w:val="bullet"/>
      <w:isLgl w:val="false"/>
      <w:suff w:val="tab"/>
      <w:lvlText w:val="•"/>
      <w:lvlJc w:val="left"/>
      <w:pPr>
        <w:ind w:left="1345" w:hanging="212"/>
      </w:pPr>
      <w:rPr>
        <w:rFonts w:hint="default"/>
        <w:lang w:val="zh-CN" w:eastAsia="zh-CN" w:bidi="zh-CN"/>
      </w:rPr>
    </w:lvl>
    <w:lvl w:ilvl="8">
      <w:start w:val="0"/>
      <w:numFmt w:val="bullet"/>
      <w:isLgl w:val="false"/>
      <w:suff w:val="tab"/>
      <w:lvlText w:val="•"/>
      <w:lvlJc w:val="left"/>
      <w:pPr>
        <w:ind w:left="1463" w:hanging="212"/>
      </w:pPr>
      <w:rPr>
        <w:rFonts w:hint="default"/>
        <w:lang w:val="zh-CN" w:eastAsia="zh-CN" w:bidi="zh-CN"/>
      </w:rPr>
    </w:lvl>
  </w:abstractNum>
  <w:abstractNum w:abstractNumId="11">
    <w:multiLevelType w:val="hybridMultilevel"/>
    <w:lvl w:ilvl="0">
      <w:start w:val="1"/>
      <w:numFmt w:val="decimal"/>
      <w:isLgl w:val="false"/>
      <w:suff w:val="tab"/>
      <w:lvlText w:val="（%1）"/>
      <w:lvlJc w:val="left"/>
      <w:pPr>
        <w:ind w:left="1690" w:hanging="527"/>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2626" w:hanging="527"/>
      </w:pPr>
      <w:rPr>
        <w:rFonts w:hint="default"/>
        <w:lang w:val="zh-CN" w:eastAsia="zh-CN" w:bidi="zh-CN"/>
      </w:rPr>
    </w:lvl>
    <w:lvl w:ilvl="2">
      <w:start w:val="0"/>
      <w:numFmt w:val="bullet"/>
      <w:isLgl w:val="false"/>
      <w:suff w:val="tab"/>
      <w:lvlText w:val="•"/>
      <w:lvlJc w:val="left"/>
      <w:pPr>
        <w:ind w:left="3553" w:hanging="527"/>
      </w:pPr>
      <w:rPr>
        <w:rFonts w:hint="default"/>
        <w:lang w:val="zh-CN" w:eastAsia="zh-CN" w:bidi="zh-CN"/>
      </w:rPr>
    </w:lvl>
    <w:lvl w:ilvl="3">
      <w:start w:val="0"/>
      <w:numFmt w:val="bullet"/>
      <w:isLgl w:val="false"/>
      <w:suff w:val="tab"/>
      <w:lvlText w:val="•"/>
      <w:lvlJc w:val="left"/>
      <w:pPr>
        <w:ind w:left="4479" w:hanging="527"/>
      </w:pPr>
      <w:rPr>
        <w:rFonts w:hint="default"/>
        <w:lang w:val="zh-CN" w:eastAsia="zh-CN" w:bidi="zh-CN"/>
      </w:rPr>
    </w:lvl>
    <w:lvl w:ilvl="4">
      <w:start w:val="0"/>
      <w:numFmt w:val="bullet"/>
      <w:isLgl w:val="false"/>
      <w:suff w:val="tab"/>
      <w:lvlText w:val="•"/>
      <w:lvlJc w:val="left"/>
      <w:pPr>
        <w:ind w:left="5406" w:hanging="527"/>
      </w:pPr>
      <w:rPr>
        <w:rFonts w:hint="default"/>
        <w:lang w:val="zh-CN" w:eastAsia="zh-CN" w:bidi="zh-CN"/>
      </w:rPr>
    </w:lvl>
    <w:lvl w:ilvl="5">
      <w:start w:val="0"/>
      <w:numFmt w:val="bullet"/>
      <w:isLgl w:val="false"/>
      <w:suff w:val="tab"/>
      <w:lvlText w:val="•"/>
      <w:lvlJc w:val="left"/>
      <w:pPr>
        <w:ind w:left="6333" w:hanging="527"/>
      </w:pPr>
      <w:rPr>
        <w:rFonts w:hint="default"/>
        <w:lang w:val="zh-CN" w:eastAsia="zh-CN" w:bidi="zh-CN"/>
      </w:rPr>
    </w:lvl>
    <w:lvl w:ilvl="6">
      <w:start w:val="0"/>
      <w:numFmt w:val="bullet"/>
      <w:isLgl w:val="false"/>
      <w:suff w:val="tab"/>
      <w:lvlText w:val="•"/>
      <w:lvlJc w:val="left"/>
      <w:pPr>
        <w:ind w:left="7259" w:hanging="527"/>
      </w:pPr>
      <w:rPr>
        <w:rFonts w:hint="default"/>
        <w:lang w:val="zh-CN" w:eastAsia="zh-CN" w:bidi="zh-CN"/>
      </w:rPr>
    </w:lvl>
    <w:lvl w:ilvl="7">
      <w:start w:val="0"/>
      <w:numFmt w:val="bullet"/>
      <w:isLgl w:val="false"/>
      <w:suff w:val="tab"/>
      <w:lvlText w:val="•"/>
      <w:lvlJc w:val="left"/>
      <w:pPr>
        <w:ind w:left="8186" w:hanging="527"/>
      </w:pPr>
      <w:rPr>
        <w:rFonts w:hint="default"/>
        <w:lang w:val="zh-CN" w:eastAsia="zh-CN" w:bidi="zh-CN"/>
      </w:rPr>
    </w:lvl>
    <w:lvl w:ilvl="8">
      <w:start w:val="0"/>
      <w:numFmt w:val="bullet"/>
      <w:isLgl w:val="false"/>
      <w:suff w:val="tab"/>
      <w:lvlText w:val="•"/>
      <w:lvlJc w:val="left"/>
      <w:pPr>
        <w:ind w:left="9112" w:hanging="527"/>
      </w:pPr>
      <w:rPr>
        <w:rFonts w:hint="default"/>
        <w:lang w:val="zh-CN" w:eastAsia="zh-CN" w:bidi="zh-CN"/>
      </w:rPr>
    </w:lvl>
  </w:abstractNum>
  <w:abstractNum w:abstractNumId="12">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3">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pacing w:val="-1"/>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num w:numId="1">
    <w:abstractNumId w:val="7"/>
  </w:num>
  <w:num w:numId="2">
    <w:abstractNumId w:val="13"/>
  </w:num>
  <w:num w:numId="3">
    <w:abstractNumId w:val="12"/>
  </w:num>
  <w:num w:numId="4">
    <w:abstractNumId w:val="4"/>
  </w:num>
  <w:num w:numId="5">
    <w:abstractNumId w:val="5"/>
  </w:num>
  <w:num w:numId="6">
    <w:abstractNumId w:val="6"/>
  </w:num>
  <w:num w:numId="7">
    <w:abstractNumId w:val="0"/>
  </w:num>
  <w:num w:numId="8">
    <w:abstractNumId w:val="1"/>
  </w:num>
  <w:num w:numId="9">
    <w:abstractNumId w:val="8"/>
  </w:num>
  <w:num w:numId="10">
    <w:abstractNumId w:val="2"/>
  </w:num>
  <w:num w:numId="11">
    <w:abstractNumId w:val="11"/>
  </w:num>
  <w:num w:numId="12">
    <w:abstractNumId w:val="9"/>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4">
    <w:name w:val="Heading 1 Char"/>
    <w:basedOn w:val="1126"/>
    <w:link w:val="1122"/>
    <w:uiPriority w:val="9"/>
    <w:rPr>
      <w:rFonts w:ascii="Arial" w:hAnsi="Arial" w:eastAsia="Arial" w:cs="Arial"/>
      <w:sz w:val="40"/>
      <w:szCs w:val="40"/>
    </w:rPr>
  </w:style>
  <w:style w:type="character" w:styleId="955">
    <w:name w:val="Heading 2 Char"/>
    <w:basedOn w:val="1126"/>
    <w:link w:val="1123"/>
    <w:uiPriority w:val="9"/>
    <w:rPr>
      <w:rFonts w:ascii="Arial" w:hAnsi="Arial" w:eastAsia="Arial" w:cs="Arial"/>
      <w:sz w:val="34"/>
    </w:rPr>
  </w:style>
  <w:style w:type="character" w:styleId="956">
    <w:name w:val="Heading 3 Char"/>
    <w:basedOn w:val="1126"/>
    <w:link w:val="1124"/>
    <w:uiPriority w:val="9"/>
    <w:rPr>
      <w:rFonts w:ascii="Arial" w:hAnsi="Arial" w:eastAsia="Arial" w:cs="Arial"/>
      <w:sz w:val="30"/>
      <w:szCs w:val="30"/>
    </w:rPr>
  </w:style>
  <w:style w:type="character" w:styleId="957">
    <w:name w:val="Heading 4 Char"/>
    <w:basedOn w:val="1126"/>
    <w:link w:val="1125"/>
    <w:uiPriority w:val="9"/>
    <w:rPr>
      <w:rFonts w:ascii="Arial" w:hAnsi="Arial" w:eastAsia="Arial" w:cs="Arial"/>
      <w:b/>
      <w:bCs/>
      <w:sz w:val="26"/>
      <w:szCs w:val="26"/>
    </w:rPr>
  </w:style>
  <w:style w:type="paragraph" w:styleId="958">
    <w:name w:val="Heading 5"/>
    <w:basedOn w:val="1121"/>
    <w:next w:val="1121"/>
    <w:link w:val="959"/>
    <w:uiPriority w:val="9"/>
    <w:unhideWhenUsed/>
    <w:qFormat/>
    <w:pPr>
      <w:keepLines/>
      <w:keepNext/>
      <w:spacing w:before="320" w:after="200"/>
      <w:outlineLvl w:val="4"/>
    </w:pPr>
    <w:rPr>
      <w:rFonts w:ascii="Arial" w:hAnsi="Arial" w:eastAsia="Arial" w:cs="Arial"/>
      <w:b/>
      <w:bCs/>
      <w:sz w:val="24"/>
      <w:szCs w:val="24"/>
    </w:rPr>
  </w:style>
  <w:style w:type="character" w:styleId="959">
    <w:name w:val="Heading 5 Char"/>
    <w:basedOn w:val="1126"/>
    <w:link w:val="958"/>
    <w:uiPriority w:val="9"/>
    <w:rPr>
      <w:rFonts w:ascii="Arial" w:hAnsi="Arial" w:eastAsia="Arial" w:cs="Arial"/>
      <w:b/>
      <w:bCs/>
      <w:sz w:val="24"/>
      <w:szCs w:val="24"/>
    </w:rPr>
  </w:style>
  <w:style w:type="paragraph" w:styleId="960">
    <w:name w:val="Heading 6"/>
    <w:basedOn w:val="1121"/>
    <w:next w:val="1121"/>
    <w:link w:val="961"/>
    <w:uiPriority w:val="9"/>
    <w:unhideWhenUsed/>
    <w:qFormat/>
    <w:pPr>
      <w:keepLines/>
      <w:keepNext/>
      <w:spacing w:before="320" w:after="200"/>
      <w:outlineLvl w:val="5"/>
    </w:pPr>
    <w:rPr>
      <w:rFonts w:ascii="Arial" w:hAnsi="Arial" w:eastAsia="Arial" w:cs="Arial"/>
      <w:b/>
      <w:bCs/>
      <w:sz w:val="22"/>
      <w:szCs w:val="22"/>
    </w:rPr>
  </w:style>
  <w:style w:type="character" w:styleId="961">
    <w:name w:val="Heading 6 Char"/>
    <w:basedOn w:val="1126"/>
    <w:link w:val="960"/>
    <w:uiPriority w:val="9"/>
    <w:rPr>
      <w:rFonts w:ascii="Arial" w:hAnsi="Arial" w:eastAsia="Arial" w:cs="Arial"/>
      <w:b/>
      <w:bCs/>
      <w:sz w:val="22"/>
      <w:szCs w:val="22"/>
    </w:rPr>
  </w:style>
  <w:style w:type="paragraph" w:styleId="962">
    <w:name w:val="Heading 7"/>
    <w:basedOn w:val="1121"/>
    <w:next w:val="1121"/>
    <w:link w:val="963"/>
    <w:uiPriority w:val="9"/>
    <w:unhideWhenUsed/>
    <w:qFormat/>
    <w:pPr>
      <w:keepLines/>
      <w:keepNext/>
      <w:spacing w:before="320" w:after="200"/>
      <w:outlineLvl w:val="6"/>
    </w:pPr>
    <w:rPr>
      <w:rFonts w:ascii="Arial" w:hAnsi="Arial" w:eastAsia="Arial" w:cs="Arial"/>
      <w:b/>
      <w:bCs/>
      <w:i/>
      <w:iCs/>
      <w:sz w:val="22"/>
      <w:szCs w:val="22"/>
    </w:rPr>
  </w:style>
  <w:style w:type="character" w:styleId="963">
    <w:name w:val="Heading 7 Char"/>
    <w:basedOn w:val="1126"/>
    <w:link w:val="962"/>
    <w:uiPriority w:val="9"/>
    <w:rPr>
      <w:rFonts w:ascii="Arial" w:hAnsi="Arial" w:eastAsia="Arial" w:cs="Arial"/>
      <w:b/>
      <w:bCs/>
      <w:i/>
      <w:iCs/>
      <w:sz w:val="22"/>
      <w:szCs w:val="22"/>
    </w:rPr>
  </w:style>
  <w:style w:type="paragraph" w:styleId="964">
    <w:name w:val="Heading 8"/>
    <w:basedOn w:val="1121"/>
    <w:next w:val="1121"/>
    <w:link w:val="965"/>
    <w:uiPriority w:val="9"/>
    <w:unhideWhenUsed/>
    <w:qFormat/>
    <w:pPr>
      <w:keepLines/>
      <w:keepNext/>
      <w:spacing w:before="320" w:after="200"/>
      <w:outlineLvl w:val="7"/>
    </w:pPr>
    <w:rPr>
      <w:rFonts w:ascii="Arial" w:hAnsi="Arial" w:eastAsia="Arial" w:cs="Arial"/>
      <w:i/>
      <w:iCs/>
      <w:sz w:val="22"/>
      <w:szCs w:val="22"/>
    </w:rPr>
  </w:style>
  <w:style w:type="character" w:styleId="965">
    <w:name w:val="Heading 8 Char"/>
    <w:basedOn w:val="1126"/>
    <w:link w:val="964"/>
    <w:uiPriority w:val="9"/>
    <w:rPr>
      <w:rFonts w:ascii="Arial" w:hAnsi="Arial" w:eastAsia="Arial" w:cs="Arial"/>
      <w:i/>
      <w:iCs/>
      <w:sz w:val="22"/>
      <w:szCs w:val="22"/>
    </w:rPr>
  </w:style>
  <w:style w:type="paragraph" w:styleId="966">
    <w:name w:val="Heading 9"/>
    <w:basedOn w:val="1121"/>
    <w:next w:val="1121"/>
    <w:link w:val="967"/>
    <w:uiPriority w:val="9"/>
    <w:unhideWhenUsed/>
    <w:qFormat/>
    <w:pPr>
      <w:keepLines/>
      <w:keepNext/>
      <w:spacing w:before="320" w:after="200"/>
      <w:outlineLvl w:val="8"/>
    </w:pPr>
    <w:rPr>
      <w:rFonts w:ascii="Arial" w:hAnsi="Arial" w:eastAsia="Arial" w:cs="Arial"/>
      <w:i/>
      <w:iCs/>
      <w:sz w:val="21"/>
      <w:szCs w:val="21"/>
    </w:rPr>
  </w:style>
  <w:style w:type="character" w:styleId="967">
    <w:name w:val="Heading 9 Char"/>
    <w:basedOn w:val="1126"/>
    <w:link w:val="966"/>
    <w:uiPriority w:val="9"/>
    <w:rPr>
      <w:rFonts w:ascii="Arial" w:hAnsi="Arial" w:eastAsia="Arial" w:cs="Arial"/>
      <w:i/>
      <w:iCs/>
      <w:sz w:val="21"/>
      <w:szCs w:val="21"/>
    </w:rPr>
  </w:style>
  <w:style w:type="paragraph" w:styleId="968">
    <w:name w:val="No Spacing"/>
    <w:uiPriority w:val="1"/>
    <w:qFormat/>
    <w:pPr>
      <w:spacing w:before="0" w:after="0" w:line="240" w:lineRule="auto"/>
    </w:pPr>
  </w:style>
  <w:style w:type="character" w:styleId="969">
    <w:name w:val="Title Char"/>
    <w:basedOn w:val="1126"/>
    <w:link w:val="1139"/>
    <w:uiPriority w:val="10"/>
    <w:rPr>
      <w:sz w:val="48"/>
      <w:szCs w:val="48"/>
    </w:rPr>
  </w:style>
  <w:style w:type="paragraph" w:styleId="970">
    <w:name w:val="Subtitle"/>
    <w:basedOn w:val="1121"/>
    <w:next w:val="1121"/>
    <w:link w:val="971"/>
    <w:uiPriority w:val="11"/>
    <w:qFormat/>
    <w:pPr>
      <w:spacing w:before="200" w:after="200"/>
    </w:pPr>
    <w:rPr>
      <w:sz w:val="24"/>
      <w:szCs w:val="24"/>
    </w:rPr>
  </w:style>
  <w:style w:type="character" w:styleId="971">
    <w:name w:val="Subtitle Char"/>
    <w:basedOn w:val="1126"/>
    <w:link w:val="970"/>
    <w:uiPriority w:val="11"/>
    <w:rPr>
      <w:sz w:val="24"/>
      <w:szCs w:val="24"/>
    </w:rPr>
  </w:style>
  <w:style w:type="paragraph" w:styleId="972">
    <w:name w:val="Quote"/>
    <w:basedOn w:val="1121"/>
    <w:next w:val="1121"/>
    <w:link w:val="973"/>
    <w:uiPriority w:val="29"/>
    <w:qFormat/>
    <w:pPr>
      <w:ind w:left="720" w:right="720"/>
    </w:pPr>
    <w:rPr>
      <w:i/>
    </w:rPr>
  </w:style>
  <w:style w:type="character" w:styleId="973">
    <w:name w:val="Quote Char"/>
    <w:link w:val="972"/>
    <w:uiPriority w:val="29"/>
    <w:rPr>
      <w:i/>
    </w:rPr>
  </w:style>
  <w:style w:type="paragraph" w:styleId="974">
    <w:name w:val="Intense Quote"/>
    <w:basedOn w:val="1121"/>
    <w:next w:val="1121"/>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character" w:styleId="976">
    <w:name w:val="Header Char"/>
    <w:basedOn w:val="1126"/>
    <w:link w:val="1135"/>
    <w:uiPriority w:val="99"/>
  </w:style>
  <w:style w:type="character" w:styleId="977">
    <w:name w:val="Footer Char"/>
    <w:basedOn w:val="1126"/>
    <w:link w:val="1134"/>
    <w:uiPriority w:val="99"/>
  </w:style>
  <w:style w:type="paragraph" w:styleId="978">
    <w:name w:val="Caption"/>
    <w:basedOn w:val="1121"/>
    <w:next w:val="1121"/>
    <w:uiPriority w:val="35"/>
    <w:semiHidden/>
    <w:unhideWhenUsed/>
    <w:qFormat/>
    <w:pPr>
      <w:spacing w:line="276" w:lineRule="auto"/>
    </w:pPr>
    <w:rPr>
      <w:b/>
      <w:bCs/>
      <w:color w:val="4f81bd" w:themeColor="accent1"/>
      <w:sz w:val="18"/>
      <w:szCs w:val="18"/>
    </w:rPr>
  </w:style>
  <w:style w:type="character" w:styleId="979">
    <w:name w:val="Caption Char"/>
    <w:basedOn w:val="978"/>
    <w:link w:val="1134"/>
    <w:uiPriority w:val="99"/>
  </w:style>
  <w:style w:type="table" w:styleId="980">
    <w:name w:val="Table Grid"/>
    <w:basedOn w:val="11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1">
    <w:name w:val="Table Grid Light"/>
    <w:basedOn w:val="11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2">
    <w:name w:val="Plain Table 1"/>
    <w:basedOn w:val="11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name w:val="Plain Table 2"/>
    <w:basedOn w:val="11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name w:val="Plain Table 3"/>
    <w:basedOn w:val="11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name w:val="Plain Table 4"/>
    <w:basedOn w:val="11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name w:val="Plain Table 5"/>
    <w:basedOn w:val="11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7">
    <w:name w:val="Grid Table 1 Light"/>
    <w:basedOn w:val="11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8">
    <w:name w:val="Grid Table 1 Light - Accent 1"/>
    <w:basedOn w:val="11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9">
    <w:name w:val="Grid Table 1 Light - Accent 2"/>
    <w:basedOn w:val="11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0">
    <w:name w:val="Grid Table 1 Light - Accent 3"/>
    <w:basedOn w:val="11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1">
    <w:name w:val="Grid Table 1 Light - Accent 4"/>
    <w:basedOn w:val="11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2">
    <w:name w:val="Grid Table 1 Light - Accent 5"/>
    <w:basedOn w:val="11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3">
    <w:name w:val="Grid Table 1 Light - Accent 6"/>
    <w:basedOn w:val="11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4">
    <w:name w:val="Grid Table 2"/>
    <w:basedOn w:val="11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5">
    <w:name w:val="Grid Table 2 - Accent 1"/>
    <w:basedOn w:val="11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6">
    <w:name w:val="Grid Table 2 - Accent 2"/>
    <w:basedOn w:val="11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2 - Accent 3"/>
    <w:basedOn w:val="11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2 - Accent 4"/>
    <w:basedOn w:val="11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2 - Accent 5"/>
    <w:basedOn w:val="11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0">
    <w:name w:val="Grid Table 2 - Accent 6"/>
    <w:basedOn w:val="11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1">
    <w:name w:val="Grid Table 3"/>
    <w:basedOn w:val="11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1"/>
    <w:basedOn w:val="11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2"/>
    <w:basedOn w:val="11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3"/>
    <w:basedOn w:val="11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4"/>
    <w:basedOn w:val="11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5"/>
    <w:basedOn w:val="11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6"/>
    <w:basedOn w:val="11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4"/>
    <w:basedOn w:val="11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name w:val="Grid Table 4 - Accent 1"/>
    <w:basedOn w:val="11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0">
    <w:name w:val="Grid Table 4 - Accent 2"/>
    <w:basedOn w:val="11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1">
    <w:name w:val="Grid Table 4 - Accent 3"/>
    <w:basedOn w:val="11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2">
    <w:name w:val="Grid Table 4 - Accent 4"/>
    <w:basedOn w:val="11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3">
    <w:name w:val="Grid Table 4 - Accent 5"/>
    <w:basedOn w:val="11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4">
    <w:name w:val="Grid Table 4 - Accent 6"/>
    <w:basedOn w:val="11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5">
    <w:name w:val="Grid Table 5 Dark"/>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6">
    <w:name w:val="Grid Table 5 Dark- Accent 1"/>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7">
    <w:name w:val="Grid Table 5 Dark - Accent 2"/>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8">
    <w:name w:val="Grid Table 5 Dark - Accent 3"/>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9">
    <w:name w:val="Grid Table 5 Dark- Accent 4"/>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0">
    <w:name w:val="Grid Table 5 Dark - Accent 5"/>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1">
    <w:name w:val="Grid Table 5 Dark - Accent 6"/>
    <w:basedOn w:val="11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2">
    <w:name w:val="Grid Table 6 Colorful"/>
    <w:basedOn w:val="11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3">
    <w:name w:val="Grid Table 6 Colorful - Accent 1"/>
    <w:basedOn w:val="11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4">
    <w:name w:val="Grid Table 6 Colorful - Accent 2"/>
    <w:basedOn w:val="11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5">
    <w:name w:val="Grid Table 6 Colorful - Accent 3"/>
    <w:basedOn w:val="11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6">
    <w:name w:val="Grid Table 6 Colorful - Accent 4"/>
    <w:basedOn w:val="11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7">
    <w:name w:val="Grid Table 6 Colorful - Accent 5"/>
    <w:basedOn w:val="11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8">
    <w:name w:val="Grid Table 6 Colorful - Accent 6"/>
    <w:basedOn w:val="11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9">
    <w:name w:val="Grid Table 7 Colorful"/>
    <w:basedOn w:val="11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0">
    <w:name w:val="Grid Table 7 Colorful - Accent 1"/>
    <w:basedOn w:val="11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1">
    <w:name w:val="Grid Table 7 Colorful - Accent 2"/>
    <w:basedOn w:val="11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2">
    <w:name w:val="Grid Table 7 Colorful - Accent 3"/>
    <w:basedOn w:val="11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3">
    <w:name w:val="Grid Table 7 Colorful - Accent 4"/>
    <w:basedOn w:val="11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4">
    <w:name w:val="Grid Table 7 Colorful - Accent 5"/>
    <w:basedOn w:val="11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5">
    <w:name w:val="Grid Table 7 Colorful - Accent 6"/>
    <w:basedOn w:val="11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6">
    <w:name w:val="List Table 1 Light"/>
    <w:basedOn w:val="11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name w:val="List Table 1 Light - Accent 1"/>
    <w:basedOn w:val="11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8">
    <w:name w:val="List Table 1 Light - Accent 2"/>
    <w:basedOn w:val="11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9">
    <w:name w:val="List Table 1 Light - Accent 3"/>
    <w:basedOn w:val="11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0">
    <w:name w:val="List Table 1 Light - Accent 4"/>
    <w:basedOn w:val="11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1">
    <w:name w:val="List Table 1 Light - Accent 5"/>
    <w:basedOn w:val="11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2">
    <w:name w:val="List Table 1 Light - Accent 6"/>
    <w:basedOn w:val="11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3">
    <w:name w:val="List Table 2"/>
    <w:basedOn w:val="11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4">
    <w:name w:val="List Table 2 - Accent 1"/>
    <w:basedOn w:val="11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5">
    <w:name w:val="List Table 2 - Accent 2"/>
    <w:basedOn w:val="11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6">
    <w:name w:val="List Table 2 - Accent 3"/>
    <w:basedOn w:val="11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7">
    <w:name w:val="List Table 2 - Accent 4"/>
    <w:basedOn w:val="11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8">
    <w:name w:val="List Table 2 - Accent 5"/>
    <w:basedOn w:val="11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9">
    <w:name w:val="List Table 2 - Accent 6"/>
    <w:basedOn w:val="11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0">
    <w:name w:val="List Table 3"/>
    <w:basedOn w:val="11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3 - Accent 1"/>
    <w:basedOn w:val="11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3 - Accent 2"/>
    <w:basedOn w:val="11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3">
    <w:name w:val="List Table 3 - Accent 3"/>
    <w:basedOn w:val="11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4">
    <w:name w:val="List Table 3 - Accent 4"/>
    <w:basedOn w:val="11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5">
    <w:name w:val="List Table 3 - Accent 5"/>
    <w:basedOn w:val="11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6">
    <w:name w:val="List Table 3 - Accent 6"/>
    <w:basedOn w:val="11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7">
    <w:name w:val="List Table 4"/>
    <w:basedOn w:val="11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8">
    <w:name w:val="List Table 4 - Accent 1"/>
    <w:basedOn w:val="11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9">
    <w:name w:val="List Table 4 - Accent 2"/>
    <w:basedOn w:val="11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0">
    <w:name w:val="List Table 4 - Accent 3"/>
    <w:basedOn w:val="11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1">
    <w:name w:val="List Table 4 - Accent 4"/>
    <w:basedOn w:val="11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2">
    <w:name w:val="List Table 4 - Accent 5"/>
    <w:basedOn w:val="11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3">
    <w:name w:val="List Table 4 - Accent 6"/>
    <w:basedOn w:val="11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4">
    <w:name w:val="List Table 5 Dark"/>
    <w:basedOn w:val="11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1"/>
    <w:basedOn w:val="11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2"/>
    <w:basedOn w:val="11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3"/>
    <w:basedOn w:val="11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4"/>
    <w:basedOn w:val="11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5"/>
    <w:basedOn w:val="11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6"/>
    <w:basedOn w:val="11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6 Colorful"/>
    <w:basedOn w:val="11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2">
    <w:name w:val="List Table 6 Colorful - Accent 1"/>
    <w:basedOn w:val="11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3">
    <w:name w:val="List Table 6 Colorful - Accent 2"/>
    <w:basedOn w:val="11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4">
    <w:name w:val="List Table 6 Colorful - Accent 3"/>
    <w:basedOn w:val="11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5">
    <w:name w:val="List Table 6 Colorful - Accent 4"/>
    <w:basedOn w:val="11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6">
    <w:name w:val="List Table 6 Colorful - Accent 5"/>
    <w:basedOn w:val="11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7">
    <w:name w:val="List Table 6 Colorful - Accent 6"/>
    <w:basedOn w:val="11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8">
    <w:name w:val="List Table 7 Colorful"/>
    <w:basedOn w:val="11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9">
    <w:name w:val="List Table 7 Colorful - Accent 1"/>
    <w:basedOn w:val="11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0">
    <w:name w:val="List Table 7 Colorful - Accent 2"/>
    <w:basedOn w:val="11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1">
    <w:name w:val="List Table 7 Colorful - Accent 3"/>
    <w:basedOn w:val="11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2">
    <w:name w:val="List Table 7 Colorful - Accent 4"/>
    <w:basedOn w:val="11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3">
    <w:name w:val="List Table 7 Colorful - Accent 5"/>
    <w:basedOn w:val="11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4">
    <w:name w:val="List Table 7 Colorful - Accent 6"/>
    <w:basedOn w:val="11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5">
    <w:name w:val="Lined - Accent"/>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Lined - Accent 1"/>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Lined - Accent 2"/>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Lined - Accent 3"/>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Lined - Accent 4"/>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Lined - Accent 5"/>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Lined - Accent 6"/>
    <w:basedOn w:val="11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amp; Lined - Accent"/>
    <w:basedOn w:val="11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3">
    <w:name w:val="Bordered &amp; Lined - Accent 1"/>
    <w:basedOn w:val="11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4">
    <w:name w:val="Bordered &amp; Lined - Accent 2"/>
    <w:basedOn w:val="11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5">
    <w:name w:val="Bordered &amp; Lined - Accent 3"/>
    <w:basedOn w:val="11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6">
    <w:name w:val="Bordered &amp; Lined - Accent 4"/>
    <w:basedOn w:val="11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7">
    <w:name w:val="Bordered &amp; Lined - Accent 5"/>
    <w:basedOn w:val="11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8">
    <w:name w:val="Bordered &amp; Lined - Accent 6"/>
    <w:basedOn w:val="11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9">
    <w:name w:val="Bordered"/>
    <w:basedOn w:val="11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0">
    <w:name w:val="Bordered - Accent 1"/>
    <w:basedOn w:val="11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1">
    <w:name w:val="Bordered - Accent 2"/>
    <w:basedOn w:val="11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2">
    <w:name w:val="Bordered - Accent 3"/>
    <w:basedOn w:val="11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3">
    <w:name w:val="Bordered - Accent 4"/>
    <w:basedOn w:val="11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4">
    <w:name w:val="Bordered - Accent 5"/>
    <w:basedOn w:val="11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5">
    <w:name w:val="Bordered - Accent 6"/>
    <w:basedOn w:val="11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6">
    <w:name w:val="footnote text"/>
    <w:basedOn w:val="1121"/>
    <w:link w:val="1107"/>
    <w:uiPriority w:val="99"/>
    <w:semiHidden/>
    <w:unhideWhenUsed/>
    <w:pPr>
      <w:spacing w:after="40" w:line="240" w:lineRule="auto"/>
    </w:pPr>
    <w:rPr>
      <w:sz w:val="18"/>
    </w:rPr>
  </w:style>
  <w:style w:type="character" w:styleId="1107">
    <w:name w:val="Footnote Text Char"/>
    <w:link w:val="1106"/>
    <w:uiPriority w:val="99"/>
    <w:rPr>
      <w:sz w:val="18"/>
    </w:rPr>
  </w:style>
  <w:style w:type="character" w:styleId="1108">
    <w:name w:val="footnote reference"/>
    <w:basedOn w:val="1126"/>
    <w:uiPriority w:val="99"/>
    <w:unhideWhenUsed/>
    <w:rPr>
      <w:vertAlign w:val="superscript"/>
    </w:rPr>
  </w:style>
  <w:style w:type="paragraph" w:styleId="1109">
    <w:name w:val="endnote text"/>
    <w:basedOn w:val="1121"/>
    <w:link w:val="1110"/>
    <w:uiPriority w:val="99"/>
    <w:semiHidden/>
    <w:unhideWhenUsed/>
    <w:pPr>
      <w:spacing w:after="0" w:line="240" w:lineRule="auto"/>
    </w:pPr>
    <w:rPr>
      <w:sz w:val="20"/>
    </w:rPr>
  </w:style>
  <w:style w:type="character" w:styleId="1110">
    <w:name w:val="Endnote Text Char"/>
    <w:link w:val="1109"/>
    <w:uiPriority w:val="99"/>
    <w:rPr>
      <w:sz w:val="20"/>
    </w:rPr>
  </w:style>
  <w:style w:type="character" w:styleId="1111">
    <w:name w:val="endnote reference"/>
    <w:basedOn w:val="1126"/>
    <w:uiPriority w:val="99"/>
    <w:semiHidden/>
    <w:unhideWhenUsed/>
    <w:rPr>
      <w:vertAlign w:val="superscript"/>
    </w:rPr>
  </w:style>
  <w:style w:type="paragraph" w:styleId="1112">
    <w:name w:val="toc 3"/>
    <w:basedOn w:val="1121"/>
    <w:next w:val="1121"/>
    <w:uiPriority w:val="39"/>
    <w:unhideWhenUsed/>
    <w:pPr>
      <w:ind w:left="567" w:right="0" w:firstLine="0"/>
      <w:spacing w:after="57"/>
    </w:pPr>
  </w:style>
  <w:style w:type="paragraph" w:styleId="1113">
    <w:name w:val="toc 4"/>
    <w:basedOn w:val="1121"/>
    <w:next w:val="1121"/>
    <w:uiPriority w:val="39"/>
    <w:unhideWhenUsed/>
    <w:pPr>
      <w:ind w:left="850" w:right="0" w:firstLine="0"/>
      <w:spacing w:after="57"/>
    </w:pPr>
  </w:style>
  <w:style w:type="paragraph" w:styleId="1114">
    <w:name w:val="toc 5"/>
    <w:basedOn w:val="1121"/>
    <w:next w:val="1121"/>
    <w:uiPriority w:val="39"/>
    <w:unhideWhenUsed/>
    <w:pPr>
      <w:ind w:left="1134" w:right="0" w:firstLine="0"/>
      <w:spacing w:after="57"/>
    </w:pPr>
  </w:style>
  <w:style w:type="paragraph" w:styleId="1115">
    <w:name w:val="toc 6"/>
    <w:basedOn w:val="1121"/>
    <w:next w:val="1121"/>
    <w:uiPriority w:val="39"/>
    <w:unhideWhenUsed/>
    <w:pPr>
      <w:ind w:left="1417" w:right="0" w:firstLine="0"/>
      <w:spacing w:after="57"/>
    </w:pPr>
  </w:style>
  <w:style w:type="paragraph" w:styleId="1116">
    <w:name w:val="toc 7"/>
    <w:basedOn w:val="1121"/>
    <w:next w:val="1121"/>
    <w:uiPriority w:val="39"/>
    <w:unhideWhenUsed/>
    <w:pPr>
      <w:ind w:left="1701" w:right="0" w:firstLine="0"/>
      <w:spacing w:after="57"/>
    </w:pPr>
  </w:style>
  <w:style w:type="paragraph" w:styleId="1117">
    <w:name w:val="toc 8"/>
    <w:basedOn w:val="1121"/>
    <w:next w:val="1121"/>
    <w:uiPriority w:val="39"/>
    <w:unhideWhenUsed/>
    <w:pPr>
      <w:ind w:left="1984" w:right="0" w:firstLine="0"/>
      <w:spacing w:after="57"/>
    </w:pPr>
  </w:style>
  <w:style w:type="paragraph" w:styleId="1118">
    <w:name w:val="toc 9"/>
    <w:basedOn w:val="1121"/>
    <w:next w:val="1121"/>
    <w:uiPriority w:val="39"/>
    <w:unhideWhenUsed/>
    <w:pPr>
      <w:ind w:left="2268" w:right="0" w:firstLine="0"/>
      <w:spacing w:after="57"/>
    </w:pPr>
  </w:style>
  <w:style w:type="paragraph" w:styleId="1119">
    <w:name w:val="TOC Heading"/>
    <w:uiPriority w:val="39"/>
    <w:unhideWhenUsed/>
  </w:style>
  <w:style w:type="paragraph" w:styleId="1120">
    <w:name w:val="table of figures"/>
    <w:basedOn w:val="1121"/>
    <w:next w:val="1121"/>
    <w:uiPriority w:val="99"/>
    <w:unhideWhenUsed/>
    <w:pPr>
      <w:spacing w:after="0" w:afterAutospacing="0"/>
    </w:pPr>
  </w:style>
  <w:style w:type="paragraph" w:styleId="1121" w:default="1">
    <w:name w:val="Normal"/>
    <w:next w:val="1128"/>
    <w:uiPriority w:val="1"/>
    <w:qFormat/>
    <w:pPr>
      <w:widowControl w:val="off"/>
    </w:pPr>
    <w:rPr>
      <w:rFonts w:ascii="宋体" w:hAnsi="宋体" w:eastAsia="宋体" w:cs="宋体"/>
      <w:sz w:val="22"/>
      <w:szCs w:val="22"/>
      <w:lang w:val="zh-CN" w:eastAsia="zh-CN" w:bidi="zh-CN"/>
    </w:rPr>
  </w:style>
  <w:style w:type="paragraph" w:styleId="1122">
    <w:name w:val="Heading 1"/>
    <w:basedOn w:val="1121"/>
    <w:next w:val="1121"/>
    <w:uiPriority w:val="1"/>
    <w:qFormat/>
    <w:pPr>
      <w:ind w:left="8"/>
      <w:jc w:val="center"/>
      <w:outlineLvl w:val="0"/>
    </w:pPr>
    <w:rPr>
      <w:rFonts w:ascii="黑体" w:hAnsi="黑体" w:eastAsia="黑体" w:cs="黑体"/>
      <w:sz w:val="30"/>
      <w:szCs w:val="30"/>
    </w:rPr>
  </w:style>
  <w:style w:type="paragraph" w:styleId="1123">
    <w:name w:val="Heading 2"/>
    <w:basedOn w:val="1121"/>
    <w:next w:val="1121"/>
    <w:uiPriority w:val="1"/>
    <w:qFormat/>
    <w:pPr>
      <w:ind w:left="323"/>
      <w:outlineLvl w:val="1"/>
    </w:pPr>
    <w:rPr>
      <w:b/>
      <w:bCs/>
      <w:sz w:val="21"/>
      <w:szCs w:val="21"/>
    </w:rPr>
  </w:style>
  <w:style w:type="paragraph" w:styleId="1124">
    <w:name w:val="Heading 3"/>
    <w:basedOn w:val="1121"/>
    <w:next w:val="1121"/>
    <w:uiPriority w:val="0"/>
    <w:unhideWhenUsed/>
    <w:qFormat/>
    <w:pPr>
      <w:keepLines/>
      <w:keepNext/>
      <w:spacing w:before="260" w:after="260" w:line="416" w:lineRule="auto"/>
      <w:outlineLvl w:val="2"/>
    </w:pPr>
    <w:rPr>
      <w:b/>
      <w:bCs/>
      <w:sz w:val="32"/>
      <w:szCs w:val="32"/>
    </w:rPr>
  </w:style>
  <w:style w:type="paragraph" w:styleId="1125">
    <w:name w:val="Heading 4"/>
    <w:basedOn w:val="1121"/>
    <w:next w:val="1121"/>
    <w:uiPriority w:val="0"/>
    <w:qFormat/>
    <w:pPr>
      <w:keepLines/>
      <w:keepNext/>
      <w:spacing w:before="280" w:after="290" w:line="376" w:lineRule="auto"/>
      <w:widowControl/>
      <w:outlineLvl w:val="3"/>
    </w:pPr>
    <w:rPr>
      <w:rFonts w:ascii="Cambria" w:hAnsi="Cambria" w:cs="Times New Roman"/>
      <w:b/>
      <w:bCs/>
      <w:sz w:val="28"/>
      <w:szCs w:val="28"/>
    </w:rPr>
  </w:style>
  <w:style w:type="character" w:styleId="1126" w:default="1">
    <w:name w:val="Default Paragraph Font"/>
    <w:uiPriority w:val="1"/>
    <w:semiHidden/>
    <w:unhideWhenUsed/>
    <w:qFormat/>
  </w:style>
  <w:style w:type="table" w:styleId="1127" w:default="1">
    <w:name w:val="Normal Table"/>
    <w:uiPriority w:val="99"/>
    <w:semiHidden/>
    <w:unhideWhenUsed/>
    <w:qFormat/>
    <w:tblPr>
      <w:tblCellMar>
        <w:left w:w="108" w:type="dxa"/>
        <w:top w:w="0" w:type="dxa"/>
        <w:right w:w="108" w:type="dxa"/>
        <w:bottom w:w="0" w:type="dxa"/>
      </w:tblCellMar>
    </w:tblPr>
  </w:style>
  <w:style w:type="paragraph" w:styleId="1128">
    <w:name w:val="Normal Indent"/>
    <w:basedOn w:val="1121"/>
    <w:uiPriority w:val="0"/>
    <w:qFormat/>
    <w:pPr>
      <w:ind w:firstLine="420"/>
    </w:pPr>
    <w:rPr>
      <w:szCs w:val="20"/>
    </w:rPr>
  </w:style>
  <w:style w:type="paragraph" w:styleId="1129">
    <w:name w:val="annotation text"/>
    <w:basedOn w:val="1121"/>
    <w:uiPriority w:val="0"/>
    <w:semiHidden/>
    <w:qFormat/>
    <w:rPr>
      <w:szCs w:val="20"/>
    </w:rPr>
  </w:style>
  <w:style w:type="paragraph" w:styleId="1130">
    <w:name w:val="Body Text"/>
    <w:basedOn w:val="1121"/>
    <w:next w:val="1121"/>
    <w:uiPriority w:val="1"/>
    <w:qFormat/>
    <w:rPr>
      <w:sz w:val="21"/>
      <w:szCs w:val="21"/>
    </w:rPr>
  </w:style>
  <w:style w:type="paragraph" w:styleId="1131">
    <w:name w:val="Plain Text"/>
    <w:basedOn w:val="1121"/>
    <w:link w:val="1151"/>
    <w:uiPriority w:val="0"/>
    <w:qFormat/>
    <w:rPr>
      <w:rFonts w:hAnsi="Courier New" w:cs="楷体_GB2312"/>
      <w:szCs w:val="21"/>
    </w:rPr>
  </w:style>
  <w:style w:type="paragraph" w:styleId="1132">
    <w:name w:val="Body Text Indent 2"/>
    <w:basedOn w:val="1121"/>
    <w:uiPriority w:val="0"/>
    <w:qFormat/>
    <w:pPr>
      <w:ind w:left="630" w:firstLine="645"/>
    </w:pPr>
    <w:rPr>
      <w:rFonts w:ascii="Arial" w:hAnsi="Arial" w:eastAsia="仿宋_GB2312"/>
      <w:sz w:val="32"/>
      <w:szCs w:val="20"/>
      <w:lang w:bidi="ar-SA"/>
    </w:rPr>
  </w:style>
  <w:style w:type="paragraph" w:styleId="1133">
    <w:name w:val="Balloon Text"/>
    <w:basedOn w:val="1121"/>
    <w:link w:val="1149"/>
    <w:uiPriority w:val="0"/>
    <w:qFormat/>
    <w:rPr>
      <w:sz w:val="18"/>
      <w:szCs w:val="18"/>
    </w:rPr>
  </w:style>
  <w:style w:type="paragraph" w:styleId="1134">
    <w:name w:val="Footer"/>
    <w:basedOn w:val="1121"/>
    <w:link w:val="1152"/>
    <w:uiPriority w:val="99"/>
    <w:qFormat/>
    <w:pPr>
      <w:tabs>
        <w:tab w:val="center" w:pos="4153" w:leader="none"/>
        <w:tab w:val="right" w:pos="8306" w:leader="none"/>
      </w:tabs>
    </w:pPr>
    <w:rPr>
      <w:sz w:val="18"/>
    </w:rPr>
  </w:style>
  <w:style w:type="paragraph" w:styleId="1135">
    <w:name w:val="Header"/>
    <w:basedOn w:val="1121"/>
    <w:link w:val="1148"/>
    <w:uiPriority w:val="0"/>
    <w:qFormat/>
    <w:pPr>
      <w:jc w:val="center"/>
      <w:tabs>
        <w:tab w:val="center" w:pos="4153" w:leader="none"/>
        <w:tab w:val="right" w:pos="8306" w:leader="none"/>
      </w:tabs>
      <w:pBdr>
        <w:bottom w:val="single" w:color="auto" w:sz="6" w:space="1"/>
      </w:pBdr>
    </w:pPr>
    <w:rPr>
      <w:sz w:val="18"/>
      <w:szCs w:val="18"/>
    </w:rPr>
  </w:style>
  <w:style w:type="paragraph" w:styleId="1136">
    <w:name w:val="toc 1"/>
    <w:basedOn w:val="1121"/>
    <w:next w:val="1121"/>
    <w:uiPriority w:val="1"/>
    <w:qFormat/>
    <w:pPr>
      <w:ind w:left="323"/>
      <w:spacing w:before="43"/>
    </w:pPr>
    <w:rPr>
      <w:rFonts w:ascii="黑体" w:hAnsi="黑体" w:eastAsia="黑体" w:cs="黑体"/>
      <w:sz w:val="21"/>
      <w:szCs w:val="21"/>
    </w:rPr>
  </w:style>
  <w:style w:type="paragraph" w:styleId="1137">
    <w:name w:val="toc 2"/>
    <w:basedOn w:val="1121"/>
    <w:next w:val="1121"/>
    <w:uiPriority w:val="1"/>
    <w:qFormat/>
    <w:pPr>
      <w:ind w:left="743"/>
      <w:spacing w:before="43"/>
    </w:pPr>
    <w:rPr>
      <w:sz w:val="21"/>
      <w:szCs w:val="21"/>
    </w:rPr>
  </w:style>
  <w:style w:type="paragraph" w:styleId="1138">
    <w:name w:val="Normal (Web)"/>
    <w:basedOn w:val="1121"/>
    <w:uiPriority w:val="0"/>
    <w:qFormat/>
    <w:pPr>
      <w:spacing w:before="100" w:beforeAutospacing="1" w:after="100" w:afterAutospacing="1"/>
      <w:widowControl/>
    </w:pPr>
    <w:rPr>
      <w:rFonts w:cs="Times New Roman"/>
      <w:sz w:val="24"/>
    </w:rPr>
  </w:style>
  <w:style w:type="paragraph" w:styleId="1139">
    <w:name w:val="Title"/>
    <w:basedOn w:val="1121"/>
    <w:next w:val="1121"/>
    <w:link w:val="1150"/>
    <w:uiPriority w:val="0"/>
    <w:qFormat/>
    <w:pPr>
      <w:jc w:val="center"/>
      <w:spacing w:before="240" w:after="60"/>
      <w:outlineLvl w:val="0"/>
    </w:pPr>
    <w:rPr>
      <w:rFonts w:asciiTheme="majorHAnsi" w:hAnsiTheme="majorHAnsi" w:cstheme="majorBidi"/>
      <w:b/>
      <w:bCs/>
      <w:sz w:val="32"/>
      <w:szCs w:val="32"/>
    </w:rPr>
  </w:style>
  <w:style w:type="character" w:styleId="1140">
    <w:name w:val="Strong"/>
    <w:uiPriority w:val="22"/>
    <w:qFormat/>
    <w:rPr>
      <w:b/>
      <w:bCs/>
    </w:rPr>
  </w:style>
  <w:style w:type="character" w:styleId="1141">
    <w:name w:val="page number"/>
    <w:basedOn w:val="1126"/>
    <w:uiPriority w:val="0"/>
    <w:qFormat/>
  </w:style>
  <w:style w:type="character" w:styleId="1142">
    <w:name w:val="FollowedHyperlink"/>
    <w:basedOn w:val="1126"/>
    <w:uiPriority w:val="0"/>
    <w:semiHidden/>
    <w:unhideWhenUsed/>
    <w:qFormat/>
    <w:rPr>
      <w:color w:val="800080"/>
      <w:u w:val="none"/>
    </w:rPr>
  </w:style>
  <w:style w:type="character" w:styleId="1143">
    <w:name w:val="Hyperlink"/>
    <w:basedOn w:val="1126"/>
    <w:uiPriority w:val="0"/>
    <w:qFormat/>
    <w:rPr>
      <w:color w:val="0000ff" w:themeColor="hyperlink"/>
      <w:u w:val="single"/>
      <w14:textFill>
        <w14:solidFill>
          <w14:schemeClr w14:val="hlink"/>
        </w14:solidFill>
      </w14:textFill>
    </w:rPr>
  </w:style>
  <w:style w:type="paragraph" w:styleId="1144">
    <w:name w:val="List Paragraph"/>
    <w:basedOn w:val="1121"/>
    <w:uiPriority w:val="1"/>
    <w:qFormat/>
    <w:pPr>
      <w:ind w:left="323" w:firstLine="420"/>
    </w:pPr>
  </w:style>
  <w:style w:type="table" w:styleId="1145" w:customStyle="1">
    <w:name w:val="Table Normal"/>
    <w:uiPriority w:val="2"/>
    <w:semiHidden/>
    <w:unhideWhenUsed/>
    <w:qFormat/>
    <w:tblPr>
      <w:tblCellMar>
        <w:left w:w="0" w:type="dxa"/>
        <w:top w:w="0" w:type="dxa"/>
        <w:right w:w="0" w:type="dxa"/>
        <w:bottom w:w="0" w:type="dxa"/>
      </w:tblCellMar>
    </w:tblPr>
  </w:style>
  <w:style w:type="paragraph" w:styleId="1146" w:customStyle="1">
    <w:name w:val="Table Paragraph"/>
    <w:basedOn w:val="1121"/>
    <w:uiPriority w:val="1"/>
    <w:qFormat/>
  </w:style>
  <w:style w:type="paragraph" w:styleId="1147" w:customStyle="1">
    <w:name w:val="TOC 标题1"/>
    <w:basedOn w:val="1122"/>
    <w:next w:val="1121"/>
    <w:uiPriority w:val="0"/>
    <w:qFormat/>
    <w:pPr>
      <w:outlineLvl w:val="9"/>
    </w:pPr>
  </w:style>
  <w:style w:type="character" w:styleId="1148" w:customStyle="1">
    <w:name w:val="页眉 字符"/>
    <w:basedOn w:val="1126"/>
    <w:link w:val="1135"/>
    <w:uiPriority w:val="0"/>
    <w:qFormat/>
    <w:rPr>
      <w:rFonts w:ascii="宋体" w:hAnsi="宋体" w:cs="宋体"/>
      <w:sz w:val="18"/>
      <w:szCs w:val="18"/>
      <w:lang w:val="zh-CN" w:bidi="zh-CN"/>
    </w:rPr>
  </w:style>
  <w:style w:type="character" w:styleId="1149" w:customStyle="1">
    <w:name w:val="批注框文本 字符"/>
    <w:basedOn w:val="1126"/>
    <w:link w:val="1133"/>
    <w:uiPriority w:val="0"/>
    <w:qFormat/>
    <w:rPr>
      <w:rFonts w:ascii="宋体" w:hAnsi="宋体" w:cs="宋体"/>
      <w:sz w:val="18"/>
      <w:szCs w:val="18"/>
      <w:lang w:val="zh-CN" w:bidi="zh-CN"/>
    </w:rPr>
  </w:style>
  <w:style w:type="character" w:styleId="1150" w:customStyle="1">
    <w:name w:val="标题 字符"/>
    <w:basedOn w:val="1126"/>
    <w:link w:val="1139"/>
    <w:uiPriority w:val="0"/>
    <w:qFormat/>
    <w:rPr>
      <w:rFonts w:asciiTheme="majorHAnsi" w:hAnsiTheme="majorHAnsi" w:cstheme="majorBidi"/>
      <w:b/>
      <w:bCs/>
      <w:sz w:val="32"/>
      <w:szCs w:val="32"/>
      <w:lang w:val="zh-CN" w:bidi="zh-CN"/>
    </w:rPr>
  </w:style>
  <w:style w:type="character" w:styleId="1151" w:customStyle="1">
    <w:name w:val="纯文本 字符"/>
    <w:basedOn w:val="1126"/>
    <w:link w:val="1131"/>
    <w:uiPriority w:val="0"/>
    <w:qFormat/>
    <w:rPr>
      <w:rFonts w:ascii="宋体" w:hAnsi="Courier New" w:cs="楷体_GB2312"/>
      <w:sz w:val="22"/>
      <w:szCs w:val="21"/>
      <w:lang w:val="zh-CN" w:bidi="zh-CN"/>
    </w:rPr>
  </w:style>
  <w:style w:type="character" w:styleId="1152" w:customStyle="1">
    <w:name w:val="页脚 字符"/>
    <w:basedOn w:val="1126"/>
    <w:link w:val="1134"/>
    <w:uiPriority w:val="99"/>
    <w:qFormat/>
    <w:rPr>
      <w:rFonts w:ascii="宋体" w:hAnsi="宋体" w:cs="宋体"/>
      <w:sz w:val="18"/>
      <w:szCs w:val="22"/>
      <w:lang w:val="zh-CN" w:bidi="zh-CN"/>
    </w:rPr>
  </w:style>
  <w:style w:type="character" w:styleId="1153" w:customStyle="1">
    <w:name w:val="bsharetext"/>
    <w:basedOn w:val="1126"/>
    <w:uiPriority w:val="0"/>
    <w:qFormat/>
  </w:style>
  <w:style w:type="character" w:styleId="1154" w:customStyle="1">
    <w:name w:val="red_tag"/>
    <w:basedOn w:val="1126"/>
    <w:uiPriority w:val="0"/>
    <w:qFormat/>
    <w:rPr>
      <w:color w:val="ffffff"/>
      <w:shd w:val="clear" w:color="auto" w:fill="f45146"/>
    </w:rPr>
  </w:style>
  <w:style w:type="character" w:styleId="1155" w:customStyle="1">
    <w:name w:val="blue_tag"/>
    <w:basedOn w:val="1126"/>
    <w:uiPriority w:val="0"/>
    <w:qFormat/>
    <w:rPr>
      <w:color w:val="ffffff"/>
      <w:shd w:val="clear" w:color="auto" w:fill="00b3ec"/>
    </w:rPr>
  </w:style>
  <w:style w:type="character" w:styleId="1156" w:customStyle="1">
    <w:name w:val="green_tag"/>
    <w:basedOn w:val="1126"/>
    <w:uiPriority w:val="0"/>
    <w:qFormat/>
    <w:rPr>
      <w:color w:val="ffffff"/>
      <w:shd w:val="clear" w:color="auto" w:fill="35d9b5"/>
    </w:rPr>
  </w:style>
  <w:style w:type="character" w:styleId="1157" w:customStyle="1">
    <w:name w:val="purple_tag"/>
    <w:basedOn w:val="1126"/>
    <w:uiPriority w:val="0"/>
    <w:qFormat/>
    <w:rPr>
      <w:color w:val="ffffff"/>
      <w:shd w:val="clear" w:color="auto" w:fill="ee82ee"/>
    </w:rPr>
  </w:style>
  <w:style w:type="character" w:styleId="1158" w:customStyle="1">
    <w:name w:val="yellow_tag"/>
    <w:basedOn w:val="1126"/>
    <w:uiPriority w:val="0"/>
    <w:qFormat/>
    <w:rPr>
      <w:color w:val="ffffff"/>
      <w:shd w:val="clear" w:color="auto" w:fill="ffcc33"/>
    </w:rPr>
  </w:style>
  <w:style w:type="character" w:styleId="1159" w:customStyle="1">
    <w:name w:val="active1"/>
    <w:basedOn w:val="1126"/>
    <w:uiPriority w:val="0"/>
    <w:qFormat/>
    <w:rPr>
      <w:shd w:val="clear" w:color="auto" w:fill="f6f6f6"/>
    </w:rPr>
  </w:style>
  <w:style w:type="paragraph" w:styleId="1160" w:customStyle="1">
    <w:name w:val="Body text|1"/>
    <w:basedOn w:val="1121"/>
    <w:uiPriority w:val="0"/>
    <w:qFormat/>
    <w:pPr>
      <w:ind w:firstLine="400"/>
      <w:spacing w:line="377" w:lineRule="auto"/>
    </w:pPr>
    <w:rPr>
      <w:lang w:val="zh-TW" w:eastAsia="zh-TW" w:bidi="zh-TW"/>
    </w:rPr>
  </w:style>
  <w:style w:type="paragraph" w:styleId="1161" w:customStyle="1">
    <w:name w:val="p"/>
    <w:basedOn w:val="1121"/>
    <w:uiPriority w:val="0"/>
    <w:qFormat/>
    <w:pPr>
      <w:spacing w:before="100" w:beforeAutospacing="1" w:after="100" w:afterAutospacing="1"/>
      <w:widowControl/>
    </w:pPr>
    <w:rPr>
      <w:sz w:val="24"/>
      <w:szCs w:val="24"/>
      <w:lang w:val="en-US" w:bidi="ar-SA"/>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hyperlink" Target="mailto:tuzhixiazai2023@163.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陈健</cp:lastModifiedBy>
  <cp:revision>241</cp:revision>
  <dcterms:created xsi:type="dcterms:W3CDTF">2019-08-05T03:56:00Z</dcterms:created>
  <dcterms:modified xsi:type="dcterms:W3CDTF">2025-11-10T06:54:50Z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2052-12.1.0.23542</vt:lpwstr>
  </property>
  <property fmtid="{D5CDD505-2E9C-101B-9397-08002B2CF9AE}" pid="6" name="ICV">
    <vt:lpwstr>A4B734145F9F4AB58472138275532915</vt:lpwstr>
  </property>
  <property fmtid="{D5CDD505-2E9C-101B-9397-08002B2CF9AE}" pid="7" name="KSOTemplateDocerSaveRecord">
    <vt:lpwstr>eyJoZGlkIjoiOTlmYWUwZGQzMzM1NzQzMmI4Y2ZhNGMyZDQyZmYyOWYiLCJ1c2VySWQiOiIyMzU3MDMwNDUifQ==</vt:lpwstr>
  </property>
</Properties>
</file>